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00" w:lineRule="exact"/>
        <w:jc w:val="center"/>
        <w:rPr>
          <w:rFonts w:hint="default" w:ascii="Times New Roman" w:hAnsi="Times New Roman" w:cs="Times New Roman"/>
          <w:sz w:val="32"/>
          <w:szCs w:val="32"/>
          <w:highlight w:val="none"/>
        </w:rPr>
      </w:pPr>
      <w:bookmarkStart w:id="149" w:name="_GoBack"/>
      <w:bookmarkEnd w:id="149"/>
      <w:r>
        <w:rPr>
          <w:rFonts w:hint="default" w:ascii="Times New Roman" w:hAnsi="Times New Roman" w:cs="Times New Roman"/>
          <w:sz w:val="32"/>
          <w:szCs w:val="32"/>
          <w:highlight w:val="none"/>
        </w:rPr>
        <w:t xml:space="preserve">  </w:t>
      </w:r>
    </w:p>
    <w:p>
      <w:pPr>
        <w:spacing w:line="600" w:lineRule="exact"/>
        <w:jc w:val="center"/>
        <w:rPr>
          <w:rFonts w:hint="default" w:ascii="Times New Roman" w:hAnsi="Times New Roman" w:cs="Times New Roman"/>
          <w:sz w:val="32"/>
          <w:szCs w:val="32"/>
          <w:highlight w:val="none"/>
        </w:rPr>
      </w:pPr>
    </w:p>
    <w:p>
      <w:pPr>
        <w:spacing w:line="600" w:lineRule="exact"/>
        <w:jc w:val="center"/>
        <w:rPr>
          <w:rFonts w:hint="default" w:ascii="Times New Roman" w:hAnsi="Times New Roman" w:cs="Times New Roman"/>
          <w:sz w:val="32"/>
          <w:szCs w:val="32"/>
          <w:highlight w:val="none"/>
        </w:rPr>
      </w:pPr>
    </w:p>
    <w:p>
      <w:pPr>
        <w:spacing w:before="120" w:beforeLines="50"/>
        <w:jc w:val="center"/>
        <w:rPr>
          <w:rFonts w:hint="default" w:ascii="Times New Roman" w:hAnsi="Times New Roman" w:cs="Times New Roman"/>
          <w:sz w:val="72"/>
          <w:szCs w:val="72"/>
          <w:highlight w:val="none"/>
        </w:rPr>
      </w:pPr>
      <w:r>
        <w:rPr>
          <w:rFonts w:hint="default" w:ascii="Times New Roman" w:hAnsi="Times New Roman" w:cs="Times New Roman"/>
          <w:sz w:val="72"/>
          <w:szCs w:val="72"/>
          <w:highlight w:val="none"/>
        </w:rPr>
        <w:t>公开招标采购文件</w:t>
      </w:r>
    </w:p>
    <w:p>
      <w:pPr>
        <w:snapToGrid w:val="0"/>
        <w:spacing w:before="120" w:beforeLines="50" w:line="360" w:lineRule="auto"/>
        <w:rPr>
          <w:rFonts w:hint="default" w:ascii="Times New Roman" w:hAnsi="Times New Roman" w:cs="Times New Roman"/>
          <w:sz w:val="30"/>
          <w:szCs w:val="72"/>
          <w:highlight w:val="none"/>
        </w:rPr>
      </w:pPr>
    </w:p>
    <w:p>
      <w:pPr>
        <w:pStyle w:val="24"/>
        <w:snapToGrid w:val="0"/>
        <w:spacing w:before="120" w:beforeLines="0" w:after="120" w:afterLines="0" w:line="360" w:lineRule="auto"/>
        <w:rPr>
          <w:rFonts w:hint="default" w:ascii="Times New Roman" w:hAnsi="Times New Roman" w:cs="Times New Roman"/>
          <w:b/>
          <w:sz w:val="30"/>
          <w:szCs w:val="48"/>
          <w:highlight w:val="none"/>
        </w:rPr>
      </w:pPr>
    </w:p>
    <w:p>
      <w:pPr>
        <w:pStyle w:val="24"/>
        <w:snapToGrid w:val="0"/>
        <w:spacing w:before="120" w:beforeLines="0" w:after="120" w:afterLines="0" w:line="360" w:lineRule="auto"/>
        <w:rPr>
          <w:rFonts w:hint="default" w:ascii="Times New Roman" w:hAnsi="Times New Roman" w:cs="Times New Roman"/>
          <w:b/>
          <w:sz w:val="30"/>
          <w:szCs w:val="48"/>
          <w:highlight w:val="none"/>
        </w:rPr>
      </w:pPr>
    </w:p>
    <w:p>
      <w:pPr>
        <w:pStyle w:val="24"/>
        <w:snapToGrid w:val="0"/>
        <w:spacing w:before="120" w:beforeLines="0" w:after="120" w:afterLines="0" w:line="360" w:lineRule="auto"/>
        <w:rPr>
          <w:rFonts w:hint="default" w:ascii="Times New Roman" w:hAnsi="Times New Roman" w:cs="Times New Roman"/>
          <w:b/>
          <w:sz w:val="30"/>
          <w:szCs w:val="48"/>
          <w:highlight w:val="none"/>
        </w:rPr>
      </w:pPr>
    </w:p>
    <w:p>
      <w:pPr>
        <w:pStyle w:val="24"/>
        <w:snapToGrid w:val="0"/>
        <w:spacing w:before="120" w:beforeLines="0" w:after="120" w:afterLines="0" w:line="360" w:lineRule="auto"/>
        <w:rPr>
          <w:rFonts w:hint="default" w:ascii="Times New Roman" w:hAnsi="Times New Roman" w:cs="Times New Roman"/>
          <w:b/>
          <w:sz w:val="30"/>
          <w:szCs w:val="48"/>
          <w:highlight w:val="none"/>
        </w:rPr>
      </w:pPr>
    </w:p>
    <w:p>
      <w:pPr>
        <w:pStyle w:val="24"/>
        <w:snapToGrid w:val="0"/>
        <w:spacing w:before="120" w:beforeLines="0" w:after="120" w:afterLines="0" w:line="360" w:lineRule="auto"/>
        <w:rPr>
          <w:rFonts w:hint="default" w:ascii="Times New Roman" w:hAnsi="Times New Roman" w:cs="Times New Roman"/>
          <w:b/>
          <w:sz w:val="30"/>
          <w:szCs w:val="48"/>
          <w:highlight w:val="none"/>
        </w:rPr>
      </w:pPr>
    </w:p>
    <w:p>
      <w:pPr>
        <w:pStyle w:val="24"/>
        <w:snapToGrid w:val="0"/>
        <w:spacing w:before="300" w:beforeLines="0" w:after="300" w:afterLines="0" w:line="360" w:lineRule="auto"/>
        <w:outlineLvl w:val="9"/>
        <w:rPr>
          <w:rFonts w:hint="default" w:ascii="Times New Roman" w:hAnsi="Times New Roman" w:eastAsia="宋体" w:cs="Times New Roman"/>
          <w:b/>
          <w:sz w:val="28"/>
          <w:szCs w:val="28"/>
          <w:highlight w:val="none"/>
          <w:lang w:eastAsia="zh-CN"/>
        </w:rPr>
      </w:pPr>
      <w:bookmarkStart w:id="0" w:name="_Toc11598"/>
      <w:r>
        <w:rPr>
          <w:rFonts w:hint="default" w:ascii="Times New Roman" w:hAnsi="Times New Roman" w:cs="Times New Roman"/>
          <w:b/>
          <w:sz w:val="28"/>
          <w:szCs w:val="28"/>
          <w:highlight w:val="none"/>
        </w:rPr>
        <w:t>项目编号</w:t>
      </w:r>
      <w:r>
        <w:rPr>
          <w:rFonts w:hint="default" w:ascii="Times New Roman" w:hAnsi="Times New Roman" w:cs="Times New Roman"/>
          <w:b/>
          <w:sz w:val="28"/>
          <w:szCs w:val="28"/>
          <w:highlight w:val="none"/>
          <w:lang w:eastAsia="zh-CN"/>
        </w:rPr>
        <w:t>：</w:t>
      </w:r>
      <w:r>
        <w:rPr>
          <w:rFonts w:hint="eastAsia" w:ascii="Times New Roman" w:hAnsi="Times New Roman" w:cs="Times New Roman"/>
          <w:b/>
          <w:sz w:val="28"/>
          <w:szCs w:val="28"/>
          <w:highlight w:val="none"/>
          <w:lang w:eastAsia="zh-CN"/>
        </w:rPr>
        <w:t>科信建代字[2023]100030号</w:t>
      </w:r>
      <w:bookmarkEnd w:id="0"/>
    </w:p>
    <w:p>
      <w:pPr>
        <w:pStyle w:val="24"/>
        <w:snapToGrid w:val="0"/>
        <w:spacing w:before="300" w:beforeLines="0" w:after="300" w:afterLines="0" w:line="360" w:lineRule="auto"/>
        <w:rPr>
          <w:rFonts w:hint="default" w:ascii="Times New Roman" w:hAnsi="Times New Roman" w:eastAsia="宋体" w:cs="Times New Roman"/>
          <w:b/>
          <w:sz w:val="28"/>
          <w:szCs w:val="28"/>
          <w:highlight w:val="none"/>
          <w:lang w:eastAsia="zh-CN"/>
        </w:rPr>
      </w:pPr>
      <w:r>
        <w:rPr>
          <w:rFonts w:hint="default" w:ascii="Times New Roman" w:hAnsi="Times New Roman" w:cs="Times New Roman"/>
          <w:b/>
          <w:sz w:val="28"/>
          <w:szCs w:val="28"/>
          <w:highlight w:val="none"/>
        </w:rPr>
        <w:t>项目名称</w:t>
      </w:r>
      <w:r>
        <w:rPr>
          <w:rFonts w:hint="default" w:ascii="Times New Roman" w:hAnsi="Times New Roman" w:cs="Times New Roman"/>
          <w:b/>
          <w:sz w:val="28"/>
          <w:szCs w:val="28"/>
          <w:highlight w:val="none"/>
          <w:lang w:eastAsia="zh-CN"/>
        </w:rPr>
        <w:t>：宁波高新梅沁未来社区项目（旧改类）数字化（含智能化）系统设备采购项目</w:t>
      </w:r>
    </w:p>
    <w:p>
      <w:pPr>
        <w:pStyle w:val="24"/>
        <w:snapToGrid w:val="0"/>
        <w:spacing w:before="300" w:beforeLines="0" w:after="300" w:afterLines="0" w:line="360" w:lineRule="auto"/>
        <w:outlineLvl w:val="9"/>
        <w:rPr>
          <w:rFonts w:hint="default" w:ascii="Times New Roman" w:hAnsi="Times New Roman" w:eastAsia="宋体" w:cs="Times New Roman"/>
          <w:b/>
          <w:sz w:val="28"/>
          <w:szCs w:val="28"/>
          <w:highlight w:val="none"/>
          <w:lang w:eastAsia="zh-CN"/>
        </w:rPr>
      </w:pPr>
      <w:bookmarkStart w:id="1" w:name="_Toc14533"/>
      <w:bookmarkStart w:id="2" w:name="_Toc20317"/>
      <w:r>
        <w:rPr>
          <w:rFonts w:hint="default" w:ascii="Times New Roman" w:hAnsi="Times New Roman" w:cs="Times New Roman"/>
          <w:b/>
          <w:sz w:val="28"/>
          <w:szCs w:val="28"/>
          <w:highlight w:val="none"/>
        </w:rPr>
        <w:t>采 购 人：</w:t>
      </w:r>
      <w:r>
        <w:rPr>
          <w:rFonts w:hint="default" w:ascii="Times New Roman" w:hAnsi="Times New Roman" w:cs="Times New Roman"/>
          <w:b/>
          <w:sz w:val="28"/>
          <w:szCs w:val="28"/>
          <w:highlight w:val="none"/>
          <w:lang w:eastAsia="zh-CN"/>
        </w:rPr>
        <w:t>宁波市鄞州区人民政府梅墟街道办事处 </w:t>
      </w:r>
      <w:bookmarkEnd w:id="1"/>
      <w:bookmarkEnd w:id="2"/>
    </w:p>
    <w:p>
      <w:pPr>
        <w:pStyle w:val="24"/>
        <w:snapToGrid w:val="0"/>
        <w:spacing w:before="300" w:beforeLines="0" w:after="300" w:afterLines="0" w:line="360" w:lineRule="auto"/>
        <w:outlineLvl w:val="9"/>
        <w:rPr>
          <w:rFonts w:hint="default" w:ascii="Times New Roman" w:hAnsi="Times New Roman" w:cs="Times New Roman"/>
          <w:b/>
          <w:sz w:val="28"/>
          <w:szCs w:val="28"/>
          <w:highlight w:val="none"/>
        </w:rPr>
      </w:pPr>
      <w:bookmarkStart w:id="3" w:name="_Toc19405"/>
      <w:bookmarkStart w:id="4" w:name="_Toc15854"/>
      <w:r>
        <w:rPr>
          <w:rFonts w:hint="default" w:ascii="Times New Roman" w:hAnsi="Times New Roman" w:cs="Times New Roman"/>
          <w:b/>
          <w:sz w:val="28"/>
          <w:szCs w:val="28"/>
          <w:highlight w:val="none"/>
        </w:rPr>
        <w:t>代理机构：浙江科信联合工程项目管理咨询有限公司</w:t>
      </w:r>
      <w:bookmarkEnd w:id="3"/>
      <w:bookmarkEnd w:id="4"/>
    </w:p>
    <w:p>
      <w:pPr>
        <w:snapToGrid w:val="0"/>
        <w:spacing w:before="120" w:beforeLines="50" w:line="360" w:lineRule="auto"/>
        <w:jc w:val="center"/>
        <w:rPr>
          <w:rFonts w:hint="default" w:ascii="Times New Roman" w:hAnsi="Times New Roman" w:cs="Times New Roman"/>
          <w:b/>
          <w:bCs/>
          <w:sz w:val="30"/>
          <w:szCs w:val="30"/>
          <w:highlight w:val="none"/>
        </w:rPr>
      </w:pPr>
    </w:p>
    <w:p>
      <w:pPr>
        <w:pStyle w:val="17"/>
        <w:rPr>
          <w:rFonts w:hint="default" w:ascii="Times New Roman" w:hAnsi="Times New Roman" w:cs="Times New Roman"/>
          <w:highlight w:val="none"/>
        </w:rPr>
      </w:pPr>
    </w:p>
    <w:p>
      <w:pPr>
        <w:snapToGrid w:val="0"/>
        <w:spacing w:before="120" w:beforeLines="50" w:line="360" w:lineRule="auto"/>
        <w:jc w:val="center"/>
        <w:rPr>
          <w:rFonts w:hint="default" w:ascii="Times New Roman" w:hAnsi="Times New Roman" w:cs="Times New Roman"/>
          <w:b/>
          <w:bCs/>
          <w:sz w:val="30"/>
          <w:szCs w:val="30"/>
          <w:highlight w:val="none"/>
        </w:rPr>
      </w:pPr>
      <w:r>
        <w:rPr>
          <w:rFonts w:hint="default" w:ascii="Times New Roman" w:hAnsi="Times New Roman" w:cs="Times New Roman"/>
          <w:b/>
          <w:bCs/>
          <w:sz w:val="30"/>
          <w:szCs w:val="30"/>
          <w:highlight w:val="none"/>
        </w:rPr>
        <w:t>202</w:t>
      </w:r>
      <w:r>
        <w:rPr>
          <w:rFonts w:hint="default" w:ascii="Times New Roman" w:hAnsi="Times New Roman" w:cs="Times New Roman"/>
          <w:b/>
          <w:bCs/>
          <w:sz w:val="30"/>
          <w:szCs w:val="30"/>
          <w:highlight w:val="none"/>
          <w:lang w:val="en-US" w:eastAsia="zh-CN"/>
        </w:rPr>
        <w:t>3</w:t>
      </w:r>
      <w:r>
        <w:rPr>
          <w:rFonts w:hint="default" w:ascii="Times New Roman" w:hAnsi="Times New Roman" w:cs="Times New Roman"/>
          <w:b/>
          <w:bCs/>
          <w:sz w:val="30"/>
          <w:szCs w:val="30"/>
          <w:highlight w:val="none"/>
        </w:rPr>
        <w:t>年</w:t>
      </w:r>
      <w:r>
        <w:rPr>
          <w:rFonts w:hint="eastAsia" w:ascii="Times New Roman" w:hAnsi="Times New Roman" w:cs="Times New Roman"/>
          <w:b/>
          <w:bCs/>
          <w:sz w:val="30"/>
          <w:szCs w:val="30"/>
          <w:highlight w:val="none"/>
          <w:lang w:val="en-US" w:eastAsia="zh-CN"/>
        </w:rPr>
        <w:t>2</w:t>
      </w:r>
      <w:r>
        <w:rPr>
          <w:rFonts w:hint="default" w:ascii="Times New Roman" w:hAnsi="Times New Roman" w:cs="Times New Roman"/>
          <w:b/>
          <w:bCs/>
          <w:sz w:val="30"/>
          <w:szCs w:val="30"/>
          <w:highlight w:val="none"/>
        </w:rPr>
        <w:t>月</w:t>
      </w: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sz w:val="21"/>
          <w:highlight w:val="none"/>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sz w:val="21"/>
          <w:highlight w:val="none"/>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sz w:val="21"/>
          <w:highlight w:val="none"/>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sz w:val="21"/>
          <w:highlight w:val="none"/>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sz w:val="21"/>
          <w:highlight w:val="none"/>
        </w:rPr>
      </w:pP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sz w:val="21"/>
          <w:highlight w:val="none"/>
        </w:rPr>
      </w:pPr>
    </w:p>
    <w:p>
      <w:pPr>
        <w:spacing w:before="0" w:beforeLines="0" w:after="0" w:afterLines="0" w:line="360" w:lineRule="auto"/>
        <w:ind w:left="0" w:leftChars="0" w:right="0" w:rightChars="0" w:firstLine="0" w:firstLineChars="0"/>
        <w:jc w:val="center"/>
        <w:rPr>
          <w:b/>
          <w:bCs/>
          <w:sz w:val="36"/>
          <w:szCs w:val="44"/>
          <w:highlight w:val="none"/>
        </w:rPr>
      </w:pPr>
      <w:r>
        <w:rPr>
          <w:rFonts w:ascii="宋体" w:hAnsi="宋体" w:eastAsia="宋体"/>
          <w:b/>
          <w:bCs/>
          <w:sz w:val="36"/>
          <w:szCs w:val="44"/>
          <w:highlight w:val="none"/>
        </w:rPr>
        <w:t>目录</w:t>
      </w:r>
    </w:p>
    <w:p>
      <w:pPr>
        <w:pStyle w:val="102"/>
        <w:tabs>
          <w:tab w:val="right" w:leader="dot" w:pos="8312"/>
        </w:tabs>
        <w:spacing w:line="360" w:lineRule="auto"/>
        <w:rPr>
          <w:b/>
          <w:bCs/>
          <w:sz w:val="32"/>
          <w:szCs w:val="32"/>
          <w:highlight w:val="none"/>
        </w:rPr>
      </w:pPr>
      <w:r>
        <w:rPr>
          <w:b/>
          <w:bCs/>
          <w:sz w:val="32"/>
          <w:szCs w:val="32"/>
          <w:highlight w:val="none"/>
        </w:rPr>
        <w:fldChar w:fldCharType="begin"/>
      </w:r>
      <w:r>
        <w:rPr>
          <w:b/>
          <w:bCs/>
          <w:sz w:val="32"/>
          <w:szCs w:val="32"/>
          <w:highlight w:val="none"/>
        </w:rPr>
        <w:instrText xml:space="preserve">TOC \o "1-1" \h \u </w:instrText>
      </w:r>
      <w:r>
        <w:rPr>
          <w:b/>
          <w:bCs/>
          <w:sz w:val="32"/>
          <w:szCs w:val="32"/>
          <w:highlight w:val="none"/>
        </w:rPr>
        <w:fldChar w:fldCharType="separate"/>
      </w:r>
      <w:r>
        <w:rPr>
          <w:b/>
          <w:bCs/>
          <w:sz w:val="32"/>
          <w:szCs w:val="32"/>
          <w:highlight w:val="none"/>
        </w:rPr>
        <w:fldChar w:fldCharType="begin"/>
      </w:r>
      <w:r>
        <w:rPr>
          <w:b/>
          <w:bCs/>
          <w:sz w:val="32"/>
          <w:szCs w:val="32"/>
          <w:highlight w:val="none"/>
        </w:rPr>
        <w:instrText xml:space="preserve"> HYPERLINK \l _Toc27960 </w:instrText>
      </w:r>
      <w:r>
        <w:rPr>
          <w:b/>
          <w:bCs/>
          <w:sz w:val="32"/>
          <w:szCs w:val="32"/>
          <w:highlight w:val="none"/>
        </w:rPr>
        <w:fldChar w:fldCharType="separate"/>
      </w:r>
      <w:r>
        <w:rPr>
          <w:rFonts w:hint="default" w:ascii="Times New Roman" w:hAnsi="Times New Roman" w:cs="Times New Roman"/>
          <w:b/>
          <w:bCs/>
          <w:sz w:val="32"/>
          <w:szCs w:val="32"/>
          <w:highlight w:val="none"/>
        </w:rPr>
        <w:t>第一章 公开招标采购公告</w:t>
      </w:r>
      <w:r>
        <w:rPr>
          <w:b/>
          <w:bCs/>
          <w:sz w:val="32"/>
          <w:szCs w:val="32"/>
          <w:highlight w:val="none"/>
        </w:rPr>
        <w:tab/>
      </w:r>
      <w:r>
        <w:rPr>
          <w:b/>
          <w:bCs/>
          <w:sz w:val="32"/>
          <w:szCs w:val="32"/>
          <w:highlight w:val="none"/>
        </w:rPr>
        <w:fldChar w:fldCharType="begin"/>
      </w:r>
      <w:r>
        <w:rPr>
          <w:b/>
          <w:bCs/>
          <w:sz w:val="32"/>
          <w:szCs w:val="32"/>
          <w:highlight w:val="none"/>
        </w:rPr>
        <w:instrText xml:space="preserve"> PAGEREF _Toc27960 \h </w:instrText>
      </w:r>
      <w:r>
        <w:rPr>
          <w:b/>
          <w:bCs/>
          <w:sz w:val="32"/>
          <w:szCs w:val="32"/>
          <w:highlight w:val="none"/>
        </w:rPr>
        <w:fldChar w:fldCharType="separate"/>
      </w:r>
      <w:r>
        <w:rPr>
          <w:b/>
          <w:bCs/>
          <w:sz w:val="32"/>
          <w:szCs w:val="32"/>
          <w:highlight w:val="none"/>
        </w:rPr>
        <w:t>1</w:t>
      </w:r>
      <w:r>
        <w:rPr>
          <w:b/>
          <w:bCs/>
          <w:sz w:val="32"/>
          <w:szCs w:val="32"/>
          <w:highlight w:val="none"/>
        </w:rPr>
        <w:fldChar w:fldCharType="end"/>
      </w:r>
      <w:r>
        <w:rPr>
          <w:b/>
          <w:bCs/>
          <w:sz w:val="32"/>
          <w:szCs w:val="32"/>
          <w:highlight w:val="none"/>
        </w:rPr>
        <w:fldChar w:fldCharType="end"/>
      </w:r>
    </w:p>
    <w:p>
      <w:pPr>
        <w:pStyle w:val="102"/>
        <w:tabs>
          <w:tab w:val="right" w:leader="dot" w:pos="8312"/>
        </w:tabs>
        <w:spacing w:line="36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_Toc5798 </w:instrText>
      </w:r>
      <w:r>
        <w:rPr>
          <w:b/>
          <w:bCs/>
          <w:sz w:val="32"/>
          <w:szCs w:val="32"/>
          <w:highlight w:val="none"/>
        </w:rPr>
        <w:fldChar w:fldCharType="separate"/>
      </w:r>
      <w:r>
        <w:rPr>
          <w:rFonts w:hint="default" w:ascii="Times New Roman" w:hAnsi="Times New Roman" w:cs="Times New Roman"/>
          <w:b/>
          <w:bCs/>
          <w:sz w:val="32"/>
          <w:szCs w:val="32"/>
          <w:highlight w:val="none"/>
        </w:rPr>
        <w:t>第二章 招标需求</w:t>
      </w:r>
      <w:r>
        <w:rPr>
          <w:b/>
          <w:bCs/>
          <w:sz w:val="32"/>
          <w:szCs w:val="32"/>
          <w:highlight w:val="none"/>
        </w:rPr>
        <w:tab/>
      </w:r>
      <w:r>
        <w:rPr>
          <w:b/>
          <w:bCs/>
          <w:sz w:val="32"/>
          <w:szCs w:val="32"/>
          <w:highlight w:val="none"/>
        </w:rPr>
        <w:fldChar w:fldCharType="begin"/>
      </w:r>
      <w:r>
        <w:rPr>
          <w:b/>
          <w:bCs/>
          <w:sz w:val="32"/>
          <w:szCs w:val="32"/>
          <w:highlight w:val="none"/>
        </w:rPr>
        <w:instrText xml:space="preserve"> PAGEREF _Toc5798 \h </w:instrText>
      </w:r>
      <w:r>
        <w:rPr>
          <w:b/>
          <w:bCs/>
          <w:sz w:val="32"/>
          <w:szCs w:val="32"/>
          <w:highlight w:val="none"/>
        </w:rPr>
        <w:fldChar w:fldCharType="separate"/>
      </w:r>
      <w:r>
        <w:rPr>
          <w:b/>
          <w:bCs/>
          <w:sz w:val="32"/>
          <w:szCs w:val="32"/>
          <w:highlight w:val="none"/>
        </w:rPr>
        <w:t>5</w:t>
      </w:r>
      <w:r>
        <w:rPr>
          <w:b/>
          <w:bCs/>
          <w:sz w:val="32"/>
          <w:szCs w:val="32"/>
          <w:highlight w:val="none"/>
        </w:rPr>
        <w:fldChar w:fldCharType="end"/>
      </w:r>
      <w:r>
        <w:rPr>
          <w:b/>
          <w:bCs/>
          <w:sz w:val="32"/>
          <w:szCs w:val="32"/>
          <w:highlight w:val="none"/>
        </w:rPr>
        <w:fldChar w:fldCharType="end"/>
      </w:r>
    </w:p>
    <w:p>
      <w:pPr>
        <w:pStyle w:val="102"/>
        <w:tabs>
          <w:tab w:val="right" w:leader="dot" w:pos="8312"/>
        </w:tabs>
        <w:spacing w:line="36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_Toc23992 </w:instrText>
      </w:r>
      <w:r>
        <w:rPr>
          <w:b/>
          <w:bCs/>
          <w:sz w:val="32"/>
          <w:szCs w:val="32"/>
          <w:highlight w:val="none"/>
        </w:rPr>
        <w:fldChar w:fldCharType="separate"/>
      </w:r>
      <w:r>
        <w:rPr>
          <w:rFonts w:hint="default" w:ascii="Times New Roman" w:hAnsi="Times New Roman" w:eastAsia="宋体" w:cs="Times New Roman"/>
          <w:b/>
          <w:bCs/>
          <w:sz w:val="32"/>
          <w:szCs w:val="32"/>
          <w:highlight w:val="none"/>
        </w:rPr>
        <w:t>第三章 投标人须知</w:t>
      </w:r>
      <w:r>
        <w:rPr>
          <w:b/>
          <w:bCs/>
          <w:sz w:val="32"/>
          <w:szCs w:val="32"/>
          <w:highlight w:val="none"/>
        </w:rPr>
        <w:tab/>
      </w:r>
      <w:r>
        <w:rPr>
          <w:b/>
          <w:bCs/>
          <w:sz w:val="32"/>
          <w:szCs w:val="32"/>
          <w:highlight w:val="none"/>
        </w:rPr>
        <w:fldChar w:fldCharType="begin"/>
      </w:r>
      <w:r>
        <w:rPr>
          <w:b/>
          <w:bCs/>
          <w:sz w:val="32"/>
          <w:szCs w:val="32"/>
          <w:highlight w:val="none"/>
        </w:rPr>
        <w:instrText xml:space="preserve"> PAGEREF _Toc23992 \h </w:instrText>
      </w:r>
      <w:r>
        <w:rPr>
          <w:b/>
          <w:bCs/>
          <w:sz w:val="32"/>
          <w:szCs w:val="32"/>
          <w:highlight w:val="none"/>
        </w:rPr>
        <w:fldChar w:fldCharType="separate"/>
      </w:r>
      <w:r>
        <w:rPr>
          <w:b/>
          <w:bCs/>
          <w:sz w:val="32"/>
          <w:szCs w:val="32"/>
          <w:highlight w:val="none"/>
        </w:rPr>
        <w:t>128</w:t>
      </w:r>
      <w:r>
        <w:rPr>
          <w:b/>
          <w:bCs/>
          <w:sz w:val="32"/>
          <w:szCs w:val="32"/>
          <w:highlight w:val="none"/>
        </w:rPr>
        <w:fldChar w:fldCharType="end"/>
      </w:r>
      <w:r>
        <w:rPr>
          <w:b/>
          <w:bCs/>
          <w:sz w:val="32"/>
          <w:szCs w:val="32"/>
          <w:highlight w:val="none"/>
        </w:rPr>
        <w:fldChar w:fldCharType="end"/>
      </w:r>
    </w:p>
    <w:p>
      <w:pPr>
        <w:pStyle w:val="102"/>
        <w:tabs>
          <w:tab w:val="right" w:leader="dot" w:pos="8312"/>
        </w:tabs>
        <w:spacing w:line="36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_Toc29279 </w:instrText>
      </w:r>
      <w:r>
        <w:rPr>
          <w:b/>
          <w:bCs/>
          <w:sz w:val="32"/>
          <w:szCs w:val="32"/>
          <w:highlight w:val="none"/>
        </w:rPr>
        <w:fldChar w:fldCharType="separate"/>
      </w:r>
      <w:r>
        <w:rPr>
          <w:rFonts w:hint="default" w:ascii="Times New Roman" w:hAnsi="Times New Roman" w:cs="Times New Roman"/>
          <w:b/>
          <w:bCs/>
          <w:sz w:val="32"/>
          <w:szCs w:val="32"/>
          <w:highlight w:val="none"/>
        </w:rPr>
        <w:t>第四章 评标办法及评分标准</w:t>
      </w:r>
      <w:r>
        <w:rPr>
          <w:b/>
          <w:bCs/>
          <w:sz w:val="32"/>
          <w:szCs w:val="32"/>
          <w:highlight w:val="none"/>
        </w:rPr>
        <w:tab/>
      </w:r>
      <w:r>
        <w:rPr>
          <w:b/>
          <w:bCs/>
          <w:sz w:val="32"/>
          <w:szCs w:val="32"/>
          <w:highlight w:val="none"/>
        </w:rPr>
        <w:fldChar w:fldCharType="begin"/>
      </w:r>
      <w:r>
        <w:rPr>
          <w:b/>
          <w:bCs/>
          <w:sz w:val="32"/>
          <w:szCs w:val="32"/>
          <w:highlight w:val="none"/>
        </w:rPr>
        <w:instrText xml:space="preserve"> PAGEREF _Toc29279 \h </w:instrText>
      </w:r>
      <w:r>
        <w:rPr>
          <w:b/>
          <w:bCs/>
          <w:sz w:val="32"/>
          <w:szCs w:val="32"/>
          <w:highlight w:val="none"/>
        </w:rPr>
        <w:fldChar w:fldCharType="separate"/>
      </w:r>
      <w:r>
        <w:rPr>
          <w:b/>
          <w:bCs/>
          <w:sz w:val="32"/>
          <w:szCs w:val="32"/>
          <w:highlight w:val="none"/>
        </w:rPr>
        <w:t>140</w:t>
      </w:r>
      <w:r>
        <w:rPr>
          <w:b/>
          <w:bCs/>
          <w:sz w:val="32"/>
          <w:szCs w:val="32"/>
          <w:highlight w:val="none"/>
        </w:rPr>
        <w:fldChar w:fldCharType="end"/>
      </w:r>
      <w:r>
        <w:rPr>
          <w:b/>
          <w:bCs/>
          <w:sz w:val="32"/>
          <w:szCs w:val="32"/>
          <w:highlight w:val="none"/>
        </w:rPr>
        <w:fldChar w:fldCharType="end"/>
      </w:r>
    </w:p>
    <w:p>
      <w:pPr>
        <w:pStyle w:val="102"/>
        <w:tabs>
          <w:tab w:val="right" w:leader="dot" w:pos="8312"/>
        </w:tabs>
        <w:spacing w:line="36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_Toc6919 </w:instrText>
      </w:r>
      <w:r>
        <w:rPr>
          <w:b/>
          <w:bCs/>
          <w:sz w:val="32"/>
          <w:szCs w:val="32"/>
          <w:highlight w:val="none"/>
        </w:rPr>
        <w:fldChar w:fldCharType="separate"/>
      </w:r>
      <w:r>
        <w:rPr>
          <w:rFonts w:hint="default" w:ascii="Times New Roman" w:hAnsi="Times New Roman" w:cs="Times New Roman"/>
          <w:b/>
          <w:bCs/>
          <w:sz w:val="32"/>
          <w:szCs w:val="32"/>
          <w:highlight w:val="none"/>
        </w:rPr>
        <w:t>第五章 政府采购合同主要条款</w:t>
      </w:r>
      <w:r>
        <w:rPr>
          <w:b/>
          <w:bCs/>
          <w:sz w:val="32"/>
          <w:szCs w:val="32"/>
          <w:highlight w:val="none"/>
        </w:rPr>
        <w:tab/>
      </w:r>
      <w:r>
        <w:rPr>
          <w:b/>
          <w:bCs/>
          <w:sz w:val="32"/>
          <w:szCs w:val="32"/>
          <w:highlight w:val="none"/>
        </w:rPr>
        <w:fldChar w:fldCharType="begin"/>
      </w:r>
      <w:r>
        <w:rPr>
          <w:b/>
          <w:bCs/>
          <w:sz w:val="32"/>
          <w:szCs w:val="32"/>
          <w:highlight w:val="none"/>
        </w:rPr>
        <w:instrText xml:space="preserve"> PAGEREF _Toc6919 \h </w:instrText>
      </w:r>
      <w:r>
        <w:rPr>
          <w:b/>
          <w:bCs/>
          <w:sz w:val="32"/>
          <w:szCs w:val="32"/>
          <w:highlight w:val="none"/>
        </w:rPr>
        <w:fldChar w:fldCharType="separate"/>
      </w:r>
      <w:r>
        <w:rPr>
          <w:b/>
          <w:bCs/>
          <w:sz w:val="32"/>
          <w:szCs w:val="32"/>
          <w:highlight w:val="none"/>
        </w:rPr>
        <w:t>144</w:t>
      </w:r>
      <w:r>
        <w:rPr>
          <w:b/>
          <w:bCs/>
          <w:sz w:val="32"/>
          <w:szCs w:val="32"/>
          <w:highlight w:val="none"/>
        </w:rPr>
        <w:fldChar w:fldCharType="end"/>
      </w:r>
      <w:r>
        <w:rPr>
          <w:b/>
          <w:bCs/>
          <w:sz w:val="32"/>
          <w:szCs w:val="32"/>
          <w:highlight w:val="none"/>
        </w:rPr>
        <w:fldChar w:fldCharType="end"/>
      </w:r>
    </w:p>
    <w:p>
      <w:pPr>
        <w:pStyle w:val="102"/>
        <w:tabs>
          <w:tab w:val="right" w:leader="dot" w:pos="8312"/>
        </w:tabs>
        <w:spacing w:line="360" w:lineRule="auto"/>
        <w:rPr>
          <w:b/>
          <w:bCs/>
          <w:sz w:val="32"/>
          <w:szCs w:val="32"/>
          <w:highlight w:val="none"/>
        </w:rPr>
      </w:pPr>
      <w:r>
        <w:rPr>
          <w:b/>
          <w:bCs/>
          <w:sz w:val="32"/>
          <w:szCs w:val="32"/>
          <w:highlight w:val="none"/>
        </w:rPr>
        <w:fldChar w:fldCharType="begin"/>
      </w:r>
      <w:r>
        <w:rPr>
          <w:b/>
          <w:bCs/>
          <w:sz w:val="32"/>
          <w:szCs w:val="32"/>
          <w:highlight w:val="none"/>
        </w:rPr>
        <w:instrText xml:space="preserve"> HYPERLINK \l _Toc16549 </w:instrText>
      </w:r>
      <w:r>
        <w:rPr>
          <w:b/>
          <w:bCs/>
          <w:sz w:val="32"/>
          <w:szCs w:val="32"/>
          <w:highlight w:val="none"/>
        </w:rPr>
        <w:fldChar w:fldCharType="separate"/>
      </w:r>
      <w:r>
        <w:rPr>
          <w:rFonts w:hint="default" w:ascii="Times New Roman" w:hAnsi="Times New Roman" w:cs="Times New Roman"/>
          <w:b/>
          <w:bCs/>
          <w:sz w:val="32"/>
          <w:szCs w:val="32"/>
          <w:highlight w:val="none"/>
        </w:rPr>
        <w:t>第六章 投标文件格式</w:t>
      </w:r>
      <w:r>
        <w:rPr>
          <w:b/>
          <w:bCs/>
          <w:sz w:val="32"/>
          <w:szCs w:val="32"/>
          <w:highlight w:val="none"/>
        </w:rPr>
        <w:tab/>
      </w:r>
      <w:r>
        <w:rPr>
          <w:b/>
          <w:bCs/>
          <w:sz w:val="32"/>
          <w:szCs w:val="32"/>
          <w:highlight w:val="none"/>
        </w:rPr>
        <w:fldChar w:fldCharType="begin"/>
      </w:r>
      <w:r>
        <w:rPr>
          <w:b/>
          <w:bCs/>
          <w:sz w:val="32"/>
          <w:szCs w:val="32"/>
          <w:highlight w:val="none"/>
        </w:rPr>
        <w:instrText xml:space="preserve"> PAGEREF _Toc16549 \h </w:instrText>
      </w:r>
      <w:r>
        <w:rPr>
          <w:b/>
          <w:bCs/>
          <w:sz w:val="32"/>
          <w:szCs w:val="32"/>
          <w:highlight w:val="none"/>
        </w:rPr>
        <w:fldChar w:fldCharType="separate"/>
      </w:r>
      <w:r>
        <w:rPr>
          <w:b/>
          <w:bCs/>
          <w:sz w:val="32"/>
          <w:szCs w:val="32"/>
          <w:highlight w:val="none"/>
        </w:rPr>
        <w:t>150</w:t>
      </w:r>
      <w:r>
        <w:rPr>
          <w:b/>
          <w:bCs/>
          <w:sz w:val="32"/>
          <w:szCs w:val="32"/>
          <w:highlight w:val="none"/>
        </w:rPr>
        <w:fldChar w:fldCharType="end"/>
      </w:r>
      <w:r>
        <w:rPr>
          <w:b/>
          <w:bCs/>
          <w:sz w:val="32"/>
          <w:szCs w:val="32"/>
          <w:highlight w:val="none"/>
        </w:rPr>
        <w:fldChar w:fldCharType="end"/>
      </w:r>
    </w:p>
    <w:p>
      <w:pPr>
        <w:spacing w:line="360" w:lineRule="auto"/>
        <w:rPr>
          <w:highlight w:val="none"/>
        </w:rPr>
      </w:pPr>
      <w:r>
        <w:rPr>
          <w:b/>
          <w:bCs/>
          <w:sz w:val="32"/>
          <w:szCs w:val="32"/>
          <w:highlight w:val="none"/>
        </w:rPr>
        <w:fldChar w:fldCharType="end"/>
      </w:r>
    </w:p>
    <w:p>
      <w:pPr>
        <w:spacing w:line="360" w:lineRule="auto"/>
        <w:rPr>
          <w:highlight w:val="none"/>
        </w:rPr>
      </w:pPr>
    </w:p>
    <w:p>
      <w:pPr>
        <w:spacing w:line="360" w:lineRule="auto"/>
        <w:rPr>
          <w:highlight w:val="none"/>
        </w:rPr>
      </w:pPr>
    </w:p>
    <w:p>
      <w:pPr>
        <w:pStyle w:val="24"/>
        <w:snapToGrid w:val="0"/>
        <w:spacing w:before="120" w:beforeLines="0" w:after="120" w:afterLines="0" w:line="360" w:lineRule="auto"/>
        <w:jc w:val="center"/>
        <w:rPr>
          <w:rFonts w:hint="default" w:ascii="Times New Roman" w:hAnsi="Times New Roman" w:cs="Times New Roman"/>
          <w:b/>
          <w:sz w:val="30"/>
          <w:szCs w:val="30"/>
          <w:highlight w:val="none"/>
        </w:rPr>
      </w:pPr>
    </w:p>
    <w:p>
      <w:pPr>
        <w:pStyle w:val="24"/>
        <w:snapToGrid w:val="0"/>
        <w:spacing w:before="120" w:beforeLines="0" w:after="120" w:afterLines="0" w:line="360" w:lineRule="auto"/>
        <w:jc w:val="center"/>
        <w:rPr>
          <w:rFonts w:hint="default" w:ascii="Times New Roman" w:hAnsi="Times New Roman" w:cs="Times New Roman"/>
          <w:b/>
          <w:sz w:val="30"/>
          <w:szCs w:val="30"/>
          <w:highlight w:val="none"/>
        </w:rPr>
      </w:pPr>
    </w:p>
    <w:p>
      <w:pPr>
        <w:pStyle w:val="24"/>
        <w:snapToGrid w:val="0"/>
        <w:spacing w:before="120" w:beforeLines="0" w:after="120" w:afterLines="0" w:line="360" w:lineRule="auto"/>
        <w:jc w:val="center"/>
        <w:rPr>
          <w:rFonts w:hint="default" w:ascii="Times New Roman" w:hAnsi="Times New Roman" w:cs="Times New Roman"/>
          <w:b/>
          <w:sz w:val="30"/>
          <w:szCs w:val="30"/>
          <w:highlight w:val="none"/>
        </w:rPr>
      </w:pPr>
    </w:p>
    <w:p>
      <w:pPr>
        <w:pStyle w:val="24"/>
        <w:snapToGrid w:val="0"/>
        <w:spacing w:before="120" w:beforeLines="0" w:after="120" w:afterLines="0" w:line="360" w:lineRule="auto"/>
        <w:jc w:val="center"/>
        <w:rPr>
          <w:rFonts w:hint="default" w:ascii="Times New Roman" w:hAnsi="Times New Roman" w:cs="Times New Roman"/>
          <w:b/>
          <w:sz w:val="30"/>
          <w:szCs w:val="30"/>
          <w:highlight w:val="none"/>
        </w:rPr>
      </w:pPr>
    </w:p>
    <w:p>
      <w:pPr>
        <w:pStyle w:val="24"/>
        <w:snapToGrid w:val="0"/>
        <w:spacing w:before="120" w:beforeLines="0" w:after="120" w:afterLines="0" w:line="360" w:lineRule="auto"/>
        <w:jc w:val="center"/>
        <w:rPr>
          <w:rFonts w:hint="default" w:ascii="Times New Roman" w:hAnsi="Times New Roman" w:cs="Times New Roman"/>
          <w:b/>
          <w:sz w:val="30"/>
          <w:szCs w:val="30"/>
          <w:highlight w:val="none"/>
        </w:rPr>
      </w:pPr>
    </w:p>
    <w:p>
      <w:pPr>
        <w:pStyle w:val="24"/>
        <w:snapToGrid w:val="0"/>
        <w:spacing w:before="120" w:beforeLines="0" w:after="120" w:afterLines="0" w:line="360" w:lineRule="auto"/>
        <w:jc w:val="center"/>
        <w:rPr>
          <w:rFonts w:hint="default" w:ascii="Times New Roman" w:hAnsi="Times New Roman" w:cs="Times New Roman"/>
          <w:b/>
          <w:highlight w:val="none"/>
        </w:rPr>
        <w:sectPr>
          <w:footerReference r:id="rId3" w:type="default"/>
          <w:pgSz w:w="11906" w:h="16838"/>
          <w:pgMar w:top="1474" w:right="1797" w:bottom="1247" w:left="1797" w:header="851" w:footer="850" w:gutter="0"/>
          <w:pgBorders>
            <w:top w:val="none" w:sz="0" w:space="0"/>
            <w:left w:val="none" w:sz="0" w:space="0"/>
            <w:bottom w:val="none" w:sz="0" w:space="0"/>
            <w:right w:val="none" w:sz="0" w:space="0"/>
          </w:pgBorders>
          <w:pgNumType w:start="1"/>
          <w:cols w:space="720" w:num="1"/>
          <w:docGrid w:linePitch="312" w:charSpace="0"/>
        </w:sectPr>
      </w:pPr>
    </w:p>
    <w:p>
      <w:pPr>
        <w:pStyle w:val="24"/>
        <w:snapToGrid w:val="0"/>
        <w:spacing w:before="120" w:beforeLines="0" w:after="120" w:afterLines="0" w:line="360" w:lineRule="auto"/>
        <w:jc w:val="center"/>
        <w:outlineLvl w:val="0"/>
        <w:rPr>
          <w:rFonts w:hint="default" w:ascii="Times New Roman" w:hAnsi="Times New Roman" w:cs="Times New Roman"/>
          <w:b/>
          <w:highlight w:val="none"/>
        </w:rPr>
      </w:pPr>
      <w:bookmarkStart w:id="5" w:name="_Toc14842"/>
      <w:bookmarkStart w:id="6" w:name="_Toc16216"/>
      <w:bookmarkStart w:id="7" w:name="_Toc22423"/>
      <w:bookmarkStart w:id="8" w:name="_Toc32283"/>
      <w:bookmarkStart w:id="9" w:name="_Toc10866_WPSOffice_Level1"/>
      <w:bookmarkStart w:id="10" w:name="_Toc27960"/>
      <w:bookmarkStart w:id="11" w:name="_Toc29944"/>
      <w:bookmarkStart w:id="12" w:name="_Toc23025"/>
      <w:bookmarkStart w:id="13" w:name="_Toc29716"/>
      <w:r>
        <w:rPr>
          <w:rFonts w:hint="default" w:ascii="Times New Roman" w:hAnsi="Times New Roman" w:cs="Times New Roman"/>
          <w:b/>
          <w:highlight w:val="none"/>
        </w:rPr>
        <w:t>第一章 公开招标采购公告</w:t>
      </w:r>
      <w:bookmarkEnd w:id="5"/>
      <w:bookmarkEnd w:id="6"/>
      <w:bookmarkEnd w:id="7"/>
      <w:bookmarkEnd w:id="8"/>
      <w:bookmarkEnd w:id="9"/>
      <w:bookmarkEnd w:id="10"/>
      <w:bookmarkEnd w:id="11"/>
      <w:bookmarkEnd w:id="12"/>
      <w:bookmarkEnd w:id="13"/>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8528" w:type="dxa"/>
            <w:noWrap w:val="0"/>
            <w:vAlign w:val="top"/>
          </w:tcPr>
          <w:p>
            <w:pPr>
              <w:widowControl/>
              <w:spacing w:line="360" w:lineRule="auto"/>
              <w:jc w:val="left"/>
              <w:textAlignment w:val="baseline"/>
              <w:rPr>
                <w:rFonts w:hint="default" w:ascii="Times New Roman" w:hAnsi="Times New Roman" w:cs="Times New Roman"/>
                <w:b/>
                <w:bCs/>
                <w:szCs w:val="21"/>
                <w:highlight w:val="none"/>
              </w:rPr>
            </w:pPr>
            <w:bookmarkStart w:id="14" w:name="_Toc7417_WPSOffice_Level1"/>
            <w:r>
              <w:rPr>
                <w:rFonts w:hint="default" w:ascii="Times New Roman" w:hAnsi="Times New Roman" w:cs="Times New Roman"/>
                <w:b/>
                <w:bCs/>
                <w:szCs w:val="21"/>
                <w:highlight w:val="none"/>
              </w:rPr>
              <w:t>项目概况</w:t>
            </w:r>
          </w:p>
          <w:p>
            <w:pPr>
              <w:snapToGrid w:val="0"/>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u w:val="single"/>
                <w:shd w:val="clear" w:color="auto" w:fill="FFFFFF"/>
                <w:lang w:eastAsia="zh-CN"/>
              </w:rPr>
              <w:t>宁波高新梅沁未来社区项目（旧改类）数字化（含智能化）系统设备采购项目</w:t>
            </w:r>
            <w:r>
              <w:rPr>
                <w:rFonts w:hint="default" w:ascii="Times New Roman" w:hAnsi="Times New Roman" w:cs="Times New Roman"/>
                <w:szCs w:val="21"/>
                <w:highlight w:val="none"/>
                <w:shd w:val="clear" w:color="auto" w:fill="FFFFFF"/>
              </w:rPr>
              <w:t>招标项目的潜在投标人应在</w:t>
            </w:r>
            <w:r>
              <w:rPr>
                <w:rFonts w:hint="default" w:ascii="Times New Roman" w:hAnsi="Times New Roman" w:cs="Times New Roman"/>
                <w:color w:val="383838"/>
                <w:szCs w:val="21"/>
                <w:highlight w:val="none"/>
                <w:u w:val="single"/>
                <w:shd w:val="clear" w:color="auto" w:fill="FFFFFF"/>
              </w:rPr>
              <w:t>政采云平台（</w:t>
            </w:r>
            <w:r>
              <w:rPr>
                <w:rFonts w:hint="default" w:ascii="Times New Roman" w:hAnsi="Times New Roman" w:cs="Times New Roman"/>
                <w:szCs w:val="21"/>
                <w:highlight w:val="none"/>
                <w:u w:val="single"/>
              </w:rPr>
              <w:t>www.zcygov.cn</w:t>
            </w:r>
            <w:r>
              <w:rPr>
                <w:rFonts w:hint="default" w:ascii="Times New Roman" w:hAnsi="Times New Roman" w:cs="Times New Roman"/>
                <w:color w:val="383838"/>
                <w:szCs w:val="21"/>
                <w:highlight w:val="none"/>
                <w:u w:val="single"/>
                <w:shd w:val="clear" w:color="auto" w:fill="FFFFFF"/>
              </w:rPr>
              <w:t>）</w:t>
            </w:r>
            <w:r>
              <w:rPr>
                <w:rFonts w:hint="default" w:ascii="Times New Roman" w:hAnsi="Times New Roman" w:cs="Times New Roman"/>
                <w:szCs w:val="21"/>
                <w:highlight w:val="none"/>
                <w:shd w:val="clear" w:color="auto" w:fill="FFFFFF"/>
              </w:rPr>
              <w:t>获取（下载）招标文件，并于</w:t>
            </w:r>
            <w:r>
              <w:rPr>
                <w:rFonts w:hint="default" w:ascii="Times New Roman" w:hAnsi="Times New Roman" w:cs="Times New Roman"/>
                <w:szCs w:val="21"/>
                <w:highlight w:val="none"/>
                <w:u w:val="single"/>
                <w:shd w:val="clear" w:color="auto" w:fill="FFFFFF"/>
              </w:rPr>
              <w:t>202</w:t>
            </w:r>
            <w:r>
              <w:rPr>
                <w:rFonts w:hint="default" w:ascii="Times New Roman" w:hAnsi="Times New Roman" w:cs="Times New Roman"/>
                <w:szCs w:val="21"/>
                <w:highlight w:val="none"/>
                <w:u w:val="single"/>
                <w:shd w:val="clear" w:color="auto" w:fill="FFFFFF"/>
                <w:lang w:val="en-US" w:eastAsia="zh-CN"/>
              </w:rPr>
              <w:t>3</w:t>
            </w:r>
            <w:r>
              <w:rPr>
                <w:rFonts w:hint="default" w:ascii="Times New Roman" w:hAnsi="Times New Roman" w:cs="Times New Roman"/>
                <w:szCs w:val="21"/>
                <w:highlight w:val="none"/>
                <w:u w:val="single"/>
                <w:shd w:val="clear" w:color="auto" w:fill="FFFFFF"/>
              </w:rPr>
              <w:t>年</w:t>
            </w:r>
            <w:r>
              <w:rPr>
                <w:rFonts w:hint="eastAsia" w:ascii="Times New Roman" w:hAnsi="Times New Roman" w:cs="Times New Roman"/>
                <w:szCs w:val="21"/>
                <w:highlight w:val="none"/>
                <w:u w:val="single"/>
                <w:shd w:val="clear" w:color="auto" w:fill="FFFFFF"/>
                <w:lang w:val="en-US" w:eastAsia="zh-CN"/>
              </w:rPr>
              <w:t>2</w:t>
            </w:r>
            <w:r>
              <w:rPr>
                <w:rFonts w:hint="default" w:ascii="Times New Roman" w:hAnsi="Times New Roman" w:cs="Times New Roman"/>
                <w:szCs w:val="21"/>
                <w:highlight w:val="none"/>
                <w:u w:val="single"/>
                <w:shd w:val="clear" w:color="auto" w:fill="FFFFFF"/>
              </w:rPr>
              <w:t>月</w:t>
            </w:r>
            <w:r>
              <w:rPr>
                <w:rFonts w:hint="eastAsia" w:ascii="Times New Roman" w:hAnsi="Times New Roman" w:cs="Times New Roman"/>
                <w:szCs w:val="21"/>
                <w:highlight w:val="none"/>
                <w:u w:val="single"/>
                <w:shd w:val="clear" w:color="auto" w:fill="FFFFFF"/>
                <w:lang w:val="en-US" w:eastAsia="zh-CN"/>
              </w:rPr>
              <w:t>28</w:t>
            </w:r>
            <w:r>
              <w:rPr>
                <w:rFonts w:hint="default" w:ascii="Times New Roman" w:hAnsi="Times New Roman" w:cs="Times New Roman"/>
                <w:szCs w:val="21"/>
                <w:highlight w:val="none"/>
                <w:u w:val="single"/>
                <w:shd w:val="clear" w:color="auto" w:fill="FFFFFF"/>
              </w:rPr>
              <w:t>日14：00</w:t>
            </w:r>
            <w:r>
              <w:rPr>
                <w:rFonts w:hint="default" w:ascii="Times New Roman" w:hAnsi="Times New Roman" w:cs="Times New Roman"/>
                <w:szCs w:val="21"/>
                <w:highlight w:val="none"/>
                <w:shd w:val="clear" w:color="auto" w:fill="FFFFFF"/>
              </w:rPr>
              <w:t>（北京时间，下同）前递交（上传）投标文件</w:t>
            </w:r>
            <w:r>
              <w:rPr>
                <w:rFonts w:hint="default" w:ascii="Times New Roman" w:hAnsi="Times New Roman" w:cs="Times New Roman"/>
                <w:szCs w:val="21"/>
                <w:highlight w:val="none"/>
              </w:rPr>
              <w:t>。</w:t>
            </w:r>
          </w:p>
        </w:tc>
      </w:tr>
    </w:tbl>
    <w:p>
      <w:pPr>
        <w:spacing w:line="360" w:lineRule="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一、项目基本情况</w:t>
      </w:r>
    </w:p>
    <w:p>
      <w:pPr>
        <w:spacing w:line="360" w:lineRule="auto"/>
        <w:ind w:firstLine="420" w:firstLineChars="200"/>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项目编号：</w:t>
      </w:r>
      <w:r>
        <w:rPr>
          <w:rFonts w:hint="eastAsia" w:ascii="Times New Roman" w:hAnsi="Times New Roman" w:cs="Times New Roman"/>
          <w:szCs w:val="21"/>
          <w:highlight w:val="none"/>
          <w:lang w:eastAsia="zh-CN"/>
        </w:rPr>
        <w:t>科信建代字[2023]100030号</w:t>
      </w:r>
    </w:p>
    <w:p>
      <w:pPr>
        <w:spacing w:line="360" w:lineRule="auto"/>
        <w:ind w:firstLine="420" w:firstLineChars="200"/>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项目名称：</w:t>
      </w:r>
      <w:r>
        <w:rPr>
          <w:rFonts w:hint="default" w:ascii="Times New Roman" w:hAnsi="Times New Roman" w:cs="Times New Roman"/>
          <w:szCs w:val="21"/>
          <w:highlight w:val="none"/>
          <w:lang w:eastAsia="zh-CN"/>
        </w:rPr>
        <w:t>宁波高新梅沁未来社区项目（旧改类）数字化（含智能化）系统设备采购项目</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预算金额（元）：</w:t>
      </w:r>
      <w:r>
        <w:rPr>
          <w:rFonts w:hint="default" w:ascii="Times New Roman" w:hAnsi="Times New Roman" w:cs="Times New Roman"/>
          <w:szCs w:val="21"/>
          <w:highlight w:val="none"/>
          <w:lang w:val="en-US" w:eastAsia="zh-CN"/>
        </w:rPr>
        <w:t>3845312.00</w:t>
      </w:r>
    </w:p>
    <w:p>
      <w:pPr>
        <w:spacing w:line="360" w:lineRule="auto"/>
        <w:ind w:firstLine="420" w:firstLineChars="200"/>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最高限价（元）：</w:t>
      </w:r>
      <w:r>
        <w:rPr>
          <w:rFonts w:hint="default" w:ascii="Times New Roman" w:hAnsi="Times New Roman" w:cs="Times New Roman"/>
          <w:szCs w:val="21"/>
          <w:highlight w:val="none"/>
          <w:lang w:val="en-US" w:eastAsia="zh-CN"/>
        </w:rPr>
        <w:t>3845312.00</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采购需求：</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标项一：</w:t>
      </w:r>
    </w:p>
    <w:p>
      <w:pPr>
        <w:spacing w:line="360" w:lineRule="auto"/>
        <w:ind w:firstLine="420" w:firstLineChars="200"/>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标项名称：</w:t>
      </w:r>
      <w:r>
        <w:rPr>
          <w:rFonts w:hint="default" w:ascii="Times New Roman" w:hAnsi="Times New Roman" w:cs="Times New Roman"/>
          <w:szCs w:val="21"/>
          <w:highlight w:val="none"/>
          <w:lang w:eastAsia="zh-CN"/>
        </w:rPr>
        <w:t>宁波高新梅沁未来社区项目（旧改类）数字化（含智能化）系统设备采购项目</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数量：1</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预算金额（元）：</w:t>
      </w:r>
      <w:r>
        <w:rPr>
          <w:rFonts w:hint="default" w:ascii="Times New Roman" w:hAnsi="Times New Roman" w:cs="Times New Roman"/>
          <w:szCs w:val="21"/>
          <w:highlight w:val="none"/>
          <w:lang w:val="en-US" w:eastAsia="zh-CN"/>
        </w:rPr>
        <w:t>3845312.00</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简要规格描述或项目基本概况介绍、用途：</w:t>
      </w:r>
      <w:r>
        <w:rPr>
          <w:rFonts w:hint="default" w:ascii="Times New Roman" w:hAnsi="Times New Roman" w:cs="Times New Roman"/>
          <w:szCs w:val="21"/>
          <w:highlight w:val="none"/>
          <w:lang w:eastAsia="zh-CN"/>
        </w:rPr>
        <w:t>面向梅沁未来社区数字化建设，接入高新区未来社区统一底座及底座自有应用，建设邻里、教育、健康等九大场景内容，实现多端接入，系统对接，安全系统建设等内容。智能化软件</w:t>
      </w:r>
      <w:r>
        <w:rPr>
          <w:rFonts w:hint="default" w:ascii="Times New Roman" w:hAnsi="Times New Roman" w:cs="Times New Roman"/>
          <w:szCs w:val="21"/>
          <w:highlight w:val="none"/>
          <w:lang w:val="en-US" w:eastAsia="zh-CN"/>
        </w:rPr>
        <w:t>开发涵盖</w:t>
      </w:r>
      <w:r>
        <w:rPr>
          <w:rFonts w:hint="default" w:ascii="Times New Roman" w:hAnsi="Times New Roman" w:cs="Times New Roman"/>
          <w:szCs w:val="21"/>
          <w:highlight w:val="none"/>
          <w:lang w:eastAsia="zh-CN"/>
        </w:rPr>
        <w:t>服务、治理、健康、教育、邻里、建筑场景的</w:t>
      </w:r>
      <w:r>
        <w:rPr>
          <w:rFonts w:hint="default" w:ascii="Times New Roman" w:hAnsi="Times New Roman" w:cs="Times New Roman"/>
          <w:szCs w:val="21"/>
          <w:highlight w:val="none"/>
          <w:lang w:val="en-US" w:eastAsia="zh-CN"/>
        </w:rPr>
        <w:t>板块</w:t>
      </w:r>
      <w:r>
        <w:rPr>
          <w:rFonts w:hint="default" w:ascii="Times New Roman" w:hAnsi="Times New Roman" w:cs="Times New Roman"/>
          <w:szCs w:val="21"/>
          <w:highlight w:val="none"/>
          <w:lang w:eastAsia="zh-CN"/>
        </w:rPr>
        <w:t>打造，并包括了梅沁社区驾驶舱</w:t>
      </w:r>
      <w:r>
        <w:rPr>
          <w:rFonts w:hint="default" w:ascii="Times New Roman" w:hAnsi="Times New Roman" w:cs="Times New Roman"/>
          <w:szCs w:val="21"/>
          <w:highlight w:val="none"/>
          <w:lang w:val="en-US" w:eastAsia="zh-CN"/>
        </w:rPr>
        <w:t>建造</w:t>
      </w:r>
      <w:r>
        <w:rPr>
          <w:rFonts w:hint="default" w:ascii="Times New Roman" w:hAnsi="Times New Roman" w:cs="Times New Roman"/>
          <w:szCs w:val="21"/>
          <w:highlight w:val="none"/>
          <w:lang w:eastAsia="zh-CN"/>
        </w:rPr>
        <w:t>、数字社会十二</w:t>
      </w:r>
      <w:r>
        <w:rPr>
          <w:rFonts w:hint="default" w:ascii="Times New Roman" w:hAnsi="Times New Roman" w:cs="Times New Roman"/>
          <w:szCs w:val="21"/>
          <w:highlight w:val="none"/>
          <w:lang w:val="en-US" w:eastAsia="zh-CN"/>
        </w:rPr>
        <w:t>有系统接口</w:t>
      </w:r>
      <w:r>
        <w:rPr>
          <w:rFonts w:hint="default" w:ascii="Times New Roman" w:hAnsi="Times New Roman" w:cs="Times New Roman"/>
          <w:szCs w:val="21"/>
          <w:highlight w:val="none"/>
          <w:lang w:eastAsia="zh-CN"/>
        </w:rPr>
        <w:t>对接、浙里办</w:t>
      </w:r>
      <w:r>
        <w:rPr>
          <w:rFonts w:hint="default" w:ascii="Times New Roman" w:hAnsi="Times New Roman" w:cs="Times New Roman"/>
          <w:szCs w:val="21"/>
          <w:highlight w:val="none"/>
          <w:lang w:val="en-US" w:eastAsia="zh-CN"/>
        </w:rPr>
        <w:t>系统接口</w:t>
      </w:r>
      <w:r>
        <w:rPr>
          <w:rFonts w:hint="default" w:ascii="Times New Roman" w:hAnsi="Times New Roman" w:cs="Times New Roman"/>
          <w:szCs w:val="21"/>
          <w:highlight w:val="none"/>
          <w:lang w:eastAsia="zh-CN"/>
        </w:rPr>
        <w:t>对接、系统二级等保测评等内容。智能化硬件</w:t>
      </w:r>
      <w:r>
        <w:rPr>
          <w:rFonts w:hint="default" w:ascii="Times New Roman" w:hAnsi="Times New Roman" w:cs="Times New Roman"/>
          <w:szCs w:val="21"/>
          <w:highlight w:val="none"/>
          <w:lang w:val="en-US" w:eastAsia="zh-CN"/>
        </w:rPr>
        <w:t>采购</w:t>
      </w:r>
      <w:r>
        <w:rPr>
          <w:rFonts w:hint="default" w:ascii="Times New Roman" w:hAnsi="Times New Roman" w:cs="Times New Roman"/>
          <w:szCs w:val="21"/>
          <w:highlight w:val="none"/>
          <w:lang w:eastAsia="zh-CN"/>
        </w:rPr>
        <w:t>包括了社区党群服务中心智能化设备，网络设备，数字化办公设备，物业用房智能化，监控设备以及</w:t>
      </w:r>
      <w:r>
        <w:rPr>
          <w:rFonts w:hint="default" w:ascii="Times New Roman" w:hAnsi="Times New Roman" w:cs="Times New Roman"/>
          <w:szCs w:val="21"/>
          <w:highlight w:val="none"/>
          <w:lang w:val="en-US" w:eastAsia="zh-CN"/>
        </w:rPr>
        <w:t>数字化建议</w:t>
      </w:r>
      <w:r>
        <w:rPr>
          <w:rFonts w:hint="default" w:ascii="Times New Roman" w:hAnsi="Times New Roman" w:cs="Times New Roman"/>
          <w:szCs w:val="21"/>
          <w:highlight w:val="none"/>
          <w:lang w:eastAsia="zh-CN"/>
        </w:rPr>
        <w:t>七大场景涉及的硬件设备</w:t>
      </w:r>
      <w:r>
        <w:rPr>
          <w:rFonts w:hint="eastAsia" w:ascii="Times New Roman" w:hAnsi="Times New Roman" w:cs="Times New Roman"/>
          <w:bCs/>
          <w:szCs w:val="21"/>
          <w:highlight w:val="none"/>
          <w:lang w:eastAsia="zh-CN"/>
        </w:rPr>
        <w:t>。</w:t>
      </w:r>
      <w:r>
        <w:rPr>
          <w:rFonts w:hint="default" w:ascii="Times New Roman" w:hAnsi="Times New Roman" w:cs="Times New Roman"/>
          <w:bCs/>
          <w:szCs w:val="21"/>
          <w:highlight w:val="none"/>
        </w:rPr>
        <w:t>具体详见采购文件</w:t>
      </w:r>
      <w:r>
        <w:rPr>
          <w:rFonts w:hint="default" w:ascii="Times New Roman" w:hAnsi="Times New Roman" w:cs="Times New Roman"/>
          <w:szCs w:val="21"/>
          <w:highlight w:val="none"/>
        </w:rPr>
        <w:t xml:space="preserve">。 </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备注：/ </w:t>
      </w:r>
    </w:p>
    <w:p>
      <w:pPr>
        <w:spacing w:line="360" w:lineRule="auto"/>
        <w:ind w:firstLine="420" w:firstLineChars="200"/>
        <w:rPr>
          <w:rFonts w:hint="default" w:ascii="Times New Roman" w:hAnsi="Times New Roman" w:eastAsia="宋体" w:cs="Times New Roman"/>
          <w:i/>
          <w:iCs/>
          <w:szCs w:val="21"/>
          <w:highlight w:val="none"/>
          <w:lang w:eastAsia="zh-CN"/>
        </w:rPr>
      </w:pPr>
      <w:r>
        <w:rPr>
          <w:rFonts w:hint="default" w:ascii="Times New Roman" w:hAnsi="Times New Roman" w:cs="Times New Roman"/>
          <w:szCs w:val="21"/>
          <w:highlight w:val="none"/>
        </w:rPr>
        <w:t>合同履行期限</w:t>
      </w:r>
      <w:r>
        <w:rPr>
          <w:rFonts w:hint="default" w:ascii="Times New Roman" w:hAnsi="Times New Roman" w:cs="Times New Roman"/>
          <w:szCs w:val="21"/>
          <w:highlight w:val="none"/>
          <w:lang w:eastAsia="zh-CN"/>
        </w:rPr>
        <w:t>：</w:t>
      </w:r>
      <w:r>
        <w:rPr>
          <w:rFonts w:hint="eastAsia" w:ascii="Times New Roman" w:hAnsi="Times New Roman" w:cs="Times New Roman"/>
          <w:szCs w:val="21"/>
          <w:highlight w:val="none"/>
          <w:lang w:eastAsia="zh-CN"/>
        </w:rPr>
        <w:t>自合同签订之日3个月</w:t>
      </w:r>
      <w:r>
        <w:rPr>
          <w:rFonts w:hint="default" w:ascii="Times New Roman" w:hAnsi="Times New Roman" w:cs="Times New Roman"/>
          <w:szCs w:val="21"/>
          <w:highlight w:val="none"/>
          <w:lang w:eastAsia="zh-CN"/>
        </w:rPr>
        <w:t>内完成本项目的供货、调试、试运行等全部工作。</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本项目（否）接受联合体投标。</w:t>
      </w:r>
    </w:p>
    <w:p>
      <w:pPr>
        <w:spacing w:line="360" w:lineRule="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二、申请人的资格要求：</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1、满足《中华人民共和国政府采购法》第二十二条规定；未被“信用中国”（www.creditchina.gov.cn</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中国政府采购网（www.ccgp.gov.cn）列入失信被执行人、重大税收违法案件当事人名单、政府采购严重违法失信行为记录名单。</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2、落实政府采购政策需满足的资格要求：无。</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3、本项目的特定资格要求：无。</w:t>
      </w:r>
    </w:p>
    <w:p>
      <w:pPr>
        <w:spacing w:line="360" w:lineRule="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三、获取招标文件</w:t>
      </w:r>
    </w:p>
    <w:p>
      <w:pPr>
        <w:spacing w:line="360" w:lineRule="auto"/>
        <w:ind w:firstLine="420" w:firstLineChars="200"/>
        <w:rPr>
          <w:rFonts w:hint="default" w:ascii="Times New Roman" w:hAnsi="Times New Roman" w:cs="Times New Roman"/>
          <w:szCs w:val="21"/>
          <w:highlight w:val="none"/>
          <w:u w:val="none"/>
        </w:rPr>
      </w:pPr>
      <w:r>
        <w:rPr>
          <w:rFonts w:hint="default" w:ascii="Times New Roman" w:hAnsi="Times New Roman" w:cs="Times New Roman"/>
          <w:szCs w:val="21"/>
          <w:highlight w:val="none"/>
          <w:u w:val="none"/>
        </w:rPr>
        <w:t>时间：202</w:t>
      </w:r>
      <w:r>
        <w:rPr>
          <w:rFonts w:hint="default" w:ascii="Times New Roman" w:hAnsi="Times New Roman" w:cs="Times New Roman"/>
          <w:szCs w:val="21"/>
          <w:highlight w:val="none"/>
          <w:u w:val="none"/>
          <w:lang w:val="en-US" w:eastAsia="zh-CN"/>
        </w:rPr>
        <w:t>3</w:t>
      </w:r>
      <w:r>
        <w:rPr>
          <w:rFonts w:hint="default" w:ascii="Times New Roman" w:hAnsi="Times New Roman" w:cs="Times New Roman"/>
          <w:szCs w:val="21"/>
          <w:highlight w:val="none"/>
          <w:u w:val="none"/>
        </w:rPr>
        <w:t>年</w:t>
      </w:r>
      <w:r>
        <w:rPr>
          <w:rFonts w:hint="eastAsia" w:ascii="Times New Roman" w:hAnsi="Times New Roman" w:cs="Times New Roman"/>
          <w:szCs w:val="21"/>
          <w:highlight w:val="none"/>
          <w:u w:val="none"/>
          <w:lang w:val="en-US" w:eastAsia="zh-CN"/>
        </w:rPr>
        <w:t>2</w:t>
      </w:r>
      <w:r>
        <w:rPr>
          <w:rFonts w:hint="default" w:ascii="Times New Roman" w:hAnsi="Times New Roman" w:cs="Times New Roman"/>
          <w:szCs w:val="21"/>
          <w:highlight w:val="none"/>
          <w:u w:val="none"/>
        </w:rPr>
        <w:t>月</w:t>
      </w:r>
      <w:r>
        <w:rPr>
          <w:rFonts w:hint="eastAsia" w:ascii="Times New Roman" w:hAnsi="Times New Roman" w:cs="Times New Roman"/>
          <w:szCs w:val="21"/>
          <w:highlight w:val="none"/>
          <w:u w:val="none"/>
          <w:lang w:val="en-US" w:eastAsia="zh-CN"/>
        </w:rPr>
        <w:t>7</w:t>
      </w:r>
      <w:r>
        <w:rPr>
          <w:rFonts w:hint="default" w:ascii="Times New Roman" w:hAnsi="Times New Roman" w:cs="Times New Roman"/>
          <w:szCs w:val="21"/>
          <w:highlight w:val="none"/>
          <w:u w:val="none"/>
        </w:rPr>
        <w:t>日至202</w:t>
      </w:r>
      <w:r>
        <w:rPr>
          <w:rFonts w:hint="default" w:ascii="Times New Roman" w:hAnsi="Times New Roman" w:cs="Times New Roman"/>
          <w:szCs w:val="21"/>
          <w:highlight w:val="none"/>
          <w:u w:val="none"/>
          <w:lang w:val="en-US" w:eastAsia="zh-CN"/>
        </w:rPr>
        <w:t>3</w:t>
      </w:r>
      <w:r>
        <w:rPr>
          <w:rFonts w:hint="default" w:ascii="Times New Roman" w:hAnsi="Times New Roman" w:cs="Times New Roman"/>
          <w:szCs w:val="21"/>
          <w:highlight w:val="none"/>
          <w:u w:val="none"/>
        </w:rPr>
        <w:t>年</w:t>
      </w:r>
      <w:r>
        <w:rPr>
          <w:rFonts w:hint="eastAsia" w:ascii="Times New Roman" w:hAnsi="Times New Roman" w:cs="Times New Roman"/>
          <w:szCs w:val="21"/>
          <w:highlight w:val="none"/>
          <w:u w:val="none"/>
          <w:lang w:val="en-US" w:eastAsia="zh-CN"/>
        </w:rPr>
        <w:t>2</w:t>
      </w:r>
      <w:r>
        <w:rPr>
          <w:rFonts w:hint="default" w:ascii="Times New Roman" w:hAnsi="Times New Roman" w:cs="Times New Roman"/>
          <w:szCs w:val="21"/>
          <w:highlight w:val="none"/>
          <w:u w:val="none"/>
        </w:rPr>
        <w:t>月</w:t>
      </w:r>
      <w:r>
        <w:rPr>
          <w:rFonts w:hint="eastAsia" w:ascii="Times New Roman" w:hAnsi="Times New Roman" w:cs="Times New Roman"/>
          <w:szCs w:val="21"/>
          <w:highlight w:val="none"/>
          <w:u w:val="none"/>
          <w:lang w:val="en-US" w:eastAsia="zh-CN"/>
        </w:rPr>
        <w:t>14</w:t>
      </w:r>
      <w:r>
        <w:rPr>
          <w:rFonts w:hint="default" w:ascii="Times New Roman" w:hAnsi="Times New Roman" w:cs="Times New Roman"/>
          <w:szCs w:val="21"/>
          <w:highlight w:val="none"/>
          <w:u w:val="none"/>
        </w:rPr>
        <w:t>日，每天上午00:00至12:00</w:t>
      </w:r>
      <w:r>
        <w:rPr>
          <w:rFonts w:hint="default" w:ascii="Times New Roman" w:hAnsi="Times New Roman" w:cs="Times New Roman"/>
          <w:szCs w:val="21"/>
          <w:highlight w:val="none"/>
          <w:u w:val="none"/>
          <w:lang w:eastAsia="zh-CN"/>
        </w:rPr>
        <w:t>，</w:t>
      </w:r>
      <w:r>
        <w:rPr>
          <w:rFonts w:hint="default" w:ascii="Times New Roman" w:hAnsi="Times New Roman" w:cs="Times New Roman"/>
          <w:szCs w:val="21"/>
          <w:highlight w:val="none"/>
          <w:u w:val="none"/>
        </w:rPr>
        <w:t>下午12:00至23:59（北京时间，线上获取法定节假日均可，线下获取文件法定节假日除外）</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地点（网址）：政采云平台（www.zcygov.cn）。</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方式：本项目招标文件实行“政府采购云平台”在线获取，不提供招标文件纸质版。供应商获取招标文件前应先完成“政府采购云平台”的账号注册；潜在供应商登陆政府采购云平台，在线申请获取招标文件（进入“项目采购”应用，在获取招标文件菜单中选择项目，申请获取招标文件；仅需浏览招标文件的供应商可点击“游客，浏览招标文件”直接下载招标文件浏览）； 招标公告附件内的招标文件仅供阅览使用，投标人只有在“政府采购云平台”完成获取招标文件申请并下载了招标文件后才视作依法获取招标文件（法律法规所指的供应商获取招标文件时间以供应商完成获取招标文件申请后下载招标文件的时间为准）。 </w:t>
      </w:r>
    </w:p>
    <w:p>
      <w:pPr>
        <w:spacing w:line="360" w:lineRule="auto"/>
        <w:ind w:firstLine="422" w:firstLineChars="200"/>
        <w:rPr>
          <w:rFonts w:hint="default" w:ascii="Times New Roman" w:hAnsi="Times New Roman" w:cs="Times New Roman"/>
          <w:szCs w:val="21"/>
          <w:highlight w:val="none"/>
        </w:rPr>
      </w:pPr>
      <w:r>
        <w:rPr>
          <w:rFonts w:hint="default" w:ascii="Times New Roman" w:hAnsi="Times New Roman" w:cs="Times New Roman"/>
          <w:b/>
          <w:bCs/>
          <w:szCs w:val="21"/>
          <w:highlight w:val="none"/>
        </w:rPr>
        <w:t>注：请投标人按上述要求获取招标文件，如未在“政采云”系统内完成相关流程，引起的投标无效责任自负。</w:t>
      </w:r>
      <w:r>
        <w:rPr>
          <w:rFonts w:hint="default" w:ascii="Times New Roman" w:hAnsi="Times New Roman" w:cs="Times New Roman"/>
          <w:szCs w:val="21"/>
          <w:highlight w:val="none"/>
        </w:rPr>
        <w:t xml:space="preserve"> </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售价（元）：0</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 xml:space="preserve"> </w:t>
      </w:r>
    </w:p>
    <w:p>
      <w:pPr>
        <w:spacing w:line="360" w:lineRule="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四、提交投标文件截止时间、开标时间和地点</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提交投标文件截止时间：</w:t>
      </w:r>
      <w:r>
        <w:rPr>
          <w:rFonts w:hint="default" w:ascii="Times New Roman" w:hAnsi="Times New Roman" w:cs="Times New Roman"/>
          <w:szCs w:val="21"/>
          <w:highlight w:val="none"/>
          <w:u w:val="single"/>
          <w:shd w:val="clear" w:color="auto" w:fill="FFFFFF"/>
        </w:rPr>
        <w:t>202</w:t>
      </w:r>
      <w:r>
        <w:rPr>
          <w:rFonts w:hint="default" w:ascii="Times New Roman" w:hAnsi="Times New Roman" w:cs="Times New Roman"/>
          <w:szCs w:val="21"/>
          <w:highlight w:val="none"/>
          <w:u w:val="single"/>
          <w:shd w:val="clear" w:color="auto" w:fill="FFFFFF"/>
          <w:lang w:val="en-US" w:eastAsia="zh-CN"/>
        </w:rPr>
        <w:t>3</w:t>
      </w:r>
      <w:r>
        <w:rPr>
          <w:rFonts w:hint="default" w:ascii="Times New Roman" w:hAnsi="Times New Roman" w:cs="Times New Roman"/>
          <w:szCs w:val="21"/>
          <w:highlight w:val="none"/>
          <w:u w:val="single"/>
          <w:shd w:val="clear" w:color="auto" w:fill="FFFFFF"/>
        </w:rPr>
        <w:t>年</w:t>
      </w:r>
      <w:r>
        <w:rPr>
          <w:rFonts w:hint="eastAsia" w:ascii="Times New Roman" w:hAnsi="Times New Roman" w:cs="Times New Roman"/>
          <w:szCs w:val="21"/>
          <w:highlight w:val="none"/>
          <w:u w:val="single"/>
          <w:shd w:val="clear" w:color="auto" w:fill="FFFFFF"/>
          <w:lang w:val="en-US" w:eastAsia="zh-CN"/>
        </w:rPr>
        <w:t>2</w:t>
      </w:r>
      <w:r>
        <w:rPr>
          <w:rFonts w:hint="default" w:ascii="Times New Roman" w:hAnsi="Times New Roman" w:cs="Times New Roman"/>
          <w:szCs w:val="21"/>
          <w:highlight w:val="none"/>
          <w:u w:val="single"/>
          <w:shd w:val="clear" w:color="auto" w:fill="FFFFFF"/>
        </w:rPr>
        <w:t>月</w:t>
      </w:r>
      <w:r>
        <w:rPr>
          <w:rFonts w:hint="eastAsia" w:ascii="Times New Roman" w:hAnsi="Times New Roman" w:cs="Times New Roman"/>
          <w:szCs w:val="21"/>
          <w:highlight w:val="none"/>
          <w:u w:val="single"/>
          <w:shd w:val="clear" w:color="auto" w:fill="FFFFFF"/>
          <w:lang w:val="en-US" w:eastAsia="zh-CN"/>
        </w:rPr>
        <w:t>28</w:t>
      </w:r>
      <w:r>
        <w:rPr>
          <w:rFonts w:hint="default" w:ascii="Times New Roman" w:hAnsi="Times New Roman" w:cs="Times New Roman"/>
          <w:szCs w:val="21"/>
          <w:highlight w:val="none"/>
          <w:u w:val="single"/>
          <w:shd w:val="clear" w:color="auto" w:fill="FFFFFF"/>
        </w:rPr>
        <w:t>日14：00</w:t>
      </w:r>
      <w:r>
        <w:rPr>
          <w:rFonts w:hint="default" w:ascii="Times New Roman" w:hAnsi="Times New Roman" w:cs="Times New Roman"/>
          <w:szCs w:val="21"/>
          <w:highlight w:val="none"/>
          <w:shd w:val="clear" w:color="auto" w:fill="FFFFFF"/>
        </w:rPr>
        <w:t>（北京时间）</w:t>
      </w:r>
    </w:p>
    <w:p>
      <w:pPr>
        <w:spacing w:line="360" w:lineRule="auto"/>
        <w:ind w:firstLine="420" w:firstLineChars="200"/>
        <w:outlineLvl w:val="9"/>
        <w:rPr>
          <w:rFonts w:hint="default" w:ascii="Times New Roman" w:hAnsi="Times New Roman" w:eastAsia="宋体" w:cs="Times New Roman"/>
          <w:color w:val="auto"/>
          <w:szCs w:val="21"/>
          <w:highlight w:val="none"/>
        </w:rPr>
      </w:pPr>
      <w:r>
        <w:rPr>
          <w:rFonts w:hint="default" w:ascii="Times New Roman" w:hAnsi="Times New Roman" w:cs="Times New Roman"/>
          <w:szCs w:val="21"/>
          <w:highlight w:val="none"/>
        </w:rPr>
        <w:t>投标地点：</w:t>
      </w:r>
      <w:r>
        <w:rPr>
          <w:rFonts w:hint="default" w:ascii="Times New Roman" w:hAnsi="Times New Roman" w:cs="Times New Roman"/>
          <w:b/>
          <w:bCs/>
          <w:szCs w:val="21"/>
          <w:highlight w:val="none"/>
        </w:rPr>
        <w:t>（1）“电子加密投标文件”：www.zcygov.cn在线提交；（2）“电子备份投标文件”：宁波市高新区广贤路997号（宁波国家高新区行政服务大厅南三楼，开标室</w:t>
      </w:r>
      <w:r>
        <w:rPr>
          <w:rFonts w:hint="eastAsia" w:ascii="Times New Roman" w:hAnsi="Times New Roman" w:cs="Times New Roman"/>
          <w:b/>
          <w:bCs/>
          <w:szCs w:val="21"/>
          <w:highlight w:val="none"/>
          <w:lang w:val="en-US" w:eastAsia="zh-CN"/>
        </w:rPr>
        <w:t>一</w:t>
      </w:r>
      <w:r>
        <w:rPr>
          <w:rFonts w:hint="default" w:ascii="Times New Roman" w:hAnsi="Times New Roman" w:cs="Times New Roman"/>
          <w:b/>
          <w:bCs/>
          <w:szCs w:val="21"/>
          <w:highlight w:val="none"/>
          <w:lang w:eastAsia="zh-CN"/>
        </w:rPr>
        <w:t>）</w:t>
      </w:r>
      <w:r>
        <w:rPr>
          <w:rFonts w:hint="default" w:ascii="Times New Roman" w:hAnsi="Times New Roman" w:cs="Times New Roman"/>
          <w:b/>
          <w:bCs/>
          <w:szCs w:val="21"/>
          <w:highlight w:val="none"/>
        </w:rPr>
        <w:t>。</w:t>
      </w:r>
      <w:r>
        <w:rPr>
          <w:rFonts w:hint="default" w:ascii="Times New Roman" w:hAnsi="Times New Roman" w:cs="Times New Roman"/>
          <w:szCs w:val="21"/>
          <w:highlight w:val="none"/>
        </w:rPr>
        <w:t> </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开标时间：</w:t>
      </w:r>
      <w:r>
        <w:rPr>
          <w:rFonts w:hint="default" w:ascii="Times New Roman" w:hAnsi="Times New Roman" w:cs="Times New Roman"/>
          <w:szCs w:val="21"/>
          <w:highlight w:val="none"/>
          <w:u w:val="single"/>
          <w:shd w:val="clear" w:color="auto" w:fill="FFFFFF"/>
        </w:rPr>
        <w:t>202</w:t>
      </w:r>
      <w:r>
        <w:rPr>
          <w:rFonts w:hint="default" w:ascii="Times New Roman" w:hAnsi="Times New Roman" w:cs="Times New Roman"/>
          <w:szCs w:val="21"/>
          <w:highlight w:val="none"/>
          <w:u w:val="single"/>
          <w:shd w:val="clear" w:color="auto" w:fill="FFFFFF"/>
          <w:lang w:val="en-US" w:eastAsia="zh-CN"/>
        </w:rPr>
        <w:t>3</w:t>
      </w:r>
      <w:r>
        <w:rPr>
          <w:rFonts w:hint="default" w:ascii="Times New Roman" w:hAnsi="Times New Roman" w:cs="Times New Roman"/>
          <w:szCs w:val="21"/>
          <w:highlight w:val="none"/>
          <w:u w:val="single"/>
          <w:shd w:val="clear" w:color="auto" w:fill="FFFFFF"/>
        </w:rPr>
        <w:t>年</w:t>
      </w:r>
      <w:r>
        <w:rPr>
          <w:rFonts w:hint="eastAsia" w:ascii="Times New Roman" w:hAnsi="Times New Roman" w:cs="Times New Roman"/>
          <w:szCs w:val="21"/>
          <w:highlight w:val="none"/>
          <w:u w:val="single"/>
          <w:shd w:val="clear" w:color="auto" w:fill="FFFFFF"/>
          <w:lang w:val="en-US" w:eastAsia="zh-CN"/>
        </w:rPr>
        <w:t>2</w:t>
      </w:r>
      <w:r>
        <w:rPr>
          <w:rFonts w:hint="default" w:ascii="Times New Roman" w:hAnsi="Times New Roman" w:cs="Times New Roman"/>
          <w:szCs w:val="21"/>
          <w:highlight w:val="none"/>
          <w:u w:val="single"/>
          <w:shd w:val="clear" w:color="auto" w:fill="FFFFFF"/>
        </w:rPr>
        <w:t>月</w:t>
      </w:r>
      <w:r>
        <w:rPr>
          <w:rFonts w:hint="eastAsia" w:ascii="Times New Roman" w:hAnsi="Times New Roman" w:cs="Times New Roman"/>
          <w:szCs w:val="21"/>
          <w:highlight w:val="none"/>
          <w:u w:val="single"/>
          <w:shd w:val="clear" w:color="auto" w:fill="FFFFFF"/>
          <w:lang w:val="en-US" w:eastAsia="zh-CN"/>
        </w:rPr>
        <w:t>28</w:t>
      </w:r>
      <w:r>
        <w:rPr>
          <w:rFonts w:hint="default" w:ascii="Times New Roman" w:hAnsi="Times New Roman" w:cs="Times New Roman"/>
          <w:szCs w:val="21"/>
          <w:highlight w:val="none"/>
          <w:u w:val="single"/>
          <w:shd w:val="clear" w:color="auto" w:fill="FFFFFF"/>
        </w:rPr>
        <w:t>日14：00</w:t>
      </w:r>
      <w:r>
        <w:rPr>
          <w:rFonts w:hint="default" w:ascii="Times New Roman" w:hAnsi="Times New Roman" w:cs="Times New Roman"/>
          <w:szCs w:val="21"/>
          <w:highlight w:val="none"/>
          <w:shd w:val="clear" w:color="auto" w:fill="FFFFFF"/>
        </w:rPr>
        <w:t>（北京时间）</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开标地点：</w:t>
      </w:r>
      <w:r>
        <w:rPr>
          <w:rFonts w:hint="default" w:ascii="Times New Roman" w:hAnsi="Times New Roman" w:cs="Times New Roman"/>
          <w:b/>
          <w:bCs/>
          <w:szCs w:val="21"/>
          <w:highlight w:val="none"/>
        </w:rPr>
        <w:t>政采云平台（www.zcygov.cn）</w:t>
      </w:r>
      <w:r>
        <w:rPr>
          <w:rFonts w:hint="default" w:ascii="Times New Roman" w:hAnsi="Times New Roman" w:cs="Times New Roman"/>
          <w:b/>
          <w:bCs/>
          <w:szCs w:val="21"/>
          <w:highlight w:val="none"/>
          <w:lang w:eastAsia="zh-CN"/>
        </w:rPr>
        <w:t>。</w:t>
      </w:r>
    </w:p>
    <w:p>
      <w:pPr>
        <w:spacing w:line="360" w:lineRule="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五、公告期限</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自本公告发布之日起5个工作日。</w:t>
      </w:r>
    </w:p>
    <w:p>
      <w:pPr>
        <w:spacing w:line="360" w:lineRule="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六、其他补充事宜</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2.其他事项：</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2.1本次政府采购活动有关信息在浙江政府采购网公布，视同送达所有潜在投标人。</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2.2本项目实行网上投标，采用电子投标文件。若供应商参与投标，自行承担投标一切费用。</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2.3标前准备：各供应商应在开标前应确保成为浙江省政府采购网正式注册入库供应商，并完成CA数字证书办理（供应商CA申领操作指南</w:t>
      </w:r>
      <w:r>
        <w:rPr>
          <w:rFonts w:hint="default" w:ascii="Times New Roman" w:hAnsi="Times New Roman" w:cs="Times New Roman"/>
          <w:szCs w:val="21"/>
          <w:highlight w:val="none"/>
          <w:lang w:val="en-US" w:eastAsia="zh-CN"/>
        </w:rPr>
        <w:t>详见政采云平台（www.zcygov.cn）</w:t>
      </w:r>
      <w:r>
        <w:rPr>
          <w:rFonts w:hint="default" w:ascii="Times New Roman" w:hAnsi="Times New Roman" w:cs="Times New Roman"/>
          <w:szCs w:val="21"/>
          <w:highlight w:val="none"/>
        </w:rPr>
        <w:t>，完成CA数字证书办理预计二周左右，请供应商自行把握时间）</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因未注册入库、未办理CA数字证书等原因造成无法获取采购文件、无法投标或投标失败等后果由供应商自行承担。</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2.4投标文件制作：</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2.4.1应按照本项目招标文件和政采云平台的要求编制、加密并递交投标文件。供应商在使用系统进行投标的过程中遇到涉及平台使用的任何问题，可致电政采云平台技术支持热线咨询，联系方式：400-881-7190。</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2.4.2供应商通过“政采云”平台电子投标工具制作投标文件，电子投标工具请供应商自行前往浙江省政府采购网下载并安装。</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2.4.3以U盘存储的数据电文形式的备份投标文件1份，按政采云平台项目采购-电子招投标操作指南中上传的电子投标文件格式，以用于异常情况处理。</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2.4.4电子备份投标文件</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lang w:val="en-US" w:eastAsia="zh-CN"/>
        </w:rPr>
        <w:t>不作强制要求，投标人自行决定是否提供</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的递交：</w:t>
      </w:r>
    </w:p>
    <w:p>
      <w:pPr>
        <w:spacing w:line="360" w:lineRule="auto"/>
        <w:ind w:firstLine="420" w:firstLineChars="200"/>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2.4.4.1采用邮寄方式递交电子备份投标文件的，需按以下要求递交：供应商须在本项目开标时间前一日16:00前将电子备份投标文件邮寄至规定地点，由招标代理工作人员进行签收。各供应商自行考虑邮寄在途时间，邮寄过程中无论何种因素导致电子备份投标文件未按时递交的后果，均由供应商自行负责。电子备份投标文件递交时间以招标代理实际收到投标文件的时间为准。迟到的电子备份投标文件将被拒收。请各供应商确保密封包装在邮寄过程密封包装完好，并在邮寄包裹上注明项目名称，因邮寄过程的密封破损造成不符合开标要求的，本招标代理及招标人概不负责。投标文件邮寄地址为：宁波市江南路598号九五国际A座9楼</w:t>
      </w:r>
      <w:r>
        <w:rPr>
          <w:rFonts w:hint="default" w:ascii="Times New Roman" w:hAnsi="Times New Roman" w:cs="Times New Roman"/>
          <w:b w:val="0"/>
          <w:bCs w:val="0"/>
          <w:color w:val="auto"/>
          <w:szCs w:val="21"/>
          <w:highlight w:val="none"/>
          <w:lang w:val="en-US" w:eastAsia="zh-CN"/>
        </w:rPr>
        <w:t>934</w:t>
      </w:r>
      <w:r>
        <w:rPr>
          <w:rFonts w:hint="default" w:ascii="Times New Roman" w:hAnsi="Times New Roman" w:cs="Times New Roman"/>
          <w:b w:val="0"/>
          <w:bCs w:val="0"/>
          <w:color w:val="auto"/>
          <w:szCs w:val="21"/>
          <w:highlight w:val="none"/>
        </w:rPr>
        <w:t xml:space="preserve">。 </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收件人：</w:t>
      </w:r>
      <w:r>
        <w:rPr>
          <w:rFonts w:hint="default" w:ascii="Times New Roman" w:hAnsi="Times New Roman" w:cs="Times New Roman"/>
          <w:szCs w:val="21"/>
          <w:highlight w:val="none"/>
          <w:lang w:val="en-US" w:eastAsia="zh-CN"/>
        </w:rPr>
        <w:t>杜振华</w:t>
      </w:r>
      <w:r>
        <w:rPr>
          <w:rFonts w:hint="default" w:ascii="Times New Roman" w:hAnsi="Times New Roman" w:cs="Times New Roman"/>
          <w:szCs w:val="21"/>
          <w:highlight w:val="none"/>
        </w:rPr>
        <w:t xml:space="preserve"> 联系方式：0574-89076310</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2.5采购项目需要落实的政府采购政策：1）对小微企业的产品给予价格优惠（监狱企业、残疾人福利性单位视同小微企业；残疾人福利性单位属于小型、微型企业的，不重复享受政策）。2）优先采购节能环保产品（注：所采购的货物在政府采购节能产品、环境标志产品实施品目清单范围内，且具有国家确定的认证机构出具的、处于有效期之内的节能产品、环境标志产品认证证书）</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lang w:val="en-US" w:eastAsia="zh-CN"/>
        </w:rPr>
        <w:t>3）</w:t>
      </w:r>
      <w:r>
        <w:rPr>
          <w:rFonts w:hint="default" w:ascii="Times New Roman" w:hAnsi="Times New Roman" w:cs="Times New Roman"/>
          <w:highlight w:val="none"/>
          <w:lang w:val="en-US" w:eastAsia="zh-CN"/>
        </w:rPr>
        <w:t>扶持</w:t>
      </w:r>
      <w:r>
        <w:rPr>
          <w:rFonts w:hint="default" w:ascii="Times New Roman" w:hAnsi="Times New Roman" w:eastAsia="宋体" w:cs="Times New Roman"/>
          <w:szCs w:val="21"/>
          <w:highlight w:val="none"/>
          <w:lang w:val="en-US" w:eastAsia="zh-CN"/>
        </w:rPr>
        <w:t>少数民族地区或不发达地区政策</w:t>
      </w:r>
      <w:r>
        <w:rPr>
          <w:rFonts w:hint="default" w:ascii="Times New Roman" w:hAnsi="Times New Roman" w:cs="Times New Roman"/>
          <w:szCs w:val="21"/>
          <w:highlight w:val="none"/>
        </w:rPr>
        <w:t xml:space="preserve">。 </w:t>
      </w:r>
    </w:p>
    <w:p>
      <w:pPr>
        <w:spacing w:line="360" w:lineRule="auto"/>
        <w:ind w:firstLine="420" w:firstLineChars="200"/>
        <w:rPr>
          <w:rFonts w:hint="default" w:ascii="Times New Roman" w:hAnsi="Times New Roman" w:cs="Times New Roman"/>
          <w:b/>
          <w:bCs/>
          <w:szCs w:val="21"/>
          <w:highlight w:val="none"/>
        </w:rPr>
      </w:pPr>
      <w:r>
        <w:rPr>
          <w:rFonts w:hint="default" w:ascii="Times New Roman" w:hAnsi="Times New Roman" w:eastAsia="宋体" w:cs="Times New Roman"/>
          <w:szCs w:val="21"/>
          <w:highlight w:val="none"/>
          <w:lang w:val="en-US" w:eastAsia="zh-CN"/>
        </w:rPr>
        <w:t>2.6</w:t>
      </w:r>
      <w:r>
        <w:rPr>
          <w:rFonts w:hint="default" w:ascii="Times New Roman" w:hAnsi="Times New Roman" w:eastAsia="宋体" w:cs="Times New Roman"/>
          <w:szCs w:val="21"/>
          <w:highlight w:val="none"/>
        </w:rPr>
        <w:t>本公告中二、申请人的资格要求：第1条中的“重大税收违法案件当事人名单”即为“重大税收违法失信主体”。</w:t>
      </w:r>
    </w:p>
    <w:p>
      <w:pPr>
        <w:spacing w:line="360" w:lineRule="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七、对本次招标提出询问，请按以下方式联系。</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1.采购人信息</w:t>
      </w:r>
    </w:p>
    <w:p>
      <w:pPr>
        <w:spacing w:line="360" w:lineRule="auto"/>
        <w:ind w:firstLine="420" w:firstLineChars="200"/>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名称：</w:t>
      </w:r>
      <w:r>
        <w:rPr>
          <w:rFonts w:hint="default" w:ascii="Times New Roman" w:hAnsi="Times New Roman" w:cs="Times New Roman"/>
          <w:szCs w:val="21"/>
          <w:highlight w:val="none"/>
          <w:lang w:eastAsia="zh-CN"/>
        </w:rPr>
        <w:t>宁波市鄞州区人民政府梅墟街道办事处 </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地址：宁波市鄞州区梅墟街道枫香路378号</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传真：/</w:t>
      </w:r>
    </w:p>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both"/>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项目联系人（询问）</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杨老师</w:t>
      </w:r>
    </w:p>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both"/>
        <w:textAlignment w:val="auto"/>
        <w:outlineLvl w:val="9"/>
        <w:rPr>
          <w:rFonts w:hint="default" w:ascii="Times New Roman" w:hAnsi="Times New Roman" w:eastAsia="宋体" w:cs="Times New Roman"/>
          <w:color w:val="000000"/>
          <w:kern w:val="0"/>
          <w:sz w:val="21"/>
          <w:szCs w:val="21"/>
          <w:highlight w:val="none"/>
          <w:lang w:val="en-US"/>
        </w:rPr>
      </w:pPr>
      <w:r>
        <w:rPr>
          <w:rFonts w:hint="default" w:ascii="Times New Roman" w:hAnsi="Times New Roman" w:eastAsia="宋体" w:cs="Times New Roman"/>
          <w:color w:val="000000"/>
          <w:kern w:val="0"/>
          <w:sz w:val="21"/>
          <w:szCs w:val="21"/>
          <w:highlight w:val="none"/>
        </w:rPr>
        <w:t>项目联系方式（询问）</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0574-81877394</w:t>
      </w:r>
    </w:p>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both"/>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质疑联系人：杨老师</w:t>
      </w:r>
    </w:p>
    <w:p>
      <w:pPr>
        <w:keepNext w:val="0"/>
        <w:keepLines w:val="0"/>
        <w:pageBreakBefore w:val="0"/>
        <w:widowControl/>
        <w:kinsoku/>
        <w:wordWrap/>
        <w:overflowPunct/>
        <w:topLinePunct w:val="0"/>
        <w:autoSpaceDE/>
        <w:autoSpaceDN/>
        <w:bidi w:val="0"/>
        <w:adjustRightInd/>
        <w:spacing w:line="360" w:lineRule="auto"/>
        <w:ind w:left="0" w:leftChars="0" w:firstLine="420" w:firstLineChars="200"/>
        <w:jc w:val="both"/>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质疑联系方式</w:t>
      </w:r>
      <w:r>
        <w:rPr>
          <w:rFonts w:hint="default" w:ascii="Times New Roman" w:hAnsi="Times New Roman" w:eastAsia="宋体" w:cs="Times New Roman"/>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rPr>
        <w:t>0574-</w:t>
      </w:r>
      <w:r>
        <w:rPr>
          <w:rFonts w:hint="default" w:ascii="Times New Roman" w:hAnsi="Times New Roman" w:eastAsia="宋体" w:cs="Times New Roman"/>
          <w:color w:val="000000"/>
          <w:kern w:val="0"/>
          <w:sz w:val="21"/>
          <w:szCs w:val="21"/>
          <w:highlight w:val="none"/>
          <w:lang w:eastAsia="zh-CN"/>
        </w:rPr>
        <w:t>88483154</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rPr>
      </w:pP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2.采购代理机构信息</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名称：</w:t>
      </w:r>
      <w:r>
        <w:rPr>
          <w:rFonts w:hint="default" w:ascii="Times New Roman" w:hAnsi="Times New Roman" w:eastAsia="宋体" w:cs="Times New Roman"/>
          <w:sz w:val="21"/>
          <w:szCs w:val="21"/>
          <w:highlight w:val="none"/>
          <w:lang w:eastAsia="zh-CN"/>
        </w:rPr>
        <w:t>浙江科信联合工程项目管理咨询有限公司</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地址：宁波市江南路598号九五国际A座9楼</w:t>
      </w:r>
      <w:r>
        <w:rPr>
          <w:rFonts w:hint="default" w:ascii="Times New Roman" w:hAnsi="Times New Roman" w:eastAsia="宋体" w:cs="Times New Roman"/>
          <w:sz w:val="21"/>
          <w:szCs w:val="21"/>
          <w:highlight w:val="none"/>
          <w:lang w:val="en-US" w:eastAsia="zh-CN"/>
        </w:rPr>
        <w:t>934室</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传真：/</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项目联系人（询问）</w:t>
      </w:r>
      <w:r>
        <w:rPr>
          <w:rFonts w:hint="default" w:ascii="Times New Roman" w:hAnsi="Times New Roman" w:eastAsia="宋体" w:cs="Times New Roman"/>
          <w:sz w:val="21"/>
          <w:szCs w:val="21"/>
          <w:highlight w:val="none"/>
          <w:lang w:eastAsia="zh-CN"/>
        </w:rPr>
        <w:t>：杜振华、</w:t>
      </w:r>
      <w:r>
        <w:rPr>
          <w:rFonts w:hint="default" w:ascii="Times New Roman" w:hAnsi="Times New Roman" w:eastAsia="宋体" w:cs="Times New Roman"/>
          <w:sz w:val="21"/>
          <w:szCs w:val="21"/>
          <w:highlight w:val="none"/>
          <w:lang w:val="en-US" w:eastAsia="zh-CN"/>
        </w:rPr>
        <w:t>王腾</w:t>
      </w:r>
      <w:r>
        <w:rPr>
          <w:rFonts w:hint="default" w:ascii="Times New Roman" w:hAnsi="Times New Roman" w:eastAsia="宋体" w:cs="Times New Roman"/>
          <w:sz w:val="21"/>
          <w:szCs w:val="21"/>
          <w:highlight w:val="none"/>
          <w:lang w:eastAsia="zh-CN"/>
        </w:rPr>
        <w:t>、汪珍、周丙海、</w:t>
      </w:r>
      <w:r>
        <w:rPr>
          <w:rFonts w:hint="default" w:ascii="Times New Roman" w:hAnsi="Times New Roman" w:eastAsia="宋体" w:cs="Times New Roman"/>
          <w:sz w:val="21"/>
          <w:szCs w:val="21"/>
          <w:highlight w:val="none"/>
          <w:lang w:val="en-US" w:eastAsia="zh-CN"/>
        </w:rPr>
        <w:t>房科红</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项目联系方式（询问）：0574-89076310</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质疑联系人</w:t>
      </w:r>
      <w:r>
        <w:rPr>
          <w:rFonts w:hint="default" w:ascii="Times New Roman" w:hAnsi="Times New Roman" w:eastAsia="宋体" w:cs="Times New Roman"/>
          <w:sz w:val="21"/>
          <w:szCs w:val="21"/>
          <w:highlight w:val="none"/>
          <w:lang w:eastAsia="zh-CN"/>
        </w:rPr>
        <w:t>：郑涵</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质疑联系方式：0574-89076310</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lang w:val="en-US" w:eastAsia="zh-CN"/>
        </w:rPr>
      </w:pP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3</w:t>
      </w:r>
      <w:r>
        <w:rPr>
          <w:rFonts w:hint="default" w:ascii="Times New Roman" w:hAnsi="Times New Roman" w:eastAsia="宋体" w:cs="Times New Roman"/>
          <w:sz w:val="21"/>
          <w:szCs w:val="21"/>
          <w:highlight w:val="none"/>
        </w:rPr>
        <w:t>.同级政府采购监督管理部门</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名称：宁波市</w:t>
      </w:r>
      <w:r>
        <w:rPr>
          <w:rFonts w:hint="default" w:ascii="Times New Roman" w:hAnsi="Times New Roman" w:eastAsia="宋体" w:cs="Times New Roman"/>
          <w:sz w:val="21"/>
          <w:szCs w:val="21"/>
          <w:highlight w:val="none"/>
          <w:lang w:val="en-US" w:eastAsia="zh-CN"/>
        </w:rPr>
        <w:t>高新</w:t>
      </w:r>
      <w:r>
        <w:rPr>
          <w:rFonts w:hint="default" w:ascii="Times New Roman" w:hAnsi="Times New Roman" w:eastAsia="宋体" w:cs="Times New Roman"/>
          <w:sz w:val="21"/>
          <w:szCs w:val="21"/>
          <w:highlight w:val="none"/>
        </w:rPr>
        <w:t>区政府采购管理办公室 　　　　　　　　　　　</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地址：宁波</w:t>
      </w:r>
      <w:r>
        <w:rPr>
          <w:rFonts w:hint="default" w:ascii="Times New Roman" w:hAnsi="Times New Roman" w:eastAsia="宋体" w:cs="Times New Roman"/>
          <w:sz w:val="21"/>
          <w:szCs w:val="21"/>
          <w:highlight w:val="none"/>
          <w:lang w:val="en-US" w:eastAsia="zh-CN"/>
        </w:rPr>
        <w:t>市</w:t>
      </w:r>
      <w:r>
        <w:rPr>
          <w:rFonts w:hint="default" w:ascii="Times New Roman" w:hAnsi="Times New Roman" w:eastAsia="宋体" w:cs="Times New Roman"/>
          <w:sz w:val="21"/>
          <w:szCs w:val="21"/>
          <w:highlight w:val="none"/>
        </w:rPr>
        <w:t>高新区广贤路999号 　　　　　　　　　　　</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val="en-US" w:eastAsia="zh-CN"/>
        </w:rPr>
        <w:t>传真：/</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联系人：</w:t>
      </w:r>
      <w:r>
        <w:rPr>
          <w:rFonts w:hint="default" w:ascii="Times New Roman" w:hAnsi="Times New Roman" w:eastAsia="宋体" w:cs="Times New Roman"/>
          <w:sz w:val="21"/>
          <w:szCs w:val="21"/>
          <w:highlight w:val="none"/>
          <w:lang w:val="en-US" w:eastAsia="zh-CN"/>
        </w:rPr>
        <w:t>蔡老师</w:t>
      </w:r>
      <w:r>
        <w:rPr>
          <w:rFonts w:hint="default" w:ascii="Times New Roman" w:hAnsi="Times New Roman" w:eastAsia="宋体" w:cs="Times New Roman"/>
          <w:sz w:val="21"/>
          <w:szCs w:val="21"/>
          <w:highlight w:val="none"/>
        </w:rPr>
        <w:t>  　　　　　　　　　　　</w:t>
      </w:r>
    </w:p>
    <w:p>
      <w:pPr>
        <w:keepNext w:val="0"/>
        <w:keepLines w:val="0"/>
        <w:kinsoku/>
        <w:wordWrap/>
        <w:overflowPunct/>
        <w:topLinePunct w:val="0"/>
        <w:autoSpaceDE/>
        <w:autoSpaceDN/>
        <w:bidi w:val="0"/>
        <w:spacing w:line="360" w:lineRule="auto"/>
        <w:ind w:left="0" w:firstLine="420" w:firstLineChars="200"/>
        <w:jc w:val="both"/>
        <w:outlineLvl w:val="9"/>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监督投诉电话：0574-89288732</w:t>
      </w:r>
    </w:p>
    <w:p>
      <w:pPr>
        <w:pStyle w:val="17"/>
        <w:spacing w:after="0"/>
        <w:ind w:firstLine="422" w:firstLineChars="200"/>
        <w:rPr>
          <w:rFonts w:hint="default" w:ascii="Times New Roman" w:hAnsi="Times New Roman" w:cs="Times New Roman"/>
          <w:b/>
          <w:bCs/>
          <w:sz w:val="21"/>
          <w:szCs w:val="21"/>
          <w:highlight w:val="none"/>
        </w:rPr>
      </w:pPr>
    </w:p>
    <w:p>
      <w:pPr>
        <w:spacing w:line="360" w:lineRule="auto"/>
        <w:ind w:firstLine="422" w:firstLineChars="200"/>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 xml:space="preserve">若对项目采购电子交易系统操作有疑问，可登录政采云（https://www.zcygov.cn/），点击右侧咨询小采，获取采小蜜智能服务管家帮助，或拨打政采云服务热线400-881-7190获取热线服务帮助。       </w:t>
      </w:r>
    </w:p>
    <w:p>
      <w:pPr>
        <w:spacing w:line="360" w:lineRule="auto"/>
        <w:ind w:firstLine="422" w:firstLineChars="200"/>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CA问题联系电话（人工）：汇信CA 400-888-4636；天谷CA 400-087-8198。</w:t>
      </w:r>
    </w:p>
    <w:p>
      <w:pPr>
        <w:snapToGrid w:val="0"/>
        <w:spacing w:line="360" w:lineRule="auto"/>
        <w:jc w:val="center"/>
        <w:outlineLvl w:val="0"/>
        <w:rPr>
          <w:rFonts w:hint="default" w:ascii="Times New Roman" w:hAnsi="Times New Roman" w:cs="Times New Roman"/>
          <w:b/>
          <w:sz w:val="24"/>
          <w:highlight w:val="none"/>
        </w:rPr>
      </w:pPr>
      <w:r>
        <w:rPr>
          <w:rFonts w:hint="default" w:ascii="Times New Roman" w:hAnsi="Times New Roman" w:cs="Times New Roman"/>
          <w:b/>
          <w:sz w:val="24"/>
          <w:highlight w:val="none"/>
        </w:rPr>
        <w:br w:type="page"/>
      </w:r>
      <w:bookmarkStart w:id="15" w:name="_Toc5477"/>
      <w:bookmarkStart w:id="16" w:name="_Toc1205"/>
      <w:bookmarkStart w:id="17" w:name="_Toc5632"/>
      <w:bookmarkStart w:id="18" w:name="_Toc16031"/>
      <w:bookmarkStart w:id="19" w:name="_Toc22333"/>
      <w:bookmarkStart w:id="20" w:name="_Toc5798"/>
      <w:bookmarkStart w:id="21" w:name="_Toc6141"/>
      <w:bookmarkStart w:id="22" w:name="_Toc6660"/>
      <w:r>
        <w:rPr>
          <w:rFonts w:hint="default" w:ascii="Times New Roman" w:hAnsi="Times New Roman" w:cs="Times New Roman"/>
          <w:b/>
          <w:sz w:val="24"/>
          <w:highlight w:val="none"/>
        </w:rPr>
        <w:t>第二章 招标需求</w:t>
      </w:r>
      <w:bookmarkEnd w:id="14"/>
      <w:bookmarkEnd w:id="15"/>
      <w:bookmarkEnd w:id="16"/>
      <w:bookmarkEnd w:id="17"/>
      <w:bookmarkEnd w:id="18"/>
      <w:bookmarkEnd w:id="19"/>
      <w:bookmarkEnd w:id="20"/>
      <w:bookmarkEnd w:id="21"/>
      <w:bookmarkEnd w:id="22"/>
    </w:p>
    <w:p>
      <w:pPr>
        <w:spacing w:line="360" w:lineRule="auto"/>
        <w:jc w:val="left"/>
        <w:rPr>
          <w:rFonts w:hint="default" w:ascii="Times New Roman" w:hAnsi="Times New Roman" w:cs="Times New Roman"/>
          <w:b/>
          <w:bCs/>
          <w:szCs w:val="21"/>
          <w:highlight w:val="none"/>
        </w:rPr>
      </w:pPr>
      <w:bookmarkStart w:id="23" w:name="_Toc509831393"/>
      <w:bookmarkStart w:id="24" w:name="_Toc460857893"/>
      <w:r>
        <w:rPr>
          <w:rFonts w:hint="default" w:ascii="Times New Roman" w:hAnsi="Times New Roman" w:cs="Times New Roman"/>
          <w:b/>
          <w:bCs/>
          <w:szCs w:val="21"/>
          <w:highlight w:val="none"/>
        </w:rPr>
        <w:t>一、商务要求</w:t>
      </w:r>
      <w:bookmarkEnd w:id="23"/>
      <w:bookmarkEnd w:id="24"/>
      <w:r>
        <w:rPr>
          <w:rFonts w:hint="default" w:ascii="Times New Roman" w:hAnsi="Times New Roman" w:cs="Times New Roman"/>
          <w:b/>
          <w:bCs/>
          <w:szCs w:val="21"/>
          <w:highlight w:val="none"/>
        </w:rPr>
        <w:t>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6"/>
        <w:gridCol w:w="66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项目</w:t>
            </w:r>
          </w:p>
        </w:tc>
        <w:tc>
          <w:tcPr>
            <w:tcW w:w="6675"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b/>
                <w:sz w:val="21"/>
                <w:szCs w:val="21"/>
                <w:highlight w:val="none"/>
              </w:rPr>
            </w:pPr>
            <w:r>
              <w:rPr>
                <w:rFonts w:hint="default" w:ascii="Times New Roman" w:hAnsi="Times New Roman" w:eastAsia="宋体" w:cs="Times New Roman"/>
                <w:b/>
                <w:sz w:val="21"/>
                <w:szCs w:val="21"/>
                <w:highlight w:val="none"/>
              </w:rPr>
              <w:t>商务要求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*交货期、交货地点</w:t>
            </w:r>
          </w:p>
        </w:tc>
        <w:tc>
          <w:tcPr>
            <w:tcW w:w="6675" w:type="dxa"/>
            <w:noWrap w:val="0"/>
            <w:vAlign w:val="center"/>
          </w:tcPr>
          <w:p>
            <w:pPr>
              <w:spacing w:line="360" w:lineRule="auto"/>
              <w:ind w:left="0" w:leftChars="0" w:right="0" w:rightChars="0" w:firstLine="0" w:firstLineChars="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交货地点：采购人指定地点；</w:t>
            </w:r>
          </w:p>
          <w:p>
            <w:pPr>
              <w:spacing w:line="360" w:lineRule="auto"/>
              <w:ind w:left="0" w:leftChars="0" w:right="0" w:rightChars="0" w:firstLine="0" w:firstLineChars="0"/>
              <w:jc w:val="left"/>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交货期：</w:t>
            </w:r>
            <w:r>
              <w:rPr>
                <w:rFonts w:hint="eastAsia" w:ascii="Times New Roman" w:hAnsi="Times New Roman" w:eastAsia="宋体" w:cs="Times New Roman"/>
                <w:sz w:val="21"/>
                <w:szCs w:val="21"/>
                <w:highlight w:val="none"/>
                <w:lang w:eastAsia="zh-CN"/>
              </w:rPr>
              <w:t>自合同签订之日3个月</w:t>
            </w:r>
            <w:r>
              <w:rPr>
                <w:rFonts w:hint="default" w:ascii="Times New Roman" w:hAnsi="Times New Roman" w:eastAsia="宋体" w:cs="Times New Roman"/>
                <w:sz w:val="21"/>
                <w:szCs w:val="21"/>
                <w:highlight w:val="none"/>
                <w:lang w:eastAsia="zh-CN"/>
              </w:rPr>
              <w:t>内完成本项目的供货、调试、试运行等全部工作。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*付款方式和条件</w:t>
            </w:r>
          </w:p>
        </w:tc>
        <w:tc>
          <w:tcPr>
            <w:tcW w:w="6675" w:type="dxa"/>
            <w:noWrap w:val="0"/>
            <w:vAlign w:val="center"/>
          </w:tcPr>
          <w:p>
            <w:pPr>
              <w:spacing w:line="360" w:lineRule="auto"/>
              <w:ind w:left="0" w:leftChars="0" w:right="0" w:rightChars="0" w:firstLine="0" w:firstLineChars="0"/>
              <w:jc w:val="lef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lang w:val="en-US" w:eastAsia="zh-CN"/>
              </w:rPr>
              <w:t>、合同生效以及具备实施条件后7个工作日内，</w:t>
            </w:r>
            <w:r>
              <w:rPr>
                <w:rFonts w:hint="eastAsia" w:ascii="Times New Roman" w:hAnsi="Times New Roman" w:cs="Times New Roman"/>
                <w:color w:val="auto"/>
                <w:szCs w:val="21"/>
                <w:highlight w:val="none"/>
                <w:lang w:val="en-US" w:eastAsia="zh-CN"/>
              </w:rPr>
              <w:t>采购人</w:t>
            </w:r>
            <w:r>
              <w:rPr>
                <w:rFonts w:hint="default" w:ascii="Times New Roman" w:hAnsi="Times New Roman" w:cs="Times New Roman"/>
                <w:color w:val="auto"/>
                <w:szCs w:val="21"/>
                <w:highlight w:val="none"/>
                <w:lang w:val="en-US" w:eastAsia="zh-CN"/>
              </w:rPr>
              <w:t>向</w:t>
            </w:r>
            <w:r>
              <w:rPr>
                <w:rFonts w:hint="eastAsia" w:ascii="Times New Roman" w:hAnsi="Times New Roman" w:cs="Times New Roman"/>
                <w:color w:val="auto"/>
                <w:szCs w:val="21"/>
                <w:highlight w:val="none"/>
                <w:lang w:val="en-US" w:eastAsia="zh-CN"/>
              </w:rPr>
              <w:t>中标人</w:t>
            </w:r>
            <w:r>
              <w:rPr>
                <w:rFonts w:hint="default" w:ascii="Times New Roman" w:hAnsi="Times New Roman" w:cs="Times New Roman"/>
                <w:color w:val="auto"/>
                <w:szCs w:val="21"/>
                <w:highlight w:val="none"/>
                <w:lang w:val="en-US" w:eastAsia="zh-CN"/>
              </w:rPr>
              <w:t>支付合同金额的30%作为预付款；</w:t>
            </w:r>
          </w:p>
          <w:p>
            <w:pPr>
              <w:spacing w:line="360" w:lineRule="auto"/>
              <w:ind w:left="0" w:leftChars="0" w:right="0" w:rightChars="0" w:firstLine="0" w:firstLineChars="0"/>
              <w:jc w:val="lef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、试运行上线经</w:t>
            </w:r>
            <w:r>
              <w:rPr>
                <w:rFonts w:hint="eastAsia" w:ascii="Times New Roman" w:hAnsi="Times New Roman" w:cs="Times New Roman"/>
                <w:color w:val="auto"/>
                <w:szCs w:val="21"/>
                <w:highlight w:val="none"/>
                <w:lang w:val="en-US" w:eastAsia="zh-CN"/>
              </w:rPr>
              <w:t>采购人</w:t>
            </w:r>
            <w:r>
              <w:rPr>
                <w:rFonts w:hint="default" w:ascii="Times New Roman" w:hAnsi="Times New Roman" w:cs="Times New Roman"/>
                <w:color w:val="auto"/>
                <w:szCs w:val="21"/>
                <w:highlight w:val="none"/>
                <w:lang w:val="en-US" w:eastAsia="zh-CN"/>
              </w:rPr>
              <w:t>验收后支付至合同金额的80%</w:t>
            </w:r>
            <w:r>
              <w:rPr>
                <w:rFonts w:hint="eastAsia" w:ascii="Times New Roman" w:hAnsi="Times New Roman" w:cs="Times New Roman"/>
                <w:color w:val="auto"/>
                <w:szCs w:val="21"/>
                <w:highlight w:val="none"/>
                <w:lang w:val="en-US" w:eastAsia="zh-CN"/>
              </w:rPr>
              <w:t>；</w:t>
            </w:r>
          </w:p>
          <w:p>
            <w:pPr>
              <w:spacing w:line="360" w:lineRule="auto"/>
              <w:ind w:left="0" w:leftChars="0" w:right="0" w:rightChars="0" w:firstLine="0" w:firstLineChars="0"/>
              <w:jc w:val="left"/>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、项目试运营期满，且通过省级未来社区验收后，</w:t>
            </w:r>
            <w:r>
              <w:rPr>
                <w:rFonts w:hint="eastAsia" w:ascii="Times New Roman" w:hAnsi="Times New Roman" w:cs="Times New Roman"/>
                <w:color w:val="auto"/>
                <w:szCs w:val="21"/>
                <w:highlight w:val="none"/>
                <w:lang w:val="en-US" w:eastAsia="zh-CN"/>
              </w:rPr>
              <w:t>支付至结算审核金额</w:t>
            </w:r>
            <w:r>
              <w:rPr>
                <w:rFonts w:hint="default" w:ascii="Times New Roman" w:hAnsi="Times New Roman" w:cs="Times New Roman"/>
                <w:color w:val="auto"/>
                <w:szCs w:val="21"/>
                <w:highlight w:val="none"/>
                <w:lang w:val="en-US" w:eastAsia="zh-CN"/>
              </w:rPr>
              <w:t>。</w:t>
            </w:r>
          </w:p>
          <w:p>
            <w:pPr>
              <w:spacing w:line="360" w:lineRule="auto"/>
              <w:ind w:left="0" w:leftChars="0" w:right="0" w:rightChars="0" w:firstLine="0" w:firstLineChars="0"/>
              <w:jc w:val="left"/>
              <w:rPr>
                <w:rFonts w:hint="default" w:ascii="Times New Roman" w:hAnsi="Times New Roman" w:eastAsia="宋体" w:cs="Times New Roman"/>
                <w:highlight w:val="none"/>
                <w:lang w:val="en-US" w:eastAsia="zh-CN"/>
              </w:rPr>
            </w:pPr>
            <w:r>
              <w:rPr>
                <w:rFonts w:hint="default" w:ascii="Times New Roman" w:hAnsi="Times New Roman" w:cs="Times New Roman"/>
                <w:color w:val="auto"/>
                <w:szCs w:val="21"/>
                <w:highlight w:val="none"/>
              </w:rPr>
              <w:t>注：采购人向</w:t>
            </w:r>
            <w:r>
              <w:rPr>
                <w:rFonts w:hint="default" w:ascii="Times New Roman" w:hAnsi="Times New Roman" w:cs="Times New Roman"/>
                <w:color w:val="auto"/>
                <w:szCs w:val="21"/>
                <w:highlight w:val="none"/>
                <w:lang w:val="en-US" w:eastAsia="zh-CN"/>
              </w:rPr>
              <w:t>中标</w:t>
            </w:r>
            <w:r>
              <w:rPr>
                <w:rFonts w:hint="default" w:ascii="Times New Roman" w:hAnsi="Times New Roman" w:cs="Times New Roman"/>
                <w:color w:val="auto"/>
                <w:szCs w:val="21"/>
                <w:highlight w:val="none"/>
              </w:rPr>
              <w:t>人付款时，</w:t>
            </w:r>
            <w:r>
              <w:rPr>
                <w:rFonts w:hint="default" w:ascii="Times New Roman" w:hAnsi="Times New Roman" w:cs="Times New Roman"/>
                <w:color w:val="auto"/>
                <w:szCs w:val="21"/>
                <w:highlight w:val="none"/>
                <w:lang w:val="en-US" w:eastAsia="zh-CN"/>
              </w:rPr>
              <w:t>中标</w:t>
            </w:r>
            <w:r>
              <w:rPr>
                <w:rFonts w:hint="default" w:ascii="Times New Roman" w:hAnsi="Times New Roman" w:cs="Times New Roman"/>
                <w:color w:val="auto"/>
                <w:szCs w:val="21"/>
                <w:highlight w:val="none"/>
              </w:rPr>
              <w:t>人须向采购人提供相当于采购人付款金额合法有效发票，否则采购人有权拒绝付款。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*质保期</w:t>
            </w:r>
          </w:p>
        </w:tc>
        <w:tc>
          <w:tcPr>
            <w:tcW w:w="6675" w:type="dxa"/>
            <w:noWrap w:val="0"/>
            <w:vAlign w:val="center"/>
          </w:tcPr>
          <w:p>
            <w:pPr>
              <w:spacing w:line="360" w:lineRule="auto"/>
              <w:ind w:left="0" w:leftChars="0" w:right="0" w:rightChars="0" w:firstLine="0" w:firstLineChars="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质保期：质保期</w:t>
            </w:r>
            <w:r>
              <w:rPr>
                <w:rFonts w:hint="eastAsia" w:ascii="Times New Roman" w:hAnsi="Times New Roman" w:eastAsia="宋体" w:cs="Times New Roman"/>
                <w:sz w:val="21"/>
                <w:szCs w:val="21"/>
                <w:highlight w:val="none"/>
                <w:lang w:eastAsia="zh-CN"/>
              </w:rPr>
              <w:t>（</w:t>
            </w:r>
            <w:r>
              <w:rPr>
                <w:rFonts w:hint="eastAsia" w:ascii="Times New Roman" w:hAnsi="Times New Roman" w:eastAsia="宋体" w:cs="Times New Roman"/>
                <w:sz w:val="21"/>
                <w:szCs w:val="21"/>
                <w:highlight w:val="none"/>
                <w:lang w:val="en-US" w:eastAsia="zh-CN"/>
              </w:rPr>
              <w:t>含设备及软件开发运维</w:t>
            </w:r>
            <w:r>
              <w:rPr>
                <w:rFonts w:hint="eastAsia"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不少于2年，时间从采购人验收合格之日起计算。若原厂质保期超过2年的以原厂质保期为准。</w:t>
            </w:r>
          </w:p>
          <w:p>
            <w:pPr>
              <w:spacing w:line="360" w:lineRule="auto"/>
              <w:ind w:left="0" w:leftChars="0" w:right="0" w:rightChars="0" w:firstLine="0" w:firstLineChars="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质保期内供应商须免费负责修理和替换任何由于配件自身的质量问题造成的损坏。配件更换后的质保期仍为不少于2年。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售后服务</w:t>
            </w:r>
          </w:p>
        </w:tc>
        <w:tc>
          <w:tcPr>
            <w:tcW w:w="6675" w:type="dxa"/>
            <w:noWrap w:val="0"/>
            <w:vAlign w:val="center"/>
          </w:tcPr>
          <w:p>
            <w:pPr>
              <w:spacing w:line="360" w:lineRule="auto"/>
              <w:ind w:left="0" w:leftChars="0" w:right="0" w:rightChars="0" w:firstLine="0" w:firstLineChars="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售后服务：</w:t>
            </w:r>
          </w:p>
          <w:p>
            <w:pPr>
              <w:spacing w:line="360" w:lineRule="auto"/>
              <w:ind w:left="0" w:leftChars="0" w:right="0" w:rightChars="0" w:firstLine="0" w:firstLineChars="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r>
              <w:rPr>
                <w:rFonts w:hint="default" w:ascii="Times New Roman" w:hAnsi="Times New Roman" w:eastAsia="宋体" w:cs="Times New Roman"/>
                <w:sz w:val="21"/>
                <w:szCs w:val="21"/>
                <w:highlight w:val="none"/>
                <w:lang w:val="en-US" w:eastAsia="zh-CN"/>
              </w:rPr>
              <w:t>质保期</w:t>
            </w:r>
            <w:r>
              <w:rPr>
                <w:rFonts w:hint="default" w:ascii="Times New Roman" w:hAnsi="Times New Roman" w:eastAsia="宋体" w:cs="Times New Roman"/>
                <w:sz w:val="21"/>
                <w:szCs w:val="21"/>
                <w:highlight w:val="none"/>
              </w:rPr>
              <w:t>内中标人免予收取采购人因维护/维修所产生的全部费用（包括但不限于人工、交通、运输、更换零配件等）。</w:t>
            </w:r>
          </w:p>
          <w:p>
            <w:pPr>
              <w:spacing w:line="360" w:lineRule="auto"/>
              <w:ind w:left="0" w:leftChars="0" w:right="0" w:rightChars="0" w:firstLine="0" w:firstLineChars="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2、</w:t>
            </w:r>
            <w:r>
              <w:rPr>
                <w:rFonts w:hint="default" w:ascii="Times New Roman" w:hAnsi="Times New Roman" w:eastAsia="宋体" w:cs="Times New Roman"/>
                <w:sz w:val="21"/>
                <w:szCs w:val="21"/>
                <w:highlight w:val="none"/>
                <w:lang w:val="en-US" w:eastAsia="zh-CN"/>
              </w:rPr>
              <w:t>质保期</w:t>
            </w:r>
            <w:r>
              <w:rPr>
                <w:rFonts w:hint="default" w:ascii="Times New Roman" w:hAnsi="Times New Roman" w:eastAsia="宋体" w:cs="Times New Roman"/>
                <w:sz w:val="21"/>
                <w:szCs w:val="21"/>
                <w:highlight w:val="none"/>
              </w:rPr>
              <w:t>内，产品出现故障时中标人在接到采购人电话后1小时内响应，</w:t>
            </w:r>
            <w:r>
              <w:rPr>
                <w:rFonts w:hint="eastAsia" w:ascii="Times New Roman" w:hAnsi="Times New Roman" w:eastAsia="宋体" w:cs="Times New Roman"/>
                <w:sz w:val="21"/>
                <w:szCs w:val="21"/>
                <w:highlight w:val="none"/>
                <w:lang w:val="en-US" w:eastAsia="zh-CN"/>
              </w:rPr>
              <w:t>4</w:t>
            </w:r>
            <w:r>
              <w:rPr>
                <w:rFonts w:hint="default" w:ascii="Times New Roman" w:hAnsi="Times New Roman" w:eastAsia="宋体" w:cs="Times New Roman"/>
                <w:sz w:val="21"/>
                <w:szCs w:val="21"/>
                <w:highlight w:val="none"/>
              </w:rPr>
              <w:t>小时内达到现场，8小时内修复，非因采购人的人为原因而出现产品质量及安装问题，由中标人负责包修、包换或包退，并承担因此而产生的一切费用。</w:t>
            </w:r>
          </w:p>
          <w:p>
            <w:pPr>
              <w:spacing w:line="360" w:lineRule="auto"/>
              <w:ind w:left="0" w:leftChars="0" w:right="0" w:rightChars="0" w:firstLine="0" w:firstLineChars="0"/>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3、</w:t>
            </w:r>
            <w:r>
              <w:rPr>
                <w:rFonts w:hint="default" w:ascii="Times New Roman" w:hAnsi="Times New Roman" w:eastAsia="宋体" w:cs="Times New Roman"/>
                <w:sz w:val="21"/>
                <w:szCs w:val="21"/>
                <w:highlight w:val="none"/>
                <w:lang w:val="en-US" w:eastAsia="zh-CN"/>
              </w:rPr>
              <w:t>质保期</w:t>
            </w:r>
            <w:r>
              <w:rPr>
                <w:rFonts w:hint="default" w:ascii="Times New Roman" w:hAnsi="Times New Roman" w:eastAsia="宋体" w:cs="Times New Roman"/>
                <w:sz w:val="21"/>
                <w:szCs w:val="21"/>
                <w:highlight w:val="none"/>
              </w:rPr>
              <w:t>满后，中标人提供终身保修服务，中标人上门维护/维修收取人工、交通、运输等费用，如需更换零配件，中标人收取零配件费（不高于折扣的优惠价）。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履约保证金</w:t>
            </w:r>
          </w:p>
        </w:tc>
        <w:tc>
          <w:tcPr>
            <w:tcW w:w="6675" w:type="dxa"/>
            <w:noWrap w:val="0"/>
            <w:vAlign w:val="center"/>
          </w:tcPr>
          <w:p>
            <w:pPr>
              <w:spacing w:line="360" w:lineRule="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履约保证金金额</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合同金额的</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p>
          <w:p>
            <w:pPr>
              <w:spacing w:line="360" w:lineRule="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履约保证金形式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以银行或保险公司出具的保函形式或其他非现金形式递交至采购人</w:t>
            </w:r>
            <w:r>
              <w:rPr>
                <w:rFonts w:hint="default" w:ascii="Times New Roman" w:hAnsi="Times New Roman" w:cs="Times New Roman"/>
                <w:color w:val="auto"/>
                <w:highlight w:val="none"/>
                <w:lang w:eastAsia="zh-CN"/>
              </w:rPr>
              <w:t>；</w:t>
            </w:r>
          </w:p>
          <w:p>
            <w:pPr>
              <w:spacing w:line="360" w:lineRule="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履约保证金提交时间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合同签订后15日内</w:t>
            </w:r>
            <w:r>
              <w:rPr>
                <w:rFonts w:hint="default" w:ascii="Times New Roman" w:hAnsi="Times New Roman" w:cs="Times New Roman"/>
                <w:color w:val="auto"/>
                <w:highlight w:val="none"/>
                <w:lang w:eastAsia="zh-CN"/>
              </w:rPr>
              <w:t>；</w:t>
            </w:r>
          </w:p>
          <w:p>
            <w:pPr>
              <w:spacing w:line="360" w:lineRule="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履约保证金的有效期：履约保证金在中标人履行合同规定义务期间必须保持有效</w:t>
            </w:r>
            <w:r>
              <w:rPr>
                <w:rFonts w:hint="default" w:ascii="Times New Roman" w:hAnsi="Times New Roman" w:cs="Times New Roman"/>
                <w:color w:val="auto"/>
                <w:highlight w:val="none"/>
                <w:lang w:eastAsia="zh-CN"/>
              </w:rPr>
              <w:t>；</w:t>
            </w:r>
          </w:p>
          <w:p>
            <w:pPr>
              <w:spacing w:line="360" w:lineRule="auto"/>
              <w:ind w:left="0" w:leftChars="0" w:right="0" w:righ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highlight w:val="none"/>
              </w:rPr>
              <w:t>履约保证金的退还：采购人在中标人完成所有检测工作并经采购人验收通过后退还（退还履约保证金时中标人应向采购人发起退款申请，采购人在收到中标人的退还履约保证金申请后10日内一次性无息退还）；中标人未按要求履行义务的，采购人有权扣罚其履约保证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w:t>
            </w:r>
          </w:p>
        </w:tc>
        <w:tc>
          <w:tcPr>
            <w:tcW w:w="6675" w:type="dxa"/>
            <w:noWrap w:val="0"/>
            <w:vAlign w:val="center"/>
          </w:tcPr>
          <w:p>
            <w:pPr>
              <w:spacing w:line="360" w:lineRule="auto"/>
              <w:ind w:left="0" w:leftChars="0" w:right="0" w:rightChars="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验收由买卖双方及相关人员依据国家有关标准、合同、</w:t>
            </w:r>
            <w:r>
              <w:rPr>
                <w:rFonts w:hint="default" w:ascii="Times New Roman" w:hAnsi="Times New Roman" w:eastAsia="宋体" w:cs="Times New Roman"/>
                <w:color w:val="auto"/>
                <w:sz w:val="21"/>
                <w:szCs w:val="21"/>
                <w:highlight w:val="none"/>
                <w:lang w:val="en-US" w:eastAsia="zh-CN"/>
              </w:rPr>
              <w:t>采购</w:t>
            </w:r>
            <w:r>
              <w:rPr>
                <w:rFonts w:hint="default" w:ascii="Times New Roman" w:hAnsi="Times New Roman" w:eastAsia="宋体" w:cs="Times New Roman"/>
                <w:color w:val="auto"/>
                <w:sz w:val="21"/>
                <w:szCs w:val="21"/>
                <w:highlight w:val="none"/>
              </w:rPr>
              <w:t>文件及有关附件要求进行。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质量标准</w:t>
            </w:r>
          </w:p>
        </w:tc>
        <w:tc>
          <w:tcPr>
            <w:tcW w:w="6675" w:type="dxa"/>
            <w:noWrap w:val="0"/>
            <w:vAlign w:val="center"/>
          </w:tcPr>
          <w:p>
            <w:pPr>
              <w:spacing w:line="360" w:lineRule="auto"/>
              <w:ind w:left="0" w:leftChars="0" w:right="0" w:rightChars="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必须符合中华人民共和国、地方及行业有关技术标准（按高标准执行）。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技术资料</w:t>
            </w:r>
          </w:p>
        </w:tc>
        <w:tc>
          <w:tcPr>
            <w:tcW w:w="6675" w:type="dxa"/>
            <w:noWrap w:val="0"/>
            <w:vAlign w:val="center"/>
          </w:tcPr>
          <w:p>
            <w:pPr>
              <w:spacing w:line="360" w:lineRule="auto"/>
              <w:ind w:left="0" w:leftChars="0" w:right="0" w:rightChars="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提供所有设备和材料的技术资料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费用包含在投标报价中。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培训</w:t>
            </w:r>
          </w:p>
        </w:tc>
        <w:tc>
          <w:tcPr>
            <w:tcW w:w="6675" w:type="dxa"/>
            <w:noWrap w:val="0"/>
            <w:vAlign w:val="center"/>
          </w:tcPr>
          <w:p>
            <w:pPr>
              <w:spacing w:line="360" w:lineRule="auto"/>
              <w:ind w:left="0" w:leftChars="0" w:right="0" w:rightChars="0"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w:t>
            </w:r>
            <w:r>
              <w:rPr>
                <w:rFonts w:hint="default" w:ascii="Times New Roman" w:hAnsi="Times New Roman" w:eastAsia="宋体" w:cs="Times New Roman"/>
                <w:sz w:val="21"/>
                <w:szCs w:val="21"/>
                <w:highlight w:val="none"/>
              </w:rPr>
              <w:t>采购人</w:t>
            </w:r>
            <w:r>
              <w:rPr>
                <w:rFonts w:hint="default" w:ascii="Times New Roman" w:hAnsi="Times New Roman" w:eastAsia="宋体" w:cs="Times New Roman"/>
                <w:color w:val="auto"/>
                <w:sz w:val="21"/>
                <w:szCs w:val="21"/>
                <w:highlight w:val="none"/>
                <w:lang w:val="en-US" w:eastAsia="zh-CN"/>
              </w:rPr>
              <w:t>指定人员</w:t>
            </w:r>
            <w:r>
              <w:rPr>
                <w:rFonts w:hint="default" w:ascii="Times New Roman" w:hAnsi="Times New Roman" w:eastAsia="宋体" w:cs="Times New Roman"/>
                <w:color w:val="auto"/>
                <w:sz w:val="21"/>
                <w:szCs w:val="21"/>
                <w:highlight w:val="none"/>
              </w:rPr>
              <w:t>提供</w:t>
            </w:r>
            <w:r>
              <w:rPr>
                <w:rFonts w:hint="default" w:ascii="Times New Roman" w:hAnsi="Times New Roman" w:eastAsia="宋体" w:cs="Times New Roman"/>
                <w:color w:val="auto"/>
                <w:sz w:val="21"/>
                <w:szCs w:val="21"/>
                <w:highlight w:val="none"/>
                <w:lang w:val="en-US" w:eastAsia="zh-CN"/>
              </w:rPr>
              <w:t>免费</w:t>
            </w:r>
            <w:r>
              <w:rPr>
                <w:rFonts w:hint="default" w:ascii="Times New Roman" w:hAnsi="Times New Roman" w:eastAsia="宋体" w:cs="Times New Roman"/>
                <w:color w:val="auto"/>
                <w:sz w:val="21"/>
                <w:szCs w:val="21"/>
                <w:highlight w:val="none"/>
              </w:rPr>
              <w:t>培训及指导。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36" w:type="dxa"/>
            <w:noWrap w:val="0"/>
            <w:vAlign w:val="center"/>
          </w:tcPr>
          <w:p>
            <w:pPr>
              <w:spacing w:line="36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合同签订时间</w:t>
            </w:r>
          </w:p>
        </w:tc>
        <w:tc>
          <w:tcPr>
            <w:tcW w:w="6675" w:type="dxa"/>
            <w:noWrap w:val="0"/>
            <w:vAlign w:val="center"/>
          </w:tcPr>
          <w:p>
            <w:pPr>
              <w:spacing w:line="360" w:lineRule="auto"/>
              <w:ind w:left="0" w:leftChars="0" w:right="0" w:rightChars="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中标通知书发出之日起30天内签订合同。</w:t>
            </w:r>
          </w:p>
        </w:tc>
      </w:tr>
    </w:tbl>
    <w:p>
      <w:pPr>
        <w:keepNext w:val="0"/>
        <w:keepLines w:val="0"/>
        <w:pageBreakBefore w:val="0"/>
        <w:widowControl w:val="0"/>
        <w:numPr>
          <w:ilvl w:val="0"/>
          <w:numId w:val="5"/>
        </w:numPr>
        <w:kinsoku/>
        <w:wordWrap/>
        <w:overflowPunct/>
        <w:topLinePunct w:val="0"/>
        <w:autoSpaceDE/>
        <w:autoSpaceDN/>
        <w:bidi w:val="0"/>
        <w:adjustRightInd/>
        <w:spacing w:line="360" w:lineRule="auto"/>
        <w:jc w:val="both"/>
        <w:textAlignment w:val="auto"/>
        <w:rPr>
          <w:rFonts w:hint="default" w:ascii="Times New Roman" w:hAnsi="Times New Roman" w:cs="Times New Roman"/>
          <w:b/>
          <w:bCs/>
          <w:szCs w:val="21"/>
          <w:highlight w:val="none"/>
        </w:rPr>
      </w:pPr>
      <w:r>
        <w:rPr>
          <w:rFonts w:hint="default" w:ascii="Times New Roman" w:hAnsi="Times New Roman" w:cs="Times New Roman"/>
          <w:szCs w:val="21"/>
          <w:highlight w:val="none"/>
        </w:rPr>
        <w:br w:type="page"/>
      </w:r>
      <w:r>
        <w:rPr>
          <w:rFonts w:hint="default" w:ascii="Times New Roman" w:hAnsi="Times New Roman" w:cs="Times New Roman"/>
          <w:b/>
          <w:bCs/>
          <w:szCs w:val="21"/>
          <w:highlight w:val="none"/>
        </w:rPr>
        <w:t>详细采购需求</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1.建设目标、规模、内容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highlight w:val="none"/>
          <w:lang w:val="en-US" w:eastAsia="zh-CN"/>
        </w:rPr>
      </w:pPr>
      <w:bookmarkStart w:id="25" w:name="_Toc2368"/>
      <w:r>
        <w:rPr>
          <w:rFonts w:hint="default" w:ascii="Times New Roman" w:hAnsi="Times New Roman" w:cs="Times New Roman"/>
          <w:b/>
          <w:bCs/>
          <w:highlight w:val="none"/>
          <w:lang w:val="en-US" w:eastAsia="zh-CN"/>
        </w:rPr>
        <w:t>1.1项目建设目标</w:t>
      </w:r>
      <w:bookmarkEnd w:id="2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数字化建设未来社区当以创新、睿智的经营理念，融合到数字化建设的数据信息管理当中。并且提升数字化建设员工对于数字化建设未来社区数据流中具有价值的数据信息的洞察力。从而更为有效的实施符合数字化建设内部经营管理需求的特色化运作流程，创建能够进一步增值的数字化建设经营模式，并且全方位提升数字化建设的综合竞争力。数字化建设未来社区作为数字化建设强有力的后援军，必须规划处对数字化建设最为有利的运作程序，来全面提升数字化建设的综合竞争力，从而顺应经济市场的数据信息需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2017年，习近平总书记在党的十九大工作报告中强调：全党同志一定要永远与人民同呼吸、共命运、心连心，永远把人民对美好生活的向往作为奋斗目标。2019年浙江省政府工作报告提出的未来社区就是以满足人民美好生活需要为根本目标，围绕社区全生活链服务需求，以人本化、生态化、数字化为价值坐标，以和睦共治、绿色集约、智慧共享为内涵特征创新引领未来生活方式变革的新型城市功能单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未来社区数字化融合物联网、支撑邻里，教育，健康，创业，建筑、交通、低碳、服务、治理等九大场景智能应用的敏捷创新。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以满足人民美好生活向往为根本目的，以人本化、生态化、数字化为价值理念，通过有机更新改造的方式，梳理社区空间资源和景观环境，塑造最美街道，焕发社区活力。通过积极推动安置小区功能完善、空间挖潜和服务提升，形成安全、便民、绿色、整洁、有序的美好生活社区，提高人民群众的获得感、幸福感、安全感和价值感。宁波梅沁社区总体定位为“温馨邻里·康乐梅沁”，将致力于将梅沁社区打造成为一个健康颐养的康乐社区，一个终身学习的求是社区，一个邻里温馨的幸福家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梅沁未来社区数字化赋能九场景建设项目是未来社区“139”架构的重要组成部门，根据数字化改革总体要求和数字社会系统建设方案，从社区和百姓需求出发，依托高新区社区智慧服务平台（数字底座）对全区未来社区建设标准要求，推动梅沁未来社区应用能成为全区高质高频应用，充分衔接现有应用系统和社区数字基建，借助全区数字底座，对接公共数据平台、城市大脑和基层治理四平台，全面贯通基层治理“141”体系，承接数字社会优质公共服务精准落地，线上线下融合打造高质高频应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对照标准化社区智慧服务平台“1N93”总体框架要求，即“建设一个数字底座，落地N个应用，数字化赋能打造九大场景”，融合治理端、运营端和服务端三端入口”。本次项目建设主要目标分为以下四点：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（1）统筹建设，按需使用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以节约资源为前提，以高新区社区智慧服务平台（未来社区底座）区级平台为基础，向区级底座上架各类社区应用，方便各个未来社区可按照实际运营需求下载使用，节省重复建设及维护的资金投入。</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（2）一处开发，多处使用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梅沁社区应用开发完成，按照全区统一标准上架到区级服务应用商城，即可实现一处开发，多处使用。对于优秀试点项目，可以快速推广使用。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（3）数据共享，积分共用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针对“未来社区创建项目重建设轻运营”的工作痛点，围绕全区未来社区长效运营为目标，对接区级“共富积分”系统，统筹推进未来社区建设与运营工作。以实现社区数据互联互通，积分共享可有效盘活全区各个社区与积分相关的活动、文化、课堂等相关场景的居民参与度。</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（4）统一对接，减少投入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依托区级数字底座实现与基层治理四平台及浙江省未来社区在线平台对接，减少与政务应用对接的投入，即减少社区为满足区内居民需求与卫生、教育等相关部门对接的二次开发投入。</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highlight w:val="none"/>
          <w:lang w:val="en-US" w:eastAsia="zh-CN"/>
        </w:rPr>
      </w:pPr>
      <w:bookmarkStart w:id="26" w:name="_Toc18639"/>
      <w:r>
        <w:rPr>
          <w:rFonts w:hint="default" w:ascii="Times New Roman" w:hAnsi="Times New Roman" w:cs="Times New Roman"/>
          <w:b/>
          <w:bCs/>
          <w:highlight w:val="none"/>
          <w:lang w:val="en-US" w:eastAsia="zh-CN"/>
        </w:rPr>
        <w:t>1.2项目建设规模</w:t>
      </w:r>
      <w:bookmarkEnd w:id="2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梅沁未来社区数字化应用软硬件将覆盖梅墟社区、梅沁社区、梅福社区、梅苑社区4个社区。项目规划单元北至甬江，南至江南路，西至民和家园西边河道（含梅墟街道社区卫生服务中心），东至界牌碶河和东环路。占地面积：75.9公顷。实施单元：北至甬江，南至江南路，西至民和家园西边河道（含梅墟街道社区卫生服务中心），东至界牌碶河。占地面积：47.3公顷。</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b/>
          <w:bCs/>
          <w:highlight w:val="none"/>
          <w:lang w:val="en-US" w:eastAsia="zh-CN"/>
        </w:rPr>
      </w:pPr>
      <w:bookmarkStart w:id="27" w:name="_Toc18809"/>
      <w:r>
        <w:rPr>
          <w:rFonts w:hint="default" w:ascii="Times New Roman" w:hAnsi="Times New Roman" w:cs="Times New Roman"/>
          <w:b/>
          <w:bCs/>
          <w:highlight w:val="none"/>
          <w:lang w:val="en-US" w:eastAsia="zh-CN"/>
        </w:rPr>
        <w:t>1.3项目建设内容</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本方案面向梅沁未来社区数字化建设，接入高新区未来社区统一底座及底座自有应用，建设邻里、教育、健康等九大场景内容，实现多端接入，系统对接，安全系统建设等内容。</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2.项目需求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28" w:name="_Toc7096"/>
      <w:r>
        <w:rPr>
          <w:rFonts w:hint="default" w:ascii="Times New Roman" w:hAnsi="Times New Roman" w:eastAsia="宋体" w:cs="Times New Roman"/>
          <w:b/>
          <w:bCs/>
          <w:highlight w:val="none"/>
          <w:lang w:val="en-US" w:eastAsia="zh-CN"/>
        </w:rPr>
        <w:t>2.1业务需求</w:t>
      </w:r>
      <w:bookmarkEnd w:id="28"/>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29" w:name="_Toc23333"/>
      <w:r>
        <w:rPr>
          <w:rFonts w:hint="default" w:ascii="Times New Roman" w:hAnsi="Times New Roman" w:eastAsia="宋体" w:cs="Times New Roman"/>
          <w:b/>
          <w:bCs/>
          <w:highlight w:val="none"/>
          <w:lang w:val="en-US" w:eastAsia="zh-CN"/>
        </w:rPr>
        <w:t>2.1.1构建“远亲不如近邻”未来邻里场景</w:t>
      </w:r>
      <w:bookmarkEnd w:id="2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通过营造交往、交融、交心人文氛围，构建“远亲不如近邻”未来邻里场景。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邻里积分，建立社区内积分体系，用户可在每日任务或在社区内参加活动、消费等渠道可以获得积分，可进行积分兑换、积分抵现、积分抽奖等活动。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邻里商城，主要为社区居民提供邻里互动、促进邻里关系的新型购物方式，主要有社区闲鱼，邻里团购等功能。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邻里互助，以“为我人人，人人为我”为理念，实现居民互帮互助，和谐融洽的邻里氛围。</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30" w:name="_Toc32304"/>
      <w:r>
        <w:rPr>
          <w:rFonts w:hint="default" w:ascii="Times New Roman" w:hAnsi="Times New Roman" w:eastAsia="宋体" w:cs="Times New Roman"/>
          <w:b/>
          <w:bCs/>
          <w:highlight w:val="none"/>
          <w:lang w:val="en-US" w:eastAsia="zh-CN"/>
        </w:rPr>
        <w:t>2.2.2构建“终身学习”未来教育场景</w:t>
      </w:r>
      <w:bookmarkEnd w:id="3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服务社区全人群教育需求，构建“终身学习”未来教育场景。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打造社区综合教育平台系统，涉及居民学员、社区主体、教育授课者（包含社区达人）等用户对象，整体打造从用户注册、审核、资源发布、报名、评价及课程回顾的业务闭环。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31" w:name="_Toc27978"/>
      <w:r>
        <w:rPr>
          <w:rFonts w:hint="default" w:ascii="Times New Roman" w:hAnsi="Times New Roman" w:eastAsia="宋体" w:cs="Times New Roman"/>
          <w:b/>
          <w:bCs/>
          <w:highlight w:val="none"/>
          <w:lang w:val="en-US" w:eastAsia="zh-CN"/>
        </w:rPr>
        <w:t>2.2.3构建“全民康养”未来健康场景</w:t>
      </w:r>
      <w:bookmarkEnd w:id="3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瞄准社区全人群与全生命周期，构建“全民康养”未来健康场景。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（1）梅沁健康，通过手机端在线为社区具体提供预约挂号、核酸报告查询、疫苗预约等便捷服务。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健康小屋，通过数字健康新服务场景应用以及未来社区智慧服务平台对接数字赋能于基本医疗、健康管理等服务，在区域整合型医疗卫生服务体系内为居民提供全方位周期医疗卫生服务，实现“健康大脑+智慧医疗”在医疗卫生服务体系网底的集中整体展现。</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32" w:name="_Toc25271"/>
      <w:r>
        <w:rPr>
          <w:rFonts w:hint="default" w:ascii="Times New Roman" w:hAnsi="Times New Roman" w:eastAsia="宋体" w:cs="Times New Roman"/>
          <w:b/>
          <w:bCs/>
          <w:highlight w:val="none"/>
          <w:lang w:val="en-US" w:eastAsia="zh-CN"/>
        </w:rPr>
        <w:t>2.2.4打造“艺术与风貌交融”未来建筑场景</w:t>
      </w:r>
      <w:bookmarkEnd w:id="3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创新空间集约利用和功能集成，打造“艺术与风貌交融”未来建筑场景。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建立数字未来社区基底，实现规划、设计、建设全流程数字化。形成轻量化模型，为未来社区创建的应用创造基础条件，实现九大场景的空间落位呈现及运营成效实时展示。</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33" w:name="_Toc6126"/>
      <w:r>
        <w:rPr>
          <w:rFonts w:hint="default" w:ascii="Times New Roman" w:hAnsi="Times New Roman" w:eastAsia="宋体" w:cs="Times New Roman"/>
          <w:b/>
          <w:bCs/>
          <w:highlight w:val="none"/>
          <w:lang w:val="en-US" w:eastAsia="zh-CN"/>
        </w:rPr>
        <w:t>2.2.5构建“便民出行”未来交通场景</w:t>
      </w:r>
      <w:bookmarkEnd w:id="3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建设智能停车系统，主要实现用户管理、无人值守、预约管理，灵活计费，统一运维管理，综合信息查询，统计分析，大数据运营等内容。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接入宁波实时公交、宁波地铁等应用，推进实现出行便捷化、资源集成化。</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34" w:name="_Toc24260"/>
      <w:r>
        <w:rPr>
          <w:rFonts w:hint="default" w:ascii="Times New Roman" w:hAnsi="Times New Roman" w:eastAsia="宋体" w:cs="Times New Roman"/>
          <w:b/>
          <w:bCs/>
          <w:highlight w:val="none"/>
          <w:lang w:val="en-US" w:eastAsia="zh-CN"/>
        </w:rPr>
        <w:t>2.2.6构建“多能协同、智慧节能、循环无废”未来低碳场景</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聚焦生态化，构建“多能协同、智慧节能、循环无废”未来低碳场景。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能耗管理系统，打造可视、可管、可优化的层次递进的能效管理平台和场景应用。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35" w:name="_Toc8710"/>
      <w:r>
        <w:rPr>
          <w:rFonts w:hint="default" w:ascii="Times New Roman" w:hAnsi="Times New Roman" w:eastAsia="宋体" w:cs="Times New Roman"/>
          <w:b/>
          <w:bCs/>
          <w:highlight w:val="none"/>
          <w:lang w:val="en-US" w:eastAsia="zh-CN"/>
        </w:rPr>
        <w:t>2.2.7打造“政府导治、居民自治、平台数治”未来治理场景</w:t>
      </w:r>
      <w:bookmarkEnd w:id="3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重点人群管理，开展疫情防控工作和重点人群管理，及时推送疫情防控知识、通告信息、实时动态，做实做细重点人群管理工作。</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36" w:name="_Toc28512"/>
      <w:bookmarkStart w:id="37" w:name="_Toc65663409"/>
      <w:r>
        <w:rPr>
          <w:rFonts w:hint="default" w:ascii="Times New Roman" w:hAnsi="Times New Roman" w:eastAsia="宋体" w:cs="Times New Roman"/>
          <w:b/>
          <w:bCs/>
          <w:highlight w:val="none"/>
          <w:lang w:val="en-US" w:eastAsia="zh-CN"/>
        </w:rPr>
        <w:t>2.2业务处理量</w:t>
      </w:r>
      <w:bookmarkEnd w:id="36"/>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38" w:name="_Toc26271"/>
      <w:r>
        <w:rPr>
          <w:rFonts w:hint="default" w:ascii="Times New Roman" w:hAnsi="Times New Roman" w:eastAsia="宋体" w:cs="Times New Roman"/>
          <w:b/>
          <w:bCs/>
          <w:highlight w:val="none"/>
          <w:lang w:val="en-US" w:eastAsia="zh-CN"/>
        </w:rPr>
        <w:t>2.2.1数据量</w:t>
      </w:r>
      <w:bookmarkEnd w:id="38"/>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（1）用户量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服务端主要涉及的用户为居民用户，梅沁未来社区目前户籍人口4334人，流动人口5735人，按照省下发的创建名单估算，预计约15000人受益。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运营端主要涉及梅沁未来社区运营公司、物业、业委会等相关用户，梅沁社区按照50人计算。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治理端主要是涉及梅沁未来社区，预计总人数45人左右。</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（2）用户并发量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服务端按照传统的互联网门户进行设计，应满足按照传统的同时在线用户是用户总规模的“20%原则”的并发要求，这样服务端的用户并发量是：15000×20%≈3000。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按照传统的同时在线用户是用户总规模的“20%原则”，这样“运营端”的用户并发量是：50×20%=10。治理端的用户并发量是：45×20%=9。</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39" w:name="_Toc13550"/>
      <w:r>
        <w:rPr>
          <w:rFonts w:hint="default" w:ascii="Times New Roman" w:hAnsi="Times New Roman" w:eastAsia="宋体" w:cs="Times New Roman"/>
          <w:b/>
          <w:bCs/>
          <w:highlight w:val="none"/>
          <w:lang w:val="en-US" w:eastAsia="zh-CN"/>
        </w:rPr>
        <w:t>2.2.2存储量</w:t>
      </w:r>
      <w:bookmarkEnd w:id="3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信息量的测算以数据库记录和数据报文形式存在，以下数据报文数据处理估算：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（1）初始数据量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系统初始数据包括全区物业报备的住户信息、备案房屋信息、备案的车辆信息；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住户信息量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约为15000条，每条3K；备案其他信息包括上传证照附件、备案附带信息等内容，预计每人附带3笔附带信息，每笔2M；</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初始数量：15000×3K+15000×3×2M=88.29G。</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备案房屋信息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备案房屋按照4100户左右进行测算，每户基本信息3K，备案附加信息包括房产证明等信息，预计每户附带5笔附带信息，每笔4M；</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初始数量：4100×3K+4100×5×4M=80G。</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备案的车辆信息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备案车辆信息按照车位配比1：0.5进行预估，预计2050个车位，每个车位基本信息3K，备案附加信息包括驾驶证等信息，预计每辆附带3笔附带信息，每笔2M；</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初始数量：2050×3K+2050×3×2M=12G。</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（2）业务数据量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未来社区业务数据量主要涉及的每个未来社区九大场景的相关运营数据，考虑到每个未来社区上架的具体应用根据各自特色会有所不同，初期按照每个场景一个应用，平均每个应用第一年的业务量按照50G测算。梅沁未来社区450G。</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并且业务量是以每年20%增长，5年后数据空间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将达450G+450G×20%×5=1800G，约900G。</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除以上电子报文，数据库记录存储容量：日志功能保留所有用户登录、系统梅沁未来社区数字化平台设计实施项目-技术文件授权、权限更改信息，保留用户在应用系统中的操作日志及有关系统日志。其数据量与系统的使用率和操作率相关，初步估算数据量为0.5TB/年左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综上，平台使用5年内初步估算业务数据总量2.8TB左右。</w:t>
      </w:r>
    </w:p>
    <w:bookmarkEnd w:id="37"/>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40" w:name="_Toc30730"/>
      <w:bookmarkStart w:id="41" w:name="_Toc65663416"/>
      <w:r>
        <w:rPr>
          <w:rFonts w:hint="default" w:ascii="Times New Roman" w:hAnsi="Times New Roman" w:eastAsia="宋体" w:cs="Times New Roman"/>
          <w:b/>
          <w:bCs/>
          <w:highlight w:val="none"/>
          <w:lang w:val="en-US" w:eastAsia="zh-CN"/>
        </w:rPr>
        <w:t>2.3性能需求</w:t>
      </w:r>
      <w:bookmarkEnd w:id="40"/>
      <w:bookmarkEnd w:id="4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项目开发应当满足但不限于以下性能指标要求：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➢软件系统维护及更新升级不能影响日常业务的开展。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➢采用多层级架构与体系结构，充分考虑到系统今后横向与纵向的扩展能力。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➢在网络环境稳定的条件下，单一界面操作的系统响应时间应该小于3秒。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➢对操作员录入的各种数据进行有效性校验，保证数据的可用性。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➢建立完善的系统运行监控体制，能够实时捕捉到系统在运行时的错误信息，并友好提示给系统用户，并做好记录，交给系统管理员及时处理修复。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➢系统应能充分考虑并满足需求量预测。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➢在数据输入上提供准备、快速、完整性的数据输入操作手段，实现应用系统在数据源发生地一次性输入数据，并提供多种数据字典辅助录入功能。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➢页面反应时间：6秒内符合要求，2秒为最佳。报表生成时间：30秒内符合要求，超大数据集60秒内处理完成。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➢数据交换架构：与码头数据同比，每天约10万条数据，数据同步频率2次/秒。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➢支持年数据量2000万条记录数据。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➢系统提供7X24小时的连续运行，平均年故障时间：&lt;1天，平均故障修复时间&lt;180分钟，平台按照99.99%的可靠性标准设计。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➢系统安全性好，按各用户的实际需求设定其严格安全等级来保证系统的可靠性。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➢具有较强的系统安全性和灾难恢复能力。</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42" w:name="_Toc55163431"/>
      <w:bookmarkStart w:id="43" w:name="_Toc65663417"/>
      <w:bookmarkStart w:id="44" w:name="_Toc1547"/>
      <w:r>
        <w:rPr>
          <w:rFonts w:hint="default" w:ascii="Times New Roman" w:hAnsi="Times New Roman" w:eastAsia="宋体" w:cs="Times New Roman"/>
          <w:b/>
          <w:bCs/>
          <w:highlight w:val="none"/>
          <w:lang w:val="en-US" w:eastAsia="zh-CN"/>
        </w:rPr>
        <w:t>2.4网络需求</w:t>
      </w:r>
      <w:bookmarkEnd w:id="42"/>
      <w:bookmarkEnd w:id="43"/>
      <w:bookmarkEnd w:id="4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本项目按照业务需求需要实现与高新区区住建局、区大数据局、辖区街道通过政务网进行对接，同时还要实现各个未来社区通过专网或VPN接入访问。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45" w:name="_Toc65663422"/>
      <w:bookmarkStart w:id="46" w:name="_Toc29119"/>
      <w:r>
        <w:rPr>
          <w:rFonts w:hint="default" w:ascii="Times New Roman" w:hAnsi="Times New Roman" w:eastAsia="宋体" w:cs="Times New Roman"/>
          <w:b/>
          <w:bCs/>
          <w:highlight w:val="none"/>
          <w:lang w:val="en-US" w:eastAsia="zh-CN"/>
        </w:rPr>
        <w:t>2.5安全需求</w:t>
      </w:r>
      <w:bookmarkEnd w:id="45"/>
      <w:bookmarkEnd w:id="4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2.5.1根据《国家信息化领导小组关于加强信息安全保障工作的意见》和《信息系统安全等级保护基本要求》等文件要求，结合本项目自身特点，制定信息安全体系，包括信息安全技术保障体系和信息安全管理保障体系两部分内容。其中，信息安全技术保障要求按照不同等级从物理安全、网络安全、数据和应用安全等方面做了不同的要求，信息安全管理保障要求按照不同等级从安全管理机构、安全管理制度、人员安全管理、系统建设管理和安全运维管理等方面做不同的要求。通过整个体系建设，充分保障平台各项应用的信息安全，形成一个信息安全保障的完整闭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2.5.2根据等保测评标准规范，本项目安全等级分析如下：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依据《信息安全技术网络安全等级保护定级指南》（GB/T22240-2020）的定级流程，得出项目系统自定级结果及定级理由；按照《信息安全技术网络安全等级保护基本要求》（GB/T22239-2019）及相关文件要求，对本项目进行信息安全保护工作。结合该项目的实际情况，将该项目的等级保护级别初步定为二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第二级的安全保护能力要求是：能够防护系统免受外来小型组织的、拥有少量资源的威胁源发起的恶意攻击、一般的自然灾难及其他的相应程度的威胁做造成的重要资源损害，能够发现重要的安全漏洞和安全事件，在遭受攻击损害后，具备在一段时间内恢复部分功能。为确保建成的系统符合等级保护的要求，根据《信息安全技术网络安全等级保护基本要求》(GB/T22239-2019)，在系统开发建设初期，就要按照等级保护的各项要求进行建设，避免后期返工给项目造成的损失。考虑到本项目应用系统部署在市政务云平台，项目基础环境安全（包括环境安全、网络安全、边界安全等）由政务云平台提供支撑。</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3.详细设计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47" w:name="_Toc5676"/>
      <w:bookmarkStart w:id="48" w:name="_Toc48287941"/>
      <w:r>
        <w:rPr>
          <w:rFonts w:hint="default" w:ascii="Times New Roman" w:hAnsi="Times New Roman" w:eastAsia="宋体" w:cs="Times New Roman"/>
          <w:b/>
          <w:bCs/>
          <w:highlight w:val="none"/>
          <w:lang w:val="en-US" w:eastAsia="zh-CN"/>
        </w:rPr>
        <w:t>3.1系统总体设计</w:t>
      </w:r>
      <w:bookmarkEnd w:id="47"/>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49" w:name="_Toc22019"/>
      <w:r>
        <w:rPr>
          <w:rFonts w:hint="default" w:ascii="Times New Roman" w:hAnsi="Times New Roman" w:eastAsia="宋体" w:cs="Times New Roman"/>
          <w:b/>
          <w:bCs/>
          <w:highlight w:val="none"/>
          <w:lang w:val="en-US" w:eastAsia="zh-CN"/>
        </w:rPr>
        <w:t>3.1.1总体架构</w:t>
      </w:r>
      <w:bookmarkEnd w:id="4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梅沁未来社区数字化建设以未来社区“113+N”架构为建设思路，即在社区空间尺度范围内建设社区智慧服务平台，构建智能感知系统形成社区数字基建，根据数字化改革总体要求和数字社会系统建设方案，充分衔接行业主管部门现有应用系统数据资源，贯通一体化智能化公共数据平台和城市大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梅沁未来社区智慧服务平台以“1N93”为总体框架，即“建设一个数字底座，落地N个应用，数字化赋能打造九大场景，融合治理端、运营端和服务端三端入口”。数字底座需具备兼容、可靠、安全的基层数据治理能力和应用集成能力，。其中主要包含社区应用中心、物联引擎、数据仓、空间数据资产、应用平台；基座的主要作用为九大场景提供技术及数据支撑。三个端分别为服务端、治理端和运营端。</w:t>
      </w: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anchor distT="0" distB="0" distL="114300" distR="114300" simplePos="0" relativeHeight="251659264" behindDoc="0" locked="0" layoutInCell="1" allowOverlap="1">
            <wp:simplePos x="0" y="0"/>
            <wp:positionH relativeFrom="column">
              <wp:posOffset>97790</wp:posOffset>
            </wp:positionH>
            <wp:positionV relativeFrom="paragraph">
              <wp:posOffset>227330</wp:posOffset>
            </wp:positionV>
            <wp:extent cx="5398770" cy="2844800"/>
            <wp:effectExtent l="0" t="0" r="11430" b="1270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398770" cy="28448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智能感知系统：由社区网络、终端及物联网设备组成，通过一体化构建实现社区人、物全连接，完成社区数据的实时采集与快速传递，为数字社区的建设提供坚实支撑。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数字基座：本次项目主要对接高新区统一未来社区数字底座，提供全区统一的社区公共数据中心和社区公共组件服务能力，为未来社区数字化建设提供基础关键数据贯通和公共组件服务。社区自建的九场景应用将依托区级数字底座应用商城实现应用的快速上架部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N个应用：围绕梅沁未来社区后续实际的建设及运营需求，以及贯穿梅沁社区党建统领的总体方针，打造九大场景数字化应用，同时遵循全省浙里·未来社区建设要求，以实现平台贯通、数据共享、综合集成为目的，集成现有的数字社会十二有应用及省市区统一建设应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三个端：三端入口应高效治理和居民体验为出发点，其中治理端为社区管理人员提供入口，运营端为物业、运营以及生态链服务企业提供入口；服务端依托“浙里办”或本地服务端口（支付宝和微信小程序等）为居民提供统一入口，按需引入智能交互终端，满足全龄段人群服务需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50" w:name="_Toc32762"/>
      <w:r>
        <w:rPr>
          <w:rFonts w:hint="default" w:ascii="Times New Roman" w:hAnsi="Times New Roman" w:eastAsia="宋体" w:cs="Times New Roman"/>
          <w:b/>
          <w:bCs/>
          <w:highlight w:val="none"/>
          <w:lang w:val="en-US" w:eastAsia="zh-CN"/>
        </w:rPr>
        <w:t>3.1.2数据联网架构图</w:t>
      </w:r>
      <w:bookmarkEnd w:id="5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drawing>
          <wp:inline distT="0" distB="0" distL="114300" distR="114300">
            <wp:extent cx="5326380" cy="2000250"/>
            <wp:effectExtent l="0" t="0" r="762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5326380" cy="2000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根据省未来社区数据联网架构图总体要求梅沁未来社区计划与政务有关的数据全部部署于政务网，并部署数据交换平台；通过数据交换平台实现互联网数据与政务数据的交互，所有接入到政务网的数据接口都需经过数据隔离网闸的保护，拒绝明文传输，对数据读取与上传双向加密。未来社区应用平台、社区智慧服务平台，互联网上的数据等部署于梅沁未来社区数据中心，数据中心以</w:t>
      </w:r>
      <w:r>
        <w:rPr>
          <w:rFonts w:hint="eastAsia" w:ascii="Times New Roman" w:hAnsi="Times New Roman" w:eastAsia="宋体" w:cs="Times New Roman"/>
          <w:highlight w:val="none"/>
          <w:lang w:val="en-US" w:eastAsia="zh-CN"/>
        </w:rPr>
        <w:t>二</w:t>
      </w:r>
      <w:r>
        <w:rPr>
          <w:rFonts w:hint="default" w:ascii="Times New Roman" w:hAnsi="Times New Roman" w:eastAsia="宋体" w:cs="Times New Roman"/>
          <w:highlight w:val="none"/>
          <w:lang w:val="en-US" w:eastAsia="zh-CN"/>
        </w:rPr>
        <w:t>级等保的要求进行建设。</w:t>
      </w:r>
    </w:p>
    <w:p>
      <w:pPr>
        <w:pStyle w:val="2"/>
        <w:spacing w:line="240" w:lineRule="auto"/>
        <w:rPr>
          <w:rFonts w:hint="default" w:ascii="Times New Roman" w:hAnsi="Times New Roman" w:cs="Times New Roman"/>
          <w:b/>
          <w:bCs/>
          <w:sz w:val="21"/>
          <w:szCs w:val="21"/>
          <w:highlight w:val="none"/>
          <w:lang w:val="en-US" w:eastAsia="zh-CN"/>
        </w:rPr>
      </w:pPr>
      <w:bookmarkStart w:id="51" w:name="_Toc15757"/>
      <w:r>
        <w:rPr>
          <w:rFonts w:hint="default" w:ascii="Times New Roman" w:hAnsi="Times New Roman" w:eastAsia="宋体" w:cs="Times New Roman"/>
          <w:b/>
          <w:bCs/>
          <w:kern w:val="2"/>
          <w:sz w:val="21"/>
          <w:szCs w:val="21"/>
          <w:highlight w:val="none"/>
          <w:lang w:val="en-US" w:eastAsia="zh-CN" w:bidi="ar-SA"/>
        </w:rPr>
        <w:t>3.1.3路线图</w:t>
      </w:r>
      <w:bookmarkEnd w:id="51"/>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anchor distT="0" distB="0" distL="114300" distR="114300" simplePos="0" relativeHeight="251660288" behindDoc="0" locked="0" layoutInCell="1" allowOverlap="1">
            <wp:simplePos x="0" y="0"/>
            <wp:positionH relativeFrom="column">
              <wp:posOffset>807085</wp:posOffset>
            </wp:positionH>
            <wp:positionV relativeFrom="paragraph">
              <wp:posOffset>61595</wp:posOffset>
            </wp:positionV>
            <wp:extent cx="3837305" cy="2018665"/>
            <wp:effectExtent l="0" t="0" r="10795" b="635"/>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3837305" cy="2018665"/>
                    </a:xfrm>
                    <a:prstGeom prst="rect">
                      <a:avLst/>
                    </a:prstGeom>
                    <a:noFill/>
                    <a:ln>
                      <a:noFill/>
                    </a:ln>
                  </pic:spPr>
                </pic:pic>
              </a:graphicData>
            </a:graphic>
          </wp:anchor>
        </w:drawing>
      </w:r>
    </w:p>
    <w:p>
      <w:pPr>
        <w:pStyle w:val="2"/>
        <w:rPr>
          <w:rFonts w:hint="default" w:ascii="Times New Roman" w:hAnsi="Times New Roman" w:cs="Times New Roman"/>
          <w:highlight w:val="none"/>
          <w:lang w:val="en-US" w:eastAsia="zh-CN"/>
        </w:rPr>
      </w:pPr>
      <w:bookmarkStart w:id="52" w:name="_Toc10907"/>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spacing w:line="240" w:lineRule="auto"/>
        <w:rPr>
          <w:rFonts w:hint="default" w:ascii="Times New Roman" w:hAnsi="Times New Roman" w:eastAsia="宋体" w:cs="Times New Roman"/>
          <w:b/>
          <w:bCs/>
          <w:kern w:val="2"/>
          <w:sz w:val="21"/>
          <w:szCs w:val="24"/>
          <w:highlight w:val="none"/>
          <w:lang w:val="en-US" w:eastAsia="zh-CN" w:bidi="ar-SA"/>
        </w:rPr>
      </w:pPr>
    </w:p>
    <w:p>
      <w:pPr>
        <w:pStyle w:val="2"/>
        <w:spacing w:line="240" w:lineRule="auto"/>
        <w:rPr>
          <w:rFonts w:hint="default" w:ascii="Times New Roman" w:hAnsi="Times New Roman" w:eastAsia="宋体" w:cs="Times New Roman"/>
          <w:b/>
          <w:bCs/>
          <w:kern w:val="2"/>
          <w:sz w:val="21"/>
          <w:szCs w:val="24"/>
          <w:highlight w:val="none"/>
          <w:lang w:val="en-US" w:eastAsia="zh-CN" w:bidi="ar-SA"/>
        </w:rPr>
      </w:pPr>
    </w:p>
    <w:p>
      <w:pPr>
        <w:pStyle w:val="2"/>
        <w:spacing w:line="240" w:lineRule="auto"/>
        <w:rPr>
          <w:rFonts w:hint="default" w:ascii="Times New Roman" w:hAnsi="Times New Roman" w:eastAsia="宋体" w:cs="Times New Roman"/>
          <w:b/>
          <w:bCs/>
          <w:kern w:val="2"/>
          <w:sz w:val="21"/>
          <w:szCs w:val="24"/>
          <w:highlight w:val="none"/>
          <w:lang w:val="en-US" w:eastAsia="zh-CN" w:bidi="ar-SA"/>
        </w:rPr>
      </w:pPr>
      <w:r>
        <w:rPr>
          <w:rFonts w:hint="default" w:ascii="Times New Roman" w:hAnsi="Times New Roman" w:eastAsia="宋体" w:cs="Times New Roman"/>
          <w:b/>
          <w:bCs/>
          <w:kern w:val="2"/>
          <w:sz w:val="21"/>
          <w:szCs w:val="24"/>
          <w:highlight w:val="none"/>
          <w:lang w:val="en-US" w:eastAsia="zh-CN" w:bidi="ar-SA"/>
        </w:rPr>
        <w:t>3.1.4区级平台与项目平台的关系</w:t>
      </w:r>
      <w:bookmarkEnd w:id="52"/>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bookmarkStart w:id="53" w:name="_Toc10637"/>
      <w:r>
        <w:rPr>
          <w:rFonts w:hint="default" w:ascii="Times New Roman" w:hAnsi="Times New Roman" w:cs="Times New Roman"/>
          <w:highlight w:val="none"/>
          <w:lang w:val="en-US" w:eastAsia="zh-CN"/>
        </w:rPr>
        <w:drawing>
          <wp:anchor distT="0" distB="0" distL="114300" distR="114300" simplePos="0" relativeHeight="251661312" behindDoc="0" locked="0" layoutInCell="1" allowOverlap="1">
            <wp:simplePos x="0" y="0"/>
            <wp:positionH relativeFrom="column">
              <wp:posOffset>98425</wp:posOffset>
            </wp:positionH>
            <wp:positionV relativeFrom="paragraph">
              <wp:posOffset>37465</wp:posOffset>
            </wp:positionV>
            <wp:extent cx="5266055" cy="3808730"/>
            <wp:effectExtent l="0" t="0" r="10795" b="1270"/>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0"/>
                    <a:stretch>
                      <a:fillRect/>
                    </a:stretch>
                  </pic:blipFill>
                  <pic:spPr>
                    <a:xfrm>
                      <a:off x="0" y="0"/>
                      <a:ext cx="5266055" cy="3808730"/>
                    </a:xfrm>
                    <a:prstGeom prst="rect">
                      <a:avLst/>
                    </a:prstGeom>
                    <a:noFill/>
                    <a:ln>
                      <a:noFill/>
                    </a:ln>
                  </pic:spPr>
                </pic:pic>
              </a:graphicData>
            </a:graphic>
          </wp:anchor>
        </w:drawing>
      </w:r>
    </w:p>
    <w:p>
      <w:pPr>
        <w:pStyle w:val="2"/>
        <w:spacing w:line="240" w:lineRule="auto"/>
        <w:rPr>
          <w:rFonts w:hint="default" w:ascii="Times New Roman" w:hAnsi="Times New Roman" w:eastAsia="宋体" w:cs="Times New Roman"/>
          <w:b/>
          <w:bCs/>
          <w:kern w:val="2"/>
          <w:sz w:val="21"/>
          <w:szCs w:val="24"/>
          <w:highlight w:val="none"/>
          <w:lang w:val="en-US" w:eastAsia="zh-CN" w:bidi="ar-SA"/>
        </w:rPr>
      </w:pPr>
      <w:r>
        <w:rPr>
          <w:rFonts w:hint="default" w:ascii="Times New Roman" w:hAnsi="Times New Roman" w:eastAsia="宋体" w:cs="Times New Roman"/>
          <w:b/>
          <w:bCs/>
          <w:kern w:val="2"/>
          <w:sz w:val="21"/>
          <w:szCs w:val="24"/>
          <w:highlight w:val="none"/>
          <w:lang w:val="en-US" w:eastAsia="zh-CN" w:bidi="ar-SA"/>
        </w:rPr>
        <w:t>3.1.5业务流程</w:t>
      </w:r>
      <w:r>
        <w:rPr>
          <w:rFonts w:hint="eastAsia" w:cs="Times New Roman"/>
          <w:b/>
          <w:bCs/>
          <w:kern w:val="2"/>
          <w:sz w:val="21"/>
          <w:szCs w:val="24"/>
          <w:highlight w:val="none"/>
          <w:lang w:val="en-US" w:eastAsia="zh-CN" w:bidi="ar-SA"/>
        </w:rPr>
        <w:t>要求</w:t>
      </w:r>
      <w:bookmarkEnd w:id="53"/>
    </w:p>
    <w:p>
      <w:pPr>
        <w:pStyle w:val="2"/>
        <w:spacing w:line="240" w:lineRule="auto"/>
        <w:rPr>
          <w:rFonts w:hint="default" w:ascii="Times New Roman" w:hAnsi="Times New Roman" w:eastAsia="宋体" w:cs="Times New Roman"/>
          <w:b/>
          <w:bCs/>
          <w:kern w:val="2"/>
          <w:sz w:val="21"/>
          <w:szCs w:val="24"/>
          <w:highlight w:val="none"/>
          <w:lang w:val="en-US" w:eastAsia="zh-CN" w:bidi="ar-SA"/>
        </w:rPr>
      </w:pPr>
      <w:r>
        <w:rPr>
          <w:rFonts w:hint="default" w:ascii="Times New Roman" w:hAnsi="Times New Roman" w:eastAsia="宋体" w:cs="Times New Roman"/>
          <w:b/>
          <w:bCs/>
          <w:kern w:val="2"/>
          <w:sz w:val="21"/>
          <w:szCs w:val="24"/>
          <w:highlight w:val="none"/>
          <w:lang w:val="en-US" w:eastAsia="zh-CN" w:bidi="ar-SA"/>
        </w:rPr>
        <w:t>3.1.5.1志愿服务业务流程</w:t>
      </w: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anchor distT="0" distB="0" distL="114300" distR="114300" simplePos="0" relativeHeight="251662336" behindDoc="0" locked="0" layoutInCell="1" allowOverlap="1">
            <wp:simplePos x="0" y="0"/>
            <wp:positionH relativeFrom="column">
              <wp:posOffset>1102995</wp:posOffset>
            </wp:positionH>
            <wp:positionV relativeFrom="paragraph">
              <wp:posOffset>15875</wp:posOffset>
            </wp:positionV>
            <wp:extent cx="2926715" cy="4205605"/>
            <wp:effectExtent l="0" t="0" r="6985" b="4445"/>
            <wp:wrapSquare wrapText="bothSides"/>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1"/>
                    <a:srcRect l="52733"/>
                    <a:stretch>
                      <a:fillRect/>
                    </a:stretch>
                  </pic:blipFill>
                  <pic:spPr>
                    <a:xfrm>
                      <a:off x="0" y="0"/>
                      <a:ext cx="2926715" cy="4205605"/>
                    </a:xfrm>
                    <a:prstGeom prst="rect">
                      <a:avLst/>
                    </a:prstGeom>
                    <a:noFill/>
                    <a:ln>
                      <a:noFill/>
                    </a:ln>
                  </pic:spPr>
                </pic:pic>
              </a:graphicData>
            </a:graphic>
          </wp:anchor>
        </w:drawing>
      </w:r>
    </w:p>
    <w:p>
      <w:pPr>
        <w:pStyle w:val="2"/>
        <w:spacing w:line="24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br w:type="page"/>
      </w:r>
      <w:r>
        <w:rPr>
          <w:rFonts w:hint="default" w:ascii="Times New Roman" w:hAnsi="Times New Roman" w:eastAsia="宋体" w:cs="Times New Roman"/>
          <w:b/>
          <w:bCs/>
          <w:kern w:val="2"/>
          <w:sz w:val="21"/>
          <w:szCs w:val="24"/>
          <w:highlight w:val="none"/>
          <w:lang w:val="en-US" w:eastAsia="zh-CN" w:bidi="ar-SA"/>
        </w:rPr>
        <w:t>3.1.5.2邻里互助业务流程</w:t>
      </w: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anchor distT="0" distB="0" distL="114300" distR="114300" simplePos="0" relativeHeight="251663360" behindDoc="0" locked="0" layoutInCell="1" allowOverlap="1">
            <wp:simplePos x="0" y="0"/>
            <wp:positionH relativeFrom="column">
              <wp:posOffset>448945</wp:posOffset>
            </wp:positionH>
            <wp:positionV relativeFrom="paragraph">
              <wp:posOffset>106680</wp:posOffset>
            </wp:positionV>
            <wp:extent cx="3517900" cy="8434070"/>
            <wp:effectExtent l="0" t="0" r="6350" b="5080"/>
            <wp:wrapSquare wrapText="bothSides"/>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2"/>
                    <a:stretch>
                      <a:fillRect/>
                    </a:stretch>
                  </pic:blipFill>
                  <pic:spPr>
                    <a:xfrm>
                      <a:off x="0" y="0"/>
                      <a:ext cx="3517900" cy="8434070"/>
                    </a:xfrm>
                    <a:prstGeom prst="rect">
                      <a:avLst/>
                    </a:prstGeom>
                    <a:noFill/>
                    <a:ln>
                      <a:noFill/>
                    </a:ln>
                  </pic:spPr>
                </pic:pic>
              </a:graphicData>
            </a:graphic>
          </wp:anchor>
        </w:drawing>
      </w: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spacing w:line="240" w:lineRule="auto"/>
        <w:rPr>
          <w:rFonts w:hint="default" w:ascii="Times New Roman" w:hAnsi="Times New Roman" w:eastAsia="宋体" w:cs="Times New Roman"/>
          <w:b/>
          <w:bCs/>
          <w:kern w:val="2"/>
          <w:sz w:val="21"/>
          <w:szCs w:val="24"/>
          <w:highlight w:val="none"/>
          <w:lang w:val="en-US" w:eastAsia="zh-CN" w:bidi="ar-SA"/>
        </w:rPr>
      </w:pPr>
      <w:r>
        <w:rPr>
          <w:rFonts w:hint="default" w:ascii="Times New Roman" w:hAnsi="Times New Roman" w:eastAsia="宋体" w:cs="Times New Roman"/>
          <w:b/>
          <w:bCs/>
          <w:kern w:val="2"/>
          <w:sz w:val="21"/>
          <w:szCs w:val="24"/>
          <w:highlight w:val="none"/>
          <w:lang w:val="en-US" w:eastAsia="zh-CN" w:bidi="ar-SA"/>
        </w:rPr>
        <w:t>3.1.5.3社区闲鱼业务流程</w:t>
      </w: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anchor distT="0" distB="0" distL="114300" distR="114300" simplePos="0" relativeHeight="251664384" behindDoc="0" locked="0" layoutInCell="1" allowOverlap="1">
            <wp:simplePos x="0" y="0"/>
            <wp:positionH relativeFrom="column">
              <wp:posOffset>323215</wp:posOffset>
            </wp:positionH>
            <wp:positionV relativeFrom="paragraph">
              <wp:posOffset>57785</wp:posOffset>
            </wp:positionV>
            <wp:extent cx="3593465" cy="8440420"/>
            <wp:effectExtent l="0" t="0" r="6985" b="17780"/>
            <wp:wrapSquare wrapText="bothSides"/>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3"/>
                    <a:stretch>
                      <a:fillRect/>
                    </a:stretch>
                  </pic:blipFill>
                  <pic:spPr>
                    <a:xfrm>
                      <a:off x="0" y="0"/>
                      <a:ext cx="3593465" cy="8440420"/>
                    </a:xfrm>
                    <a:prstGeom prst="rect">
                      <a:avLst/>
                    </a:prstGeom>
                    <a:noFill/>
                    <a:ln>
                      <a:noFill/>
                    </a:ln>
                  </pic:spPr>
                </pic:pic>
              </a:graphicData>
            </a:graphic>
          </wp:anchor>
        </w:drawing>
      </w: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spacing w:line="240" w:lineRule="auto"/>
        <w:rPr>
          <w:rFonts w:hint="default" w:ascii="Times New Roman" w:hAnsi="Times New Roman" w:eastAsia="宋体" w:cs="Times New Roman"/>
          <w:b/>
          <w:bCs/>
          <w:kern w:val="2"/>
          <w:sz w:val="21"/>
          <w:szCs w:val="24"/>
          <w:highlight w:val="none"/>
          <w:lang w:val="en-US" w:eastAsia="zh-CN" w:bidi="ar-SA"/>
        </w:rPr>
      </w:pPr>
      <w:r>
        <w:rPr>
          <w:rFonts w:hint="default" w:ascii="Times New Roman" w:hAnsi="Times New Roman" w:eastAsia="宋体" w:cs="Times New Roman"/>
          <w:b/>
          <w:bCs/>
          <w:kern w:val="2"/>
          <w:sz w:val="21"/>
          <w:szCs w:val="24"/>
          <w:highlight w:val="none"/>
          <w:lang w:val="en-US" w:eastAsia="zh-CN" w:bidi="ar-SA"/>
        </w:rPr>
        <w:t>3.1.5.4梅沁幼托业务流程</w:t>
      </w: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anchor distT="0" distB="0" distL="114300" distR="114300" simplePos="0" relativeHeight="251665408" behindDoc="0" locked="0" layoutInCell="1" allowOverlap="1">
            <wp:simplePos x="0" y="0"/>
            <wp:positionH relativeFrom="column">
              <wp:posOffset>-20320</wp:posOffset>
            </wp:positionH>
            <wp:positionV relativeFrom="paragraph">
              <wp:posOffset>86995</wp:posOffset>
            </wp:positionV>
            <wp:extent cx="5270500" cy="6968490"/>
            <wp:effectExtent l="0" t="0" r="6350" b="3810"/>
            <wp:wrapSquare wrapText="bothSides"/>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4"/>
                    <a:stretch>
                      <a:fillRect/>
                    </a:stretch>
                  </pic:blipFill>
                  <pic:spPr>
                    <a:xfrm>
                      <a:off x="0" y="0"/>
                      <a:ext cx="5270500" cy="6968490"/>
                    </a:xfrm>
                    <a:prstGeom prst="rect">
                      <a:avLst/>
                    </a:prstGeom>
                    <a:noFill/>
                    <a:ln>
                      <a:noFill/>
                    </a:ln>
                  </pic:spPr>
                </pic:pic>
              </a:graphicData>
            </a:graphic>
          </wp:anchor>
        </w:drawing>
      </w: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br w:type="page"/>
      </w:r>
    </w:p>
    <w:p>
      <w:pPr>
        <w:pStyle w:val="2"/>
        <w:spacing w:line="240" w:lineRule="auto"/>
        <w:rPr>
          <w:rFonts w:hint="default" w:ascii="Times New Roman" w:hAnsi="Times New Roman"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3.1.5.5幸福学堂业务流程</w:t>
      </w: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anchor distT="0" distB="0" distL="114300" distR="114300" simplePos="0" relativeHeight="251666432" behindDoc="0" locked="0" layoutInCell="1" allowOverlap="1">
            <wp:simplePos x="0" y="0"/>
            <wp:positionH relativeFrom="column">
              <wp:posOffset>257810</wp:posOffset>
            </wp:positionH>
            <wp:positionV relativeFrom="paragraph">
              <wp:posOffset>78105</wp:posOffset>
            </wp:positionV>
            <wp:extent cx="4387215" cy="6821170"/>
            <wp:effectExtent l="0" t="0" r="13335" b="17780"/>
            <wp:wrapSquare wrapText="bothSides"/>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pic:cNvPicPr>
                      <a:picLocks noChangeAspect="1"/>
                    </pic:cNvPicPr>
                  </pic:nvPicPr>
                  <pic:blipFill>
                    <a:blip r:embed="rId15"/>
                    <a:srcRect t="5058"/>
                    <a:stretch>
                      <a:fillRect/>
                    </a:stretch>
                  </pic:blipFill>
                  <pic:spPr>
                    <a:xfrm>
                      <a:off x="0" y="0"/>
                      <a:ext cx="4387215" cy="6821170"/>
                    </a:xfrm>
                    <a:prstGeom prst="rect">
                      <a:avLst/>
                    </a:prstGeom>
                    <a:noFill/>
                    <a:ln>
                      <a:noFill/>
                    </a:ln>
                  </pic:spPr>
                </pic:pic>
              </a:graphicData>
            </a:graphic>
          </wp:anchor>
        </w:drawing>
      </w: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spacing w:line="240" w:lineRule="auto"/>
        <w:rPr>
          <w:rFonts w:hint="default" w:ascii="Times New Roman" w:hAnsi="Times New Roman" w:eastAsia="宋体" w:cs="Times New Roman"/>
          <w:b/>
          <w:bCs/>
          <w:sz w:val="21"/>
          <w:szCs w:val="21"/>
          <w:highlight w:val="none"/>
          <w:lang w:val="en-US" w:eastAsia="zh-CN"/>
        </w:rPr>
      </w:pPr>
      <w:r>
        <w:rPr>
          <w:rFonts w:hint="default" w:ascii="Times New Roman" w:hAnsi="Times New Roman" w:eastAsia="宋体" w:cs="Times New Roman"/>
          <w:b/>
          <w:bCs/>
          <w:sz w:val="21"/>
          <w:szCs w:val="21"/>
          <w:highlight w:val="none"/>
          <w:lang w:val="en-US" w:eastAsia="zh-CN"/>
        </w:rPr>
        <w:t>3.1.5.6梅沁社区团购业务流程</w:t>
      </w: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anchor distT="0" distB="0" distL="114300" distR="114300" simplePos="0" relativeHeight="251667456" behindDoc="0" locked="0" layoutInCell="1" allowOverlap="1">
            <wp:simplePos x="0" y="0"/>
            <wp:positionH relativeFrom="column">
              <wp:posOffset>177800</wp:posOffset>
            </wp:positionH>
            <wp:positionV relativeFrom="paragraph">
              <wp:posOffset>102235</wp:posOffset>
            </wp:positionV>
            <wp:extent cx="5273040" cy="6847840"/>
            <wp:effectExtent l="0" t="0" r="3810" b="10160"/>
            <wp:wrapSquare wrapText="bothSides"/>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16"/>
                    <a:stretch>
                      <a:fillRect/>
                    </a:stretch>
                  </pic:blipFill>
                  <pic:spPr>
                    <a:xfrm>
                      <a:off x="0" y="0"/>
                      <a:ext cx="5273040" cy="6847840"/>
                    </a:xfrm>
                    <a:prstGeom prst="rect">
                      <a:avLst/>
                    </a:prstGeom>
                    <a:noFill/>
                    <a:ln>
                      <a:noFill/>
                    </a:ln>
                  </pic:spPr>
                </pic:pic>
              </a:graphicData>
            </a:graphic>
          </wp:anchor>
        </w:drawing>
      </w:r>
    </w:p>
    <w:p>
      <w:pPr>
        <w:pStyle w:val="2"/>
        <w:spacing w:line="24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br w:type="page"/>
      </w:r>
      <w:r>
        <w:rPr>
          <w:rFonts w:hint="default" w:ascii="Times New Roman" w:hAnsi="Times New Roman" w:cs="Times New Roman"/>
          <w:b/>
          <w:bCs/>
          <w:sz w:val="21"/>
          <w:szCs w:val="21"/>
          <w:highlight w:val="none"/>
          <w:lang w:val="en-US" w:eastAsia="zh-CN"/>
        </w:rPr>
        <w:t>3.1.5.7</w:t>
      </w:r>
      <w:r>
        <w:rPr>
          <w:rFonts w:hint="default" w:ascii="Times New Roman" w:hAnsi="Times New Roman" w:eastAsia="宋体" w:cs="Times New Roman"/>
          <w:b/>
          <w:bCs/>
          <w:sz w:val="21"/>
          <w:szCs w:val="21"/>
          <w:highlight w:val="none"/>
          <w:lang w:val="en-US" w:eastAsia="zh-CN"/>
        </w:rPr>
        <w:t>家政服务业务流程</w:t>
      </w: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anchor distT="0" distB="0" distL="114300" distR="114300" simplePos="0" relativeHeight="251668480" behindDoc="0" locked="0" layoutInCell="1" allowOverlap="1">
            <wp:simplePos x="0" y="0"/>
            <wp:positionH relativeFrom="column">
              <wp:posOffset>8255</wp:posOffset>
            </wp:positionH>
            <wp:positionV relativeFrom="paragraph">
              <wp:posOffset>86995</wp:posOffset>
            </wp:positionV>
            <wp:extent cx="5168265" cy="7534275"/>
            <wp:effectExtent l="0" t="0" r="13335" b="9525"/>
            <wp:wrapSquare wrapText="bothSides"/>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7"/>
                    <a:stretch>
                      <a:fillRect/>
                    </a:stretch>
                  </pic:blipFill>
                  <pic:spPr>
                    <a:xfrm>
                      <a:off x="0" y="0"/>
                      <a:ext cx="5168265" cy="7534275"/>
                    </a:xfrm>
                    <a:prstGeom prst="rect">
                      <a:avLst/>
                    </a:prstGeom>
                    <a:noFill/>
                    <a:ln>
                      <a:noFill/>
                    </a:ln>
                  </pic:spPr>
                </pic:pic>
              </a:graphicData>
            </a:graphic>
          </wp:anchor>
        </w:drawing>
      </w:r>
    </w:p>
    <w:p>
      <w:pPr>
        <w:pStyle w:val="2"/>
        <w:rPr>
          <w:rFonts w:hint="default" w:ascii="Times New Roman" w:hAnsi="Times New Roman" w:cs="Times New Roman"/>
          <w:highlight w:val="none"/>
          <w:lang w:val="en-US" w:eastAsia="zh-CN"/>
        </w:rPr>
      </w:pPr>
      <w:bookmarkStart w:id="54" w:name="_Toc29719"/>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3.1.6技术路线设计</w:t>
      </w:r>
      <w:bookmarkEnd w:id="54"/>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3.1.6.1采用开放的技术体系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梅沁未来社区各场景集成于统一平台，采用B/S技术体系，在构建于B/S三层应用体系结构之上，将复杂的业务逻辑、流程控制逻辑和数据存取逻辑通过在不同的技术层面上实现，在应用服务器之上，实现业务逻辑的快速部署和灵活调整，充分保证数据库系统的安全可靠访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3.1.6.2 B/S架构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支持B/S（Browser/Server，浏览器/服务器模式）的多层技术架构，支持各类主流浏览器内核并兼容各类主流浏览器及其不同版本。</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多层B/S结构是将应用功能分成表示层、业务逻辑层和数据层三部分。其解决方案是对这三层进行明确分割，并在逻辑上使其独立。分层是从逻辑上将子系统划分成许多集合，而层间关系的形成要遵循一定的规则。通过分层可以降低子系统间的依赖关系，使系统以更松散的方式耦合，从而更易于建设、维护和进化；可以根据业务的变化，通过快速开发或者配置调整系统以适应系统新的业务需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本项目在技术体系上选用J2EE体系结构，软件体系结构模式选择“层模型”，采用B/S/D三层结构进行应用系统的开发。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浏览器Browser/WEB服务器Server/数据库服务器Database是解决公共信息服务以及交互相应动态服务最适用的一种应用模型。实现了真正意义上的瘦采购人，大大简化了应用系统的分发、配置管理和版本管理工作。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对于可视化应用除基于浏览器的方式之外，针对有特殊展现需求的用户还提供客户端的展示工具，主要是向移动终端如iPhone、iPad、Android手机操作系统的客户端版本，满足各类用户的实际应用需要。用户可以通过门户子站系统获取所需要展示的数据到本地，再加载到工具中进行展示，一是能够提供比浏览器更加丰富的动态展现方式，二是减小对服务器的压力。</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相比较传统的两层（C/S）结构而言，三层（多层）结构具有如下优点：系统管理简单,大大减少客户机维护工作量；具有灵活的软、硬件系统构成；提高程序的可维护性和可扩展性；增加了系统的安全性。</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3.1.6.3 HTML5</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HTML5作为开发的新技术，有以下优点：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1.提高了可用性和改进用户的友好体验，符合新时代的审美观念；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2.有几个新的标签，这将有助于开发人员定义重要的内容。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3.可以给web开发带来更多的多媒体元素(视频和音频)；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4.可以很好的替代FLASH和Silverlight；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5.对于SEO很友好，利于引导用户流量；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6.符合主流开发趋势，今后将被大量应用；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7.主流浏览器如IE9-IE11，360浏览器，chrome浏览器等支持HTML5技术。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3.1.6.4 ETL</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ETL服务的主要任务是完成数据的抽取、转换和加载的工作。通过ETL，将所需的数据从数据源中抽取出来，并对数据按照一定的规则进行清洗、集成、转换、汇总等处理工作，最后将处理完的数据加载到数据仓库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（1）抽取模块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抽取主要是针对各业务系统及不同网点的分散数据，充分理解数据定义后，规划需要的数据源及数据定义，指定可操作的数据源，指定增量抽取的定义。ETL需要多种数据源格式，比如：平面文件、电子表格、文本文件、关系型数据库和常见的数据仓库数据源。支持采用JDBC等多种方式访问安可数据库，支持安可数据库访问API。支持数据存储和安可数据库之间的双向数据提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（2）转换模块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数据转换是ETL中最复杂的处理过程，主要完成了从源数据向目标数据转换的各种处理。在数据转换的过程中必须深刻的了解和认识源数据信息，识别异常数据情况，建立从源数据到目标数据的映射规则。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在映射的过程中，有些信息是直接可以从源数据得到的，有些并不能从源数据直接得到，需要进行复杂的加工处理过程，因此需要对ETL工具提出一定的计算、合并、拆分等转换操作要求。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常用的转换要求有：字段映射；映射的自动匹配；字段的拆分；多字段的混合运算；跨异构数据库的关联；自定义函数；多数据类型支持；复杂条件过滤；时间类型的转换；对各种码表的支持；环境变量可以动态修改；记录间合并或计算；记录拆分；行、列变换；排序；统计；支持度量等常用的转换函数；抽取远程数据；增量抽取的处理方式；在转换过程中支持数据比较；数据清洗及标准化；按行、按列的分组聚合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常可以将清洗（Cleansing）部分也看作是转换的一部分，在转换的过程中把数据一并清洗。清洗主要是针对系统的各个环节可能出现的数据二义性、重复、不完整、违反业务规则等问题，允许通过试抽取、将有问题的记录先剔除出来，根据实际情况调整相应的清洗操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（3）加载模块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加载主要是将经过转换的数据加载到数据中心里面，可以通过数据文件直接加载或直连数据库的方式来进行数据加载，可以充分体现高效性。在应用的时候可以随时调整数据抽取工作的运行方式，可以灵活的集成到其他管理系统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数据加载策略要考虑加载周期及数据追加策略两方面的内容。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根据业务数据的实际情况，加载周期要综合考虑业务分析需求和系统加载的代价，对不同业务系统的数据采用不同的加载周期，但必须保持同一时间业务数据的完整性。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数据的追加策略根据数据的抽取策略以及业务规则确定，一般有直接追加、全部覆盖、更新追加三种类型。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具体采取何种方式，要综合考虑效率、业务实现等因素。建议数据量数据采用追加方式，而用量较小数据采用覆盖方式。</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3.1.6.5采用标准的服务接口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采用WebService和XML作为系统接口的数据交换标准，符合SOA的规范要求，进行信息资源整合。XML/JSON能够有效地表达网络上的各种知识，为信息的交换和计算提供新的载体。Webservices是一种新的web应用程序分支，他们是自包含、自描述、模块化的应用，可以发布、定位、通过web调用。Webservice可以执行从简单的请求到复杂商务处理的任何功能。一旦部署以后，其他webservices应用程序可以发现并调用它部署的服务。XML及WebService是数据沟通和交换的重要手段。</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3.1.6.6具备权限控制体系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提供科学完善的权限管理及控制体系，支持分级授权管理，可通过角色和数据范围设置满足多级单位集中使用一套单点登录系统的复杂要求。基于以角色为基础的访问控制模型(RBAC:Role-BaseAcessControlModel)，提供统一、先进、规范的权限控制以保证系统的安全性。所有用户的访问权限基于自己隶属的角色。划分操作权限和数据访问权限，操作包括应用模块和模块拥有的元操作，数据权限是对业务数据的查看、编辑、操作等进行控制。通过对业务功能操作和数据进行分组、划分授权范围，实现政务应用中不能类型用户人员的责权分离。</w:t>
      </w:r>
    </w:p>
    <w:bookmarkEnd w:id="48"/>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55" w:name="_Toc12617"/>
      <w:r>
        <w:rPr>
          <w:rFonts w:hint="default" w:ascii="Times New Roman" w:hAnsi="Times New Roman" w:eastAsia="宋体" w:cs="Times New Roman"/>
          <w:b/>
          <w:bCs/>
          <w:highlight w:val="none"/>
          <w:lang w:val="en-US" w:eastAsia="zh-CN"/>
        </w:rPr>
        <w:t>3.1.6.7业务应用层</w:t>
      </w:r>
      <w:bookmarkEnd w:id="55"/>
      <w:r>
        <w:rPr>
          <w:rFonts w:hint="eastAsia" w:ascii="Times New Roman" w:hAnsi="Times New Roman" w:eastAsia="宋体" w:cs="Times New Roman"/>
          <w:b/>
          <w:bCs/>
          <w:highlight w:val="none"/>
          <w:lang w:val="en-US" w:eastAsia="zh-CN"/>
        </w:rPr>
        <w:t>建设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梅沁未来社区依托高新区统一未来社区数字底座，通过底座应用商城上传社区自建应用。应用分为三大部分，社区自建应用、底座应用、数字社会十二有应用。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自建应用：志愿服务、邻里群团、邻里互助、社区闲鱼、幸福学堂、梅沁托幼、智能图书借阅、特殊中医预约、活力健身、智慧健康管理、智慧康养、梅沁社区团购、社区食堂、社区车辆登记、社区方志、家政服务、微网格管理、特殊人口管理、智慧党建、数字安防、数字社区、众创空间、双创服务、能耗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底座应用：社区达人、社群管理、投票表决、邻里公约、活动广场、每日签到、场馆预约、运动打卡、社区商圈、社区管家、社区积分、社区广播、社区报修、随手拍、社区超话、社区问卷。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数字社会十二有应用：甬上云校、浙里善育、健康宁波、宁波实时公交。</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56" w:name="_Toc2675"/>
      <w:r>
        <w:rPr>
          <w:rFonts w:hint="default" w:ascii="Times New Roman" w:hAnsi="Times New Roman" w:eastAsia="宋体" w:cs="Times New Roman"/>
          <w:b/>
          <w:bCs/>
          <w:highlight w:val="none"/>
          <w:lang w:val="en-US" w:eastAsia="zh-CN"/>
        </w:rPr>
        <w:t>3.2.1未来邻里场景应用</w:t>
      </w:r>
      <w:bookmarkEnd w:id="56"/>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3.2.1.1志愿服务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3.2.1.1.1应用概述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社区志愿者是以社区为范围无偿主动承担社会责任的人。社区志愿者是指以社区为范围，在不为任何物质报酬的情况下，能够主动承担社会责任而不关心报酬奉献个人的时间及精神的人。志愿者服务功能将为为社区志愿者提供一个资格报名入口，支持用户一键录入提交资格内容数据进行后台审核，申请审核通过后能拥有参与志愿者活动的权限。</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3.2.1.1.</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用户端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支持通过首页banner、服务页功能等多入口进入资格材料提交申请页；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支持填写基本信息和上传相关资料发起资格申请，申请字段包括所属社区、姓名、证件号、专业特长、学历等基础信息，以及学历证书、个人风采等图文资料；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用户录入数据提交至后台审核管理模块，由审批流配置的对应管理员进行数据审核；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资格审核通过后，用户将获得志愿者标签，在我的等多个功能页面进行展示；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获得志愿者资格的用户，可对应进行志愿者服务活动的创建申请，相应有权使用报名人员查看、活动签到等功能；</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审核管理模块，根据用户端提交录入的数据进行资格审核，支持一键通过的用户数据录入志愿者人员库留存；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支持一键驳回申请，需进一步填写驳回理由，用户端将显示驳回理由，支持一键重新提交；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志愿者库支持查看人员列表基本信息，包括姓名、性别、证件号、所属社区等，支持一键条件查询；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支持一键编辑相关人员数据字段；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支持点击对应志愿者进行志愿者画像查览，画像展示人员基本信息、参与活动统计、参与活动时序等数据；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支持一键停用/启用相关人员数据；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支持一键删除停用的人员数据；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3.2.1.2邻里群团</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3.2.1.2.1应用概述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kern w:val="2"/>
          <w:sz w:val="21"/>
          <w:szCs w:val="24"/>
          <w:highlight w:val="none"/>
          <w:lang w:val="en-US" w:eastAsia="zh-CN" w:bidi="ar-SA"/>
        </w:rPr>
      </w:pPr>
      <w:r>
        <w:rPr>
          <w:rFonts w:hint="default" w:ascii="Times New Roman" w:hAnsi="Times New Roman" w:eastAsia="宋体" w:cs="Times New Roman"/>
          <w:highlight w:val="none"/>
          <w:lang w:val="en-US" w:eastAsia="zh-CN"/>
        </w:rPr>
        <w:t>由社区居民自发形成群团，展示社区内群团组织，并展示线下区域位置，居民可加入感兴趣的群团，参与群团活动。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3.2.1.2.</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用户端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支持通过邻里群团，建立社区群团，包括群团名称、群团类型、群团地点。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支持对审核通过的邻里群团进行日常管理，能够发布群团活动宣传图文、管理群团成员、发布群团通知等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支持审核申请加入群团的用户；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支持查看群团列表，并搜索群团名称；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支持申请加入群团；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支持与群团成员进行互动。</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支持通过群团管理，查看群团列表；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支持审核新建的群团，审核通过后即群团成立；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支持通过搜索名称对群团进行查找；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支持点击查看，了解群团详细信息，包括群团成员、群团介绍；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支持一键停用违规群团；</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3.2.1.3邻里互助</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3.2.1.2.1应用概述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邻里互助为拉近邻里关系赋能，主要展示社区邻里圈中所有需要求助的相关信息，社区内其他居民用户可以在求助内容下方进行回复解答或直接联系求助者提供线下帮助，营造交往、交融、交心人文气氛，形成远亲不如近邻的邻里场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3.2.1.3.</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3.2.1.3.</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.1用户端</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首页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可查看该社区居民发布的求助需求并可报名协助</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我要求助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点击发布，可发布求助可进行积分悬赏，选择积分悬赏扣除求助人相应的积分，求助完成后，积分奖励给协助人；</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我的求助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可查看我发布的求助信息及求助状态</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求助信息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可查看报名的协助人，通过电话联系与协助人沟通；确定好协助人后可确认协助人，求助就会在首页下架。</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待协助状态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认领完求助，用户需线下协助对方并完成求助内容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求助人选择未完成求助，则要上传未完成申请，后台运营通过后，该求助信息状态变为未完成，积分返还给求助人。协助人不予积分奖励</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已完成状态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协助人完成协助，可点击已完成，求助人收到协助的反馈需要确认是否已完成，如果已完成确认，任务结束，积分发放给协助人，求助人选择未完成需求提交未完成审核，审核通过后状态为未完成</w:t>
      </w:r>
    </w:p>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求助详情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用户可查看求助者发布的求助信息，可报名协助，填写基本信息及自我介绍报名成功后，需要协助人确认协助</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异常投诉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发送异常纠纷，协助人/求助人，可申请取消协助或未完成任务，后台运营人员需要审核确认并处理异常纠纷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未完成的任务，协助人可发布投诉建议，便于运营邻里互助</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3.2.1.3.3.2管理端</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内容管理-邻里互助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管理员需要审核用户提交上来的求助信息内容，通过后在后台内容管理中心展示，可关闭用户发布的违规求助信息，对异常投诉的求助信息进行分类整理；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支持对互助信息进行下架，驳回功能，并对违规用户进行处罚；</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审核管理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可查所有求助信息；并对其进行审核处理；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可在后台查看审核结果，处理人信息。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3.2.1.4社区闲鱼</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3.2.1.4.1应用概述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社区居民自发形成闲置商品交易市场，通过社区闲鱼应用展示，并进行交易，为社区居民提供邻里互动、促进邻里关系的新型购物方式。</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3.2.1.4.</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3.2.1.4.</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.1</w:t>
      </w:r>
      <w:r>
        <w:rPr>
          <w:rFonts w:hint="default" w:ascii="Times New Roman" w:hAnsi="Times New Roman" w:eastAsia="宋体" w:cs="Times New Roman"/>
          <w:highlight w:val="none"/>
          <w:lang w:val="en-US" w:eastAsia="zh-CN"/>
        </w:rPr>
        <w:t>居民端</w:t>
      </w:r>
    </w:p>
    <w:p>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社区闲置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向居民展示社区内容所发布的闲置商品；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可通过搜索查找闲置商品</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发布闲置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支持居民通过卖闲置的操作发布闲置商品，包括商品名称、商品详情、商品价格、联系方式等信息。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支持通过我发布的商品对已经发布的闲置商品进行二次修改或下架的操作。</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我的闲置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可在个人中心我的闲置，查看我发布的闲置商品及状态；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可直接更改价格不需要审核</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3.2.1.4.</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.2</w:t>
      </w:r>
      <w:r>
        <w:rPr>
          <w:rFonts w:hint="default" w:ascii="Times New Roman" w:hAnsi="Times New Roman" w:eastAsia="宋体" w:cs="Times New Roman"/>
          <w:highlight w:val="none"/>
          <w:lang w:val="en-US" w:eastAsia="zh-CN"/>
        </w:rPr>
        <w:t>管理端</w:t>
      </w:r>
    </w:p>
    <w:p>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商品管理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可对商品进行筛选查询；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通过审批管理对居民所发布的商品内容进行审核。</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支持可查看商品信息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支持可对违规商品进行强制下架。</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3.2.1.5社区达人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社区达人属于区级底座应用，直接对接区级数字底座所自带社区达人应用。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3.2.1.6社群管理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社群管理属于区级底座应用，直接对接区级数字底座所自带社群管理应用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3.2.1.7投票表决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投票表决属于区级底座应用，直接对接区级数字底座所自带投票表决应用。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3.2.1.8邻里公约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邻里公约属于区级底座应用，直接对接区级数字底座所自带邻里公约应用。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3.2.1.9活动广场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活动广场属于区级底座应用，直接对接区级数字底座所自带活动广场应用。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3.2.1.10每日签到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每日签到属于区级底座应用，直接对接区级数字底座所自带每日签到应用。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b/>
          <w:bCs/>
          <w:highlight w:val="none"/>
          <w:lang w:val="en-US" w:eastAsia="zh-CN"/>
        </w:rPr>
        <w:t>3.2.1.11场馆预约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场馆预约属于区级底座应用，直接对接区级数字底座所自带场馆预约应用。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57" w:name="_Toc22310"/>
      <w:r>
        <w:rPr>
          <w:rFonts w:hint="default" w:ascii="Times New Roman" w:hAnsi="Times New Roman" w:eastAsia="宋体" w:cs="Times New Roman"/>
          <w:b/>
          <w:bCs/>
          <w:highlight w:val="none"/>
          <w:lang w:val="en-US" w:eastAsia="zh-CN"/>
        </w:rPr>
        <w:t>3.2.2未来教育场景应用</w:t>
      </w:r>
      <w:bookmarkEnd w:id="57"/>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3.2.2.1幸福学堂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3.2.2.1.1应用概述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搭建“人人为师”共享学习平台。设置专业技能等各类社区达人资源库；构建学习积分、授课积分等共享学习机制；打造社区功能复合型幸福学堂、共享图书馆等，满足多龄段需求；打造线上知识库，支持用户自主上传分享；实现社区居民“人人为师”的知识、技能共享交流机制，满足老中青各年龄段继续学习需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3.2.2.1.</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用户端：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列表根据tab类别区分展示梅沁托幼资源内容信息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支持输入名称进行条件筛选。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“精选”处展示后台配置推送精选的内容。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列表页区分排课状态展示资源入口，“已开课程”展示已排课的内容、“即将开课”展示未排课的内容。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列表选择点击具体内容展示内容详情页，支持展示内容名称、排课信息、内容简介、内容回顾。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支持点击选择排课时间、报名人员进行内容报名。</w:t>
      </w:r>
    </w:p>
    <w:p>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课程资源信息列表展示；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支持根据内容字段进行条件筛选；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支持内容一键新增录入；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支持一键停用不需要的内容；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支持一键删除不需要的内容；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支持一键重新启用已停用的内容；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支持一键查看内容；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排课表支持查看当前课程教员排课信息；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支持进一步选择共享教室进行排课；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点击“报名人员”查看报名人员列表；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支持对名单人员进行查询、签到、删除和导出名单；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点击“回顾”支持上传内容成果；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点击“推送精选”一键推送至移动端精选模块；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3.2.2.2梅沁幼托</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3.2.2.2.1应用概述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幼儿教育和社区建设息息相关。将周边的托育机构汇集，透过自身、家庭、社区/社会、自然四个维度，运用游戏力、戏剧、社会实践等方法，培育孩子们成为一个身心健康、情感丰富、有文化底蕴的人，以及生活艺术的创造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展示周边教育机构列表，支持对教育机构发布的儿童托幼活动进行报名参与。</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3.2.2.2.</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用户端：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支持查看周边教育机构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支持点击导航前往机构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列表根据tab类别区分展示梅沁托幼资源内容信息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支持输入名称进行条件筛选。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“精选”处展示后台配置推送精选的内容。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列表页区分排课状态展示资源入口，“已开课程”展示已排课的内容、“即将开课”展示未排课的内容。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列表选择点击具体内容展示内容详情页，支持展示内容名称、排课信息、内容简介、内容回顾。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支持点击选择排课时间、报名人员进行内容报名。</w:t>
      </w:r>
    </w:p>
    <w:p>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托幼资源信息列表展示；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支持根据内容字段进行条件筛选；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支持内容一键新增录入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支持一键停用不需要的内容；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支持一键删除不需要的内容；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支持一键重新启用已停用的内容；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支持一键查看内容；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排课表支持查看当前课程教员排课信息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支持进一步选择共享教室进行排课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点击“报名人员”查看报名人员列表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支持对名单人员进行查询、签到、删除和导出名单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点击“回顾”支持上传内容成果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eastAsia="宋体" w:cs="Times New Roman"/>
          <w:b w:val="0"/>
          <w:bCs w:val="0"/>
          <w:highlight w:val="none"/>
          <w:lang w:val="en-US" w:eastAsia="zh-CN"/>
        </w:rPr>
        <w:t>点击“推送精选”一键推送至移动端精选模块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3.2.2.3智能图书借阅</w:t>
      </w:r>
    </w:p>
    <w:p>
      <w:pPr>
        <w:spacing w:line="360" w:lineRule="auto"/>
        <w:ind w:firstLine="422" w:firstLineChars="200"/>
        <w:jc w:val="left"/>
        <w:rPr>
          <w:rFonts w:hint="default" w:ascii="Times New Roman" w:hAnsi="Times New Roman" w:cs="Times New Roman"/>
          <w:highlight w:val="none"/>
          <w:lang w:val="en-US" w:eastAsia="zh-CN"/>
        </w:rPr>
      </w:pPr>
      <w:r>
        <w:rPr>
          <w:rFonts w:hint="default" w:ascii="Times New Roman" w:hAnsi="Times New Roman" w:eastAsia="宋体" w:cs="Times New Roman"/>
          <w:b/>
          <w:bCs/>
          <w:highlight w:val="none"/>
          <w:lang w:val="en-US" w:eastAsia="zh-CN"/>
        </w:rPr>
        <w:t>3.2.2.3.1应用概述</w:t>
      </w:r>
      <w:r>
        <w:rPr>
          <w:rFonts w:hint="default" w:ascii="Times New Roman" w:hAnsi="Times New Roman" w:eastAsia="宋体" w:cs="Times New Roman"/>
          <w:b w:val="0"/>
          <w:bCs w:val="0"/>
          <w:highlight w:val="none"/>
          <w:lang w:val="en-US" w:eastAsia="zh-CN"/>
        </w:rPr>
        <w:t>：通过图书借还一体机结合图书管理系统，搭建智能图书借阅场景，支持居民自助借阅、归还图书。</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3.2.2.3.</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为满足居住区内人们生活娱乐需要构建图书阅览设备、围绕中庭、大面积藏书区域、阅览区域、有声听书设施、提供社区文化氛围、为老年提供看书场所、青少年提供阅读交流空间。</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3.2.2.4甬上云校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对接数字社会十二有应用中的甬上云校，实现应用集成，通过聚合页面展示该应用模块。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3.2.2.5浙有善育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对接数字社会十二有应用中的浙里善育，实现应用集成，通过聚合页面展示该应用模块。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bookmarkStart w:id="58" w:name="_Toc2346"/>
      <w:r>
        <w:rPr>
          <w:rFonts w:hint="default" w:ascii="Times New Roman" w:hAnsi="Times New Roman" w:eastAsia="宋体" w:cs="Times New Roman"/>
          <w:b/>
          <w:bCs/>
          <w:highlight w:val="none"/>
          <w:lang w:val="en-US" w:eastAsia="zh-CN"/>
        </w:rPr>
        <w:t>3.2.3未来健康场景应用</w:t>
      </w:r>
      <w:bookmarkEnd w:id="58"/>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3.2.3.1特殊中医预约</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3.2.3.1.1应用概述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定期开展特殊中医邻里中心服务，实现积分预约，鼓励社区居民参与积分活动。居民通过参与未来社区的场景活动，获得积分。消耗积分，通过加号手段，预约梅墟街道中医馆名中医。</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3.2.3.1.</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（1）居民端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查看中医名医介绍列表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详情页可查看中医详细介绍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支持在线点击预约，可以用积分进行抵扣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支持中医列表管理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支持新增中医，包含名称、简介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支持为某位中医排班，设置积分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支持查看报名人数及名单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支持历史回顾管理，添加回顾内容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3.2.3.2活力健身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应用概述：结合智能硬件设备，建设活力健身场景，居民可通过人脸识别形成个人信息，并记录自身运动总里程数、运动时间、消耗热量、综合排名，通过活力健身应用，支持用户查看个人运动数据。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（1）居民端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查看运动数 据与历史运动数据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提供科学运动指导、制定运动计划·支持在线点击预约，可以用积分进行抵扣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查看发布的通知、公告、资讯、赛事等信息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参加战队约跑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步道监测，注册用户管理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统计显示活跃人数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运动排行榜分析</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3.2.3.3智慧健康管理</w:t>
      </w:r>
    </w:p>
    <w:p>
      <w:pPr>
        <w:spacing w:line="360" w:lineRule="auto"/>
        <w:ind w:firstLine="420" w:firstLineChars="200"/>
        <w:jc w:val="left"/>
        <w:rPr>
          <w:rFonts w:hint="default" w:ascii="Times New Roman" w:hAnsi="Times New Roman" w:cs="Times New Roman"/>
          <w:highlight w:val="none"/>
          <w:lang w:val="en-US" w:eastAsia="zh-CN"/>
        </w:rPr>
      </w:pPr>
      <w:r>
        <w:rPr>
          <w:rFonts w:hint="default" w:ascii="Times New Roman" w:hAnsi="Times New Roman" w:eastAsia="宋体" w:cs="Times New Roman"/>
          <w:b w:val="0"/>
          <w:bCs w:val="0"/>
          <w:highlight w:val="none"/>
          <w:lang w:val="en-US" w:eastAsia="zh-CN"/>
        </w:rPr>
        <w:t>应用概述：结合健康小屋一体机，构建智慧健康管理场景，为社区居民提供自助体检功能，包括身高、体重、BMI、尿酸、血糖、总胆固醇、内脏脂肪等身体数值，并形成居民健康档案，通过前端小程序为居民提供查询通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功能设计：</w:t>
      </w:r>
    </w:p>
    <w:p>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居民端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查看个人健康体检报告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 xml:space="preserve">查看历史体检数据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健康评估：健康数据形成健康数据趋势跟踪图，对异常结果预警提示，并给出健康指导建议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居民健康数据的筛查统计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根据性别、年龄、项目等进行分项数据查询、筛查统计，为管理端提供准确的数据统计依据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3.2.3.4智慧健康管理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应用概述：建立社区居家智能健康管理系统，利用无感的物联网设备监测独居老人、残障人员安全，做好对健康的统一管理。 老年人、子女、社区工作人员、服务机构共同参与，为残障、老人提供安全便捷生活体验。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（1）居民端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健康数据监测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SOS一键求救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语音通话</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精准定位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居民健康数据的筛查统计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根据性别、年龄、项目等进行分项数据查询、筛查统计，为管理端提供准确的数据统计依据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3.2.3.5健康宁波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对接数字社会十二有应用中的健康宁波，实现应用集成，通过聚合页面展示该应用模块。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3.2.3.6运动打卡</w:t>
      </w:r>
    </w:p>
    <w:p>
      <w:pPr>
        <w:spacing w:line="360" w:lineRule="auto"/>
        <w:ind w:firstLine="420" w:firstLineChars="200"/>
        <w:jc w:val="left"/>
        <w:rPr>
          <w:rFonts w:hint="default" w:ascii="Times New Roman" w:hAnsi="Times New Roman" w:cs="Times New Roman"/>
          <w:highlight w:val="none"/>
          <w:lang w:val="en-US" w:eastAsia="zh-CN"/>
        </w:rPr>
      </w:pPr>
      <w:r>
        <w:rPr>
          <w:rFonts w:hint="default" w:ascii="Times New Roman" w:hAnsi="Times New Roman" w:eastAsia="宋体" w:cs="Times New Roman"/>
          <w:b w:val="0"/>
          <w:bCs w:val="0"/>
          <w:highlight w:val="none"/>
          <w:lang w:val="en-US" w:eastAsia="zh-CN"/>
        </w:rPr>
        <w:t>运动打卡属于区级底座应用，直接对接区级数字底座所自带运动打卡应用。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bookmarkStart w:id="59" w:name="_Toc2226"/>
      <w:r>
        <w:rPr>
          <w:rFonts w:hint="default" w:ascii="Times New Roman" w:hAnsi="Times New Roman" w:eastAsia="宋体" w:cs="Times New Roman"/>
          <w:b/>
          <w:bCs/>
          <w:highlight w:val="none"/>
          <w:lang w:val="en-US" w:eastAsia="zh-CN"/>
        </w:rPr>
        <w:t>3.2.4未来服务场景应用</w:t>
      </w:r>
      <w:bookmarkEnd w:id="59"/>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3.2.4.1梅沁社区团购</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3.2.4.1.1</w:t>
      </w:r>
      <w:r>
        <w:rPr>
          <w:rFonts w:hint="default" w:ascii="Times New Roman" w:hAnsi="Times New Roman" w:eastAsia="宋体" w:cs="Times New Roman"/>
          <w:b w:val="0"/>
          <w:bCs w:val="0"/>
          <w:highlight w:val="none"/>
          <w:lang w:val="en-US" w:eastAsia="zh-CN"/>
        </w:rPr>
        <w:t>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主要为社区居民提供邻里互动、促进邻里关系的新型购物方式。</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3.2.4.1.</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3.2.4.1.</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.1商户端</w:t>
      </w:r>
    </w:p>
    <w:p>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首页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展示店铺基本信息，多个店铺可进行切换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展示店铺今日/本周访客人数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点击团购管理进来团购管理</w:t>
      </w:r>
    </w:p>
    <w:p>
      <w:pPr>
        <w:keepNext w:val="0"/>
        <w:keepLines w:val="0"/>
        <w:pageBreakBefore w:val="0"/>
        <w:widowControl w:val="0"/>
        <w:numPr>
          <w:ilvl w:val="0"/>
          <w:numId w:val="30"/>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团购管理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展示发布团购的状态点击进入团购详情</w:t>
      </w:r>
    </w:p>
    <w:p>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新增团购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支持商户端发布团购信息，主要包括团购名称、团购价格、原价、团购上限人数、团购说明等内容；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发布成功需要后台运营人员审核。</w:t>
      </w:r>
    </w:p>
    <w:p>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团购详情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支持商家查看跟团人数。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支持对团购内容进行下架，进行二次编辑。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成功团购的用户可通过线下扫描核销，完成交易。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违规商品，会被运营人员强制下架。</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3.2.4.1.</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.2居民端</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社区团购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支持居民通过社区团购查看所发布的团购信息；可查看团购商品的图样，原价及团购价，团购的状态。</w:t>
      </w:r>
    </w:p>
    <w:p>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团购详情</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可查看团购详情，团购价格，商品详情，商品图；</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可查看团购人数，团购说明，团购流程；</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可查看团购的商家信息；</w:t>
      </w:r>
    </w:p>
    <w:p>
      <w:pPr>
        <w:keepNext w:val="0"/>
        <w:keepLines w:val="0"/>
        <w:pageBreakBefore w:val="0"/>
        <w:widowControl w:val="0"/>
        <w:numPr>
          <w:ilvl w:val="0"/>
          <w:numId w:val="3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点击我要跟团及报团成功获取二维码。</w:t>
      </w:r>
    </w:p>
    <w:p>
      <w:pPr>
        <w:keepNext w:val="0"/>
        <w:keepLines w:val="0"/>
        <w:pageBreakBefore w:val="0"/>
        <w:widowControl w:val="0"/>
        <w:numPr>
          <w:ilvl w:val="0"/>
          <w:numId w:val="36"/>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预约订单</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可查看参加团购的订单信息；</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可查看订单的商品核销码；</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支持居民通过我的团购中查看团购记录，并支持二维码核销、取消团购、联系商家的操作。</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参加团购后，会获得商品核销码；</w:t>
      </w:r>
    </w:p>
    <w:p>
      <w:pPr>
        <w:keepNext w:val="0"/>
        <w:keepLines w:val="0"/>
        <w:pageBreakBefore w:val="0"/>
        <w:widowControl w:val="0"/>
        <w:numPr>
          <w:ilvl w:val="0"/>
          <w:numId w:val="37"/>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核销成功后可用该架构购买商品。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3.2.4.1.</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.3管理端</w:t>
      </w:r>
    </w:p>
    <w:p>
      <w:pPr>
        <w:keepNext w:val="0"/>
        <w:keepLines w:val="0"/>
        <w:pageBreakBefore w:val="0"/>
        <w:widowControl w:val="0"/>
        <w:numPr>
          <w:ilvl w:val="0"/>
          <w:numId w:val="38"/>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审批管理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以列表的形式展示团购商品信息，支持店家查看按钮，查看商品详情，并且支持对该商品进行通过与驳回的操作。</w:t>
      </w:r>
    </w:p>
    <w:p>
      <w:pPr>
        <w:keepNext w:val="0"/>
        <w:keepLines w:val="0"/>
        <w:pageBreakBefore w:val="0"/>
        <w:widowControl w:val="0"/>
        <w:numPr>
          <w:ilvl w:val="0"/>
          <w:numId w:val="39"/>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团购商品管理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展示团购商品信息，支持对已上架的商品进行下架操作。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支持搜索商品名称进行针对性查找商品。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3.2.4.2社区食堂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3.2.4.2.1应用概述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提供老年助餐服务，支持查阅周围社区食堂，并且对于支持送餐食堂，可进行选择套餐、下单等操作，实现送餐服务。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3.2.4.2.</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居家养老主要分为居民端与管理端，居民端为居民提供老年助餐服务，管理端为管理者记录老年助餐订单信息。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3.2.4.2.</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.1居民端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为老年人提供订餐送餐服务，通过老年助餐模块，能够查看菜品套餐，按一个月为限，选择对应套餐下单，并选择堂食或送餐上门，如选择送餐上门需填写送餐地址，后续每天将由专人送餐上门。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通过我的预约能够查看所预约的老年助餐订单。</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3.2.4.2.</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.2</w:t>
      </w:r>
      <w:r>
        <w:rPr>
          <w:rFonts w:hint="default" w:ascii="Times New Roman" w:hAnsi="Times New Roman" w:eastAsia="宋体" w:cs="Times New Roman"/>
          <w:b w:val="0"/>
          <w:bCs w:val="0"/>
          <w:highlight w:val="none"/>
          <w:lang w:val="en-US" w:eastAsia="zh-CN"/>
        </w:rPr>
        <w:t>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老年助餐管理包括菜单管理与订单管理，为生活圈老人提供便利与帮助。</w:t>
      </w:r>
    </w:p>
    <w:p>
      <w:pPr>
        <w:keepNext w:val="0"/>
        <w:keepLines w:val="0"/>
        <w:pageBreakBefore w:val="0"/>
        <w:widowControl w:val="0"/>
        <w:numPr>
          <w:ilvl w:val="0"/>
          <w:numId w:val="40"/>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菜单管理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主要通过对菜单套餐信息进行编辑维护，支持上传套餐图片。</w:t>
      </w:r>
    </w:p>
    <w:p>
      <w:pPr>
        <w:keepNext w:val="0"/>
        <w:keepLines w:val="0"/>
        <w:pageBreakBefore w:val="0"/>
        <w:widowControl w:val="0"/>
        <w:numPr>
          <w:ilvl w:val="0"/>
          <w:numId w:val="41"/>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订单管理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通过居民端所下订单信息的记录，可查看订单详情。通过时间、订单号等可自定义查询订单记录情况。</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3.2.4.3社区车辆登记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对接智能停车系统，为社区提供车位管理等功能，为居民提供车辆登记功能，支持居民通过租赁方式获取车位，并绑定对应车辆。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功能设计</w:t>
      </w:r>
    </w:p>
    <w:p>
      <w:pPr>
        <w:keepNext w:val="0"/>
        <w:keepLines w:val="0"/>
        <w:pageBreakBefore w:val="0"/>
        <w:widowControl w:val="0"/>
        <w:numPr>
          <w:ilvl w:val="0"/>
          <w:numId w:val="42"/>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居民端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1、通过“车辆登记”，输入车牌号，绑定车辆；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2、支持查看小区内车位信息，支持查看该车位是否出租；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3、支持选择车位进行按月度、季度、半年度、年度进行租赁，租赁是可关联已登记的车辆。</w:t>
      </w:r>
    </w:p>
    <w:p>
      <w:pPr>
        <w:keepNext w:val="0"/>
        <w:keepLines w:val="0"/>
        <w:pageBreakBefore w:val="0"/>
        <w:widowControl w:val="0"/>
        <w:numPr>
          <w:ilvl w:val="0"/>
          <w:numId w:val="43"/>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1、支持维护车位信息，以列表的形式展示；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2、支持查看已登记的车辆，并查看是否关联对应车位；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3、支持筛选即将车位到期的车辆，进行一键提醒或设置自动提醒；</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3.2.4.4社区方志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3.2.4.4.1应用概述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通过打造社区方志，定期开办社区方志文化讲堂，举行方志读书沙龙，联合开展社区志编纂及社区文化资源挖掘、开发、利用工作并共同组建方志文化服务志愿者队伍。</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3.2.4.4.2功能设计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3.2.4.4.2.1用户端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1、展示社区文化特色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通过图文、视频等形式展示社区文化特色，支持居民点击查看详情。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2、社区发展历程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以流程的方式记录社区发展的过程，对重要事件做出重点提示，支持点击查看时间详情。</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3.2.4.4.2.2管理端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支持文化查看墙管理列表。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支持上传图片、编辑文字介绍内容。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支持上传视频。</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支持编辑、查询、删除等操作。</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3.2.4.5家政服务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3.2.4.5.1应用概述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eastAsia="宋体" w:cs="Times New Roman"/>
          <w:b w:val="0"/>
          <w:bCs w:val="0"/>
          <w:highlight w:val="none"/>
          <w:lang w:val="en-US" w:eastAsia="zh-CN"/>
        </w:rPr>
        <w:t>可查找附近的家政服务，查看家政服务评分，位置信息，销售情况，用户满意情况，可查看商户资质信息，产品服务信息；可预约服务套餐</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3.2.4.5.</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3.2.4.5.</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.1用户端</w:t>
      </w:r>
    </w:p>
    <w:p>
      <w:pPr>
        <w:keepNext w:val="0"/>
        <w:keepLines w:val="0"/>
        <w:pageBreakBefore w:val="0"/>
        <w:widowControl w:val="0"/>
        <w:numPr>
          <w:ilvl w:val="0"/>
          <w:numId w:val="4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购买服务</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家政服务目前分为家电清洗/家政服务/家电维修/管道疏通/家电安装/保姆月嫂/窗帘清洗/宠物托管，8大功能模块，后续可根据社区运营需求自定义家政服务模块；</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用户可根据自我需求选择相应的服务，点击服务进入该服务详细介绍；</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查看服务详情，选择套餐形式；</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选择好套餐并支付费用；</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支持成功后，可根据服务类型预约服务；</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服务完成后，用户需向商家展示核销码，商家核销完之后抵扣一次次数，次数抵扣完及该套餐订单完成并关闭。</w:t>
      </w:r>
    </w:p>
    <w:p>
      <w:pPr>
        <w:keepNext w:val="0"/>
        <w:keepLines w:val="0"/>
        <w:pageBreakBefore w:val="0"/>
        <w:widowControl w:val="0"/>
        <w:numPr>
          <w:ilvl w:val="0"/>
          <w:numId w:val="46"/>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订单售后</w:t>
      </w:r>
    </w:p>
    <w:p>
      <w:pPr>
        <w:keepNext w:val="0"/>
        <w:keepLines w:val="0"/>
        <w:pageBreakBefore w:val="0"/>
        <w:widowControl w:val="0"/>
        <w:numPr>
          <w:ilvl w:val="0"/>
          <w:numId w:val="47"/>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选择要申请售后的套餐，进入售后流程；</w:t>
      </w:r>
    </w:p>
    <w:p>
      <w:pPr>
        <w:keepNext w:val="0"/>
        <w:keepLines w:val="0"/>
        <w:pageBreakBefore w:val="0"/>
        <w:widowControl w:val="0"/>
        <w:numPr>
          <w:ilvl w:val="0"/>
          <w:numId w:val="47"/>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填写退款原因，并申请退款；</w:t>
      </w:r>
    </w:p>
    <w:p>
      <w:pPr>
        <w:keepNext w:val="0"/>
        <w:keepLines w:val="0"/>
        <w:pageBreakBefore w:val="0"/>
        <w:widowControl w:val="0"/>
        <w:numPr>
          <w:ilvl w:val="0"/>
          <w:numId w:val="47"/>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商家收到售后订单并处理；</w:t>
      </w:r>
    </w:p>
    <w:p>
      <w:pPr>
        <w:keepNext w:val="0"/>
        <w:keepLines w:val="0"/>
        <w:pageBreakBefore w:val="0"/>
        <w:widowControl w:val="0"/>
        <w:numPr>
          <w:ilvl w:val="0"/>
          <w:numId w:val="47"/>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退款成功后将退款金额3～5个工作日打入用户账户。</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3.2.4.5</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.2商家端</w:t>
      </w:r>
    </w:p>
    <w:p>
      <w:pPr>
        <w:keepNext w:val="0"/>
        <w:keepLines w:val="0"/>
        <w:pageBreakBefore w:val="0"/>
        <w:widowControl w:val="0"/>
        <w:numPr>
          <w:ilvl w:val="0"/>
          <w:numId w:val="48"/>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首页</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可查看当前社区的今日交易额和订单数；</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查看商品库存管理，管理商品，可对商品价格，内容，库存等进行更改；</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订单管理：可查看全部订单、已发货订单、已完成订单、售后订单，并可对订单进行取消订单，打印订单，已送达等操作；</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店铺管理：可编辑店铺管理员，运营状态，认证书及保证金</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经营数据：可以看到商家交易数据统计，对商家今日交易金额，交易笔数，在售商品，下单商品，用户访问等统计；</w:t>
      </w:r>
    </w:p>
    <w:p>
      <w:pPr>
        <w:keepNext w:val="0"/>
        <w:keepLines w:val="0"/>
        <w:pageBreakBefore w:val="0"/>
        <w:widowControl w:val="0"/>
        <w:numPr>
          <w:ilvl w:val="0"/>
          <w:numId w:val="49"/>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商家学习：平台提供给商家的学习内容，便于商家快速了解平台，熟悉平台规则和各项操作。</w:t>
      </w:r>
    </w:p>
    <w:p>
      <w:pPr>
        <w:keepNext w:val="0"/>
        <w:keepLines w:val="0"/>
        <w:pageBreakBefore w:val="0"/>
        <w:widowControl w:val="0"/>
        <w:numPr>
          <w:ilvl w:val="0"/>
          <w:numId w:val="50"/>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消息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用户订单通知、系统通知等消息推送。</w:t>
      </w:r>
    </w:p>
    <w:p>
      <w:pPr>
        <w:keepNext w:val="0"/>
        <w:keepLines w:val="0"/>
        <w:pageBreakBefore w:val="0"/>
        <w:widowControl w:val="0"/>
        <w:numPr>
          <w:ilvl w:val="0"/>
          <w:numId w:val="51"/>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个人中心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商家基本操作设置，密码修改，支付密码修改，添加子帐号，及平台信息。</w:t>
      </w:r>
    </w:p>
    <w:p>
      <w:pPr>
        <w:keepNext w:val="0"/>
        <w:keepLines w:val="0"/>
        <w:pageBreakBefore w:val="0"/>
        <w:widowControl w:val="0"/>
        <w:numPr>
          <w:ilvl w:val="0"/>
          <w:numId w:val="52"/>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财务中心</w:t>
      </w:r>
    </w:p>
    <w:p>
      <w:pPr>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可查看经营想想数据</w:t>
      </w:r>
    </w:p>
    <w:p>
      <w:pPr>
        <w:keepNext w:val="0"/>
        <w:keepLines w:val="0"/>
        <w:pageBreakBefore w:val="0"/>
        <w:widowControl w:val="0"/>
        <w:numPr>
          <w:ilvl w:val="0"/>
          <w:numId w:val="53"/>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上传开票信息，一键开票，可用提现至银行卡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对销售订单进行管理，可查看订单详情，对发现纠纷的订单可进行自行处理，无法处理可上报至运营人员，运营人员进行协商处理。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3.2.4.5.</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val="0"/>
          <w:bCs w:val="0"/>
          <w:highlight w:val="none"/>
          <w:lang w:val="en-US" w:eastAsia="zh-CN"/>
        </w:rPr>
        <w:t>运营端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查看入驻商家数，对热门商品进行展示，了解用户购买喜好，查看用户消费数据和商家订单成交数据。</w:t>
      </w:r>
    </w:p>
    <w:p>
      <w:pPr>
        <w:keepNext w:val="0"/>
        <w:keepLines w:val="0"/>
        <w:pageBreakBefore w:val="0"/>
        <w:widowControl w:val="0"/>
        <w:numPr>
          <w:ilvl w:val="0"/>
          <w:numId w:val="5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商家管理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对入驻的商家进行管理，可查看商家的基本信息,更改商家基础信息。</w:t>
      </w:r>
    </w:p>
    <w:p>
      <w:pPr>
        <w:keepNext w:val="0"/>
        <w:keepLines w:val="0"/>
        <w:pageBreakBefore w:val="0"/>
        <w:widowControl w:val="0"/>
        <w:numPr>
          <w:ilvl w:val="0"/>
          <w:numId w:val="55"/>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账户管理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查看社区用户账户信息及订单信息。</w:t>
      </w:r>
    </w:p>
    <w:p>
      <w:pPr>
        <w:keepNext w:val="0"/>
        <w:keepLines w:val="0"/>
        <w:pageBreakBefore w:val="0"/>
        <w:widowControl w:val="0"/>
        <w:numPr>
          <w:ilvl w:val="0"/>
          <w:numId w:val="56"/>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商品管理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可查看商家上架的商品详细信息，可对违规商品进行下架处理。</w:t>
      </w:r>
    </w:p>
    <w:p>
      <w:pPr>
        <w:keepNext w:val="0"/>
        <w:keepLines w:val="0"/>
        <w:pageBreakBefore w:val="0"/>
        <w:widowControl w:val="0"/>
        <w:numPr>
          <w:ilvl w:val="0"/>
          <w:numId w:val="57"/>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订单管理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可查看用户商品订单状态，查看订单详情，可对售后有问题订单进行沟通调节。</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审批管理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1.对入驻商家进行审批，审批通过后商家可上架商品；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2.商家上架商品审批，审批通过后上架商场，用户可购买商品</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3.2.4.6访客登记</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3.2.4.6.1应用概述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建立访客登记应用，业主或租户通过小程序登记来访人员，并生成二维码，来访人员通过二维码即可进入小区。</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3.2.4.6.</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居民端</w:t>
      </w:r>
    </w:p>
    <w:p>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通过“访客登记”，进入访客登记表单页；</w:t>
      </w:r>
    </w:p>
    <w:p>
      <w:pPr>
        <w:keepNext w:val="0"/>
        <w:keepLines w:val="0"/>
        <w:pageBreakBefore w:val="0"/>
        <w:widowControl w:val="0"/>
        <w:numPr>
          <w:ilvl w:val="0"/>
          <w:numId w:val="60"/>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支持填写访客基本信息，点击生成通行证即可生成一个通行二维码，用户可将二维码发给访客用户，访客用户可刷码进出小区；</w:t>
      </w:r>
    </w:p>
    <w:p>
      <w:pPr>
        <w:keepNext w:val="0"/>
        <w:keepLines w:val="0"/>
        <w:pageBreakBefore w:val="0"/>
        <w:widowControl w:val="0"/>
        <w:numPr>
          <w:ilvl w:val="0"/>
          <w:numId w:val="61"/>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管理者能够查看新增的访客记录，通过列表的形式展示，支持通过日期、姓名、楼幢、单元进行精准查询。</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3.2.4.7社区商圈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社区商圈属于区级底座应用，直接对接区级数字底座所自带社区商圈应用。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3.2.4.8社区管家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社区管家属于区级底座应用，直接对接区级数字底座所自带社区管家应用。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3.2.4.9社区积分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社区积分属于区级底座应用，直接对接区级数字底座所自带社区积分应用。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3.2.4.10社区广播</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社区广播属于区级底座应用，直接对接区级数字底座所自带社区广播应用。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3.2.4.11社区报修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社区报修属于区级底座应用，直接对接区级数字底座所自带社区报修应用。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bookmarkStart w:id="60" w:name="_Toc28558"/>
      <w:r>
        <w:rPr>
          <w:rFonts w:hint="default" w:ascii="Times New Roman" w:hAnsi="Times New Roman" w:eastAsia="宋体" w:cs="Times New Roman"/>
          <w:b/>
          <w:bCs/>
          <w:highlight w:val="none"/>
          <w:lang w:val="en-US" w:eastAsia="zh-CN"/>
        </w:rPr>
        <w:t>3.2.5未来治理场景应用</w:t>
      </w:r>
      <w:bookmarkEnd w:id="60"/>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3.2.5.1微网格管理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3.2.5.1.1应用概述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通过区域划定，按区域展示网格员名单，居民可通过搜索功能查找网格员，并取得联系方式。</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3.2.5.1.2功能设计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后台端：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通过列表的形式展示，包括网格区域、网格区域人数、网格员、网格员简介、网格员联系方式等信息。</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支持后台导入，按照模版导入，实现网格区与网格员绑定</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支持编辑网格区域，包括网格区域名称、网格区域地址、网格区域编号等信息。</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支持新划定的网格区域进行新增操作</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支持对已取消的、已合并的网格区域进行删除操作。</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移动端：</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支持居民根据房屋所在网格显示网格员列表。</w:t>
      </w:r>
    </w:p>
    <w:p>
      <w:pPr>
        <w:keepNext w:val="0"/>
        <w:keepLines w:val="0"/>
        <w:pageBreakBefore w:val="0"/>
        <w:widowControl w:val="0"/>
        <w:numPr>
          <w:ilvl w:val="0"/>
          <w:numId w:val="62"/>
        </w:numPr>
        <w:kinsoku/>
        <w:wordWrap/>
        <w:overflowPunct/>
        <w:topLinePunct w:val="0"/>
        <w:autoSpaceDE/>
        <w:autoSpaceDN/>
        <w:bidi w:val="0"/>
        <w:adjustRightInd/>
        <w:snapToGrid/>
        <w:spacing w:line="360" w:lineRule="auto"/>
        <w:ind w:left="0" w:leftChars="0" w:firstLine="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支持通过“拨打”按钮获取网格员联系方式，出现需要网格员帮助时可快速沟通。</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3.2.5.2特殊人口管理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3.2.5.2.1应用概述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对特殊人群信息数据收集管理，类别分类管理，例如独居老人、重症病人、不能自理的残疾人、特困家庭、**人员、精神病人等，支持人员名单导入导出。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功能设计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1、支持管理员按模版一键导入特殊人群名单、支持单个人员，支持与浙里办对接对应人员的相关信息。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2、支持通过不同人群进行分类管理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3、支持通过搜索姓名、筛选类型等进行精准查询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4、支持定期对特殊人群进行关注，记录台帐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5、支持按个人形成个人台帐档案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6、支持导出特殊人群列表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7、支持查看关注次数。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8、支持对个别人员设置特殊关注，设置特殊关注后，系统将定期提示预警，提醒管理者进行定期关注。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9、系统支持通过数据进行统计分析。</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3.2.5.3智慧党建</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3.2.5.3.1应用概述：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highlight w:val="none"/>
          <w:lang w:val="en-US" w:eastAsia="zh-CN"/>
        </w:rPr>
      </w:pPr>
      <w:r>
        <w:rPr>
          <w:rFonts w:hint="default" w:ascii="Times New Roman" w:hAnsi="Times New Roman" w:eastAsia="宋体" w:cs="Times New Roman"/>
          <w:b w:val="0"/>
          <w:bCs w:val="0"/>
          <w:highlight w:val="none"/>
          <w:lang w:val="en-US" w:eastAsia="zh-CN"/>
        </w:rPr>
        <w:t>搭建智慧党建管理，实现利用云端大数据做好党员干部队伍管理；利用互联网实时对组织信息进行更新、管理；利用多媒体方式和碎片化特征助力党员学习等主要功能。</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3.2.5.3.3功能设计：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党员端：</w:t>
      </w:r>
    </w:p>
    <w:p>
      <w:pPr>
        <w:keepNext w:val="0"/>
        <w:keepLines w:val="0"/>
        <w:pageBreakBefore w:val="0"/>
        <w:widowControl w:val="0"/>
        <w:numPr>
          <w:ilvl w:val="0"/>
          <w:numId w:val="63"/>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首页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可查看优秀党员；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党内投票决议；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党员风采展示；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可查看党建组织/先锋岗任务/我的党路/党员风格/投票决议</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党建组织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查看当地地区党委组织架构；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点击详情，可查看党组织详情</w:t>
      </w:r>
    </w:p>
    <w:p>
      <w:pPr>
        <w:keepNext w:val="0"/>
        <w:keepLines w:val="0"/>
        <w:pageBreakBefore w:val="0"/>
        <w:widowControl w:val="0"/>
        <w:numPr>
          <w:ilvl w:val="0"/>
          <w:numId w:val="65"/>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党员风格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查看党员活动风采及党委最新动态；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点击查看风采详情</w:t>
      </w:r>
    </w:p>
    <w:p>
      <w:pPr>
        <w:keepNext w:val="0"/>
        <w:keepLines w:val="0"/>
        <w:pageBreakBefore w:val="0"/>
        <w:widowControl w:val="0"/>
        <w:numPr>
          <w:ilvl w:val="0"/>
          <w:numId w:val="66"/>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投票决议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可进行在线调查投票；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用户可进行投票；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可查看投票结果</w:t>
      </w:r>
    </w:p>
    <w:p>
      <w:pPr>
        <w:keepNext w:val="0"/>
        <w:keepLines w:val="0"/>
        <w:pageBreakBefore w:val="0"/>
        <w:widowControl w:val="0"/>
        <w:numPr>
          <w:ilvl w:val="0"/>
          <w:numId w:val="67"/>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党员先锋岗任务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1、由后台管理发布的先锋岗任务；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2、党员可报名任务；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3、党员需要在规定的任务时间完成任务，并上传拍照任务结果，完成后获得先锋值。</w:t>
      </w:r>
    </w:p>
    <w:p>
      <w:pPr>
        <w:keepNext w:val="0"/>
        <w:keepLines w:val="0"/>
        <w:pageBreakBefore w:val="0"/>
        <w:widowControl w:val="0"/>
        <w:numPr>
          <w:ilvl w:val="0"/>
          <w:numId w:val="68"/>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我的党路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查看我的党员历史信息，党员个人信息，先锋值，历史先锋路程，所获得党党员荣誉</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管理端：</w:t>
      </w:r>
    </w:p>
    <w:p>
      <w:pPr>
        <w:keepNext w:val="0"/>
        <w:keepLines w:val="0"/>
        <w:pageBreakBefore w:val="0"/>
        <w:widowControl w:val="0"/>
        <w:numPr>
          <w:ilvl w:val="0"/>
          <w:numId w:val="69"/>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党组织管理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可添加党组织，编辑党组织信息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可添加党员信息，编辑党员资料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可添加党组织荣誉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可查看组织信息</w:t>
      </w:r>
    </w:p>
    <w:p>
      <w:pPr>
        <w:keepNext w:val="0"/>
        <w:keepLines w:val="0"/>
        <w:pageBreakBefore w:val="0"/>
        <w:widowControl w:val="0"/>
        <w:numPr>
          <w:ilvl w:val="0"/>
          <w:numId w:val="70"/>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先锋任务管理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发布先锋任务，查看任务详情及完成情况，进行回访调查，对完成任务的党员进行先锋值奖励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新增先锋任务并发布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可查看任务状态</w:t>
      </w:r>
    </w:p>
    <w:p>
      <w:pPr>
        <w:keepNext w:val="0"/>
        <w:keepLines w:val="0"/>
        <w:pageBreakBefore w:val="0"/>
        <w:widowControl w:val="0"/>
        <w:numPr>
          <w:ilvl w:val="0"/>
          <w:numId w:val="71"/>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党员风采管理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可查看发布的党员风采，点击新增，发布风采</w:t>
      </w:r>
    </w:p>
    <w:p>
      <w:pPr>
        <w:keepNext w:val="0"/>
        <w:keepLines w:val="0"/>
        <w:pageBreakBefore w:val="0"/>
        <w:widowControl w:val="0"/>
        <w:numPr>
          <w:ilvl w:val="0"/>
          <w:numId w:val="72"/>
        </w:numPr>
        <w:kinsoku/>
        <w:wordWrap/>
        <w:overflowPunct/>
        <w:topLinePunct w:val="0"/>
        <w:autoSpaceDE/>
        <w:autoSpaceDN/>
        <w:bidi w:val="0"/>
        <w:adjustRightInd/>
        <w:snapToGrid/>
        <w:spacing w:line="360" w:lineRule="auto"/>
        <w:ind w:left="420" w:leftChars="0" w:hanging="420" w:firstLineChars="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投票决议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建立问卷调查，可查看问卷调查情况。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点击新增，新增投票问卷。</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3.2.5.4数字安防</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3.2.5.4.1应用概述：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通过多种智能硬件，实现形成对社区内部存在的安全隐患进行实时监控、动态预警、快速应急的闭环流程。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3.2.5.4.2功能设计：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支持管理端通过驾驶舱进入，查看监控点位，包括安防监控、消防监控等，并点击对应监控实时查看监控画面。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支持通过智能监控进行预警，通过驾驶舱进行预警通知，实现管理者能够在第一时间快速反应。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支持查看监控后台，能够在一个页面中查看多个监控预览画面，并通过监控类型进行切换。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支持通过应急广播系统对安全隐患进行指导、通知。</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3.2.5.5随手拍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随手拍属于区级底座应用，直接对接区级数字底座所自带随手拍应用。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3.2.5.6社区问卷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社区问卷属于区级底座应用，直接对接区级数字底座所自带社区问卷应用。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bookmarkStart w:id="61" w:name="_Toc22541"/>
      <w:r>
        <w:rPr>
          <w:rFonts w:hint="default" w:ascii="Times New Roman" w:hAnsi="Times New Roman" w:eastAsia="宋体" w:cs="Times New Roman"/>
          <w:b/>
          <w:bCs/>
          <w:highlight w:val="none"/>
          <w:lang w:val="en-US" w:eastAsia="zh-CN"/>
        </w:rPr>
        <w:t>3.2.6未来建筑场景应用</w:t>
      </w:r>
      <w:bookmarkEnd w:id="61"/>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3.2.6.1数字社区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基于无人机倾斜影技术，构建梅沁未来社区三维模型。</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bookmarkStart w:id="62" w:name="_Toc7947"/>
      <w:r>
        <w:rPr>
          <w:rFonts w:hint="default" w:ascii="Times New Roman" w:hAnsi="Times New Roman" w:eastAsia="宋体" w:cs="Times New Roman"/>
          <w:b/>
          <w:bCs/>
          <w:highlight w:val="none"/>
          <w:lang w:val="en-US" w:eastAsia="zh-CN"/>
        </w:rPr>
        <w:t>3.2.7未来交通场景应用</w:t>
      </w:r>
      <w:bookmarkEnd w:id="62"/>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3.2.7.1宁波实时公交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对接数字社会十二有应用中的宁波实时公交，实现应用集成，通过聚合页面展示该应用模块。</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3.2.8未来创业场景应用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3.2.8.1众创空间</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3.2.8.1.1</w:t>
      </w:r>
      <w:r>
        <w:rPr>
          <w:rFonts w:hint="default" w:ascii="Times New Roman" w:hAnsi="Times New Roman" w:eastAsia="宋体" w:cs="Times New Roman"/>
          <w:b w:val="0"/>
          <w:bCs w:val="0"/>
          <w:highlight w:val="none"/>
          <w:lang w:val="en-US" w:eastAsia="zh-CN"/>
        </w:rPr>
        <w:t>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众创空间是利用“互联网+”、云计算、大数据等信息技术，兼顾效率和安全，所搭建的共享型服务平台，通过众创空间应用，为社区创业者提供工位预约通道，支持用户选择对应工位并选择时间段进行工位预约，为初创者提供空间支持，促成“以创新促进创业，以创业带动就业”的有利局面。</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3.2.8.1.</w:t>
      </w:r>
      <w:r>
        <w:rPr>
          <w:rFonts w:hint="eastAsia" w:ascii="Times New Roman" w:hAnsi="Times New Roman" w:eastAsia="宋体" w:cs="Times New Roman"/>
          <w:b/>
          <w:bCs/>
          <w:highlight w:val="none"/>
          <w:lang w:val="en-US" w:eastAsia="zh-CN"/>
        </w:rPr>
        <w:t>2</w:t>
      </w:r>
      <w:r>
        <w:rPr>
          <w:rFonts w:hint="default" w:ascii="Times New Roman" w:hAnsi="Times New Roman" w:eastAsia="宋体" w:cs="Times New Roman"/>
          <w:b/>
          <w:bCs/>
          <w:highlight w:val="none"/>
          <w:lang w:val="en-US" w:eastAsia="zh-CN"/>
        </w:rPr>
        <w:t>功能设计：</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移动端：</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1、支持用户切换空间；</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2、支持预定工位/会议室；</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3、预定成功后可刷码进出；</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4、支持将已预定的工位/会议室门禁码分享给相关人员；</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5、支持查看订单情况；</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管理端：</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1、支持创建空间，维护空间信息；</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2、支持管理空间内的工位/会议室的基本信息，及收费标准；</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3、查看工位/会议室的预定情况；</w:t>
      </w:r>
    </w:p>
    <w:p>
      <w:pPr>
        <w:spacing w:line="360" w:lineRule="auto"/>
        <w:ind w:firstLine="420" w:firstLineChars="200"/>
        <w:jc w:val="left"/>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4、支持查看账单明细；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3.2.8.2双创服务</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3.2.8.2.1应用概述</w:t>
      </w:r>
      <w:r>
        <w:rPr>
          <w:rFonts w:hint="default" w:ascii="Times New Roman" w:hAnsi="Times New Roman" w:eastAsia="宋体" w:cs="Times New Roman"/>
          <w:b w:val="0"/>
          <w:bCs w:val="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通过双创服务为创业者提供创业相关的政策服务，支持创业者实时查看，并引入代办机构，提供代办服务，包括金融服务、人力资源、法律资源、中介服务等。</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3.2.8.2.2功能设计：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用户端：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1、支持用户查看最新的创业服务政策，并下载。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2、支持用户按不同的服务类型进行代办资源查找，包括金融服务、人力资源、法律资源、中介资源等。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3、支持用户通过搜索服务名称，进行模糊查找。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4、支持查看服务代办机构联系方式，进行沟通。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5、支持查看服务机构详情，包括机构名称、机构能力、服务内容、联系方式等。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管理端：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以列表的形式展示服务机构信息，包括机构名称、机构能力、服务内容、统一社会信用代码、联系方式等。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支持新增、删除、编辑机构。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支持导入机构名单。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以列表的形式展示创业服务政策。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支持新增、删除。编辑创业服务政策。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支持上传政策文件。</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3.2.9未来低碳场景应用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3.2.9.1能耗管理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应用概述：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运用IOT技术实现智能水、电表对接，并接入数据管理，通过能耗数据实时监测统计，实现社区节能减排。</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3.2.9.2功能设计</w:t>
      </w:r>
      <w:r>
        <w:rPr>
          <w:rFonts w:hint="default" w:ascii="Times New Roman" w:hAnsi="Times New Roman" w:eastAsia="宋体" w:cs="Times New Roman"/>
          <w:b w:val="0"/>
          <w:bCs w:val="0"/>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支持管理者查看能耗监测数据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支持管理者设置能耗预警阈值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支持对不同时段的能耗进行智能分析，并提示管理者按日、月等不同时段的能耗异常区间。</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3.2.10未来社区驾驶舱建设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数据驾驶舱是整体统一，包括大量、多种维度的数据组成来统一展示业务全貌。还具备充分的灵活性和配置性，可以依据自身的需求，灵活的选择不同维度的数据进行组合分析，满足不同场景的应用需求。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利用大数据技术，数据获取、处理及分析实现数据高效利用，通过数据驾驶舱进行展示，真正发挥数据的价值，形成数据资产。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梅沁未来社区九场景数字驾驶舱是梅沁社区各级管理者日常管理的辅助工具，用于为领导提供“一站式”决策数据支持。梅沁未来社区九场景数字驾驶舱围绕“1+9”概念，即1个全局总览驾驶舱、9个场景子驾驶舱，包括邻里场景子驾驶舱、教育场景子驾驶舱、健康场景子驾驶舱、创业场景子驾驶舱、建筑场景子驾驶舱、交通场景子驾驶舱、服务场景子驾驶舱、服务场景子驾驶舱、治理场景子驾驶舱、低碳场景子驾驶舱，实现“一屏知全局”，有效提高社区基层治理信息化、智能化水平，提升社区的服务居民能力与安全管理能力，增强具名的安全感、幸福感、满意感。</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3.2.10.1全局总览驾驶舱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梅沁未来社区全总总览驾驶舱利用倾斜摄影技术，实现梅沁未来社区三维立体建模，展示梅沁未来社区“空间全貌”，通过漫游模式实现全域社区游览。全局总览驾驶舱结合各子场景驾驶舱，展示以下内容：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（1）社区概况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社区概况主要包括社区简介、社区面积、户数、居民数量、男女比例、年龄结构、党组织结构等内容，属于社区的基本信息内容。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（2）积分排名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结合全域积分模式，对梅沁社区积分情况做出整体排名，抓取活跃用户。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（3）活动排名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整合社区内部活动资源，从关注度、报名人数、活动次数等多维度综合排名社区活动，抓取社区热门情况，深层次挖掘居民的活动需求，实现针对性开展活动，满足居民业余生活。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（4）社区服务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房屋租赁，统计租客人数、出租房屋套数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报事报修，滚动展示报事报修内容， 报事报修数量、已处理数量。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（5）社区交通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智慧停车,统计停车位数量及空余数量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（6）社区治理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特殊人群分布情况，及特殊占比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社区共建，包括分类占比、采纳数量、完成数量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（7）动态预警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对于安全事件、应急事件的综合预警提醒。</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3.2.10.2邻里场景子驾驶舱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邻里场景子驾驶舱针对于邻里场景业务所展示的BI可视化数据，使各层社区管理员能够详细掌握邻里场景的各类数据，并且通过分析、比较做出科学精准的决策和判断，主要包括邻里公约、空间预约一张图、社区活动、邻里风采、邻里社区公告、志愿服务、邻里互助、便民生活圈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（1）邻里公约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邻里公约主要是社区邻里间互相约定承诺的条款，通过邻里公约统计最新公约签名人数的占比。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邻里公约签名人数占比统计，通过饼图的形式展示，包括已签公约人数、未签公约人数，以及各占百分比。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（2）空间预约一张图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通过一张图的形式展示社区内的空间预约资源点位，并且统计空间预约总数、可预约数量、已预约数量，支持通过日期切换，查看不同时间的预约情况。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（3）社区活动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汇聚社区内的所有活动，对其进行数据分析，包括社区活动数量、社区活动报名情况、社区热门活动排行榜。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社区活动数量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按不同活动类型进行分类统计，通过饼图的形式展示各种类型的活动数量以及活动总数量。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活动报名情况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以进度条的形式表示活动报名人情况， “总进度”为可报名总人数， “已有进度”为已报名人数，“剩余进度”为剩余报名人数。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社区热门活动排行榜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整合社区内部活动资源，从关注度、报名人数、活动次数等多维度综合排名社区活动，抓取社区热门情况，深层次挖掘居民的活动需求，实现针对性开展活动，满足居民业余生活。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（4）邻里风采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通过横向滑动的方式展示邻里风采，包括主题名称、图文内容。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（5）邻里社区公告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以滚动的方式展示社区最近公告通知。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（6）志愿服务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志愿者由社区居民自发形成，参与志愿者活动，通过数据分析，对志愿者人数、志愿者活动、志愿者报名进行统计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志愿者人数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志愿者人数指已进入社区志愿者库中，固定的志愿者，不包括临时志愿者，用数字的形式展示志愿者人数，通过点击的交互方式能够查看志愿者名单。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志愿者活动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展示志愿者活动总数量，并且通过折线图的形式展示各阶段志愿者活动的举办趋势。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志愿者报名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展示志愿者报名的人数，包括固定志愿者与临时志愿者。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（7）邻里互助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统计居民发布需要帮助需求的总次数，及累计已经达成互助的次数。并且通过关键词统计，展示居民互助最频繁的内容。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3.2.10.3教育场景子驾驶舱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教育场景子驾驶舱针对于教育场景业务所展示的BI可视化数据，使各层社区管理员能够详细掌握教育场景的各类数据，并且通过分析、比较做出科学精准的决策和判断，主要居民之声、学员人群分析、活跃人群分析、热门内容、社区课程分析、资源分析、教育一张图、党委组织架构、党员活动风采、党委最新动态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（1）居民之声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居民之声主要用于收集居民对课程的看法，以列表的形式展示居民之声，按一定频率进行滚动播放，主要包括发布者、发布内容、时间等字段。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（2）学员人群分析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学员人群分析包括累计学员总数量，以及性别占比，学历占比，包括本科以上、高中、初中、其他，年龄占比及数量。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（3）活跃人群分析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以曲线图的形式统计活跃人数情况。支持按周、月、年进行维度切换，支持统计本周、本月、本年活动人数，并同比进行分析对比。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（4）热门内容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热门内容包括课程、教员，根据订阅数量对课程及教员进行分别排名统计，并通过气泡的形式持续展示热门课程名称及教员名称。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（5）社区课程分析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统计社区课程开办次数，用折线图的形式展示，支持通过周、月、年进行切换统计。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（6）资源分析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资源分析用于统计教育场景的所有资源情况，类型包括老年课堂、社区达人、托幼资源、学龄课堂，主要内容为教员资源总数、课程资源总数、学习空间总数、累计课时总数等。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（7）教育一张图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通过教育一张图展示各类学习空间的点位。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（8）党委组织架构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展示梅沁社区党委组织架构情况，包括党支书书记、各组织干部等。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（9）党员活动风采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通过横向滑动的方式展示党员活动风采，包括主题名称、图文内容。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（10）党委最新动态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通过纵向滚动的形式展示最新的党委信息，便于管理者实时掌握党委最新情况。</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3.2.10.4健康场景子驾驶舱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健康场景子驾驶舱是通过中枢数据协同后形成的智能化、精细化、可视化的数据界面。通过健康场景子驾驶舱辅助各个管理层对社区内居民健康管理与统筹，实现线上线下联动的工作管理机制。基于健康场景子驾驶舱各个模块数据分析，主要包括一老一小离园监测、远程问诊、健康一张图。辅助科学决策，实现由“人脑”向“智脑”的转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（1）独居老人监测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接入第三方硬件设备，抓实现对社区独居老人的健康健康进行检测，出现异常及时预警。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（2）健康一张图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展示各健康设备的点位，包括智慧步道点位、健康小屋点位等。</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3.2.10.5创业场景子驾驶舱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创业场景子驾驶舱把散落在系统内各个角落的各种数据归集起来，通过合理设计、规范呈现形式，将数据通过大屏呈现，盘活对整体数据的应用。为管理层做出科学决策和协调工作提供有力支撑。主要模块包括众创空间、双创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众创空间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众创空间汇聚社区内共享的创业办公空间，主要通过众创空间一张图展示。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众创空间一张图展示各工位点位，支持按时间切换，了解对应时段工位预约情况，并统计工位总数、已预约工位数、剩余工位数。</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（2）双创服务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双创服务包括最新政策、代办服务等。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最新政策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以列表的形式展示最新政策内容，包括政策名称、政策时间、政策发布部门等。根据一定频率进行滚动展示。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代办服务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以列表的形式展示代办服务，包括代办服务名称、代办服务请求人数等内容，根据一定频率进行滚动展示。</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3.2.10.6服务场景子驾驶舱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服务场景子驾驶舱针对与社区服务业务数据进行收集、处理、加工、分析等四步骤进行最终展示，服务场景子驾驶舱能够让社区管理部门快速了解社区所提供的服务情况，从而对运用数据的基础辅助对提升社区服务提供帮助。主要包括报事报修、缴费总览、资源看板、社区食堂、安全监测一张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（1）报事报修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对社区报事报修事件进行统计，包括待办数量、已办数量。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对事件报事报修数据以动态滚动的形式进行展示。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展示高频报事报修类型热词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（2）缴费总览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对水费、电费、物业费、停车费等不同类型费用进行占比统计，支持统计应收费用、已收费用、待收费用等。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（3）资源看板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资源看板对停车位、空余房屋进行统计分析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停车位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展示物业拥有停车位数量，当前时间空余停车位数量。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空余房屋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以列表的形式展示空余房屋的房屋位置（几幢几单元几零几）。以纵向滚动的形式按一定频率滚动。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展示空余房屋总数量、已出租房屋数量等。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（4）社区食堂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展示社区食堂累计配送次数、累计服务人数等内容。</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3.2.10.7建筑场景子驾驶舱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利用</w:t>
      </w:r>
      <w:r>
        <w:rPr>
          <w:rFonts w:hint="eastAsia" w:ascii="Times New Roman" w:hAnsi="Times New Roman" w:eastAsia="宋体" w:cs="Times New Roman"/>
          <w:b w:val="0"/>
          <w:bCs w:val="0"/>
          <w:highlight w:val="none"/>
          <w:lang w:val="en-US" w:eastAsia="zh-CN"/>
        </w:rPr>
        <w:t>倾斜摄影</w:t>
      </w:r>
      <w:r>
        <w:rPr>
          <w:rFonts w:hint="default" w:ascii="Times New Roman" w:hAnsi="Times New Roman" w:eastAsia="宋体" w:cs="Times New Roman"/>
          <w:b w:val="0"/>
          <w:bCs w:val="0"/>
          <w:highlight w:val="none"/>
          <w:lang w:val="en-US" w:eastAsia="zh-CN"/>
        </w:rPr>
        <w:t>技术，实现对社区各类建筑的拆楼操作，通过建筑场景子驾驶舱能够掌握个建筑内部结构情况，并通过</w:t>
      </w:r>
      <w:r>
        <w:rPr>
          <w:rFonts w:hint="eastAsia" w:ascii="Times New Roman" w:hAnsi="Times New Roman" w:eastAsia="宋体" w:cs="Times New Roman"/>
          <w:b w:val="0"/>
          <w:bCs w:val="0"/>
          <w:highlight w:val="none"/>
          <w:lang w:val="en-US" w:eastAsia="zh-CN"/>
        </w:rPr>
        <w:t>倾斜摄影</w:t>
      </w:r>
      <w:r>
        <w:rPr>
          <w:rFonts w:hint="default" w:ascii="Times New Roman" w:hAnsi="Times New Roman" w:eastAsia="宋体" w:cs="Times New Roman"/>
          <w:b w:val="0"/>
          <w:bCs w:val="0"/>
          <w:highlight w:val="none"/>
          <w:lang w:val="en-US" w:eastAsia="zh-CN"/>
        </w:rPr>
        <w:t>技术支撑各场景中“一张图”的构建。</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3.2.10.8交通场景子驾驶舱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交通场景子驾驶舱主要是对于社区内部交通数据的汇总统计，实现管理部门通过驾驶舱掌握全社区交通情况，为引导车辆、减少堵塞提供帮助。主要包括交通一张图、车辆统计。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交通一张图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通过交通一张图展示各个充电桩分布，并展示充电桩现阶段状态，包括使用中，未使用中，实现新能源车辆的合理引导。</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车辆统计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通过饼图的方式统计社区内长期车辆与临时车辆的占比，并智能预估合理占比范围，避免出现临时车辆过多导致长期车辆停车位不足的现象。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对临时车辆累计费用进行统计，包括应收费用、已收费用、待收费用。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3.2.10.9治理场景子驾驶舱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治理场景子驾驶舱是通过中枢数据协同后形成的智能化、精细化、可视化的数据界面。通过治理场景子驾驶舱辅助各个管理层实现社区内部综合。基于治理场景子驾驶舱各个模块数据分析，主要包括随手拍动态栏、社区共建、防疫一张图、应急事件预警、重点人群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（1）随手拍动态栏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以滚动的形式展示最新随手拍内容，包括随手拍图片，通过缩略图的形式展示，支持点击放大查看详细图片。</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（2）社区共建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将社区共建按不同的建议类型进行分配，以饼图的形式进行各占比分析。支持展示共建采纳数量、共建完成数量。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（3）应急事件预警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对社区突发的应急事件进行动态预警提醒。</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（4）特殊人群管理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统计不同特殊人群类型的数量，及占比情况。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（5）安全监测一张图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安全监测一张图上展示各个安全监测硬件点位，包括出入口监测、消防栓监测、安防监测，通过点击监测点位能够查看监测实况。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出现安全隐患时，将及时通过弹窗形式展示，并在对应的安全监测硬件点位进行动态闪烁预警，实现社区管理人员“线上统管安全实况”。</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3.2.10.10低碳场景子驾驶舱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低碳场景子驾驶舱通过对接能耗监测硬件设备实现数据采集、加工、分析，通过图表形式展示，实现梅沁社区低碳化管理，为国家碳达峰、碳中和做出“梅沁”贡献。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（1）能耗统计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利用IOT物联网技术，实时监测社区水、电等能耗情况，通过折线图统计耗用趋势，支持通过日、周、月、年进行切换，能够掌握不正常耗用的时间维度，便于查清原因，节能减排。支持自定义设置预警阈值，水、电使用超过预警阈值时，将动态预警通知管理人员。</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bookmarkStart w:id="63" w:name="_Toc404"/>
      <w:r>
        <w:rPr>
          <w:rFonts w:hint="default" w:ascii="Times New Roman" w:hAnsi="Times New Roman" w:eastAsia="宋体" w:cs="Times New Roman"/>
          <w:b/>
          <w:bCs/>
          <w:highlight w:val="none"/>
          <w:lang w:val="en-US" w:eastAsia="zh-CN"/>
        </w:rPr>
        <w:t>3.3应用支撑层</w:t>
      </w:r>
      <w:bookmarkEnd w:id="63"/>
      <w:r>
        <w:rPr>
          <w:rFonts w:hint="eastAsia" w:ascii="Times New Roman" w:hAnsi="Times New Roman" w:eastAsia="宋体" w:cs="Times New Roman"/>
          <w:b/>
          <w:bCs/>
          <w:highlight w:val="none"/>
          <w:lang w:val="en-US" w:eastAsia="zh-CN"/>
        </w:rPr>
        <w:t>建设</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bookmarkStart w:id="64" w:name="_Toc18590"/>
      <w:r>
        <w:rPr>
          <w:rFonts w:hint="default" w:ascii="Times New Roman" w:hAnsi="Times New Roman" w:eastAsia="宋体" w:cs="Times New Roman"/>
          <w:b/>
          <w:bCs/>
          <w:highlight w:val="none"/>
          <w:lang w:val="en-US" w:eastAsia="zh-CN"/>
        </w:rPr>
        <w:t>3.3.1机构及人员管理</w:t>
      </w:r>
      <w:bookmarkEnd w:id="6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梅沁未来社区组织架构需与区级未来社区智慧服务平台组织保持统一。</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bookmarkStart w:id="65" w:name="_Toc10241"/>
      <w:r>
        <w:rPr>
          <w:rFonts w:hint="default" w:ascii="Times New Roman" w:hAnsi="Times New Roman" w:eastAsia="宋体" w:cs="Times New Roman"/>
          <w:b/>
          <w:bCs/>
          <w:highlight w:val="none"/>
          <w:lang w:val="en-US" w:eastAsia="zh-CN"/>
        </w:rPr>
        <w:t>3.3.2用户管理</w:t>
      </w:r>
      <w:bookmarkEnd w:id="65"/>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对系统各类用户的组织机构、用户及用户组、角色、账号进行管理。提供用户账号的查询、添加、删除和修改功能，实现用户账号以及单位部门以及角色的绑定功能。</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bookmarkStart w:id="66" w:name="_Toc11014"/>
      <w:r>
        <w:rPr>
          <w:rFonts w:hint="default" w:ascii="Times New Roman" w:hAnsi="Times New Roman" w:eastAsia="宋体" w:cs="Times New Roman"/>
          <w:b/>
          <w:bCs/>
          <w:highlight w:val="none"/>
          <w:lang w:val="en-US" w:eastAsia="zh-CN"/>
        </w:rPr>
        <w:t>3.3.3权限管理</w:t>
      </w:r>
      <w:bookmarkEnd w:id="66"/>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对赋予角色的权限组进行管理。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权限组的修改查询和详细权限的设置。详细权限分为基础权限组、页面访问及菜单显示权限组、数据及报告下载权限组等类别。可通过将详细权限配置给权限组的方式控制每个权限组的权限范围。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权限组的增删改查，可对权限组所属模块、配给角色进行记录。</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bookmarkStart w:id="67" w:name="_Toc16982"/>
      <w:r>
        <w:rPr>
          <w:rFonts w:hint="default" w:ascii="Times New Roman" w:hAnsi="Times New Roman" w:eastAsia="宋体" w:cs="Times New Roman"/>
          <w:b/>
          <w:bCs/>
          <w:highlight w:val="none"/>
          <w:lang w:val="en-US" w:eastAsia="zh-CN"/>
        </w:rPr>
        <w:t>3.3.4角色管理</w:t>
      </w:r>
      <w:bookmarkEnd w:id="6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可对平台各类角色进行维护修改，配置权限组给不同角色，展示角色启用状态和配置用户数量等信息。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账号角色的增删改查和启用、停用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bookmarkStart w:id="68" w:name="_Toc20344"/>
      <w:r>
        <w:rPr>
          <w:rFonts w:hint="default" w:ascii="Times New Roman" w:hAnsi="Times New Roman" w:eastAsia="宋体" w:cs="Times New Roman"/>
          <w:b/>
          <w:bCs/>
          <w:highlight w:val="none"/>
          <w:lang w:val="en-US" w:eastAsia="zh-CN"/>
        </w:rPr>
        <w:t>3.3.5IRS组件申请需求</w:t>
      </w:r>
      <w:bookmarkEnd w:id="68"/>
    </w:p>
    <w:tbl>
      <w:tblPr>
        <w:tblStyle w:val="3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01"/>
        <w:gridCol w:w="3203"/>
        <w:gridCol w:w="1186"/>
        <w:gridCol w:w="1842"/>
        <w:gridCol w:w="14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4" w:hRule="atLeast"/>
          <w:jc w:val="center"/>
        </w:trPr>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序号</w:t>
            </w:r>
          </w:p>
        </w:tc>
        <w:tc>
          <w:tcPr>
            <w:tcW w:w="32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组件名称</w:t>
            </w:r>
          </w:p>
        </w:tc>
        <w:tc>
          <w:tcPr>
            <w:tcW w:w="11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组件编号</w:t>
            </w: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组件提供单位</w:t>
            </w:r>
          </w:p>
        </w:tc>
        <w:tc>
          <w:tcPr>
            <w:tcW w:w="14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是否强制组件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46" w:hRule="atLeast"/>
          <w:jc w:val="center"/>
        </w:trPr>
        <w:tc>
          <w:tcPr>
            <w:tcW w:w="70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w:t>
            </w:r>
          </w:p>
        </w:tc>
        <w:tc>
          <w:tcPr>
            <w:tcW w:w="320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统一用户认证（政府服务网）</w:t>
            </w:r>
          </w:p>
        </w:tc>
        <w:tc>
          <w:tcPr>
            <w:tcW w:w="118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无</w:t>
            </w:r>
          </w:p>
        </w:tc>
        <w:tc>
          <w:tcPr>
            <w:tcW w:w="184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省大数据局</w:t>
            </w:r>
          </w:p>
        </w:tc>
        <w:tc>
          <w:tcPr>
            <w:tcW w:w="149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是</w:t>
            </w: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3.4数据资源层</w:t>
      </w:r>
      <w:r>
        <w:rPr>
          <w:rFonts w:hint="eastAsia" w:ascii="Times New Roman" w:hAnsi="Times New Roman" w:eastAsia="宋体" w:cs="Times New Roman"/>
          <w:b/>
          <w:bCs/>
          <w:highlight w:val="none"/>
          <w:lang w:val="en-US" w:eastAsia="zh-CN"/>
        </w:rPr>
        <w:t>建设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角色名称，角色配置给的账户数量，角色当前的启用停用状态，角色分类（同一类角色配给用户后，用户只享有该类角色中最高权限的角色）。</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bookmarkStart w:id="69" w:name="_Toc21068"/>
      <w:r>
        <w:rPr>
          <w:rFonts w:hint="default" w:ascii="Times New Roman" w:hAnsi="Times New Roman" w:eastAsia="宋体" w:cs="Times New Roman"/>
          <w:b w:val="0"/>
          <w:bCs w:val="0"/>
          <w:highlight w:val="none"/>
          <w:lang w:val="en-US" w:eastAsia="zh-CN"/>
        </w:rPr>
        <w:t>数据资源层设计</w:t>
      </w:r>
      <w:bookmarkEnd w:id="69"/>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数据资源层主要是为了构建未来社区九大场景建设数据提供数据清洗，整理成标准格式的，能够符合要求的数据集，用于全方位及多维度的分析。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本系统主要是业务数据库和外网服务数据中心的信息交换，以支持各类基于智能终端的服务应用，并通过区级未来社区数字底座交换平台，为拓展网络单位的信息交换打好基础。数据交换系统的主要内容包括数据采集接口、数据发布接口、数据交换管理。最终目的是为了实现多部门数据共建共享，一方建设多方使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3.4.1数据采集管理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数据共享采集基于WebService或数据库同步方式（如Oracle的DBLink）按需向提供信息源的系统获取数据和服务。数据采集管理对面向源数据的提供系统所建立的服务接口建立统一管理，并对采集过程实现统一配置。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对于业务系统提供的源数据将按照不同类型进行区分并进行不同方式的处理：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A.基础数据类型：该部分数据是共性特点最强、复用频率最高的数据，同时数据量较小，将通过同步方式进入系统的基础资源库，并在系统自有数据库中保留最新备份；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B.具有跨业务统计需求的过程数据：由于跨业务的统计无法由业务应用直接提供，因此需要将过程数据保留在平台自有数据库中，但无需保存完整信息，只需要保留与统计相关的关键项。其他具有即时或短期统计需求的数据也可以通过在本平台实现数据冗余的方式提高访问性能，无长期统计需求的数据可以设定保留期限并自动移除历史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C.大容量或统计无关数据：这部分数据将完全保留在原有业务系统中，例如需要整合的视频监控的录像信息，在系统需要展现这些数据时，通过服务接口直接获取。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bookmarkStart w:id="70" w:name="_Toc8404"/>
      <w:r>
        <w:rPr>
          <w:rFonts w:hint="default" w:ascii="Times New Roman" w:hAnsi="Times New Roman" w:eastAsia="宋体" w:cs="Times New Roman"/>
          <w:b w:val="0"/>
          <w:bCs w:val="0"/>
          <w:highlight w:val="none"/>
          <w:lang w:val="en-US" w:eastAsia="zh-CN"/>
        </w:rPr>
        <w:t>数据加工管理</w:t>
      </w:r>
      <w:bookmarkEnd w:id="7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数据加工管理的主要功能是对数据加工过程实现配置，同时针对需人工加工、干预的数据提供管理功能。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数据共享集成系统的加工过程重点在数据内容的融合和关联。由于外部数据在提供时，可能与系统的数据标准存在差异，因此，需要在数据传输时，根据数据标准规范，对数据项进行规范性加工。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除了规范性加工之外，加工过程中主要通过对于不同业务应用提供的源数据实现关联和数据项补充。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A.补充：重点是围绕组织、人员、时间、空间、业务五个要素对信息内容进行补充和加工，对于缺失的内容提供机制进行完善；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B.关联：关联工作首先要通过建立不同业务应用数据之间的映射关系，实现统一的信息关联。</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除此以外，还要实现在上述五要素之间的信息关联，实现同一人员、同一地点、同一时间等关联关系的识别。</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bookmarkStart w:id="71" w:name="_Toc28450"/>
      <w:r>
        <w:rPr>
          <w:rFonts w:hint="default" w:ascii="Times New Roman" w:hAnsi="Times New Roman" w:eastAsia="宋体" w:cs="Times New Roman"/>
          <w:b/>
          <w:bCs/>
          <w:highlight w:val="none"/>
          <w:lang w:val="en-US" w:eastAsia="zh-CN"/>
        </w:rPr>
        <w:t>3.4.2数据分发管理</w:t>
      </w:r>
      <w:bookmarkEnd w:id="7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在数据通过采集、加工建立标准化数据之后，利用数据分发共享服务的方式，向系统内或系统外的应用提供数据服务接口。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数据分发管理针对这些数据服务接口建立统一的配置和管理，同时对分发的过程实现追踪。</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在分发过程中主要通过对业务场景的数据需求进行识别，综合利用多业务应用的源数据进行组织和封装，封装的结果为具有与业务对象相匹配的数据结构的实例数据。</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val="0"/>
          <w:bCs w:val="0"/>
          <w:highlight w:val="none"/>
          <w:lang w:val="en-US" w:eastAsia="zh-CN"/>
        </w:rPr>
      </w:pPr>
      <w:bookmarkStart w:id="72" w:name="_Toc22963"/>
      <w:r>
        <w:rPr>
          <w:rFonts w:hint="default" w:ascii="Times New Roman" w:hAnsi="Times New Roman" w:eastAsia="宋体" w:cs="Times New Roman"/>
          <w:b/>
          <w:bCs/>
          <w:highlight w:val="none"/>
          <w:lang w:val="en-US" w:eastAsia="zh-CN"/>
        </w:rPr>
        <w:t>3.4.3数据库建设</w:t>
      </w:r>
      <w:bookmarkEnd w:id="7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基础数据库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包括社区单位信息、商户信息、社区空间资源信息、社区达人信息、社区居民信息、车辆信息、房屋信息等。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业务数据库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包括活动报名信息、志愿者信息、党建风采信息、社区共建上报信息、随手拍信息、积分信息、邻里互助信息、在线社群信息等。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主题数据库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主要围绕九大场景建立专题库，包括邻里场景信息库、治理场景信息库、服务场景信息库、教育场景信息库、健康场景信息库、低碳场景信息库、建筑场景信息库、交通场景信息库、创业场景信息库。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操作日志数据库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包括用户操作日志、服务操作日志、数据服务调用日志等系统日志记录信息。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bookmarkStart w:id="73" w:name="_Toc20480"/>
      <w:r>
        <w:rPr>
          <w:rFonts w:hint="default" w:ascii="Times New Roman" w:hAnsi="Times New Roman" w:eastAsia="宋体" w:cs="Times New Roman"/>
          <w:b/>
          <w:bCs/>
          <w:highlight w:val="none"/>
          <w:lang w:val="en-US" w:eastAsia="zh-CN"/>
        </w:rPr>
        <w:t>3.5基础设施层</w:t>
      </w:r>
      <w:bookmarkEnd w:id="73"/>
      <w:r>
        <w:rPr>
          <w:rFonts w:hint="eastAsia" w:ascii="Times New Roman" w:hAnsi="Times New Roman" w:eastAsia="宋体" w:cs="Times New Roman"/>
          <w:b/>
          <w:bCs/>
          <w:highlight w:val="none"/>
          <w:lang w:val="en-US" w:eastAsia="zh-CN"/>
        </w:rPr>
        <w:t>建设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val="0"/>
          <w:bCs w:val="0"/>
          <w:highlight w:val="none"/>
          <w:lang w:val="en-US" w:eastAsia="zh-CN"/>
        </w:rPr>
        <w:sectPr>
          <w:headerReference r:id="rId4" w:type="default"/>
          <w:footerReference r:id="rId5" w:type="default"/>
          <w:pgSz w:w="11906" w:h="16838"/>
          <w:pgMar w:top="1474" w:right="1797" w:bottom="1247" w:left="1797" w:header="851" w:footer="850"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b w:val="0"/>
          <w:bCs w:val="0"/>
          <w:highlight w:val="none"/>
          <w:lang w:val="en-US" w:eastAsia="zh-CN"/>
        </w:rPr>
        <w:t>本项目围绕“1个底座，N个应用”原则，融合区级数字底座，将社区应用部署于区级底座中，依托数字底座，减少重新投入云平台等基础设施费用成本。</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3.6设备总表</w:t>
      </w:r>
    </w:p>
    <w:p>
      <w:pPr>
        <w:pStyle w:val="2"/>
        <w:rPr>
          <w:rFonts w:hint="default" w:ascii="Times New Roman" w:hAnsi="Times New Roman" w:eastAsia="宋体" w:cs="Times New Roman"/>
          <w:b/>
          <w:bCs/>
          <w:highlight w:val="none"/>
          <w:lang w:val="en-US" w:eastAsia="zh-CN"/>
        </w:rPr>
      </w:pPr>
    </w:p>
    <w:tbl>
      <w:tblPr>
        <w:tblStyle w:val="37"/>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163"/>
        <w:gridCol w:w="1686"/>
        <w:gridCol w:w="2829"/>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序号</w:t>
            </w:r>
          </w:p>
        </w:tc>
        <w:tc>
          <w:tcPr>
            <w:tcW w:w="1163"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场景名称</w:t>
            </w: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模块名称</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配套硬件</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场景落位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w:t>
            </w:r>
          </w:p>
        </w:tc>
        <w:tc>
          <w:tcPr>
            <w:tcW w:w="1163" w:type="dxa"/>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邻里场景</w:t>
            </w: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邻里特色文化</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监控、会议一体机</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社区红娘站、志愿者服务站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163"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邻里开放共享</w:t>
            </w:r>
          </w:p>
        </w:tc>
        <w:tc>
          <w:tcPr>
            <w:tcW w:w="282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监控、背景音响、电视一体机</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老年活动室、练歌房、小区架空层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w:t>
            </w:r>
          </w:p>
        </w:tc>
        <w:tc>
          <w:tcPr>
            <w:tcW w:w="1163" w:type="dxa"/>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服务场景</w:t>
            </w:r>
          </w:p>
        </w:tc>
        <w:tc>
          <w:tcPr>
            <w:tcW w:w="1686"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社区应急与智能防护</w:t>
            </w:r>
          </w:p>
        </w:tc>
        <w:tc>
          <w:tcPr>
            <w:tcW w:w="282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应急广播、高清摄像机、智能消防</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各小区出入口及公共场所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163"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686"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282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架空层监控</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民和家园架空层公共区域监控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163"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社区服务</w:t>
            </w:r>
          </w:p>
        </w:tc>
        <w:tc>
          <w:tcPr>
            <w:tcW w:w="282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会议一体机</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服务大厅、居民会客厅、议事厅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w:t>
            </w:r>
          </w:p>
        </w:tc>
        <w:tc>
          <w:tcPr>
            <w:tcW w:w="1163" w:type="dxa"/>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highlight w:val="none"/>
                <w:lang w:val="en-US" w:eastAsia="zh-CN"/>
              </w:rPr>
            </w:pPr>
          </w:p>
        </w:tc>
        <w:tc>
          <w:tcPr>
            <w:tcW w:w="168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精益化数字管理平台</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LED大屏、综合管理平台</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数字驾驶舱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163"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党建政务宣传</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室外宣传大屏</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w:t>
            </w:r>
          </w:p>
        </w:tc>
        <w:tc>
          <w:tcPr>
            <w:tcW w:w="1163" w:type="dxa"/>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教育场景</w:t>
            </w: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幸福学龄全覆盖</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监控、会议一体机</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幸福学堂（音乐室、烘焙室）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163"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知识在身边</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图书借还一体机</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党群服务中心图书角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163"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托育全覆盖</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幼教一体机 门禁 监控</w:t>
            </w:r>
          </w:p>
        </w:tc>
        <w:tc>
          <w:tcPr>
            <w:tcW w:w="2197"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社区托育照护中心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restart"/>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w:t>
            </w:r>
          </w:p>
        </w:tc>
        <w:tc>
          <w:tcPr>
            <w:tcW w:w="1163" w:type="dxa"/>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健康场景</w:t>
            </w: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社区养老助残</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智能终端设备</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老年食堂、居家养老服务站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163"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智慧健康管理</w:t>
            </w:r>
          </w:p>
        </w:tc>
        <w:tc>
          <w:tcPr>
            <w:tcW w:w="282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健康小屋一体机</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健康服务小站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vMerge w:val="continue"/>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163" w:type="dxa"/>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活力运动健身</w:t>
            </w:r>
          </w:p>
        </w:tc>
        <w:tc>
          <w:tcPr>
            <w:tcW w:w="282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门禁、监控、智慧步道</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百姓健身房、智慧步道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6</w:t>
            </w:r>
          </w:p>
        </w:tc>
        <w:tc>
          <w:tcPr>
            <w:tcW w:w="116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交通场景</w:t>
            </w: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物流配送服务</w:t>
            </w:r>
          </w:p>
        </w:tc>
        <w:tc>
          <w:tcPr>
            <w:tcW w:w="282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智能快递柜</w:t>
            </w:r>
          </w:p>
        </w:tc>
        <w:tc>
          <w:tcPr>
            <w:tcW w:w="2197"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蜂巢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7</w:t>
            </w:r>
          </w:p>
        </w:tc>
        <w:tc>
          <w:tcPr>
            <w:tcW w:w="116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低碳场景</w:t>
            </w: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社区综合节能</w:t>
            </w:r>
          </w:p>
        </w:tc>
        <w:tc>
          <w:tcPr>
            <w:tcW w:w="282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能耗监测</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物联网水表，物联网电表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8</w:t>
            </w:r>
          </w:p>
        </w:tc>
        <w:tc>
          <w:tcPr>
            <w:tcW w:w="1163"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创业场景</w:t>
            </w:r>
          </w:p>
        </w:tc>
        <w:tc>
          <w:tcPr>
            <w:tcW w:w="1686"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共享办公</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监控、门禁</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9</w:t>
            </w:r>
          </w:p>
        </w:tc>
        <w:tc>
          <w:tcPr>
            <w:tcW w:w="116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社区服务中心智能化</w:t>
            </w:r>
          </w:p>
        </w:tc>
        <w:tc>
          <w:tcPr>
            <w:tcW w:w="168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网络设备、数字化办公设备</w:t>
            </w: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有线网络、无线网络</w:t>
            </w: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default" w:ascii="Times New Roman" w:hAnsi="Times New Roman" w:eastAsia="宋体" w:cs="Times New Roman"/>
                <w:b w:val="0"/>
                <w:bCs w:val="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10</w:t>
            </w:r>
          </w:p>
        </w:tc>
        <w:tc>
          <w:tcPr>
            <w:tcW w:w="116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物业用房智能化</w:t>
            </w:r>
          </w:p>
        </w:tc>
        <w:tc>
          <w:tcPr>
            <w:tcW w:w="168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highlight w:val="none"/>
                <w:lang w:val="en-US" w:eastAsia="zh-CN"/>
              </w:rPr>
            </w:pP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highlight w:val="none"/>
                <w:lang w:val="en-US" w:eastAsia="zh-CN"/>
              </w:rPr>
            </w:pP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7"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11</w:t>
            </w:r>
          </w:p>
        </w:tc>
        <w:tc>
          <w:tcPr>
            <w:tcW w:w="1163"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综合管线</w:t>
            </w:r>
          </w:p>
        </w:tc>
        <w:tc>
          <w:tcPr>
            <w:tcW w:w="1686"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highlight w:val="none"/>
                <w:lang w:val="en-US" w:eastAsia="zh-CN"/>
              </w:rPr>
            </w:pPr>
          </w:p>
        </w:tc>
        <w:tc>
          <w:tcPr>
            <w:tcW w:w="2829" w:type="dxa"/>
            <w:tcBorders>
              <w:tl2br w:val="nil"/>
              <w:tr2bl w:val="nil"/>
            </w:tcBorders>
            <w:shd w:val="clear" w:color="auto" w:fill="FFFFFF"/>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highlight w:val="none"/>
                <w:lang w:val="en-US" w:eastAsia="zh-CN"/>
              </w:rPr>
            </w:pPr>
          </w:p>
        </w:tc>
        <w:tc>
          <w:tcPr>
            <w:tcW w:w="2197"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highlight w:val="none"/>
                <w:lang w:val="en-US" w:eastAsia="zh-CN"/>
              </w:rPr>
            </w:pPr>
          </w:p>
        </w:tc>
      </w:tr>
    </w:tbl>
    <w:p>
      <w:pPr>
        <w:rPr>
          <w:rFonts w:hint="default" w:ascii="Times New Roman" w:hAnsi="Times New Roman" w:cs="Times New Roman"/>
          <w:highlight w:val="none"/>
          <w:lang w:val="en-US" w:eastAsia="zh-CN"/>
        </w:rPr>
        <w:sectPr>
          <w:pgSz w:w="11906" w:h="16838"/>
          <w:pgMar w:top="1474" w:right="1797" w:bottom="1247" w:left="1797" w:header="851" w:footer="850" w:gutter="0"/>
          <w:pgBorders>
            <w:top w:val="none" w:sz="0" w:space="0"/>
            <w:left w:val="none" w:sz="0" w:space="0"/>
            <w:bottom w:val="none" w:sz="0" w:space="0"/>
            <w:right w:val="none" w:sz="0" w:space="0"/>
          </w:pgBorders>
          <w:pgNumType w:fmt="decimal"/>
          <w:cols w:space="720" w:num="1"/>
          <w:docGrid w:linePitch="312" w:charSpace="0"/>
        </w:sectPr>
      </w:pPr>
    </w:p>
    <w:p>
      <w:pPr>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3.7设备分项表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3.7.1邻里场景-邻里特色文化</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2"/>
        <w:gridCol w:w="672"/>
        <w:gridCol w:w="888"/>
        <w:gridCol w:w="6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序号</w:t>
            </w:r>
          </w:p>
        </w:tc>
        <w:tc>
          <w:tcPr>
            <w:tcW w:w="67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设备名称</w:t>
            </w:r>
          </w:p>
        </w:tc>
        <w:tc>
          <w:tcPr>
            <w:tcW w:w="888"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品牌</w:t>
            </w:r>
          </w:p>
        </w:tc>
        <w:tc>
          <w:tcPr>
            <w:tcW w:w="644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4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150×150×141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会议一体机</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ITC、华为、海康威视</w:t>
            </w:r>
          </w:p>
        </w:tc>
        <w:tc>
          <w:tcPr>
            <w:tcW w:w="64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1、显示尺寸≥86寸，屏幕采用莫氏7 级AG防眩光顺滑处理防爆钢化玻璃，DLED背光源，3840 × 2160 @60 Hz超高清4K分辨率，可视角度≥178°，≥520 cd/m² 亮度，使画面更清晰；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2、屏幕需具有蓝光护眼功能，对皮肤/眼睛无危害，显示静态对比度：≥5000:1，系统响应时间≤4 ms ，刷新率≥60Hz；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3、采用红外触控技术，零贴合触摸工艺，触控响应时间达到＜5ms， 书写延时达到&lt;30ms；支持20点触控，20笔同时书写，支持电磁识别触摸的同时具备防掌触功能；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4、内置6阵列麦和800W分辨率高清摄像头，摄像头分辨率为：3840X2610@30fps，支持MJPEG/H.264编码、定焦和自动白平衡功能；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5、性能配置：CPU:A73 x 2+A53 x 2 1.5GHz；GPU: Mali G51 4核，3GB内存，64 GB存储，可定制扩充内存和存储，支持Android9.0和win10及以上双操作系统；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6、内置天线设计，保证整机一体性；同时，采用一体化双缝天线技术，WIFI 5G独立辐射体，保证系统网络的一致性和稳定性；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7、整机支持与热成像、雷达等探测器或第三方物联网网关等设备的联动对接，实现会议内无人状态下的自动开关机；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8、整机具备抗振动、防跌落特性，显示屏供电系统及线路具有防雷功能，符合GB/T17626.5-2019中防雷4级要求，设备通过IPX3防水检验标准测试，整机环境适应性强，整体功能能稳定使用；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9、系统UI采用全屏应用框架，无侧边栏中控菜单遮挡主界面展示，底部常驻系统操作栏，支持底部向下滑动1-2秒自动收起和底部向上滑动1-2秒自动展开；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10、支持平板管家，一键优化系统内存、设备垃圾清理，设备状态检测，可协助采购人对设备运行故障、异常进行检测、修复；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11、系统内置可拖动的快速批注球，支持在任意通道下可一键快速进入批注； 支持线性调节笔粗，支持常用笔迹色彩任意选择，支持笔锋优化，批注时，支持手笔分离、同时书写，批注内容可本地U盘保存，支持公网和局域网两种模式的扫码分享；</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12、提供多主题欢迎词模板, 可灵活编辑背景文字、图片、音乐等多媒体素材，快速生成欢迎词界面，编辑完成后可保存为自定义模板；支持在欢迎词界面进行签名、书写，并直接生成二维码分享到手机、平板电脑等移动端；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移动式支架</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4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一体底座增强版，高度1750mm，承重200KG，无上托盘，高度可调，适合孔位600×800mm，通用屏体尺寸55-100寸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壁挂音响</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4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1、频率范围（-6dB）：55Hz-19KHz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2、输出功率（RMS）：400W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3、灵敏度（1W/1M）：99dB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4、最大声压级（1M）：132dB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5、阻抗：8Ω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6、指向角度（水平x垂直）：70°x55°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7、低音单元：15”单元，3”音圈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8、高音单元：1.75”音圈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9、分频点：1.7khz，内置分配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10、保护：高音保护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11、输入接口：XLR/6.3mm组合/输出：XLR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Pins+1/-1input/THRU,pins+2/-2空接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12、吊挂系统：10xM8，吊挂点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13、箱体材料：15mmMDF</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14、提手，垂直可调支撑，（SM707）M8吊挂点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功放</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4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1、开机负载检测电路，能自动检测负载阻抗；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2、强大的过载能力和出色短路保护系统；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3、完善的温度控制能力，独特的温度伺服技术；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4、具有直流，超低频。射频保护等；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5、卓越的性能，采用电路模块设计理念，贴片SMT工艺，高品质双面线路板，大面积，屏蔽层，高素质低漏磁环变。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输出功率：1KHz＜0.05%THD</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8Ω：2x800W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4Ω：2X1000W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2Ω：1400W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8Ω桥接：2000W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4Ω桥接：不适用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频率范围（功率宽款+/0.1dB）:20Hz-20KHz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相位响应：（@1W20Hz-20KHz）：±15度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总谐波失真1KHz(20Hz-20KHz)≤0.05%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互调失真（SMPTE）：≤0.05%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阻尼系数（20Hz-500Hz@8Ω）550:1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串扰（20Hz-20KHz）：＞75dB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增益（可选）：26/32/38</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灵敏度：0.775V/1.0V/1.4V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信噪比：106dB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eastAsia" w:ascii="Times New Roman" w:hAnsi="Times New Roman" w:eastAsia="宋体" w:cs="Times New Roman"/>
                <w:i w:val="0"/>
                <w:iCs w:val="0"/>
                <w:color w:val="000000"/>
                <w:sz w:val="20"/>
                <w:szCs w:val="20"/>
                <w:highlight w:val="none"/>
                <w:u w:val="none"/>
                <w:lang w:eastAsia="zh-CN"/>
              </w:rPr>
            </w:pPr>
            <w:r>
              <w:rPr>
                <w:rFonts w:hint="eastAsia" w:ascii="宋体" w:hAnsi="宋体" w:cs="宋体"/>
                <w:sz w:val="20"/>
                <w:szCs w:val="20"/>
                <w:highlight w:val="none"/>
              </w:rPr>
              <w:t>★</w:t>
            </w:r>
            <w:r>
              <w:rPr>
                <w:rFonts w:hint="eastAsia" w:ascii="宋体" w:hAnsi="宋体" w:eastAsia="宋体" w:cs="宋体"/>
                <w:sz w:val="20"/>
                <w:szCs w:val="20"/>
                <w:highlight w:val="none"/>
              </w:rPr>
              <w:t>提供该产品有效期内生产厂家信息安全管理体系认证证书（认证范围必须含有“音频功率放大器的生产”字样）复印件并加盖生产原厂公章</w:t>
            </w:r>
            <w:r>
              <w:rPr>
                <w:rFonts w:hint="eastAsia" w:ascii="宋体" w:hAnsi="宋体" w:eastAsia="宋体" w:cs="宋体"/>
                <w:sz w:val="20"/>
                <w:szCs w:val="20"/>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电源时序器</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4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功能特点：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1、轻触式按键操作，LED指示灯显示工作状态，一目了然；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2、此设备更适合会议、媒体等需要更多地免除干扰的应用场合；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3、采用了可被中控继电器控制的外部接口，最大的特点是加入了2级电网EMI/EMC噪声滤波器，能有效阻隔诸如强无线电，电火花等干扰从电源引入设备。这样对最终重放音质及稳定性产生积极的作用；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4、输入选择D型80A动力型空气开关，从设备背面引入电缆接入空开，符合建设部标准；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5、数值实时电压指示，标准USB接口灯具辅助照明配置；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6、16路电源输出，每路输出AC220V(10A)；30A大电流控制继电器输出，8路美标兼容欧标插座和8路国标插座；电源插座依次间隔1S打开；1路消防短路报警触发信号输出；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7、设有电子锁开关，可手动控制16个电源上断电，也可以与定时器、智能控制器相连接，实现自动控制；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8、采用SMT、AI、ICT全自动生产和测试技术，保证标准化生产和产品的一致性；电源滤波器数量8个内置独立滤波组件，每通道 1个,电源滤波器参数2阶滤波，150kHz-3MHz衰减40dB；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9、保护功能超压报警功能、接入错相指示功能、空气开关过流自动断路功能；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前面板指示功能三位数字为电压、错相接入警告、超压警告、待机、运行、全部旁通、单独通道旁通；</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前面板使用功能接入电力总输入开关和接口、时序电源开关、USB灯电源开关和接口、超压警告逻辑电压选择和切断、全部旁通选择、单独通道旁通选择后面板使用功能时序电源输出插座、联机输入输出插座、外部时序电源开关控制插座、电力线接入管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11、系统参数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输入：单相3线，单相两刀型空气开关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输出：16路，时序通道数量8通道,可输出通道数8通道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输入最大电流容量：80A（AC220V）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每通道最大输出电流容量：30A/60S或10Ams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时序间隔时间：1sec</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USB灯座最大输出电压/电流：5V/50mA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电源：AC 220V±10%  50-60Hz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一拖二无线话筒</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442"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产品特点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1、节能设置,全自动EQ控制功能,自动校正音色全自动开关机模式,自动红外线对频系统,全自动扫描；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2、真分集,不断迅,消除死角;高增益天线,有效开阔使用距离可达200米,完备的输入输出接口,方便连接各种设备.手咪采用加强型发射，音频双电源（正负）配置，动态强大；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3、采用最新型的高频声表面滤波器,最大限度地滤除带外干扰信号；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4、采用二次变频的高频电路设计,具有极高的灵敏度。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接收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调节方式：FM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频带宽度：60MHz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频率间隔：300KHz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可调节频点数：200组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接收方式：UHF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使用距离：200米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发射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话筒频率点：610MHz-670MHz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指向特征：全指向性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拾音头类型：动圈式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话筒灵敏度：-105dB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拾音距离：18CM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供电方式：2XAA电池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使用时间：6h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调音台</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4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1、8路单声道输入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2、通道三段均衡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3、内置99 DSP数字效果器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4、一组辅助发送，一组返回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5、60mm 高精度对数式衰减推子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6、双七段主均衡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7、一组立体声输出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8、每路可单独控制+48幻象电源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9、内置带录音功能USB播放器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10、通道静音开关和PEL开关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11、带有2编组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12、通道均衡:3 band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13、辅助输出:1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返回:1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14、效果:24 BIT DSP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15、主输出 :1 Stereo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16、编组输出:2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17、幻象电源:48V DC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18、USB/REC player:√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19、主控均衡:7 Band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eastAsia" w:ascii="宋体" w:hAnsi="宋体" w:cs="宋体"/>
                <w:color w:val="FF0000"/>
                <w:sz w:val="20"/>
                <w:szCs w:val="20"/>
                <w:highlight w:val="none"/>
              </w:rPr>
              <w:t>★</w:t>
            </w:r>
            <w:r>
              <w:rPr>
                <w:rFonts w:hint="eastAsia" w:ascii="宋体" w:hAnsi="宋体" w:eastAsia="宋体" w:cs="宋体"/>
                <w:i w:val="0"/>
                <w:iCs w:val="0"/>
                <w:color w:val="000000"/>
                <w:kern w:val="0"/>
                <w:sz w:val="20"/>
                <w:szCs w:val="20"/>
                <w:highlight w:val="none"/>
                <w:u w:val="none"/>
                <w:lang w:val="en-US" w:eastAsia="zh-CN" w:bidi="ar"/>
              </w:rPr>
              <w:t>提供该产品生产厂家《信息安全管理体系认证证书》（适用范围必须要有“调音台”字样）复印件加盖生产厂家公章。</w:t>
            </w:r>
            <w:r>
              <w:rPr>
                <w:rFonts w:hint="default" w:ascii="Times New Roman" w:hAnsi="Times New Roman" w:eastAsia="宋体" w:cs="Times New Roman"/>
                <w:i w:val="0"/>
                <w:iCs w:val="0"/>
                <w:color w:val="000000"/>
                <w:kern w:val="0"/>
                <w:sz w:val="20"/>
                <w:szCs w:val="20"/>
                <w:highlight w:val="none"/>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操作系统：嵌入式Linux操作系统；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屏幕参数： 7英寸触摸显示屏，屏幕比例9:16，屏幕分辨率600×1024；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摄像头参数：采用宽动态200万双目摄像头；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测温功能：集成热成像测温模组，测温距离在0.5m-1.5m之间，测温范围30℃-45℃，精度±0.5℃（无黑体）；支持身份认证（刷脸、刷卡等）+测温模式、仅测温模式；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认证方式：支持人脸、刷卡（Mifare卡/IC卡、手机NFC卡、CPU卡序列号/内容、身份证卡序列号）、密码认证方式；可外接身份证、指纹、蓝牙、二维码等功能模块；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人脸识别：采用深度学习算法，支持单人或多人识别（最多5人同时认证）功能；支持照片、视频防假；1:N人脸识别速度≤0.2s，人脸验证准确率≥99%；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存储容量：本地支持10000人脸库、50000张卡，15万条事件记录；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硬件接口：LAN×1、RS485×1、Wiegand×1(支持双向)、typeC类型USB接口×1、电锁×1、门磁×1、报警输入×2、报警输出×1、开门按钮×1、SD卡槽×1（最大支持512GB）、3.5mm音频输出接口×1；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通信方式及网络协议：有线网络，萤石协议/ISAPI/ISUP5.0；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使用环境：室内，无风环境；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安装方式：壁挂安装（标配挂板，适配86底盒）；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工作电压： DC12V~24V/2A（电源需另配）；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产品尺寸：247.7×110.5×24mm；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设备重量：净重0.56kg，毛重0.88kg。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宋体" w:hAnsi="宋体" w:cs="宋体"/>
                <w:color w:val="FF0000"/>
                <w:sz w:val="20"/>
                <w:szCs w:val="20"/>
                <w:highlight w:val="none"/>
              </w:rPr>
              <w:t>★</w:t>
            </w:r>
            <w:r>
              <w:rPr>
                <w:rFonts w:hint="default" w:ascii="Times New Roman" w:hAnsi="Times New Roman" w:eastAsia="宋体" w:cs="Times New Roman"/>
                <w:i w:val="0"/>
                <w:iCs w:val="0"/>
                <w:color w:val="000000"/>
                <w:kern w:val="0"/>
                <w:sz w:val="20"/>
                <w:szCs w:val="20"/>
                <w:highlight w:val="none"/>
                <w:u w:val="none"/>
                <w:lang w:val="en-US" w:eastAsia="zh-CN" w:bidi="ar"/>
              </w:rPr>
              <w:t>1.LAN×1，支持 10M/100M/1000M 网络自适应配置；2.RS-485 串口×1 个；3.输入、输出韦根接口×1 个（平台可配置）；4.USB 接口×2 个，包括 type C 接口、micro USB 接口和普通 USB 连接口（需扩展线）；5.内置扬声器×1 个；6.门锁 I/O 输出×1 个；7.门磁 I/O 输入×1 个；8.开门按钮 I/O 输入×1 个；9.报警 I/O 输出×1 个；10.报警事件 I/O 输入×2 个；11.micro SIM 卡槽×1 个；12.机械防拆开关×1 个；13.支持 3.5mm 音频输出接口×1 个；14.支持 micro SD 卡槽扩展；15.支持 MIC 音频输入采集。</w:t>
            </w:r>
            <w:r>
              <w:rPr>
                <w:rFonts w:hint="eastAsia" w:cs="Times New Roman"/>
                <w:i w:val="0"/>
                <w:iCs w:val="0"/>
                <w:color w:val="000000"/>
                <w:kern w:val="0"/>
                <w:sz w:val="20"/>
                <w:szCs w:val="20"/>
                <w:highlight w:val="none"/>
                <w:u w:val="none"/>
                <w:lang w:val="en-US" w:eastAsia="zh-CN" w:bidi="ar"/>
              </w:rPr>
              <w:t>（需提供检测报告及原厂盖章证明）</w:t>
            </w:r>
            <w:r>
              <w:rPr>
                <w:rFonts w:hint="default" w:ascii="Times New Roman" w:hAnsi="Times New Roman" w:eastAsia="宋体" w:cs="Times New Roman"/>
                <w:i w:val="0"/>
                <w:iCs w:val="0"/>
                <w:color w:val="000000"/>
                <w:kern w:val="0"/>
                <w:sz w:val="20"/>
                <w:szCs w:val="20"/>
                <w:highlight w:val="none"/>
                <w:u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宋体" w:hAnsi="宋体" w:cs="宋体"/>
                <w:color w:val="FF0000"/>
                <w:sz w:val="20"/>
                <w:szCs w:val="20"/>
                <w:highlight w:val="none"/>
              </w:rPr>
              <w:t>★</w:t>
            </w:r>
            <w:r>
              <w:rPr>
                <w:rFonts w:hint="default" w:ascii="Times New Roman" w:hAnsi="Times New Roman" w:eastAsia="宋体" w:cs="Times New Roman"/>
                <w:i w:val="0"/>
                <w:iCs w:val="0"/>
                <w:color w:val="000000"/>
                <w:kern w:val="0"/>
                <w:sz w:val="20"/>
                <w:szCs w:val="20"/>
                <w:highlight w:val="none"/>
                <w:u w:val="none"/>
                <w:lang w:val="en-US" w:eastAsia="zh-CN" w:bidi="ar"/>
              </w:rPr>
              <w:t xml:space="preserve">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 </w:t>
            </w:r>
            <w:r>
              <w:rPr>
                <w:rFonts w:hint="eastAsia" w:cs="Times New Roman"/>
                <w:i w:val="0"/>
                <w:iCs w:val="0"/>
                <w:color w:val="000000"/>
                <w:kern w:val="0"/>
                <w:sz w:val="20"/>
                <w:szCs w:val="20"/>
                <w:highlight w:val="none"/>
                <w:u w:val="none"/>
                <w:lang w:val="en-US" w:eastAsia="zh-CN" w:bidi="ar"/>
              </w:rPr>
              <w:t>（需提供检测报告及原厂盖章证明）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可视对讲：支持和云眸、4200客户端、室内机、管理机进行可视对讲；支持配置一键呼叫室内机或管理机；支持副门口机或围墙机模式；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视频预览：支持管理中心远程视频预览，支持接入NVR设备，实现视频监控录像，编码格式H.264；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口罩检测：支持口罩检测模式，可配置提醒戴口罩模式、强制戴口罩模式，关联门禁控制；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识别界面可配：识别主界面的“呼叫”、“二维码”、“密码”的按键图标可分别配置是否显示；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认证结果显示可配：支持认证成功界面的“照片”、“姓名”、“工号”信息可配置是否显示；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工作模式：支持广告模式、简洁模式、主题模式；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外接安全模块：支持通过RS485接入门控安全模块，防止主机被恶意破坏的情况下，门锁不被打开；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外接读卡器：支持通过RS485或韦根（W26/W34）接口外接1个读卡器，同时可实现单门反潜回功能；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读卡器模式：支持通过RS485或韦根（W26/W34）接入门禁控制器，作为读卡器模式使用；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门禁计划模板：支持255组计划模板管理，128个周计划，1024个假日计划；支持常开、常闭时段管理；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组合认证：刷卡+密码、刷卡+人脸、人脸+密码等组合认证方式；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多重认证：支持多个人员认证（人脸、刷卡等）通过后才开门；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黑名单核验：支持中心下发黑名单人员信息，实现本地黑名单核验；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报警功能：设备支持防拆报警、门被外力开起报警、胁迫卡和胁迫密码报警、黑名单报警等；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事件上传：在线状态下将设备认证结果信息及联动抓拍照片实时上传给平台，支持断网续传功能，设备离线状态下产生事件在与平台连接后会重新上传；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单机使用：设备可进行本地管理，支持本地注册人脸、查询、设置、管理设备参数等；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WEB管理：支持Web端管理，可进行人员管理、参数配置、事件查询、系统维护等操作。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7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电子锁，含支架、电源、出门开关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8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图腾、一舟、三拓</w:t>
            </w:r>
          </w:p>
        </w:tc>
        <w:tc>
          <w:tcPr>
            <w:tcW w:w="644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标准机柜/24U/带门锁、防护门600×600×1000</w:t>
            </w:r>
          </w:p>
        </w:tc>
      </w:tr>
    </w:tbl>
    <w:p>
      <w:pPr>
        <w:bidi w:val="0"/>
        <w:ind w:left="0" w:leftChars="0" w:firstLine="0" w:firstLineChars="0"/>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3.7.2邻里场景-邻里开放共享</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7"/>
        <w:gridCol w:w="522"/>
        <w:gridCol w:w="889"/>
        <w:gridCol w:w="65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序号</w:t>
            </w:r>
          </w:p>
        </w:tc>
        <w:tc>
          <w:tcPr>
            <w:tcW w:w="52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名称</w:t>
            </w:r>
          </w:p>
        </w:tc>
        <w:tc>
          <w:tcPr>
            <w:tcW w:w="889"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品牌</w:t>
            </w:r>
          </w:p>
        </w:tc>
        <w:tc>
          <w:tcPr>
            <w:tcW w:w="6586"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全频音箱</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5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1、驱动单元：1×10”低音/65mm音圈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磁钢尺寸：156×20mm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2、高音单元：钛膜压缩式驱动器，1.75"音圈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3、频率响应：50Hz-20kHz(-6dB）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4、额定功率：250W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5、标称阻抗：8Ω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6、覆盖角：（HxV）90x60°（可旋转号筒）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7、灵敏度：96dB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8、最大声压级：126dB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9、驱动方式：内置2分频</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10、分频点：3KHZ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11、箱体结构：倒箱式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12、连接方式：2个NEUTRIK NL4MP，四芯插座1+1-16×M8吊点、底托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专业功放</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5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1、开机负载检测电路，能自动检测负载阻抗。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2、强大的过载能力和出色短路保护系统。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3、完善的温度控制能力，独特的温度伺服技术。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4、具有直流，超低频。射频保护等。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5、卓越的性能，采用电路模块设计理念，贴片SMT工艺，高品质双面线路板，大面积，屏蔽层，高素质低漏磁环变。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6、设备参数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输出功率：1KHz＜0.05%THD</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8Ω：2x330W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4Ω：2X500W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2Ω：800W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8Ω桥接：不适用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4Ω桥接：不适用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频率范围（功率宽款+/0.1dB）:20Hz-20KHz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相位响应：（@1W20Hz-20KHz）：±15度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总谐波失真1KHz(20Hz-20KHz)≤0.05%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互调失真（SMPTE）：≤0.05%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阻尼系数（20Hz-500Hz@8Ω）450:1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串扰（20Hz-20KHz）：＞75dB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增益（可选）：26/32/38</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灵敏度：0.775V/1.0V/1.4V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信噪比：105dB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效果器</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5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1、音乐15段参量均衡，7段立体声数字变调控制，可调噪声门控制；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2、麦克风15段双路参量均衡独立参数可调，精准高效4级防啸叫；</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3、免驱动USB连接，无线WIFI调试；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4、支持IPHONE/IPAD/电脑软件调试；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5、3组RCA，光纤，同轴输入；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6、高品多模式混响+回声技术；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7、开机模式锁定，音量锁定功能；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8、手动全自动信号源输入选 择；</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9、VOD电脑户数遥控接口；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10、密码设置，自带工程密码锁。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技术参数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最大输入电平：4V（RMS）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最大输出电平：4V（RMS）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音乐通道增益：MAX:12dB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麦克风灵敏度：64mV（Out：4V）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信噪比(S/N)：＞80dB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输入电压：~220V  50Hz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电源时序器</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5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功能特点：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1、轻触式按键操作，LED指示灯显示工作状态，一目了然；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2、此设备更适合会议、媒体等需要更多地免除干扰的应用场合；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3、采用了可被中控继电器控制的外部接口，最大的特点是加入了2级电网EMI/EMC噪声滤波器，能有效阻隔诸如强无线电，电火花等干扰从电源引入设备。这样对最终重放音质及稳定性产生积极的作用；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4、输入选择D型80A动力型空气开关，从设备背面引入电缆接入空开，符合建设部标准；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5、数值实时电压指示，标准USB接口灯具辅助照明配置；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6、16路电源输出，每路输出AC220V(10A)；30A大电流控制继电器输出，8路美标兼容欧标插座和8路国标插座；电源插座依次间隔1S打开；1路消防短路报警触发信号输出；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7、设有电子锁开关，可手动控制16个电源上断电，也可以与定时器、智能控制器相连接，实现自动控制；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8、采用SMT、AI、ICT全自动生产和测试技术，保证标准化生产和产品的一致性；电源滤波器数量8个内置独立滤波组件，每通道 1个,电源滤波器参数2阶滤波，150kHz-3MHz衰减40dB；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9、保护功能超压报警功能、接入错相指示功能、空气开关过流自动断路功能；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前面板指示功能三位数字为电压、错相接入警告、超压警告、待机、运行、全部旁通、单独通道旁通；</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前面板使用功能接入电力总输入开关和接口、时序电源开关、USB灯电源开关和接口、超压警告逻辑电压选择和切断、全部旁通选择、单独通道旁通选择后面板使用功能时序电源输出插座、联机输入输出插座、外部时序电源开关控制插座、电力线接入管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11、系统参数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输入：单相3线，单相两刀型空气开关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输出：16路，时序通道数量8通道,可输出通道数8通道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输入最大电流容量：80A（AC220V）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每通道最大输出电流容量：30A/60S或10Ams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时序间隔时间：1sec</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USB灯座最大输出电压/电流：5V/50mA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电源：AC 220V±10%  50-60Hz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52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无线麦克风</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586"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产品特点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1、节能设置,全自动EQ控制功能,自动校正音色全自动开关机模式,自动红外线对频系统,全自动扫描；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2、真分集,不断迅,消除死角;高增益天线,有效开阔使用距离可达200米,完备的输入输出接口,方便连接各种设备.手咪采用加强型发射，音频双电源（正负）配置，动态强大；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3、采用最新型的高频声表面滤波器,最大限度地滤除带外干扰信号；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4、采用二次变频的高频电路设计,具有极高的灵敏度。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接收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调节方式：FM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频带宽度：60MHz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频率间隔：300KHz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可调节频点数：200组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接收方式：UHF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使用距离：200米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发射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话筒频率点：610MHz-670MHz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指向特征：全指向性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拾音头类型：动圈式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话筒灵敏度：-105dB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拾音距离：18CM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供电方式：2XAA电池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使用时间：6h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点歌机</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红外触摸屏，华为海思芯片，Linux+安卓双系统，4K高清音视频输出，支持网络云加歌、看直播、智能观影、智能看电视。电视频道500多个，2TB超大硬盘，内置四万两千首本地歌曲，云端歌库36万多首歌，内置无线网卡，可多维度收藏歌曲，创建专属你的歌单且互不干扰。超强后台管理工具，任意语言WIN系统运行不会出现乱码。手机同屏点歌，微信点歌，手机APP智能点歌，每月新歌分类显示，最新最潮流的歌曲随心点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2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挂壁挂架</w:t>
            </w:r>
          </w:p>
        </w:tc>
        <w:tc>
          <w:tcPr>
            <w:tcW w:w="8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JINGLE GABRIEL</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水平旋转</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0°~+90°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GU40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垂直调节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7.5°~+90°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最大承重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冷轧钢板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离墙最远距离</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100mm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0.59KG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专利号码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2019304227874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扬声器/音箱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5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电视机</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58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65寸电视机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5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图腾、一舟、三拓</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标准机柜/24U/带门锁、防护门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5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操作系统：嵌入式Linux操作系统；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屏幕参数： 7英寸触摸显示屏，屏幕比例9:16，屏幕分辨率600×1024；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摄像头参数：采用宽动态200万双目摄像头；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测温功能：集成热成像测温模组，测温距离在0.5m-1.5m之间，测温范围30℃-45℃，精度±0.5℃（无黑体）；支持身份认证（刷脸、刷卡等）+测温模式、仅测温模式；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认证方式：支持人脸、刷卡（Mifare卡/IC卡、手机NFC卡、CPU卡序列号/内容、身份证卡序列号）、密码认证方式；可外接身份证、指纹、蓝牙、二维码等功能模块；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人脸识别：采用深度学习算法，支持单人或多人识别（最多5人同时认证）功能；支持照片、视频防假；1:N人脸识别速度≤0.2s，人脸验证准确率≥99%；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存储容量：本地支持10000人脸库、50000张卡，15万条事件记录；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硬件接口：LAN×1、RS485×1、Wiegand×1(支持双向)、typeC类型USB接口×1、电锁×1、门磁×1、报警输入×2、报警输出×1、开门按钮×1、SD卡槽×1（最大支持512GB）、3.5mm音频输出接口×1；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通信方式及网络协议：有线网络，萤石协议/ISAPI/ISUP5.0；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使用环境：室内，无风环境；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安装方式：壁挂安装（标配挂板，适配86底盒）；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工作电压： DC12V~24V/2A（电源需另配）；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产品尺寸：247.7×110.5×24mm；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设备重量：净重0.56kg，毛重0.88kg。</w:t>
            </w:r>
          </w:p>
          <w:p>
            <w:pPr>
              <w:keepNext w:val="0"/>
              <w:keepLines w:val="0"/>
              <w:pageBreakBefore w:val="0"/>
              <w:widowControl/>
              <w:numPr>
                <w:ilvl w:val="0"/>
                <w:numId w:val="73"/>
              </w:numPr>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LAN×1，支持 10M/100M/1000M 网络自适应配置；2.RS-485 串口×1 个；3.输入、输出韦根接口×1 个（平台可配置）；4.USB 接口×2 个，包括 type C 接口、micro USB 接口和普通 USB 连接口（需扩展线）；5.内置扬声器×1 个；6.门锁 I/O 输出×1 个；7.门磁 I/O 输入×1 个；8.开门按钮 I/O 输入×1 个；9.报警 I/O 输出×1 个；10.报警事件 I/O 输入×2 个；11.micro SIM 卡槽×1 个；12.机械防拆开关×1 个；13.支持 3.5mm 音频输出接口×1 个；14.支持 micro SD 卡槽扩展；15.支持 MIC 音频输入采集。                          </w:t>
            </w:r>
          </w:p>
          <w:p>
            <w:pPr>
              <w:keepNext w:val="0"/>
              <w:keepLines w:val="0"/>
              <w:pageBreakBefore w:val="0"/>
              <w:widowControl/>
              <w:numPr>
                <w:ilvl w:val="0"/>
                <w:numId w:val="73"/>
              </w:numPr>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可视对讲：支持和云眸、4200客户端、室内机、管理机进行可视对讲；支持配置一键呼叫室内机或管理机；支持副门口机或围墙机模式；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视频预览：支持管理中心远程视频预览，支持接入NVR设备，实现视频监控录像，编码格式H.264；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口罩检测：支持口罩检测模式，可配置提醒戴口罩模式、强制戴口罩模式，关联门禁控制；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识别界面可配：识别主界面的“呼叫”、“二维码”、“密码”的按键图标可分别配置是否显示；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认证结果显示可配：支持认证成功界面的“照片”、“姓名”、“工号”信息可配置是否显示；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工作模式：支持广告模式、简洁模式、主题模式；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外接安全模块：支持通过RS485接入门控安全模块，防止主机被恶意破坏的情况下，门锁不被打开；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外接读卡器：支持通过RS485或韦根（W26/W34）接口外接1个读卡器，同时可实现单门反潜回功能；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读卡器模式：支持通过RS485或韦根（W26/W34）接入门禁控制器，作为读卡器模式使用；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门禁计划模板：支持255组计划模板管理，128个周计划，1024个假日计划；支持常开、常闭时段管理；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组合认证：刷卡+密码、刷卡+人脸、人脸+密码等组合认证方式；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多重认证：支持多个人员认证（人脸、刷卡等）通过后才开门；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黑名单核验：支持中心下发黑名单人员信息，实现本地黑名单核验；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报警功能：设备支持防拆报警、门被外力开起报警、胁迫卡和胁迫密码报警、黑名单报警等；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事件上传：在线状态下将设备认证结果信息及联动抓拍照片实时上传给平台，支持断网续传功能，设备离线状态下产生事件在与平台连接后会重新上传；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单机使用：设备可进行本地管理，支持本地注册人脸、查询、设置、管理设备参数等；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WEB管理：支持Web端管理，可进行人员管理、参数配置、事件查询、系统维护等操作。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52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8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电子锁，含支架、电源、出门开关</w:t>
            </w:r>
          </w:p>
        </w:tc>
      </w:tr>
    </w:tbl>
    <w:p>
      <w:pPr>
        <w:ind w:left="0" w:leftChars="0" w:firstLine="0" w:firstLineChars="0"/>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3.7.3服务场景-社区应急与智能防护</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2"/>
        <w:gridCol w:w="582"/>
        <w:gridCol w:w="1078"/>
        <w:gridCol w:w="58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序号</w:t>
            </w:r>
          </w:p>
        </w:tc>
        <w:tc>
          <w:tcPr>
            <w:tcW w:w="58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名称</w:t>
            </w:r>
          </w:p>
        </w:tc>
        <w:tc>
          <w:tcPr>
            <w:tcW w:w="1078"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品牌</w:t>
            </w:r>
          </w:p>
        </w:tc>
        <w:tc>
          <w:tcPr>
            <w:tcW w:w="5883"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溺水监测摄像机</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200万 1/1.8"  智能全彩筒型网络摄像机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采用深度学习硬件及算法，提供准确的人车分类侦测，支持越界侦测，区域入侵侦测，进入区域侦测和离开区域侦测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采用深度学习去误报算法，当篮球、小狗、树摇晃等情况经过检测区域时，不会触发报警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支持声光警戒：报警联动白光闪烁报警和声音报警，报警声音类型不小于11种，报警音量和重复次数可设置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全彩级高灵敏度传感器，恒定F1.0超大光圈镜头，为智能应用提供更清晰的视频流输入，全面提升智能业务处理的准确度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彩色：0.0005 Lux @（F1.0，AGC ON）；黑白：0.0001 Lux @（F1.0，AGC ON），0 Lux with Light</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焦距＆视场角: 4 mm：水平视场角：88.7°，垂直视场角：44.7°，对角视场角：107.5°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普通监控：最远可达30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暖白光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支持防补光过曝开启和关闭，开启下支持自动和手动，手动支持根据距离等级控制补光灯亮度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1920 × 1080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支持MicroSD(即TF卡)/MicroSDHC/MicroSDXC卡（最大256 GB）断网本地存储及断网续传，NAS（NFS，SMB/CIFS均支持），配合海康黑卡支持SD卡加密及SD卡状态检测设备具有耀光抑制功能，耀光区域≤1%。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支持通过IE浏览器设置登录超时时间，当登录后无操作时长达到设置阈值后，设备自动退出并重新进入登录界面。</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宋体" w:hAnsi="宋体" w:cs="宋体"/>
                <w:color w:val="FF0000"/>
                <w:sz w:val="20"/>
                <w:szCs w:val="20"/>
                <w:highlight w:val="none"/>
              </w:rPr>
              <w:t>★</w:t>
            </w:r>
            <w:r>
              <w:rPr>
                <w:rFonts w:hint="default" w:ascii="Times New Roman" w:hAnsi="Times New Roman" w:eastAsia="宋体" w:cs="Times New Roman"/>
                <w:i w:val="0"/>
                <w:iCs w:val="0"/>
                <w:color w:val="000000"/>
                <w:kern w:val="0"/>
                <w:sz w:val="20"/>
                <w:szCs w:val="20"/>
                <w:highlight w:val="none"/>
                <w:u w:val="none"/>
                <w:lang w:val="en-US" w:eastAsia="zh-CN" w:bidi="ar"/>
              </w:rPr>
              <w:t>在IE浏览器下，具有设备重启和布防动态报警数据感知与记录功能，布防动态报警数据包括异常掉线、历史布防、实时布防3种类型；可记录报警的开始时间、结束时间、布防类型、报警链路地址、端口、链路续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 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 1路输入（Line in），1路输出（Line out），2个内置麦克风，1个内置扬声器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 : 1路输入，1路输出（报警输入支持开关量，报警输出最大支持DC12 V，30 mA）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RS-485: 采用半双工模式，支持自适应HIKVISION，PELCO-P和PELCO-D协议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复位: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电源输出: DC12 V，50 mA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接口类型: 外甩线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227.7 × 120.6 × 101.5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包装尺寸: 385 × 158 × 155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 1025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1470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DC：12 V，0.84A，最大功耗：10 W；PoE：802.3af，36 V~57 V，0.32 A~0.21 A，最大功耗：11.5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20% ，支持防反接保护；PoE：802.3af，Type 2，Class 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3芯电源接口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辐射等级: Class 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绿道监控</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监控立杆</w:t>
            </w:r>
          </w:p>
        </w:tc>
        <w:tc>
          <w:tcPr>
            <w:tcW w:w="10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5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含地基含防雷接地含接线箱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电梯摄像头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 mm，水平视场角：97°，垂直视场角：52.3°，对角线视场角：114.3°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 mm，水平视场角：78.8°，垂直视场角：40.5°，对角线视场角：93.9°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 mm，水平视场角：49.1°，垂直视场角：26.3°，对角线视场角：57.2°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 mm，水平视场角：37.5°，垂直视场角：20.7°，对角线视场角：43.3°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无线网桥</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2"/>
                <w:szCs w:val="22"/>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5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2个10/100/1000Base-T以太网端口，内置2根 14dBi高增益定向天线 水平42° 垂直24°，867 Mbps，14dBi定向天线，企业级高功率放大器，传输距离可达5KM，直流、PoE双供电；企业级防雷、宽温器件；工业级防水、防尘设计；外形尺寸（W×D×H）；83mm×230m×56mm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应急智慧广播</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5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1、线路输入电平：775mV。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2、线路输出电平：775mV。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3、频率响应：100Hz～16kHz（±3dB）。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4、信噪比：＞80dB。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5、总谐波失真（THD@1W）：≤1%。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6、采样率：44.1kHz～96kHz。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10、音频位率：32kbps～320kbps自适应。</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11、传输速率：10/100Mbps。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12、网络延时：≤60ms。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13、音频格式：MP3/AAC。</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14、支持协议：ARP、UDP、TCP、RTMP。</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15、电源供电：DC 12V/2A。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广播管理电脑主机</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联想、方正、清华同方</w:t>
            </w:r>
          </w:p>
        </w:tc>
        <w:tc>
          <w:tcPr>
            <w:tcW w:w="5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CPUI5；内存8GB ,1x8GB, DDR4 非 ECC 内存；3.5 英寸 1TB 7200rpm SATA 硬盘；21.5英寸液晶显示器 ；含操作系统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IP数字网络广播服务器软件</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58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系统软件采用标准的模块安装方式，软件包带有系统核心服务器软件、中继服务器软件、远程客户端分控管理软件、广播客户端软件、消防报警软件、无线遥控远程控制软件、网络话筒软件、远程升级软件和远程电话广播软件等组成，采购人根据自己需求选择安装，支持多次多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A：网络广播服务器软件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1、可直接接入标准TCP/IP协议的网络，并可利用已有的网络实现多网合一。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2、采用嵌入式系统作为主要架构，避免广播主机受到病毒攻击。</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3、总控室的服务器断开时，不影响各分控室及分区的广播使用。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4、校园广播软件是校园音频广播总系统的核心，完成整个校园广播内的权限管理功能，为各类音频广播的采播提供数据接口服务，并提供给各区域的网络广播设备的定时播放和实时采播媒体服务，响应各播控设备的播放请求。音频节目菜单经过整理编排后，可以通过校园网上传至系统服务器，管理人员可以通过广播管理软件登录进行修改。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5、自动对有故障的网络广播设备进行检测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6、具备编程精确到秒的自动控制及手动操作平台 。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7、操作方便，显示直观。可实时显示出各网络终端当前的工作状态，具备人机对话功能。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8、支持7×24小时无间断工作时间。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9、超强数据处理能力，支持多线程数据处理，支持多用户在线服务。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10、丰富的节目源，任意套节目播放选择，并对每套节目可进行独立控制。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11、强大的控制功能，控制在线网络广播终端，可对网络广播终端进行独立分区、IP、音量控制，另可检测终端的在线状态。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12、单点、分区自由点播：可通过终端设备的红外遥控器或按键控制分布在每个广播点的广播终端完成服务器中资料库的任意点播、选台，可快进、快倒、暂停和AB两点间复读。带液晶屏的终端可在显示屏上显示资料库目录、音量大小、IP地址及当前播放位置等信息。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13、可以按照星期、月、天等方式对节目进行编程控制。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14、全数字信号处理、传输。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15、会话心跳：通过服务和会话客户端之间心跳机制功能（也叫握手、每十秒握手一次检测在线状态、自动重启终端设备，完全智能化）， 避免客户端异常退出，僵死会话长期占用终端。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16、内置消防报警功能， 可以实现单 点、单区、多区、邻 层、N±1、N±2、N±3、N±4、N±5，全区报警多种模式。扩展能提供二次开发平台、与其他系统对接，支持互联网传输。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17、十六套定时任务任意调用，可自动或手动进行程序切换，具有静默功能。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18、服务器软件支持双解码，双任务同时运行（需配合终端使用）。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B：管理软件（可做分控）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1、完成终端管理、任务管理、权限管理等管理功能，为各语音采集提供数掘接口服务。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2、提供系统运行编程功能。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3、实时监测系统中各个设备的运行状态。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4、能根据用户密码权限的方式远程登陆主机，并对主机进行有效管理。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5、能通过软件对系统中的设备进行控制。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C：采播插播软件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1、完成领导在网上对各校园直播功能。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2、通过办公电脑进行直接讲话。</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3、可直接在网上选择和屏蔽播放区域。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4、完成网络电台转播、课件资源转换、音频实时采播。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5、将各模拟音频信号转换成数字信号。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6、能够实时将各种外接音源直播至各网络音频终端。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D：配置软件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1、设备 ID：由厂家为每个设备分配的唯一 ID 号，在系统运行过程中，服务器只通过。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2、来标识各个设备。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3、设备 MAC 地址：每个网络设备都有一个厂家分配的全球唯一的网络硬件地址。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4、设备的 IP 地址和端口号：设备自身的 IP 地址需要保证在所属网段内是唯一的。一 般设备都处于局域网内，IP 地址基本是 192.168.x.x。出厂时保持默认值，在现场根 据网络管理的情况具体配置。设备的端口号如无特殊需要，保持固件默认值即可。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5、网关 IP 地址：设备所在子网的上层路由器的 LAN 口地址。 子网掩码： 一般就是 255.255.255.0。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6、服务器 IP 地址和端口号：服务器自身的 IP 地址和端口号在服务器上进行设置，IP 地址根据网络环境配置，端口号如无系统冲突保持默认值即可。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7、在网络音频设备上必须设置对应的服务器 IP 地址和端口号，否则设备无法正确 连接服务器。需要注意的是，设备上的设置和网络环境有关，未必就是服务器上显 示的数值，应该是服务器所在局域网的路由器的 IP。</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8、设备描述：一个字符串，只用于查看，不影响设备运行。类似“XX 校区第X教学楼X室”，是为了方便设备管理。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分控服务器（EBU）</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58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功能特点：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IP网络广播控制中心采用工控机箱设计，触摸屏显示操控，内置功能强大的IP广播控制服务器软件，常用节目素材，大容量节目源空间，用户可以根据自己需求下载或制作录制节目。负责音频流点播服务、计划任务处理、终端管理和权限管理等功能。管理节目库资源，为所有网络适配器提供定时播放和实时点播媒体服务，响应各网络适配器的播放请求，为各音频工作站提供数据接口服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全数字化传输，以局域网或具有独立IP的互联网为主要传输媒介，支持专用百兆网传输，传输距离不受限制，可达几十套或上百套节目源，并实现了多网合一。局域网内装有本系统的任意工作站电脑可根据权限大小对系统进行广播．向系统添加或删除节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3、IP网络广播可以实现双向对讲、广播监听、任意点播、实时采集、终端选配、一键对讲、节目定时播放、领导网上讲话、网上电台转播、音频自动触发终端设备、消防报警广播。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4、支持系统：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Microsoft Windows Server 2008企业版、x64企业版、标准版、x64标准版、Windows 7、Windows 10、或Server等数据中心版、x64数据中心版、2012服务器系统;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Windows Small Business Server 2008;Red Hat Linux;SUSE Linux 安全认证加电口令，特权存取口令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系统参数：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1、屏幕尺寸：15寸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2、分辨率：1024×768</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3、触摸方式：电阻触摸</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4、音量旋钮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5、两组输入莲花接口，两组输出莲花接口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6、键盘：抽拉键盘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8、配置参数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主板：工业主板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处理器：J1800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内存：4G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硬盘：128G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9、支持定时开机，通电开机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10、支持双显</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11、后置接口：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串口：6个</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USB口：4个</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显示接口：1个DVI口，1个VGA口，1个PS/2接口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网口：2个网口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莲花接口：2路莲花口输入，2路莲花口输出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12、前置接口：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USB口：2个</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音量旋钮：1个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13、7U工业级机柜机柜式设计，铝合金面板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IP网络寻呼广播话筒</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58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1、话筒自身携带音量调节功能，一键静音功能。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2、面板带7寸TFT真彩色液晶屏，分辨率800×480，自动背光关闭，触摸自动控制、8个数字分区快捷按键，一键选择寻呼。</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3、桌面外型式设计专业寻呼话筒，黑色氧化铝拉丝面板，黑色电镀按钮搭配，工艺考究，现代感十足，精致美观。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4、采用高灵敏度优质咪芯，平衡输入、音质清晰、无噪声。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5、人性化人机操作界面：可随接在话筒上，无需软件上配置，呼叫任意终端成分组，操作简单快捷。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6、采用嵌入式PC技术和内置工业级高速处理芯片，启动时间≤1秒。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7、带咪杆拾音，对权限允许区域广播讲话，红色环状指示灯通话自动点亮。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8、超强的跨网关、跨路由能力，有以太网口的地方即可接入。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9、在管理系统的授权下可实现点对点、点对多点寻呼广播。可实现话筒之间双向对讲功能。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10、具有远程升级功能，产品程序更新无须现场升级，通过网络远程即可更新、方便快捷。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11、本机可调节音量，适合应用在不同场合。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12、可实时调整终端音量，MIC增益，本地储存终端列表，支持本地独立群组编辑和快捷选组讲话。</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13、4线电阻式触摸屏，防止误触摸。</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14、支持触摸屏校准，优化校准算法，表面耐久力打击，超过100万次。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15、7寸触摸屏支持一键群呼功能选播监听功能，8个快捷键。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16、话筒自带USB、SD卡接口、蓝牙功能，讲话同时可放松音频文件，讲话时可调整音量和增益大小。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17、设备参数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网络接口：标准RJ45输入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网络协议：TCP/IP、UDP、IGMP(组播)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电源：DC12V 1A，±0.1V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数字音频格式：OGG编码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样码流:80-128K</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传输速率:10/100Mbps自适应</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音频模式:16-32位立体声CD音质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待机功率:0.2W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工作功耗:≤10W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辅助输入输出信号:3.5音频插座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音频输出:带宽200Hz-3.5kHz，电平MAX l.5V p-p</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输出频率:20Hz~20KHz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谐波失真:≤0.1%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信噪比:＞82dB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内置扬声器输出阻抗:4Ω，3W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环境温度:-15℃~65℃环境湿度：10%~90%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功耗:≤10W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调音台</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58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应急广播专用调音台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反馈抑制器</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58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功能特征：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1）有效抑制话筒啸叫，消除反馈于未然，一键式操作模式，简单好用；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2）采用DSP技术，实时抓取啸叫点，自动适应声学环境；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3）超远会议话筒拾音距离，能自动适应拾音距离；</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4）4路话筒输入，每路输入带独立增益调节，可以适合不同的话筒同时使用，调整范围大于12dB；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5）高品质话放，带+48V幻象电源，每路幻象电源独立开关控制，互不干扰；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6）前两路话筒是可以选择卡农或6.35接口输入，接线方便；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7）每路输入带信号指示灯，操作更加便捷；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8）平衡和非平衡两种输出方式，输出大小连续可调，输出有总的信号指示灯和峰值指示灯，调试方便；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9）面板带电源指示灯和48v幻像电源指示灯，随时了解机器状态，反馈启动有有蓝色指示灯；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10）铝面板喷砂工艺，透光式按键，外观与众不同。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主要技术参数：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频率响应：20 Hz~20 KHz,+/-1.5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DSP采样率：192 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AD/DA转换：24比特；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总频波失真：&lt;0.01%(+4 dBU,1 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最大输出：+22 dBu(平衡）,+16 dBu(不平衡）；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信噪比：&gt;95 dB；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输入电源：220 v~50 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产品尺寸：（H×W×D）44×483×240(mm）；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包装尺寸：（H×W×D）93×540×330(mm）；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净重:2.65 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毛重:3.30 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5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网络吸顶音箱</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58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功能特点：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1、采用嵌入式PC技术和DSP音频处理技术设计：内置嵌入式网络语音解码模块，完成网络音频流的同步接收和解码；采用高速工业级ARM芯片，启动时间达到毫秒级；提高设备使用稳定性；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2、内置嵌入式网络语音解码模块、35W/50W/70W功率输出扬声器工作，设备运行稳定性高；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3、具有独立IP地址，可以单独接收服务器的个性化定时播放节目；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4、高品质的数字音频传输，无噪音，音质达到CD级（音频文件位速为32-320kbps自适应）；</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5、支持音量、平衡调节：设备具备全数字高音、低音和主音量调节，调节更加清晰、灵活准确；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6、具备智能电源管理功能，设备采用内置CPU判断功放的运行状态，在无工作状态时功放自动进入休眠状态，待机功率≤0.2W，当有播放任务时，功放自动启动；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7、带有远程音量调节功能，终端在自动启动和播放任务的时候，自动将音量调节到系统设定的默认状态。音量自动调节默认值分别可制定为背景音乐音量、紧急广播音量和消防广播音量等；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8、设备具备全数字高音、低音和主音量调节，调节更加清晰、灵活准确；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9、通过网络任意接收来自服务器的广播节目，包括话筒寻呼、消防警报自动强插、电话寻呼等；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一线多用：充分利用现有网络资源，避免重复架设线路，兼容TCP/IP网络协议，可挂接在以太网络到达的任何地方，真正实现广播、计算机、监控网络等的多网合一，支持跨网关、跨路由、互联网传输。通过网络联机设定IP地址及网络配置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11、具有远程升级功能，产品程序更新无须现场升级，通过网络远程即可更新、方便快捷；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12、设备具有软件远程设置高低音功能，可以根据播放内容对高低音要求不同自行设置；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13、解码终端设有IP地址复位升关，复位可恢复出厂设置。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网络接口：RJ45、10M/100M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网络协议：TCP/IP、UDP</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音频格式：Mp3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支持码流：32K-320K</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频带宽度：20Hz-20KHz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灵敏度：92dB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LINE/MIC：200mV/10mV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频带宽度：20Hz-20KHz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频带宽度：立体声1V p-p</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信噪比：≥90dB;话筒:≥88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线路输出：立体声1V p-p</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供电：220V/50Hz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待机功率：0.2W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喇叭单元:6寸</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功率：20W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5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8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5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智能窨井盖</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菲尔思特、古力、齐伟</w:t>
            </w:r>
          </w:p>
        </w:tc>
        <w:tc>
          <w:tcPr>
            <w:tcW w:w="58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溢水报警、水位监测、实时定位监控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5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智能消防栓</w:t>
            </w:r>
          </w:p>
        </w:tc>
        <w:tc>
          <w:tcPr>
            <w:tcW w:w="10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菲尔思特、古力、齐伟</w:t>
            </w:r>
          </w:p>
        </w:tc>
        <w:tc>
          <w:tcPr>
            <w:tcW w:w="58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开盖报警、破坏报警、出水报警、撞到报警、压力监测，消防栓定位</w:t>
            </w:r>
          </w:p>
        </w:tc>
      </w:tr>
    </w:tbl>
    <w:p>
      <w:pPr>
        <w:bidi w:val="0"/>
        <w:ind w:left="0" w:leftChars="0" w:firstLine="0" w:firstLineChars="0"/>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3.7.4服务场景-社区应急与智能防护（民和架空层监控）</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8"/>
        <w:gridCol w:w="556"/>
        <w:gridCol w:w="989"/>
        <w:gridCol w:w="62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8"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序号</w:t>
            </w:r>
          </w:p>
        </w:tc>
        <w:tc>
          <w:tcPr>
            <w:tcW w:w="556"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名称</w:t>
            </w:r>
          </w:p>
        </w:tc>
        <w:tc>
          <w:tcPr>
            <w:tcW w:w="989"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品牌</w:t>
            </w:r>
          </w:p>
        </w:tc>
        <w:tc>
          <w:tcPr>
            <w:tcW w:w="625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架空层监控</w:t>
            </w:r>
          </w:p>
        </w:tc>
        <w:tc>
          <w:tcPr>
            <w:tcW w:w="9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5口交换机</w:t>
            </w: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端口类型≥5×10/100/1000Base-T以太网端口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集中供电电源</w:t>
            </w:r>
          </w:p>
        </w:tc>
        <w:tc>
          <w:tcPr>
            <w:tcW w:w="98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12V20A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光收发器</w:t>
            </w:r>
          </w:p>
        </w:tc>
        <w:tc>
          <w:tcPr>
            <w:tcW w:w="98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100/1000Base-T以太网端口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光缆</w:t>
            </w:r>
          </w:p>
        </w:tc>
        <w:tc>
          <w:tcPr>
            <w:tcW w:w="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国产优先</w:t>
            </w:r>
          </w:p>
        </w:tc>
        <w:tc>
          <w:tcPr>
            <w:tcW w:w="6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1、室外6芯单模光缆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55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网线</w:t>
            </w:r>
          </w:p>
        </w:tc>
        <w:tc>
          <w:tcPr>
            <w:tcW w:w="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一舟、普天、</w:t>
            </w:r>
            <w:r>
              <w:rPr>
                <w:rFonts w:hint="eastAsia" w:ascii="Times New Roman" w:hAnsi="Times New Roman" w:eastAsia="宋体" w:cs="Times New Roman"/>
                <w:i w:val="0"/>
                <w:iCs w:val="0"/>
                <w:color w:val="000000"/>
                <w:kern w:val="0"/>
                <w:sz w:val="20"/>
                <w:szCs w:val="20"/>
                <w:highlight w:val="none"/>
                <w:u w:val="none"/>
                <w:lang w:val="en-US" w:eastAsia="zh-CN" w:bidi="ar"/>
              </w:rPr>
              <w:t>高岘</w:t>
            </w:r>
          </w:p>
        </w:tc>
        <w:tc>
          <w:tcPr>
            <w:tcW w:w="62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1、室外型超五类非屏蔽双绞线 CAT5E</w:t>
            </w:r>
          </w:p>
        </w:tc>
      </w:tr>
    </w:tbl>
    <w:p>
      <w:pPr>
        <w:ind w:left="0" w:leftChars="0" w:firstLine="0" w:firstLineChars="0"/>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3.7.5服务场景-社区服务</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4"/>
        <w:gridCol w:w="558"/>
        <w:gridCol w:w="1045"/>
        <w:gridCol w:w="6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558"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104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6397"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会议一体机</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ITC、华为、海康威视</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1、显示尺寸≥98寸，屏幕采用莫氏7 级AG防眩光顺滑处理防爆钢化玻璃，DLED背光源，3840 × 2160 @60 Hz超高清4K分辨率，可视角度≥178°，≥520 cd/m² 亮度，使画面更清晰；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2、屏幕需具有蓝光护眼功能，对皮肤/眼睛无危害，显示静态对比度：≥5000:1，系统响应时间≤4 ms ，刷新率≥60Hz；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3、采用红外触控技术，零贴合触摸工艺，触控响应时间达到＜5ms， 书写延时达到&lt;30ms；支持20点触控，20笔同时书写，支持电磁识别触摸的同时具备防掌触功能；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4、内置6阵列麦和800W分辨率高清摄像头，摄像头分辨率为：3840X2610@30fps，支持MJPEG/H.264编码、定焦和自动白平衡功能；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5、性能配置：CPU:A73 x 2+A53 x 2 1.5GHz；GPU: Mali G51 4核，3GB内存，64 GB存储，可定制扩充内存和存储，支持Android9.0和win10及以上双操作系统；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6、内置天线设计，保证整机一体性；同时，采用一体化双缝天线技术，WIFI 5G独立辐射体，保证系统网络的一致性和稳定性；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7、整机支持与热成像、雷达等探测器或第三方物联网网关等设备的联动对接，实现会议内无人状态下的自动开关机；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8、整机具备抗振动、防跌落特性，显示屏供电系统及线路具有防雷功能，符合GB/T17626.5-2019中防雷4级要求，设备通过IPX3防水检验标准测试，整机环境适应性强，整体功能能稳定使用；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9、系统UI采用全屏应用框架，无侧边栏中控菜单遮挡主界面展示，底部常驻系统操作栏，支持底部向下滑动1-2秒自动收起和底部向上滑动1-2秒自动展开；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10、支持平板管家，一键优化系统内存、设备垃圾清理，设备状态检测，可协助采购人对设备运行故障、异常进行检测、修复；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11、系统内置可拖动的快速批注球，支持在任意通道下可一键快速进入批注； 支持线性调节笔粗，支持常用笔迹色彩任意选择，支持笔锋优化，批注时，支持手笔分离、同时书写，批注内容可本地U盘保存，支持公网和局域网两种模式的扫码分享；</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12、提供多主题欢迎词模板, 可灵活编辑背景文字、图片、音乐等多媒体素材，快速生成欢迎词界面，编辑完成后可保存为自定义模板；支持在欢迎词界面进行签名、书写，并直接生成二维码分享到手机、平板电脑等移动端</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移动式支架</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一体底座增强版，高度1750mm，承重200KG，无上托盘，高度可调，适合孔位600×800mm，通用屏体尺寸55-100寸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壁挂音响</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1、频率范围（-6dB）：55Hz-19KHz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2、输出功率（RMS）：400W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3、灵敏度（1W/1M）：99dB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4、最大声压级（1M）：132dB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5、阻抗：8Ω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6、指向角度（水平x垂直）：70°x55°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7、低音单元：15”单元，3”音圈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8、高音单元：1.75”音圈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9、分频点：1.7khz，内置分配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10、保护：高音保护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11、输入接口：XLR/6.3mm组合/输出：XLR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Pins+1/-1input/THRU,pins+2/-2空接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12、吊挂系统：10xM8，吊挂点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13、箱体材料：15mmMDF</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14、提手，垂直可调支撑，（SM707）M8吊挂点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功放</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1、开机负载检测电路，能自动检测负载阻抗；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2、强大的过载能力和出色短路保护系统；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3、完善的温度控制能力，独特的温度伺服技术；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4、具有直流，超低频。射频保护等；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5、卓越的性能，采用电路模块设计理念，贴片SMT工艺，高品质双面线路板，大面积，屏蔽层，高素质低漏磁环变。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输出功率：1KHz＜0.05%THD</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8Ω：2x1200W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4Ω：2X1500W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2Ω：2400W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8Ω桥接：2400W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4Ω桥接：不适用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频率范围（功率宽款+/0.1dB）:20Hz-20KHz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相位响应：（@1W20Hz-20KHz）：±15度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总谐波失真1KHz(20Hz-20KHz)≤0.03%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互调失真（SMPTE）：≤0.01%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阻尼系数（20Hz-500Hz@8Ω）650:1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串扰（20Hz-20KHz）：＞75dB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增益（可选）：26/32/38</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灵敏度：0.775V/1.0V/1.4V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信噪比：106dB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电源时序器</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功能特点：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1、轻触式按键操作，LED指示灯显示工作状态，一目了然；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2、此设备更适合会议、媒体等需要更多地免除干扰的应用场合；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3、采用了可被中控继电器控制的外部接口，最大的特点是加入了2级电网EMI/EMC噪声滤波器，能有效阻隔诸如强无线电，电火花等干扰从电源引入设备。这样对最终重放音质及稳定性产生积极的作用；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4、输入选择D型80A动力型空气开关，从设备背面引入电缆接入空开，符合建设部标准；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5、数值实时电压指示，标准USB接口灯具辅助照明配置；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6、16路电源输出，每路输出AC220V(10A)；30A大电流控制继电器输出，8路美标兼容欧标插座和8路国标插座；电源插座依次间隔1S打开；1路消防短路报警触发信号输出；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7、设有电子锁开关，可手动控制16个电源上断电，也可以与定时器、智能控制器相连接，实现自动控制；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8、采用SMT、AI、ICT全自动生产和测试技术，保证标准化生产和产品的一致性；电源滤波器数量8个内置独立滤波组件，每通道 1个,电源滤波器参数2阶滤波，150kHz-3MHz衰减40dB；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9、保护功能超压报警功能、接入错相指示功能、空气开关过流自动断路功能；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前面板指示功能三位数字为电压、错相接入警告、超压警告、待机、运行、全部旁通、单独通道旁通；</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前面板使用功能接入电力总输入开关和接口、时序电源开关、USB灯电源开关和接口、超压警告逻辑电压选择和切断、全部旁通选择、单独通道旁通选择后面板使用功能时序电源输出插座、联机输入输出插座、外部时序电源开关控制插座、电力线接入管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11、系统参数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输入：单相3线，单相两刀型空气开关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输出：16路，时序通道数量8通道,可输出通道数8通道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输入最大电流容量：80A（AC220V）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每通道最大输出电流容量：30A/60S或10Ams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时序间隔时间：1sec</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USB灯座最大输出电压/电流：5V/50mA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电源：AC 220V±10%  50-60Hz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一拖二无线话筒</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产品特点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1、节能设置,全自动EQ控制功能,自动校正音色全自动开关机模式,自动红外线对频系统,全自动扫描；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2、真分集,不断迅,消除死角;高增益天线,有效开阔使用距离可达200米,完备的输入输出接口,方便连接各种设备.手咪采用加强型发射，音频双电源（正负）配置，动态强大；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3、采用最新型的高频声表面滤波器,最大限度地滤除带外干扰信号；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4、采用二次变频的高频电路设计,具有极高的灵敏度。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接收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调节方式： FM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频带宽度： 60MHz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频率间隔： 300KHz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可调节频点数： 200组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接收方式： UHF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使用距离： 200米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发射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话筒频率点： 610MHz-670MHz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指向特征： 全指向性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拾音头类型： 动圈式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话筒灵敏度： -105dB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拾音距离： 18CM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供电方式： 2XAA电池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使用时间： 6h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调音台</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1、8路单声道输入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2、通道三段均衡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3、内置99 DSP数字效果器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4、一组辅助发送，一组返回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5、60mm 高精度对数式衰减推子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6、双七段主均衡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7、一组立体声输出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8、每路可单独控制+48幻象电源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9、内置带录音功能USB播放器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10、通道静音开关和PEL开关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11、带有2编组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12、通道均衡:3 band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13、辅助输出:1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返回:1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14、效果:24 BIT DSP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15、主输出 :1 Stereo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16、编组输出:2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17、幻象电源:48V DC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18、USB/REC player:√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19、主控均衡:7 Band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图腾、一舟、三拓</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标准机柜/24U/带门锁、防护门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LED显示单元</w:t>
            </w:r>
          </w:p>
        </w:tc>
        <w:tc>
          <w:tcPr>
            <w:tcW w:w="10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云清越、力亚德、强力巨彩</w:t>
            </w:r>
          </w:p>
        </w:tc>
        <w:tc>
          <w:tcPr>
            <w:tcW w:w="639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1）像素构成：SMD1212共阴封装，表面黑色雾化处理，表面不反光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2）像素点间距：≤1.54mm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3）像素密度：≥422700点/平方米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4）屏体尺寸：≥3.84m×2.16m=8.2944m2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5）屏体行列数：≥2496列×1392行＝3474432像素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6）模组尺寸：320mm×180mm ，模组分辨率208点×116点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7）K铝底壳工艺，模组iCool立体散热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8）平整度：≤0.15mm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9）模组电源接口采用4P接插头，免工具维护，同时有防呆设计，预防接错电源线短路而导致的烧毁模组行为；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10）单点亮度校正，通过调整流入每个LED的电流控制像素亮度，从而实现整屏一致的亮度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11）智能色温，有标准/视频/文本3种模式可调节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12）搭配控制系统，连接互联网，云端一键加载配制文件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13）智能除湿功能，通过预热灯珠，蒸发掉灯珠内部湿气</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14）采用抗消隐设计，无“毛毛虫”“鬼影”跟随现象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15）具备单模数据组存储功能，校正数据自动回读技术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16）白平衡亮度≥450cd/㎡</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17)色温可调范围：3000k~15000k，并可自定义色温值</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18）对比度5000:1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19）视角：水平视角≥160°，垂直视角≥140°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20）刷新频率≥3840HZ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21）换帧频率：50&amp;60HZ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22）灰度：100%亮度 16bit灰度，20%亮度 12bit灰度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23）模组亮度均匀性≥97%</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24）峰值功耗≤440W/㎡、平均功耗≤150W/㎡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25）寿命典型值≥100000小时、平均无故障时间≥100000小时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26）电源冗余备份，具智能节电功能，软件自动报警功能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27）产品满足盐雾10级要求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28）IP等级符合IP6X</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29）模拟九级地震实验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30）PCB防火等级达V-0级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31）抗紫外UV辐射符合5级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32）噪音：符合国家标准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33）工作温度范围-30℃-40℃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34）存储温度范围-40℃-60℃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35）冷热冲击实验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36）光生物安全：无危害（提供有害物质过程管理体系证书）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37）稳定性：支持7×24H连续工作</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38）按照SJ/T 11590-2016 LED显示屏图像主观质量评价方法的要求，评价等价为优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39）抗电强度U=1500VAC；T=60S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模组商标必须与显示屏厂商注册商标一致，必须是真实的生产厂商，不接受OEM产品或不干胶贴商标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控制系统</w:t>
            </w:r>
          </w:p>
        </w:tc>
        <w:tc>
          <w:tcPr>
            <w:tcW w:w="10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云清越、力亚德、强力巨彩</w:t>
            </w:r>
          </w:p>
        </w:tc>
        <w:tc>
          <w:tcPr>
            <w:tcW w:w="639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1）集成HUB75，无需再配转接板，更方便，成本更低；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2）减少接插连接件，减少故障点，故障率更低；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3）支持常规芯片实现高刷新、高灰度、高亮度；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4）全新灰度引擎，低灰度表现更佳；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5）细节处理更完美，可消除单元板设计引起的某行偏暗、低灰偏红、鬼影等细节问题；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6）支持14bit精度逐点校正；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7）支持所有常规芯片、PWM芯片和灯饰芯片；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8）支持静态屏、1/2~1/32扫之间的任意扫描类型；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9）支持任意抽点，支持数据偏移，可轻松实现各种异型屏、球形屏、创意显示屏；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10）单卡支持32组RGB信号输出；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11）支持超大带载面积,单卡带载128×1024，256×512；12）支持大屏音频回显输出，音频与画面实时同步，可配合录播进行使用；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13）支持系统数据备份恢复，可备份包括系统的配置、拼接模式、拼接场景等所有配置信息。数据可自动或手动进行备份；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14)为保证兼容性。控制系统须与LED显示屏同品牌。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视频拼接器</w:t>
            </w:r>
          </w:p>
        </w:tc>
        <w:tc>
          <w:tcPr>
            <w:tcW w:w="10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39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1)支持丰富的数字信号接口，包括2路DVI，1路HDMI，1路SDI；</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2)最大输入分辨率1920×1200@60Hz，支持分辨率任意设置；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3)最大带载390万像素，最宽可达8192点，或最高可达4096点；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4)支持视频源任意切换，任意缩放；</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5)支持三画面显示，位置、大小可自由调节；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6)支持HDCP1.4；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7)双USB2.0高速通讯接口，用于电脑调试和主控间任意级联；</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8)支持亮度、色温调节，支持对比度、色调、饱和度调节；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9)支持低亮高灰；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框架</w:t>
            </w:r>
          </w:p>
        </w:tc>
        <w:tc>
          <w:tcPr>
            <w:tcW w:w="10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6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both"/>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钢架结构，黑钛金不锈钢包边（每边5cm）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trPr>
        <w:tc>
          <w:tcPr>
            <w:tcW w:w="4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5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配电柜</w:t>
            </w:r>
          </w:p>
        </w:tc>
        <w:tc>
          <w:tcPr>
            <w:tcW w:w="104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639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10KW，含接触器、空气开关、远程控制系统，漏电保护交流接触器，过流、短路、断路、过压、欠压、温度过高等保护，分时上电和分时断电,手机APP/RT遥控/手动功能.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壁挂音响</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1、频率范围（-6dB）：55Hz-19KHz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2、输出功率（RMS）：400W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3、灵敏度（1W/1M）：99dB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4、最大声压级（1M）：132dB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5、阻抗：8Ω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6、指向角度（水平x垂直）：70°x55°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7、低音单元：15”单元，3”音圈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8、高音单元：1.75”音圈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9、分频点：1.7khz，内置分配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10、保护：高音保护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11、输入接口：XLR/6.3mm组合/输出：XLR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Pins+1/-1input/THRU,pins+2/-2空接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12、吊挂系统：10xM8，吊挂点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13、箱体材料：15mmMDF</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14、提手，垂直可调支撑，（SM707）M8吊挂点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功放</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1、开机负载检测电路，能自动检测负载阻抗；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2、强大的过载能力和出色短路保护系统；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3、完善的温度控制能力，独特的温度伺服技术；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4、具有直流，超低频。射频保护等；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5、卓越的性能，采用电路模块设计理念，贴片SMT工艺，高品质双面线路板，大面积，屏蔽层，高素质低漏磁环变。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输出功率：1KHz＜0.05%THD</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8Ω：2x1200W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4Ω：2X1500W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2Ω：2400W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8Ω桥接：2400W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4Ω桥接：不适用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频率范围（功率宽款+/0.1dB）:20Hz-20KHz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相位响应：（@1W20Hz-20KHz）：±15度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总谐波失真1KHz(20Hz-20KHz)≤0.03%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互调失真（SMPTE）：≤0.01%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阻尼系数（20Hz-500Hz@8Ω）650:1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串扰（20Hz-20KHz）：＞75dB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增益（可选）：26/32/38</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灵敏度：0.775V/1.0V/1.4V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信噪比：106dB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电源时序器</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功能特点：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1、轻触式按键操作，LED指示灯显示工作状态，一目了然；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2、此设备更适合会议、媒体等需要更多地免除干扰的应用场合；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3、采用了可被中控继电器控制的外部接口，最大的特点是加入了2级电网EMI/EMC噪声滤波器，能有效阻隔诸如强无线电，电火花等干扰从电源引入设备。这样对最终重放音质及稳定性产生积极的作用；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4、输入选择D型80A动力型空气开关，从设备背面引入电缆接入空开，符合建设部标准；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5、数值实时电压指示，标准USB接口灯具辅助照明配置；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6、16路电源输出，每路输出AC220V(10A)；30A大电流控制继电器输出，8路美标兼容欧标插座和8路国标插座；电源插座依次间隔1S打开；1路消防短路报警触发信号输出；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7、设有电子锁开关，可手动控制16个电源上断电，也可以与定时器、智能控制器相连接，实现自动控制；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8、采用SMT、AI、ICT全自动生产和测试技术，保证标准化生产和产品的一致性；电源滤波器数量8个内置独立滤波组件，每通道 1个,电源滤波器参数2阶滤波，150kHz-3MHz衰减40dB；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9、保护功能超压报警功能、接入错相指示功能、空气开关过流自动断路功能；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前面板指示功能三位数字为电压、错相接入警告、超压警告、待机、运行、全部旁通、单独通道旁通；</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前面板使用功能接入电力总输入开关和接口、时序电源开关、USB灯电源开关和接口、超压警告逻辑电压选择和切断、全部旁通选择、单独通道旁通选择后面板使用功能时序电源输出插座、联机输入输出插座、外部时序电源开关控制插座、电力线接入管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11、系统参数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输入：单相3线，单相两刀型空气开关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输出：16路，时序通道数量8通道,可输出通道数8通道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输入最大电流容量：80A（AC220V）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每通道最大输出电流容量：30A/60S或10Ams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时序间隔时间：1sec</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USB灯座最大输出电压/电流：5V/50mA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电源：AC 220V±10%  50-60Hz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一拖八无线话筒</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载波频率范围：640-690MHz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频率振荡模式：锁相环回路Phase-locked loop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频道总数 ：400CH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频率响应 ：50Hz～18kHz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有效使用距离 ：50feet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频率间隔 ：40KHz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频带宽度：24MHz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载波稳定度 ：±5PPm≤10KHz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假像干扰比：&gt;80dB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信号噪声比：&gt;105dB(1KHz-A)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灵敏度 ：-105dBm(12dB S/N AD)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总失真率 ：&lt;0.5%@1KHz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音频输出阻抗 ：2.2kΩ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音频输出准位 ：-12dB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静音方式：Mute &amp; locked loop</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功能显示方式：LCD</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电源供应：14-17V DC,2000mA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输出插头形式：1 XLR Balanced Socket Unbalance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反馈抑制器</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功能特征：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1）有效抑制话筒啸叫，消除反馈于未然，一键式操作模式，简单好用；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2）采用DSP技术，实时抓取啸叫点，自动适应声学环境；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3）超远会议话筒拾音距离，能自动适应拾音距离；</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4）4路话筒输入，每路输入带独立增益调节，可以适合不同的话筒同时使用，调整范围大于12dB；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5）高品质话放，带+48V幻象电源，每路幻象电源独立开关控制，互不干扰；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6）前两路话筒是可以选择卡农或6.35接口输入，接线方便；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7）每路输入带信号指示灯，操作更加便捷；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8）平衡和非平衡两种输出方式，输出大小连续可调，输出有总的信号指示灯和峰值指示灯，调试方便；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9）面板带电源指示灯和48v幻像电源指示灯，随时了解机器状态，反馈启动有有蓝色指示灯；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10）铝面板喷砂工艺，透光式按键，外观与众不同。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主要技术参数：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频率响应：20 Hz~20 KHz,+/-1.5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DSP采样率：192 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AD/DA转换：24比特；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总频波失真：&lt;0.01%(+4 dBU,1 KHz)；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最大输出：+22 dBu(平衡）,+16 dBu(不平衡）；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信噪比：&gt;95 dB；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输入电源：220 v~50 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产品尺寸：（H×W×D）44×483×240(mm）；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包装尺寸：（H×W×D）93×540×330(mm）；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净重:2.65 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毛重:3.30 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调音台</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LEXT、</w:t>
            </w:r>
            <w:r>
              <w:rPr>
                <w:rFonts w:hint="eastAsia" w:ascii="Times New Roman" w:hAnsi="Times New Roman" w:eastAsia="宋体" w:cs="Times New Roman"/>
                <w:i w:val="0"/>
                <w:iCs w:val="0"/>
                <w:color w:val="000000"/>
                <w:kern w:val="0"/>
                <w:sz w:val="20"/>
                <w:szCs w:val="20"/>
                <w:highlight w:val="none"/>
                <w:u w:val="none"/>
                <w:lang w:val="en-US" w:eastAsia="zh-CN" w:bidi="ar"/>
              </w:rPr>
              <w:t>ITC</w:t>
            </w:r>
            <w:r>
              <w:rPr>
                <w:rFonts w:hint="default" w:ascii="Times New Roman" w:hAnsi="Times New Roman" w:eastAsia="宋体" w:cs="Times New Roman"/>
                <w:i w:val="0"/>
                <w:iCs w:val="0"/>
                <w:color w:val="000000"/>
                <w:kern w:val="0"/>
                <w:sz w:val="20"/>
                <w:szCs w:val="20"/>
                <w:highlight w:val="none"/>
                <w:u w:val="none"/>
                <w:lang w:val="en-US" w:eastAsia="zh-CN" w:bidi="ar"/>
              </w:rPr>
              <w:t>、FLB</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1、8路单声道输入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2、通道三段均衡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3、内置99 DSP数字效果器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4、一组辅助发送，一组返回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5、60mm 高精度对数式衰减推子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6、双七段主均衡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7、一组立体声输出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8、每路可单独控制+48幻象电源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9、内置带录音功能USB播放器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10、通道静音开关和PEL开关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11、带有2编组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12、通道均衡:3 band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13、辅助输出:1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返回:1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14、效果:24 BIT DSP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15、主输出 :1 Stereo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16、编组输出:2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17、幻象电源:48V DC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18、USB/REC player:√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19、主控均衡:7 Band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图腾、一舟、三拓</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电视机</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65寸电视机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操作系统：嵌入式Linux操作系统；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屏幕参数：7英寸触摸显示屏，屏幕比例9:16，屏幕分辨率600×1024；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摄像头参数：采用宽动态200万双目摄像头；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测温功能：集成热成像测温模组，测温距离在0.5m-1.5m之间，测温范围30℃-45℃，精度±0.5℃（无黑体）；支持身份认证（刷脸、刷卡等）+测温模式、仅测温模式；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认证方式：支持人脸、刷卡（Mifare卡/IC卡、手机NFC卡、CPU卡序列号/内容、身份证卡序列号）、密码认证方式；可外接身份证、指纹、蓝牙、二维码等功能模块；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人脸识别：采用深度学习算法，支持单人或多人识别（最多5人同时认证）功能；支持照片、视频防假；1:N人脸识别速度≤0.2s，人脸验证准确率≥99%；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存储容量：本地支持10000人脸库、50000张卡，15万条事件记录；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硬件接口：LAN×1、RS485×1、Wiegand × 1(支持双向)、typeC类型USB接口×1、电锁×1、门磁×1、报警输入×2、报警输出×1、开门按钮×1、SD卡槽×1（最大支持512GB）、3.5mm音频输出接口×1；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通信方式及网络协议：有线网络，萤石协议/ISAPI/ISUP5.0；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使用环境：室内，无风环境；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安装方式：壁挂安装（标配挂板，适配86底盒）；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工作电压：DC12V~24V/2A（电源需另配）；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产品尺寸：247.7×110.5×24mm；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设备重量：净重0.56kg，毛重0.88kg。</w:t>
            </w:r>
          </w:p>
          <w:p>
            <w:pPr>
              <w:keepNext w:val="0"/>
              <w:keepLines w:val="0"/>
              <w:pageBreakBefore w:val="0"/>
              <w:widowControl/>
              <w:numPr>
                <w:ilvl w:val="0"/>
                <w:numId w:val="74"/>
              </w:numPr>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LAN×1，支持 10M/100M/1000M 网络自适应配置；2.RS-485 串口×1 个；3.输入、输出韦根接口×1 个（平台可配置）；4.USB 接口×2 个，包括 type C 接口、micro USB 接口和普通 USB 连接口（需扩展线）；5.内置扬声器×1 个；6.门锁 I/O 输出×1 个；7.门磁 I/O 输入×1 个；8.开门按钮 I/O 输入×1 个；9.报警 I/O 输出×1 个；10.报警事件 I/O 输入×2 个；11.micro SIM 卡槽×1 个；12.机械防拆开关×1 个；13.支持 3.5mm 音频输出接口×1 个；14.支持 micro SD 卡槽扩展；15.支持 MIC 音频输入采集。                          </w:t>
            </w:r>
          </w:p>
          <w:p>
            <w:pPr>
              <w:keepNext w:val="0"/>
              <w:keepLines w:val="0"/>
              <w:pageBreakBefore w:val="0"/>
              <w:widowControl/>
              <w:numPr>
                <w:ilvl w:val="0"/>
                <w:numId w:val="74"/>
              </w:numPr>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可视对讲：支持和云眸、4200客户端、室内机、管理机进行可视对讲；支持配置一键呼叫室内机或管理机；支持副门口机或围墙机模式；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视频预览：支持管理中心远程视频预览，支持接入NVR设备，实现视频监控录像，编码格式H.264；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口罩检测：支持口罩检测模式，可配置提醒戴口罩模式、强制戴口罩模式，关联门禁控制；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识别界面可配：识别主界面的“呼叫”、“二维码”、“密码”的按键图标可分别配置是否显示；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认证结果显示可配：支持认证成功界面的“照片”、“姓名”、“工号”信息可配置是否显示；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工作模式：支持广告模式、简洁模式、主题模式；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外接安全模块：支持通过RS485接入门控安全模块，防止主机被恶意破坏的情况下，门锁不被打开；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外接读卡器：支持通过RS485或韦根（W26/W34）接口外接1个读卡器，同时可实现单门反潜回功能；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读卡器模式：支持通过RS485或韦根（W26/W34）接入门禁控制器，作为读卡器模式使用；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门禁计划模板：支持255组计划模板管理，128个周计划，1024个假日计划；支持常开、常闭时段管理；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组合认证：刷卡+密码、刷卡+人脸、人脸+密码等组合认证方式；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多重认证：支持多个人员认证（人脸、刷卡等）通过后才开门；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黑名单核验：支持中心下发黑名单人员信息，实现本地黑名单核验；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报警功能：设备支持防拆报警、门被外力开起报警、胁迫卡和胁迫密码报警、黑名单报警等；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事件上传：在线状态下将设备认证结果信息及联动抓拍照片实时上传给平台，支持断网续传功能，设备离线状态下产生事件在与平台连接后会重新上传；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单机使用：设备可进行本地管理，支持本地注册人脸、查询、设置、管理设备参数等；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WEB管理：支持Web端管理，可进行人员管理、参数配置、事件查询、系统维护等操作。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55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39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电子锁，含支架、电源、出门开关</w:t>
            </w:r>
          </w:p>
        </w:tc>
      </w:tr>
    </w:tbl>
    <w:p>
      <w:pPr>
        <w:ind w:left="0" w:leftChars="0" w:firstLine="0" w:firstLineChars="0"/>
        <w:rPr>
          <w:rFonts w:hint="default" w:ascii="Times New Roman" w:hAnsi="Times New Roman" w:cs="Times New Roman"/>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3.7.6治理场景-精益化数字管理平台</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9"/>
        <w:gridCol w:w="544"/>
        <w:gridCol w:w="911"/>
        <w:gridCol w:w="65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54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911"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657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LED显示单元</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云清越、力亚德、强力巨彩</w:t>
            </w:r>
          </w:p>
        </w:tc>
        <w:tc>
          <w:tcPr>
            <w:tcW w:w="6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1）像素构成：SMD1212共阴封装，表面黑色雾化处理，表面不反光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2）像素点间距：≤1.54mm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3）像素密度：≥422700点/平方米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4）屏体尺寸：≥3.84m×2.16m=8.2944m2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5）屏体行列数：≥2496列×1392行＝3474432像素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6）模组尺寸：320mm×180mm ，模组分辨率208点×116点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7）K铝底壳工艺，模组iCool立体散热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8）平整度：≤0.15mm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9）模组电源接口采用4P接插头，免工具维护，同时有防呆设计，预防接错电源线短路而导致的烧毁模组行为；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10）单点亮度校正，通过调整流入每个LED的电流控制像素亮度，从而实现整屏一致的亮度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11）智能色温，有标准/视频/文本3种模式可调节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12）搭配控制系统，连接互联网，云端一键加载配制文件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13）智能除湿功能，通过预热灯珠，蒸发掉灯珠内部湿气</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14）采用抗消隐设计，无“毛毛虫”“鬼影”跟随现象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15）具备单模数据组存储功能，校正数据自动回读技术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16）白平衡亮度≥450cd/㎡</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17)色温可调范围：3000k~15000k，并可自定义色温值</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18）对比度5000:1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19）视角：水平视角≥160°，垂直视角≥140°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20）刷新频率≥3840HZ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21）换帧频率：50&amp;60HZ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22）灰度：100%亮度 16bit灰度，20%亮度 12bit灰度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23）模组亮度均匀性≥97%</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24）峰值功耗≤440W/㎡、平均功耗≤150W/㎡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25）寿命典型值≥100000小时、平均无故障时间≥100000小时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26）电源冗余备份，具智能节电功能，软件自动报警功能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27）产品满足盐雾10级要求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28）IP等级符合IP6X</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29）模拟九级地震实验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30）PCB防火等级达V-0级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31）抗紫外UV辐射符合5级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32）噪音：符合国家标准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33）工作温度范围-30℃-40℃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34）存储温度范围-40℃-60℃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35）冷热冲击实验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36）光生物安全：无危害（提供有害物质过程管理体系证书）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37）稳定性：支持7×24H连续工作</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38）按照SJ/T 11590-2016 LED显示屏图像主观质量评价方法的要求，评价等价为优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39）抗电强度U=1500VAC；T=60S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模组商标必须与显示屏厂商注册商标一致，必须是真实的生产厂商，不接受OEM产品或不干胶贴商标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控制系统</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云清越、力亚德、强力巨彩</w:t>
            </w:r>
          </w:p>
        </w:tc>
        <w:tc>
          <w:tcPr>
            <w:tcW w:w="6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1）集成HUB75，无需再配转接板，更方便，成本更低；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2）减少接插连接件，减少故障点，故障率更低；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3）支持常规芯片实现高刷新、高灰度、高亮度；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4）全新灰度引擎，低灰度表现更佳；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5）细节处理更完美，可消除单元板设计引起的某行偏暗、低灰偏红、鬼影等细节问题；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6）支持14bit精度逐点校正；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7）支持所有常规芯片、PWM芯片和灯饰芯片；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8）支持静态屏、1/2~1/32扫之间的任意扫描类型；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9）支持任意抽点，支持数据偏移，可轻松实现各种异型屏、球形屏、创意显示屏；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10）单卡支持32组RGB信号输出；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11）支持超大带载面积,单卡带载128×1024，256×512；12）支持大屏音频回显输出，音频与画面实时同步，可配合录播进行使用；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13）支持系统数据备份恢复，可备份包括系统的配置、拼接模式、拼接场景等所有配置信息。数据可自动或手动进行备份；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14)为保证兼容性。控制系统须与LED显示屏同品牌。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视频拼接器</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1)支持丰富的数字信号接口，包括2路DVI，1路HDMI，1路SDI；</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2)最大输入分辨率1920×1200@60Hz，支持分辨率任意设置；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3)最大带载390万像素，最宽可达8192点，或最高可达4096点；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4)支持视频源任意切换，任意缩放；</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5)支持三画面显示，位置、大小可自由调节；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6)支持HDCP1.4；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7)双USB2.0高速通讯接口，用于电脑调试和主控间任意级联；</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8)支持亮度、色温调节，支持对比度、色调、饱和度调节；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9)支持低亮高灰；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无线投屏器</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1）四画面分割同屏显示；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2）16连接终端数；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3）外接天线35米无线距离，</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4）HDMI+音频输出；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5）支持Winsow、安卓、苹果投屏；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6)双Wife模块+蓝牙模块；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7)壁纸自定义、定时重启、扫码投屏、60帧传输、触控回传、书写批注、跨网段投屏码集控、多收多发等F</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8)支持了USB/TYPE-C/HDMI三合一无线发射装置。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无线平板</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both"/>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触控平板,IOS系统，WIFI版.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框架</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both"/>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钢架结构，黑钛金不锈钢包边（每边5cm）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配电柜</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6572"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10KW，含接触器、空气开关、远程控制系统，漏电保护交流接触器，过流、短路、断路、过压、欠压、温度过高等保护，分时上电和分时断电,手机APP/RT遥控/手动功能.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信息发布播放盒</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572"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安卓 播放盒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支持4路1080P监控画面直播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支持4K画面播放</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CPU：四核Cortex-A17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存储参数：内存2G，储存空间：8 GB（EMMC），内置TF卡32 GB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网络：有线、无线WIFI</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接口：HDMI OUT×1，AUDIO IN×1,AUDIO OUT×1,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RJ45 IN×1,USB2.0×2,TF卡接口×1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大屏支架</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both"/>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园区支架，适用6平米屏幕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配电柜</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6572"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 类型：10KW配电柜</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 控制：欧姆龙PLC控制器，网络远程控制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3）元器件：德力西断路器，施耐德接触器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 输入电压：380V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5）输出电压：220V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bottom"/>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6）输出回路：3个单向回路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GPU服务器</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标准塔式服务器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CPU：1颗 x86架构H处理器，核数≥8核，频率≥2.8GHz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内存32G DDR4，4根内存插槽，最大支持扩展至128GB，支持单条容量16GB/32GB，内存频率支持2666/2400MHz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硬盘：1块512G SSD盘 显卡：3080TI</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PCIE扩展：支持1个PCIE×8+1个PCIE×16</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网口：2个千兆电口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其他接口：1个千兆RJ-45管理接口，4个USB 3.0接口，2个位于机箱后部，2个位于机箱前部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1个VGA口，位于机箱后部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电源：350W高效</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设备重量：约18KG（含导轨）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LCD拼接屏</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产品尺寸：55寸</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双边拼缝：3.5mm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分辨率：1920×1080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亮度：500cd/m2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输入接口：VGA(D-Sub)×1、CVBS(BNC)×2、DVI-D×1、HDMI×1、RS232(RJ45)×1、USB（升级和多媒体）×1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输出接口：CVBS(BNC)×2、RS232(RJ45)×1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解码器</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高清视音频解码器，采用Linux操作系统，运行稳定可靠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输入接口：支持一路VGA和一路DVI接入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输出接口：支持8路HDMI和4路BNC输出，HDMI（可以转DVI-D）（奇数口）输出分辨率最高支持4K（3840×2160@30HZ）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编码格式：支持H.265、H.264、MPEG4、MJPEG等主流的编码格式；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封装格式：支持PS、RTP、TS、ES等主流的封装格式；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音频解码：支持G.722、G.711A、G.726、G.711U、MPEG2-L2、AAC音频格式的解码；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解码能力：支持8路1200W，或16路800W，或24路500W，或40路300W，或64路1080P及以下分辨率同时实时解码；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画面分割：支持1、2、4、6、8、9、10、12、16、25、36画面分割显示。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网络接口：2光口，2电口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音频接口：支持8路音频输出，1路对讲输入，1路对讲输出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串行接口：一个标准232接口（RJ45）、一个标准485接口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报警接口：8路报警输入，8路报警输出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产品尺寸：440mm(宽)×44.5mm(高)×311mm(深)</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★设备接入具有智能行为分析功能的摄像机，可解码显示智能行为分析信息，包括移动侦测、越界入侵、区域入侵、起身离开等，并上传报警信息。（提供封面具有CNAS认证标识的公安部报告证明。）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★支持对输入的视频画面进行90°、180°、270°旋转显示。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（提供封面具有CNAS认证标识的公安部报告证明。）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超脑</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名单库比对报警（32路人脸分析比对（图片流），或32路人脸抓拍（视频流））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16个人脸名单库，总库容5万张(平均15KB/张)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支持陌生人报警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支持以脸搜脸、按姓名检索、按属性检索</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支持人脸属性识别</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支持人脸评分功能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支持接入混合抓拍事件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支持2路视频流周界分析，支持越界侦测、区域入侵、进入区域、离开区域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支持接入符合ONVIF、RTSP、GB28181标准的网络摄像机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平台对接协议：ISUP/萤石/GB28181/GA/T 1400视图库协议/SDK</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具有2个HDMI接口、2个VGA接口、2个RJ45网络接口、2个USB2.0接口、1个USB3.0接口、1个RS232接口、1个RS485接口、1个eSata接口、1路音频输入接口、2路音频输出接口；16路报警输入接口、9路报警输出接口、具有2路直流DC 12V输出接口（其中1路为Ctrl报警输出口）；可内置9个SATA接口硬盘（以公安部检测报告为准）                                            可接入8路分辨率为1920×1080的视频图像；支持最大接入带宽 80Mbps，最大存储带宽 80Mbps，最大转发带宽160Mbps，最大回放带宽160Mbps，开启视频流智能分析后NVR网络带宽不应降低（以公安部检测报告为准） 可同时显示输出8路H.265编码、30fps、1920×1080格式的视频图像，或同时输出3路 H.265编码、25fps、4096×2160或者3840×2160格式的视频图像，或同时解码2路 H.265编码、20fps、4000×3000格式的视频图像。输出1路H.265编码、25fps、8160×3072格式的视频图像；开启视频流智能分析，NVR解码性能不会降低（以公安部检测报告为准）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2U标准机架式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2个HDMI，2个VGA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9盘位，最高支持满配8TB硬盘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2个RJ45 10M/100M/1000M自适应以太网口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2个USB2.0接口、1个USB3.0接口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1个eSATA接口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报警IO：16进9出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cs="Times New Roman"/>
                <w:highlight w:val="none"/>
                <w:lang w:val="en-US" w:eastAsia="zh-CN"/>
              </w:rPr>
            </w:pPr>
            <w:r>
              <w:rPr>
                <w:rFonts w:hint="default" w:ascii="Times New Roman" w:hAnsi="Times New Roman" w:eastAsia="宋体" w:cs="Times New Roman"/>
                <w:i w:val="0"/>
                <w:iCs w:val="0"/>
                <w:color w:val="000000"/>
                <w:kern w:val="0"/>
                <w:sz w:val="20"/>
                <w:szCs w:val="20"/>
                <w:highlight w:val="none"/>
                <w:u w:val="none"/>
                <w:lang w:val="en-US" w:eastAsia="zh-CN" w:bidi="ar"/>
              </w:rPr>
              <w:t>支持DC 12V，ctrl 12V反向供电</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软件性能：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输入带宽：80Mbps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输出带宽：160Mbps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8路H.264、H.265混合接入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最大支持12×1080P解码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支持H.265、H.264解码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综合管理平台</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544"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平台服务器</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nil"/>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cs="Times New Roman"/>
                <w:highlight w:val="none"/>
                <w:lang w:val="en-US" w:eastAsia="zh-CN"/>
              </w:rPr>
            </w:pPr>
            <w:r>
              <w:rPr>
                <w:rFonts w:hint="default" w:ascii="Times New Roman" w:hAnsi="Times New Roman" w:eastAsia="宋体" w:cs="Times New Roman"/>
                <w:i w:val="0"/>
                <w:iCs w:val="0"/>
                <w:color w:val="000000"/>
                <w:kern w:val="0"/>
                <w:sz w:val="20"/>
                <w:szCs w:val="20"/>
                <w:highlight w:val="none"/>
                <w:u w:val="none"/>
                <w:lang w:val="en-US" w:eastAsia="zh-CN" w:bidi="ar"/>
              </w:rPr>
              <w:t>4210×1/64G DDR4/1.2T 10K SAS×2(RAID_1)/SAS_HBA/1GbE×2/550W(1+1)/2U/16DIMM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2U双路标准机架式服务器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CPU：1颗intel至强系列处理器，核数≥10核，主频≥2.2GHz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内存：32G×2 DDR4，16根内存插槽，最大支持扩展至2TB内存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硬盘：2块1.2T 10K 2.5寸 SAS硬盘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阵列卡：可选SAS_HBA卡，支持RAID 0/1/10 ;可选RAID 卡，支持0/1/5/6/10/50/60，可选支持断电保护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PCIE扩展：最大可支持6个PCIE扩展插槽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网口：2个千兆电口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其他接口：1个RJ45管理接口，后置2个USB 3.0接口，前置2个USB2.0接口，1个VGA接口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储存</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 HDD,8TB,7200RPM, 256MB, SATA 6Gb/s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数据链路服务</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移动、</w:t>
            </w:r>
            <w:r>
              <w:rPr>
                <w:rFonts w:hint="eastAsia" w:ascii="Times New Roman" w:hAnsi="Times New Roman" w:eastAsia="宋体" w:cs="Times New Roman"/>
                <w:i w:val="0"/>
                <w:iCs w:val="0"/>
                <w:color w:val="000000"/>
                <w:kern w:val="0"/>
                <w:sz w:val="20"/>
                <w:szCs w:val="20"/>
                <w:highlight w:val="none"/>
                <w:u w:val="none"/>
                <w:lang w:val="en-US" w:eastAsia="zh-CN" w:bidi="ar"/>
              </w:rPr>
              <w:t>联通</w:t>
            </w:r>
            <w:r>
              <w:rPr>
                <w:rFonts w:hint="default" w:ascii="Times New Roman" w:hAnsi="Times New Roman" w:eastAsia="宋体" w:cs="Times New Roman"/>
                <w:i w:val="0"/>
                <w:iCs w:val="0"/>
                <w:color w:val="000000"/>
                <w:kern w:val="0"/>
                <w:sz w:val="20"/>
                <w:szCs w:val="20"/>
                <w:highlight w:val="none"/>
                <w:u w:val="none"/>
                <w:lang w:val="en-US" w:eastAsia="zh-CN" w:bidi="ar"/>
              </w:rPr>
              <w:t>、电信</w:t>
            </w:r>
          </w:p>
        </w:tc>
        <w:tc>
          <w:tcPr>
            <w:tcW w:w="65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各小区至社区数据中心机房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VPN专线</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移动、</w:t>
            </w:r>
            <w:r>
              <w:rPr>
                <w:rFonts w:hint="eastAsia" w:ascii="Times New Roman" w:hAnsi="Times New Roman" w:eastAsia="宋体" w:cs="Times New Roman"/>
                <w:i w:val="0"/>
                <w:iCs w:val="0"/>
                <w:color w:val="000000"/>
                <w:kern w:val="0"/>
                <w:sz w:val="20"/>
                <w:szCs w:val="20"/>
                <w:highlight w:val="none"/>
                <w:u w:val="none"/>
                <w:lang w:val="en-US" w:eastAsia="zh-CN" w:bidi="ar"/>
              </w:rPr>
              <w:t>联通</w:t>
            </w:r>
            <w:r>
              <w:rPr>
                <w:rFonts w:hint="default" w:ascii="Times New Roman" w:hAnsi="Times New Roman" w:eastAsia="宋体" w:cs="Times New Roman"/>
                <w:i w:val="0"/>
                <w:iCs w:val="0"/>
                <w:color w:val="000000"/>
                <w:kern w:val="0"/>
                <w:sz w:val="20"/>
                <w:szCs w:val="20"/>
                <w:highlight w:val="none"/>
                <w:u w:val="none"/>
                <w:lang w:val="en-US" w:eastAsia="zh-CN" w:bidi="ar"/>
              </w:rPr>
              <w:t>、电信</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社区数据中心至区级未来社区平台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5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汇聚交换机</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端口类型≥24×10/100/1000Base-T以太网端口，≥4×1000 Base-X SFP光口；交换容量(G)≥336Gbps，转发性能(Mpps) ≥78Mpps；支持STP/RSTP/MSTP，支持802.1Q (最大4K个VLAN)；支持静态路由，支持DHCP Relay，支持DHCP Client，支持DHCP Snooping， 支持DHCP Server； 支持IPv6静态路由、双协议栈，支持DHCPv6 Client、DHCPv6 Snooping，支持ND、PMTU，支持IPv6 Ping、IPv6 Telnet、IPv6 SSHv2、IPv6域名解析；支持IGMP V1/V2/V3 Snooping；支持端口限速；支持IP＋MAC+PORT绑定功能；支持WEB/SNMP/云平台/手机APP管理，拥有强劲的管理工具，支持远程运维和调试；支持命令行接口（CLI）配置，支持通过Console口配置；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5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接入交换机</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端口类型≥24×10/100/1000Base-T以太网端口，≥4×1000 Base-X SFP光口；交换容量(G)≥96Gbps，转发性能(Mpps)≥78Mpps；支持802.1Q (最大4K个VLAN)，支持DHCP Relay，支持DHCP Client，支持DHCP Snooping，支持IPv6静态路由、双协议栈；支持SP/WRR/SP+WRR队列调度；支持802.1p、DSCP优先级映射，支持端口限速；支持以太网OAM，支持DLDP，支持Monitor Link；支持WEB/SNMP/云平台/手机APP管理，拥有强劲的管理工具，支持远程运维和调试；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5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核心交换机</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端口类型≥24 ×10/100/1000TX以太网端口，≥2个SFP端口，≥ 2个SFP+端口；交换容量(G)≥336Gbps/3.36Tbps，转发性能(Mpps)≥108Mpps/188Mpps；最多支持MAC（Media Access Control）地址：16K；支持端口聚合(聚合组端口最大8个端口)，支持10GE口聚合，支持端口隔离；支持基于端口的VLAN，支持STP/RSTP/MSTP；支持DHCP Client，支持DHCP Snooping， 支持DHCP Server，支持IPv4/IPv6静态路由、双协议栈；支持 802.1X，支持端口安全，支持MAC地址认证，支持IP Source Guard，支持HTTPs；支持WEB/SNMP/云平台/手机APP管理，拥有强劲的管理工具，支持远程运维和调试；支持命令行接口（CLI）配置，支持通过Console口配置；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5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千兆光模块</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光模块-SFP-GE-单模模块-(1310nm,10km,LC)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54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万兆光模块</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SFP+ 万兆模块(1310nm,10km,LC)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544"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防火墙</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572" w:type="dxa"/>
            <w:tcBorders>
              <w:top w:val="nil"/>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端口及硬件要求≥8个10/100/1000Base-T以太网接口，≥2个Bypass端口，≥2个1000BASE-X SFP端口（Combo），≥2个外置USB接口；吞吐量≥1.5Gbps，配置100条SSL VPN授权；支持Portal认证、RADIUS认证、HWTACACS认证、PKI /CA（X.509格式）认证、域认证、CHAP验证、PAP验证；SOP虚拟防火墙技术，支持CPU、内存、存储等硬件资源划分的完全虚拟化，安全区域划分，可以防御Land、Smurf、Fraggle、Ping of Death、Tear Drop、IP Spoofing、IP分片报文、ARP欺骗、ARP主动反向查询、TCP报文标志位不合法超大ICMP报文、地址扫描、端口扫描、SYN Flood、UPD Flood、ICMP Flood、DNS Flood等多种恶意攻击；基于病毒特征进行检测，支持病毒库手动和自动升级，报文流处理模式，支持HTTP、FTP、SMTP、POP3协议，支持的病毒类型：Backdoor、Email-Worm、IM-Worm、P2P-Worm、Trojan、AdWare、Virus等，支持病毒日志和报表；支持对黑客攻击、蠕虫/病毒、木马、恶意代码、间谍软件/广告软件、DoS/DDoS等常见的攻击防御，支持缓冲区溢出、SQL注入、IDS/IPS逃逸等攻击的防御，支持攻击特征库的分类（根据攻击类型、目标机系统进行分类）、分级（分高、中、低、提示四级），支持攻击特征库的手动和自动升级（TFTP和HTTP），支持对BT等P2P/IM识别和控制；支持L2TP VPN、IPSec VPN、GRE VPN、SSL VPN；支持SCF 2:1虚拟化；支持双机状态热备（Active/Active和Active/Backup两种工作模式）。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硬盘录像机</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硬件规格：</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2U标准机架式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2个HDMI，2个VGA，HDMI+VGA组内同源</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8盘位，可满配10T硬盘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2个千兆网口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2个USB2.0接口、1个USB3.0接口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1个eSATA接口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支持RAID0、1、5、6、10，支持全局热备盘</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报警IO：16进4出（可选配8出）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支持接入双目、三目、800w、1600w球型鹰眼、2400w环型鹰眼相机，3200w摄像机，并可将视频画面以多画面分割方式显示，可自定义画面布局（以公安部检测报告为准）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组合报警模式，可设置将NVR的报警输入口关联IPC的报警事件，只有当两个报警事件同时触发才能产生报警，组合报警模式支持遮挡报警、移动侦测、人脸抓拍、人脸侦测、车辆检测、越界侦测、区域入侵侦测、进入/离开区域侦测、人员聚集侦测、快速移动侦测、物品遗留侦测、物品拿取侦测、停车侦测、徘徊侦测、场景变更侦测、虚焦侦测、音频异常侦测报警事件（以公安部检测报告为准）                               支持设备级联，NVR接入NVR、DVR、XVR设备，选择通道添加（以公安部检测报告为准）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软件性能：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输入带宽：320M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32路H.264、H.265混合接入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最大支持16×1080P解码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支持H.265、H.264解码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平台对接协议：ISUP/萤石/GB28181/SDK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储存硬盘</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ST6000VX004 6TB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5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监视器</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21.5寸，16:9，VGA接口，画面显示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图腾、一舟、三拓</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标准机柜/42U/带门锁、防护门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UPS</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雷迪司、科华、山特</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UPS电源主机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1.双变换在线式UPS默认32节电池额定容量15KVA/13.5KW 单单、三单、三三可调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2.支持塔式及机架式安装15KV仅3U，节约空间。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3.输入电压范围80-280V AC 输入频率范围40-70HZ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4.额定输出电压220/230/240 V AC±1% 输出频率40-70HZ，系统效率95%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5过载能力.在105%~125%负载时5min后转旁路，在125%~150%负载时1min后转旁路，在150%负载时0.1s后转旁路。强过载能力可以有效减少输出转旁路次数，降低断电风险，提高用户设备供电质量。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6.防雷设计：防雷5KA,差共模浪涌6KV。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蓄电池</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雷迪司、科华、山特</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铅酸蓄电池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直流电压12V  容量100AH，可满足市电异常情况下后备1小时以上延时输出。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5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蓄电池（柜）</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雷迪司、科华、山特</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电池柜 A16（含槽钢基础制安）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470×780×1210（宽×深×高）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操作系统：嵌入式Linux操作系统；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屏幕参数：7英寸触摸显示屏，屏幕比例9:16，屏幕分辨率600×1024；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摄像头参数：采用宽动态200万双目摄像头；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测温功能：集成热成像测温模组，测温距离在0.5m-1.5m之间，测温范围30℃-45℃，精度±0.5℃（无黑体）；支持身份认证（刷脸、刷卡等）+测温模式、仅测温模式；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认证方式：支持人脸、刷卡（Mifare卡/IC卡、手机NFC卡、CPU卡序列号/内容、身份证卡序列号）、密码认证方式；可外接身份证、指纹、蓝牙、二维码等功能模块；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人脸识别：采用深度学习算法，支持单人或多人识别（最多5人同时认证）功能；支持照片、视频防假；1:N人脸识别速度≤0.2s，人脸验证准确率≥99%；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存储容量：本地支持10000人脸库、50000张卡，15万条事件记录；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硬件接口：LAN×1、RS485×1、Wiegand × 1(支持双向)、typeC类型USB接口×1、电锁×1、门磁×1、报警输入×2、报警输出×1、开门按钮×1、SD卡槽×1（最大支持512GB）、3.5mm音频输出接口×1；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通信方式及网络协议：有线网络，萤石协议/ISAPI/ISUP5.0；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使用环境：室内，无风环境；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安装方式：壁挂安装（标配挂板，适配86底盒）；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工作电压：DC12V~24V/2A（电源需另配）；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产品尺寸：247.7×110.5×24mm；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设备重量：净重0.56kg，毛重0.88kg。</w:t>
            </w:r>
          </w:p>
          <w:p>
            <w:pPr>
              <w:keepNext w:val="0"/>
              <w:keepLines w:val="0"/>
              <w:pageBreakBefore w:val="0"/>
              <w:widowControl/>
              <w:numPr>
                <w:ilvl w:val="0"/>
                <w:numId w:val="75"/>
              </w:numPr>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LAN×1，支持 10M/100M/1000M 网络自适应配置；2.RS-485 串口×1 个；3.输入、输出韦根接口×1 个（平台可配置）；4.USB 接口×2 个，包括 type C 接口、micro USB 接口和普通 USB 连接口（需扩展线）；5.内置扬声器×1 个；6.门锁 I/O 输出×1 个；7.门磁 I/O 输入×1 个；8.开门按钮 I/O 输入×1 个；9.报警 I/O 输出×1 个；10.报警事件 I/O 输入×2 个；11.micro SIM 卡槽×1 个；12.机械防拆开关×1 个；13.支持 3.5mm 音频输出接口×1 个；14.支持 micro SD 卡槽扩展；15.支持 MIC 音频输入采集。                          </w:t>
            </w:r>
          </w:p>
          <w:p>
            <w:pPr>
              <w:keepNext w:val="0"/>
              <w:keepLines w:val="0"/>
              <w:pageBreakBefore w:val="0"/>
              <w:widowControl/>
              <w:numPr>
                <w:ilvl w:val="0"/>
                <w:numId w:val="75"/>
              </w:numPr>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可视对讲：支持和云眸、4200客户端、室内机、管理机进行可视对讲；支持配置一键呼叫室内机或管理机；支持副门口机或围墙机模式；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视频预览：支持管理中心远程视频预览，支持接入NVR设备，实现视频监控录像，编码格式H.264；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口罩检测：支持口罩检测模式，可配置提醒戴口罩模式、强制戴口罩模式，关联门禁控制；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识别界面可配：识别主界面的“呼叫”、“二维码”、“密码”的按键图标可分别配置是否显示；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认证结果显示可配：支持认证成功界面的“照片”、“姓名”、“工号”信息可配置是否显示；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工作模式：支持广告模式、简洁模式、主题模式；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外接安全模块：支持通过RS485接入门控安全模块，防止主机被恶意破坏的情况下，门锁不被打开；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外接读卡器：支持通过RS485或韦根（W26/W34）接口外接1个读卡器，同时可实现单门反潜回功能；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读卡器模式：支持通过RS485或韦根（W26/W34）接入门禁控制器，作为读卡器模式使用；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门禁计划模板：支持255组计划模板管理，128个周计划，1024个假日计划；支持常开、常闭时段管理；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组合认证：刷卡+密码、刷卡+人脸、人脸+密码等组合认证方式；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多重认证：支持多个人员认证（人脸、刷卡等）通过后才开门；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黑名单核验：支持中心下发黑名单人员信息，实现本地黑名单核验；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报警功能：设备支持防拆报警、门被外力开起报警、胁迫卡和胁迫密码报警、黑名单报警等；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事件上传：在线状态下将设备认证结果信息及联动抓拍照片实时上传给平台，支持断网续传功能，设备离线状态下产生事件在与平台连接后会重新上传；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单机使用：设备可进行本地管理，支持本地注册人脸、查询、设置、管理设备参数等；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WEB管理：支持Web端管理，可进行人员管理、参数配置、事件查询、系统维护等操作。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5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电子锁，含支架、电源、出门开关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防静电活动地板</w:t>
            </w:r>
          </w:p>
        </w:tc>
        <w:tc>
          <w:tcPr>
            <w:tcW w:w="9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防静电活动地板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600×600×35,全钢无边框，架空200mm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含地面除尘、缓冲区踏步制安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操作台</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1、名称：工作台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2、定制（4工位）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联动报警</w:t>
            </w:r>
          </w:p>
        </w:tc>
        <w:tc>
          <w:tcPr>
            <w:tcW w:w="9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公安定制</w:t>
            </w:r>
          </w:p>
        </w:tc>
        <w:tc>
          <w:tcPr>
            <w:tcW w:w="65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联动报警</w:t>
            </w:r>
          </w:p>
        </w:tc>
      </w:tr>
    </w:tbl>
    <w:p>
      <w:pPr>
        <w:bidi w:val="0"/>
        <w:ind w:left="0" w:leftChars="0" w:firstLine="0" w:firstLineChars="0"/>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3.7.7治理场景-党建政务宣传</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2"/>
        <w:gridCol w:w="933"/>
        <w:gridCol w:w="2436"/>
        <w:gridCol w:w="44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933"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2436"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4473"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7" w:hRule="atLeast"/>
        </w:trPr>
        <w:tc>
          <w:tcPr>
            <w:tcW w:w="5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社区室外宣传大屏</w:t>
            </w:r>
          </w:p>
        </w:tc>
        <w:tc>
          <w:tcPr>
            <w:tcW w:w="24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云清越、力亚德、强力巨彩</w:t>
            </w:r>
          </w:p>
        </w:tc>
        <w:tc>
          <w:tcPr>
            <w:tcW w:w="44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室外全彩P6：像素点采用1红1蓝1吕三合一；基色为SMD全彩；模组尺寸：320×160mm，模组分辨率64点×32点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全彩控制板卡</w:t>
            </w:r>
          </w:p>
        </w:tc>
        <w:tc>
          <w:tcPr>
            <w:tcW w:w="24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云清越、力亚德、强力巨彩</w:t>
            </w:r>
          </w:p>
        </w:tc>
        <w:tc>
          <w:tcPr>
            <w:tcW w:w="447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全彩控制板卡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视频传输设备</w:t>
            </w:r>
          </w:p>
        </w:tc>
        <w:tc>
          <w:tcPr>
            <w:tcW w:w="24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云清越、力亚德、强力巨彩</w:t>
            </w:r>
          </w:p>
        </w:tc>
        <w:tc>
          <w:tcPr>
            <w:tcW w:w="44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视频处理器：尺寸小巧，功能强大，应用灵活方便，自带播放系统，超强高清解码播放，效果出众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软件</w:t>
            </w:r>
          </w:p>
        </w:tc>
        <w:tc>
          <w:tcPr>
            <w:tcW w:w="24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云清越、力亚德、强力巨彩</w:t>
            </w:r>
          </w:p>
        </w:tc>
        <w:tc>
          <w:tcPr>
            <w:tcW w:w="44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控制软件：厂家配套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钢结构、装饰及基础</w:t>
            </w:r>
          </w:p>
        </w:tc>
        <w:tc>
          <w:tcPr>
            <w:tcW w:w="24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44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钢结构、装饰及基础：定制，含控制箱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音柱</w:t>
            </w:r>
          </w:p>
        </w:tc>
        <w:tc>
          <w:tcPr>
            <w:tcW w:w="24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44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壁挂式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93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输入设备</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联想、方正、清方同方</w:t>
            </w:r>
          </w:p>
        </w:tc>
        <w:tc>
          <w:tcPr>
            <w:tcW w:w="44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CPU 六核2.8G/DDR4 8G/硬盘7200转 1T/22"及以上全高清液晶显示器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21.5寸壁挂显控一体机（楼道宣传屏）</w:t>
            </w:r>
          </w:p>
        </w:tc>
        <w:tc>
          <w:tcPr>
            <w:tcW w:w="24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44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21.5寸室内金属壁挂，支持横屏/竖屏安装，附件带壁装支架（无需单独采购）；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钢化玻璃防护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主流4核CPU，2G内存，16G存储空间；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新一代智能云显示终端，支持多媒体信息的发布、共享和交互，支持商业营销和广告投放。</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工业级设计：液晶面板专为长时间使用而特别设计；金属外壳，高强度，高散热，避免公共场所电磁干扰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性能强劲：主流4核CPU，安卓系统，支持4K解码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素材丰富：支持图片、视频、音频、PDF，时间、倒计时、天气、网页、流媒体、监控、文本字符、滚动字幕、信息通知；支持素材动效，适应不同发布场景；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多样展示：画面任意分割进行素材展示，支持循环、定时、插播、垫片等多种播放模式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远程管理：统一平台管理，采用B/S架构，节目分时分地管理，定时开关机，并能提供终端运行数据报表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更新便捷：支持远程平台下发，支持本地U盘插入直接播放</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信息安全：平台数据加密传输，节目发布多级权限审核限制，终端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18"/>
                <w:szCs w:val="18"/>
                <w:highlight w:val="none"/>
                <w:u w:val="none"/>
              </w:rPr>
            </w:pPr>
            <w:r>
              <w:rPr>
                <w:rFonts w:hint="default" w:ascii="Times New Roman" w:hAnsi="Times New Roman" w:eastAsia="宋体" w:cs="Times New Roman"/>
                <w:i w:val="0"/>
                <w:iCs w:val="0"/>
                <w:color w:val="000000"/>
                <w:kern w:val="0"/>
                <w:sz w:val="18"/>
                <w:szCs w:val="18"/>
                <w:highlight w:val="none"/>
                <w:u w:val="none"/>
                <w:lang w:val="en-US" w:eastAsia="zh-CN" w:bidi="ar"/>
              </w:rPr>
              <w:t>管理服务器</w:t>
            </w:r>
          </w:p>
        </w:tc>
        <w:tc>
          <w:tcPr>
            <w:tcW w:w="243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宇视、海康威视、联想</w:t>
            </w:r>
          </w:p>
        </w:tc>
        <w:tc>
          <w:tcPr>
            <w:tcW w:w="447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cs="Times New Roman"/>
                <w:highlight w:val="none"/>
                <w:lang w:val="en-US" w:eastAsia="zh-CN"/>
              </w:rPr>
            </w:pPr>
            <w:r>
              <w:rPr>
                <w:rFonts w:hint="default" w:ascii="Times New Roman" w:hAnsi="Times New Roman" w:eastAsia="宋体" w:cs="Times New Roman"/>
                <w:i w:val="0"/>
                <w:iCs w:val="0"/>
                <w:color w:val="000000"/>
                <w:kern w:val="0"/>
                <w:sz w:val="20"/>
                <w:szCs w:val="20"/>
                <w:highlight w:val="none"/>
                <w:u w:val="none"/>
                <w:lang w:val="en-US" w:eastAsia="zh-CN" w:bidi="ar"/>
              </w:rPr>
              <w:t>智能云信息发布系统采用先进的网络传输技术、终端显示技术、中心平台控制技术，构建出了稳定、高效、易用的多媒体系统，系统软件可以实现对多媒体素材的集中存储管理，显示终端、下发内容的集中、分区管理，运维数据的多维展现。管理员通过管理员账号登录到服务端进行节目内容的采集、编排、发布和管理，制作完成的节目通过网络传输到前端各显示终端进行本地存储及信息实时播放。</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cs="Times New Roman"/>
                <w:highlight w:val="none"/>
                <w:lang w:val="en-US" w:eastAsia="zh-CN"/>
              </w:rPr>
            </w:pPr>
            <w:r>
              <w:rPr>
                <w:rFonts w:hint="default" w:ascii="Times New Roman" w:hAnsi="Times New Roman" w:eastAsia="宋体" w:cs="Times New Roman"/>
                <w:i w:val="0"/>
                <w:iCs w:val="0"/>
                <w:color w:val="000000"/>
                <w:kern w:val="0"/>
                <w:sz w:val="20"/>
                <w:szCs w:val="20"/>
                <w:highlight w:val="none"/>
                <w:u w:val="none"/>
                <w:lang w:val="en-US" w:eastAsia="zh-CN" w:bidi="ar"/>
              </w:rPr>
              <w:t>其先进性有三：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cs="Times New Roman"/>
                <w:highlight w:val="none"/>
                <w:lang w:val="en-US" w:eastAsia="zh-CN"/>
              </w:rPr>
            </w:pPr>
            <w:r>
              <w:rPr>
                <w:rFonts w:hint="default" w:ascii="Times New Roman" w:hAnsi="Times New Roman" w:eastAsia="宋体" w:cs="Times New Roman"/>
                <w:i w:val="0"/>
                <w:iCs w:val="0"/>
                <w:color w:val="000000"/>
                <w:kern w:val="0"/>
                <w:sz w:val="20"/>
                <w:szCs w:val="20"/>
                <w:highlight w:val="none"/>
                <w:u w:val="none"/>
                <w:lang w:val="en-US" w:eastAsia="zh-CN" w:bidi="ar"/>
              </w:rPr>
              <w:t>一是支持多素材混播，不仅是图片，还有视频、PDF文档（不支持微软Office和PPT等程序）、直播流、时间、天气。</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cs="Times New Roman"/>
                <w:highlight w:val="none"/>
                <w:lang w:val="en-US" w:eastAsia="zh-CN"/>
              </w:rPr>
            </w:pPr>
            <w:r>
              <w:rPr>
                <w:rFonts w:hint="default" w:ascii="Times New Roman" w:hAnsi="Times New Roman" w:eastAsia="宋体" w:cs="Times New Roman"/>
                <w:i w:val="0"/>
                <w:iCs w:val="0"/>
                <w:color w:val="000000"/>
                <w:kern w:val="0"/>
                <w:sz w:val="20"/>
                <w:szCs w:val="20"/>
                <w:highlight w:val="none"/>
                <w:u w:val="none"/>
                <w:lang w:val="en-US" w:eastAsia="zh-CN" w:bidi="ar"/>
              </w:rPr>
              <w:t>二是我们做了多种的模板以满足不同行业客群需求，如餐饮菜单、酒店客房定价、超市打折促销等等，可以直接选择模板，导入素材，做节目方便快速。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三是集成多种传输控制技术。错峰下载可以实现下班后进行下载，不占用业务网络带宽；带宽限制可以在下发内容的时候不超过规定带宽，减少对业务网络的影响。断点续传可以提升下载效率，节省带宽资源</w:t>
            </w:r>
          </w:p>
        </w:tc>
      </w:tr>
    </w:tbl>
    <w:p>
      <w:pPr>
        <w:bidi w:val="0"/>
        <w:ind w:left="0" w:leftChars="0" w:firstLine="0" w:firstLineChars="0"/>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3.7.8教育场景-幸福学龄全覆盖</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4"/>
        <w:gridCol w:w="911"/>
        <w:gridCol w:w="1945"/>
        <w:gridCol w:w="47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高清摄像机</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47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会议一体机</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ITC、华为、海康威视</w:t>
            </w:r>
          </w:p>
        </w:tc>
        <w:tc>
          <w:tcPr>
            <w:tcW w:w="47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1、显示尺寸≥86寸，屏幕采用莫氏7 级AG防眩光顺滑处理防爆钢化玻璃，DLED背光源，3840 × 2160 @60 Hz超高清4K分辨率，可视角度≥178°，≥520 cd/m² 亮度，使画面更清晰；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2、屏幕需具有蓝光护眼功能，对皮肤/眼睛无危害，显示静态对比度：≥5000:1，系统响应时间≤4 ms ，刷新率≥60Hz；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3、采用红外触控技术，零贴合触摸工艺，触控响应时间达到＜5ms， 书写延时达到&lt;30ms；支持20点触控，20笔同时书写，支持电磁识别触摸的同时具备防掌触功能；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4、内置6阵列麦和800W分辨率高清摄像头，摄像头分辨率为：3840X2610@30fps，支持MJPEG/H.264编码、定焦和自动白平衡功能；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5、性能配置：CPU:A73 x 2+A53 x 2 1.5GHz；GPU: Mali G51 4核，3GB内存，64 GB存储，可定制扩充内存和存储，支持Android9.0和win10及以上双操作系统；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6、内置天线设计，保证整机一体性；同时，采用一体化双缝天线技术，WIFI 5G独立辐射体，保证系统网络的一致性和稳定性；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7、整机支持与热成像、雷达等探测器或第三方物联网网关等设备的联动对接，实现会议内无人状态下的自动开关机；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8、整机具备抗振动、防跌落特性，显示屏供电系统及线路具有防雷功能，符合GB/T17626.5-2019中防雷4级要求，设备通过IPX3防水检验标准测试，整机环境适应性强，整体功能能稳定使用；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9、系统UI采用全屏应用框架，无侧边栏中控菜单遮挡主界面展示，底部常驻系统操作栏，支持底部向下滑动1-2秒自动收起和底部向上滑动1-2秒自动展开；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10、支持平板管家，一键优化系统内存、设备垃圾清理，设备状态检测，可协助采购人对设备运行故障、异常进行检测、修复；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11、系统内置可拖动的快速批注球，支持在任意通道下可一键快速进入批注； 支持线性调节笔粗，支持常用笔迹色彩任意选择，支持笔锋优化，批注时，支持手笔分离、同时书写，批注内容可本地U盘保存，支持公网和局域网两种模式的扫码分享；</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12、提供多主题欢迎词模板, 可灵活编辑背景文字、图片、音乐等多媒体素材，快速生成欢迎词界面，编辑完成后可保存为自定义模板；支持在欢迎词界面进行签名、书写，并直接生成二维码分享到手机、平板电脑等移动端</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移动式支架</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47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一体底座增强版，高度1750mm，承重200KG，无上托盘，高度可调，适合孔位600×800mm，通用屏体尺寸55-100寸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话筒</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小蜜蜂麦克风</w:t>
            </w:r>
          </w:p>
        </w:tc>
        <w:tc>
          <w:tcPr>
            <w:tcW w:w="47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小蜜蜂麦克风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47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操作系统：嵌入式Linux操作系统；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屏幕参数： 7英寸触摸显示屏，屏幕比例9:16，屏幕分辨率600×1024；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摄像头参数：采用宽动态200万双目摄像头；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测温功能：集成热成像测温模组，测温距离在0.5m-1.5m之间，测温范围30℃-45℃，精度±0.5℃（无黑体）；支持身份认证（刷脸、刷卡等）+测温模式、仅测温模式；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认证方式：支持人脸、刷卡（Mifare卡/IC卡、手机NFC卡、CPU卡序列号/内容、身份证卡序列号）、密码认证方式；可外接身份证、指纹、蓝牙、二维码等功能模块；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人脸识别：采用深度学习算法，支持单人或多人识别（最多5人同时认证）功能；支持照片、视频防假；1:N人脸识别速度≤0.2s，人脸验证准确率≥99%；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存储容量：本地支持10000人脸库、50000张卡，15万条事件记录；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硬件接口：LAN×1、RS485×1、Wiegand × 1(支持双向)、typeC类型USB接口×1、电锁×1、门磁×1、报警输入×2、报警输出×1、开门按钮×1、SD卡槽×1（最大支持512GB）、3.5mm音频输出接口×1；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通信方式及网络协议：有线网络，萤石协议/ISAPI/ISUP5.0；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使用环境：室内，无风环境；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安装方式：壁挂安装（标配挂板，适配86底盒）；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工作电压： DC12V~24V/2A（电源需另配）；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产品尺寸：247.7×110.5×24mm；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设备重量：净重0.56kg，毛重0.88kg。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1.LAN×1，支持 10M/100M/1000M 网络自适应配置；2.RS-485 串口×1 个；3.输入、输出韦根接口×1 个（平台可配置）；4.USB 接口×2 个，包括 type C 接口、micro USB 接口和普通 USB 连接口（需扩展线）；5.内置扬声器×1 个；6.门锁 I/O 输出×1 个；7.门磁 I/O 输入×1 个；8.开门按钮 I/O 输入×1 个；9.报警 I/O 输出×1 个；10.报警事件 I/O 输入×2 个；11.micro SIM 卡槽×1 个；12.机械防拆开关×1 个；13.支持 3.5mm 音频输出接口×1 个；14.支持 micro SD 卡槽扩展；15.支持 MIC 音频输入采集。                          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    产品供应商应具有符合ISO/IEC 27701：2019要求的隐私信息管理体系认证。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可视对讲：支持和云眸、4200客户端、室内机、管理机进行可视对讲；支持配置一键呼叫室内机或管理机；支持副门口机或围墙机模式；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视频预览：支持管理中心远程视频预览，支持接入NVR设备，实现视频监控录像，编码格式H.264；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口罩检测：支持口罩检测模式，可配置提醒戴口罩模式、强制戴口罩模式，关联门禁控制；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识别界面可配：识别主界面的“呼叫”、“二维码”、“密码”的按键图标可分别配置是否显示；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认证结果显示可配：支持认证成功界面的“照片”、“姓名”、“工号”信息可配置是否显示；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工作模式：支持广告模式、简洁模式、主题模式；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外接安全模块：支持通过RS485接入门控安全模块，防止主机被恶意破坏的情况下，门锁不被打开；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外接读卡器：支持通过RS485或韦根（W26/W34）接口外接1个读卡器，同时可实现单门反潜回功能；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读卡器模式：支持通过RS485或韦根（W26/W34）接入门禁控制器，作为读卡器模式使用；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门禁计划模板：支持255组计划模板管理，128个周计划，1024个假日计划；支持常开、常闭时段管理；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组合认证：刷卡+密码、刷卡+人脸、人脸+密码等组合认证方式；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多重认证：支持多个人员认证（人脸、刷卡等）通过后才开门；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黑名单核验：支持中心下发黑名单人员信息，实现本地黑名单核验；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报警功能：设备支持防拆报警、门被外力开起报警、胁迫卡和胁迫密码报警、黑名单报警等；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事件上传：在线状态下将设备认证结果信息及联动抓拍照片实时上传给平台，支持断网续传功能，设备离线状态下产生事件在与平台连接后会重新上传；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单机使用：设备可进行本地管理，支持本地注册人脸、查询、设置、管理设备参数等；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WEB管理：支持Web端管理，可进行人员管理、参数配置、事件查询、系统维护等操作。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0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9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47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电子锁，含支架、电源、出门开关</w:t>
            </w:r>
          </w:p>
        </w:tc>
      </w:tr>
    </w:tbl>
    <w:p>
      <w:pPr>
        <w:bidi w:val="0"/>
        <w:ind w:left="0" w:leftChars="0" w:firstLine="0" w:firstLineChars="0"/>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3.7.9教育场景-知识在身边</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5"/>
        <w:gridCol w:w="1655"/>
        <w:gridCol w:w="1016"/>
        <w:gridCol w:w="52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165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1016"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525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1</w:t>
            </w:r>
          </w:p>
        </w:tc>
        <w:tc>
          <w:tcPr>
            <w:tcW w:w="16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海康威视</w:t>
            </w:r>
          </w:p>
        </w:tc>
        <w:tc>
          <w:tcPr>
            <w:tcW w:w="52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2</w:t>
            </w:r>
          </w:p>
        </w:tc>
        <w:tc>
          <w:tcPr>
            <w:tcW w:w="16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图书借还一体机</w:t>
            </w:r>
          </w:p>
        </w:tc>
        <w:tc>
          <w:tcPr>
            <w:tcW w:w="10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5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21.5寸触控立式工作频率：902-928MH</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标准协议：ISO18000-6C</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阅读范围半径：≥300mm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显 示 屏：19英寸触摸屏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工作温度： -10℃～+50℃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工作湿度：10%～85%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通讯接口：10M/100M自适应网口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   源：AC220V±10%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3</w:t>
            </w:r>
          </w:p>
        </w:tc>
        <w:tc>
          <w:tcPr>
            <w:tcW w:w="165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图书馆自动化管理系统</w:t>
            </w:r>
          </w:p>
        </w:tc>
        <w:tc>
          <w:tcPr>
            <w:tcW w:w="10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c>
          <w:tcPr>
            <w:tcW w:w="52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配套</w:t>
            </w:r>
          </w:p>
        </w:tc>
      </w:tr>
    </w:tbl>
    <w:p>
      <w:pPr>
        <w:bidi w:val="0"/>
        <w:ind w:left="0" w:leftChars="0" w:firstLine="0" w:firstLineChars="0"/>
        <w:rPr>
          <w:rFonts w:hint="default" w:ascii="Times New Roman" w:hAnsi="Times New Roman" w:cs="Times New Roman"/>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3.7.10教育场景-托育全覆盖</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8"/>
        <w:gridCol w:w="1616"/>
        <w:gridCol w:w="933"/>
        <w:gridCol w:w="54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8"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1616"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933"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5443"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44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4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操作系统：嵌入式Linux操作系统；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屏幕参数： 7英寸触摸显示屏，屏幕比例9:16，屏幕分辨率600×1024；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摄像头参数：采用宽动态200万双目摄像头；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测温功能：集成热成像测温模组，测温距离在0.5m-1.5m之间，测温范围30℃-45℃，精度±0.5℃（无黑体）；支持身份认证（刷脸、刷卡等）+测温模式、仅测温模式；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认证方式：支持人脸、刷卡（Mifare卡/IC卡、手机NFC卡、CPU卡序列号/内容、身份证卡序列号）、密码认证方式；可外接身份证、指纹、蓝牙、二维码等功能模块；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人脸识别：采用深度学习算法，支持单人或多人识别（最多5人同时认证）功能；支持照片、视频防假；1:N人脸识别速度≤0.2s，人脸验证准确率≥99%；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存储容量：本地支持10000人脸库、50000张卡，15万条事件记录；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硬件接口：LAN×1、RS485×1、Wiegand × 1(支持双向)、typeC类型USB接口×1、电锁×1、门磁×1、报警输入×2、报警输出×1、开门按钮×1、SD卡槽×1（最大支持512GB）、3.5mm音频输出接口×1；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通信方式及网络协议：有线网络，萤石协议/ISAPI/ISUP5.0；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使用环境：室内，无风环境；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安装方式：壁挂安装（标配挂板，适配86底盒）；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工作电压： DC12V~24V/2A（电源需另配）；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产品尺寸：247.7×110.5×24mm；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设备重量：净重0.56kg，毛重0.88kg。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1.LAN×1，支持 10M/100M/1000M 网络自适应配置；2.RS-485 串口×1 个；3.输入、输出韦根接口×1 个（平台可配置）；4.USB 接口×2 个，包括 type C 接口、micro USB 接口和普通 USB 连接口（需扩展线）；5.内置扬声器×1 个；6.门锁 I/O 输出×1 个；7.门磁 I/O 输入×1 个；8.开门按钮 I/O 输入×1 个；9.报警 I/O 输出×1 个；10.报警事件 I/O 输入×2 个；11.micro SIM 卡槽×1 个；12.机械防拆开关×1 个；13.支持 3.5mm 音频输出接口×1 个；14.支持 micro SD 卡槽扩展；15.支持 MIC 音频输入采集。                          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可视对讲：支持和云眸、4200客户端、室内机、管理机进行可视对讲；支持配置一键呼叫室内机或管理机；支持副门口机或围墙机模式；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视频预览：支持管理中心远程视频预览，支持接入NVR设备，实现视频监控录像，编码格式H.264；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口罩检测：支持口罩检测模式，可配置提醒戴口罩模式、强制戴口罩模式，关联门禁控制；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识别界面可配：识别主界面的“呼叫”、“二维码”、“密码”的按键图标可分别配置是否显示；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认证结果显示可配：支持认证成功界面的“照片”、“姓名”、“工号”信息可配置是否显示；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工作模式：支持广告模式、简洁模式、主题模式；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外接安全模块：支持通过RS485接入门控安全模块，防止主机被恶意破坏的情况下，门锁不被打开；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外接读卡器：支持通过RS485或韦根（W26/W34）接口外接1个读卡器，同时可实现单门反潜回功能；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读卡器模式：支持通过RS485或韦根（W26/W34）接入门禁控制器，作为读卡器模式使用；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门禁计划模板：支持255组计划模板管理，128个周计划，1024个假日计划；支持常开、常闭时段管理；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组合认证：刷卡+密码、刷卡+人脸、人脸+密码等组合认证方式；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多重认证：支持多个人员认证（人脸、刷卡等）通过后才开门；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黑名单核验：支持中心下发黑名单人员信息，实现本地黑名单核验；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报警功能：设备支持防拆报警、门被外力开起报警、胁迫卡和胁迫密码报警、黑名单报警等；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事件上传：在线状态下将设备认证结果信息及联动抓拍照片实时上传给平台，支持断网续传功能，设备离线状态下产生事件在与平台连接后会重新上传；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单机使用：设备可进行本地管理，支持本地注册人脸、查询、设置、管理设备参数等；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WEB管理：支持Web端管理，可进行人员管理、参数配置、事件查询、系统维护等操作。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6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4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电子锁，含支架、电源、出门开关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61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会议一体机</w:t>
            </w:r>
          </w:p>
        </w:tc>
        <w:tc>
          <w:tcPr>
            <w:tcW w:w="9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ITC、华为、海康威视</w:t>
            </w:r>
          </w:p>
        </w:tc>
        <w:tc>
          <w:tcPr>
            <w:tcW w:w="54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1、显示尺寸≥86寸，屏幕采用莫氏7 级AG防眩光顺滑处理防爆钢化玻璃，DLED背光源，3840 × 2160 @60 Hz超高清4K分辨率，可视角度≥178°，≥520 cd/m² 亮度，使画面更清晰；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2、屏幕需具有蓝光护眼功能，对皮肤/眼睛无危害，显示静态对比度：≥5000:1，系统响应时间≤4 ms ，刷新率≥60Hz；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3、采用红外触控技术，零贴合触摸工艺，触控响应时间达到＜5ms， 书写延时达到&lt;30ms；支持20点触控，20笔同时书写，支持电磁识别触摸的同时具备防掌触功能；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4、内置6阵列麦和800W分辨率高清摄像头，摄像头分辨率为：3840X2610@30fps，支持MJPEG/H.264编码、定焦和自动白平衡功能；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5、性能配置：CPU:A73 x 2+A53 x 2 1.5GHz；GPU: Mali G51 4核，3GB内存，64 GB存储，可定制扩充内存和存储，支持Android9.0和win10及以上双操作系统；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6、内置天线设计，保证整机一体性；同时，采用一体化双缝天线技术，WIFI 5G独立辐射体，保证系统网络的一致性和稳定性；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7、整机支持与热成像、雷达等探测器或第三方物联网网关等设备的联动对接，实现会议内无人状态下的自动开关机；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8、整机具备抗振动、防跌落特性，显示屏供电系统及线路具有防雷功能，符合GB/T17626.5-2019中防雷4级要求，设备通过IPX3防水检验标准测试，整机环境适应性强，整体功能能稳定使用；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9、系统UI采用全屏应用框架，无侧边栏中控菜单遮挡主界面展示，底部常驻系统操作栏，支持底部向下滑动1-2秒自动收起和底部向上滑动1-2秒自动展开；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10、支持平板管家，一键优化系统内存、设备垃圾清理，设备状态检测，可协助采购人对设备运行故障、异常进行检测、修复；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11、系统内置可拖动的快速批注球，支持在任意通道下可一键快速进入批注； 支持线性调节笔粗，支持常用笔迹色彩任意选择，支持笔锋优化，批注时，支持手笔分离、同时书写，批注内容可本地U盘保存，支持公网和局域网两种模式的扫码分享；</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12、提供多主题欢迎词模板, 可灵活编辑背景文字、图片、音乐等多媒体素材，快速生成欢迎词界面，编辑完成后可保存为自定义模板；支持在欢迎词界面进行签名、书写，并直接生成二维码分享到手机、平板电脑等移动端</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6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移动式支架</w:t>
            </w:r>
          </w:p>
        </w:tc>
        <w:tc>
          <w:tcPr>
            <w:tcW w:w="93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54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一体底座增强版，高度1750mm，承重200KG，无上托盘，高度可调，适合孔位600×800mm，通用屏体尺寸55-100寸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616" w:type="dxa"/>
            <w:tcBorders>
              <w:top w:val="nil"/>
              <w:left w:val="nil"/>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智慧幼教签到机</w:t>
            </w:r>
          </w:p>
        </w:tc>
        <w:tc>
          <w:tcPr>
            <w:tcW w:w="933" w:type="dxa"/>
            <w:tcBorders>
              <w:top w:val="nil"/>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5443" w:type="dxa"/>
            <w:tcBorders>
              <w:top w:val="nil"/>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21.5寸，立式打卡签到机</w:t>
            </w:r>
          </w:p>
        </w:tc>
      </w:tr>
    </w:tbl>
    <w:p>
      <w:pPr>
        <w:bidi w:val="0"/>
        <w:ind w:left="0" w:leftChars="0" w:firstLine="0" w:firstLineChars="0"/>
        <w:rPr>
          <w:rFonts w:hint="default" w:ascii="Times New Roman" w:hAnsi="Times New Roman" w:cs="Times New Roman"/>
          <w:highlight w:val="none"/>
        </w:rPr>
      </w:pPr>
    </w:p>
    <w:p>
      <w:pPr>
        <w:bidi w:val="0"/>
        <w:ind w:left="0" w:leftChars="0" w:firstLine="0" w:firstLineChars="0"/>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3.7.10健康场景-社会养老助残</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9"/>
        <w:gridCol w:w="2034"/>
        <w:gridCol w:w="2034"/>
        <w:gridCol w:w="3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9"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203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203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3203"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0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老人健康手环（带定位）</w:t>
            </w:r>
          </w:p>
        </w:tc>
        <w:tc>
          <w:tcPr>
            <w:tcW w:w="20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移动定制</w:t>
            </w:r>
          </w:p>
        </w:tc>
        <w:tc>
          <w:tcPr>
            <w:tcW w:w="32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吃药提醒、实时定位、电子围栏、双向通话、计步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0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电视机</w:t>
            </w:r>
          </w:p>
        </w:tc>
        <w:tc>
          <w:tcPr>
            <w:tcW w:w="203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32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65寸电视机</w:t>
            </w:r>
          </w:p>
        </w:tc>
      </w:tr>
    </w:tbl>
    <w:p>
      <w:pPr>
        <w:ind w:left="0" w:leftChars="0" w:firstLine="0" w:firstLineChars="0"/>
        <w:rPr>
          <w:rFonts w:hint="default" w:ascii="Times New Roman" w:hAnsi="Times New Roman" w:cs="Times New Roman"/>
          <w:highlight w:val="none"/>
        </w:rPr>
      </w:pPr>
    </w:p>
    <w:p>
      <w:pPr>
        <w:bidi w:val="0"/>
        <w:ind w:left="0" w:leftChars="0" w:firstLine="0" w:firstLineChars="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3.7.11健康场景-智慧健康管理</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2"/>
        <w:gridCol w:w="914"/>
        <w:gridCol w:w="862"/>
        <w:gridCol w:w="62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91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86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621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健康一体机</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国产定制</w:t>
            </w:r>
          </w:p>
        </w:tc>
        <w:tc>
          <w:tcPr>
            <w:tcW w:w="62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一、整机要求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主要检测功能：身高、体重、BMI、血压、脉率、血氧、血糖、尿酸、总胆固醇、体温、心电、人体脂肪（脂肪含量、水分含量、基础代谢率、体脂肪量、体水分量、体型判断等）、腰围、臀围、腰臀比、中医体质辨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整体要求：整机一体式设计，无任何分离检测部件与信息采集部件；所有外围检测设备内置式设计，以防外界环境污染；读卡器、摄像头、触摸屏等全部为内部嵌入式设计，目视看不到任何外露部件和摄像头孔，防止进尘进水等情况出现影响品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3、使用简单自助，具有良好的人机交互能力，语音提示引导检测者完成检测。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4、须安装储物抽屉，可放置设备所需的零配件。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5、整机只需一电源插口接入外部电源，电源插口须有电源指示灯和过载保护，电源插座须可单独开、关控制整机通电。</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6、操作显示屏尺寸≥15寸电容触摸屏，显示规格为16:9宽屏显示，方便操作使用，触摸屏必须采用加硬钢化玻璃材质，采用金属边框整体嵌入，安全耐用。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7、操作屏内置摄像头，进行拍照保存至体检报告单。照片可通过报告单打印。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8、检测报告单采用A4纸规格打印，报告单中针对检测异常项目单独提示统计，清晰易懂。支持综合报告和简易报告排版打印模式。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二、健康体检系统要求：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1、支持刷二代身份证、或者输入身份证号或者输入手机号自助建档检测，体检数据上传至健康数据管理平台个人健康档案中。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2、系统可支持拓展人脸识别，替代刷卡登录检测。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3、健康系统软件可进行中医体质辨识，对人体体质进行中医复合体质辨识分析，并给出相应建议。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4、动画、语音播报提示使用者检测，健康体检系统可自由控制语音播报音量，无需通过外部旋钮开关控制，以免人为误调节操作。</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5、管理者可对测量项目进行顺序调整、关闭，可编辑健康促进建议等。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6、管理者可设置报告单中是否打印检测者照片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7、管理人员可通过遥控操作系统方式协助测量者完成全部测量操作</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8、可拓展智能语音交换，通过语音交换控制检测。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9、系统须支持血糖、尿酸、血脂四项检测结果自动和输入上传，支持腰臀围比的测量及输入上传。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10、系统根据预设测量顺序自动逐项检测，无需手动选择，减少人机交互环节。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11、每检测完一个项目，结果同步显现，结果异常项目用箭头方式提醒，并提供参考范围值供检测者参考，以及上一次测量结果及时间提供比对，清晰知晓变化状况。</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12、可查看以往每次体检报告，并可打印A4纸张报告单；报告单对检测项目进行分项分析，并对异常项目汇总，对异常项目提供健康促进方案参考，并生成A4规格报告单。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13、一体机系统须开放数据接口，支持和第三方数据平台对接，将检测数据上传到指定的数据服务端。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14、系统管理：支持用户设置、登录设置、数据备份、数据统计、用户列表统计、用户管理、档案管理、权限管理。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15、可编辑用户基本信息，既往史、家族史、生活环境等用户档案信息。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三、各分项检测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（一）身高体重测量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1、身高测量方式：超声波测量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2、操作方式：自动测量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3、体重测量方式:精密平衡梁式压力传感器称重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4、称重范围：1kg—200kg ，精度±0.1kg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5、测量范围身高：70cm—210cm ，精度值：±1cm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6、测量语音提示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7、国际通用体质指数（BMI)</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8、电击防护:I类B型设备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9、电源电压:AC220V/50HZ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10、为确保使用的稳定性。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11、为避免使用侵权风险。</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（二）血压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1、测量方式：示波法检测方式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2、测量范围：静态压力测量范围：0-280mmHg(0.0-37.3kPa)；脉率测量范围：30-160次/分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3、血压测量范围：收缩压60-230mmHg(8.0-30.7kPa)；舒张压40-130mmHg(5.3-17.3KPa)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4、准确度：静态压力示值最大允许误差±3mmHg(±0.4kPa)；脉率误差：±5%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5、正常工作环境：温度：5℃-40℃；相对湿度：15%-80%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6、贮存运输环境：温度：-20℃-55℃；相对湿度：不超过93%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7、运行大气压力：860hPa-1060hPa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8、可测量上臂周长：20-34CM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9、数据传输方式：红外传输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10、臂筒可上下旋转角度，方便不同身高人群的测量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11、运行模式：连续运行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12、安全分类：II类内部电源B型应用部分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13、加压方式：隔膜式泵的加压调整方式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14、快速排气方式：急速排气阀开放方式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15、压力检测：半导体压力传感器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16、脉搏检测：半导体压力传感器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17、为避免使用侵权风险。</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（三）心电仪</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1、12导联同步显示和采集，支持12导联合6导联自由切换</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2、频响：0.05Hz～150Hz (-3.0dB～+0.4dB)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3、灵敏度：5mm/mV，10mm/mV，20mm/mV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4、走纸速度：12.5mm/s、25mm/s、50mm/s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5、输入方式：浮地输入，具有抗除颤保护电路和起博脉冲抑制电路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6、时间常数：≥3.2s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7、输入回路电流：＜0.05µA</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8、患者辅助电流：≤0.1µA（DC）</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9、噪声电平：≤15µVp-p</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10、共模抑制比：＞90dB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11、采样频率：500Hz/通道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12、滤波器：肌电滤波、基线滤波、工频滤波</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13、供电：DC 5V从USB口供电模式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14、安全标准：II类/CF</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15、心电采集支持多种格式：12x1、6x2+1R、3x4+3R、3x4+1R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16、测量采集自动完毕并自动给出结论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17、为避免使用侵权风险。</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（四）人体脂肪测量仪</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1、测量指标：脂肪率、基础代谢率、水分率、体脂肪量、体水分量、体质指数、体型判断等指标。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2、可判断消瘦、标准、健壮、肥胖等体型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3、电源：USB供电</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4、使用温度：5℃-+40℃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5、测量方法：生物电阻抗法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6、使用温湿度：10℃—40℃、30.0%RH-50.0%RH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7、运输和保存温湿度：－10℃—60℃,相对湿度不大于93%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8、为避免使用侵权风险。</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（五）血氧仪</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1、测量范围：血氧饱和度35％-100％；脉搏率 35次/分-240次/分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2、测量精度：血氧饱和度：70%-99%段为±2%， 低于70%无意义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3、使用温湿度：5℃~40℃ 、30%～80%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（六）血糖尿酸总胆固醇多功能分析系统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1、原理  电化学生物感测原理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2、标定  以生化分析仪对血浆标定</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3、血样 新鲜指尖全血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4、可测量血糖、尿酸、总胆固醇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5、测试时间  血糖不超过6秒；尿酸不超过116秒 ；总胆固醇不超过30秒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6、血球容积  30%-55%（血糖、尿酸） 35%-50%(总胆固醇)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7、试纸储存温度  10-30℃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8、操作温度  10-40℃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9、相对湿度  ﹤95%</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10、系统正确性：±20%（当血糖浓度≥4.17mmol/L、尿酸浓度≥0.30mmol/L、总胆固醇浓度≥3.88mmol/L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11、电池使用寿命900次以上</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12、3分钟内无任何操作自动关闭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13、数据可通过USB输出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14、为避免使用侵权风险。</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（七）体温仪</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1、测量方式为非接触式红外测温</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2、测量范围：体温: 30.0℃~43.0℃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3、测量重复性≤±0.2℃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4、测量距离5cm－8cm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5、测试部位:额头、手窝、耳后根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6、测量数据支持上传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7、为避免使用侵权风险。</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四、操作平台：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(1)主控主机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1、CPU ：2.0GHz二核及以上</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2、内存2G以上 高速缓存；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3、硬盘：固态硬盘60G以上容量；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4、显卡： 支持同步、异步双显；</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5、I/O接口：8个232串口以上，8个usb口以上</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(2)操作显示屏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1、显示规格15.6英寸</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2、显示比例16:9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3、电容触摸,加硬钢化玻璃材质，安全耐用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4、分辨率：1920 (H) ×1080 (V)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(3)身份证读卡器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1、符合居民身份证阅读器通用技术要求，兼容ISO14443（TypeB）标准；采用非接触式IC卡技术，与计算机或其它设备连接可用于读取居民身份证专用芯片内相关信息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2、天线能量输出；1）天线表面磁场强度（Hmax）≤7.5A/m rms；2）天线表面法线方向5cm处电磁场强度（Hmin）≥1.5A/m rms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3、接口：RS-232C或USB接口；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4、阅读距离：0-8cm；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5、阅读时间：&lt;0.5s；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6、嵌入终端式设计，整体美观</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(4)信息工作站操作台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1、一体式设计，所有外围检测设备、读卡器、触摸屏等全部为嵌入式设计。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2、安装移动轮，可方便移动，设备到达现场后只需接入电源和网络即可检测使用。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3、安装储物抽屉，可放置设备所需的零配件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4、测量者座椅和终端操作台设计为一体，无需单独配座椅</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(5)打印机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1、连接方式：USB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2、耗材类型：一体式硒鼓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3、幅面：A4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4、技术类型：激光打印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雾化器</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2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医用级产品检测精准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用于治疗各种上下呼吸系统疾病，如感冒、发热、咳嗽、哮喘、咽炎、支气管炎、尘肺等气管。雾化吸入治疗是呼吸系统中最有效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电视机</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62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65寸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2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 mm，水平视场角：97°，垂直视场角：52.3°，对角线视场角：114.3°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 mm，水平视场角：78.8°，垂直视场角：40.5°，对角线视场角：93.9°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 mm，水平视场角：49.1°，垂直视场角：26.3°，对角线视场角：57.2°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 mm，水平视场角：37.5°，垂直视场角：20.7°，对角线视场角：43.3°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2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操作系统：嵌入式Linux操作系统；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屏幕参数： 7英寸触摸显示屏，屏幕比例9:16，屏幕分辨率600×1024；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摄像头参数：采用宽动态200万双目摄像头；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测温功能：集成热成像测温模组，测温距离在0.5m-1.5m之间，测温范围30℃-45℃，精度±0.5℃（无黑体）；支持身份认证（刷脸、刷卡等）+测温模式、仅测温模式；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认证方式：支持人脸、刷卡（Mifare卡/IC卡、手机NFC卡、CPU卡序列号/内容、身份证卡序列号）、密码认证方式；可外接身份证、指纹、蓝牙、二维码等功能模块；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人脸识别：采用深度学习算法，支持单人或多人识别（最多5人同时认证）功能；支持照片、视频防假；1:N人脸识别速度≤0.2s，人脸验证准确率≥99%；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存储容量：本地支持10000人脸库、50000张卡，15万条事件记录；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硬件接口：LAN×1、RS485×1、Wiegand × 1(支持双向)、typeC类型USB接口×1、电锁×1、门磁×1、报警输入×2、报警输出×1、开门按钮×1、SD卡槽×1（最大支持512GB）、3.5mm音频输出接口×1；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通信方式及网络协议：有线网络，萤石协议/ISAPI/ISUP5.0；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使用环境：室内，无风环境；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安装方式：壁挂安装（标配挂板，适配86底盒）；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工作电压： DC12V~24V/2A（电源需另配）；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产品尺寸：247.7×110.5×24mm；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设备重量：净重0.56kg，毛重0.88kg。</w:t>
            </w:r>
          </w:p>
          <w:p>
            <w:pPr>
              <w:keepNext w:val="0"/>
              <w:keepLines w:val="0"/>
              <w:pageBreakBefore w:val="0"/>
              <w:widowControl/>
              <w:numPr>
                <w:ilvl w:val="0"/>
                <w:numId w:val="76"/>
              </w:numPr>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LAN×1，支持 10M/100M/1000M 网络自适应配置；2.RS-485 串口×1 个；3.输入、输出韦根接口×1 个（平台可配置）；4.USB 接口×2 个，包括 type C 接口、micro USB 接口和普通 USB 连接口（需扩展线）；5.内置扬声器×1 个；6.门锁 I/O 输出×1 个；7.门磁 I/O 输入×1 个；8.开门按钮 I/O 输入×1 个；9.报警 I/O 输出×1 个；10.报警事件 I/O 输入×2 个；11.micro SIM 卡槽×1 个；12.机械防拆开关×1 个；13.支持 3.5mm 音频输出接口×1 个；14.支持 micro SD 卡槽扩展；15.支持 MIC 音频输入采集。                          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可视对讲：支持和云眸、4200客户端、室内机、管理机进行可视对讲；支持配置一键呼叫室内机或管理机；支持副门口机或围墙机模式；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视频预览：支持管理中心远程视频预览，支持接入NVR设备，实现视频监控录像，编码格式H.264；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口罩检测：支持口罩检测模式，可配置提醒戴口罩模式、强制戴口罩模式，关联门禁控制；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识别界面可配：识别主界面的“呼叫”、“二维码”、“密码”的按键图标可分别配置是否显示；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认证结果显示可配：支持认证成功界面的“照片”、“姓名”、“工号”信息可配置是否显示；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工作模式：支持广告模式、简洁模式、主题模式；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外接安全模块：支持通过RS485接入门控安全模块，防止主机被恶意破坏的情况下，门锁不被打开；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外接读卡器：支持通过RS485或韦根（W26/W34）接口外接1个读卡器，同时可实现单门反潜回功能；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读卡器模式：支持通过RS485或韦根（W26/W34）接入门禁控制器，作为读卡器模式使用；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门禁计划模板：支持255组计划模板管理，128个周计划，1024个假日计划；支持常开、常闭时段管理；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组合认证：刷卡+密码、刷卡+人脸、人脸+密码等组合认证方式；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多重认证：支持多个人员认证（人脸、刷卡等）通过后才开门；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黑名单核验：支持中心下发黑名单人员信息，实现本地黑名单核验；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报警功能：设备支持防拆报警、门被外力开起报警、胁迫卡和胁迫密码报警、黑名单报警等；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事件上传：在线状态下将设备认证结果信息及联动抓拍照片实时上传给平台，支持断网续传功能，设备离线状态下产生事件在与平台连接后会重新上传；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单机使用：设备可进行本地管理，支持本地注册人脸、查询、设置、管理设备参数等；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WEB管理：支持Web端管理，可进行人员管理、参数配置、事件查询、系统维护等操作。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86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2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电子锁，含支架、电源、出门开关</w:t>
            </w:r>
          </w:p>
        </w:tc>
      </w:tr>
    </w:tbl>
    <w:p>
      <w:pPr>
        <w:ind w:left="0" w:leftChars="0" w:firstLine="0" w:firstLineChars="0"/>
        <w:rPr>
          <w:rFonts w:hint="default" w:ascii="Times New Roman" w:hAnsi="Times New Roman" w:cs="Times New Roman"/>
          <w:highlight w:val="none"/>
        </w:rPr>
      </w:pPr>
    </w:p>
    <w:p>
      <w:pPr>
        <w:bidi w:val="0"/>
        <w:ind w:left="0" w:leftChars="0" w:firstLine="0" w:firstLineChars="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3.7.12健康场景-活力运动健身</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8"/>
        <w:gridCol w:w="1275"/>
        <w:gridCol w:w="1334"/>
        <w:gridCol w:w="53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8"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序号</w:t>
            </w:r>
          </w:p>
        </w:tc>
        <w:tc>
          <w:tcPr>
            <w:tcW w:w="127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名称</w:t>
            </w:r>
          </w:p>
        </w:tc>
        <w:tc>
          <w:tcPr>
            <w:tcW w:w="133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品牌</w:t>
            </w:r>
          </w:p>
        </w:tc>
        <w:tc>
          <w:tcPr>
            <w:tcW w:w="5397"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 mm，水平视场角：97°，垂直视场角：52.3°，对角线视场角：114.3°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 mm，水平视场角：78.8°，垂直视场角：40.5°，对角线视场角：93.9°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 mm，水平视场角：49.1°，垂直视场角：26.3°，对角线视场角：57.2°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 mm，水平视场角：37.5°，垂直视场角：20.7°，对角线视场角：43.3°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操作系统：嵌入式Linux操作系统；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屏幕参数： 7英寸触摸显示屏，屏幕比例9:16，屏幕分辨率600×1024；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摄像头参数：采用宽动态200万双目摄像头；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测温功能：集成热成像测温模组，测温距离在0.5m-1.5m之间，测温范围30℃-45℃，精度±0.5℃（无黑体）；支持身份认证（刷脸、刷卡等）+测温模式、仅测温模式；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认证方式：支持人脸、刷卡（Mifare卡/IC卡、手机NFC卡、CPU卡序列号/内容、身份证卡序列号）、密码认证方式；可外接身份证、指纹、蓝牙、二维码等功能模块；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人脸识别：采用深度学习算法，支持单人或多人识别（最多5人同时认证）功能；支持照片、视频防假；1:N人脸识别速度≤0.2s，人脸验证准确率≥99%；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存储容量：本地支持10000人脸库、50000张卡，15万条事件记录；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硬件接口：LAN×1、RS485×1、Wiegand × 1(支持双向)、typeC类型USB接口×1、电锁×1、门磁×1、报警输入×2、报警输出×1、开门按钮×1、SD卡槽×1（最大支持512GB）、3.5mm音频输出接口×1；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通信方式及网络协议：有线网络，萤石协议/ISAPI/ISUP5.0；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使用环境：室内，无风环境；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安装方式：壁挂安装（标配挂板，适配86底盒）；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工作电压： DC12V~24V/2A（电源需另配）；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产品尺寸：247.7×110.5×24mm；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设备重量：净重0.56kg，毛重0.88kg。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1.LAN×1，支持 10M/100M/1000M 网络自适应配置；2.RS-485 串口×1 个；3.输入、输出韦根接口×1 个（平台可配置）；4.USB 接口×2 个，包括 type C 接口、micro USB 接口和普通 USB 连接口（需扩展线）；5.内置扬声器×1 个；6.门锁 I/O 输出×1 个；7.门磁 I/O 输入×1 个；8.开门按钮 I/O 输入×1 个；9.报警 I/O 输出×1 个；10.报警事件 I/O 输入×2 个；11.micro SIM 卡槽×1 个；12.机械防拆开关×1 个；13.支持 3.5mm 音频输出接口×1 个；14.支持 micro SD 卡槽扩展；15.支持 MIC 音频输入采集。                          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可视对讲：支持和云眸、4200客户端、室内机、管理机进行可视对讲；支持配置一键呼叫室内机或管理机；支持副门口机或围墙机模式；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视频预览：支持管理中心远程视频预览，支持接入NVR设备，实现视频监控录像，编码格式H.264；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口罩检测：支持口罩检测模式，可配置提醒戴口罩模式、强制戴口罩模式，关联门禁控制；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识别界面可配：识别主界面的“呼叫”、“二维码”、“密码”的按键图标可分别配置是否显示；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认证结果显示可配：支持认证成功界面的“照片”、“姓名”、“工号”信息可配置是否显示；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工作模式：支持广告模式、简洁模式、主题模式；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外接安全模块：支持通过RS485接入门控安全模块，防止主机被恶意破坏的情况下，门锁不被打开；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外接读卡器：支持通过RS485或韦根（W26/W34）接口外接1个读卡器，同时可实现单门反潜回功能；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读卡器模式：支持通过RS485或韦根（W26/W34）接入门禁控制器，作为读卡器模式使用；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门禁计划模板：支持255组计划模板管理，128个周计划，1024个假日计划；支持常开、常闭时段管理；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组合认证：刷卡+密码、刷卡+人脸、人脸+密码等组合认证方式；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多重认证：支持多个人员认证（人脸、刷卡等）通过后才开门；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黑名单核验：支持中心下发黑名单人员信息，实现本地黑名单核验；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报警功能：设备支持防拆报警、门被外力开起报警、胁迫卡和胁迫密码报警、黑名单报警等；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事件上传：在线状态下将设备认证结果信息及联动抓拍照片实时上传给平台，支持断网续传功能，设备离线状态下产生事件在与平台连接后会重新上传；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单机使用：设备可进行本地管理，支持本地注册人脸、查询、设置、管理设备参数等；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WEB管理：支持Web端管理，可进行人员管理、参数配置、事件查询、系统维护等操作。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3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5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电子锁，含支架、电源、出门开关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AI运动登录机</w:t>
            </w:r>
          </w:p>
        </w:tc>
        <w:tc>
          <w:tcPr>
            <w:tcW w:w="13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5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65寸户外触摸一体机（定制配置、肢体识别、手势识别、AI主板）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1、硬件外壳：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（1）外观尺寸1700mm长×2100mm高×280mm厚（外观定制，尺寸待改）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（2）外壳2.2mm镀锌板，表面喷涂户外专用粉，三层复合密封胶条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（3）满足IP66深度防水防护等级，防护能力7年以上。</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2、网络：</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（1）支持wifi系统，具有蓝牙功能、支持4G网络（数据上云）</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（1）500万人脸识别摄像头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（2）活体检测、红外系统（夜间识别）、防水、补光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（3）供电方式：DC12VAI</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4、显示屏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（1）播放公园及步道相关视频或图片介绍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（2）显示尺寸：1428mm×804mm，显示比例：16:9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（3）65寸高亮触摸显示屏，6mm超白钢化防爆玻璃，透光率98%以上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（4）分辨率1920×1080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（5）亮度：2500nit ，根据光照自动亮度调节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（6）环绕音响：环绕有缘音响 输入电压 AC 110-240v。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（7）LED背光源，使用寿命5万小时以上，结合散热方案精确控温，显示屏7×24小时工作亮度无衰减，工作频率120Hz，亮度2000cd/m2，对比度1500:1，色彩16.7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（8）可视角度178°，响应时间5ms，G+F 10点纳米触摸，触控精准度±2mm，响应时间&lt;10ms，刷新速率120FPS，湿度0%至95%RH无凝结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（9）防眩光钢化玻璃：整机屏前保护玻璃采用6mm  AR防眩光钢化防爆玻璃外贴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5、主板 ：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（1）配置Android3399主板，4+32G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（2）支持4G持以太网、WiFi；</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（3）支持简体中文、繁体、英语、韩语等多种语言，USB2.0接口×2；VGA输出×1(可选)；HDMI输出×1；AV 输入×1(可选)；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（4）功放输出可直接驱动2×10W/8Ω喇叭； RTC实时时钟电池座×1。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（5）Ai算法主板：支持人脸识别应用，本地计算处理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6、电控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（1）开关电源：工业级明纬户外专业电源、单相交流电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（2）防水喇叭：防水高品质10W喇叭（播放语音介绍）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（3）防雷器：三级防雷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（4）漏电保护器：3C认证品牌漏电保护器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（5）定时器：可按天、周、月设置定制开关机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7、散热：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（1）智能直通风散热制冷系统，整机内部循环散热不黑屏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（2）独特设计风道及主板，根据环境自动调节风速风量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8、支持远程控制整机开关机功能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9、工作参数：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（1）温度控制：风机散热型 （默认）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（2）工作温度：—30°C ~ +55°C</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（3）工作湿度：≤95%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（4）工作电压：AC 220V/50Hz</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（5）功率：720W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（6）待机功耗：&lt;3W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（7）立体声音效：额定功率：10W×2  峰值功率:15W×2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10、防护：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（1）防水：三层复合密封胶条，满足IP66防护等级。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（2）防尘：进出风口设计特制防尘过滤（中高效防尘过滤器），过滤空气中微尘，并防止蚊虫等进入机器内部。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（3）防雷：户外光伏电源防雷模块，电涌保护器用于瞬时过电压、高压直流电源的过热过流保护功能，为光伏配电系统提供C级电涌保护。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（4）防漏电：过3C认证品牌漏电保护器 保护设备、周边人身安全。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（5）防爆：屏前保护玻璃采用6mm 高透钢化玻璃，透光率≥97%，高透光，G+F 10点纳米触摸，触控精准度±2mm，响应时间&lt;10ms。</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11、语言支持：简体中文、繁体、英语、法语、德语、意大利语、日文、韩文、俄文、西班牙、捷克等多种语言；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12、维护：屏后采用后开门方式，屏幕可施转，方便维护内部显示屏、玻璃、散热组件和电子件。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AI运动登录机软件</w:t>
            </w:r>
          </w:p>
        </w:tc>
        <w:tc>
          <w:tcPr>
            <w:tcW w:w="13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5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1、用户的运动数据系统（数据管理，信息处理，数据建模）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2、运动展示系统（卡路里、日周月运动时长、运动里程、运动速率，运动健康分析系统、运动排行榜，新用户注册情况，紧急公告）</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（1）用户的热量消耗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（2）用户的行走里程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（3）用户的运动速率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（5）用户的运动频率</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（4）新用户注册情况</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（6）用户的运动健康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（7）用户的运动时长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（8）日/周/月运动情况</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（9）用户的运动排行榜</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（10）用户的健康分析系统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（11）用户的bmi指数系统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3、时间段新增用户管理系统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4、公园鸟瞰图步道路径展示系统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5、公园VR全景智能展示系统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6、设备运行状态监控数据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7、超广角高清自动捕捉人脸系统（当多人出现在摄像头前，自动捕捉主要人脸）</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8、注册用户的运动信息系统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 查看步道路径图规划运动路线</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 云资源服务（云主机，防火墙，入侵检测，数据备份）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AI数据采集站（智能人脸识别杆）</w:t>
            </w:r>
          </w:p>
        </w:tc>
        <w:tc>
          <w:tcPr>
            <w:tcW w:w="13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5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1、硬件外壳：</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（1）外观尺寸500mm长×2400mm高×250mm厚（外观定制、尺寸待改）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（2）外壳2.2mm镀锌板，表面喷涂户外专用粉，数冲+折弯+焊接+打磨+烤漆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2、网络：支持wifi系统，具有蓝牙功能、支持4G网络（数据上云）</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（1）双目高清摄像机，聚焦方式 自动，半自动，手动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（2）补光灯类型 混合补光（支持白光模式和混光模式），750 nm + 暖白光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（3）补光距离 通道1：普通监控：80 m，人脸抓拍/识别：15 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通道2：普通监控：30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支持防补光过曝开启和关闭，开启下支持自动和手动，手动支持根据距离等级控制补光灯亮度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（4）支持不同人脸库不同时间布防</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（5）支持黑名单比对成功报警输出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（6）支持人脸瞳距20像素以上的人脸检测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（7）支持人脸快速比对，最佳比对方式设置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（8）800万人脸识别摄像头，设备内置高效温和补光灯，告别光污染，保证夜间正常进行人脸抓拍；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（9）最多同时检测60个目标，支持最多10个人脸库的管理，最多15万张人脸的导入；</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4、电控：</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（1）开关电源：工业级明纬户外专业电源、单相交流电</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（2）定时器：可按天、周、月设置定制开关机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（3）防雷器：三级防雷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（4）漏电保护器：3C认证品牌漏电保护器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5、一键报警：（可选）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(1)用户在跑步途中如遇突发事件或身体不适，在无手机情况下，可触发采集站上紧急按钮呼救。</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 (2)采集站在报警按钮触发后，立即与公园管理方取得联系，并将定位当前报警位置。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6、防护：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（1）防水：三层复合密封胶条，满足IP66防护等级，防护能力7年以上。</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（2）防尘：进出风口设计特制防尘过滤（中高效防尘过滤器），过滤空气中微尘，并防止蚊虫等进入机器内部。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（3）防雷：户外光伏电源防雷模块，电涌保护器用于瞬时过电压、高压直流电源的过热过流保护功能，为光伏配电系统提供C级电涌保护。</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（4）防漏电：过3C认证品牌漏电保护器 保护设备、周边人身安全。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7、散热：</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（1）智能直通风散热制冷系统，整机内部循环散热不黑屏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（2）独特设计风道及主板，根据环境自动调节风速风量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8、工作参数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（1）工作温度：-20℃至50℃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（2）工作湿度：≤95%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（3）工作电压：AC 110/240V</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（4）功率：26W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9、可选配内置4G路由器，直连云端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10、可选21寸显示触摸屏，Android主板RK3399, 4G+32G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11、可选防水高品质10W喇叭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2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智能步道综合管理系统</w:t>
            </w:r>
          </w:p>
        </w:tc>
        <w:tc>
          <w:tcPr>
            <w:tcW w:w="13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5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1、后台管理系统（智慧步道管理、智慧步道控制、信息检测）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（1）设备控制管理系统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（2）设备状态监测系统（温度）</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（3）后台管理员、管理系统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（4）服务器运行状态监测/设备远程控制系统（开关、定时、显示内容）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（5）设备远程升级系统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（6）权限管理系统（管理人员授权使用）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2、人脸识别系统 （人脸识别、人脸属性识别、关键点定位、活体检测、人脸1：1搜索比对）</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3、信息注册系统（人脸注册、信息管理、账号管理）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4、数据采集系统（触发式计数，数据抓取，数据建模）</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5、统计分析系统（年龄段/性别段/时间段计算的大数据分析图表）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6、信息监测系统（信息监控，远程管理，远程控制）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7、云搭建、租用（云主机，防火墙，入侵检测，数据备份、云管理、云运维）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8、用户的运动数据达标数据管理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小程序对接</w:t>
            </w:r>
          </w:p>
        </w:tc>
        <w:tc>
          <w:tcPr>
            <w:tcW w:w="13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国产</w:t>
            </w:r>
          </w:p>
        </w:tc>
        <w:tc>
          <w:tcPr>
            <w:tcW w:w="53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1、人脸识别系统（移动端）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2、信息注册系统（年龄、身高、体重、手机号）</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3、运动数据共享平台</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4、信息交互平台（赛事、通知、公告展示等）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5、运动计划制定与编辑（运动里程、运动时长、消耗热量）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6、支持积分兑换功能定制开发，可根据客户的需求将用户运动的数据转换为系统积分，用户可使用积分兑换指定的产品。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7、运动展示系统：当前运动信息、日、周、月的运动信息、及热量消耗，运动时长，运动速率，运动排行榜等运动数据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8、根据用户的身高体重，自动计算BMI指数，为用户推荐适合其的跑步运动方式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9、运动展示系统：当前运动信息、日、周、月运动信息、及热量消耗，运动时长，运动速率，运动排行榜等运动数据</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10、可分享跑步动态并进行点赞</w:t>
            </w:r>
          </w:p>
        </w:tc>
      </w:tr>
    </w:tbl>
    <w:p>
      <w:pPr>
        <w:bidi w:val="0"/>
        <w:ind w:left="0" w:leftChars="0" w:firstLine="0" w:firstLineChars="0"/>
        <w:rPr>
          <w:rFonts w:hint="default" w:ascii="Times New Roman" w:hAnsi="Times New Roman" w:cs="Times New Roman"/>
          <w:highlight w:val="none"/>
        </w:rPr>
      </w:pPr>
    </w:p>
    <w:p>
      <w:pPr>
        <w:bidi w:val="0"/>
        <w:ind w:left="0" w:leftChars="0" w:firstLine="0" w:firstLineChars="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3.7.13低碳场景-社区综合节能</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9"/>
        <w:gridCol w:w="1539"/>
        <w:gridCol w:w="1518"/>
        <w:gridCol w:w="3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9"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序号</w:t>
            </w:r>
          </w:p>
        </w:tc>
        <w:tc>
          <w:tcPr>
            <w:tcW w:w="1539"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名称</w:t>
            </w:r>
          </w:p>
        </w:tc>
        <w:tc>
          <w:tcPr>
            <w:tcW w:w="1518"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品牌</w:t>
            </w:r>
          </w:p>
        </w:tc>
        <w:tc>
          <w:tcPr>
            <w:tcW w:w="391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18"/>
                <w:szCs w:val="18"/>
                <w:highlight w:val="none"/>
                <w:u w:val="none"/>
              </w:rPr>
            </w:pPr>
            <w:r>
              <w:rPr>
                <w:rFonts w:hint="default" w:ascii="Times New Roman" w:hAnsi="Times New Roman" w:eastAsia="宋体" w:cs="Times New Roman"/>
                <w:b/>
                <w:bCs/>
                <w:i w:val="0"/>
                <w:iCs w:val="0"/>
                <w:color w:val="000000"/>
                <w:kern w:val="0"/>
                <w:sz w:val="18"/>
                <w:szCs w:val="18"/>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53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智能水表</w:t>
            </w:r>
          </w:p>
        </w:tc>
        <w:tc>
          <w:tcPr>
            <w:tcW w:w="1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上海人民、南硕电力、国产</w:t>
            </w:r>
          </w:p>
        </w:tc>
        <w:tc>
          <w:tcPr>
            <w:tcW w:w="3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NB-LOT DN250大口径 物联网水表，IP68防护，含远程抄表系统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1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val="0"/>
                <w:bCs w:val="0"/>
                <w:i w:val="0"/>
                <w:iCs w:val="0"/>
                <w:color w:val="000000"/>
                <w:kern w:val="0"/>
                <w:sz w:val="20"/>
                <w:szCs w:val="20"/>
                <w:highlight w:val="none"/>
                <w:u w:val="none"/>
                <w:lang w:val="en-US" w:eastAsia="zh-CN" w:bidi="ar"/>
              </w:rPr>
              <w:t>2</w:t>
            </w:r>
          </w:p>
        </w:tc>
        <w:tc>
          <w:tcPr>
            <w:tcW w:w="15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智能电表</w:t>
            </w:r>
          </w:p>
        </w:tc>
        <w:tc>
          <w:tcPr>
            <w:tcW w:w="1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上海人民、南硕电力、国产</w:t>
            </w:r>
          </w:p>
        </w:tc>
        <w:tc>
          <w:tcPr>
            <w:tcW w:w="3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三相四线 智能电表，远程抄表</w:t>
            </w:r>
          </w:p>
        </w:tc>
      </w:tr>
    </w:tbl>
    <w:p>
      <w:pPr>
        <w:ind w:left="0" w:leftChars="0" w:firstLine="0" w:firstLineChars="0"/>
        <w:rPr>
          <w:rFonts w:hint="default" w:ascii="Times New Roman" w:hAnsi="Times New Roman" w:cs="Times New Roman"/>
          <w:highlight w:val="none"/>
        </w:rPr>
      </w:pPr>
    </w:p>
    <w:p>
      <w:pPr>
        <w:bidi w:val="0"/>
        <w:ind w:left="0" w:leftChars="0" w:firstLine="0" w:firstLineChars="0"/>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3.7.14创业场景</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
        <w:gridCol w:w="596"/>
        <w:gridCol w:w="914"/>
        <w:gridCol w:w="64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7"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596"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91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6473"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7" w:type="dxa"/>
            <w:tcBorders>
              <w:top w:val="nil"/>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 mm，水平视场角：97°，垂直视场角：52.3°，对角线视场角：114.3°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 mm，水平视场角：78.8°，垂直视场角：40.5°，对角线视场角：93.9°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 mm，水平视场角：49.1°，垂直视场角：26.3°，对角线视场角：57.2°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 mm，水平视场角：37.5°，垂直视场角：20.7°，对角线视场角：43.3°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7" w:type="dxa"/>
            <w:tcBorders>
              <w:top w:val="nil"/>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操作系统：嵌入式Linux操作系统；</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屏幕参数： 7英寸触摸显示屏，屏幕比例9:16，屏幕分辨率600×1024；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摄像头参数：采用宽动态200万双目摄像头；</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测温功能：集成热成像测温模组，测温距离在0.5m-1.5m之间，测温范围30℃-45℃，精度±0.5℃（无黑体）；支持身份认证（刷脸、刷卡等）+测温模式、仅测温模式；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认证方式：支持人脸、刷卡（Mifare卡/IC卡、手机NFC卡、CPU卡序列号/内容、身份证卡序列号）、密码认证方式；可外接身份证、指纹、蓝牙、二维码等功能模块；</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人脸识别：采用深度学习算法，支持单人或多人识别（最多5人同时认证）功能；支持照片、视频防假；1:N人脸识别速度≤0.2s，人脸验证准确率≥99%；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存储容量：本地支持10000人脸库、50000张卡，15万条事件记录；</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硬件接口：LAN×1、RS485×1、Wiegand × 1(支持双向)、typeC类型USB接口×1、电锁×1、门磁×1、报警输入×2、报警输出×1、开门按钮×1、SD卡槽×1（最大支持512GB）、3.5mm音频输出接口×1；</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通信方式及网络协议：有线网络，萤石协议/ISAPI/ISUP5.0；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使用环境：室内，无风环境；</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安装方式：壁挂安装（标配挂板，适配86底盒）；</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工作电压： DC12V~24V/2A（电源需另配）；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产品尺寸：247.7×110.5×24mm；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设备重量：净重0.56kg，毛重0.88kg。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1.LAN×1，支持 10M/100M/1000M 网络自适应配置；2.RS-485 串口×1 个；3.输入、输出韦根接口×1 个（平台可配置）；4.USB 接口×2 个，包括 type C 接口、micro USB 接口和普通 USB 连接口（需扩展线）；5.内置扬声器×1 个；6.门锁 I/O 输出×1 个；7.门磁 I/O 输入×1 个；8.开门按钮 I/O 输入×1 个；9.报警 I/O 输出×1 个；10.报警事件 I/O 输入×2 个；11.micro SIM 卡槽×1 个；12.机械防拆开关×1 个；13.支持 3.5mm 音频输出接口×1 个；14.支持 micro SD 卡槽扩展；15.支持 MIC 音频输入采集。                          应支持 IC 卡识读；支持识读模块的扩展功能，模块支持热插拔连接，形成一体化识别终端；应支持人脸、刷卡、指纹、二维码、蓝牙和密码认证；蓝牙识读区域直径范围应≥3 米，基于蓝牙识读的开门时间应≤1 秒；二维码模块应支持静态及动态二维码识读，应能对由 512 字符生成的二维码进行识读，支持格式应包括：QR Code、Micro 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    产品供应商应具有符合ISO/IEC 27701：2019要求的隐私信息管理体系认证。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功能介绍：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可视对讲：支持和云眸、4200客户端、室内机、管理机进行可视对讲；支持配置一键呼叫室内机或管理机；支持副门口机或围墙机模式；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视频预览：支持管理中心远程视频预览，支持接入NVR设备，实现视频监控录像，编码格式H.264；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口罩检测：支持口罩检测模式，可配置提醒戴口罩模式、强制戴口罩模式，关联门禁控制；</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识别界面可配：识别主界面的“呼叫”、“二维码”、“密码”的按键图标可分别配置是否显示；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认证结果显示可配：支持认证成功界面的“照片”、“姓名”、“工号”信息可配置是否显示；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工作模式：支持广告模式、简洁模式、主题模式；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外接安全模块：支持通过RS485接入门控安全模块，防止主机被恶意破坏的情况下，门锁不被打开；</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外接读卡器：支持通过RS485或韦根（W26/W34）接口外接1个读卡器，同时可实现单门反潜回功能；</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读卡器模式：支持通过RS485或韦根（W26/W34）接入门禁控制器，作为读卡器模式使用；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门禁计划模板：支持255组计划模板管理，128个周计划，1024个假日计划；支持常开、常闭时段管理；</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组合认证：刷卡+密码、刷卡+人脸、人脸+密码等组合认证方式；</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多重认证：支持多个人员认证（人脸、刷卡等）通过后才开门；</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黑名单核验：支持中心下发黑名单人员信息，实现本地黑名单核验；</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报警功能：设备支持防拆报警、门被外力开起报警、胁迫卡和胁迫密码报警、黑名单报警等；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事件上传：在线状态下将设备认证结果信息及联动抓拍照片实时上传给平台，支持断网续传功能，设备离线状态下产生事件在与平台连接后会重新上传；</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单机使用：设备可进行本地管理，支持本地注册人脸、查询、设置、管理设备参数等；</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WEB管理：支持Web端管理，可进行人员管理、参数配置、事件查询、系统维护等操作。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47" w:type="dxa"/>
            <w:tcBorders>
              <w:top w:val="nil"/>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9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9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宇视、海康威视、天地伟业</w:t>
            </w:r>
          </w:p>
        </w:tc>
        <w:tc>
          <w:tcPr>
            <w:tcW w:w="6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电子锁，含支架、电源、出门开关</w:t>
            </w:r>
          </w:p>
        </w:tc>
      </w:tr>
    </w:tbl>
    <w:p>
      <w:pPr>
        <w:bidi w:val="0"/>
        <w:ind w:left="0" w:leftChars="0" w:firstLine="0" w:firstLineChars="0"/>
        <w:rPr>
          <w:rFonts w:hint="default" w:ascii="Times New Roman" w:hAnsi="Times New Roman" w:cs="Times New Roman"/>
          <w:highlight w:val="none"/>
        </w:rPr>
      </w:pPr>
    </w:p>
    <w:p>
      <w:pPr>
        <w:bidi w:val="0"/>
        <w:ind w:left="0" w:leftChars="0" w:firstLine="0" w:firstLineChars="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3.7.15社区服务中心智能化</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2"/>
        <w:gridCol w:w="511"/>
        <w:gridCol w:w="811"/>
        <w:gridCol w:w="67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48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511"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811"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6786"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1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无线AP</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786" w:type="dxa"/>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吸顶式双频AP，采用整机四流设计，内置全向天线，支持Wi-Fi 6（802.11ax），整机协商速率≥1.775Gbps，≥2个10/100/1000Mbps自协商以太网口；支持更改至Oasis软件版本，设备可无需控制器独立工作，支持云端图形化配置和集中管理，支持配置保留功能，故障设备可即换即用；该产品厂家需提供免费云端维护平台，并提供免费手APP管理软件；配合无线控制器，可以通过平台可以收集网络及设备的各种关键指标：支持查看射频情况、AP在线情况，支持云端工勘，生成信号仿真图像；支持认证配置：关注公众号连WIFI、短信登录、固定账号登录、一键上网、哑终端认证、访客认证，支持对接APP或第三方会员系统认证，支持配置单次及单日上网时长、支持配置二次重连免认证、支持设置限速、支持认证界面推送用户指定广告界面、支持设置每日允许上网时间段；</w:t>
            </w:r>
            <w:r>
              <w:rPr>
                <w:color w:val="000000"/>
                <w:kern w:val="0"/>
                <w:sz w:val="20"/>
                <w:szCs w:val="20"/>
                <w:highlight w:val="none"/>
                <w:lang w:bidi="ar"/>
              </w:rPr>
              <w:t>★</w:t>
            </w:r>
            <w:r>
              <w:rPr>
                <w:rFonts w:hint="default" w:ascii="Times New Roman" w:hAnsi="Times New Roman" w:eastAsia="宋体" w:cs="Times New Roman"/>
                <w:i w:val="0"/>
                <w:iCs w:val="0"/>
                <w:color w:val="000000"/>
                <w:kern w:val="0"/>
                <w:sz w:val="20"/>
                <w:szCs w:val="20"/>
                <w:highlight w:val="none"/>
                <w:u w:val="none"/>
                <w:lang w:val="en-US" w:eastAsia="zh-CN" w:bidi="ar"/>
              </w:rPr>
              <w:t>制造厂商必须通过软件成熟度5级（CMMI）认证</w:t>
            </w:r>
            <w:r>
              <w:rPr>
                <w:color w:val="000000"/>
                <w:kern w:val="0"/>
                <w:sz w:val="20"/>
                <w:szCs w:val="20"/>
                <w:highlight w:val="none"/>
                <w:lang w:bidi="ar"/>
              </w:rPr>
              <w:t>，并提供证书复印件</w:t>
            </w:r>
            <w:r>
              <w:rPr>
                <w:rFonts w:hint="eastAsia"/>
                <w:color w:val="000000"/>
                <w:kern w:val="0"/>
                <w:sz w:val="20"/>
                <w:szCs w:val="20"/>
                <w:highlight w:val="none"/>
                <w:lang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无线控制器</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7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及硬件要求≥5个10/100/1000Base-T以太网接口，≥1个USB接口，配置管理256个AP授权；该产品厂家需提供免费云端维护平台，并提供免费手APP管理软件；可以通过平台可以收集网络及设备的各种关键指标：支持查看信道利用率情况，丢包率，时间延迟，包重传次数，漫游成功率，终端信号强度等，统计健康度得分，输出体检报告，并结合报告，给出优化建议，支持云端工勘，生成信号仿真图像，支持认证配置：关注公众号连WIFI、短信登录、固定账号登录、一键上网、哑终端认证、访客认证，支持对接APP或第三方会员系统认证，支持配置单次及单日上网时长、支持配置二次重连免认证、支持设置限速、支持认证界面推送用户指定广告界面、支持设置每日允许上网时间段；手机APP配合平台，可以查看设备运行信息包括内存CPU占用率、设备在线离线状态及时长、实时速率包括上行及下行、设备版本号、端口状态；支持设备重启、配置备份、配置还原、版本升级、文件管理操作</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路由器</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7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及硬件要求≥8个10/100/1000Base-T以太网接口，≥4个WAN口或6个LAN口，≥1个USB端口；支持AP管理；支持固定IP地址、DHCP自动获取地址、PPPoE拨号等多种方式，支持链路状态检测功能，支持ICMP、DNS、NTP等检测方式，支持静态路由和策略路由；支持端口划分VLAN，MAC地址学习、广播风暴抑制、流量镜像功能；支持基于运营商目的地址负载分担，支持基于链路带宽负载分担，支持基于用户（IP地址）负载分担，支持策略路由指定线路转发，支持端到端链路检测与备份功能；支持DHCP Server，支持NTP Client，支持DDNS（花生壳和3322.org），支持UPnP；支持IPSec VPN，支持100条IPSec连接，支持AH、ESP协议，支持IKE自动建立安全联盟，ESP支持3DES、AES多种加密算法，支持MD5及SHA-1验证算法，支持IKE主模式及野蛮模式，支持NAT-T穿越，支持通过域名方式配置IPSec连接（DDNS），支持L2TP VPN（LAC和LNS）；支持WEB管理页面，支持云网络管理平台远程管理；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互联网</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移动、</w:t>
            </w:r>
            <w:r>
              <w:rPr>
                <w:rFonts w:hint="eastAsia" w:ascii="Times New Roman" w:hAnsi="Times New Roman" w:eastAsia="宋体" w:cs="Times New Roman"/>
                <w:i w:val="0"/>
                <w:iCs w:val="0"/>
                <w:color w:val="000000"/>
                <w:kern w:val="0"/>
                <w:sz w:val="20"/>
                <w:szCs w:val="20"/>
                <w:highlight w:val="none"/>
                <w:u w:val="none"/>
                <w:lang w:val="en-US" w:eastAsia="zh-CN" w:bidi="ar"/>
              </w:rPr>
              <w:t>联通</w:t>
            </w:r>
            <w:r>
              <w:rPr>
                <w:rFonts w:hint="default" w:ascii="Times New Roman" w:hAnsi="Times New Roman" w:eastAsia="宋体" w:cs="Times New Roman"/>
                <w:i w:val="0"/>
                <w:iCs w:val="0"/>
                <w:color w:val="000000"/>
                <w:kern w:val="0"/>
                <w:sz w:val="20"/>
                <w:szCs w:val="20"/>
                <w:highlight w:val="none"/>
                <w:u w:val="none"/>
                <w:lang w:val="en-US" w:eastAsia="zh-CN" w:bidi="ar"/>
              </w:rPr>
              <w:t>、电信</w:t>
            </w:r>
          </w:p>
        </w:tc>
        <w:tc>
          <w:tcPr>
            <w:tcW w:w="67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互联网数据链路服务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防火墙</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7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端口及硬件要求≥8个10/100/1000Base-T以太网接口，≥2个Bypass端口，≥2个1000BASE-X SFP端口（Combo），≥2个外置USB接口；吞吐量≥1.5Gbps，配置100条SSL VPN授权；支持Portal认证、RADIUS认证、HWTACACS认证、PKI /CA（X.509格式）认证、域认证、CHAP验证、PAP验证；SOP虚拟防火墙技术，支持CPU、内存、存储等硬件资源划分的完全虚拟化，安全区域划分，可以防御Land、Smurf、Fraggle、Ping of Death、Tear Drop、IP Spoofing、IP分片报文、ARP欺骗、ARP主动反向查询、TCP报文标志位不合法超大ICMP报文、地址扫描、端口扫描、SYN Flood、UPD Flood、ICMP Flood、DNS Flood等多种恶意攻击；基于病毒特征进行检测，支持病毒库手动和自动升级，报文流处理模式，支持HTTP、FTP、SMTP、POP3协议，支持的病毒类型：Backdoor、Email-Worm、IM-Worm、P2P-Worm、Trojan、AdWare、Virus等，支持病毒日志和报表；支持对黑客攻击、蠕虫/病毒、木马、恶意代码、间谍软件/广告软件、DoS/DDoS等常见的攻击防御，支持缓冲区溢出、SQL注入、IDS/IPS逃逸等攻击的防御，支持攻击特征库的分类（根据攻击类型、目标机系统进行分类）、分级（分高、中、低、提示四级），支持攻击特征库的手动和自动升级（TFTP和HTTP），支持对BT等P2P/IM识别和控制；支持L2TP VPN、IPSec VPN、GRE VPN、SSL VPN；支持SCF 2:1虚拟化；支持双机状态热备（Active/Active和Active/Backup两种工作模式）</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5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双口网络面板</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一舟、普天、</w:t>
            </w:r>
            <w:r>
              <w:rPr>
                <w:rFonts w:hint="eastAsia" w:ascii="Times New Roman" w:hAnsi="Times New Roman" w:eastAsia="宋体" w:cs="Times New Roman"/>
                <w:i w:val="0"/>
                <w:iCs w:val="0"/>
                <w:color w:val="000000"/>
                <w:kern w:val="0"/>
                <w:sz w:val="20"/>
                <w:szCs w:val="20"/>
                <w:highlight w:val="none"/>
                <w:u w:val="none"/>
                <w:lang w:val="en-US" w:eastAsia="zh-CN" w:bidi="ar"/>
              </w:rPr>
              <w:t>高岘</w:t>
            </w:r>
          </w:p>
        </w:tc>
        <w:tc>
          <w:tcPr>
            <w:tcW w:w="67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RJ45+RJ11面板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5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单口网络面板</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一舟、普天、</w:t>
            </w:r>
            <w:r>
              <w:rPr>
                <w:rFonts w:hint="eastAsia" w:ascii="Times New Roman" w:hAnsi="Times New Roman" w:eastAsia="宋体" w:cs="Times New Roman"/>
                <w:i w:val="0"/>
                <w:iCs w:val="0"/>
                <w:color w:val="000000"/>
                <w:kern w:val="0"/>
                <w:sz w:val="20"/>
                <w:szCs w:val="20"/>
                <w:highlight w:val="none"/>
                <w:u w:val="none"/>
                <w:lang w:val="en-US" w:eastAsia="zh-CN" w:bidi="ar"/>
              </w:rPr>
              <w:t>高岘</w:t>
            </w:r>
          </w:p>
        </w:tc>
        <w:tc>
          <w:tcPr>
            <w:tcW w:w="67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RJ45网络面板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网络模块</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一舟、普天、</w:t>
            </w:r>
            <w:r>
              <w:rPr>
                <w:rFonts w:hint="eastAsia" w:ascii="Times New Roman" w:hAnsi="Times New Roman" w:eastAsia="宋体" w:cs="Times New Roman"/>
                <w:i w:val="0"/>
                <w:iCs w:val="0"/>
                <w:color w:val="000000"/>
                <w:kern w:val="0"/>
                <w:sz w:val="20"/>
                <w:szCs w:val="20"/>
                <w:highlight w:val="none"/>
                <w:u w:val="none"/>
                <w:lang w:val="en-US" w:eastAsia="zh-CN" w:bidi="ar"/>
              </w:rPr>
              <w:t>高岘</w:t>
            </w:r>
          </w:p>
        </w:tc>
        <w:tc>
          <w:tcPr>
            <w:tcW w:w="67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网络模块国标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语音模块</w:t>
            </w:r>
          </w:p>
        </w:tc>
        <w:tc>
          <w:tcPr>
            <w:tcW w:w="8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一舟、普天、</w:t>
            </w:r>
            <w:r>
              <w:rPr>
                <w:rFonts w:hint="eastAsia" w:ascii="Times New Roman" w:hAnsi="Times New Roman" w:eastAsia="宋体" w:cs="Times New Roman"/>
                <w:i w:val="0"/>
                <w:iCs w:val="0"/>
                <w:color w:val="000000"/>
                <w:kern w:val="0"/>
                <w:sz w:val="20"/>
                <w:szCs w:val="20"/>
                <w:highlight w:val="none"/>
                <w:u w:val="none"/>
                <w:lang w:val="en-US" w:eastAsia="zh-CN" w:bidi="ar"/>
              </w:rPr>
              <w:t>高岘</w:t>
            </w:r>
          </w:p>
        </w:tc>
        <w:tc>
          <w:tcPr>
            <w:tcW w:w="67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电话语音模块国标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图腾、一舟、三拓</w:t>
            </w:r>
          </w:p>
        </w:tc>
        <w:tc>
          <w:tcPr>
            <w:tcW w:w="67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交换机</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7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端口类型≥24×10/100/1000Base-T以太网端口，≥4×1000 Base-X SFP光口；交换容量(G)≥336Gbps，转发性能(Mpps) ≥78Mpps；支持STP/RSTP/MSTP，支持802.1Q (最大4K个VLAN)；支持静态路由，支持DHCP Relay，支持DHCP Client，支持DHCP Snooping， 支持DHCP Server； 支持IPv6静态路由、双协议栈，支持DHCPv6 Client、DHCPv6 Snooping，支持ND、PMTU，支持IPv6 Ping、IPv6 Telnet、IPv6 SSHv2、IPv6域名解析；支持IGMP V1/V2/V3 Snooping；支持端口限速；支持IP＋MAC+PORT绑定功能；支持WEB/SNMP/云平台/手机APP管理，拥有强劲的管理工具，支持远程运维和调试；支持命令行接口（CLI）配置，支持通过Console口配置</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交换机</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7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端口类型≥24×10/100/1000Base-T以太网端口，≥4×1000 Base-X SFP光口；交换容量(G)≥336Gbps，转发性能(Mpps) ≥78Mpps，POE供电功率≥370W ；支持STP/RSTP/MSTP，支持802.1Q (最大4K个VLAN)；支持静态路由，支持DHCP Relay，支持DHCP Client，支持DHCP Snooping，支持DHCP Server； 支持IPv6静态路由、双协议栈，支持DHCPv6 Client、DHCPv6 Snooping，支持ND、PMTU，支持IPv6 Ping、IPv6 Telnet、IPv6 SSHv2、IPv6域名解析；支持IGMP V1/V2/V3 Snooping；支持端口限速；支持IP＋MAC+PORT绑定功能；支持WEB/SNMP/云平台/手机APP管理，拥有强劲的管理工具，支持远程运维和调试；支持命令行接口（CLI）配置，支持通过Console口配置</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LED工位屏</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云清越、力亚德、强力巨彩</w:t>
            </w:r>
          </w:p>
        </w:tc>
        <w:tc>
          <w:tcPr>
            <w:tcW w:w="67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LED输入设备</w:t>
            </w:r>
          </w:p>
        </w:tc>
        <w:tc>
          <w:tcPr>
            <w:tcW w:w="81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联想、方正、清方同方</w:t>
            </w:r>
          </w:p>
        </w:tc>
        <w:tc>
          <w:tcPr>
            <w:tcW w:w="678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配套</w:t>
            </w:r>
          </w:p>
        </w:tc>
      </w:tr>
    </w:tbl>
    <w:p>
      <w:pPr>
        <w:bidi w:val="0"/>
        <w:ind w:left="0" w:leftChars="0" w:firstLine="0" w:firstLineChars="0"/>
        <w:rPr>
          <w:rFonts w:hint="default" w:ascii="Times New Roman" w:hAnsi="Times New Roman" w:cs="Times New Roman"/>
          <w:highlight w:val="none"/>
        </w:rPr>
      </w:pPr>
    </w:p>
    <w:p>
      <w:pPr>
        <w:bidi w:val="0"/>
        <w:ind w:left="0" w:leftChars="0" w:firstLine="0" w:firstLineChars="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3.7.16物业用房智能化</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5"/>
        <w:gridCol w:w="687"/>
        <w:gridCol w:w="647"/>
        <w:gridCol w:w="6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687"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名称</w:t>
            </w:r>
          </w:p>
        </w:tc>
        <w:tc>
          <w:tcPr>
            <w:tcW w:w="647"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品牌</w:t>
            </w:r>
          </w:p>
        </w:tc>
        <w:tc>
          <w:tcPr>
            <w:tcW w:w="6695"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无线AP</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695" w:type="dxa"/>
            <w:tcBorders>
              <w:top w:val="nil"/>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吸顶式双频AP，采用整机四流设计，内置全向天线，支持Wi-Fi 6（802.11ax），整机协商速率≥1.775Gbps，≥2个10/100/1000Mbps自协商以太网口；支持更改至Oasis软件版本，设备可无需控制器独立工作，支持云端图形化配置和集中管理，支持配置保留功能，故障设备可即换即用；该产品厂家需提供免费云端维护平台，并提供免费手APP管理软件；配合无线控制器，可以通过平台可以收集网络及设备的各种关键指标：支持查看射频情况、AP在线情况，支持云端工勘，生成信号仿真图像；支持认证配置：关注公众号连WIFI、短信登录、固定账号登录、一键上网、哑终端认证、访客认证，支持对接APP或第三方会员系统认证，支持配置单次及单日上网时长、支持配置二次重连免认证、支持设置限速、支持认证界面推送用户指定广告界面、支持设置每日允许上网时间段；为保障产品的可靠性和稳定性</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无线控制器</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及硬件要求≥5个10/100/1000Base-T以太网接口，≥1个USB接口，配置管理256个AP授权；该产品厂家需提供免费云端维护平台，并提供免费手APP管理软件；可以通过平台可以收集网络及设备的各种关键指标：支持查看信道利用率情况，丢包率，时间延迟，包重传次数，漫游成功率，终端信号强度等，统计健康度得分，输出体检报告，并结合报告，给出优化建议，支持云端工勘，生成信号仿真图像，支持认证配置：关注公众号连WIFI、短信登录、固定账号登录、一键上网、哑终端认证、访客认证，支持对接APP或第三方会员系统认证，支持配置单次及单日上网时长、支持配置二次重连免认证、支持设置限速、支持认证界面推送用户指定广告界面、支持设置每日允许上网时间段；手机APP配合平台，可以查看设备运行信息包括内存CPU占用率、设备在线离线状态及时长、实时速率包括上行及下行、设备版本号、端口状态；支持设备重启、配置备份、配置还原、版本升级、文件管理操作；为保障产品的可靠性和稳定性</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路由器</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及硬件要求≥8个10/100/1000Base-T以太网接口，≥4个WAN口或6个LAN口，≥1个USB端口；支持AP管理；支持固定IP地址、DHCP自动获取地址、PPPoE拨号等多种方式，支持链路状态检测功能，支持ICMP、DNS、NTP等检测方式，支持静态路由和策略路由；支持端口划分VLAN，MAC地址学习、广播风暴抑制、流量镜像功能；支持基于运营商目的地址负载分担，支持基于链路带宽负载分担，支持基于用户（IP地址）负载分担，支持策略路由指定线路转发，支持端到端链路检测与备份功能；支持DHCP Server，支持NTP Client，支持DDNS（花生壳和3322.org），支持UPnP；支持IPSec VPN，支持100条IPSec连接，支持AH、ESP协议，支持IKE自动建立安全联盟，ESP支持3DES、AES多种加密算法，支持MD5及SHA-1验证算法，支持IKE主模式及野蛮模式，支持NAT-T穿越，支持通过域名方式配置IPSec连接（DDNS），支持L2TP VPN（LAC和LNS）；支持WEB管理页面，支持云网络管理平台远程管理</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互联网</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移动、</w:t>
            </w:r>
            <w:r>
              <w:rPr>
                <w:rFonts w:hint="eastAsia" w:ascii="Times New Roman" w:hAnsi="Times New Roman" w:eastAsia="宋体" w:cs="Times New Roman"/>
                <w:i w:val="0"/>
                <w:iCs w:val="0"/>
                <w:color w:val="000000"/>
                <w:kern w:val="0"/>
                <w:sz w:val="20"/>
                <w:szCs w:val="20"/>
                <w:highlight w:val="none"/>
                <w:u w:val="none"/>
                <w:lang w:val="en-US" w:eastAsia="zh-CN" w:bidi="ar"/>
              </w:rPr>
              <w:t>联通</w:t>
            </w:r>
            <w:r>
              <w:rPr>
                <w:rFonts w:hint="default" w:ascii="Times New Roman" w:hAnsi="Times New Roman" w:eastAsia="宋体" w:cs="Times New Roman"/>
                <w:i w:val="0"/>
                <w:iCs w:val="0"/>
                <w:color w:val="000000"/>
                <w:kern w:val="0"/>
                <w:sz w:val="20"/>
                <w:szCs w:val="20"/>
                <w:highlight w:val="none"/>
                <w:u w:val="none"/>
                <w:lang w:val="en-US" w:eastAsia="zh-CN" w:bidi="ar"/>
              </w:rPr>
              <w:t>、电信</w:t>
            </w:r>
          </w:p>
        </w:tc>
        <w:tc>
          <w:tcPr>
            <w:tcW w:w="6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互联网数据链路服务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双口网络面板</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一舟、普天、</w:t>
            </w:r>
            <w:r>
              <w:rPr>
                <w:rFonts w:hint="eastAsia" w:ascii="Times New Roman" w:hAnsi="Times New Roman" w:eastAsia="宋体" w:cs="Times New Roman"/>
                <w:i w:val="0"/>
                <w:iCs w:val="0"/>
                <w:color w:val="000000"/>
                <w:kern w:val="0"/>
                <w:sz w:val="20"/>
                <w:szCs w:val="20"/>
                <w:highlight w:val="none"/>
                <w:u w:val="none"/>
                <w:lang w:val="en-US" w:eastAsia="zh-CN" w:bidi="ar"/>
              </w:rPr>
              <w:t>高岘</w:t>
            </w:r>
          </w:p>
        </w:tc>
        <w:tc>
          <w:tcPr>
            <w:tcW w:w="6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RJ45+RJ11面板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单口网络面板</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一舟、普天、</w:t>
            </w:r>
            <w:r>
              <w:rPr>
                <w:rFonts w:hint="eastAsia" w:ascii="Times New Roman" w:hAnsi="Times New Roman" w:eastAsia="宋体" w:cs="Times New Roman"/>
                <w:i w:val="0"/>
                <w:iCs w:val="0"/>
                <w:color w:val="000000"/>
                <w:kern w:val="0"/>
                <w:sz w:val="20"/>
                <w:szCs w:val="20"/>
                <w:highlight w:val="none"/>
                <w:u w:val="none"/>
                <w:lang w:val="en-US" w:eastAsia="zh-CN" w:bidi="ar"/>
              </w:rPr>
              <w:t>高岘</w:t>
            </w:r>
          </w:p>
        </w:tc>
        <w:tc>
          <w:tcPr>
            <w:tcW w:w="6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RJ45网络面板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网络模块</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一舟、普天、</w:t>
            </w:r>
            <w:r>
              <w:rPr>
                <w:rFonts w:hint="eastAsia" w:ascii="Times New Roman" w:hAnsi="Times New Roman" w:eastAsia="宋体" w:cs="Times New Roman"/>
                <w:i w:val="0"/>
                <w:iCs w:val="0"/>
                <w:color w:val="000000"/>
                <w:kern w:val="0"/>
                <w:sz w:val="20"/>
                <w:szCs w:val="20"/>
                <w:highlight w:val="none"/>
                <w:u w:val="none"/>
                <w:lang w:val="en-US" w:eastAsia="zh-CN" w:bidi="ar"/>
              </w:rPr>
              <w:t>高岘</w:t>
            </w:r>
          </w:p>
        </w:tc>
        <w:tc>
          <w:tcPr>
            <w:tcW w:w="6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网络模块国标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语音模块</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一舟、普天、</w:t>
            </w:r>
            <w:r>
              <w:rPr>
                <w:rFonts w:hint="eastAsia" w:ascii="Times New Roman" w:hAnsi="Times New Roman" w:eastAsia="宋体" w:cs="Times New Roman"/>
                <w:i w:val="0"/>
                <w:iCs w:val="0"/>
                <w:color w:val="000000"/>
                <w:kern w:val="0"/>
                <w:sz w:val="20"/>
                <w:szCs w:val="20"/>
                <w:highlight w:val="none"/>
                <w:u w:val="none"/>
                <w:lang w:val="en-US" w:eastAsia="zh-CN" w:bidi="ar"/>
              </w:rPr>
              <w:t>高岘</w:t>
            </w:r>
          </w:p>
        </w:tc>
        <w:tc>
          <w:tcPr>
            <w:tcW w:w="6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电话语音模块国标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图腾、一舟、三拓</w:t>
            </w:r>
          </w:p>
        </w:tc>
        <w:tc>
          <w:tcPr>
            <w:tcW w:w="6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交换机</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端口类型≥24×10/100/1000Base-T以太网端口，≥4×1000 Base-X SFP光口；交换容量(G)≥336Gbps，转发性能(Mpps) ≥78Mpps；支持STP/RSTP/MSTP，支持802.1Q (最大4K个VLAN)；支持静态路由，支持DHCP Relay，支持DHCP Client，支持DHCP Snooping， 支持DHCP Server； 支持IPv6静态路由、双协议栈，支持DHCPv6 Client、DHCPv6 Snooping，支持ND、PMTU，支持IPv6 Ping、IPv6 Telnet、IPv6 SSHv2、IPv6域名解析；支持IGMP V1/V2/V3 Snooping；支持端口限速；支持IP＋MAC+PORT绑定功能；支持WEB/SNMP/云平台/手机APP管理，拥有强劲的管理工具，支持远程运维和调试；支持命令行接口（CLI）配置，支持通过Console口配置</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交换机</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端口类型≥24×10/100/1000Base-T以太网端口，≥4×1000 Base-X SFP光口；交换容量(G)≥336Gbps，转发性能(Mpps) ≥78Mpps，POE供电功率≥370W ；支持STP/RSTP/MSTP，支持802.1Q (最大4K个VLAN)；支持静态路由，支持DHCP Relay，支持DHCP Client，支持DHCP Snooping，支持DHCP Server； 支持IPv6静态路由、双协议栈，支持DHCPv6 Client、DHCPv6 Snooping，支持ND、PMTU，支持IPv6 Ping、IPv6 Telnet、IPv6 SSHv2、IPv6域名解析；支持IGMP V1/V2/V3 Snooping；支持端口限速；支持IP＋MAC+PORT绑定功能；支持WEB/SNMP/云平台/手机APP管理，拥有强劲的管理工具，支持远程运维和调试；支持命令行接口（CLI）配置，支持通过Console口配置</w:t>
            </w:r>
            <w:r>
              <w:rPr>
                <w:rFonts w:hint="eastAsia" w:ascii="Times New Roman" w:hAnsi="Times New Roman" w:eastAsia="宋体" w:cs="Times New Roman"/>
                <w:i w:val="0"/>
                <w:iCs w:val="0"/>
                <w:color w:val="000000"/>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电梯摄像头</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宇视、海康威视、大华</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 mm，水平视场角：97°，垂直视场角：52.3°，对角线视场角：114.3°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 mm，水平视场角：78.8°，垂直视场角：40.5°，对角线视场角：93.9°</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 mm，水平视场角：49.1°，垂直视场角：26.3°，对角线视场角：57.2°</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 mm，水平视场角：37.5°，垂直视场角：20.7°，对角线视场角：43.3°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无线网桥</w:t>
            </w:r>
          </w:p>
        </w:tc>
        <w:tc>
          <w:tcPr>
            <w:tcW w:w="64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H3C、锐捷、迪普</w:t>
            </w:r>
          </w:p>
        </w:tc>
        <w:tc>
          <w:tcPr>
            <w:tcW w:w="66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2个10/100/1000Base-T以太网端口，内置2根 14dBi高增益定向天线 水平42° 垂直24°，867 Mbps，14dBi定向天线，企业级高功率放大器，传输距离可达5KM，直流、PoE双供电；企业级防雷、宽温器件；工业级防水、防尘设计；外形尺寸（W×D×H）；83mm×230m×56mm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39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8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宇视、海康威视、大华</w:t>
            </w:r>
          </w:p>
        </w:tc>
        <w:tc>
          <w:tcPr>
            <w:tcW w:w="66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400万 1/3" CMOS ICR日夜型半球型网络摄像机</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智能侦测：越界侦测，区域入侵侦测</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最低照度: 彩色：0.005 Lux @（F1.2，AGC ON)），黑白：0 Lux with IR</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宽动态: 120 dB</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调节角度: 水平：0°~360°，垂直：0°~75°，旋转：0°~360°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焦距&amp;视场角: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补光灯类型: 红外灯</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补光距离: 最远可达30 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波长范围: 850 nm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防补光过曝: 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最大图像尺寸: 2560 × 1440</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视频压缩标准: 主码流：H.265/H.264</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网络存储: 支持NAS（NFS，SMB/CIFS均支持）</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音频:1个内置麦克风</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网络:1个RJ45 10 M/100 M自适应以太网口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存储温湿度: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启动和工作温湿度: -30 ℃~60 ℃，湿度小于95%（无凝结）</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供电方式: DC：12 V ± 25%，支持防反接保护；PoE：802.3af，Class 3</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电流及功耗: DC： 12 V，0.41 A，最大功耗：5 W；PoE：802.3af，36 V~57 V，0.18 A ~0.11 A，最大功耗：6.5 W</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电源接口类型: Ø5.5 mm圆口</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产品尺寸: Ø127.3 × 96.8 mm</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包装尺寸: 150 × 150 × 141 mm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设备重量: 320 g </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带包装重量: 530 g</w:t>
            </w:r>
          </w:p>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防护: IP66</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cs="Times New Roman"/>
          <w:highlight w:val="none"/>
        </w:rPr>
      </w:pPr>
      <w:r>
        <w:rPr>
          <w:rFonts w:hint="default" w:ascii="Times New Roman" w:hAnsi="Times New Roman" w:eastAsia="宋体" w:cs="Times New Roman"/>
          <w:b/>
          <w:color w:val="auto"/>
          <w:sz w:val="21"/>
          <w:szCs w:val="21"/>
          <w:highlight w:val="none"/>
        </w:rPr>
        <w:t>注</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bCs/>
          <w:color w:val="auto"/>
          <w:sz w:val="21"/>
          <w:szCs w:val="21"/>
          <w:highlight w:val="none"/>
        </w:rPr>
        <w:t>以上清单</w:t>
      </w:r>
      <w:r>
        <w:rPr>
          <w:rFonts w:hint="default" w:ascii="Times New Roman" w:hAnsi="Times New Roman" w:eastAsia="宋体" w:cs="Times New Roman"/>
          <w:b/>
          <w:color w:val="auto"/>
          <w:sz w:val="21"/>
          <w:szCs w:val="21"/>
          <w:highlight w:val="none"/>
          <w:lang w:eastAsia="zh-CN"/>
        </w:rPr>
        <w:t>中的参考品牌仅供参考，投标人可以选择其他品牌及产品性能不低于参考品牌的设备进行报价，须在技术部分中提供相关证明资料及详细说明响应情况，如经评委会2/3及以上评委认定投标人响应的设备品牌及产品性能低于参考品牌的，按未实质性响应招标文件要求处理，作无效标处理。</w:t>
      </w:r>
    </w:p>
    <w:p>
      <w:pPr>
        <w:bidi w:val="0"/>
        <w:ind w:left="0" w:leftChars="0" w:firstLine="0" w:firstLineChars="0"/>
        <w:rPr>
          <w:rFonts w:hint="default" w:ascii="Times New Roman" w:hAnsi="Times New Roman" w:eastAsia="宋体" w:cs="Times New Roman"/>
          <w:b/>
          <w:bCs/>
          <w:highlight w:val="none"/>
          <w:lang w:val="en-US" w:eastAsia="zh-CN"/>
        </w:rPr>
      </w:pPr>
    </w:p>
    <w:p>
      <w:pPr>
        <w:bidi w:val="0"/>
        <w:ind w:left="0" w:leftChars="0" w:firstLine="0" w:firstLineChars="0"/>
        <w:rPr>
          <w:rFonts w:hint="default" w:ascii="Times New Roman" w:hAnsi="Times New Roman" w:eastAsia="宋体" w:cs="Times New Roman"/>
          <w:b/>
          <w:bCs/>
          <w:highlight w:val="none"/>
          <w:lang w:val="en-US" w:eastAsia="zh-CN"/>
        </w:rPr>
      </w:pPr>
    </w:p>
    <w:p>
      <w:pPr>
        <w:bidi w:val="0"/>
        <w:ind w:left="0" w:leftChars="0" w:firstLine="0" w:firstLineChars="0"/>
        <w:rPr>
          <w:rFonts w:hint="default" w:ascii="Times New Roman" w:hAnsi="Times New Roman" w:eastAsia="宋体" w:cs="Times New Roman"/>
          <w:b/>
          <w:bCs/>
          <w:highlight w:val="none"/>
          <w:lang w:val="en-US" w:eastAsia="zh-CN"/>
        </w:rPr>
      </w:pPr>
    </w:p>
    <w:p>
      <w:pPr>
        <w:bidi w:val="0"/>
        <w:ind w:left="0" w:leftChars="0" w:firstLine="0" w:firstLineChars="0"/>
        <w:rPr>
          <w:rFonts w:hint="default" w:ascii="Times New Roman" w:hAnsi="Times New Roman" w:eastAsia="宋体" w:cs="Times New Roman"/>
          <w:b/>
          <w:bCs/>
          <w:highlight w:val="none"/>
          <w:lang w:val="en-US" w:eastAsia="zh-CN"/>
        </w:rPr>
      </w:pPr>
    </w:p>
    <w:p>
      <w:pPr>
        <w:bidi w:val="0"/>
        <w:ind w:left="0" w:leftChars="0" w:firstLine="0" w:firstLineChars="0"/>
        <w:rPr>
          <w:rFonts w:hint="default" w:ascii="Times New Roman" w:hAnsi="Times New Roman" w:eastAsia="宋体" w:cs="Times New Roman"/>
          <w:b/>
          <w:bCs/>
          <w:highlight w:val="none"/>
          <w:lang w:val="en-US" w:eastAsia="zh-CN"/>
        </w:rPr>
      </w:pPr>
    </w:p>
    <w:p>
      <w:pPr>
        <w:bidi w:val="0"/>
        <w:ind w:left="0" w:leftChars="0" w:firstLine="0" w:firstLineChars="0"/>
        <w:rPr>
          <w:rFonts w:hint="default" w:ascii="Times New Roman" w:hAnsi="Times New Roman" w:eastAsia="宋体" w:cs="Times New Roman"/>
          <w:b/>
          <w:bCs/>
          <w:highlight w:val="none"/>
          <w:lang w:val="en-US" w:eastAsia="zh-CN"/>
        </w:rPr>
      </w:pPr>
    </w:p>
    <w:p>
      <w:pPr>
        <w:bidi w:val="0"/>
        <w:ind w:left="0" w:leftChars="0" w:firstLine="0" w:firstLineChars="0"/>
        <w:rPr>
          <w:rFonts w:hint="default" w:ascii="Times New Roman" w:hAnsi="Times New Roman" w:eastAsia="宋体" w:cs="Times New Roman"/>
          <w:b/>
          <w:bCs/>
          <w:highlight w:val="none"/>
          <w:lang w:val="en-US" w:eastAsia="zh-CN"/>
        </w:rPr>
      </w:pPr>
    </w:p>
    <w:p>
      <w:pPr>
        <w:bidi w:val="0"/>
        <w:ind w:left="0" w:leftChars="0" w:firstLine="0" w:firstLineChars="0"/>
        <w:rPr>
          <w:rFonts w:hint="default" w:ascii="Times New Roman" w:hAnsi="Times New Roman" w:eastAsia="宋体" w:cs="Times New Roman"/>
          <w:b/>
          <w:bCs/>
          <w:highlight w:val="none"/>
          <w:lang w:val="en-US" w:eastAsia="zh-CN"/>
        </w:rPr>
      </w:pPr>
    </w:p>
    <w:p>
      <w:pPr>
        <w:bidi w:val="0"/>
        <w:ind w:left="0" w:leftChars="0" w:firstLine="0" w:firstLineChars="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3.7.17综合管线</w:t>
      </w:r>
    </w:p>
    <w:p>
      <w:pPr>
        <w:bidi w:val="0"/>
        <w:ind w:left="0" w:leftChars="0" w:firstLine="0" w:firstLineChars="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室外综合管路</w:t>
      </w: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7"/>
        <w:gridCol w:w="2204"/>
        <w:gridCol w:w="5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2204"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模块/应用名称</w:t>
            </w:r>
          </w:p>
        </w:tc>
        <w:tc>
          <w:tcPr>
            <w:tcW w:w="5322"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设备名称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1、塑料电线管埋地敷设 PE50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1、镀锌钢管地埋敷设 SC50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1、室外型超五类非屏蔽双绞线 WCAT5E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1、铜芯电力电缆敷设 WDZ-YJV-3×4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1、控制电缆敷设 KVVR-2×1.5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1、户内干包式电力电缆头制安 干包终端头(1kV以下截面mm2以下)35~10mm²及以下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1、室外6芯单模光缆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1、48芯抽屉式光纤配线架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1、SC-LC双芯单模跳线，2米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1、SC单模尾纤，2米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1、光纤连接，熔接法单模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1、6芯光缆终端盒，含耦合器、尾纤等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1、SC单模适配器</w:t>
            </w:r>
          </w:p>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2、采用磷青铜套管材料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1、室外手孔井 500×500×500(mm),含井盖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1、挖一般土方，土方类别综合考虑，干湿土综合考虑</w:t>
            </w:r>
          </w:p>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2、含人工辅助开挖基底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1、原土回填，含景观绿化修复费用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1、混凝土拆除及修复，含建筑垃圾外运及处置费用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1、沥青路面拆除及修复，含建筑垃圾外运及处置费用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220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5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室外箱600×800×400mm；防水，含基础接地，含浪涌保护器、空气开关模块、漏电保护器等（箱体尺寸需根据所安装设备的容量进行复核）</w:t>
            </w:r>
          </w:p>
        </w:tc>
      </w:tr>
    </w:tbl>
    <w:p>
      <w:pPr>
        <w:bidi w:val="0"/>
        <w:ind w:left="0" w:leftChars="0" w:firstLine="0" w:firstLineChars="0"/>
        <w:rPr>
          <w:rFonts w:hint="default" w:ascii="Times New Roman" w:hAnsi="Times New Roman" w:cs="Times New Roman"/>
          <w:highlight w:val="none"/>
        </w:rPr>
      </w:pPr>
    </w:p>
    <w:p>
      <w:pPr>
        <w:pStyle w:val="2"/>
        <w:rPr>
          <w:rFonts w:hint="default" w:ascii="Times New Roman" w:hAnsi="Times New Roman" w:cs="Times New Roman"/>
          <w:highlight w:val="none"/>
        </w:rPr>
      </w:pPr>
    </w:p>
    <w:tbl>
      <w:tblPr>
        <w:tblStyle w:val="37"/>
        <w:tblW w:w="0" w:type="auto"/>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8"/>
        <w:gridCol w:w="2266"/>
        <w:gridCol w:w="52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序号</w:t>
            </w:r>
          </w:p>
        </w:tc>
        <w:tc>
          <w:tcPr>
            <w:tcW w:w="2266"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模块/应用名称</w:t>
            </w:r>
          </w:p>
        </w:tc>
        <w:tc>
          <w:tcPr>
            <w:tcW w:w="5251" w:type="dxa"/>
            <w:tcBorders>
              <w:top w:val="single" w:color="000000" w:sz="4" w:space="0"/>
              <w:left w:val="single" w:color="000000" w:sz="4" w:space="0"/>
              <w:bottom w:val="single" w:color="000000" w:sz="4" w:space="0"/>
              <w:right w:val="single" w:color="000000" w:sz="4" w:space="0"/>
            </w:tcBorders>
            <w:shd w:val="clear" w:color="auto" w:fill="DDEBF7"/>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b/>
                <w:bCs/>
                <w:i w:val="0"/>
                <w:iCs w:val="0"/>
                <w:color w:val="000000"/>
                <w:sz w:val="20"/>
                <w:szCs w:val="20"/>
                <w:highlight w:val="none"/>
                <w:u w:val="none"/>
              </w:rPr>
            </w:pPr>
            <w:r>
              <w:rPr>
                <w:rFonts w:hint="default" w:ascii="Times New Roman" w:hAnsi="Times New Roman" w:eastAsia="宋体" w:cs="Times New Roman"/>
                <w:b/>
                <w:bCs/>
                <w:i w:val="0"/>
                <w:iCs w:val="0"/>
                <w:color w:val="000000"/>
                <w:kern w:val="0"/>
                <w:sz w:val="20"/>
                <w:szCs w:val="20"/>
                <w:highlight w:val="none"/>
                <w:u w:val="none"/>
                <w:lang w:val="en-US" w:eastAsia="zh-CN" w:bidi="ar"/>
              </w:rPr>
              <w:t>设备名称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1、砖、混凝土结构明配刚性阻燃管 PC25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1、砖、混凝土结构暗配钢管 SC25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1、管内穿多芯软导线 RVV-2×1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1、管内穿多芯软导线 RVV-2×1.5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1、管内穿六类非屏蔽双绞线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1、桥架内穿六类非屏蔽双绞线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1、HDMI高清线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1、弱电金属桥架 200×100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1、金属桥架配件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1、室外6芯单模光缆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1、管内穿4芯语音电话线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24口非屏蔽六类配线架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22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52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1U金属带盖理线架</w:t>
            </w:r>
          </w:p>
        </w:tc>
      </w:tr>
    </w:tbl>
    <w:p>
      <w:pPr>
        <w:bidi w:val="0"/>
        <w:ind w:left="0" w:leftChars="0" w:firstLine="0" w:firstLineChars="0"/>
        <w:rPr>
          <w:rFonts w:hint="default" w:ascii="Times New Roman" w:hAnsi="Times New Roman" w:eastAsia="宋体" w:cs="Times New Roman"/>
          <w:b w:val="0"/>
          <w:bCs w:val="0"/>
          <w:highlight w:val="none"/>
          <w:lang w:val="en-US" w:eastAsia="zh-CN"/>
        </w:rPr>
      </w:pPr>
      <w:bookmarkStart w:id="74" w:name="_Toc6002"/>
      <w:bookmarkStart w:id="75" w:name="_Toc19737"/>
      <w:bookmarkStart w:id="76" w:name="_Toc32275"/>
      <w:bookmarkStart w:id="77" w:name="_Toc23700"/>
      <w:bookmarkStart w:id="78" w:name="_Toc21022_WPSOffice_Level1"/>
    </w:p>
    <w:p>
      <w:pPr>
        <w:bidi w:val="0"/>
        <w:spacing w:line="360" w:lineRule="auto"/>
        <w:ind w:left="0" w:leftChars="0" w:firstLine="0" w:firstLineChars="0"/>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3.8</w:t>
      </w:r>
      <w:bookmarkEnd w:id="74"/>
      <w:r>
        <w:rPr>
          <w:rFonts w:hint="eastAsia" w:ascii="Times New Roman" w:hAnsi="Times New Roman" w:eastAsia="宋体" w:cs="Times New Roman"/>
          <w:b/>
          <w:bCs/>
          <w:highlight w:val="none"/>
          <w:lang w:val="en-US" w:eastAsia="zh-CN"/>
        </w:rPr>
        <w:t>系统安全要求</w:t>
      </w:r>
    </w:p>
    <w:p>
      <w:pPr>
        <w:bidi w:val="0"/>
        <w:spacing w:line="360" w:lineRule="auto"/>
        <w:ind w:left="0" w:leftChars="0" w:firstLine="0" w:firstLineChars="0"/>
        <w:rPr>
          <w:rFonts w:hint="default" w:ascii="Times New Roman" w:hAnsi="Times New Roman" w:eastAsia="宋体" w:cs="Times New Roman"/>
          <w:b/>
          <w:bCs/>
          <w:highlight w:val="none"/>
          <w:lang w:val="en-US" w:eastAsia="zh-CN"/>
        </w:rPr>
      </w:pPr>
      <w:bookmarkStart w:id="79" w:name="_Toc7041"/>
      <w:r>
        <w:rPr>
          <w:rFonts w:hint="default" w:ascii="Times New Roman" w:hAnsi="Times New Roman" w:eastAsia="宋体" w:cs="Times New Roman"/>
          <w:b/>
          <w:bCs/>
          <w:highlight w:val="none"/>
          <w:lang w:val="en-US" w:eastAsia="zh-CN"/>
        </w:rPr>
        <w:t>3.8.1安全体系概要</w:t>
      </w:r>
      <w:bookmarkEnd w:id="79"/>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字化系统安全是一项复杂而庞大的系统工程，单靠一种或几种单元安全技术都无法解决系统安全问题。必须以完整的安全体系结构模型为依据，确保整个安全体系的完备性、合理性和适应性，为提供全面的、多方位的和合理的安全服务，切实满足各方面各层次的安全需求，在合理的代价下将各种安全风险降低到可以接受的水平，最终达到保证正常可靠运行和使用的目的。安全体系中包含三部分：技术保障、管理保障和安全服务。</w:t>
      </w:r>
    </w:p>
    <w:p>
      <w:pPr>
        <w:bidi w:val="0"/>
        <w:spacing w:line="360" w:lineRule="auto"/>
        <w:ind w:left="0" w:leftChars="0" w:firstLine="0" w:firstLineChars="0"/>
        <w:rPr>
          <w:rFonts w:hint="default" w:ascii="Times New Roman" w:hAnsi="Times New Roman" w:eastAsia="宋体" w:cs="Times New Roman"/>
          <w:b/>
          <w:bCs/>
          <w:highlight w:val="none"/>
          <w:lang w:val="en-US" w:eastAsia="zh-CN"/>
        </w:rPr>
      </w:pPr>
      <w:bookmarkStart w:id="80" w:name="_Toc12369"/>
      <w:r>
        <w:rPr>
          <w:rFonts w:hint="default" w:ascii="Times New Roman" w:hAnsi="Times New Roman" w:eastAsia="宋体" w:cs="Times New Roman"/>
          <w:b/>
          <w:bCs/>
          <w:highlight w:val="none"/>
          <w:lang w:val="en-US" w:eastAsia="zh-CN"/>
        </w:rPr>
        <w:t>3.8.2技术保障</w:t>
      </w:r>
      <w:bookmarkEnd w:id="80"/>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技术保障是整个系统安全体系的基础。目前安全技术发展迅速，一个良好的安全方案必须根据实际的需求来选择最适用的安全技术。这个选择过程基于一个模型：协议层次安全模型。</w:t>
      </w:r>
    </w:p>
    <w:p>
      <w:pPr>
        <w:bidi w:val="0"/>
        <w:spacing w:line="360" w:lineRule="auto"/>
        <w:ind w:left="0" w:leftChars="0" w:firstLine="0" w:firstLineChars="0"/>
        <w:jc w:val="center"/>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val="0"/>
          <w:bCs w:val="0"/>
          <w:highlight w:val="none"/>
          <w:lang w:val="en-US" w:eastAsia="zh-CN"/>
        </w:rPr>
        <w:object>
          <v:shape id="_x0000_i1083" o:spt="75" type="#_x0000_t75" style="height:276.15pt;width:416.5pt;" o:ole="t" filled="f" o:preferrelative="t" stroked="f" coordsize="21600,21600">
            <v:path/>
            <v:fill on="f" focussize="0,0"/>
            <v:stroke on="f" joinstyle="miter"/>
            <v:imagedata r:id="rId19" o:title=""/>
            <o:lock v:ext="edit" aspectratio="t"/>
            <w10:wrap type="none"/>
            <w10:anchorlock/>
          </v:shape>
          <o:OLEObject Type="Embed" ProgID="Visio.Drawing.11" ShapeID="_x0000_i1083" DrawAspect="Content" ObjectID="_1468075725" r:id="rId18">
            <o:LockedField>false</o:LockedField>
          </o:OLEObject>
        </w:object>
      </w:r>
      <w:r>
        <w:rPr>
          <w:rFonts w:hint="default" w:ascii="Times New Roman" w:hAnsi="Times New Roman" w:eastAsia="宋体" w:cs="Times New Roman"/>
          <w:b w:val="0"/>
          <w:bCs w:val="0"/>
          <w:highlight w:val="none"/>
          <w:lang w:val="en-US" w:eastAsia="zh-CN"/>
        </w:rPr>
        <w:t>图协议层次安全模型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基于以上的模型，在系统的实施中采用以下的技术措施来保障系统的安全：冗余技术、网络隔离技术、访问控制技术、身份鉴别技术、加密技术、监控审计技术、安全评估技术等。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A.网络系统部分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网络系统安全是网络的开放性、无边界性、自由性造成，安全解决关键是把被保护的网络从开放、无边界、自由的环境中独立出来，使网络成为可控制、管理的内部系统，由于网络系统是应用系统的基础，网络安全成为首要问题，解决网络安全主要方式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网络冗余解决网络系统单点故障的重要措施，对关键性的网络线路、设备我们采用必要的双备份的方式，网络运行时双方对运营状态相互实时监控并自动调整，当网络的一段或一点发生故障或网络信息流量突变时能在有效时间内进行切换分配，保证网络正常的运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系统隔离分为物理隔离和逻辑隔离，主要从网络安全等级考虑划分合理的网络安全边界，使不同安全级别的网络或信息媒介不能相互访问，从而达到安全目的。针对本系统特点一般把信息发布的公网部分和海关等部门连接的业务处理部分采用物理隔离。内部办公网络和业务系统采用VLAN技术和通信协议实行逻辑隔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访问控制对于网络不同信任域实现双向控制或有限访问原则，使受控的子网或主机访问权限和信息流向能得到有效控制。具体相对网络对象而言需要解决网络的边界的控制和网络内部的控制，对于网络资源来说保持有限访问的原则，信息流向则可根据安全需求实现单向或双向控制。访问控制最重要的设备就是防火墙，它一般安置在不同安全域出入口处，对进出网络的IP信息包进行过滤并按企业安全政策进行信息流控制，同时实现网络地址转换、实时信息审计告警等功能。在公网和系统交接处，内部和各职能部门及与大通关交接处使用防火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身份鉴别是对网络访问者权限的识别，一般通过三种方式验证主体身份，一是主体了解的秘密，如用户名、口令、密钥；二是主体携带的物品，如磁卡、IC卡、动态口令卡和令牌卡等；三是主体特征或能力，如指纹、声音、视网膜、签名等。在系统中我们主要使用户名、口令、密钥，对关键的如支付等信息管理、海关类监管信息采用结合IC卡的CA类技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加密为了防止网络上的窃听、泄漏、篡改和破坏，保证信息传输安全，对网上数据使用加密手段是最为有效的方式。目前加密可以在三个层次来实现，即链路层加密、网络层加密和应用层加密。链路加密侧重通信链路而不考虑信源和信宿，他对网络高层主体是透明的。网络层加密采用IPSEC核心协议，具有加密、认证双重功能，是在IP层实现的安全标准。目前系统在应用层实施加密，主要用于对支付等信息的安全保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安全监测采取信息侦听的方式寻找未授权的网络访问尝试和违规行为，包括网络系统的扫描、预警、阻断、记录、跟踪等，从而发现系统遭受的攻击伤害。网络扫描监测系统作为对付电脑黑客最有效的技术手段，具有实时、自适应、主动识别和响应等特征，广泛用于各行各业。系统配备一套攻击检测软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网络扫描针对网络设备的安全漏洞进行检测和分析，包括网络通信服务、路由器、防火墙、邮件、WEB服务器等，从而识别能被入侵者利用非法进入的网络漏洞。网络扫描系统对检测到的漏洞信息形成详细报告，包括位置、详细描述和建议的改进方案，使网管能检测和管理安全风险信息。系统配备一套漏洞扫描软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B.操作系统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操作系统是管理计算机资源的核心系统负责信息发送、管理设备存储空间和各种系统资源的调度，它作为应用系统的软件平台具有通用性和易用性，操作系统安全性直接关系到应用系统的安全，操作系统安全分为应用安全和安全漏洞扫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应用安全面向应用选择可靠的操作系统并按正确的操作流程使用计算机系统，杜绝使用来历不明的软件，安装操作系统保护与恢复软件并作相应的备份。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系统扫描基于主机的安全评估系统是在严格的基础上对系统的安全风险级别进行划分，并提供完整的安全漏洞检查列表，通过不同版本的操作系统进行扫描分析，对扫描漏洞自动修补形成报告，保护应用程序、数据免受盗用、破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病毒防治系统通过安装专业的病毒防治软件来保证系统不受病毒的破坏。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C.应用系统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应用系统的安全由以下技术提供保障：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访问授权体系在系统中建立完善的数据或者功能访问体系，建立基于角色的访问控制系统，用于保证所有的访问都是得到授权的。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加密与防抵赖对往来数据使用MD5校验，对部分如支付等敏感数据采用基于CA的安全技术。通过应用层的加密和身份验证技术来保证数据的可靠性和完整性。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bookmarkStart w:id="81" w:name="_Toc5083"/>
      <w:r>
        <w:rPr>
          <w:rFonts w:hint="default" w:ascii="Times New Roman" w:hAnsi="Times New Roman" w:eastAsia="宋体" w:cs="Times New Roman"/>
          <w:b/>
          <w:bCs/>
          <w:highlight w:val="none"/>
          <w:lang w:val="en-US" w:eastAsia="zh-CN"/>
        </w:rPr>
        <w:t>3.8.3管理保障</w:t>
      </w:r>
      <w:bookmarkEnd w:id="81"/>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面对网络安全的脆弱性，除了运用先进的网络安全技术和安全系统外，完善的网络安全管理将是系统安全建设的重要组成部分，许多不安全的因素恰恰反映在组织资源管理上，安全管理应该贯穿在安全的各个层次上。制定组织的安全规章制度并严格执行是安全管理的必由之路。安全的规章制度必须注意以下的安全管理三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多人负责原则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每一项与安全有关的活动，都必须有两人或多人在场。这些人应是系统主管领导指派的，他们忠诚可靠，能胜任此项工作；他们应该签署工作情况记录以证明安全工作已得到保障。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任期有限原则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一般地讲，任何人最好不要长期担任与安全有关的职务，以免使他认为这个职务是专有的或永久性的。为遵循任期有限原则，工作人员应不定期地循环任职，强制实行休假制度，并规定对工作人员进行轮流培训，以使任期有限制度切实可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职责分离原则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在信息处理系统工作的人员不要打听、了解或参与职责以外的任何与安全有关的事情，除非系统主管领导批准。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bookmarkStart w:id="82" w:name="_Toc13438"/>
      <w:r>
        <w:rPr>
          <w:rFonts w:hint="default" w:ascii="Times New Roman" w:hAnsi="Times New Roman" w:eastAsia="宋体" w:cs="Times New Roman"/>
          <w:b/>
          <w:bCs/>
          <w:highlight w:val="none"/>
          <w:lang w:val="en-US" w:eastAsia="zh-CN"/>
        </w:rPr>
        <w:t>3.8.4安全服务</w:t>
      </w:r>
      <w:bookmarkEnd w:id="82"/>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建立网络安全保障体系不能仅仅依靠现有的安全机制和设备，更重要的是获取全方位的安全服务。网络安全不是几种安全产品的集合，它作为一项系统工程已经形成了自己的专业体系，没有先进科学的知识结构很难对此进行全面细致的把握；网络安全系统存在固有弱点，即使最微小的安全漏洞都可能引发整个网络系统的崩溃；同时网络安全处在信息产业飞速发展的大环境下，现有的系统安全只是暂时的、静态的，所有这些问题都必须通过持续全面的安全服务来解决。完善的安全服务应包括全方位的安全咨询，整体系统安全的策划、设计，优质的工程实施、细致及时的售后服务和技术培训。除此之外，定期的网络安全风险评估，制定特别事件应急响应方案扩充了安全服务的内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下面对所有应用系统的仓库——数据库产品安全进行详细描述。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bookmarkStart w:id="83" w:name="_Toc7491"/>
      <w:r>
        <w:rPr>
          <w:rFonts w:hint="default" w:ascii="Times New Roman" w:hAnsi="Times New Roman" w:eastAsia="宋体" w:cs="Times New Roman"/>
          <w:b/>
          <w:bCs/>
          <w:highlight w:val="none"/>
          <w:lang w:val="en-US" w:eastAsia="zh-CN"/>
        </w:rPr>
        <w:t>3.8.5数据库安全</w:t>
      </w:r>
      <w:bookmarkEnd w:id="83"/>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Oracle数据库是业界安全性方面最完备的数据库产品。在数据库安全性的国际标准中，Oracle通过了14项标准的测试，是所有数据库产品中通过安全性标准最多、最全面的产品。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Oracle提供的主要安全性设计措施如下：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1）身份认证功能（Authentication）：识别访问个体的身份。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2）数据访问的机密性（Confidentialty）：保证敏感数据访问的机密性。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3）数据完整性（Integrity）：保证数据不被篡改。</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4）授权能力（Authorization）：保证被授权用户对数据的查询和修改能力。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5）访问控制（AccessControl）：确定对指定数据的访问能力。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6）审计能力（Auditing）：提供监测用户行为的能力。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7）私有性（Privacy）：提供对敏感数据访问的私密性。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8）高可用性（Availability）：保证数据和系统提供不间断服务的能力。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9）代理管理能力（DelegatedAdministration）：提供对用户帐号的集中管理功能。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3.8.5.1 Profile设计控制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Oracle利用profile机制来管理会话资源占用，同时也管理用户密码的安全策略。通过profile我们可以实现：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某个特定用户最多只能占用系统百分之几的CPU时间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某个特定用户连接到数据库之后能存活多长时间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某个特定用户连接到数据库之后多长时间处于非活跃状态就将被系统中断连接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用户登录密码输入错误多少次之后就将自动锁定用户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用户密码的长度和包含的字符必须符合什么样的规则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用户密码在多少天后将自动失效并要求设定新密码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3.8.5.2用户权限设计控制（Privilage）</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Oracle通过角色（Role），权限（Privilage）等的一系列授予（Grant）和回收（Revoke）操作可以有效的进行用户的权限控制。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通过权限控制我们可以实现：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某个特定用户只能读取而不能修改另一个用户的表数据。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某个特定用户只能运行Oracle数据库系统的几个存储过程或者函数。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某个特定用户自己能够拥有修改某些数据的权力，但是却无法给其它不拥有这个权限的用户授予修改该数据的权力。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某个特定用户可以读取数据但是无法创建新的表空间。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3.8.5.3 OraceLabelSecurity设计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基于对由客户提交的行级安全性的严格要求，OracleLabelSecurity（Oracle数据库企业版的选件之一）利用多级安全性概念解决了世界上政府和商业用户在实际中遇到的数据安全和隐私问题。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OLS通过利用数据敏感度标签（例如“敏感”和“公司机密”）与用户标签授权，提供了完善的行级安全性控制。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OLS使用政策概念来存储标签定义和授权。该政策可直接在数据库中进行管理，或在Oracle身份管理中进行集中管理。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3.8.5.4 OracleDatabaseVault设计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通常数据库管理员如果具有了DBA权限，那么就很难防止这样的管理员查看应用程序数据。而OracleDatabaseVault则解决了必须保护涉及合作伙伴、员工和顾客的敏感业务信息或隐私数据的采购人最为担心的问题。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OracleDatabaseVault可防止高权限的应用程序DBA访问其他的应用程序、执行其权限之外的任务。OracleDatabaseVault可在不影响应用程序功能的前提下快速而高效地保护现有程序。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OracleDatabaseVault可通过下列方法解决一些最为常见的安全问题和内部威胁：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限制DBA和其他授权用户访问应用程序数据。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防止DBA操纵数据库和访问其他应用程序。OracleDatabaseVault提供了强大的职责划分控制功能，可防止擅自更改数据库。比如说如果一个用户具有CREATEUSER权限，但不具备正确的用户管理权限，则OracleDatabaseVault将阻止该DBA创建新用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更好的控制何人、何时、何地可以访问应用程序。如日期时间、数据库客户端在网络上的位置之类的因素。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3.6.5.5用户访问审计设计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审计是Oracle安全性的另一个重要领域，我们还必须小心地计划审计方案。有几种方式可在Oracle中进行审计：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1）SQL审计命令（标准审计）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通过AUDIT语句我们可以对成功或者不成功的特定对象的读取，更新操作进行审计。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标准审计只会记录较少的跟踪信息，比如发出该语句的用户、时间、终端标识号等等。</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该审计对于系统性能的影响更多地取决于对象的繁忙程度。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2）用对象触发器进行审计（也就是DML审计）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此类审计通常由采购人自行开发放置于特定数据库对象上的触发器，由于是自行开发，所以相对于标准审计则能够更自由地记录更多感兴趣的跟踪信息。比如更新操作将某个字段从什么原始值更新到了什么新值。</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该审计对于系统性能的影响更多地取决于对象的繁忙程度和触发器的编写水平。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3）用系统级触发器进行审计（记录用户登录和退出）</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当用户登录数据库或者离开数据库时，都可以通过自定义的触发器来记录用户名称，操作时间，终端标识号等信息。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由于触发器触发几率小，所以该审计对于系统性能影响并不大。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4）用LogMiner进行审计（也就是DML和DDL）</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Oracle数据库将所有的更新操作都记录在重作日志中，而Oracle提供了LogMiner工具用于挖掘重作日志中的所有操作，相比起上述的各种审计方法来说，该种审计可能是信息最为完善，对于应用系统性能影响最小的方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3.6.5.6数据库备份安全策略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本项目数据是系统的关键内容，所有要进行周期性的数据备份，一般数据备份有如下几种方式：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1）全备份（FullBackup）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所谓全备份，就是用一盘磁带对整个系统进行包括系统和数据的完全备份。这种备份方式的好处是很直观，容易被人理解。而且当发生数据丢失的灾难时，只要用一盘磁带（即灾难发生前一天的备份磁带），就可以恢复丢失的数据。但它也有不足之处：首先，由于每天都对系统进行完全备份，因此在备份数据中有大量内容是重复的，例如操作系统与应用程序。这些重复的数据占用了大量的磁带空间，这对用户来说就意味着增加成本；其次，由于需要备份的数据量相当大，因此备份所需时间较长。</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2）增量备份(IncrementalBackup)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增量备份指每次备份的数据只是相当于上一次备份后增加的和修改过的数据。这种备份的优点很明显：没有重复的备份数据，节省磁带空间，又缩短了备份时间。但它的缺点在于当发生灾难时，恢复数据比较麻烦。举例来说，如果系统在星期四的早晨发生故障，那么现在就需要将系统恢复到星期三晚上的状态。这时，管理员需要找出星期一的完全备份磁带进行系统恢复，然后再找出星期二的磁带来恢复星期二的数据，最后再找出星期三的磁带来恢复星期三的数据。很明显，这比第一种策略要麻烦得多。另外，在这种备份下，各磁带间的关系就像链子一样，一环套一环，其中任何一盘磁带出了问题，都会导致整条链子脱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3）差分备份(DifferentialBackup)</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差分备份就是每次备份的数据是相对于上一次全备份之后新增加的和修改过的数据。管理员先在星期一进行一次系统完全备份；然后在接下来的几天里，再将当天所有与星期一不同的数据（增加的或修改的）备份到磁带上。差分备份无需每天都做系统完全备份，因此备份所需时间短，并节省磁带空间，它的灾难恢复也很方便，系统管理员只需两盘磁带，即系统全备份的磁带与发生灾难前一天的备份磁带，就可以将系统完全恢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4）本系统的备份策略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本方案推荐系统采用差分备份方式进行数据备份，此种方式操作简单，备份时间短，容易恢复。系统备份的时间可以选在凌晨2-4时，由系统自动备份。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本系统采用分级存储原型（HierarchicalStorageManagement，HSM），将存储架构分为三个层次完成。它们分别由承担在线存储的磁盘阵列、近线存储的光盘库和离线存储的磁带库三部分组成。在制订存储策略时，一般应根据存储的二八原则，把20％的常用数据存放在磁盘阵列上，然后把80％数据存放在光盘库中；磁带库一方面可以完成数据备份的工作，另一方面，当需要节省光盘库成本时，也能把光盘库上的数据的一部分存放在磁带设备上，此时，一般应采用三七原则，把30％的常用数据存放在光盘库上，70％的不常用数据转移到磁带介质上。当需要访问那70％数据时，数据会从磁带库读到磁盘阵列以供用户访问，这将是一种经济而且有效地利用存储设备的管理方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bookmarkStart w:id="84" w:name="_Toc15766"/>
      <w:r>
        <w:rPr>
          <w:rFonts w:hint="default" w:ascii="Times New Roman" w:hAnsi="Times New Roman" w:eastAsia="宋体" w:cs="Times New Roman"/>
          <w:b/>
          <w:bCs/>
          <w:highlight w:val="none"/>
          <w:lang w:val="en-US" w:eastAsia="zh-CN"/>
        </w:rPr>
        <w:t>3.6.6应用系统安全措施</w:t>
      </w:r>
      <w:bookmarkEnd w:id="84"/>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3.6.6.1分级权限控制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在应用系统的各个子系统和各个环节中，都要对用户的身份进行认证，以保证用户的合法性。然后在此基础上，根据每个用户在应用系统中担当的不同角色，再对其权限进行管理，使不同级别的用户在应用系统中具有不同的功能权限，通过访问控制机制来控制用户的访问和操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操作权限管理主要是定义操作员的业务操作权限以及业务数据的访问和操作权限。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于一个业务机构来说，每一岗位的工作内容是相对稳定的，操作员所在的岗位是变化的，为了使本系统达到灵活、统一、通用的目的，在系统设计上，将操作员与业务操作权限分离，中间介入对岗位的业务权限。这样就使得操作员的岗位发生变化时，只需经过简单调整，就可获得新的业务操作权限，提高了工作效率。岗位的业务操作权限有两个层面，一层是对应用系统的使用；另一层是对数据的操作权限（可读/可写）。岗位的业务权限配置好后，再对操作员进行岗位的分配，这样就达到了对操作员业务授权的目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3.6.6.2弱密码检测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于过于简单的密码，如1234等密码，管理员可以进行程序的扫描和检测，得到相应的检测报告，管理员可以视情况决定是否封锁弱密码的帐号。该封锁过程可以是程序自动进行的，封锁后，会给系统管理员一个内部消息。</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3.6.6.3三次密码失败自动封锁账号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为了防止恶意人员猜测用户帐号，如果连续三次输入密码错误，系统将自动封锁该帐号，或者是3小时内不允许再次登陆。封锁后，系统会自动给管理员消息提醒。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3.6.6.4密码加密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在传输过程中，密码必须是加密的，根据网络传输协议，大多数传输的协议是明文协议，也就是说黑客等可以通过协议的侦听，获得传输内容，然后把汇编出数据。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关于协议的侦听技术已经非常成熟，所以密码在传输中必须是要进行加密的。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3.6.6.5密码加密的不可逆性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很多程序编写的时候，为了方便，密码是可逆加密的，即按照一定的算法，把加密的数据反转过来，从而获得密码，所以，我们的系统使用的密码采用了不可逆算法，即使被黑客获取到最后密码的存储数据，也无法获知真正的密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3.6.6.6核心数据加密存储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数据库中存放的数据大多数是明文存放，如果黑客一旦有机会侵入系统，如果是明文存放的，该数据很容易暴露出来。所以对一些核心数据，需要在数据库存储时，就进行了数据加密。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3.6.6.7日志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本系统提供了详细的日志记录，可以查出谁在什么时候，用了哪个功能，对于登陆失败也有详细记录。这样的日志系统可以辅助系统管理员对系统的运行过程进行分析，及时发现问题。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3.6.6.8访问时间段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可以设定某个或某些用户，只有在某个时间段才能使用，如一个用户只能在上班时间才能使用，下班后，就不可使用。这种方式也会加强系统的安全性。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3.6.6.9数据库的默认密码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现在很多应用系统的数据库默认密码被设置为空，这会造成很大的安全隐患。而我们提供的系统，提供了完备的技术措施避免这种情况的出现。系统具备自动检测数据库默认密码的功能，并能给出报告，如果密码设置不符合要求，会予以提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bookmarkStart w:id="85" w:name="_Toc23716"/>
      <w:r>
        <w:rPr>
          <w:rFonts w:hint="default" w:ascii="Times New Roman" w:hAnsi="Times New Roman" w:eastAsia="宋体" w:cs="Times New Roman"/>
          <w:b/>
          <w:bCs/>
          <w:highlight w:val="none"/>
          <w:lang w:val="en-US" w:eastAsia="zh-CN"/>
        </w:rPr>
        <w:t>3.6.7数据交换安全</w:t>
      </w:r>
      <w:bookmarkEnd w:id="85"/>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数据交换是对资源更高共享需求的安全平台，可以实现跨组织、跨管理域的管理资源，并为应用提供全面的资源共享接口，实现分布资源的有效集成，提供共享各种资源的手段，从而提高资源的利用率，满足人们对广域范围内各种资源的共享需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支持报文处理过程中的加密、加签。XIB系统包含安全函数库，有内置的电子数字签名功能；支持对称密钥加密算法DES和非对称密钥加密算法RSA的加密函数。XIB可以通过MessageBuilder程序来调用这些函数。XIB系统可以通过MessageBuilder编程接口，支持其它厂商提供的加密/解密软件和PKI安全机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bookmarkStart w:id="86" w:name="_Toc3992"/>
      <w:r>
        <w:rPr>
          <w:rFonts w:hint="default" w:ascii="Times New Roman" w:hAnsi="Times New Roman" w:eastAsia="宋体" w:cs="Times New Roman"/>
          <w:b/>
          <w:bCs/>
          <w:highlight w:val="none"/>
          <w:lang w:val="en-US" w:eastAsia="zh-CN"/>
        </w:rPr>
        <w:t>3.6.8硬件和网络系统安全措施</w:t>
      </w:r>
      <w:bookmarkEnd w:id="86"/>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通常，对网络安全构成威胁的主要因素有以下几点：来自网络外部和内部的攻击、误操作、通过网络传送的病毒以及自然意外事件等，攻击者的主要目的是窃取信息、恶意破坏或者显示技巧等。网络内部安全则通过交换机和路由器的ACL(访问控制列表)实现了一定程度的访问控制。在网络架构的规划和配置使用上，还需要提供以下的安全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3.6.8.1口令安全和服务器安全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服务器的安全依赖于系统管理员对系统的熟悉程度。只有对通常的系统漏洞和“后门”有清晰的知识结构，同时又具有相当的反黑客手段的人，才可能成为较优秀的系统管理员。另外，制度的建设也是保证服务器安全的必不可少的手段。服务器必须有专人负责。口令的存放必须有专人管理，并存放在防火、防水、防盗的安全地带，确保口令的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3.6.8.2防火墙安全规则和好的安全策略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防火墙的安全规则和好的安全策略，也是网络安全的重要组成部分。使用防火墙可以对访问包进行过滤，自动识别和防止对局域网内重要数据的存取，保卫系统的安全。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 xml:space="preserve">3.6.8.3 </w:t>
      </w:r>
      <w:r>
        <w:rPr>
          <w:rFonts w:hint="default" w:ascii="Times New Roman" w:hAnsi="Times New Roman" w:eastAsia="宋体" w:cs="Times New Roman"/>
          <w:b w:val="0"/>
          <w:bCs w:val="0"/>
          <w:highlight w:val="none"/>
          <w:lang w:val="en-US" w:eastAsia="zh-CN"/>
        </w:rPr>
        <w:t>SSL</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普通的网络输传输采用的是HTTP协议，如上面所述，HTTP协议是明文协议，只要截取网络数据就可以反转过来，而SSL协议是通过私钥认证的，即使获得了网络数据流，如果没有相应的密钥，也无法反编译出数据。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3.6.8.4 内部IP访问限制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可以设定仅限内部的IP地址段的用户才能访问，可以减少外部侵入的风险。</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3.6.8.5特定区域的限制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可以设定只有某个区域的用户可以访问系统的某些功能或全部功能，那么设定特别区域限制后，可以减少外部侵入的风险。</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3.6.8.6 MAC地址访问限制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在软件系统中，如果标识哪台计算机，一般采用MAC地址，MAC地址是与计算机一一对应，并且是唯一的。</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如果需要设定某个用户仅限某台电脑使用，那么可以启动MAC认证。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一旦启动MAC认证后，该用户必须在指定的电脑前才能使用。这符合一人一台电脑的使用状态，安全性也比较高。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3.6.8.7 VPN方式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如果要跨区域使用，特别是领导出差移动办公的时候，数据就需要在公网上传输，为了保证转输的安全性，SSL方式提供了非明文协议方式。VPN提供也另外一种形式的非明文传输协议。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二者的区别是：SSL仅仅是一个数据加密传输的安全协议；而VPN则是通过密钥传输协议、隧道协议、数据加密协议，把分割在两地、通过Internet连接起来的两个点或两个局域网，连接成一个虚拟的内部局域网。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bCs/>
          <w:highlight w:val="none"/>
          <w:lang w:val="en-US" w:eastAsia="zh-CN"/>
        </w:rPr>
        <w:t xml:space="preserve">3.6.8.8 </w:t>
      </w:r>
      <w:r>
        <w:rPr>
          <w:rFonts w:hint="default" w:ascii="Times New Roman" w:hAnsi="Times New Roman" w:eastAsia="宋体" w:cs="Times New Roman"/>
          <w:b w:val="0"/>
          <w:bCs w:val="0"/>
          <w:highlight w:val="none"/>
          <w:lang w:val="en-US" w:eastAsia="zh-CN"/>
        </w:rPr>
        <w:t>病毒防护</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在所有的计算机上安装反病毒软件、并定期更新病毒库，是维护系统安全性的有效手段。</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bookmarkStart w:id="87" w:name="_Toc21973"/>
      <w:r>
        <w:rPr>
          <w:rFonts w:hint="default" w:ascii="Times New Roman" w:hAnsi="Times New Roman" w:eastAsia="宋体" w:cs="Times New Roman"/>
          <w:b w:val="0"/>
          <w:bCs w:val="0"/>
          <w:highlight w:val="none"/>
          <w:lang w:val="en-US" w:eastAsia="zh-CN"/>
        </w:rPr>
        <w:t>建立安全管理体系</w:t>
      </w:r>
      <w:bookmarkEnd w:id="87"/>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安全管理体系作为安全体系结构中相当重要的一个组成部分，是通过行政管理的方式，保障安全技术措施贯彻执行。通过安全管理措施，对网络安全体系进行有效的制约和调控，才能更好的保障网络系统的安全保密。</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r>
        <w:rPr>
          <w:rFonts w:hint="default" w:ascii="Times New Roman" w:hAnsi="Times New Roman" w:eastAsia="宋体" w:cs="Times New Roman"/>
          <w:b/>
          <w:bCs/>
          <w:highlight w:val="none"/>
          <w:lang w:val="en-US" w:eastAsia="zh-CN"/>
        </w:rPr>
        <w:t>3.6.9安全管理体系的内容有：</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设置系统安全管理部门，落实责任人</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可以考虑机构合作，将系统安全外包出去</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加强设备管理，确保设备运行安全</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制订安保措施，确保设备的物理安全和环境安全</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制订严格的运行管理制度，并严格执行</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制订严格的访问控制措施，并严格执行</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落实部门、落实实施人员、落实安全责任人，定期进行安全检查</w:t>
      </w:r>
    </w:p>
    <w:p>
      <w:pPr>
        <w:keepNext w:val="0"/>
        <w:keepLines w:val="0"/>
        <w:pageBreakBefore w:val="0"/>
        <w:widowControl w:val="0"/>
        <w:numPr>
          <w:ilvl w:val="0"/>
          <w:numId w:val="77"/>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对系统安全定期评估，持续改进</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highlight w:val="none"/>
          <w:lang w:val="en-US" w:eastAsia="zh-CN"/>
        </w:rPr>
      </w:pPr>
      <w:bookmarkStart w:id="88" w:name="_Toc30595"/>
      <w:r>
        <w:rPr>
          <w:rFonts w:hint="default" w:ascii="Times New Roman" w:hAnsi="Times New Roman" w:eastAsia="宋体" w:cs="Times New Roman"/>
          <w:b/>
          <w:bCs/>
          <w:highlight w:val="none"/>
          <w:lang w:val="en-US" w:eastAsia="zh-CN"/>
        </w:rPr>
        <w:t>3.6.10建立安全运行服务保障体系</w:t>
      </w:r>
      <w:bookmarkEnd w:id="88"/>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运行服务保障体系对于提高、完善系统的安全性有着相当重要的意义。作为系统安全的后继支撑系统，运行服务保障体系将紧随技术发展方向，不断完善各种安全措施，以动态的方式为业务网络提供持续的安全保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运行安全服务内容包括下面五个方面内容：</w:t>
      </w:r>
    </w:p>
    <w:p>
      <w:pPr>
        <w:keepNext w:val="0"/>
        <w:keepLines w:val="0"/>
        <w:pageBreakBefore w:val="0"/>
        <w:widowControl w:val="0"/>
        <w:numPr>
          <w:ilvl w:val="0"/>
          <w:numId w:val="78"/>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安全评估服务</w:t>
      </w:r>
    </w:p>
    <w:p>
      <w:pPr>
        <w:keepNext w:val="0"/>
        <w:keepLines w:val="0"/>
        <w:pageBreakBefore w:val="0"/>
        <w:widowControl w:val="0"/>
        <w:numPr>
          <w:ilvl w:val="0"/>
          <w:numId w:val="78"/>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安全加固服务</w:t>
      </w:r>
    </w:p>
    <w:p>
      <w:pPr>
        <w:keepNext w:val="0"/>
        <w:keepLines w:val="0"/>
        <w:pageBreakBefore w:val="0"/>
        <w:widowControl w:val="0"/>
        <w:numPr>
          <w:ilvl w:val="0"/>
          <w:numId w:val="78"/>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应急响应服务</w:t>
      </w:r>
    </w:p>
    <w:p>
      <w:pPr>
        <w:keepNext w:val="0"/>
        <w:keepLines w:val="0"/>
        <w:pageBreakBefore w:val="0"/>
        <w:widowControl w:val="0"/>
        <w:numPr>
          <w:ilvl w:val="0"/>
          <w:numId w:val="78"/>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安全培训服务</w:t>
      </w:r>
    </w:p>
    <w:p>
      <w:pPr>
        <w:keepNext w:val="0"/>
        <w:keepLines w:val="0"/>
        <w:pageBreakBefore w:val="0"/>
        <w:widowControl w:val="0"/>
        <w:numPr>
          <w:ilvl w:val="0"/>
          <w:numId w:val="78"/>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咨询服务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由于网络技术不断发展，非专业人员很难全面、准确的掌握所有知识。有鉴于此，采用两种方法实现运行服务保障体系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在系统实施初期和质量保证期内，上述五个方面的服务由软件开发商提供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系统正式运行，过了软件开发商的质保期之后，通过专业的安全服务公司的协助，为系统提供一套行之有效的整体运行安全服务保障体系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bookmarkStart w:id="89" w:name="_Toc16441"/>
      <w:r>
        <w:rPr>
          <w:rFonts w:hint="default" w:ascii="Times New Roman" w:hAnsi="Times New Roman" w:eastAsia="宋体" w:cs="Times New Roman"/>
          <w:b/>
          <w:bCs/>
          <w:highlight w:val="none"/>
          <w:lang w:val="en-US" w:eastAsia="zh-CN"/>
        </w:rPr>
        <w:t>3.6.11安全备份</w:t>
      </w:r>
      <w:bookmarkEnd w:id="89"/>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对数据的保护，有多种方法，例如备份和数据容灾。目前用得最多、最有效的手段是数据备份，它同时也是成本最低的一种数据保护手段。而备份的方法也很多，有手工备份、自动备份、LAN备份、LAN．Free备份等。不同的备份方法，其效果不同，主要表现在性能、自动化程度、对现有系统应用的影响程度、管理、可扩展性等方面。</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随着系统数据量的不断增大，数据维护的复杂程度不断提高，备份对业务系统的影响也会越来越大。该系统是一个涉及到政府业务部门的数据集中系统，环境复杂，服务器数量多，应用种类多，采用手工的备份手段己经不能保证快速、有效的保护数据，并且直接影响到业务系统的正常运行，由于其自动化程度低，出错的可能性也越来越大。手工的备份方式只适用于数据量较小的非关键应用领域。随着数据量的增大，系统管理人员很难管理备份介质。同时，当对同一个数据库的容量超过一盘磁带的容量时，备份工作就变成了一个极其复杂，效率极低、风险很大的工作了。因此，本系统应采用高效磁带库设备和智能的备份管理软件来进行备份和恢复操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随着网络的普及，基于LAN的备份已经成为备份的基本方式。需要进行备份的客户机将数据通过网络传输到备份主机上，由备份主机写入带库。系统中不与磁带库直接相连的服务器可以采用这种方式进行备份。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系统中需要备份的数据是指数据库中数据，其备份的方式可以分为三种：全备份、增量备份、累计增量备份。</w:t>
      </w:r>
    </w:p>
    <w:p>
      <w:pPr>
        <w:keepNext w:val="0"/>
        <w:keepLines w:val="0"/>
        <w:pageBreakBefore w:val="0"/>
        <w:widowControl w:val="0"/>
        <w:numPr>
          <w:ilvl w:val="0"/>
          <w:numId w:val="79"/>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全备份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每次备份定义的所有数据，优点是恢复快，缺点是备份数据量大，数据多时可能做一次全备份需很长时间</w:t>
      </w:r>
    </w:p>
    <w:p>
      <w:pPr>
        <w:keepNext w:val="0"/>
        <w:keepLines w:val="0"/>
        <w:pageBreakBefore w:val="0"/>
        <w:widowControl w:val="0"/>
        <w:numPr>
          <w:ilvl w:val="0"/>
          <w:numId w:val="80"/>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增量备份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备份自上一次备份以来更新的所有数据，其优点是每次备份的数据量少，缺点是恢复时需要全备份及多份增量备份</w:t>
      </w:r>
    </w:p>
    <w:p>
      <w:pPr>
        <w:keepNext w:val="0"/>
        <w:keepLines w:val="0"/>
        <w:pageBreakBefore w:val="0"/>
        <w:widowControl w:val="0"/>
        <w:numPr>
          <w:ilvl w:val="0"/>
          <w:numId w:val="81"/>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差分备份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备份自上一次全备份以来更新的所有数据。如针对Oracle数据库，除了数据库全备份外，还可以对archivelog进行增量备份。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基于以上的考虑，我们推荐使用VRTS公司的NetBackup来进行数据的备份和恢复。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default" w:ascii="Times New Roman" w:hAnsi="Times New Roman" w:eastAsia="宋体" w:cs="Times New Roman"/>
          <w:b/>
          <w:bCs/>
          <w:highlight w:val="none"/>
          <w:lang w:val="en-US" w:eastAsia="zh-CN"/>
        </w:rPr>
      </w:pPr>
      <w:bookmarkStart w:id="90" w:name="_Toc31757"/>
      <w:r>
        <w:rPr>
          <w:rFonts w:hint="default" w:ascii="Times New Roman" w:hAnsi="Times New Roman" w:eastAsia="宋体" w:cs="Times New Roman"/>
          <w:b/>
          <w:bCs/>
          <w:highlight w:val="none"/>
          <w:lang w:val="en-US" w:eastAsia="zh-CN"/>
        </w:rPr>
        <w:t>3.6.12安全管理</w:t>
      </w:r>
      <w:bookmarkEnd w:id="90"/>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为了有效地把系统的安全管理和信息的保密管理工作落到实处，必须设计、建立、完善和有效运行的安全管理体系，从组织上、措施上、制度上为全网安全运行提供强有力的保障。我们将按照以下原则进行：</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安全管理原则：</w:t>
      </w:r>
    </w:p>
    <w:p>
      <w:pPr>
        <w:keepNext w:val="0"/>
        <w:keepLines w:val="0"/>
        <w:pageBreakBefore w:val="0"/>
        <w:widowControl w:val="0"/>
        <w:numPr>
          <w:ilvl w:val="0"/>
          <w:numId w:val="8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管理边界清晰、受控原则</w:t>
      </w:r>
    </w:p>
    <w:p>
      <w:pPr>
        <w:keepNext w:val="0"/>
        <w:keepLines w:val="0"/>
        <w:pageBreakBefore w:val="0"/>
        <w:widowControl w:val="0"/>
        <w:numPr>
          <w:ilvl w:val="0"/>
          <w:numId w:val="8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责任管理分散、职能管理集中原则</w:t>
      </w:r>
    </w:p>
    <w:p>
      <w:pPr>
        <w:keepNext w:val="0"/>
        <w:keepLines w:val="0"/>
        <w:pageBreakBefore w:val="0"/>
        <w:widowControl w:val="0"/>
        <w:numPr>
          <w:ilvl w:val="0"/>
          <w:numId w:val="8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保密、机要实施专职管理原则</w:t>
      </w:r>
    </w:p>
    <w:p>
      <w:pPr>
        <w:keepNext w:val="0"/>
        <w:keepLines w:val="0"/>
        <w:pageBreakBefore w:val="0"/>
        <w:widowControl w:val="0"/>
        <w:numPr>
          <w:ilvl w:val="0"/>
          <w:numId w:val="8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遵循程序化、规范化、标准化原则</w:t>
      </w:r>
    </w:p>
    <w:p>
      <w:pPr>
        <w:keepNext w:val="0"/>
        <w:keepLines w:val="0"/>
        <w:pageBreakBefore w:val="0"/>
        <w:widowControl w:val="0"/>
        <w:numPr>
          <w:ilvl w:val="0"/>
          <w:numId w:val="8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安全职能分离原则</w:t>
      </w:r>
    </w:p>
    <w:p>
      <w:pPr>
        <w:keepNext w:val="0"/>
        <w:keepLines w:val="0"/>
        <w:pageBreakBefore w:val="0"/>
        <w:widowControl w:val="0"/>
        <w:numPr>
          <w:ilvl w:val="0"/>
          <w:numId w:val="8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实体资产专人保管原则</w:t>
      </w:r>
    </w:p>
    <w:p>
      <w:pPr>
        <w:keepNext w:val="0"/>
        <w:keepLines w:val="0"/>
        <w:pageBreakBefore w:val="0"/>
        <w:widowControl w:val="0"/>
        <w:numPr>
          <w:ilvl w:val="0"/>
          <w:numId w:val="8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实行报告制度，建立预警机制原则</w:t>
      </w:r>
    </w:p>
    <w:p>
      <w:pPr>
        <w:keepNext w:val="0"/>
        <w:keepLines w:val="0"/>
        <w:pageBreakBefore w:val="0"/>
        <w:widowControl w:val="0"/>
        <w:numPr>
          <w:ilvl w:val="0"/>
          <w:numId w:val="82"/>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任用人员慎重挑选，培训上岗原则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主要的安全管理规章制度：</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物理与环境安全管理制度</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系统安全管理制度</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网络运行安全管理制度</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信息安全保密管理制度</w:t>
      </w:r>
    </w:p>
    <w:p>
      <w:pPr>
        <w:keepNext w:val="0"/>
        <w:keepLines w:val="0"/>
        <w:pageBreakBefore w:val="0"/>
        <w:widowControl w:val="0"/>
        <w:numPr>
          <w:ilvl w:val="0"/>
          <w:numId w:val="8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人员管理制度。</w:t>
      </w:r>
    </w:p>
    <w:p>
      <w:pPr>
        <w:spacing w:line="360" w:lineRule="auto"/>
        <w:ind w:firstLine="0" w:firstLineChars="0"/>
        <w:rPr>
          <w:rFonts w:hint="eastAsia" w:ascii="Times New Roman" w:hAnsi="Times New Roman" w:eastAsia="宋体" w:cs="Times New Roman"/>
          <w:b/>
          <w:bCs/>
          <w:highlight w:val="none"/>
          <w:lang w:val="en-US" w:eastAsia="zh-CN"/>
        </w:rPr>
      </w:pPr>
      <w:r>
        <w:rPr>
          <w:rFonts w:hint="eastAsia" w:ascii="Times New Roman" w:hAnsi="Times New Roman" w:eastAsia="宋体" w:cs="Times New Roman"/>
          <w:b/>
          <w:bCs/>
          <w:highlight w:val="none"/>
          <w:lang w:val="en-US" w:eastAsia="zh-CN"/>
        </w:rPr>
        <w:t>平台演示清单</w:t>
      </w:r>
    </w:p>
    <w:tbl>
      <w:tblPr>
        <w:tblStyle w:val="37"/>
        <w:tblW w:w="502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8"/>
        <w:gridCol w:w="65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6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应用名称</w:t>
            </w:r>
          </w:p>
        </w:tc>
        <w:tc>
          <w:tcPr>
            <w:tcW w:w="3834"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基本参数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16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梅沁社区团购</w:t>
            </w:r>
          </w:p>
        </w:tc>
        <w:tc>
          <w:tcPr>
            <w:tcW w:w="3834" w:type="pct"/>
            <w:tcBorders>
              <w:tl2br w:val="nil"/>
              <w:tr2bl w:val="nil"/>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商户端：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1、支持商户端发布团购信息，主要包括团购名称、团购价格、原价、团购上限人数、团购说明等内容；</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2、支持商家查看跟团人数。</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3、支持对团购内容进行下架，进行二次编辑。</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4、成功团购的用户可通过线下扫描核销，完成交易。</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5、违规商品，会被运营人员强制下架。</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居民端：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1、支持居民通过社区团购查看所发布的团购信息；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2、支持居民通过我要跟团参与团购；</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3、参加团购后，会获得商品核销码；</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4、支持居民通过我的团购中查看团购记录，并支持二维码核销、取消团购、联系商家的操作。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16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社区车辆登记</w:t>
            </w:r>
          </w:p>
        </w:tc>
        <w:tc>
          <w:tcPr>
            <w:tcW w:w="3834" w:type="pct"/>
            <w:tcBorders>
              <w:tl2br w:val="nil"/>
              <w:tr2bl w:val="nil"/>
            </w:tcBorders>
            <w:shd w:val="clear" w:color="auto" w:fill="FFFFFF"/>
            <w:noWrap w:val="0"/>
            <w:vAlign w:val="center"/>
          </w:tcPr>
          <w:p>
            <w:pPr>
              <w:numPr>
                <w:ilvl w:val="0"/>
                <w:numId w:val="0"/>
              </w:numPr>
              <w:rPr>
                <w:rFonts w:hint="eastAsia" w:ascii="宋体" w:hAnsi="宋体" w:eastAsia="宋体" w:cs="宋体"/>
                <w:b w:val="0"/>
                <w:i w:val="0"/>
                <w:iCs w:val="0"/>
                <w:color w:val="000000"/>
                <w:kern w:val="0"/>
                <w:sz w:val="21"/>
                <w:szCs w:val="21"/>
                <w:highlight w:val="none"/>
                <w:u w:val="none"/>
                <w:lang w:val="en-US" w:eastAsia="zh-CN" w:bidi="ar"/>
              </w:rPr>
            </w:pPr>
            <w:r>
              <w:rPr>
                <w:rFonts w:hint="eastAsia" w:ascii="宋体" w:hAnsi="宋体" w:eastAsia="宋体" w:cs="宋体"/>
                <w:b w:val="0"/>
                <w:i w:val="0"/>
                <w:iCs w:val="0"/>
                <w:color w:val="000000"/>
                <w:kern w:val="0"/>
                <w:sz w:val="21"/>
                <w:szCs w:val="21"/>
                <w:highlight w:val="none"/>
                <w:u w:val="none"/>
                <w:lang w:val="en-US" w:eastAsia="zh-Hans" w:bidi="ar"/>
              </w:rPr>
              <w:t>居民端</w:t>
            </w:r>
            <w:r>
              <w:rPr>
                <w:rFonts w:hint="eastAsia" w:ascii="宋体" w:hAnsi="宋体" w:eastAsia="宋体" w:cs="宋体"/>
                <w:b w:val="0"/>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Hans" w:bidi="ar"/>
              </w:rPr>
              <w:t>用户提交基础信息，进行车辆绑定</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Hans" w:bidi="ar"/>
              </w:rPr>
              <w:t>审核通过后可在停车包月进行车辆与车位的绑定</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Hans" w:bidi="ar"/>
              </w:rPr>
            </w:pPr>
            <w:r>
              <w:rPr>
                <w:rFonts w:hint="eastAsia" w:ascii="宋体" w:hAnsi="宋体" w:eastAsia="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Hans" w:bidi="ar"/>
              </w:rPr>
              <w:t>居民可根据小区，选择小区车位进行包月服务</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Hans" w:bidi="ar"/>
              </w:rPr>
            </w:pPr>
            <w:r>
              <w:rPr>
                <w:rFonts w:hint="eastAsia" w:ascii="宋体" w:hAnsi="宋体" w:eastAsia="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Hans" w:bidi="ar"/>
              </w:rPr>
              <w:t>车位包月成功后可选择车位绑定的车辆信息</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Hans" w:bidi="ar"/>
              </w:rPr>
            </w:pPr>
            <w:r>
              <w:rPr>
                <w:rFonts w:hint="eastAsia" w:ascii="宋体" w:hAnsi="宋体" w:eastAsia="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Hans" w:bidi="ar"/>
              </w:rPr>
              <w:t>车位包月，可续费包月</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管理</w:t>
            </w:r>
            <w:r>
              <w:rPr>
                <w:rFonts w:hint="eastAsia" w:ascii="宋体" w:hAnsi="宋体" w:eastAsia="宋体" w:cs="宋体"/>
                <w:i w:val="0"/>
                <w:iCs w:val="0"/>
                <w:color w:val="000000"/>
                <w:kern w:val="0"/>
                <w:sz w:val="21"/>
                <w:szCs w:val="21"/>
                <w:highlight w:val="none"/>
                <w:u w:val="none"/>
                <w:lang w:val="en-US" w:eastAsia="zh-Hans" w:bidi="ar"/>
              </w:rPr>
              <w:t>端</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Hans" w:bidi="ar"/>
              </w:rPr>
              <w:t>对用户车辆的绑定进行审核</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Hans" w:bidi="ar"/>
              </w:rPr>
              <w:t>可对车辆与用户进行解除绑定操作</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w:t>
            </w:r>
            <w:r>
              <w:rPr>
                <w:rFonts w:hint="eastAsia" w:ascii="宋体" w:hAnsi="宋体" w:eastAsia="宋体" w:cs="宋体"/>
                <w:i w:val="0"/>
                <w:iCs w:val="0"/>
                <w:color w:val="000000"/>
                <w:kern w:val="0"/>
                <w:sz w:val="21"/>
                <w:szCs w:val="21"/>
                <w:highlight w:val="none"/>
                <w:u w:val="none"/>
                <w:lang w:val="en-US" w:eastAsia="zh-Hans" w:bidi="ar"/>
              </w:rPr>
              <w:t>可管理查看用户所绑定的车辆信息</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w:t>
            </w:r>
            <w:r>
              <w:rPr>
                <w:rFonts w:hint="eastAsia" w:ascii="宋体" w:hAnsi="宋体" w:eastAsia="宋体" w:cs="宋体"/>
                <w:i w:val="0"/>
                <w:iCs w:val="0"/>
                <w:color w:val="000000"/>
                <w:kern w:val="0"/>
                <w:sz w:val="21"/>
                <w:szCs w:val="21"/>
                <w:highlight w:val="none"/>
                <w:u w:val="none"/>
                <w:lang w:val="en-US" w:eastAsia="zh-Hans" w:bidi="ar"/>
              </w:rPr>
              <w:t>可发布编辑该小区的车位信息</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w:t>
            </w:r>
            <w:r>
              <w:rPr>
                <w:rFonts w:hint="eastAsia" w:ascii="宋体" w:hAnsi="宋体" w:eastAsia="宋体" w:cs="宋体"/>
                <w:i w:val="0"/>
                <w:iCs w:val="0"/>
                <w:color w:val="000000"/>
                <w:kern w:val="0"/>
                <w:sz w:val="21"/>
                <w:szCs w:val="21"/>
                <w:highlight w:val="none"/>
                <w:u w:val="none"/>
                <w:lang w:val="en-US" w:eastAsia="zh-Hans" w:bidi="ar"/>
              </w:rPr>
              <w:t>可管理小区车位，对包月车位进行查看</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eastAsia="zh-CN"/>
              </w:rPr>
            </w:pPr>
            <w:r>
              <w:rPr>
                <w:rFonts w:hint="eastAsia" w:ascii="宋体" w:hAnsi="宋体" w:eastAsia="宋体" w:cs="宋体"/>
                <w:i w:val="0"/>
                <w:iCs w:val="0"/>
                <w:color w:val="000000"/>
                <w:kern w:val="0"/>
                <w:sz w:val="21"/>
                <w:szCs w:val="21"/>
                <w:highlight w:val="none"/>
                <w:u w:val="none"/>
                <w:lang w:val="en-US" w:eastAsia="zh-CN" w:bidi="ar"/>
              </w:rPr>
              <w:t>6、</w:t>
            </w:r>
            <w:r>
              <w:rPr>
                <w:rFonts w:hint="eastAsia" w:ascii="宋体" w:hAnsi="宋体" w:eastAsia="宋体" w:cs="宋体"/>
                <w:i w:val="0"/>
                <w:iCs w:val="0"/>
                <w:color w:val="000000"/>
                <w:kern w:val="0"/>
                <w:sz w:val="21"/>
                <w:szCs w:val="21"/>
                <w:highlight w:val="none"/>
                <w:u w:val="none"/>
                <w:lang w:val="en-US" w:eastAsia="zh-Hans" w:bidi="ar"/>
              </w:rPr>
              <w:t>可编辑收款账户</w:t>
            </w:r>
            <w:r>
              <w:rPr>
                <w:rFonts w:hint="eastAsia" w:ascii="宋体" w:hAnsi="宋体" w:eastAsia="宋体" w:cs="宋体"/>
                <w:i w:val="0"/>
                <w:iCs w:val="0"/>
                <w:color w:val="000000"/>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16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家政服务</w:t>
            </w:r>
          </w:p>
        </w:tc>
        <w:tc>
          <w:tcPr>
            <w:tcW w:w="3834" w:type="pct"/>
            <w:tcBorders>
              <w:tl2br w:val="nil"/>
              <w:tr2bl w:val="nil"/>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Hans" w:bidi="ar"/>
              </w:rPr>
              <w:t>居民端</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Hans" w:bidi="ar"/>
              </w:rPr>
              <w:t>居民可通过家政服务查看服务信息</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r>
              <w:rPr>
                <w:rFonts w:hint="eastAsia" w:ascii="宋体" w:hAnsi="宋体" w:eastAsia="宋体" w:cs="宋体"/>
                <w:i w:val="0"/>
                <w:iCs w:val="0"/>
                <w:color w:val="000000"/>
                <w:kern w:val="0"/>
                <w:sz w:val="21"/>
                <w:szCs w:val="21"/>
                <w:highlight w:val="none"/>
                <w:u w:val="none"/>
                <w:lang w:val="en-US" w:eastAsia="zh-Hans" w:bidi="ar"/>
              </w:rPr>
              <w:t>可预约服务，并备注服务细则</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w:t>
            </w:r>
            <w:r>
              <w:rPr>
                <w:rFonts w:hint="eastAsia" w:ascii="宋体" w:hAnsi="宋体" w:eastAsia="宋体" w:cs="宋体"/>
                <w:i w:val="0"/>
                <w:iCs w:val="0"/>
                <w:color w:val="000000"/>
                <w:kern w:val="0"/>
                <w:sz w:val="21"/>
                <w:szCs w:val="21"/>
                <w:highlight w:val="none"/>
                <w:u w:val="none"/>
                <w:lang w:val="en-US" w:eastAsia="zh-Hans" w:bidi="ar"/>
              </w:rPr>
              <w:t>电话联系服务商家</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4、支持</w:t>
            </w:r>
            <w:r>
              <w:rPr>
                <w:rFonts w:hint="eastAsia" w:ascii="宋体" w:hAnsi="宋体" w:eastAsia="宋体" w:cs="宋体"/>
                <w:i w:val="0"/>
                <w:iCs w:val="0"/>
                <w:color w:val="000000"/>
                <w:kern w:val="0"/>
                <w:sz w:val="21"/>
                <w:szCs w:val="21"/>
                <w:highlight w:val="none"/>
                <w:u w:val="none"/>
                <w:lang w:val="en-US" w:eastAsia="zh-Hans" w:bidi="ar"/>
              </w:rPr>
              <w:t>收藏该服务</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Hans" w:bidi="ar"/>
              </w:rPr>
              <w:t>商家端</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w:t>
            </w:r>
            <w:r>
              <w:rPr>
                <w:rFonts w:hint="eastAsia" w:ascii="宋体" w:hAnsi="宋体" w:eastAsia="宋体" w:cs="宋体"/>
                <w:i w:val="0"/>
                <w:iCs w:val="0"/>
                <w:color w:val="000000"/>
                <w:kern w:val="0"/>
                <w:sz w:val="21"/>
                <w:szCs w:val="21"/>
                <w:highlight w:val="none"/>
                <w:u w:val="none"/>
                <w:lang w:val="en-US" w:eastAsia="zh-Hans" w:bidi="ar"/>
              </w:rPr>
              <w:t>可发布家政服务信息</w:t>
            </w:r>
            <w:r>
              <w:rPr>
                <w:rFonts w:hint="eastAsia" w:ascii="宋体" w:hAnsi="宋体" w:eastAsia="宋体" w:cs="宋体"/>
                <w:i w:val="0"/>
                <w:iCs w:val="0"/>
                <w:color w:val="000000"/>
                <w:kern w:val="0"/>
                <w:sz w:val="21"/>
                <w:szCs w:val="21"/>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2、支持</w:t>
            </w:r>
            <w:r>
              <w:rPr>
                <w:rFonts w:hint="eastAsia" w:ascii="宋体" w:hAnsi="宋体" w:eastAsia="宋体" w:cs="宋体"/>
                <w:i w:val="0"/>
                <w:iCs w:val="0"/>
                <w:color w:val="000000"/>
                <w:kern w:val="0"/>
                <w:sz w:val="21"/>
                <w:szCs w:val="21"/>
                <w:highlight w:val="none"/>
                <w:u w:val="none"/>
                <w:lang w:val="en-US" w:eastAsia="zh-Hans" w:bidi="ar"/>
              </w:rPr>
              <w:t>查看预约订单，可接受订单及拒绝订单</w:t>
            </w:r>
            <w:r>
              <w:rPr>
                <w:rFonts w:hint="eastAsia" w:ascii="宋体" w:hAnsi="宋体" w:eastAsia="宋体" w:cs="宋体"/>
                <w:i w:val="0"/>
                <w:iCs w:val="0"/>
                <w:color w:val="000000"/>
                <w:kern w:val="0"/>
                <w:sz w:val="21"/>
                <w:szCs w:val="21"/>
                <w:highlight w:val="none"/>
                <w:u w:val="none"/>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16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智慧党建</w:t>
            </w:r>
          </w:p>
        </w:tc>
        <w:tc>
          <w:tcPr>
            <w:tcW w:w="3834" w:type="pct"/>
            <w:tcBorders>
              <w:tl2br w:val="nil"/>
              <w:tr2bl w:val="nil"/>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用户端：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1、查看当地地区党委组织架构；</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2、查看党员活动风采及党委最新动态；</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3、可进行在线调查投票。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党员端：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1、党员先锋任务报名；</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2、查看自己党员个人信息；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3、查看当地地区党委组织架构；</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4、查看党员活动风采及党委最新动态；</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5、可进行在线调查投票。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管理端：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1、管理党组织，可添加党组织，编辑党组织信息，数据一键导入快速创建；</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2、党员管理，可添加党员</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3、发布先锋任务，查看任务详情及完成情况，进行回访调查，对完成任务的党员进行先锋值奖励；</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4、发布党员风采功能；</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5、建立问卷调查，可查看问卷调查情况。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16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幸福学堂</w:t>
            </w:r>
          </w:p>
        </w:tc>
        <w:tc>
          <w:tcPr>
            <w:tcW w:w="3834" w:type="pct"/>
            <w:tcBorders>
              <w:tl2br w:val="nil"/>
              <w:tr2bl w:val="nil"/>
            </w:tcBorders>
            <w:shd w:val="clear" w:color="auto" w:fill="FFFFFF"/>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用户端：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1、列表根据tab类别区分展示慈湖人家老年课堂资源内容信息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2、支持输入名称进行条件筛选。</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3、“精选”处展示后台配置推送精选的内容。</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4、列表页区分排课状态展示资源入口，“已开课程”展示已排</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5、课的内容、“即将开课”展示未排课的内容。</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6、列表选择点击具体内容展示内容详情页</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7、支持展示内容名称、排课信息、内容简介、内容回顾。</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8、支持点击选择排课时间、报名人员进行内容报名。</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管理端：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1、学堂资源信息列表展示</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2、支持根据内容字段进行条件筛选</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3、支持内容编辑、删除、停用/启用、查看、排课、上传回顾、查看报名人员、推送精选。</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4、资源审核通过后点击“排课”支持进一步选择共享教室进行排课</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5、排课表支持查看当前课程教员排课信息。</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6、点击“报名人员”查看报名人员列表。</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7、支持对名单人员进行查询、签到、删除和导出名单。</w:t>
            </w:r>
          </w:p>
          <w:p>
            <w:pPr>
              <w:keepNext w:val="0"/>
              <w:keepLines w:val="0"/>
              <w:widowControl/>
              <w:suppressLineNumbers w:val="0"/>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8、点击“回顾”支持上传内容成果。</w:t>
            </w:r>
          </w:p>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9、点击“推送精选”一键推送至移动端精选模块。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16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邻里互助</w:t>
            </w:r>
          </w:p>
        </w:tc>
        <w:tc>
          <w:tcPr>
            <w:tcW w:w="3834" w:type="pct"/>
            <w:tcBorders>
              <w:tl2br w:val="nil"/>
              <w:tr2bl w:val="nil"/>
            </w:tcBorders>
            <w:shd w:val="clear" w:color="auto" w:fill="FFFFFF"/>
            <w:noWrap w:val="0"/>
            <w:vAlign w:val="center"/>
          </w:tcPr>
          <w:p>
            <w:pPr>
              <w:numPr>
                <w:ilvl w:val="0"/>
                <w:numId w:val="0"/>
              </w:num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用户端：</w:t>
            </w:r>
          </w:p>
          <w:p>
            <w:pPr>
              <w:numPr>
                <w:ilvl w:val="0"/>
                <w:numId w:val="0"/>
              </w:num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1、可查看该社区居民发布的求助需求并可报名协助；</w:t>
            </w:r>
          </w:p>
          <w:p>
            <w:pPr>
              <w:numPr>
                <w:ilvl w:val="0"/>
                <w:numId w:val="0"/>
              </w:num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2、支持其他用户可以在下方进行认领该求助；</w:t>
            </w:r>
          </w:p>
          <w:p>
            <w:pPr>
              <w:numPr>
                <w:ilvl w:val="0"/>
                <w:numId w:val="0"/>
              </w:num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3、认领完求助，用户需线下协助对方并完成求助；</w:t>
            </w:r>
          </w:p>
          <w:p>
            <w:pPr>
              <w:numPr>
                <w:ilvl w:val="0"/>
                <w:numId w:val="0"/>
              </w:num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4、用户可根据自我需求发起求助信息，填写所需要的求助信息并发布，后台人员审核通过后发布成功；</w:t>
            </w:r>
          </w:p>
          <w:p>
            <w:pPr>
              <w:numPr>
                <w:ilvl w:val="0"/>
                <w:numId w:val="0"/>
              </w:num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管理端：</w:t>
            </w:r>
          </w:p>
          <w:p>
            <w:pPr>
              <w:numPr>
                <w:ilvl w:val="0"/>
                <w:numId w:val="0"/>
              </w:num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1、管理员需要审核用户提交上来的求助信息内容，通过后才能向其他用户展示，可驳回用户发布的求助信息；</w:t>
            </w:r>
          </w:p>
          <w:p>
            <w:pPr>
              <w:numPr>
                <w:ilvl w:val="0"/>
                <w:numId w:val="0"/>
              </w:num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2、支持对互助信息进行下架，驳回功能；</w:t>
            </w:r>
          </w:p>
          <w:p>
            <w:pPr>
              <w:numPr>
                <w:ilvl w:val="0"/>
                <w:numId w:val="0"/>
              </w:numPr>
              <w:jc w:val="left"/>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3、展示求助信息列表，可查所有求助信息；并对其进行审核处理；</w:t>
            </w:r>
          </w:p>
          <w:p>
            <w:pPr>
              <w:numPr>
                <w:ilvl w:val="0"/>
                <w:numId w:val="0"/>
              </w:num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4、可查看用户求助的反馈信息。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16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社区闲鱼</w:t>
            </w:r>
          </w:p>
        </w:tc>
        <w:tc>
          <w:tcPr>
            <w:tcW w:w="3834" w:type="pct"/>
            <w:tcBorders>
              <w:tl2br w:val="nil"/>
              <w:tr2bl w:val="nil"/>
            </w:tcBorders>
            <w:shd w:val="clear" w:color="auto" w:fill="FFFFFF"/>
            <w:noWrap w:val="0"/>
            <w:vAlign w:val="center"/>
          </w:tcPr>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居民端：</w:t>
            </w:r>
          </w:p>
          <w:p>
            <w:pPr>
              <w:numPr>
                <w:ilvl w:val="0"/>
                <w:numId w:val="0"/>
              </w:num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1、</w:t>
            </w:r>
            <w:r>
              <w:rPr>
                <w:rFonts w:hint="eastAsia" w:ascii="宋体" w:hAnsi="宋体" w:eastAsia="宋体" w:cs="宋体"/>
                <w:i w:val="0"/>
                <w:iCs w:val="0"/>
                <w:color w:val="000000"/>
                <w:sz w:val="21"/>
                <w:szCs w:val="21"/>
                <w:highlight w:val="none"/>
                <w:u w:val="none"/>
              </w:rPr>
              <w:t>向居民展示社区内容所发布的闲置商品，支持查看详情，</w:t>
            </w:r>
          </w:p>
          <w:p>
            <w:pPr>
              <w:numPr>
                <w:ilvl w:val="0"/>
                <w:numId w:val="0"/>
              </w:num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2、支持通过我想要的操作与卖家沟通，达成交易。</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3、支持居民通过卖闲置的操作发布闲置商品，包括商品名称、商品详情、商品价格、联系方式等信息。</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4、支持通过我发布的商品对已经发布的闲置商品进行二次修改或下架的操作。</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管理端：</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1、通过审批管理对居民所发布的商品内容进行审核。</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2、可对违规商品进行强制下架。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trPr>
        <w:tc>
          <w:tcPr>
            <w:tcW w:w="1165" w:type="pct"/>
            <w:tcBorders>
              <w:tl2br w:val="nil"/>
              <w:tr2bl w:val="nil"/>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众创空间</w:t>
            </w:r>
          </w:p>
        </w:tc>
        <w:tc>
          <w:tcPr>
            <w:tcW w:w="3834" w:type="pct"/>
            <w:tcBorders>
              <w:tl2br w:val="nil"/>
              <w:tr2bl w:val="nil"/>
            </w:tcBorders>
            <w:shd w:val="clear" w:color="auto" w:fill="FFFFFF"/>
            <w:noWrap w:val="0"/>
            <w:vAlign w:val="center"/>
          </w:tcPr>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移动端：</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1、支持用户切换空间；</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2、支持预定工位/会议室；</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3、预定成功后可刷码进出；</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4、支持将已预定的工位/会议室门禁码分享给相关人员；</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5、支持查看订单情况；</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lang w:val="en-US" w:eastAsia="zh-CN"/>
              </w:rPr>
              <w:t>管理端</w:t>
            </w:r>
            <w:r>
              <w:rPr>
                <w:rFonts w:hint="eastAsia" w:ascii="宋体" w:hAnsi="宋体" w:eastAsia="宋体" w:cs="宋体"/>
                <w:i w:val="0"/>
                <w:iCs w:val="0"/>
                <w:color w:val="000000"/>
                <w:sz w:val="21"/>
                <w:szCs w:val="21"/>
                <w:highlight w:val="none"/>
                <w:u w:val="none"/>
              </w:rPr>
              <w:t>：</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1、支持创建空间，维护空间信息；</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2、支持管理空间内的工位/会议室的基本信息，及收费标准；</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3、查看工位/会议室的预定情况；</w:t>
            </w:r>
          </w:p>
          <w:p>
            <w:pPr>
              <w:jc w:val="left"/>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sz w:val="21"/>
                <w:szCs w:val="21"/>
                <w:highlight w:val="none"/>
                <w:u w:val="none"/>
              </w:rPr>
              <w:t>4、支持查看账单明细；</w:t>
            </w:r>
          </w:p>
        </w:tc>
      </w:tr>
    </w:tbl>
    <w:p>
      <w:pPr>
        <w:pStyle w:val="2"/>
        <w:rPr>
          <w:rFonts w:hint="default"/>
          <w:highlight w:val="none"/>
          <w:lang w:val="en-US" w:eastAsia="zh-CN"/>
        </w:rPr>
        <w:sectPr>
          <w:pgSz w:w="11906" w:h="16838"/>
          <w:pgMar w:top="1474" w:right="1797" w:bottom="1247" w:left="1797" w:header="851" w:footer="850" w:gutter="0"/>
          <w:pgBorders>
            <w:top w:val="none" w:sz="0" w:space="0"/>
            <w:left w:val="none" w:sz="0" w:space="0"/>
            <w:bottom w:val="none" w:sz="0" w:space="0"/>
            <w:right w:val="none" w:sz="0" w:space="0"/>
          </w:pgBorders>
          <w:pgNumType w:fmt="decimal"/>
          <w:cols w:space="720" w:num="1"/>
          <w:docGrid w:linePitch="312" w:charSpace="0"/>
        </w:sectPr>
      </w:pPr>
    </w:p>
    <w:p>
      <w:pPr>
        <w:rPr>
          <w:rFonts w:hint="default" w:ascii="Times New Roman" w:hAnsi="Times New Roman" w:cs="Times New Roman"/>
          <w:highlight w:val="none"/>
        </w:rPr>
      </w:pPr>
    </w:p>
    <w:p>
      <w:pPr>
        <w:spacing w:line="360" w:lineRule="auto"/>
        <w:jc w:val="center"/>
        <w:outlineLvl w:val="0"/>
        <w:rPr>
          <w:rFonts w:hint="default" w:ascii="Times New Roman" w:hAnsi="Times New Roman" w:cs="Times New Roman"/>
          <w:b/>
          <w:sz w:val="24"/>
          <w:highlight w:val="none"/>
        </w:rPr>
      </w:pPr>
      <w:bookmarkStart w:id="91" w:name="_Toc23129"/>
      <w:bookmarkStart w:id="92" w:name="_Toc9000"/>
      <w:bookmarkStart w:id="93" w:name="_Toc23992"/>
      <w:bookmarkStart w:id="94" w:name="_Toc23969"/>
      <w:bookmarkStart w:id="95" w:name="_Toc28861"/>
      <w:r>
        <w:rPr>
          <w:rFonts w:hint="default" w:ascii="Times New Roman" w:hAnsi="Times New Roman" w:eastAsia="宋体" w:cs="Times New Roman"/>
          <w:b/>
          <w:sz w:val="24"/>
          <w:highlight w:val="none"/>
        </w:rPr>
        <w:t>第三章 投标人须知</w:t>
      </w:r>
      <w:bookmarkEnd w:id="75"/>
      <w:bookmarkEnd w:id="76"/>
      <w:bookmarkEnd w:id="77"/>
      <w:bookmarkEnd w:id="78"/>
      <w:bookmarkEnd w:id="91"/>
      <w:bookmarkEnd w:id="92"/>
      <w:bookmarkEnd w:id="93"/>
      <w:bookmarkEnd w:id="94"/>
      <w:bookmarkEnd w:id="95"/>
    </w:p>
    <w:p>
      <w:pPr>
        <w:snapToGrid w:val="0"/>
        <w:spacing w:before="120" w:beforeLines="50" w:after="120" w:afterLines="50"/>
        <w:ind w:left="238"/>
        <w:jc w:val="center"/>
        <w:rPr>
          <w:rFonts w:hint="default" w:ascii="Times New Roman" w:hAnsi="Times New Roman" w:cs="Times New Roman"/>
          <w:b/>
          <w:szCs w:val="28"/>
          <w:highlight w:val="none"/>
        </w:rPr>
      </w:pPr>
      <w:r>
        <w:rPr>
          <w:rFonts w:hint="default" w:ascii="Times New Roman" w:hAnsi="Times New Roman" w:cs="Times New Roman"/>
          <w:b/>
          <w:szCs w:val="28"/>
          <w:highlight w:val="none"/>
        </w:rPr>
        <w:t>前附表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2"/>
        <w:gridCol w:w="81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72" w:type="dxa"/>
            <w:noWrap w:val="0"/>
            <w:vAlign w:val="center"/>
          </w:tcPr>
          <w:p>
            <w:pPr>
              <w:spacing w:line="400" w:lineRule="exac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序号</w:t>
            </w:r>
          </w:p>
        </w:tc>
        <w:tc>
          <w:tcPr>
            <w:tcW w:w="8170" w:type="dxa"/>
            <w:noWrap w:val="0"/>
            <w:vAlign w:val="center"/>
          </w:tcPr>
          <w:p>
            <w:pPr>
              <w:spacing w:line="400" w:lineRule="exac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内容、要求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8170" w:type="dxa"/>
            <w:noWrap w:val="0"/>
            <w:vAlign w:val="center"/>
          </w:tcPr>
          <w:p>
            <w:pPr>
              <w:spacing w:line="400" w:lineRule="exact"/>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项目名称：</w:t>
            </w:r>
            <w:r>
              <w:rPr>
                <w:rFonts w:hint="default" w:ascii="Times New Roman" w:hAnsi="Times New Roman" w:cs="Times New Roman"/>
                <w:szCs w:val="21"/>
                <w:highlight w:val="none"/>
                <w:lang w:eastAsia="zh-CN"/>
              </w:rPr>
              <w:t>宁波高新梅沁未来社区项目（旧改类）数字化（含智能化）系统设备采购项目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8170" w:type="dxa"/>
            <w:noWrap w:val="0"/>
            <w:vAlign w:val="center"/>
          </w:tcPr>
          <w:p>
            <w:pPr>
              <w:pStyle w:val="24"/>
              <w:spacing w:before="0" w:beforeLines="0" w:after="0" w:afterLines="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采购数量及单位：详见第二章《招标需求》。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8170" w:type="dxa"/>
            <w:noWrap w:val="0"/>
            <w:vAlign w:val="center"/>
          </w:tcPr>
          <w:p>
            <w:pPr>
              <w:spacing w:line="400" w:lineRule="exact"/>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投标报价及费用：</w:t>
            </w:r>
          </w:p>
          <w:p>
            <w:pPr>
              <w:spacing w:line="400" w:lineRule="exact"/>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1、</w:t>
            </w:r>
            <w:r>
              <w:rPr>
                <w:rFonts w:hint="default" w:ascii="Times New Roman" w:hAnsi="Times New Roman" w:eastAsia="宋体" w:cs="Times New Roman"/>
                <w:szCs w:val="21"/>
                <w:highlight w:val="none"/>
              </w:rPr>
              <w:t>本项目投标报价应以人民币报价。投标报价应包括</w:t>
            </w:r>
            <w:r>
              <w:rPr>
                <w:rFonts w:hint="eastAsia" w:ascii="宋体" w:hAnsi="宋体"/>
                <w:bCs/>
                <w:szCs w:val="21"/>
                <w:highlight w:val="none"/>
              </w:rPr>
              <w:t>数字化</w:t>
            </w:r>
            <w:r>
              <w:rPr>
                <w:rFonts w:hint="eastAsia" w:ascii="宋体" w:hAnsi="宋体"/>
                <w:bCs/>
                <w:szCs w:val="21"/>
                <w:highlight w:val="none"/>
                <w:lang w:val="en-US" w:eastAsia="zh-CN"/>
              </w:rPr>
              <w:t>建设</w:t>
            </w:r>
            <w:r>
              <w:rPr>
                <w:rFonts w:hint="eastAsia" w:ascii="宋体" w:hAnsi="宋体"/>
                <w:bCs/>
                <w:szCs w:val="21"/>
                <w:highlight w:val="none"/>
              </w:rPr>
              <w:t>、提升改造、综合运营费用以及项目</w:t>
            </w:r>
            <w:r>
              <w:rPr>
                <w:rFonts w:hint="eastAsia" w:ascii="宋体" w:hAnsi="宋体" w:cs="宋体"/>
                <w:highlight w:val="none"/>
              </w:rPr>
              <w:t>试运行、第三方检测或验收、专家评审及相关审批、质保服务、各类保险费、利润、税金、政策性文件规定费用及合同包含的所有风险、责任等各项所有费用</w:t>
            </w:r>
            <w:r>
              <w:rPr>
                <w:rFonts w:hint="eastAsia" w:ascii="Times New Roman" w:hAnsi="Times New Roman" w:eastAsia="宋体" w:cs="Times New Roman"/>
                <w:szCs w:val="21"/>
                <w:highlight w:val="none"/>
                <w:lang w:eastAsia="zh-CN"/>
              </w:rPr>
              <w:t>。</w:t>
            </w:r>
          </w:p>
          <w:p>
            <w:pPr>
              <w:spacing w:line="400" w:lineRule="exact"/>
              <w:rPr>
                <w:rFonts w:hint="default"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2、</w:t>
            </w:r>
            <w:r>
              <w:rPr>
                <w:rFonts w:hint="default" w:ascii="Times New Roman" w:hAnsi="Times New Roman" w:eastAsia="宋体" w:cs="Times New Roman"/>
                <w:szCs w:val="21"/>
                <w:highlight w:val="none"/>
              </w:rPr>
              <w:t>报价包括所有服务内容及过程中、一切可预见的、不可预见、税费成本等一切直接、间接成本和费用以及利润的全部。招标文件未列明，而投标人认为必需的费用也包含在投标报价内，即采购人不再支付其他任何费用。合同履行期限内，中标供应商承诺的中标价不因市场因素和政策因素变动而调整。</w:t>
            </w:r>
          </w:p>
          <w:p>
            <w:pPr>
              <w:spacing w:line="400" w:lineRule="exact"/>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rPr>
              <w:t>*</w:t>
            </w:r>
            <w:r>
              <w:rPr>
                <w:rFonts w:hint="eastAsia" w:ascii="Times New Roman" w:hAnsi="Times New Roman" w:eastAsia="宋体" w:cs="Times New Roman"/>
                <w:szCs w:val="21"/>
                <w:highlight w:val="none"/>
                <w:lang w:val="en-US" w:eastAsia="zh-CN"/>
              </w:rPr>
              <w:t>3</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本项目最高限价详见第一章《公开招标采购公告》</w:t>
            </w:r>
            <w:r>
              <w:rPr>
                <w:rFonts w:hint="default"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投标总价超过最高限价均作无效标处理。</w:t>
            </w:r>
          </w:p>
          <w:p>
            <w:pPr>
              <w:spacing w:line="400" w:lineRule="exact"/>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4</w:t>
            </w:r>
            <w:r>
              <w:rPr>
                <w:rFonts w:hint="default" w:ascii="Times New Roman" w:hAnsi="Times New Roman" w:eastAsia="宋体" w:cs="Times New Roman"/>
                <w:szCs w:val="21"/>
                <w:highlight w:val="none"/>
                <w:lang w:val="en-US" w:eastAsia="zh-CN"/>
              </w:rPr>
              <w:t>、不论投标结果如何，投标人均应自行承担所有与投标有关的全部费用。</w:t>
            </w:r>
          </w:p>
          <w:p>
            <w:pPr>
              <w:spacing w:line="400" w:lineRule="exact"/>
              <w:rPr>
                <w:rFonts w:hint="default" w:ascii="Times New Roman" w:hAnsi="Times New Roman" w:cs="Times New Roman"/>
                <w:b/>
                <w:bCs/>
                <w:szCs w:val="21"/>
                <w:highlight w:val="none"/>
              </w:rPr>
            </w:pPr>
            <w:r>
              <w:rPr>
                <w:rFonts w:hint="eastAsia" w:ascii="Times New Roman" w:hAnsi="Times New Roman" w:eastAsia="宋体" w:cs="Times New Roman"/>
                <w:szCs w:val="21"/>
                <w:highlight w:val="none"/>
                <w:lang w:val="en-US" w:eastAsia="zh-CN"/>
              </w:rPr>
              <w:t>5</w:t>
            </w:r>
            <w:r>
              <w:rPr>
                <w:rFonts w:hint="default" w:ascii="Times New Roman" w:hAnsi="Times New Roman" w:eastAsia="宋体" w:cs="Times New Roman"/>
                <w:szCs w:val="21"/>
                <w:highlight w:val="none"/>
                <w:lang w:val="en-US" w:eastAsia="zh-CN"/>
              </w:rPr>
              <w:t>、中标服务费：本采购代理公司根据</w:t>
            </w:r>
            <w:r>
              <w:rPr>
                <w:rFonts w:hint="eastAsia" w:ascii="Times New Roman" w:hAnsi="Times New Roman" w:eastAsia="宋体" w:cs="Times New Roman"/>
                <w:szCs w:val="21"/>
                <w:highlight w:val="none"/>
                <w:lang w:val="en-US" w:eastAsia="zh-CN"/>
              </w:rPr>
              <w:t>与采购人签订的</w:t>
            </w:r>
            <w:r>
              <w:rPr>
                <w:rFonts w:hint="default" w:ascii="Times New Roman" w:hAnsi="Times New Roman" w:eastAsia="宋体" w:cs="Times New Roman"/>
                <w:szCs w:val="21"/>
                <w:highlight w:val="none"/>
                <w:lang w:val="en-US" w:eastAsia="zh-CN"/>
              </w:rPr>
              <w:t>全过程咨询合同收费</w:t>
            </w:r>
            <w:r>
              <w:rPr>
                <w:rFonts w:hint="eastAsia" w:ascii="Times New Roman" w:hAnsi="Times New Roman" w:eastAsia="宋体" w:cs="Times New Roman"/>
                <w:szCs w:val="21"/>
                <w:highlight w:val="none"/>
                <w:lang w:val="en-US" w:eastAsia="zh-CN"/>
              </w:rPr>
              <w:t>要求执行</w:t>
            </w:r>
            <w:r>
              <w:rPr>
                <w:rFonts w:hint="default" w:ascii="Times New Roman" w:hAnsi="Times New Roman" w:eastAsia="宋体" w:cs="Times New Roman"/>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8170" w:type="dxa"/>
            <w:noWrap w:val="0"/>
            <w:vAlign w:val="center"/>
          </w:tcPr>
          <w:p>
            <w:pPr>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现场踏勘（如有）：详见第二章《招标需求》。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8170" w:type="dxa"/>
            <w:noWrap w:val="0"/>
            <w:vAlign w:val="center"/>
          </w:tcPr>
          <w:p>
            <w:pPr>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演示时间及地点（如有）：详见第二章《招标需求》。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w:t>
            </w:r>
          </w:p>
        </w:tc>
        <w:tc>
          <w:tcPr>
            <w:tcW w:w="8170" w:type="dxa"/>
            <w:noWrap w:val="0"/>
            <w:vAlign w:val="center"/>
          </w:tcPr>
          <w:p>
            <w:pPr>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投标文件组成：本项目实行网上投标，供应商应准备以下投标文件：</w:t>
            </w:r>
          </w:p>
          <w:p>
            <w:pPr>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（1）供应商于“政采云”上提供电子投标文件。</w:t>
            </w:r>
          </w:p>
          <w:p>
            <w:pPr>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（2）以U盘形式提供的备份电子投标文件数量1份</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lang w:val="en-US" w:eastAsia="zh-CN"/>
              </w:rPr>
              <w:t>不作强制要求，投标人自行决定是否提供</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7</w:t>
            </w:r>
          </w:p>
        </w:tc>
        <w:tc>
          <w:tcPr>
            <w:tcW w:w="8170" w:type="dxa"/>
            <w:noWrap w:val="0"/>
            <w:vAlign w:val="center"/>
          </w:tcPr>
          <w:p>
            <w:pPr>
              <w:autoSpaceDE w:val="0"/>
              <w:autoSpaceDN w:val="0"/>
              <w:spacing w:line="400" w:lineRule="exact"/>
              <w:textAlignment w:val="bottom"/>
              <w:rPr>
                <w:rFonts w:hint="default" w:ascii="Times New Roman" w:hAnsi="Times New Roman" w:cs="Times New Roman"/>
                <w:szCs w:val="21"/>
                <w:highlight w:val="none"/>
              </w:rPr>
            </w:pPr>
            <w:r>
              <w:rPr>
                <w:rFonts w:hint="default" w:ascii="Times New Roman" w:hAnsi="Times New Roman" w:cs="Times New Roman"/>
                <w:spacing w:val="-2"/>
                <w:szCs w:val="21"/>
                <w:highlight w:val="none"/>
              </w:rPr>
              <w:t>投标截止时间及地点：</w:t>
            </w:r>
            <w:r>
              <w:rPr>
                <w:rFonts w:hint="default" w:ascii="Times New Roman" w:hAnsi="Times New Roman" w:cs="Times New Roman"/>
                <w:highlight w:val="none"/>
              </w:rPr>
              <w:t>详见招标文件第一章《公开招标采购公告》。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8</w:t>
            </w:r>
          </w:p>
        </w:tc>
        <w:tc>
          <w:tcPr>
            <w:tcW w:w="8170" w:type="dxa"/>
            <w:noWrap w:val="0"/>
            <w:vAlign w:val="center"/>
          </w:tcPr>
          <w:p>
            <w:pPr>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开标时间及地点：</w:t>
            </w:r>
            <w:r>
              <w:rPr>
                <w:rFonts w:hint="default" w:ascii="Times New Roman" w:hAnsi="Times New Roman" w:cs="Times New Roman"/>
                <w:highlight w:val="none"/>
              </w:rPr>
              <w:t>详见招标文件第一章《公开招标采购公告》。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9</w:t>
            </w:r>
          </w:p>
        </w:tc>
        <w:tc>
          <w:tcPr>
            <w:tcW w:w="8170" w:type="dxa"/>
            <w:noWrap w:val="0"/>
            <w:vAlign w:val="center"/>
          </w:tcPr>
          <w:p>
            <w:pPr>
              <w:spacing w:line="400" w:lineRule="exact"/>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评标办法及评分标准：详见第四章《评标办法及评分标准》</w:t>
            </w:r>
            <w:r>
              <w:rPr>
                <w:rFonts w:hint="default" w:ascii="Times New Roman" w:hAnsi="Times New Roman" w:cs="Times New Roman"/>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10</w:t>
            </w:r>
          </w:p>
        </w:tc>
        <w:tc>
          <w:tcPr>
            <w:tcW w:w="8170" w:type="dxa"/>
            <w:noWrap w:val="0"/>
            <w:vAlign w:val="center"/>
          </w:tcPr>
          <w:p>
            <w:pPr>
              <w:autoSpaceDE w:val="0"/>
              <w:autoSpaceDN w:val="0"/>
              <w:spacing w:line="400" w:lineRule="exac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中标结果公示：评标结束后，评标结果公示于浙江政府采购网、</w:t>
            </w:r>
            <w:r>
              <w:rPr>
                <w:rFonts w:hint="default" w:ascii="Times New Roman" w:hAnsi="Times New Roman" w:cs="Times New Roman"/>
                <w:szCs w:val="21"/>
                <w:highlight w:val="none"/>
                <w:lang w:val="en-US" w:eastAsia="zh-CN"/>
              </w:rPr>
              <w:t>宁波市</w:t>
            </w:r>
            <w:r>
              <w:rPr>
                <w:rFonts w:hint="default" w:ascii="Times New Roman" w:hAnsi="Times New Roman" w:cs="Times New Roman"/>
                <w:szCs w:val="21"/>
                <w:highlight w:val="none"/>
              </w:rPr>
              <w:t>政府采购网</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宁波公共资源交易网</w:t>
            </w:r>
            <w:r>
              <w:rPr>
                <w:rFonts w:hint="default" w:ascii="Times New Roman" w:hAnsi="Times New Roman" w:cs="Times New Roman"/>
                <w:szCs w:val="21"/>
                <w:highlight w:val="none"/>
                <w:lang w:val="en-US" w:eastAsia="zh-CN"/>
              </w:rPr>
              <w:t>高新区</w:t>
            </w:r>
            <w:r>
              <w:rPr>
                <w:rFonts w:hint="default" w:ascii="Times New Roman" w:hAnsi="Times New Roman" w:cs="Times New Roman"/>
                <w:szCs w:val="21"/>
                <w:highlight w:val="none"/>
              </w:rPr>
              <w:t>分网和浙江科信联合工程项目管理咨询有限公司网站。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11</w:t>
            </w:r>
          </w:p>
        </w:tc>
        <w:tc>
          <w:tcPr>
            <w:tcW w:w="8170" w:type="dxa"/>
            <w:noWrap w:val="0"/>
            <w:vAlign w:val="center"/>
          </w:tcPr>
          <w:p>
            <w:pPr>
              <w:autoSpaceDE w:val="0"/>
              <w:autoSpaceDN w:val="0"/>
              <w:spacing w:line="400" w:lineRule="exac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签订合同时间：中标通知书发出后30日内。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12</w:t>
            </w:r>
          </w:p>
        </w:tc>
        <w:tc>
          <w:tcPr>
            <w:tcW w:w="8170" w:type="dxa"/>
            <w:noWrap w:val="0"/>
            <w:vAlign w:val="center"/>
          </w:tcPr>
          <w:p>
            <w:pPr>
              <w:spacing w:line="400" w:lineRule="exact"/>
              <w:ind w:left="0" w:leftChars="0" w:right="0" w:rightChars="0" w:firstLine="0" w:firstLineChars="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履约保证金：详见第二章《招标需求》。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13</w:t>
            </w:r>
          </w:p>
        </w:tc>
        <w:tc>
          <w:tcPr>
            <w:tcW w:w="8170" w:type="dxa"/>
            <w:noWrap w:val="0"/>
            <w:vAlign w:val="center"/>
          </w:tcPr>
          <w:p>
            <w:pPr>
              <w:autoSpaceDE w:val="0"/>
              <w:autoSpaceDN w:val="0"/>
              <w:spacing w:line="400" w:lineRule="exac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质保期：详见第二章《招标需求》。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14</w:t>
            </w:r>
          </w:p>
        </w:tc>
        <w:tc>
          <w:tcPr>
            <w:tcW w:w="8170" w:type="dxa"/>
            <w:noWrap w:val="0"/>
            <w:vAlign w:val="center"/>
          </w:tcPr>
          <w:p>
            <w:pPr>
              <w:autoSpaceDE w:val="0"/>
              <w:autoSpaceDN w:val="0"/>
              <w:spacing w:line="400" w:lineRule="exact"/>
              <w:textAlignment w:val="bottom"/>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采购资金来源：财政资金。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highlight w:val="none"/>
              </w:rPr>
              <w:t>*</w:t>
            </w:r>
            <w:r>
              <w:rPr>
                <w:rFonts w:hint="default" w:ascii="Times New Roman" w:hAnsi="Times New Roman" w:cs="Times New Roman"/>
                <w:szCs w:val="21"/>
                <w:highlight w:val="none"/>
              </w:rPr>
              <w:t>15</w:t>
            </w:r>
          </w:p>
        </w:tc>
        <w:tc>
          <w:tcPr>
            <w:tcW w:w="8170" w:type="dxa"/>
            <w:noWrap w:val="0"/>
            <w:vAlign w:val="center"/>
          </w:tcPr>
          <w:p>
            <w:pPr>
              <w:autoSpaceDE w:val="0"/>
              <w:autoSpaceDN w:val="0"/>
              <w:spacing w:line="400" w:lineRule="exac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投标文件有效期：自投标截止之日起90天。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highlight w:val="none"/>
              </w:rPr>
            </w:pPr>
            <w:r>
              <w:rPr>
                <w:rFonts w:hint="default" w:ascii="Times New Roman" w:hAnsi="Times New Roman" w:cs="Times New Roman"/>
                <w:highlight w:val="none"/>
              </w:rPr>
              <w:t>*16</w:t>
            </w:r>
          </w:p>
        </w:tc>
        <w:tc>
          <w:tcPr>
            <w:tcW w:w="8170" w:type="dxa"/>
            <w:noWrap w:val="0"/>
            <w:vAlign w:val="center"/>
          </w:tcPr>
          <w:p>
            <w:pPr>
              <w:autoSpaceDE w:val="0"/>
              <w:autoSpaceDN w:val="0"/>
              <w:spacing w:line="400" w:lineRule="exac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中标人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672"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17</w:t>
            </w:r>
          </w:p>
        </w:tc>
        <w:tc>
          <w:tcPr>
            <w:tcW w:w="8170" w:type="dxa"/>
            <w:noWrap w:val="0"/>
            <w:vAlign w:val="center"/>
          </w:tcPr>
          <w:p>
            <w:pPr>
              <w:autoSpaceDE w:val="0"/>
              <w:autoSpaceDN w:val="0"/>
              <w:spacing w:line="400" w:lineRule="exact"/>
              <w:textAlignment w:val="bottom"/>
              <w:rPr>
                <w:rFonts w:hint="default" w:ascii="Times New Roman" w:hAnsi="Times New Roman" w:cs="Times New Roman"/>
                <w:szCs w:val="21"/>
                <w:highlight w:val="none"/>
              </w:rPr>
            </w:pPr>
            <w:r>
              <w:rPr>
                <w:rFonts w:hint="default" w:ascii="Times New Roman" w:hAnsi="Times New Roman" w:cs="Times New Roman"/>
                <w:szCs w:val="21"/>
                <w:highlight w:val="none"/>
              </w:rPr>
              <w:t>解释：本招标文件的解释权属于代理机构。</w:t>
            </w:r>
          </w:p>
        </w:tc>
      </w:tr>
    </w:tbl>
    <w:p>
      <w:pPr>
        <w:pStyle w:val="24"/>
        <w:snapToGrid w:val="0"/>
        <w:spacing w:before="120" w:beforeLines="0" w:after="120" w:afterLines="0" w:line="240" w:lineRule="auto"/>
        <w:rPr>
          <w:rFonts w:hint="default" w:ascii="Times New Roman" w:hAnsi="Times New Roman" w:cs="Times New Roman"/>
          <w:highlight w:val="none"/>
        </w:rPr>
      </w:pPr>
    </w:p>
    <w:p>
      <w:pPr>
        <w:pStyle w:val="24"/>
        <w:spacing w:before="0" w:beforeLines="0" w:after="0" w:afterLines="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 xml:space="preserve">    </w:t>
      </w:r>
    </w:p>
    <w:p>
      <w:pPr>
        <w:pStyle w:val="24"/>
        <w:spacing w:before="0" w:beforeLines="0" w:after="0" w:afterLines="0" w:line="360" w:lineRule="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br w:type="page"/>
      </w:r>
      <w:r>
        <w:rPr>
          <w:rFonts w:hint="default" w:ascii="Times New Roman" w:hAnsi="Times New Roman" w:cs="Times New Roman"/>
          <w:b/>
          <w:sz w:val="21"/>
          <w:szCs w:val="21"/>
          <w:highlight w:val="none"/>
        </w:rPr>
        <w:t>一、总则</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（一）适用范围</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本招标文件适用于本项目的招标、投标、评标、定标、验收、合同履约、付款等行为（法律、法规另有规定的，从其规定）。</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（二）定义</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1.“采购人”系指</w:t>
      </w:r>
      <w:r>
        <w:rPr>
          <w:rFonts w:hint="default" w:ascii="Times New Roman" w:hAnsi="Times New Roman" w:cs="Times New Roman"/>
          <w:szCs w:val="21"/>
          <w:highlight w:val="none"/>
          <w:lang w:eastAsia="zh-CN"/>
        </w:rPr>
        <w:t>宁波市鄞州区人民政府梅墟街道办事处。</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2.“投标人”系指向采购人提交投标文件的单位。</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3.“产品”系指投标人按招标文件规定，须向采购人提供的一切设备、保险、税金、备品备件、工具、手册及其它有关技术资料和材料。</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4.“服务”系指招标文件规定投标人须承担的安装、调试、技术协助、校准、培训、技术指导、配合验收以及其他类似的服务。</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5.“项目”系指投标人按招标文件规定向采购人提供的产品和服务。</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6.“书面形式”包括信函、传真、电报等。</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7.“*”系指实质性要求条款，任何负偏离和未作实质性响应都将直接导致无效标。</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（三）招标方式</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本次招标采用公开招标方式进行。</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（四）投标委托</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投标人代表须携带有效身份证件。如投标人代表不是该单位法定代表人，须有该单位的法定代表人出具的授权委托书（投标文件正本用原件，副本可用复印件）并在投标文件中提供投标人代表的社保部门出具的距离开标日近三个月任意一个月的社保证明，未按上述要求提供社保证明的作无效标处理。</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（五）投标费用</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不论投标结果如何，投标人均应自行承担所有与投标有关的全部费用（招标文件有相反规定除外）。</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（六）联合体投标</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本项目不接受联合体投标。</w:t>
      </w:r>
    </w:p>
    <w:p>
      <w:pPr>
        <w:spacing w:line="360" w:lineRule="auto"/>
        <w:ind w:firstLine="422" w:firstLineChars="200"/>
        <w:rPr>
          <w:rFonts w:hint="default" w:ascii="Times New Roman" w:hAnsi="Times New Roman" w:cs="Times New Roman"/>
          <w:b/>
          <w:kern w:val="0"/>
          <w:szCs w:val="21"/>
          <w:highlight w:val="none"/>
        </w:rPr>
      </w:pPr>
      <w:r>
        <w:rPr>
          <w:rFonts w:hint="default" w:ascii="Times New Roman" w:hAnsi="Times New Roman" w:cs="Times New Roman"/>
          <w:b/>
          <w:szCs w:val="21"/>
          <w:highlight w:val="none"/>
        </w:rPr>
        <w:t>（七）</w:t>
      </w:r>
      <w:r>
        <w:rPr>
          <w:rFonts w:hint="default" w:ascii="Times New Roman" w:hAnsi="Times New Roman" w:cs="Times New Roman"/>
          <w:b/>
          <w:kern w:val="0"/>
          <w:szCs w:val="21"/>
          <w:highlight w:val="none"/>
        </w:rPr>
        <w:t>转包与分包</w:t>
      </w:r>
    </w:p>
    <w:p>
      <w:pPr>
        <w:spacing w:line="360" w:lineRule="auto"/>
        <w:ind w:firstLine="420" w:firstLineChars="200"/>
        <w:rPr>
          <w:rFonts w:hint="default" w:ascii="Times New Roman" w:hAnsi="Times New Roman" w:cs="Times New Roman"/>
          <w:kern w:val="0"/>
          <w:szCs w:val="21"/>
          <w:highlight w:val="none"/>
        </w:rPr>
      </w:pPr>
      <w:r>
        <w:rPr>
          <w:rFonts w:hint="default" w:ascii="Times New Roman" w:hAnsi="Times New Roman" w:cs="Times New Roman"/>
          <w:szCs w:val="21"/>
          <w:highlight w:val="none"/>
        </w:rPr>
        <w:t>本项目不允许转包；未经采购人同意，不允许分包</w:t>
      </w:r>
      <w:r>
        <w:rPr>
          <w:rFonts w:hint="default" w:ascii="Times New Roman" w:hAnsi="Times New Roman" w:cs="Times New Roman"/>
          <w:kern w:val="0"/>
          <w:szCs w:val="21"/>
          <w:highlight w:val="none"/>
        </w:rPr>
        <w:t>。</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（八）特别说明</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1、投标人在投标活动中提供任何虚假材料</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其投标无效</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并报监管部门查处。</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2、单位负责人为同一人或者存在直接控股、管理关系的不同投标人，不得参加同一合同项下的政府采购活动。</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除单一来源采购项目外，为采购项目提供整体设计、规范编制或者项目管理、监理、检测等服务的投标人，不得再参加本项目投标。</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3、提供相同品牌产品且通过资格审查、符合性审查的不同投标人参加同一合同项下投标的，按一家投标人计算。</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若采用综合评分法进行评审的，评审后得分最高的同品牌投标人获得中标人推荐资格；评审得分相同的，由评审小组按照采购文件规定的方式确定一个投标人获得中标人的推荐资格，采购文件未规定的采取随机抽取的方式确定，其他同品牌投标人不作为中标候选人。</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非单一产品采购项目，投标人使用相同制造产品（相同制造产品是指采购文件中指定的</w:t>
      </w:r>
      <w:r>
        <w:rPr>
          <w:rFonts w:hint="default" w:ascii="Times New Roman" w:hAnsi="Times New Roman" w:cs="Times New Roman"/>
          <w:b/>
          <w:bCs/>
          <w:sz w:val="21"/>
          <w:szCs w:val="21"/>
          <w:highlight w:val="none"/>
        </w:rPr>
        <w:t>“核心产品</w:t>
      </w:r>
      <w:r>
        <w:rPr>
          <w:rFonts w:hint="default" w:ascii="Times New Roman" w:hAnsi="Times New Roman" w:cs="Times New Roman"/>
          <w:b/>
          <w:bCs/>
          <w:sz w:val="21"/>
          <w:szCs w:val="21"/>
          <w:highlight w:val="none"/>
          <w:lang w:eastAsia="zh-CN"/>
        </w:rPr>
        <w:t>：</w:t>
      </w:r>
      <w:r>
        <w:rPr>
          <w:rFonts w:hint="default" w:ascii="Times New Roman" w:hAnsi="Times New Roman" w:cs="Times New Roman"/>
          <w:b/>
          <w:bCs/>
          <w:sz w:val="21"/>
          <w:szCs w:val="21"/>
          <w:highlight w:val="none"/>
          <w:lang w:val="en-US" w:eastAsia="zh-CN"/>
        </w:rPr>
        <w:t>会议一体机3.7设备分项表</w:t>
      </w:r>
      <w:r>
        <w:rPr>
          <w:rFonts w:hint="eastAsia" w:ascii="Times New Roman" w:hAnsi="Times New Roman" w:cs="Times New Roman"/>
          <w:b/>
          <w:bCs/>
          <w:sz w:val="21"/>
          <w:szCs w:val="21"/>
          <w:highlight w:val="none"/>
          <w:lang w:val="en-US" w:eastAsia="zh-CN"/>
        </w:rPr>
        <w:t xml:space="preserve"> 序号2</w:t>
      </w:r>
      <w:r>
        <w:rPr>
          <w:rFonts w:hint="default" w:ascii="Times New Roman" w:hAnsi="Times New Roman" w:cs="Times New Roman"/>
          <w:b/>
          <w:bCs/>
          <w:sz w:val="21"/>
          <w:szCs w:val="21"/>
          <w:highlight w:val="none"/>
        </w:rPr>
        <w:t>”</w:t>
      </w:r>
      <w:r>
        <w:rPr>
          <w:rFonts w:hint="default" w:ascii="Times New Roman" w:hAnsi="Times New Roman" w:cs="Times New Roman"/>
          <w:sz w:val="21"/>
          <w:szCs w:val="21"/>
          <w:highlight w:val="none"/>
        </w:rPr>
        <w:t>）作为其项目的一部分，按一家投标人认定。</w:t>
      </w:r>
    </w:p>
    <w:p>
      <w:pPr>
        <w:spacing w:line="360" w:lineRule="auto"/>
        <w:ind w:firstLine="420" w:firstLineChars="200"/>
        <w:rPr>
          <w:rFonts w:hint="eastAsia" w:ascii="Times New Roman" w:hAnsi="Times New Roman" w:eastAsia="宋体" w:cs="Times New Roman"/>
          <w:b w:val="0"/>
          <w:bCs/>
          <w:kern w:val="0"/>
          <w:szCs w:val="21"/>
          <w:highlight w:val="none"/>
          <w:lang w:val="en-US" w:eastAsia="zh-CN"/>
        </w:rPr>
      </w:pPr>
      <w:r>
        <w:rPr>
          <w:rFonts w:hint="eastAsia" w:ascii="Times New Roman" w:hAnsi="Times New Roman" w:cs="Times New Roman"/>
          <w:b w:val="0"/>
          <w:bCs/>
          <w:kern w:val="0"/>
          <w:szCs w:val="21"/>
          <w:highlight w:val="none"/>
          <w:lang w:val="en-US" w:eastAsia="zh-CN"/>
        </w:rPr>
        <w:t>4、其他组织或自然人参加投标的，由其他组织（营业执照上的所属姓名）或自然人签署的相关投标资料与本采购文件规定由法定代表人签署的的文件材料具有同等效力。</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kern w:val="0"/>
          <w:szCs w:val="21"/>
          <w:highlight w:val="none"/>
        </w:rPr>
        <w:t>（九）</w:t>
      </w:r>
      <w:r>
        <w:rPr>
          <w:rFonts w:hint="default" w:ascii="Times New Roman" w:hAnsi="Times New Roman" w:cs="Times New Roman"/>
          <w:b/>
          <w:szCs w:val="21"/>
          <w:highlight w:val="none"/>
        </w:rPr>
        <w:t>关于分公司投标</w:t>
      </w:r>
    </w:p>
    <w:p>
      <w:pPr>
        <w:spacing w:line="360" w:lineRule="auto"/>
        <w:ind w:firstLine="420" w:firstLineChars="20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除银行、保险、石油石化、电力、电信、移动、联通等行业外，分公司投标的，需在投标文件中提供具有法人资格的总公司的营业执照及授权书，授权书须加盖总公司公章。总公司可就本项目或此类项目在一定范围或时间内出具授权书。已由总公司授权的，总公司取得的相关资质证书对分公司有效。分支机构参加投标的，由分支机构负责人签署的相关投标资料与本招标文件规定由法定代表人签署的的文件材料具有同等效力。</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（十）关于知识产权</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1、投标人必须保证，采购人在中华人民共和国境内使用投标货物、资料、技术、服务或其任何一部分时，享有不受限制的无偿使用权，如有第三方向采购人提出侵犯其专利权、商标权或其它知识产权的主张</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该责任应由投标人承担。</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2、投标报价应包含所有应向所有权人支付的专利权、商标权或其它知识产权的一切相关费用。</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3、系统软件、通用软件必须是具有在中国境内的合法使用权或版权的正版软件，涉及到第三方提出侵权或知识产权的起诉及支付版税等费用由投标人承担所有责任及费用。</w:t>
      </w:r>
    </w:p>
    <w:p>
      <w:pPr>
        <w:pStyle w:val="24"/>
        <w:widowControl/>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（十一）质疑和投诉</w:t>
      </w:r>
    </w:p>
    <w:p>
      <w:pPr>
        <w:pStyle w:val="24"/>
        <w:widowControl/>
        <w:spacing w:before="0" w:beforeLines="0" w:after="0" w:afterLines="0" w:line="360" w:lineRule="auto"/>
        <w:ind w:firstLine="420" w:firstLineChars="200"/>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1、供应商认为采购文件、采购过程、中标或者成交结果使自己的权益受到损害的，须在应知其利益受损之日起七个工作日内以书面形式向采购人、采购代理机构提出质疑。供应商应当在法定质疑期内一次性提出针对同一采购程序环节的质疑。</w:t>
      </w:r>
    </w:p>
    <w:p>
      <w:pPr>
        <w:pStyle w:val="24"/>
        <w:widowControl/>
        <w:spacing w:before="0" w:beforeLines="0" w:after="0" w:afterLines="0" w:line="360" w:lineRule="auto"/>
        <w:ind w:firstLine="420" w:firstLineChars="200"/>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2、提出质疑的供应商应当是参与所质疑项目采购活动的供应商。未依法获取采购文件的，不得就采购文件提出质疑；未提交投标文件的供应商，视为与采购结果没有利害关系，不得就采购响应截止时间后的采购过程、采购结果提出质疑。</w:t>
      </w:r>
    </w:p>
    <w:p>
      <w:pPr>
        <w:pStyle w:val="24"/>
        <w:widowControl/>
        <w:spacing w:before="0" w:beforeLines="0" w:after="0" w:afterLines="0" w:line="360" w:lineRule="auto"/>
        <w:ind w:firstLine="420" w:firstLineChars="200"/>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3、供应商提出质疑应当提交质疑函和必要的证明材料，质疑函应当面以书面形式提出，质疑函格式和内容须符合财政部《质疑函范本》要求，供应商可到中国政府采购网自行下载财政部《质疑函范本》。</w:t>
      </w:r>
    </w:p>
    <w:p>
      <w:pPr>
        <w:pStyle w:val="24"/>
        <w:widowControl/>
        <w:spacing w:before="0" w:beforeLines="0" w:after="0" w:afterLines="0" w:line="360" w:lineRule="auto"/>
        <w:ind w:firstLine="420" w:firstLineChars="200"/>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采购文件第一章有关联系方式。</w:t>
      </w:r>
    </w:p>
    <w:p>
      <w:pPr>
        <w:pStyle w:val="24"/>
        <w:widowControl/>
        <w:spacing w:before="0" w:beforeLines="0" w:after="0" w:afterLines="0" w:line="360" w:lineRule="auto"/>
        <w:ind w:firstLine="420" w:firstLineChars="200"/>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5、供应商对采购人或采购代理机构的质疑答复不满意或者采购人或采购代理机构未在规定时间内作出答复的，可以在答复期满后十五个工作日内向同级采购监管部门投诉。</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p>
    <w:p>
      <w:pPr>
        <w:pStyle w:val="24"/>
        <w:spacing w:before="0" w:beforeLines="0" w:after="0" w:afterLines="0" w:line="360" w:lineRule="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二、招标文件</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（一）招标文件的构成。本招标文件由以下部份组成：</w:t>
      </w: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1.公开招标采购公告</w:t>
      </w: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2.招标需求</w:t>
      </w: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3.投标人须知</w:t>
      </w: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4.评标办法及评分标准</w:t>
      </w: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5.政府采购合同主要条款</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6.投标文件格式</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7.本项目招标文件的澄清、答复、修改、补充的内容</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（二）投标人的风险</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1、投标人应详细阅读采购文件中的全部内容和要求，按照采购文件的要求提交投标文件，没有按照采购文件要求提供投标文件和资料导致的风险由投标人承担,并对所提供的全部资料的真实性承担法律责任。</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w:t>
      </w:r>
      <w:r>
        <w:rPr>
          <w:rFonts w:hint="default" w:ascii="Times New Roman" w:hAnsi="Times New Roman" w:cs="Times New Roman"/>
          <w:bCs/>
          <w:szCs w:val="21"/>
          <w:highlight w:val="none"/>
        </w:rPr>
        <w:t>无论因何种原因导致本次采购活动终止致投标人损失的</w:t>
      </w:r>
      <w:r>
        <w:rPr>
          <w:rFonts w:hint="default" w:ascii="Times New Roman" w:hAnsi="Times New Roman" w:cs="Times New Roman"/>
          <w:szCs w:val="21"/>
          <w:highlight w:val="none"/>
        </w:rPr>
        <w:t>，相关责任人均不承担任何责任。</w:t>
      </w:r>
    </w:p>
    <w:p>
      <w:pPr>
        <w:pStyle w:val="12"/>
        <w:widowControl w:val="0"/>
        <w:tabs>
          <w:tab w:val="clear" w:pos="454"/>
        </w:tabs>
        <w:spacing w:after="0" w:afterLines="0" w:line="360" w:lineRule="auto"/>
        <w:ind w:left="0" w:firstLine="422" w:firstLineChars="200"/>
        <w:jc w:val="both"/>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 xml:space="preserve">（三）招标文件的澄清与修改 </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采购人对采购文件进行必要的澄清或者修改的，在发布招标公告的网站上发布更正公告。澄清或者修改的内容可能影响投标文件编制的，更正公告在投标截止时间至少15日前发出；不足15日的，顺延提交投标文件截止时间。</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2、更正公告为采购文件的组成部分，一经在网站发布，视同已通知所有采购文件的收受人，不再采用其它方式传达相关信息, 若因未能及时了解到上述网站上发布的相关信息而导致的一切后果自行承担。</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3、如更正公告有重新发布电子采购文件的，投标人应下载最新发布的电子招标文件制作投标文件。</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4、投标人在规定的时间内未对招标文件提出疑问、质疑或要求澄清的，将视其为无异议。对采购文件中描述有歧义或前后不一致的地方，评审小组有权进行评判，但对同一条款的评判应适用于每个投标人。</w:t>
      </w:r>
    </w:p>
    <w:p>
      <w:pPr>
        <w:pStyle w:val="24"/>
        <w:spacing w:before="0" w:beforeLines="0" w:after="0" w:afterLines="0" w:line="360" w:lineRule="auto"/>
        <w:rPr>
          <w:rFonts w:hint="default" w:ascii="Times New Roman" w:hAnsi="Times New Roman" w:cs="Times New Roman"/>
          <w:b/>
          <w:sz w:val="21"/>
          <w:szCs w:val="21"/>
          <w:highlight w:val="none"/>
        </w:rPr>
      </w:pPr>
    </w:p>
    <w:p>
      <w:pPr>
        <w:pStyle w:val="24"/>
        <w:spacing w:before="0" w:beforeLines="0" w:after="0" w:afterLines="0" w:line="360" w:lineRule="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三、投标文件的编制</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（一）投标文件由报价文件、资格证明文件、技术商务文件组成</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1.报价文件包括以下内容：</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（1）投标声明书（格式见附件）；</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（2）开标一览表（格式见附件）；</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（3）分项报价表（格式见附件）；</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（4）中小企业声明函（适用小微企业政策的请提供，格式见附件，未提供的不享受小微企业政策）；</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（5）残疾人福利性单位声明函（如有，填写要求详见后款九、特别说明的条件，请对照相关政策要求如实填写，填写格式见附件）；</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w:t>
      </w:r>
      <w:r>
        <w:rPr>
          <w:rFonts w:hint="default" w:ascii="Times New Roman" w:hAnsi="Times New Roman" w:cs="Times New Roman"/>
          <w:szCs w:val="21"/>
          <w:highlight w:val="none"/>
          <w:lang w:val="en-US" w:eastAsia="zh-CN"/>
        </w:rPr>
        <w:t>6</w:t>
      </w:r>
      <w:r>
        <w:rPr>
          <w:rFonts w:hint="default" w:ascii="Times New Roman" w:hAnsi="Times New Roman" w:cs="Times New Roman"/>
          <w:szCs w:val="21"/>
          <w:highlight w:val="none"/>
        </w:rPr>
        <w:t>）投标人针对报价需要说明的其他文件和说明。</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2.资格证明文件包括以下内容：</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（1）资格条件自查表（格式见附件）；</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（2）有效的企业法人营业执照（或事业法人登记证）、其他组织（个体工商户）的营业执照或者民办非企业单位登记证书复印件（加盖公章）；</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（3）书面声明（格式见附件）。</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3.技术商务文件包括以下内容：</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（1）符合性自查表（格式见附件）；</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（2）法定代表人资格证明（格式见附件）；</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（3）法定代表人授权书（投标人的代表若为非法定代表人的，必须提交法定代表人授权书原件，另请提供投标人代表的社保部门出具的开标前近三个月任意一个月的社保证明，格式见附件）；</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（4）商务条款响应（偏离）表（格式见附件，根据第二章《招标需求》一、商务要求表的要求制作）；</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（5）技术条款响应（偏离）表（格式见附件，根据第二章《招标需求》二、详细采购需求的要求制作，其中技术条款中要求提供的证明资料或者补充资料按照要求制作附在本表之后）；</w:t>
      </w:r>
    </w:p>
    <w:p>
      <w:pPr>
        <w:spacing w:line="360" w:lineRule="auto"/>
        <w:ind w:firstLine="411" w:firstLineChars="196"/>
        <w:jc w:val="left"/>
        <w:rPr>
          <w:rFonts w:hint="default" w:ascii="Times New Roman" w:hAnsi="Times New Roman" w:cs="Times New Roman"/>
          <w:szCs w:val="21"/>
          <w:highlight w:val="none"/>
        </w:rPr>
      </w:pPr>
      <w:r>
        <w:rPr>
          <w:rFonts w:hint="default" w:ascii="Times New Roman" w:hAnsi="Times New Roman" w:cs="Times New Roman"/>
          <w:szCs w:val="21"/>
          <w:highlight w:val="none"/>
        </w:rPr>
        <w:t>（6）评分标准或招标文件需要提供的其他技术商务材料：</w:t>
      </w:r>
    </w:p>
    <w:p>
      <w:pPr>
        <w:spacing w:line="360" w:lineRule="auto"/>
        <w:ind w:firstLine="411" w:firstLineChars="196"/>
        <w:jc w:val="left"/>
        <w:rPr>
          <w:rFonts w:hint="default" w:ascii="Times New Roman" w:hAnsi="Times New Roman" w:cs="Times New Roman"/>
          <w:szCs w:val="21"/>
          <w:highlight w:val="none"/>
        </w:rPr>
      </w:pPr>
      <w:r>
        <w:rPr>
          <w:rFonts w:hint="default" w:ascii="Times New Roman" w:hAnsi="Times New Roman" w:cs="Times New Roman"/>
          <w:szCs w:val="21"/>
          <w:highlight w:val="none"/>
        </w:rPr>
        <w:t>6.1投标人响应表（格式见附件）；</w:t>
      </w:r>
    </w:p>
    <w:p>
      <w:pPr>
        <w:spacing w:line="360" w:lineRule="auto"/>
        <w:ind w:firstLine="411" w:firstLineChars="196"/>
        <w:jc w:val="left"/>
        <w:rPr>
          <w:rFonts w:hint="default" w:ascii="Times New Roman" w:hAnsi="Times New Roman" w:cs="Times New Roman"/>
          <w:szCs w:val="21"/>
          <w:highlight w:val="none"/>
        </w:rPr>
      </w:pPr>
      <w:r>
        <w:rPr>
          <w:rFonts w:hint="default" w:ascii="Times New Roman" w:hAnsi="Times New Roman" w:cs="Times New Roman"/>
          <w:szCs w:val="21"/>
          <w:highlight w:val="none"/>
        </w:rPr>
        <w:t>6.2其他（格式自拟）。</w:t>
      </w:r>
    </w:p>
    <w:p>
      <w:pPr>
        <w:spacing w:line="360" w:lineRule="auto"/>
        <w:ind w:left="420" w:leftChars="200"/>
        <w:rPr>
          <w:rFonts w:hint="default" w:ascii="Times New Roman" w:hAnsi="Times New Roman" w:cs="Times New Roman"/>
          <w:szCs w:val="21"/>
          <w:highlight w:val="none"/>
        </w:rPr>
      </w:pPr>
      <w:r>
        <w:rPr>
          <w:rFonts w:hint="default" w:ascii="Times New Roman" w:hAnsi="Times New Roman" w:cs="Times New Roman"/>
          <w:szCs w:val="21"/>
          <w:highlight w:val="none"/>
        </w:rPr>
        <w:t>（7）节能环保产品证明材料（如有，</w:t>
      </w:r>
      <w:r>
        <w:rPr>
          <w:rFonts w:hint="default" w:ascii="Times New Roman" w:hAnsi="Times New Roman" w:cs="Times New Roman"/>
          <w:highlight w:val="none"/>
        </w:rPr>
        <w:t>按第四章中评分标准要求提供</w:t>
      </w:r>
      <w:r>
        <w:rPr>
          <w:rFonts w:hint="default" w:ascii="Times New Roman" w:hAnsi="Times New Roman" w:cs="Times New Roman"/>
          <w:bCs/>
          <w:szCs w:val="21"/>
          <w:highlight w:val="none"/>
        </w:rPr>
        <w:t>）</w:t>
      </w:r>
      <w:r>
        <w:rPr>
          <w:rFonts w:hint="default" w:ascii="Times New Roman" w:hAnsi="Times New Roman" w:cs="Times New Roman"/>
          <w:szCs w:val="21"/>
          <w:highlight w:val="none"/>
        </w:rPr>
        <w:t>；</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（8）评分标准要求提供的其他技术资料及说明；</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（9）投标人认为有必要提供的或本技术规格书中要求提供的其他技术资料及说明。</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（二）投标文件的语言及计量</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w:t>
      </w:r>
      <w:r>
        <w:rPr>
          <w:rFonts w:hint="default" w:ascii="Times New Roman" w:hAnsi="Times New Roman" w:cs="Times New Roman"/>
          <w:szCs w:val="21"/>
          <w:highlight w:val="none"/>
          <w:lang w:val="en-US" w:eastAsia="zh-CN"/>
        </w:rPr>
        <w:t>.</w:t>
      </w:r>
      <w:r>
        <w:rPr>
          <w:rFonts w:hint="default" w:ascii="Times New Roman" w:hAnsi="Times New Roman" w:cs="Times New Roman"/>
          <w:szCs w:val="21"/>
          <w:highlight w:val="none"/>
        </w:rPr>
        <w:t>投标文件以及投标方与采购人就有关投标事宜的所有来往函电，均应以中文汉语书写。除签名、盖章、专用名称等特殊情形外，以中文汉语以外的文字表述的投标文件视同未提供。</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w:t>
      </w:r>
      <w:r>
        <w:rPr>
          <w:rFonts w:hint="default" w:ascii="Times New Roman" w:hAnsi="Times New Roman" w:cs="Times New Roman"/>
          <w:szCs w:val="21"/>
          <w:highlight w:val="none"/>
          <w:lang w:val="en-US" w:eastAsia="zh-CN"/>
        </w:rPr>
        <w:t>.</w:t>
      </w:r>
      <w:r>
        <w:rPr>
          <w:rFonts w:hint="default" w:ascii="Times New Roman" w:hAnsi="Times New Roman" w:cs="Times New Roman"/>
          <w:szCs w:val="21"/>
          <w:highlight w:val="none"/>
        </w:rPr>
        <w:t>投标计量单位，招标文件已有明确规定的，使用招标文件规定的计量单位；招标文件没有规定的，应采用中华人民共和国法定计量单位（货币单位：人民币元），否则视同未响应。</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（三）投标报价</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1.投标报价应按招标文件中相关附表格式填写。</w:t>
      </w:r>
    </w:p>
    <w:p>
      <w:pPr>
        <w:pStyle w:val="24"/>
        <w:widowControl/>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*2.报价要求：详见第三章《投标人须知》前附表第3条。</w:t>
      </w:r>
    </w:p>
    <w:p>
      <w:pPr>
        <w:tabs>
          <w:tab w:val="left" w:pos="525"/>
        </w:tabs>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*3.投标文件只允许有一个报价，有选择的或有条件的报价将不予接受。</w:t>
      </w:r>
    </w:p>
    <w:p>
      <w:pPr>
        <w:pStyle w:val="12"/>
        <w:widowControl w:val="0"/>
        <w:tabs>
          <w:tab w:val="clear" w:pos="454"/>
        </w:tabs>
        <w:spacing w:after="0" w:afterLines="0" w:line="360" w:lineRule="auto"/>
        <w:ind w:left="0" w:firstLine="422" w:firstLineChars="200"/>
        <w:jc w:val="both"/>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（四）投标文件的有效期</w:t>
      </w:r>
    </w:p>
    <w:p>
      <w:pPr>
        <w:pStyle w:val="12"/>
        <w:widowControl w:val="0"/>
        <w:tabs>
          <w:tab w:val="clear" w:pos="454"/>
        </w:tabs>
        <w:spacing w:after="0" w:afterLines="0" w:line="360" w:lineRule="auto"/>
        <w:ind w:left="0" w:firstLine="422" w:firstLineChars="200"/>
        <w:jc w:val="both"/>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*1.自投标截止之日起</w:t>
      </w:r>
      <w:r>
        <w:rPr>
          <w:rFonts w:hint="default" w:ascii="Times New Roman" w:hAnsi="Times New Roman" w:cs="Times New Roman"/>
          <w:b/>
          <w:sz w:val="21"/>
          <w:szCs w:val="21"/>
          <w:highlight w:val="none"/>
          <w:u w:val="single"/>
        </w:rPr>
        <w:t>90</w:t>
      </w:r>
      <w:r>
        <w:rPr>
          <w:rFonts w:hint="default" w:ascii="Times New Roman" w:hAnsi="Times New Roman" w:cs="Times New Roman"/>
          <w:b/>
          <w:sz w:val="21"/>
          <w:szCs w:val="21"/>
          <w:highlight w:val="none"/>
        </w:rPr>
        <w:t>天投标文件应保持有效。有效期不足的投标文件将被拒绝。</w:t>
      </w:r>
    </w:p>
    <w:p>
      <w:pPr>
        <w:pStyle w:val="12"/>
        <w:widowControl w:val="0"/>
        <w:tabs>
          <w:tab w:val="clear" w:pos="454"/>
        </w:tabs>
        <w:spacing w:after="0" w:afterLines="0" w:line="360" w:lineRule="auto"/>
        <w:ind w:left="0" w:firstLine="420" w:firstLineChars="200"/>
        <w:jc w:val="both"/>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2.在特殊情况下，采购人可与投标人协商延长投标文件的有效期，这种要求和答复均以书面形式进行。</w:t>
      </w:r>
    </w:p>
    <w:p>
      <w:pPr>
        <w:spacing w:line="360" w:lineRule="auto"/>
        <w:ind w:firstLine="420" w:firstLineChars="200"/>
        <w:rPr>
          <w:rFonts w:hint="default" w:ascii="Times New Roman" w:hAnsi="Times New Roman" w:cs="Times New Roman"/>
          <w:b/>
          <w:szCs w:val="21"/>
          <w:highlight w:val="none"/>
        </w:rPr>
      </w:pPr>
      <w:r>
        <w:rPr>
          <w:rFonts w:hint="default" w:ascii="Times New Roman" w:hAnsi="Times New Roman" w:cs="Times New Roman"/>
          <w:szCs w:val="21"/>
          <w:highlight w:val="none"/>
        </w:rPr>
        <w:t>3.投标人可拒绝接受延期要求，同意延长有效期，但不能修改投标文件。</w:t>
      </w:r>
      <w:r>
        <w:rPr>
          <w:rFonts w:hint="default" w:ascii="Times New Roman" w:hAnsi="Times New Roman" w:cs="Times New Roman"/>
          <w:b/>
          <w:szCs w:val="21"/>
          <w:highlight w:val="none"/>
        </w:rPr>
        <w:t xml:space="preserve"> </w:t>
      </w:r>
    </w:p>
    <w:p>
      <w:pPr>
        <w:spacing w:line="360" w:lineRule="auto"/>
        <w:ind w:firstLine="420" w:firstLineChars="200"/>
        <w:rPr>
          <w:rFonts w:hint="default" w:ascii="Times New Roman" w:hAnsi="Times New Roman" w:cs="Times New Roman"/>
          <w:b/>
          <w:szCs w:val="21"/>
          <w:highlight w:val="none"/>
        </w:rPr>
      </w:pPr>
      <w:r>
        <w:rPr>
          <w:rFonts w:hint="default" w:ascii="Times New Roman" w:hAnsi="Times New Roman" w:cs="Times New Roman"/>
          <w:szCs w:val="21"/>
          <w:highlight w:val="none"/>
        </w:rPr>
        <w:t>4.中标人的投标文件自开标之日起至合同履行完毕止均应保持有效。</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（五）投标文件的签署和份数</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1.投标人应按本招标文件规定的格式和顺序编制、装订投标文件并标注页码，投标文件内容不完整、编排混乱导致投标文件被误读、漏读或者查找不到相关内容的，是投标人的责任。</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2.以U盘形式提供的备份电子投标文件1份（不作强制要求，投标人自行决定是否提供）。</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3.投标文件的正本需打印或用不褪色的墨水填写，投标文件正本除本《投标人须知》中规定的可提供复印件外均须提供原件。副本可为正本的复印件，但与正本不一致时，以正本为准。</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4.投标文件不得涂改，若有修改错漏处，须加盖单位公章或者法定代表人或授权委托人签名或盖章。投标文件因字迹潦草或表达不清所引起的后果由投标人负责。</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w:t>
      </w:r>
      <w:r>
        <w:rPr>
          <w:rFonts w:hint="default" w:ascii="Times New Roman" w:hAnsi="Times New Roman" w:cs="Times New Roman"/>
          <w:b/>
          <w:bCs/>
          <w:szCs w:val="21"/>
          <w:highlight w:val="none"/>
        </w:rPr>
        <w:t>电子投标文件部分：投标人应根据“政采云供应商项目采购-电子招投标操作指南”及本招标文件规定的格式和顺序编制电子投标文件并进行关联定位。</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以介质存储的数据电文形式的备份投标文件部分：电子投标文件的备份文件，以U盘形式存储，并单独密封递交</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lang w:val="en-US" w:eastAsia="zh-CN"/>
        </w:rPr>
        <w:t>不作强制要求，投标人自行决定是否提供</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（六）投标文件的包装、递交、修改和撤回</w:t>
      </w:r>
    </w:p>
    <w:p>
      <w:pPr>
        <w:spacing w:line="360" w:lineRule="auto"/>
        <w:ind w:firstLine="422" w:firstLineChars="200"/>
        <w:jc w:val="left"/>
        <w:rPr>
          <w:rFonts w:hint="default" w:ascii="Times New Roman" w:hAnsi="Times New Roman" w:cs="Times New Roman"/>
          <w:bCs/>
          <w:szCs w:val="21"/>
          <w:highlight w:val="none"/>
        </w:rPr>
      </w:pPr>
      <w:r>
        <w:rPr>
          <w:rFonts w:hint="default" w:ascii="Times New Roman" w:hAnsi="Times New Roman" w:cs="Times New Roman"/>
          <w:b/>
          <w:szCs w:val="21"/>
          <w:highlight w:val="none"/>
        </w:rPr>
        <w:t>1.</w:t>
      </w:r>
      <w:r>
        <w:rPr>
          <w:rFonts w:hint="default" w:ascii="Times New Roman" w:hAnsi="Times New Roman" w:cs="Times New Roman"/>
          <w:b/>
          <w:highlight w:val="none"/>
        </w:rPr>
        <w:t>电子投标文件的备份文件单独包封，外包装封面上应注明投标人名称、投标人地址、投标文件名称（电子投标文件的备份文件）、投标项目名称、项目编号、标项号及“开标之前不得启封”字样，并加盖投标人公章。</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2.未按规定密封或标记的投标文件，采购人有权拒绝接受其投标。</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3.投标人在投标截止时间之前，可以对所提交的投标文件进行补充、修改或者撤回，并书面通知采购人或采购代理机构。补充、修改的内容应当按照招标文件要求签署、盖章、密封后，作为投标文件的组成部分。</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（七）投标无效的情形</w:t>
      </w:r>
    </w:p>
    <w:p>
      <w:pPr>
        <w:spacing w:line="360" w:lineRule="auto"/>
        <w:ind w:firstLine="422" w:firstLineChars="200"/>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实质上没有响应招标文件要求的投标将被视为无效投标。</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bCs/>
          <w:sz w:val="21"/>
          <w:szCs w:val="21"/>
          <w:highlight w:val="none"/>
        </w:rPr>
        <w:t>1.在资格审查时，不具备招标文件中规定的资格要求的，或者资格证明文件不全的，</w:t>
      </w:r>
      <w:r>
        <w:rPr>
          <w:rFonts w:hint="default" w:ascii="Times New Roman" w:hAnsi="Times New Roman" w:cs="Times New Roman"/>
          <w:b/>
          <w:sz w:val="21"/>
          <w:szCs w:val="21"/>
          <w:highlight w:val="none"/>
        </w:rPr>
        <w:t>投标文件将被视为无效。</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2.在符合性审查时，如发现下列情形之一的，投标文件将被视为无效：</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（1）投标文件未按招标文件要求签署、签章的；</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（2）投标有效期不满足招标文件要求的；</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（3）明显不符合招标文件要求的，或者与招标文件中标注“*”的条款发生负偏离的；</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（4）投标文件中含有采购人不能接受的附加条件的；</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（5）投标文件的实质性内容未使用中文表述、表述不明确、前后矛盾或者使用计量单位不符合招标文件要求的（经评审小组认定并允许其当场更正的笔误除外）；</w:t>
      </w:r>
    </w:p>
    <w:p>
      <w:pPr>
        <w:pStyle w:val="3"/>
        <w:spacing w:line="360" w:lineRule="auto"/>
        <w:ind w:firstLine="398" w:firstLineChars="196"/>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 xml:space="preserve">（6）投标文件的关键内容字迹模糊、无法辨认的，或者投标文件中经修正的内容字迹模糊难以辩认或者修改处未按规定签署、盖章的； </w:t>
      </w:r>
    </w:p>
    <w:p>
      <w:pPr>
        <w:pStyle w:val="3"/>
        <w:spacing w:line="360" w:lineRule="auto"/>
        <w:ind w:firstLine="398" w:firstLineChars="196"/>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（7）不同投标人的投标文件出自同一终端设备或在相同Internet主机分配地址（相同IP地址）网上报名投标；</w:t>
      </w:r>
    </w:p>
    <w:p>
      <w:pPr>
        <w:pStyle w:val="3"/>
        <w:spacing w:line="360" w:lineRule="auto"/>
        <w:ind w:firstLine="398" w:firstLineChars="196"/>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（8）法律、法规和招标文件规定的其他无效情形。</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bCs/>
          <w:sz w:val="21"/>
          <w:szCs w:val="21"/>
          <w:highlight w:val="none"/>
        </w:rPr>
        <w:t>3.在技术商务评审时，如发现下列情形之一的，投标文件将被视为无效：</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（1）未提供或未如实提供投标货物的技术参数，或者投标文件标明的响应或偏离与事实不符或虚假投标的；</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（2）明显不符合招标文件要求的规格型号、质量标准，或者与招标文件中标“*”的条款发生实质性偏离的；</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（3）投标技术方案不明确，存在一个或一个以上备选（替代）投标方案的。</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（4）技术商务文件出现投标总价的。</w:t>
      </w:r>
    </w:p>
    <w:p>
      <w:pPr>
        <w:pStyle w:val="3"/>
        <w:spacing w:line="360" w:lineRule="auto"/>
        <w:ind w:firstLine="406" w:firstLineChars="200"/>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4.在报价评审时，如发现下列情形之一的，投标文件将被视为无效：</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（1）</w:t>
      </w:r>
      <w:r>
        <w:rPr>
          <w:rFonts w:hint="default" w:ascii="Times New Roman" w:hAnsi="Times New Roman" w:cs="Times New Roman"/>
          <w:b/>
          <w:bCs/>
          <w:sz w:val="21"/>
          <w:szCs w:val="21"/>
          <w:highlight w:val="none"/>
        </w:rPr>
        <w:t>报价超过招标文件中规定的预算金额或者最高限价的</w:t>
      </w:r>
      <w:r>
        <w:rPr>
          <w:rFonts w:hint="default" w:ascii="Times New Roman" w:hAnsi="Times New Roman" w:cs="Times New Roman"/>
          <w:b/>
          <w:sz w:val="21"/>
          <w:szCs w:val="21"/>
          <w:highlight w:val="none"/>
        </w:rPr>
        <w:t>；</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（2）</w:t>
      </w:r>
      <w:r>
        <w:rPr>
          <w:rFonts w:hint="default" w:ascii="Times New Roman" w:hAnsi="Times New Roman" w:cs="Times New Roman"/>
          <w:b/>
          <w:bCs/>
          <w:sz w:val="21"/>
          <w:szCs w:val="21"/>
          <w:highlight w:val="none"/>
        </w:rPr>
        <w:t>未采用投标文件要求的报价形式报价的</w:t>
      </w:r>
      <w:r>
        <w:rPr>
          <w:rFonts w:hint="default" w:ascii="Times New Roman" w:hAnsi="Times New Roman" w:cs="Times New Roman"/>
          <w:b/>
          <w:sz w:val="21"/>
          <w:szCs w:val="21"/>
          <w:highlight w:val="none"/>
        </w:rPr>
        <w:t>；</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（3）投标报价具有选择性的；</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 xml:space="preserve">（4）评委会一致认为报价明显不合理的；     </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（5）投标报价中出现重大缺项、漏项或被评审小组</w:t>
      </w:r>
      <w:r>
        <w:rPr>
          <w:rFonts w:hint="default" w:ascii="Times New Roman" w:hAnsi="Times New Roman" w:cs="Times New Roman"/>
          <w:b/>
          <w:bCs/>
          <w:sz w:val="21"/>
          <w:szCs w:val="21"/>
          <w:highlight w:val="none"/>
        </w:rPr>
        <w:t>认为投标人的报价明显低于</w:t>
      </w:r>
      <w:r>
        <w:rPr>
          <w:rFonts w:hint="default" w:ascii="Times New Roman" w:hAnsi="Times New Roman" w:cs="Times New Roman"/>
          <w:b/>
          <w:sz w:val="21"/>
          <w:szCs w:val="21"/>
          <w:highlight w:val="none"/>
        </w:rPr>
        <w:t>其他通过符合性审查投标人的报价，且投标人不能证明其报价合理性的；</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（6）</w:t>
      </w:r>
      <w:r>
        <w:rPr>
          <w:rFonts w:hint="default" w:ascii="Times New Roman" w:hAnsi="Times New Roman" w:cs="Times New Roman"/>
          <w:b/>
          <w:bCs/>
          <w:sz w:val="21"/>
          <w:szCs w:val="21"/>
          <w:highlight w:val="none"/>
        </w:rPr>
        <w:t>招标文件规定的其他无效情形。</w:t>
      </w:r>
    </w:p>
    <w:p>
      <w:pPr>
        <w:pStyle w:val="3"/>
        <w:spacing w:line="360" w:lineRule="auto"/>
        <w:ind w:firstLine="406"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5.被拒绝的投标文件为无效。</w:t>
      </w:r>
    </w:p>
    <w:p>
      <w:pPr>
        <w:pStyle w:val="3"/>
        <w:spacing w:line="360" w:lineRule="auto"/>
        <w:ind w:firstLine="0"/>
        <w:rPr>
          <w:rFonts w:hint="default" w:ascii="Times New Roman" w:hAnsi="Times New Roman" w:cs="Times New Roman"/>
          <w:b/>
          <w:sz w:val="21"/>
          <w:szCs w:val="21"/>
          <w:highlight w:val="none"/>
        </w:rPr>
      </w:pPr>
    </w:p>
    <w:p>
      <w:pPr>
        <w:pStyle w:val="3"/>
        <w:spacing w:line="360" w:lineRule="auto"/>
        <w:ind w:firstLine="0"/>
        <w:rPr>
          <w:rFonts w:hint="default" w:ascii="Times New Roman" w:hAnsi="Times New Roman" w:cs="Times New Roman"/>
          <w:b/>
          <w:snapToGrid w:val="0"/>
          <w:sz w:val="21"/>
          <w:szCs w:val="21"/>
          <w:highlight w:val="none"/>
        </w:rPr>
      </w:pPr>
      <w:r>
        <w:rPr>
          <w:rFonts w:hint="default" w:ascii="Times New Roman" w:hAnsi="Times New Roman" w:cs="Times New Roman"/>
          <w:b/>
          <w:sz w:val="21"/>
          <w:szCs w:val="21"/>
          <w:highlight w:val="none"/>
        </w:rPr>
        <w:t>四、开标</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（一）开标准备</w:t>
      </w:r>
    </w:p>
    <w:p>
      <w:pPr>
        <w:pStyle w:val="24"/>
        <w:spacing w:before="0" w:beforeLines="0" w:after="0" w:afterLines="0" w:line="360" w:lineRule="auto"/>
        <w:ind w:firstLine="420" w:firstLineChars="200"/>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投标人应当在采购文件要求提交投标文件的截止时间前，将投标文件密封送达投标地点，在完成投标文件和人员信息登记后立即离开，采购代理机构将在规定的时间和地点进行开标。采购代理机构收到投标文件后，应当记载投标文件送达时间和密封情况，签收保存并向投标人出具签收回执。投标人的法定代表人或其授权代表未按时签到登记的，视同放弃开标监督权利、认可开标结果。</w:t>
      </w:r>
    </w:p>
    <w:p>
      <w:pPr>
        <w:pStyle w:val="24"/>
        <w:spacing w:before="0" w:beforeLines="0" w:after="0" w:afterLines="0" w:line="360" w:lineRule="auto"/>
        <w:ind w:firstLine="422" w:firstLineChars="200"/>
        <w:rPr>
          <w:rFonts w:hint="default" w:ascii="Times New Roman" w:hAnsi="Times New Roman" w:cs="Times New Roman"/>
          <w:sz w:val="21"/>
          <w:szCs w:val="21"/>
          <w:highlight w:val="none"/>
        </w:rPr>
      </w:pPr>
      <w:r>
        <w:rPr>
          <w:rFonts w:hint="default" w:ascii="Times New Roman" w:hAnsi="Times New Roman" w:cs="Times New Roman"/>
          <w:b/>
          <w:bCs/>
          <w:sz w:val="21"/>
          <w:szCs w:val="21"/>
          <w:highlight w:val="none"/>
        </w:rPr>
        <w:t>（二）电子招投标开标及评审程序</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1.投标截止时间后，投标人登录政府采购云平台，用“项目采购-开标评标”功能对电子投标文件进行在线解密。在线解密电子投标文件时间</w:t>
      </w:r>
      <w:r>
        <w:rPr>
          <w:rFonts w:hint="default" w:ascii="Times New Roman" w:hAnsi="Times New Roman" w:cs="Times New Roman"/>
          <w:sz w:val="21"/>
          <w:szCs w:val="21"/>
          <w:highlight w:val="none"/>
          <w:lang w:val="en-US" w:eastAsia="zh-CN"/>
        </w:rPr>
        <w:t>按政采云平台设置执行</w:t>
      </w:r>
      <w:r>
        <w:rPr>
          <w:rFonts w:hint="default" w:ascii="Times New Roman" w:hAnsi="Times New Roman" w:cs="Times New Roman"/>
          <w:sz w:val="21"/>
          <w:szCs w:val="21"/>
          <w:highlight w:val="none"/>
        </w:rPr>
        <w:t>。</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2.采购人或代理机构对投标人的资格进行审查；</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3.评标委员会对商务技术响应文件进行评审；</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4.在系统上公开资格和商务技术评审结果；</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5.在系统上公开报价开标情况；</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6.评标委员会对报价情况进行评审；</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7.在系统上公布评审结果。</w:t>
      </w:r>
    </w:p>
    <w:p>
      <w:pPr>
        <w:pStyle w:val="24"/>
        <w:spacing w:before="0" w:beforeLines="0" w:after="0" w:afterLines="0" w:line="360" w:lineRule="auto"/>
        <w:ind w:firstLine="422" w:firstLineChars="200"/>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特别说明：政采云公司如对电子化开标及评审程序有调整的，按调整后的程序操作。</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p>
    <w:p>
      <w:pPr>
        <w:pStyle w:val="24"/>
        <w:spacing w:before="0" w:beforeLines="0" w:after="0" w:afterLines="0" w:line="360" w:lineRule="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五、评标</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（一）组建评审小组</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 本项目评审小组依法组建。</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（二）评标原则</w:t>
      </w:r>
    </w:p>
    <w:p>
      <w:pPr>
        <w:pStyle w:val="24"/>
        <w:spacing w:before="0" w:beforeLines="0" w:after="0" w:afterLines="0" w:line="360" w:lineRule="auto"/>
        <w:ind w:firstLine="420" w:firstLineChars="200"/>
        <w:rPr>
          <w:rFonts w:hint="default" w:ascii="Times New Roman" w:hAnsi="Times New Roman" w:cs="Times New Roman"/>
          <w:b/>
          <w:sz w:val="21"/>
          <w:szCs w:val="21"/>
          <w:highlight w:val="none"/>
        </w:rPr>
      </w:pPr>
      <w:r>
        <w:rPr>
          <w:rFonts w:hint="default" w:ascii="Times New Roman" w:hAnsi="Times New Roman" w:cs="Times New Roman"/>
          <w:sz w:val="21"/>
          <w:szCs w:val="21"/>
          <w:highlight w:val="none"/>
        </w:rPr>
        <w:t>本项目采用不公开方式评标，评标的依据为招标文件和投标文件。</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（三）</w:t>
      </w:r>
      <w:r>
        <w:rPr>
          <w:rFonts w:hint="default" w:ascii="Times New Roman" w:hAnsi="Times New Roman" w:cs="Times New Roman"/>
          <w:b/>
          <w:bCs/>
          <w:sz w:val="21"/>
          <w:szCs w:val="21"/>
          <w:highlight w:val="none"/>
        </w:rPr>
        <w:t>评标程序</w:t>
      </w:r>
    </w:p>
    <w:p>
      <w:pPr>
        <w:spacing w:line="360" w:lineRule="auto"/>
        <w:ind w:firstLine="422" w:firstLineChars="200"/>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1.资格审查</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采购人代表或代理机构工作人员对投标人的资格进行审查。</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2.符合性检查</w:t>
      </w:r>
    </w:p>
    <w:p>
      <w:pPr>
        <w:spacing w:line="360" w:lineRule="auto"/>
        <w:ind w:firstLine="420" w:firstLineChars="200"/>
        <w:rPr>
          <w:rFonts w:hint="default" w:ascii="Times New Roman" w:hAnsi="Times New Roman" w:cs="Times New Roman"/>
          <w:b/>
          <w:szCs w:val="21"/>
          <w:highlight w:val="none"/>
        </w:rPr>
      </w:pPr>
      <w:r>
        <w:rPr>
          <w:rFonts w:hint="default" w:ascii="Times New Roman" w:hAnsi="Times New Roman" w:cs="Times New Roman"/>
          <w:szCs w:val="21"/>
          <w:highlight w:val="none"/>
        </w:rPr>
        <w:t>评审小组对通过资格审查的投标人的投标文件的完整性、合法性进行符合性检查。</w:t>
      </w:r>
    </w:p>
    <w:p>
      <w:pPr>
        <w:spacing w:line="360" w:lineRule="auto"/>
        <w:ind w:firstLine="422" w:firstLineChars="200"/>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3.实质审查与比较</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（1）评审小组审查投标文件的实质性内容是否符合招标文件的实质性要求。</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（2）评审小组将根据投标人的投标文件进行审查、核对</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如有疑问</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将对投标人进行询标</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投标人要向评审小组澄清有关问题</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并最终以书面形式进行答复。</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投标人代表未到场或者拒绝澄清或者澄清的内容改变了投标文件的实质性内容的，评审小组有权对该投标文件作出不利于投标人的评判。</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（3）各投标人的技术得分为所有评委的有效评分的算术平均数，由指定专人进行计算复核。</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（4）代理机构工作人员协助评审小组根据本项目的评分标准计算各投标人的商务报价得分。</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（5）评审小组完成评标后</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评委或代理机构对各部分得分汇总</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计算出本项目最终得分。评审小组按评标原则推荐中标候选人同时起草评标报告。</w:t>
      </w: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bCs/>
          <w:szCs w:val="21"/>
          <w:highlight w:val="none"/>
        </w:rPr>
        <w:t>（四）</w:t>
      </w:r>
      <w:r>
        <w:rPr>
          <w:rFonts w:hint="default" w:ascii="Times New Roman" w:hAnsi="Times New Roman" w:cs="Times New Roman"/>
          <w:b/>
          <w:szCs w:val="21"/>
          <w:highlight w:val="none"/>
        </w:rPr>
        <w:t>澄清问题的形式</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1.对于投标文件中含义不明确、同类问题表述不一致或者有明显文字和计算错误的内容，评审小组应当以书面形式要求投标人作出必要的澄清、说明或者补正。</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2.投标人的澄清、说明或者补正应当采用书面形式，并加盖公章，或者由法定代表人或其授权的代表签名。投标人的澄清、说明或者补正不得超出投标文件的范围或者改变投标文件的实质性内容。</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bCs/>
          <w:sz w:val="21"/>
          <w:szCs w:val="21"/>
          <w:highlight w:val="none"/>
        </w:rPr>
        <w:t>（五）</w:t>
      </w:r>
      <w:r>
        <w:rPr>
          <w:rFonts w:hint="default" w:ascii="Times New Roman" w:hAnsi="Times New Roman" w:cs="Times New Roman"/>
          <w:b/>
          <w:sz w:val="21"/>
          <w:szCs w:val="21"/>
          <w:highlight w:val="none"/>
        </w:rPr>
        <w:t>投标文件错误修正原则</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投标文件如果出现计算或表达上的错误，修正错误的原则如下：</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1、投标文件中开标一览表（报价表）内容与投标文件中相应内容不一致的，以开标一览表（报价表）为准；</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2、大写金额和小写金额不一致的，以大写金额为准；</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3、单价金额小数点或者百分比有明显错位的，以开标一览表的总价为准，并修改单价；</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4、总价金额与按单价汇总金额不一致的，以单价金额计算结果为准。</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5、投标人在政采云系统中就本项目填写的报价与以pdf格式上传文件中的报价不一致的，应以pdf格式上传文件中的报价为准。</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同时出现两种以上不一致的，按照前款规定的顺序修正。修正后的报价经投标人确认后产生约束力，投标人不确认的，其投标无效。</w:t>
      </w:r>
    </w:p>
    <w:p>
      <w:pPr>
        <w:pStyle w:val="24"/>
        <w:tabs>
          <w:tab w:val="left" w:pos="630"/>
        </w:tabs>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（六）评标原则和评标办法</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评标原则。评审小组必须公平、公正、客观，不带任何倾向性和启发性；不得向外界透露任何与评标有关的内容；任何单位和个人不得干扰、影响评标的正常进行；评审小组及有关工作人员不得私下与投标人接触。</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2.评标办法。本项目评标办法是</w:t>
      </w:r>
      <w:r>
        <w:rPr>
          <w:rFonts w:hint="default" w:ascii="Times New Roman" w:hAnsi="Times New Roman" w:cs="Times New Roman"/>
          <w:sz w:val="21"/>
          <w:szCs w:val="21"/>
          <w:highlight w:val="none"/>
          <w:u w:val="single"/>
        </w:rPr>
        <w:t>综合评分法</w:t>
      </w:r>
      <w:r>
        <w:rPr>
          <w:rFonts w:hint="default" w:ascii="Times New Roman" w:hAnsi="Times New Roman" w:cs="Times New Roman"/>
          <w:sz w:val="21"/>
          <w:szCs w:val="21"/>
          <w:highlight w:val="none"/>
        </w:rPr>
        <w:t>，具体评标内容及评分标准等详见第四章《评标办法及评分标准》。</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p>
    <w:p>
      <w:pPr>
        <w:pStyle w:val="24"/>
        <w:spacing w:before="0" w:beforeLines="0" w:after="0" w:afterLines="0" w:line="360" w:lineRule="auto"/>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六、定标</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1.确定中标人。本项目由评审小组推荐中标候选人。</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2.代理机构在评标结束后2个工作日内将评标报告交采购人确认，采购人在收到评标报告之日起5个工作日内在评标报告确定的中标候选人中按顺序确定中标人，采购人在收到评标报告之日起5个工作日内未按评标报告推荐的中标候选人排序确定中标人，又不能说明合法理由的，视同按评标报告推荐的顺序确定排名第一的第一中标候选人为中标人。</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3.代理机构自中标人确定之日起2个工作日内，在发布招标公告的网站上对中标结果进行公示，中标结果公告期限为1个工作日。</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4.凡发现中标人有下列行为之一的，将移交政府采购监督管理部门依法处理：</w:t>
      </w:r>
    </w:p>
    <w:p>
      <w:pPr>
        <w:numPr>
          <w:ilvl w:val="0"/>
          <w:numId w:val="84"/>
        </w:num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提供虚假材料谋取中标的；</w:t>
      </w:r>
    </w:p>
    <w:p>
      <w:pPr>
        <w:numPr>
          <w:ilvl w:val="0"/>
          <w:numId w:val="84"/>
        </w:num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采取不正当手段诋毁、排挤其他投标人的；</w:t>
      </w:r>
    </w:p>
    <w:p>
      <w:pPr>
        <w:numPr>
          <w:ilvl w:val="0"/>
          <w:numId w:val="84"/>
        </w:num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与采购人、其他投标人或者采购代理机构工作人员恶意串通的；</w:t>
      </w:r>
    </w:p>
    <w:p>
      <w:pPr>
        <w:numPr>
          <w:ilvl w:val="0"/>
          <w:numId w:val="84"/>
        </w:num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向采购人或采购代理机构人员行贿或者提供其他不正当利益的；</w:t>
      </w:r>
    </w:p>
    <w:p>
      <w:pPr>
        <w:numPr>
          <w:ilvl w:val="0"/>
          <w:numId w:val="84"/>
        </w:num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拒绝有关部门监督检查或者提供虚假情况的；</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bCs/>
          <w:szCs w:val="21"/>
          <w:highlight w:val="none"/>
        </w:rPr>
        <w:t>有法律、法规规定的其他损害采购人利益和社会公共利益情形的。</w:t>
      </w:r>
    </w:p>
    <w:p>
      <w:pPr>
        <w:spacing w:line="360" w:lineRule="auto"/>
        <w:ind w:firstLine="422" w:firstLineChars="200"/>
        <w:rPr>
          <w:rFonts w:hint="default" w:ascii="Times New Roman" w:hAnsi="Times New Roman" w:cs="Times New Roman"/>
          <w:b/>
          <w:szCs w:val="21"/>
          <w:highlight w:val="none"/>
        </w:rPr>
      </w:pPr>
    </w:p>
    <w:p>
      <w:pPr>
        <w:spacing w:line="360" w:lineRule="auto"/>
        <w:rPr>
          <w:rFonts w:hint="default" w:ascii="Times New Roman" w:hAnsi="Times New Roman" w:cs="Times New Roman"/>
          <w:b/>
          <w:szCs w:val="21"/>
          <w:highlight w:val="none"/>
        </w:rPr>
      </w:pPr>
      <w:r>
        <w:rPr>
          <w:rFonts w:hint="default" w:ascii="Times New Roman" w:hAnsi="Times New Roman" w:cs="Times New Roman"/>
          <w:b/>
          <w:szCs w:val="21"/>
          <w:highlight w:val="none"/>
        </w:rPr>
        <w:t>七、评标过程的监控与保密</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1.本项目评标过程实行全程录音、录像监控，投标人在评标过程中所进行的试图影响评标结果的不公正活动，可能导致其投标被拒绝。</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2.开标后到中标通知书发出之前，所有涉及评审小组名单以及对投标文件的澄清、评价、比较等情况，评审小组成员、采购人和采购代理机构的有关人员均不得向投标人或其他无关人员透露。</w:t>
      </w:r>
    </w:p>
    <w:p>
      <w:pPr>
        <w:widowControl/>
        <w:spacing w:line="360" w:lineRule="auto"/>
        <w:ind w:firstLine="422" w:firstLineChars="200"/>
        <w:rPr>
          <w:rFonts w:hint="default" w:ascii="Times New Roman" w:hAnsi="Times New Roman" w:cs="Times New Roman"/>
          <w:b/>
          <w:szCs w:val="21"/>
          <w:highlight w:val="none"/>
          <w:lang w:bidi="ar"/>
        </w:rPr>
      </w:pPr>
    </w:p>
    <w:p>
      <w:pPr>
        <w:widowControl/>
        <w:spacing w:line="360" w:lineRule="auto"/>
        <w:rPr>
          <w:rFonts w:hint="default" w:ascii="Times New Roman" w:hAnsi="Times New Roman" w:cs="Times New Roman"/>
          <w:b/>
          <w:szCs w:val="21"/>
          <w:highlight w:val="none"/>
          <w:lang w:bidi="ar"/>
        </w:rPr>
      </w:pPr>
      <w:r>
        <w:rPr>
          <w:rFonts w:hint="default" w:ascii="Times New Roman" w:hAnsi="Times New Roman" w:cs="Times New Roman"/>
          <w:b/>
          <w:szCs w:val="21"/>
          <w:highlight w:val="none"/>
          <w:lang w:bidi="ar"/>
        </w:rPr>
        <w:t>八、合同授予</w:t>
      </w:r>
    </w:p>
    <w:p>
      <w:pPr>
        <w:widowControl/>
        <w:spacing w:line="360" w:lineRule="auto"/>
        <w:ind w:firstLine="420" w:firstLineChars="200"/>
        <w:rPr>
          <w:rFonts w:hint="default" w:ascii="Times New Roman" w:hAnsi="Times New Roman" w:cs="Times New Roman"/>
          <w:b/>
          <w:bCs/>
          <w:szCs w:val="21"/>
          <w:highlight w:val="none"/>
        </w:rPr>
      </w:pPr>
      <w:r>
        <w:rPr>
          <w:rFonts w:hint="default" w:ascii="Times New Roman" w:hAnsi="Times New Roman" w:cs="Times New Roman"/>
          <w:szCs w:val="21"/>
          <w:highlight w:val="none"/>
          <w:lang w:bidi="ar"/>
        </w:rPr>
        <w:t>1.采购人与中标人应当在《中标通知书》发出之日起</w:t>
      </w:r>
      <w:r>
        <w:rPr>
          <w:rFonts w:hint="default" w:ascii="Times New Roman" w:hAnsi="Times New Roman" w:cs="Times New Roman"/>
          <w:b/>
          <w:szCs w:val="21"/>
          <w:highlight w:val="none"/>
          <w:u w:val="single"/>
          <w:lang w:bidi="ar"/>
        </w:rPr>
        <w:t>30</w:t>
      </w:r>
      <w:r>
        <w:rPr>
          <w:rFonts w:hint="default" w:ascii="Times New Roman" w:hAnsi="Times New Roman" w:cs="Times New Roman"/>
          <w:szCs w:val="21"/>
          <w:highlight w:val="none"/>
          <w:lang w:bidi="ar"/>
        </w:rPr>
        <w:t>日内签订政府采购合同。</w:t>
      </w:r>
    </w:p>
    <w:p>
      <w:pPr>
        <w:pStyle w:val="24"/>
        <w:spacing w:before="0" w:beforeLines="0" w:after="0" w:afterLines="0" w:line="360" w:lineRule="auto"/>
        <w:rPr>
          <w:rFonts w:hint="default" w:ascii="Times New Roman" w:hAnsi="Times New Roman" w:cs="Times New Roman"/>
          <w:b/>
          <w:bCs/>
          <w:sz w:val="21"/>
          <w:szCs w:val="21"/>
          <w:highlight w:val="none"/>
        </w:rPr>
      </w:pPr>
    </w:p>
    <w:p>
      <w:pPr>
        <w:pStyle w:val="24"/>
        <w:spacing w:before="0" w:beforeLines="0" w:after="0" w:afterLines="0" w:line="360" w:lineRule="auto"/>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九、特别说明</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1、本项目</w:t>
      </w:r>
      <w:r>
        <w:rPr>
          <w:rFonts w:hint="default" w:ascii="Times New Roman" w:hAnsi="Times New Roman" w:cs="Times New Roman"/>
          <w:color w:val="auto"/>
          <w:highlight w:val="none"/>
          <w:u w:val="single"/>
        </w:rPr>
        <w:t xml:space="preserve"> </w:t>
      </w:r>
      <w:r>
        <w:rPr>
          <w:rFonts w:hint="default" w:ascii="Times New Roman" w:hAnsi="Times New Roman" w:cs="Times New Roman"/>
          <w:b/>
          <w:bCs/>
          <w:color w:val="auto"/>
          <w:highlight w:val="none"/>
          <w:u w:val="single"/>
        </w:rPr>
        <w:t>非</w:t>
      </w:r>
      <w:r>
        <w:rPr>
          <w:rFonts w:hint="default" w:ascii="Times New Roman" w:hAnsi="Times New Roman" w:cs="Times New Roman"/>
          <w:color w:val="auto"/>
          <w:highlight w:val="none"/>
          <w:u w:val="single"/>
        </w:rPr>
        <w:t xml:space="preserve"> </w:t>
      </w:r>
      <w:r>
        <w:rPr>
          <w:rFonts w:hint="default" w:ascii="Times New Roman" w:hAnsi="Times New Roman" w:cs="Times New Roman"/>
          <w:color w:val="auto"/>
          <w:highlight w:val="none"/>
        </w:rPr>
        <w:t xml:space="preserve">专门面向中小企业采购。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2、本项目对应的中小企业划分标准所属行业：</w:t>
      </w:r>
      <w:r>
        <w:rPr>
          <w:rFonts w:hint="default" w:ascii="Times New Roman" w:hAnsi="Times New Roman" w:cs="Times New Roman"/>
          <w:b/>
          <w:bCs/>
          <w:color w:val="auto"/>
          <w:highlight w:val="none"/>
          <w:u w:val="single"/>
        </w:rPr>
        <w:t>工业</w:t>
      </w:r>
      <w:r>
        <w:rPr>
          <w:rFonts w:hint="default" w:ascii="Times New Roman" w:hAnsi="Times New Roman" w:cs="Times New Roman"/>
          <w:color w:val="auto"/>
          <w:highlight w:val="none"/>
        </w:rPr>
        <w:t xml:space="preserve">。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3、小微企业是指中华人民共和国境内依法设立，依据国务院批准的中小企业划分标准确定的小型企业和微型企业，但与大企业的负责人为同一人，或者与大企业存在直接控股、管理关系的除外。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符合中小企业划分标准的个体工商户，在政府采购活动中视同中小企业。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国务院批准的中小企业划分标准：具体见工信部联企业【2011】300号。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4、在政府采购活动中，供应商提供的货物、工程或者服务符合下列情形的，可享受小型、微型企业（以下简称小微企业）的价格扣除：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（1）在货物采购项目中，货物由小微企业制造，即货物由小微企业生产且使用该小微企业商号或者注册商标；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（2）在工程采购项目中，工程由小微企业承建，即工程施工单位为小微企业；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（3）在服务采购项目中，服务由小微企业承接，即提供服务的人员为小微企业依照《中 </w:t>
      </w:r>
    </w:p>
    <w:p>
      <w:p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华人民共和国劳动合同法》订立劳动合同的从业人员。 </w:t>
      </w:r>
    </w:p>
    <w:p>
      <w:pPr>
        <w:spacing w:line="360" w:lineRule="auto"/>
        <w:ind w:firstLine="420" w:firstLineChars="20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 xml:space="preserve">以联合体形式参加政府采购活动，联合体各方均为小微企业的，联合体视同小微企业。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5、在货物采购项目中，供应商提供的货物既有中小企业制造货物，也有大型企业制造货物的，不享受的小微企业价格扣除。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6、本项目对符合规定的小微企业报价给予</w:t>
      </w:r>
      <w:r>
        <w:rPr>
          <w:rFonts w:hint="default" w:ascii="Times New Roman" w:hAnsi="Times New Roman" w:cs="Times New Roman"/>
          <w:color w:val="auto"/>
          <w:highlight w:val="none"/>
          <w:lang w:eastAsia="zh-CN"/>
        </w:rPr>
        <w:t>10%</w:t>
      </w:r>
      <w:r>
        <w:rPr>
          <w:rFonts w:hint="default" w:ascii="Times New Roman" w:hAnsi="Times New Roman" w:cs="Times New Roman"/>
          <w:color w:val="auto"/>
          <w:highlight w:val="none"/>
        </w:rPr>
        <w:t xml:space="preserve">（工程项目为5%）的扣除，用扣除后的价格参加评审。 </w:t>
      </w:r>
    </w:p>
    <w:p>
      <w:pPr>
        <w:spacing w:line="360" w:lineRule="auto"/>
        <w:ind w:firstLine="420" w:firstLineChars="20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default" w:ascii="Times New Roman" w:hAnsi="Times New Roman" w:cs="Times New Roman"/>
          <w:color w:val="auto"/>
          <w:highlight w:val="none"/>
          <w:lang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工程项目为1%</w:t>
      </w:r>
      <w:r>
        <w:rPr>
          <w:rFonts w:hint="default" w:ascii="Times New Roman" w:hAnsi="Times New Roman" w:cs="Times New Roman"/>
          <w:color w:val="auto"/>
          <w:highlight w:val="none"/>
        </w:rPr>
        <w:t>）的扣除，用扣除后的价格参加评审。组成联合体或者接受分包的小微企业与联合体内其他企业、分包企业之间存在直接控股、管理关系的，不享受价格扣除优惠政策</w:t>
      </w:r>
      <w:r>
        <w:rPr>
          <w:rFonts w:hint="default" w:ascii="Times New Roman" w:hAnsi="Times New Roman" w:cs="Times New Roman"/>
          <w:color w:val="auto"/>
          <w:highlight w:val="none"/>
          <w:lang w:eastAsia="zh-CN"/>
        </w:rPr>
        <w:t>。</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7、小微企业应按照采购文件格式要求提供《中小企业声明函》。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8、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9、根据《关于促进残疾人就业政府采购政策的通知》（财库【2017】141号）规定，在政府采购活动中，残疾人福利性单位视同小型、微型企业。残疾人福利性单位参加政府采购活动时，提供《残疾人福利性单位声明函》。</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10、按规定享受扶持政策获得政府采购合同的，小微企业不得将合同分包给大中型企业，中型企业不得将合同分包给大型企业。 </w:t>
      </w:r>
    </w:p>
    <w:p>
      <w:pPr>
        <w:spacing w:line="360" w:lineRule="auto"/>
        <w:ind w:firstLine="42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11、采购活动过程中，对供应商的“中小企业”资格认定，以供应商提交的《中小企业声明函》为准，供应商必须实事求是地提交声明函，如有虚假，将依法承担法律责任。如果在采 购活动过程中相关采购当事人对供应商“中小企业”资格有异议的，由货物制造商或者工程、服务供应商注册登记所在地的县级以上人民政府中小企业主管部门负责认定。供应商按照《政府采购促进中小企业发展管理办法》（财库【2020】46 号）规定提供声明函内容不实的，供应商需承担相应的法律责任。 </w:t>
      </w:r>
    </w:p>
    <w:p>
      <w:pPr>
        <w:spacing w:line="360" w:lineRule="auto"/>
        <w:ind w:firstLine="420" w:firstLineChars="200"/>
        <w:rPr>
          <w:rFonts w:hint="default" w:ascii="Times New Roman" w:hAnsi="Times New Roman" w:cs="Times New Roman"/>
          <w:szCs w:val="21"/>
          <w:highlight w:val="none"/>
          <w:lang w:bidi="ar"/>
        </w:rPr>
      </w:pPr>
      <w:r>
        <w:rPr>
          <w:rFonts w:hint="default" w:ascii="Times New Roman" w:hAnsi="Times New Roman" w:cs="Times New Roman"/>
          <w:color w:val="auto"/>
          <w:highlight w:val="none"/>
        </w:rPr>
        <w:t>12、《中小企业声明函》由参加响应的供应商提交，如供应商为代理商，须自行采集制造商的中小企业划分类型信息填入相应栏目并对其真实性负责。</w:t>
      </w:r>
    </w:p>
    <w:p>
      <w:pPr>
        <w:pStyle w:val="24"/>
        <w:snapToGrid w:val="0"/>
        <w:spacing w:before="120" w:beforeLines="0" w:after="120" w:afterLines="0" w:line="360" w:lineRule="auto"/>
        <w:jc w:val="center"/>
        <w:outlineLvl w:val="0"/>
        <w:rPr>
          <w:rFonts w:hint="default" w:ascii="Times New Roman" w:hAnsi="Times New Roman" w:cs="Times New Roman"/>
          <w:b/>
          <w:highlight w:val="none"/>
        </w:rPr>
      </w:pPr>
      <w:r>
        <w:rPr>
          <w:rFonts w:hint="default" w:ascii="Times New Roman" w:hAnsi="Times New Roman" w:cs="Times New Roman"/>
          <w:sz w:val="21"/>
          <w:szCs w:val="21"/>
          <w:highlight w:val="none"/>
        </w:rPr>
        <w:br w:type="page"/>
      </w:r>
      <w:bookmarkStart w:id="96" w:name="_Toc10819"/>
      <w:bookmarkStart w:id="97" w:name="_Toc14427"/>
      <w:bookmarkStart w:id="98" w:name="_Toc1639"/>
      <w:bookmarkStart w:id="99" w:name="_Toc26389"/>
      <w:bookmarkStart w:id="100" w:name="_Toc25631"/>
      <w:bookmarkStart w:id="101" w:name="_Toc15093_WPSOffice_Level1"/>
      <w:bookmarkStart w:id="102" w:name="_Toc25702"/>
      <w:bookmarkStart w:id="103" w:name="_Toc22001"/>
      <w:bookmarkStart w:id="104" w:name="_Toc29279"/>
      <w:r>
        <w:rPr>
          <w:rFonts w:hint="default" w:ascii="Times New Roman" w:hAnsi="Times New Roman" w:cs="Times New Roman"/>
          <w:b/>
          <w:highlight w:val="none"/>
        </w:rPr>
        <w:t>第四章 评标办法及评分标准</w:t>
      </w:r>
      <w:bookmarkEnd w:id="96"/>
      <w:bookmarkEnd w:id="97"/>
      <w:bookmarkEnd w:id="98"/>
      <w:bookmarkEnd w:id="99"/>
      <w:bookmarkEnd w:id="100"/>
      <w:bookmarkEnd w:id="101"/>
      <w:bookmarkEnd w:id="102"/>
      <w:bookmarkEnd w:id="103"/>
      <w:bookmarkEnd w:id="104"/>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一、总则</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招标活动遵循公平、公正、科学、择优的原则依法进行，招标活动及当事人接受依法实施的监督。本次招标采用综合评分法。</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二、评标组织</w:t>
      </w:r>
      <w:r>
        <w:rPr>
          <w:rFonts w:hint="default" w:ascii="Times New Roman" w:hAnsi="Times New Roman" w:cs="Times New Roman"/>
          <w:b/>
          <w:bCs/>
          <w:szCs w:val="21"/>
          <w:highlight w:val="none"/>
        </w:rPr>
        <w:tab/>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评审小组依法组建。</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三、评标程序</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1.采购代理机构按《招标文件》规定的时间、地点组织进行开标。开标会议由采购代理机构组织，按《招标文件》的规定对投标人的基本情况进行审核。</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2.采购机构首先开启各投标人的技术商务文件和资格证明文件，技术商务文件和资格证明文件开标结束后，采购人或者采购代理机构对投标人的资格进行审查，评审小组根据《招标文件》规定对投标人的技术商务文件进行符合商务性审查和详细评审。对投标人表述不清的内容，评审小组将向投标人进行询标，请其澄清其技术商务内容，评标委员再根据各投标人的技术商务文件进行综合评分，并进行技术分的汇总（技术商务部分得分保留小数点后二位）。</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3.技术商务文件评审结束后，采购代理机构宣布无效投标人名称及原因（如有）、各有效投标人的技术商务得分；再由采购代理机构开启报价文件，公布投标人名称、投标内容、投标价格等以及代理机构认为合适的其他内容，并做开标记录。评审小组对报价文件进行评审，计算价格分得分（报价文件得分保留小数点后二位）。</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4.按照投标人的综合得分排名，评审小组推荐中标候选人，并由采购代理机构宣布中标候选人推荐情况。</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四、评标过程</w:t>
      </w:r>
    </w:p>
    <w:p>
      <w:pPr>
        <w:pStyle w:val="2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1.资格审查</w:t>
      </w:r>
    </w:p>
    <w:p>
      <w:pPr>
        <w:pStyle w:val="2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采购人或者采购代理机构对投标人的资格进行审查。依据法律法规和招标文件的规定，对投标文件中的资格证明进行审查，以确定投标人是否具备投标资格。</w:t>
      </w:r>
    </w:p>
    <w:p>
      <w:pPr>
        <w:pStyle w:val="2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2.符合性审查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依据招标文件的规定，从投标人投标文件的有效性、完整性和对招标文件的响应程度进行审查，以确定是否对招标文件的实质性要求作出响应。</w:t>
      </w:r>
    </w:p>
    <w:p>
      <w:pPr>
        <w:pStyle w:val="26"/>
        <w:keepNext w:val="0"/>
        <w:keepLines w:val="0"/>
        <w:pageBreakBefore w:val="0"/>
        <w:widowControl w:val="0"/>
        <w:numPr>
          <w:ilvl w:val="0"/>
          <w:numId w:val="85"/>
        </w:numPr>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澄清问题</w:t>
      </w:r>
    </w:p>
    <w:p>
      <w:pPr>
        <w:pStyle w:val="2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对于投标文件中含义不明确、同类问题表述不一致或者有明显文字和计算错误的内容，评审小组可要求投标人以书面形式作出必要的澄清、说明或者补正。</w:t>
      </w:r>
    </w:p>
    <w:p>
      <w:pPr>
        <w:pStyle w:val="2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投标人的澄清、说明或者补正应当采用书面形式，并加盖公章，投标人的澄清、说明或者补正不得超出投标文件的范围或者改变投标文件的实质性内容。</w:t>
      </w:r>
    </w:p>
    <w:p>
      <w:pPr>
        <w:pStyle w:val="2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4.详细评审</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评审小组对初步评审合格的投标文件，依照本办法对投标文件作进一步评审、比较。评审小组成员经过阅标、审标和询标，对各投标人进行打分。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评委打分参照本部分五、评分标准。技术商务得分由各评审小组成员打分，根据投标人的投标文件及相关澄清文件，进行独立打分。价格分由评审小组统一核算。评委打分采用记名方式，取所有评委汇总得分的算术平均分（小数点后保留二位小数）。</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default" w:ascii="Times New Roman" w:hAnsi="Times New Roman" w:cs="Times New Roman"/>
          <w:b/>
          <w:szCs w:val="21"/>
          <w:highlight w:val="none"/>
        </w:rPr>
      </w:pPr>
      <w:r>
        <w:rPr>
          <w:rFonts w:hint="default" w:ascii="Times New Roman" w:hAnsi="Times New Roman" w:cs="Times New Roman"/>
          <w:b/>
          <w:szCs w:val="21"/>
          <w:highlight w:val="none"/>
        </w:rPr>
        <w:t>注：1）评审小组对拟认定为投标文件无效的，应组织相关投标人代表进行陈述、澄清或申辩；</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default" w:ascii="Times New Roman" w:hAnsi="Times New Roman" w:cs="Times New Roman"/>
          <w:b/>
          <w:szCs w:val="21"/>
          <w:highlight w:val="none"/>
        </w:rPr>
      </w:pPr>
      <w:r>
        <w:rPr>
          <w:rFonts w:hint="default" w:ascii="Times New Roman" w:hAnsi="Times New Roman" w:cs="Times New Roman"/>
          <w:b/>
          <w:szCs w:val="21"/>
          <w:highlight w:val="none"/>
        </w:rPr>
        <w:t>2）代理机构可协助评审小组组长评委对打分结果进行校对、核对并汇总统计；对明显畸高、畸低的评分（其总评分偏离平均分30%以上的），评审小组组长评委应提醒相关评审小组成员进行复核或书面说明理由，评审小组成员拒绝说明的，由现场监督员据实记录；评审小组成员的评审、修改记录应保留原件，随项目其他资料一并存档；</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3）评审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小组应当将其作为无效投标处理。</w:t>
      </w:r>
    </w:p>
    <w:p>
      <w:pPr>
        <w:pStyle w:val="2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5.中标原则</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评审小组根据投标人的综合得分由高到低排定顺序，推荐综合得分排名第一的投标人为本项目的第一中标候选人。如</w:t>
      </w:r>
      <w:r>
        <w:rPr>
          <w:rFonts w:hint="default" w:ascii="Times New Roman" w:hAnsi="Times New Roman" w:cs="Times New Roman"/>
          <w:bCs/>
          <w:szCs w:val="21"/>
          <w:highlight w:val="none"/>
        </w:rPr>
        <w:t>投标人综合得分相同的则价格低者优先中标；若技术商务标得分也相同，则由投标人抽签决定。如评标过程中出现本招标文件未尽事宜，则由评审小组讨论决定。</w:t>
      </w:r>
    </w:p>
    <w:p>
      <w:pPr>
        <w:pStyle w:val="26"/>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6.中标结果</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代理机构将中标结果在政府采购指定媒体上公示，并向中标人发出中标通知书。</w:t>
      </w:r>
    </w:p>
    <w:p>
      <w:pPr>
        <w:numPr>
          <w:ilvl w:val="0"/>
          <w:numId w:val="0"/>
        </w:numPr>
        <w:spacing w:line="360" w:lineRule="auto"/>
        <w:rPr>
          <w:rFonts w:hint="default" w:ascii="Times New Roman" w:hAnsi="Times New Roman" w:cs="Times New Roman"/>
          <w:b/>
          <w:szCs w:val="21"/>
          <w:highlight w:val="none"/>
        </w:rPr>
      </w:pPr>
      <w:r>
        <w:rPr>
          <w:rFonts w:hint="default" w:ascii="Times New Roman" w:hAnsi="Times New Roman" w:cs="Times New Roman"/>
          <w:b/>
          <w:bCs/>
          <w:szCs w:val="21"/>
          <w:highlight w:val="none"/>
        </w:rPr>
        <w:br w:type="page"/>
      </w:r>
      <w:r>
        <w:rPr>
          <w:rFonts w:hint="default" w:ascii="Times New Roman" w:hAnsi="Times New Roman" w:cs="Times New Roman"/>
          <w:b/>
          <w:bCs/>
          <w:szCs w:val="21"/>
          <w:highlight w:val="none"/>
          <w:lang w:val="en-US" w:eastAsia="zh-CN"/>
        </w:rPr>
        <w:t>五、</w:t>
      </w:r>
      <w:r>
        <w:rPr>
          <w:rFonts w:hint="default" w:ascii="Times New Roman" w:hAnsi="Times New Roman" w:cs="Times New Roman"/>
          <w:b/>
          <w:szCs w:val="21"/>
          <w:highlight w:val="none"/>
        </w:rPr>
        <w:t>评分标准</w:t>
      </w:r>
    </w:p>
    <w:p>
      <w:pPr>
        <w:spacing w:line="360" w:lineRule="auto"/>
        <w:rPr>
          <w:rFonts w:hint="default" w:ascii="Times New Roman" w:hAnsi="Times New Roman" w:eastAsia="hakuyoxingshu7000" w:cs="Times New Roman"/>
          <w:b/>
          <w:szCs w:val="21"/>
          <w:highlight w:val="none"/>
        </w:rPr>
      </w:pPr>
      <w:r>
        <w:rPr>
          <w:rFonts w:hint="default" w:ascii="Times New Roman" w:hAnsi="Times New Roman" w:eastAsia="hakuyoxingshu7000" w:cs="Times New Roman"/>
          <w:b/>
          <w:szCs w:val="21"/>
          <w:highlight w:val="none"/>
        </w:rPr>
        <w:t>第一阶段：技术商务部分评审</w:t>
      </w:r>
    </w:p>
    <w:tbl>
      <w:tblPr>
        <w:tblStyle w:val="37"/>
        <w:tblW w:w="89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92"/>
        <w:gridCol w:w="71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968" w:type="dxa"/>
            <w:gridSpan w:val="2"/>
            <w:tcBorders>
              <w:tl2br w:val="single" w:color="auto" w:sz="6" w:space="0"/>
            </w:tcBorders>
            <w:noWrap w:val="0"/>
            <w:vAlign w:val="top"/>
          </w:tcPr>
          <w:p>
            <w:pPr>
              <w:spacing w:line="300" w:lineRule="exact"/>
              <w:jc w:val="right"/>
              <w:rPr>
                <w:rFonts w:hint="default" w:ascii="Times New Roman" w:hAnsi="Times New Roman" w:eastAsia="hakuyoxingshu7000" w:cs="Times New Roman"/>
                <w:b/>
                <w:bCs/>
                <w:szCs w:val="21"/>
                <w:highlight w:val="none"/>
              </w:rPr>
            </w:pPr>
            <w:r>
              <w:rPr>
                <w:rFonts w:hint="default" w:ascii="Times New Roman" w:hAnsi="Times New Roman" w:eastAsia="hakuyoxingshu7000" w:cs="Times New Roman"/>
                <w:b/>
                <w:bCs/>
                <w:szCs w:val="21"/>
                <w:highlight w:val="none"/>
              </w:rPr>
              <w:t>投标单位</w:t>
            </w:r>
          </w:p>
          <w:p>
            <w:pPr>
              <w:spacing w:line="300" w:lineRule="exact"/>
              <w:rPr>
                <w:rFonts w:hint="default" w:ascii="Times New Roman" w:hAnsi="Times New Roman" w:eastAsia="hakuyoxingshu7000" w:cs="Times New Roman"/>
                <w:b/>
                <w:bCs/>
                <w:szCs w:val="21"/>
                <w:highlight w:val="none"/>
              </w:rPr>
            </w:pPr>
            <w:r>
              <w:rPr>
                <w:rFonts w:hint="default" w:ascii="Times New Roman" w:hAnsi="Times New Roman" w:eastAsia="hakuyoxingshu7000" w:cs="Times New Roman"/>
                <w:b/>
                <w:bCs/>
                <w:szCs w:val="21"/>
                <w:highlight w:val="none"/>
              </w:rPr>
              <w:t>评分项及分值（70分）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792" w:type="dxa"/>
            <w:vMerge w:val="restart"/>
            <w:noWrap w:val="0"/>
            <w:vAlign w:val="center"/>
          </w:tcPr>
          <w:p>
            <w:pPr>
              <w:spacing w:line="300" w:lineRule="exact"/>
              <w:jc w:val="center"/>
              <w:rPr>
                <w:rFonts w:hint="default" w:ascii="Times New Roman" w:hAnsi="Times New Roman" w:eastAsia="hakuyoxingshu7000" w:cs="Times New Roman"/>
                <w:b/>
                <w:bCs/>
                <w:color w:val="auto"/>
                <w:szCs w:val="21"/>
                <w:highlight w:val="none"/>
              </w:rPr>
            </w:pPr>
            <w:r>
              <w:rPr>
                <w:rFonts w:hint="default" w:ascii="Times New Roman" w:hAnsi="Times New Roman" w:eastAsia="hakuyoxingshu7000" w:cs="Times New Roman"/>
                <w:b/>
                <w:bCs/>
                <w:color w:val="auto"/>
                <w:szCs w:val="21"/>
                <w:highlight w:val="none"/>
              </w:rPr>
              <w:t>技术评议</w:t>
            </w:r>
          </w:p>
          <w:p>
            <w:pPr>
              <w:spacing w:line="300" w:lineRule="exact"/>
              <w:jc w:val="center"/>
              <w:rPr>
                <w:rFonts w:hint="default" w:ascii="Times New Roman" w:hAnsi="Times New Roman" w:eastAsia="hakuyoxingshu7000" w:cs="Times New Roman"/>
                <w:b/>
                <w:bCs/>
                <w:color w:val="auto"/>
                <w:szCs w:val="21"/>
                <w:highlight w:val="none"/>
              </w:rPr>
            </w:pPr>
            <w:r>
              <w:rPr>
                <w:rFonts w:hint="default" w:ascii="Times New Roman" w:hAnsi="Times New Roman" w:eastAsia="hakuyoxingshu7000" w:cs="Times New Roman"/>
                <w:b/>
                <w:bCs/>
                <w:color w:val="auto"/>
                <w:szCs w:val="21"/>
                <w:highlight w:val="none"/>
              </w:rPr>
              <w:t>（</w:t>
            </w:r>
            <w:r>
              <w:rPr>
                <w:rFonts w:hint="eastAsia" w:ascii="Times New Roman" w:hAnsi="Times New Roman" w:eastAsia="hakuyoxingshu7000" w:cs="Times New Roman"/>
                <w:b/>
                <w:bCs/>
                <w:color w:val="auto"/>
                <w:szCs w:val="21"/>
                <w:highlight w:val="none"/>
                <w:lang w:val="en-US" w:eastAsia="zh-CN"/>
              </w:rPr>
              <w:t>36</w:t>
            </w:r>
            <w:r>
              <w:rPr>
                <w:rFonts w:hint="default" w:ascii="Times New Roman" w:hAnsi="Times New Roman" w:eastAsia="hakuyoxingshu7000" w:cs="Times New Roman"/>
                <w:b/>
                <w:bCs/>
                <w:color w:val="auto"/>
                <w:szCs w:val="21"/>
                <w:highlight w:val="none"/>
              </w:rPr>
              <w:t>分）</w:t>
            </w:r>
          </w:p>
        </w:tc>
        <w:tc>
          <w:tcPr>
            <w:tcW w:w="7176" w:type="dxa"/>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技术需求响应全部满足招标文件第二章《招标需求》二、详细采购需求的得</w:t>
            </w:r>
            <w:r>
              <w:rPr>
                <w:rFonts w:hint="eastAsia" w:ascii="Times New Roman" w:hAnsi="Times New Roman" w:eastAsia="宋体" w:cs="Times New Roman"/>
                <w:color w:val="auto"/>
                <w:kern w:val="2"/>
                <w:sz w:val="21"/>
                <w:szCs w:val="21"/>
                <w:highlight w:val="none"/>
                <w:lang w:val="en-US" w:eastAsia="zh-CN" w:bidi="ar-SA"/>
              </w:rPr>
              <w:t>24</w:t>
            </w:r>
            <w:r>
              <w:rPr>
                <w:rFonts w:hint="default" w:ascii="Times New Roman" w:hAnsi="Times New Roman" w:eastAsia="宋体" w:cs="Times New Roman"/>
                <w:color w:val="auto"/>
                <w:kern w:val="2"/>
                <w:sz w:val="21"/>
                <w:szCs w:val="21"/>
                <w:highlight w:val="none"/>
                <w:lang w:val="en-US" w:eastAsia="zh-CN" w:bidi="ar-SA"/>
              </w:rPr>
              <w:t>分。</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hakuyoxingshu7000" w:cs="Times New Roman"/>
                <w:b/>
                <w:bCs/>
                <w:color w:val="auto"/>
                <w:szCs w:val="21"/>
                <w:highlight w:val="none"/>
              </w:rPr>
            </w:pPr>
            <w:r>
              <w:rPr>
                <w:rFonts w:hint="default" w:ascii="Times New Roman" w:hAnsi="Times New Roman" w:cs="Times New Roman"/>
                <w:sz w:val="21"/>
                <w:szCs w:val="21"/>
                <w:highlight w:val="none"/>
                <w:lang w:val="en-US" w:eastAsia="zh-CN"/>
              </w:rPr>
              <w:t>每</w:t>
            </w:r>
            <w:r>
              <w:rPr>
                <w:rFonts w:hint="default" w:ascii="Times New Roman" w:hAnsi="Times New Roman" w:cs="Times New Roman"/>
                <w:sz w:val="21"/>
                <w:szCs w:val="21"/>
                <w:highlight w:val="none"/>
              </w:rPr>
              <w:t>负偏离一条打“★”号的技术指标扣</w:t>
            </w:r>
            <w:r>
              <w:rPr>
                <w:rFonts w:hint="default"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rPr>
              <w:t>分</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每负偏离一条未打“★”号的技术指标扣</w:t>
            </w:r>
            <w:r>
              <w:rPr>
                <w:rFonts w:hint="default" w:ascii="Times New Roman" w:hAnsi="Times New Roman" w:cs="Times New Roman"/>
                <w:sz w:val="21"/>
                <w:szCs w:val="21"/>
                <w:highlight w:val="none"/>
                <w:lang w:val="en-US" w:eastAsia="zh-CN"/>
              </w:rPr>
              <w:t>1</w:t>
            </w:r>
            <w:r>
              <w:rPr>
                <w:rFonts w:hint="default" w:ascii="Times New Roman" w:hAnsi="Times New Roman" w:cs="Times New Roman"/>
                <w:sz w:val="21"/>
                <w:szCs w:val="21"/>
                <w:highlight w:val="none"/>
              </w:rPr>
              <w:t>分。扣减至0分时，其投标文件作无效标处理。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792" w:type="dxa"/>
            <w:vMerge w:val="continue"/>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cs="Times New Roman"/>
                <w:highlight w:val="none"/>
              </w:rPr>
            </w:pPr>
          </w:p>
        </w:tc>
        <w:tc>
          <w:tcPr>
            <w:tcW w:w="7176" w:type="dxa"/>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根据</w:t>
            </w:r>
            <w:r>
              <w:rPr>
                <w:color w:val="auto"/>
                <w:kern w:val="2"/>
                <w:sz w:val="21"/>
                <w:szCs w:val="21"/>
                <w:highlight w:val="none"/>
              </w:rPr>
              <w:t>数字化建设目标和任务</w:t>
            </w:r>
            <w:r>
              <w:rPr>
                <w:rFonts w:hint="eastAsia"/>
                <w:color w:val="auto"/>
                <w:kern w:val="2"/>
                <w:sz w:val="21"/>
                <w:szCs w:val="21"/>
                <w:highlight w:val="none"/>
                <w:lang w:val="en-US" w:eastAsia="zh-CN"/>
              </w:rPr>
              <w:t>的方案内容进行</w:t>
            </w:r>
            <w:r>
              <w:rPr>
                <w:rFonts w:hint="eastAsia" w:ascii="Times New Roman" w:hAnsi="Times New Roman" w:eastAsia="宋体" w:cs="Times New Roman"/>
                <w:color w:val="auto"/>
                <w:kern w:val="2"/>
                <w:sz w:val="21"/>
                <w:szCs w:val="21"/>
                <w:highlight w:val="none"/>
                <w:lang w:val="en-US" w:eastAsia="zh-CN" w:bidi="ar-SA"/>
              </w:rPr>
              <w:t>评定</w:t>
            </w:r>
            <w:r>
              <w:rPr>
                <w:rFonts w:hint="default" w:ascii="Times New Roman" w:hAnsi="Times New Roman" w:eastAsia="宋体" w:cs="Times New Roman"/>
                <w:color w:val="auto"/>
                <w:kern w:val="2"/>
                <w:sz w:val="21"/>
                <w:szCs w:val="21"/>
                <w:highlight w:val="none"/>
                <w:lang w:val="en-US" w:eastAsia="zh-CN" w:bidi="ar-SA"/>
              </w:rPr>
              <w:t>（3分）：</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全面、具有操作性、特色亮点鲜明，符合项目需求</w:t>
            </w:r>
            <w:r>
              <w:rPr>
                <w:rFonts w:hint="eastAsia" w:ascii="Times New Roman" w:hAnsi="Times New Roman" w:eastAsia="宋体" w:cs="Times New Roman"/>
                <w:color w:val="auto"/>
                <w:kern w:val="2"/>
                <w:sz w:val="21"/>
                <w:szCs w:val="21"/>
                <w:highlight w:val="none"/>
                <w:lang w:val="en-US" w:eastAsia="zh-CN" w:bidi="ar-SA"/>
              </w:rPr>
              <w:t>得3分，</w:t>
            </w:r>
            <w:r>
              <w:rPr>
                <w:rFonts w:hint="eastAsia"/>
                <w:color w:val="auto"/>
                <w:kern w:val="2"/>
                <w:sz w:val="21"/>
                <w:szCs w:val="21"/>
                <w:highlight w:val="none"/>
              </w:rPr>
              <w:t>内容有所欠缺，缺乏特色</w:t>
            </w:r>
            <w:r>
              <w:rPr>
                <w:rFonts w:hint="eastAsia"/>
                <w:color w:val="auto"/>
                <w:kern w:val="2"/>
                <w:sz w:val="21"/>
                <w:szCs w:val="21"/>
                <w:highlight w:val="none"/>
                <w:lang w:val="en-US" w:eastAsia="zh-CN"/>
              </w:rPr>
              <w:t>得1分。</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注：对各投标人提供的内容进行横向对比，无内容的不得分。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792" w:type="dxa"/>
            <w:vMerge w:val="continue"/>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p>
        </w:tc>
        <w:tc>
          <w:tcPr>
            <w:tcW w:w="7176" w:type="dxa"/>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根据</w:t>
            </w:r>
            <w:r>
              <w:rPr>
                <w:rFonts w:hint="default" w:ascii="Times New Roman" w:hAnsi="Times New Roman" w:eastAsia="宋体" w:cs="Times New Roman"/>
                <w:color w:val="auto"/>
                <w:kern w:val="2"/>
                <w:sz w:val="21"/>
                <w:szCs w:val="21"/>
                <w:highlight w:val="none"/>
                <w:lang w:val="en-US" w:eastAsia="zh-CN" w:bidi="ar-SA"/>
              </w:rPr>
              <w:t>数字化融合社区运营方案</w:t>
            </w:r>
            <w:r>
              <w:rPr>
                <w:rFonts w:hint="eastAsia"/>
                <w:color w:val="auto"/>
                <w:kern w:val="2"/>
                <w:sz w:val="21"/>
                <w:szCs w:val="21"/>
                <w:highlight w:val="none"/>
                <w:lang w:val="en-US" w:eastAsia="zh-CN"/>
              </w:rPr>
              <w:t>进行</w:t>
            </w:r>
            <w:r>
              <w:rPr>
                <w:rFonts w:hint="eastAsia" w:ascii="Times New Roman" w:hAnsi="Times New Roman" w:eastAsia="宋体" w:cs="Times New Roman"/>
                <w:color w:val="auto"/>
                <w:kern w:val="2"/>
                <w:sz w:val="21"/>
                <w:szCs w:val="21"/>
                <w:highlight w:val="none"/>
                <w:lang w:val="en-US" w:eastAsia="zh-CN" w:bidi="ar-SA"/>
              </w:rPr>
              <w:t>评定</w:t>
            </w:r>
            <w:r>
              <w:rPr>
                <w:rFonts w:hint="default" w:ascii="Times New Roman" w:hAnsi="Times New Roman" w:eastAsia="宋体" w:cs="Times New Roman"/>
                <w:color w:val="auto"/>
                <w:kern w:val="2"/>
                <w:sz w:val="21"/>
                <w:szCs w:val="21"/>
                <w:highlight w:val="none"/>
                <w:lang w:val="en-US" w:eastAsia="zh-CN" w:bidi="ar-SA"/>
              </w:rPr>
              <w:t>（3分）：</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全面、具有操作性、特色亮点鲜明，符合项目需求</w:t>
            </w:r>
            <w:r>
              <w:rPr>
                <w:rFonts w:hint="eastAsia" w:ascii="Times New Roman" w:hAnsi="Times New Roman" w:eastAsia="宋体" w:cs="Times New Roman"/>
                <w:color w:val="auto"/>
                <w:kern w:val="2"/>
                <w:sz w:val="21"/>
                <w:szCs w:val="21"/>
                <w:highlight w:val="none"/>
                <w:lang w:val="en-US" w:eastAsia="zh-CN" w:bidi="ar-SA"/>
              </w:rPr>
              <w:t>得3分，</w:t>
            </w:r>
            <w:r>
              <w:rPr>
                <w:rFonts w:hint="eastAsia"/>
                <w:color w:val="auto"/>
                <w:kern w:val="2"/>
                <w:sz w:val="21"/>
                <w:szCs w:val="21"/>
                <w:highlight w:val="none"/>
              </w:rPr>
              <w:t>内容有所欠缺，缺乏特色</w:t>
            </w:r>
            <w:r>
              <w:rPr>
                <w:rFonts w:hint="eastAsia"/>
                <w:color w:val="auto"/>
                <w:kern w:val="2"/>
                <w:sz w:val="21"/>
                <w:szCs w:val="21"/>
                <w:highlight w:val="none"/>
                <w:lang w:val="en-US" w:eastAsia="zh-CN"/>
              </w:rPr>
              <w:t>得1分。</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注：对各投标人提供的内容进行横向对比，无内容的不得分。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792" w:type="dxa"/>
            <w:vMerge w:val="continue"/>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p>
        </w:tc>
        <w:tc>
          <w:tcPr>
            <w:tcW w:w="7176" w:type="dxa"/>
            <w:noWrap w:val="0"/>
            <w:vAlign w:val="center"/>
          </w:tcPr>
          <w:p>
            <w:pPr>
              <w:pStyle w:val="17"/>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根据</w:t>
            </w:r>
            <w:r>
              <w:rPr>
                <w:rFonts w:hint="default" w:ascii="Times New Roman" w:hAnsi="Times New Roman" w:cs="Times New Roman"/>
                <w:color w:val="auto"/>
                <w:kern w:val="2"/>
                <w:sz w:val="21"/>
                <w:szCs w:val="21"/>
                <w:highlight w:val="none"/>
                <w:lang w:val="en-US" w:eastAsia="zh-CN" w:bidi="ar-SA"/>
              </w:rPr>
              <w:t>拟建设/落地的重点数字化应用</w:t>
            </w:r>
            <w:r>
              <w:rPr>
                <w:rFonts w:hint="default"/>
                <w:color w:val="auto"/>
                <w:kern w:val="2"/>
                <w:sz w:val="21"/>
                <w:szCs w:val="21"/>
                <w:highlight w:val="none"/>
                <w:lang w:val="en-US" w:eastAsia="zh-CN"/>
              </w:rPr>
              <w:t>方案</w:t>
            </w:r>
            <w:r>
              <w:rPr>
                <w:rFonts w:hint="eastAsia"/>
                <w:color w:val="auto"/>
                <w:kern w:val="2"/>
                <w:sz w:val="21"/>
                <w:szCs w:val="21"/>
                <w:highlight w:val="none"/>
                <w:lang w:val="en-US" w:eastAsia="zh-CN"/>
              </w:rPr>
              <w:t>进行</w:t>
            </w:r>
            <w:r>
              <w:rPr>
                <w:rFonts w:hint="eastAsia" w:ascii="Times New Roman" w:hAnsi="Times New Roman" w:eastAsia="宋体" w:cs="Times New Roman"/>
                <w:color w:val="auto"/>
                <w:kern w:val="2"/>
                <w:sz w:val="21"/>
                <w:szCs w:val="21"/>
                <w:highlight w:val="none"/>
                <w:lang w:val="en-US" w:eastAsia="zh-CN" w:bidi="ar-SA"/>
              </w:rPr>
              <w:t>评定</w:t>
            </w:r>
            <w:r>
              <w:rPr>
                <w:rFonts w:hint="default" w:ascii="Times New Roman" w:hAnsi="Times New Roman" w:eastAsia="宋体" w:cs="Times New Roman"/>
                <w:color w:val="auto"/>
                <w:kern w:val="2"/>
                <w:sz w:val="21"/>
                <w:szCs w:val="21"/>
                <w:highlight w:val="none"/>
                <w:lang w:val="en-US" w:eastAsia="zh-CN" w:bidi="ar-SA"/>
              </w:rPr>
              <w:t>（3分）：</w:t>
            </w:r>
          </w:p>
          <w:p>
            <w:pPr>
              <w:pStyle w:val="17"/>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rPr>
                <w:rFonts w:hint="eastAsia"/>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全面、具有操作性、特色亮点鲜明，符合项目需求</w:t>
            </w:r>
            <w:r>
              <w:rPr>
                <w:rFonts w:hint="eastAsia" w:ascii="Times New Roman" w:hAnsi="Times New Roman" w:eastAsia="宋体" w:cs="Times New Roman"/>
                <w:color w:val="auto"/>
                <w:kern w:val="2"/>
                <w:sz w:val="21"/>
                <w:szCs w:val="21"/>
                <w:highlight w:val="none"/>
                <w:lang w:val="en-US" w:eastAsia="zh-CN" w:bidi="ar-SA"/>
              </w:rPr>
              <w:t>得3分，</w:t>
            </w:r>
            <w:r>
              <w:rPr>
                <w:rFonts w:hint="eastAsia"/>
                <w:color w:val="auto"/>
                <w:kern w:val="2"/>
                <w:sz w:val="21"/>
                <w:szCs w:val="21"/>
                <w:highlight w:val="none"/>
              </w:rPr>
              <w:t>内容有所欠缺，缺乏特色</w:t>
            </w:r>
            <w:r>
              <w:rPr>
                <w:rFonts w:hint="eastAsia"/>
                <w:color w:val="auto"/>
                <w:kern w:val="2"/>
                <w:sz w:val="21"/>
                <w:szCs w:val="21"/>
                <w:highlight w:val="none"/>
                <w:lang w:val="en-US" w:eastAsia="zh-CN"/>
              </w:rPr>
              <w:t>得1分。</w:t>
            </w:r>
          </w:p>
          <w:p>
            <w:pPr>
              <w:pStyle w:val="17"/>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注：对各投标人提供的内容进行横向对比，无内容的不得分。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792" w:type="dxa"/>
            <w:vMerge w:val="continue"/>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p>
        </w:tc>
        <w:tc>
          <w:tcPr>
            <w:tcW w:w="7176" w:type="dxa"/>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根据</w:t>
            </w:r>
            <w:r>
              <w:rPr>
                <w:color w:val="auto"/>
                <w:kern w:val="2"/>
                <w:sz w:val="21"/>
                <w:szCs w:val="21"/>
                <w:highlight w:val="none"/>
              </w:rPr>
              <w:t>数字化系统安全设计方案</w:t>
            </w:r>
            <w:r>
              <w:rPr>
                <w:rFonts w:hint="eastAsia"/>
                <w:color w:val="auto"/>
                <w:kern w:val="2"/>
                <w:sz w:val="21"/>
                <w:szCs w:val="21"/>
                <w:highlight w:val="none"/>
                <w:lang w:val="en-US" w:eastAsia="zh-CN"/>
              </w:rPr>
              <w:t>进行</w:t>
            </w:r>
            <w:r>
              <w:rPr>
                <w:rFonts w:hint="eastAsia" w:ascii="Times New Roman" w:hAnsi="Times New Roman" w:eastAsia="宋体" w:cs="Times New Roman"/>
                <w:color w:val="auto"/>
                <w:kern w:val="2"/>
                <w:sz w:val="21"/>
                <w:szCs w:val="21"/>
                <w:highlight w:val="none"/>
                <w:lang w:val="en-US" w:eastAsia="zh-CN" w:bidi="ar-SA"/>
              </w:rPr>
              <w:t>评定</w:t>
            </w:r>
            <w:r>
              <w:rPr>
                <w:rFonts w:hint="default" w:ascii="Times New Roman" w:hAnsi="Times New Roman" w:eastAsia="宋体" w:cs="Times New Roman"/>
                <w:color w:val="auto"/>
                <w:kern w:val="2"/>
                <w:sz w:val="21"/>
                <w:szCs w:val="21"/>
                <w:highlight w:val="none"/>
                <w:lang w:val="en-US" w:eastAsia="zh-CN" w:bidi="ar-SA"/>
              </w:rPr>
              <w:t>（3分）：</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全面、具有操作性、特色亮点鲜明，符合项目需求</w:t>
            </w:r>
            <w:r>
              <w:rPr>
                <w:rFonts w:hint="eastAsia" w:ascii="Times New Roman" w:hAnsi="Times New Roman" w:eastAsia="宋体" w:cs="Times New Roman"/>
                <w:color w:val="auto"/>
                <w:kern w:val="2"/>
                <w:sz w:val="21"/>
                <w:szCs w:val="21"/>
                <w:highlight w:val="none"/>
                <w:lang w:val="en-US" w:eastAsia="zh-CN" w:bidi="ar-SA"/>
              </w:rPr>
              <w:t>得3分，</w:t>
            </w:r>
            <w:r>
              <w:rPr>
                <w:rFonts w:hint="eastAsia"/>
                <w:color w:val="auto"/>
                <w:kern w:val="2"/>
                <w:sz w:val="21"/>
                <w:szCs w:val="21"/>
                <w:highlight w:val="none"/>
              </w:rPr>
              <w:t>内容有所欠缺，缺乏特色</w:t>
            </w:r>
            <w:r>
              <w:rPr>
                <w:rFonts w:hint="eastAsia"/>
                <w:color w:val="auto"/>
                <w:kern w:val="2"/>
                <w:sz w:val="21"/>
                <w:szCs w:val="21"/>
                <w:highlight w:val="none"/>
                <w:lang w:val="en-US" w:eastAsia="zh-CN"/>
              </w:rPr>
              <w:t>得1分。</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注：对各投标人提供的内容进行横向对比，无内容的不得分。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92" w:type="dxa"/>
            <w:noWrap w:val="0"/>
            <w:vAlign w:val="center"/>
          </w:tcPr>
          <w:p>
            <w:pPr>
              <w:spacing w:line="300" w:lineRule="exact"/>
              <w:jc w:val="center"/>
              <w:rPr>
                <w:rFonts w:hint="default" w:ascii="Times New Roman" w:hAnsi="Times New Roman" w:eastAsia="hakuyoxingshu7000" w:cs="Times New Roman"/>
                <w:b/>
                <w:bCs/>
                <w:color w:val="auto"/>
                <w:szCs w:val="21"/>
                <w:highlight w:val="none"/>
                <w:lang w:val="zh-CN"/>
              </w:rPr>
            </w:pPr>
            <w:r>
              <w:rPr>
                <w:rFonts w:hint="default" w:ascii="Times New Roman" w:hAnsi="Times New Roman" w:eastAsia="hakuyoxingshu7000" w:cs="Times New Roman"/>
                <w:b/>
                <w:bCs/>
                <w:color w:val="auto"/>
                <w:szCs w:val="21"/>
                <w:highlight w:val="none"/>
                <w:lang w:val="zh-CN"/>
              </w:rPr>
              <w:t>业绩</w:t>
            </w:r>
          </w:p>
          <w:p>
            <w:pPr>
              <w:spacing w:line="300" w:lineRule="exact"/>
              <w:jc w:val="center"/>
              <w:rPr>
                <w:rFonts w:hint="default" w:ascii="Times New Roman" w:hAnsi="Times New Roman" w:eastAsia="hakuyoxingshu7000" w:cs="Times New Roman"/>
                <w:b/>
                <w:bCs/>
                <w:color w:val="auto"/>
                <w:kern w:val="2"/>
                <w:sz w:val="21"/>
                <w:szCs w:val="21"/>
                <w:highlight w:val="none"/>
                <w:lang w:val="zh-CN" w:eastAsia="zh-CN" w:bidi="ar-SA"/>
              </w:rPr>
            </w:pPr>
            <w:r>
              <w:rPr>
                <w:rFonts w:hint="default" w:ascii="Times New Roman" w:hAnsi="Times New Roman" w:eastAsia="hakuyoxingshu7000" w:cs="Times New Roman"/>
                <w:b/>
                <w:bCs/>
                <w:color w:val="auto"/>
                <w:szCs w:val="21"/>
                <w:highlight w:val="none"/>
                <w:lang w:val="zh-CN"/>
              </w:rPr>
              <w:t>（</w:t>
            </w:r>
            <w:r>
              <w:rPr>
                <w:rFonts w:hint="default" w:ascii="Times New Roman" w:hAnsi="Times New Roman" w:eastAsia="hakuyoxingshu7000" w:cs="Times New Roman"/>
                <w:b/>
                <w:bCs/>
                <w:color w:val="auto"/>
                <w:szCs w:val="21"/>
                <w:highlight w:val="none"/>
              </w:rPr>
              <w:t>3</w:t>
            </w:r>
            <w:r>
              <w:rPr>
                <w:rFonts w:hint="default" w:ascii="Times New Roman" w:hAnsi="Times New Roman" w:eastAsia="hakuyoxingshu7000" w:cs="Times New Roman"/>
                <w:b/>
                <w:bCs/>
                <w:color w:val="auto"/>
                <w:szCs w:val="21"/>
                <w:highlight w:val="none"/>
                <w:lang w:val="zh-CN"/>
              </w:rPr>
              <w:t>分）</w:t>
            </w:r>
          </w:p>
        </w:tc>
        <w:tc>
          <w:tcPr>
            <w:tcW w:w="7176" w:type="dxa"/>
            <w:noWrap w:val="0"/>
            <w:vAlign w:val="center"/>
          </w:tcPr>
          <w:p>
            <w:pPr>
              <w:pStyle w:val="15"/>
              <w:rPr>
                <w:rFonts w:hint="default" w:ascii="Times New Roman" w:hAnsi="Times New Roman" w:eastAsia="hakuyoxingshu7000" w:cs="Times New Roman"/>
                <w:b w:val="0"/>
                <w:bCs w:val="0"/>
                <w:color w:val="auto"/>
                <w:kern w:val="2"/>
                <w:sz w:val="21"/>
                <w:szCs w:val="21"/>
                <w:highlight w:val="none"/>
                <w:lang w:val="en-US" w:eastAsia="zh-CN" w:bidi="ar-SA"/>
              </w:rPr>
            </w:pPr>
            <w:r>
              <w:rPr>
                <w:rFonts w:hint="eastAsia" w:ascii="Times New Roman" w:hAnsi="Times New Roman" w:eastAsia="hakuyoxingshu7000" w:cs="Times New Roman"/>
                <w:b w:val="0"/>
                <w:bCs w:val="0"/>
                <w:color w:val="auto"/>
                <w:kern w:val="2"/>
                <w:sz w:val="21"/>
                <w:szCs w:val="21"/>
                <w:highlight w:val="none"/>
                <w:lang w:val="en-US" w:eastAsia="zh-CN" w:bidi="ar-SA"/>
              </w:rPr>
              <w:t>投标人</w:t>
            </w:r>
            <w:r>
              <w:rPr>
                <w:rFonts w:hint="default" w:ascii="Times New Roman" w:hAnsi="Times New Roman" w:eastAsia="hakuyoxingshu7000" w:cs="Times New Roman"/>
                <w:b w:val="0"/>
                <w:bCs w:val="0"/>
                <w:color w:val="auto"/>
                <w:kern w:val="2"/>
                <w:sz w:val="21"/>
                <w:szCs w:val="21"/>
                <w:highlight w:val="none"/>
                <w:lang w:val="en-US" w:eastAsia="zh-CN" w:bidi="ar-SA"/>
              </w:rPr>
              <w:t>2020年1月1日起至今（合同签订日期为准），投标人具有</w:t>
            </w:r>
            <w:r>
              <w:rPr>
                <w:rFonts w:hint="eastAsia"/>
                <w:highlight w:val="none"/>
                <w:lang w:val="en-US" w:eastAsia="zh-CN"/>
              </w:rPr>
              <w:t>未来社区数字化设备类</w:t>
            </w:r>
            <w:r>
              <w:rPr>
                <w:rFonts w:hint="default" w:ascii="Times New Roman" w:hAnsi="Times New Roman" w:eastAsia="hakuyoxingshu7000" w:cs="Times New Roman"/>
                <w:b w:val="0"/>
                <w:bCs w:val="0"/>
                <w:color w:val="auto"/>
                <w:kern w:val="2"/>
                <w:sz w:val="21"/>
                <w:szCs w:val="21"/>
                <w:highlight w:val="none"/>
                <w:lang w:val="en-US" w:eastAsia="zh-CN" w:bidi="ar-SA"/>
              </w:rPr>
              <w:t>相关项目业绩的，每提供1个得1分，本项满分3分。</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hakuyoxingshu7000" w:cs="Times New Roman"/>
                <w:b/>
                <w:bCs/>
                <w:color w:val="auto"/>
                <w:kern w:val="2"/>
                <w:sz w:val="21"/>
                <w:szCs w:val="21"/>
                <w:highlight w:val="none"/>
                <w:lang w:val="en-US" w:eastAsia="zh-CN" w:bidi="ar-SA"/>
              </w:rPr>
            </w:pPr>
            <w:r>
              <w:rPr>
                <w:rFonts w:hint="default" w:ascii="Times New Roman" w:hAnsi="Times New Roman" w:eastAsia="hakuyoxingshu7000" w:cs="Times New Roman"/>
                <w:b w:val="0"/>
                <w:bCs w:val="0"/>
                <w:color w:val="auto"/>
                <w:kern w:val="2"/>
                <w:sz w:val="21"/>
                <w:szCs w:val="21"/>
                <w:highlight w:val="none"/>
                <w:lang w:val="en-US" w:eastAsia="zh-CN" w:bidi="ar-SA"/>
              </w:rPr>
              <w:t>注：投标文件中须提供中标公示截图（截图需</w:t>
            </w:r>
            <w:r>
              <w:rPr>
                <w:rFonts w:hint="eastAsia" w:eastAsia="hakuyoxingshu7000" w:cs="Times New Roman"/>
                <w:b w:val="0"/>
                <w:bCs w:val="0"/>
                <w:color w:val="auto"/>
                <w:kern w:val="2"/>
                <w:sz w:val="21"/>
                <w:szCs w:val="21"/>
                <w:highlight w:val="none"/>
                <w:lang w:val="en-US" w:eastAsia="zh-CN" w:bidi="ar-SA"/>
              </w:rPr>
              <w:t>含</w:t>
            </w:r>
            <w:r>
              <w:rPr>
                <w:rFonts w:hint="default" w:ascii="Times New Roman" w:hAnsi="Times New Roman" w:eastAsia="hakuyoxingshu7000" w:cs="Times New Roman"/>
                <w:b w:val="0"/>
                <w:bCs w:val="0"/>
                <w:color w:val="auto"/>
                <w:kern w:val="2"/>
                <w:sz w:val="21"/>
                <w:szCs w:val="21"/>
                <w:highlight w:val="none"/>
                <w:lang w:val="en-US" w:eastAsia="zh-CN" w:bidi="ar-SA"/>
              </w:rPr>
              <w:t>网址链接）及合同复印件并加盖</w:t>
            </w:r>
            <w:r>
              <w:rPr>
                <w:rFonts w:hint="eastAsia" w:ascii="Times New Roman" w:hAnsi="Times New Roman" w:eastAsia="hakuyoxingshu7000" w:cs="Times New Roman"/>
                <w:b w:val="0"/>
                <w:bCs w:val="0"/>
                <w:color w:val="auto"/>
                <w:kern w:val="2"/>
                <w:sz w:val="21"/>
                <w:szCs w:val="21"/>
                <w:highlight w:val="none"/>
                <w:lang w:val="en-US" w:eastAsia="zh-CN" w:bidi="ar-SA"/>
              </w:rPr>
              <w:t>投标人</w:t>
            </w:r>
            <w:r>
              <w:rPr>
                <w:rFonts w:hint="default" w:ascii="Times New Roman" w:hAnsi="Times New Roman" w:eastAsia="hakuyoxingshu7000" w:cs="Times New Roman"/>
                <w:b w:val="0"/>
                <w:bCs w:val="0"/>
                <w:color w:val="auto"/>
                <w:kern w:val="2"/>
                <w:sz w:val="21"/>
                <w:szCs w:val="21"/>
                <w:highlight w:val="none"/>
                <w:lang w:val="en-US" w:eastAsia="zh-CN" w:bidi="ar-SA"/>
              </w:rPr>
              <w:t>公章，未提供不得分。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92" w:type="dxa"/>
            <w:noWrap w:val="0"/>
            <w:vAlign w:val="center"/>
          </w:tcPr>
          <w:p>
            <w:pPr>
              <w:pStyle w:val="2"/>
              <w:keepNext w:val="0"/>
              <w:keepLines w:val="0"/>
              <w:pageBreakBefore w:val="0"/>
              <w:kinsoku/>
              <w:wordWrap/>
              <w:topLinePunct w:val="0"/>
              <w:autoSpaceDE/>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val="0"/>
                <w:spacing w:val="0"/>
                <w:kern w:val="0"/>
                <w:sz w:val="21"/>
                <w:szCs w:val="21"/>
                <w:highlight w:val="none"/>
                <w:lang w:val="en-US" w:eastAsia="zh-CN"/>
              </w:rPr>
            </w:pPr>
            <w:r>
              <w:rPr>
                <w:rFonts w:hint="default" w:ascii="Times New Roman" w:hAnsi="Times New Roman" w:eastAsia="宋体" w:cs="Times New Roman"/>
                <w:b/>
                <w:bCs w:val="0"/>
                <w:spacing w:val="0"/>
                <w:kern w:val="0"/>
                <w:sz w:val="21"/>
                <w:szCs w:val="21"/>
                <w:highlight w:val="none"/>
                <w:lang w:val="en-US" w:eastAsia="zh-CN"/>
              </w:rPr>
              <w:t>体系认证</w:t>
            </w:r>
          </w:p>
          <w:p>
            <w:pPr>
              <w:spacing w:line="300" w:lineRule="exact"/>
              <w:jc w:val="center"/>
              <w:rPr>
                <w:rFonts w:hint="default" w:ascii="Times New Roman" w:hAnsi="Times New Roman" w:eastAsia="hakuyoxingshu7000" w:cs="Times New Roman"/>
                <w:b/>
                <w:bCs/>
                <w:color w:val="auto"/>
                <w:szCs w:val="21"/>
                <w:highlight w:val="none"/>
                <w:lang w:val="zh-CN"/>
              </w:rPr>
            </w:pPr>
            <w:r>
              <w:rPr>
                <w:rFonts w:hint="default" w:ascii="Times New Roman" w:hAnsi="Times New Roman" w:eastAsia="宋体" w:cs="Times New Roman"/>
                <w:b/>
                <w:bCs w:val="0"/>
                <w:spacing w:val="0"/>
                <w:kern w:val="0"/>
                <w:sz w:val="21"/>
                <w:szCs w:val="21"/>
                <w:highlight w:val="none"/>
                <w:lang w:val="en-US" w:eastAsia="zh-CN"/>
              </w:rPr>
              <w:t>（</w:t>
            </w:r>
            <w:r>
              <w:rPr>
                <w:rFonts w:hint="eastAsia" w:ascii="Times New Roman" w:hAnsi="Times New Roman" w:cs="Times New Roman"/>
                <w:b/>
                <w:bCs w:val="0"/>
                <w:spacing w:val="0"/>
                <w:kern w:val="0"/>
                <w:sz w:val="21"/>
                <w:szCs w:val="21"/>
                <w:highlight w:val="none"/>
                <w:lang w:val="en-US" w:eastAsia="zh-CN"/>
              </w:rPr>
              <w:t>2</w:t>
            </w:r>
            <w:r>
              <w:rPr>
                <w:rFonts w:hint="default" w:ascii="Times New Roman" w:hAnsi="Times New Roman" w:eastAsia="宋体" w:cs="Times New Roman"/>
                <w:b/>
                <w:bCs w:val="0"/>
                <w:spacing w:val="0"/>
                <w:kern w:val="0"/>
                <w:sz w:val="21"/>
                <w:szCs w:val="21"/>
                <w:highlight w:val="none"/>
                <w:lang w:val="en-US" w:eastAsia="zh-CN"/>
              </w:rPr>
              <w:t>分）</w:t>
            </w:r>
          </w:p>
        </w:tc>
        <w:tc>
          <w:tcPr>
            <w:tcW w:w="7176" w:type="dxa"/>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hakuyoxingshu7000" w:cs="Times New Roman"/>
                <w:b w:val="0"/>
                <w:bCs w:val="0"/>
                <w:color w:val="auto"/>
                <w:kern w:val="2"/>
                <w:sz w:val="21"/>
                <w:szCs w:val="21"/>
                <w:highlight w:val="none"/>
                <w:lang w:val="en-US" w:eastAsia="zh-CN" w:bidi="ar-SA"/>
              </w:rPr>
            </w:pPr>
            <w:r>
              <w:rPr>
                <w:rFonts w:hint="eastAsia" w:ascii="Times New Roman" w:hAnsi="Times New Roman" w:eastAsia="hakuyoxingshu7000" w:cs="Times New Roman"/>
                <w:b w:val="0"/>
                <w:bCs w:val="0"/>
                <w:color w:val="auto"/>
                <w:kern w:val="2"/>
                <w:sz w:val="21"/>
                <w:szCs w:val="21"/>
                <w:highlight w:val="none"/>
                <w:lang w:val="en-US" w:eastAsia="zh-CN" w:bidi="ar-SA"/>
              </w:rPr>
              <w:t>投标人</w:t>
            </w:r>
            <w:r>
              <w:rPr>
                <w:rFonts w:hint="default" w:ascii="Times New Roman" w:hAnsi="Times New Roman" w:eastAsia="hakuyoxingshu7000" w:cs="Times New Roman"/>
                <w:b w:val="0"/>
                <w:bCs w:val="0"/>
                <w:color w:val="auto"/>
                <w:kern w:val="2"/>
                <w:sz w:val="21"/>
                <w:szCs w:val="21"/>
                <w:highlight w:val="none"/>
                <w:lang w:val="en-US" w:eastAsia="zh-CN" w:bidi="ar-SA"/>
              </w:rPr>
              <w:t>具有有效期内质量管理体系认证的得</w:t>
            </w:r>
            <w:r>
              <w:rPr>
                <w:rFonts w:hint="eastAsia" w:ascii="Times New Roman" w:hAnsi="Times New Roman" w:eastAsia="hakuyoxingshu7000" w:cs="Times New Roman"/>
                <w:b w:val="0"/>
                <w:bCs w:val="0"/>
                <w:color w:val="auto"/>
                <w:kern w:val="2"/>
                <w:sz w:val="21"/>
                <w:szCs w:val="21"/>
                <w:highlight w:val="none"/>
                <w:lang w:val="en-US" w:eastAsia="zh-CN" w:bidi="ar-SA"/>
              </w:rPr>
              <w:t>0.5</w:t>
            </w:r>
            <w:r>
              <w:rPr>
                <w:rFonts w:hint="default" w:ascii="Times New Roman" w:hAnsi="Times New Roman" w:eastAsia="hakuyoxingshu7000" w:cs="Times New Roman"/>
                <w:b w:val="0"/>
                <w:bCs w:val="0"/>
                <w:color w:val="auto"/>
                <w:kern w:val="2"/>
                <w:sz w:val="21"/>
                <w:szCs w:val="21"/>
                <w:highlight w:val="none"/>
                <w:lang w:val="en-US" w:eastAsia="zh-CN" w:bidi="ar-SA"/>
              </w:rPr>
              <w:t>分、具有有效期内有效期内环境管理体系认证的得</w:t>
            </w:r>
            <w:r>
              <w:rPr>
                <w:rFonts w:hint="eastAsia" w:ascii="Times New Roman" w:hAnsi="Times New Roman" w:eastAsia="hakuyoxingshu7000" w:cs="Times New Roman"/>
                <w:b w:val="0"/>
                <w:bCs w:val="0"/>
                <w:color w:val="auto"/>
                <w:kern w:val="2"/>
                <w:sz w:val="21"/>
                <w:szCs w:val="21"/>
                <w:highlight w:val="none"/>
                <w:lang w:val="en-US" w:eastAsia="zh-CN" w:bidi="ar-SA"/>
              </w:rPr>
              <w:t>0.5</w:t>
            </w:r>
            <w:r>
              <w:rPr>
                <w:rFonts w:hint="default" w:ascii="Times New Roman" w:hAnsi="Times New Roman" w:eastAsia="hakuyoxingshu7000" w:cs="Times New Roman"/>
                <w:b w:val="0"/>
                <w:bCs w:val="0"/>
                <w:color w:val="auto"/>
                <w:kern w:val="2"/>
                <w:sz w:val="21"/>
                <w:szCs w:val="21"/>
                <w:highlight w:val="none"/>
                <w:lang w:val="en-US" w:eastAsia="zh-CN" w:bidi="ar-SA"/>
              </w:rPr>
              <w:t>分、具有有效期内职业健康安全管理体系认证证书具的得</w:t>
            </w:r>
            <w:r>
              <w:rPr>
                <w:rFonts w:hint="eastAsia" w:ascii="Times New Roman" w:hAnsi="Times New Roman" w:eastAsia="hakuyoxingshu7000" w:cs="Times New Roman"/>
                <w:b w:val="0"/>
                <w:bCs w:val="0"/>
                <w:color w:val="auto"/>
                <w:kern w:val="2"/>
                <w:sz w:val="21"/>
                <w:szCs w:val="21"/>
                <w:highlight w:val="none"/>
                <w:lang w:val="en-US" w:eastAsia="zh-CN" w:bidi="ar-SA"/>
              </w:rPr>
              <w:t>0.5</w:t>
            </w:r>
            <w:r>
              <w:rPr>
                <w:rFonts w:hint="default" w:ascii="Times New Roman" w:hAnsi="Times New Roman" w:eastAsia="hakuyoxingshu7000" w:cs="Times New Roman"/>
                <w:b w:val="0"/>
                <w:bCs w:val="0"/>
                <w:color w:val="auto"/>
                <w:kern w:val="2"/>
                <w:sz w:val="21"/>
                <w:szCs w:val="21"/>
                <w:highlight w:val="none"/>
                <w:lang w:val="en-US" w:eastAsia="zh-CN" w:bidi="ar-SA"/>
              </w:rPr>
              <w:t>分、具有有效期内信息技术服务标准符合性（ITSS）证书的得</w:t>
            </w:r>
            <w:r>
              <w:rPr>
                <w:rFonts w:hint="eastAsia" w:ascii="Times New Roman" w:hAnsi="Times New Roman" w:eastAsia="hakuyoxingshu7000" w:cs="Times New Roman"/>
                <w:b w:val="0"/>
                <w:bCs w:val="0"/>
                <w:color w:val="auto"/>
                <w:kern w:val="2"/>
                <w:sz w:val="21"/>
                <w:szCs w:val="21"/>
                <w:highlight w:val="none"/>
                <w:lang w:val="en-US" w:eastAsia="zh-CN" w:bidi="ar-SA"/>
              </w:rPr>
              <w:t>0.5</w:t>
            </w:r>
            <w:r>
              <w:rPr>
                <w:rFonts w:hint="default" w:ascii="Times New Roman" w:hAnsi="Times New Roman" w:eastAsia="hakuyoxingshu7000" w:cs="Times New Roman"/>
                <w:b w:val="0"/>
                <w:bCs w:val="0"/>
                <w:color w:val="auto"/>
                <w:kern w:val="2"/>
                <w:sz w:val="21"/>
                <w:szCs w:val="21"/>
                <w:highlight w:val="none"/>
                <w:lang w:val="en-US" w:eastAsia="zh-CN" w:bidi="ar-SA"/>
              </w:rPr>
              <w:t>分。</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rPr>
                <w:rFonts w:hint="default" w:ascii="Times New Roman" w:hAnsi="Times New Roman" w:eastAsia="hakuyoxingshu7000" w:cs="Times New Roman"/>
                <w:b w:val="0"/>
                <w:bCs w:val="0"/>
                <w:color w:val="auto"/>
                <w:kern w:val="2"/>
                <w:sz w:val="21"/>
                <w:szCs w:val="21"/>
                <w:highlight w:val="none"/>
                <w:lang w:val="en-US" w:eastAsia="zh-CN" w:bidi="ar-SA"/>
              </w:rPr>
            </w:pPr>
            <w:r>
              <w:rPr>
                <w:rFonts w:hint="default" w:ascii="Times New Roman" w:hAnsi="Times New Roman" w:eastAsia="hakuyoxingshu7000" w:cs="Times New Roman"/>
                <w:b w:val="0"/>
                <w:bCs w:val="0"/>
                <w:color w:val="auto"/>
                <w:kern w:val="2"/>
                <w:sz w:val="21"/>
                <w:szCs w:val="21"/>
                <w:highlight w:val="none"/>
                <w:lang w:val="en-US" w:eastAsia="zh-CN" w:bidi="ar-SA"/>
              </w:rPr>
              <w:t>注：投标文件中须提供认证证书复印件并加盖</w:t>
            </w:r>
            <w:r>
              <w:rPr>
                <w:rFonts w:hint="eastAsia" w:ascii="Times New Roman" w:hAnsi="Times New Roman" w:eastAsia="hakuyoxingshu7000" w:cs="Times New Roman"/>
                <w:b w:val="0"/>
                <w:bCs w:val="0"/>
                <w:color w:val="auto"/>
                <w:kern w:val="2"/>
                <w:sz w:val="21"/>
                <w:szCs w:val="21"/>
                <w:highlight w:val="none"/>
                <w:lang w:val="en-US" w:eastAsia="zh-CN" w:bidi="ar-SA"/>
              </w:rPr>
              <w:t>投标人</w:t>
            </w:r>
            <w:r>
              <w:rPr>
                <w:rFonts w:hint="default" w:ascii="Times New Roman" w:hAnsi="Times New Roman" w:eastAsia="hakuyoxingshu7000" w:cs="Times New Roman"/>
                <w:b w:val="0"/>
                <w:bCs w:val="0"/>
                <w:color w:val="auto"/>
                <w:kern w:val="2"/>
                <w:sz w:val="21"/>
                <w:szCs w:val="21"/>
                <w:highlight w:val="none"/>
                <w:lang w:val="en-US" w:eastAsia="zh-CN" w:bidi="ar-SA"/>
              </w:rPr>
              <w:t>公章，未提供不得分。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92" w:type="dxa"/>
            <w:noWrap w:val="0"/>
            <w:vAlign w:val="center"/>
          </w:tcPr>
          <w:p>
            <w:pPr>
              <w:pStyle w:val="2"/>
              <w:keepNext w:val="0"/>
              <w:keepLines w:val="0"/>
              <w:pageBreakBefore w:val="0"/>
              <w:kinsoku/>
              <w:wordWrap/>
              <w:topLinePunct w:val="0"/>
              <w:autoSpaceDE/>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val="0"/>
                <w:spacing w:val="0"/>
                <w:kern w:val="0"/>
                <w:sz w:val="21"/>
                <w:szCs w:val="21"/>
                <w:highlight w:val="none"/>
                <w:lang w:val="en-US" w:eastAsia="zh-CN"/>
              </w:rPr>
            </w:pPr>
            <w:r>
              <w:rPr>
                <w:rFonts w:hint="default" w:ascii="Times New Roman" w:hAnsi="Times New Roman" w:eastAsia="宋体" w:cs="Times New Roman"/>
                <w:b/>
                <w:bCs w:val="0"/>
                <w:spacing w:val="0"/>
                <w:kern w:val="0"/>
                <w:sz w:val="21"/>
                <w:szCs w:val="21"/>
                <w:highlight w:val="none"/>
                <w:lang w:val="en-US" w:eastAsia="zh-CN"/>
              </w:rPr>
              <w:t>项目负责人能力</w:t>
            </w:r>
          </w:p>
          <w:p>
            <w:pPr>
              <w:pStyle w:val="2"/>
              <w:keepNext w:val="0"/>
              <w:keepLines w:val="0"/>
              <w:pageBreakBefore w:val="0"/>
              <w:kinsoku/>
              <w:wordWrap/>
              <w:topLinePunct w:val="0"/>
              <w:autoSpaceDE/>
              <w:bidi w:val="0"/>
              <w:adjustRightInd w:val="0"/>
              <w:snapToGrid w:val="0"/>
              <w:spacing w:after="0" w:line="240" w:lineRule="auto"/>
              <w:ind w:left="0" w:leftChars="0" w:firstLine="0" w:firstLineChars="0"/>
              <w:jc w:val="center"/>
              <w:textAlignment w:val="auto"/>
              <w:rPr>
                <w:rFonts w:hint="default" w:ascii="Times New Roman" w:hAnsi="Times New Roman" w:eastAsia="hakuyoxingshu7000" w:cs="Times New Roman"/>
                <w:b/>
                <w:bCs/>
                <w:color w:val="auto"/>
                <w:kern w:val="2"/>
                <w:sz w:val="21"/>
                <w:szCs w:val="21"/>
                <w:highlight w:val="none"/>
                <w:lang w:val="en-US" w:eastAsia="zh-CN" w:bidi="ar-SA"/>
              </w:rPr>
            </w:pPr>
            <w:r>
              <w:rPr>
                <w:rFonts w:hint="default" w:ascii="Times New Roman" w:hAnsi="Times New Roman" w:eastAsia="宋体" w:cs="Times New Roman"/>
                <w:b/>
                <w:bCs w:val="0"/>
                <w:spacing w:val="0"/>
                <w:kern w:val="0"/>
                <w:sz w:val="21"/>
                <w:szCs w:val="21"/>
                <w:highlight w:val="none"/>
                <w:lang w:val="en-US" w:eastAsia="zh-CN"/>
              </w:rPr>
              <w:t>（3分）</w:t>
            </w:r>
          </w:p>
        </w:tc>
        <w:tc>
          <w:tcPr>
            <w:tcW w:w="7176" w:type="dxa"/>
            <w:noWrap w:val="0"/>
            <w:vAlign w:val="center"/>
          </w:tcPr>
          <w:p>
            <w:pPr>
              <w:keepNext w:val="0"/>
              <w:keepLines w:val="0"/>
              <w:pageBreakBefore w:val="0"/>
              <w:widowControl/>
              <w:kinsoku/>
              <w:wordWrap/>
              <w:topLinePunct w:val="0"/>
              <w:autoSpaceDE/>
              <w:bidi w:val="0"/>
              <w:adjustRightInd w:val="0"/>
              <w:snapToGrid w:val="0"/>
              <w:spacing w:line="240" w:lineRule="auto"/>
              <w:ind w:left="0" w:leftChars="0"/>
              <w:jc w:val="left"/>
              <w:textAlignment w:val="auto"/>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投标人</w:t>
            </w:r>
            <w:r>
              <w:rPr>
                <w:rFonts w:hint="default" w:ascii="Times New Roman" w:hAnsi="Times New Roman" w:eastAsia="宋体" w:cs="Times New Roman"/>
                <w:szCs w:val="21"/>
                <w:highlight w:val="none"/>
                <w:lang w:val="en-US" w:eastAsia="zh-CN"/>
              </w:rPr>
              <w:t>拟派项目负责人具备信息系统项目管理师、</w:t>
            </w:r>
            <w:r>
              <w:rPr>
                <w:rFonts w:hint="default" w:ascii="Times New Roman" w:hAnsi="Times New Roman" w:cs="Times New Roman"/>
                <w:color w:val="000000"/>
                <w:highlight w:val="none"/>
              </w:rPr>
              <w:t>通信专业技术人员职业水平证书</w:t>
            </w:r>
            <w:r>
              <w:rPr>
                <w:rFonts w:hint="default" w:ascii="Times New Roman" w:hAnsi="Times New Roman" w:eastAsia="宋体" w:cs="Times New Roman"/>
                <w:szCs w:val="21"/>
                <w:highlight w:val="none"/>
                <w:lang w:val="en-US" w:eastAsia="zh-CN"/>
              </w:rPr>
              <w:t>、</w:t>
            </w:r>
            <w:r>
              <w:rPr>
                <w:rFonts w:hint="default" w:ascii="Times New Roman" w:hAnsi="Times New Roman" w:cs="Times New Roman"/>
                <w:color w:val="000000"/>
                <w:highlight w:val="none"/>
              </w:rPr>
              <w:t>网络工程师</w:t>
            </w:r>
            <w:r>
              <w:rPr>
                <w:rFonts w:hint="default" w:ascii="Times New Roman" w:hAnsi="Times New Roman" w:eastAsia="宋体" w:cs="Times New Roman"/>
                <w:szCs w:val="21"/>
                <w:highlight w:val="none"/>
                <w:lang w:val="en-US" w:eastAsia="zh-CN"/>
              </w:rPr>
              <w:t>的，每提供1个得1分，最高得3分。</w:t>
            </w:r>
          </w:p>
          <w:p>
            <w:pPr>
              <w:keepNext w:val="0"/>
              <w:keepLines w:val="0"/>
              <w:pageBreakBefore w:val="0"/>
              <w:widowControl/>
              <w:kinsoku/>
              <w:wordWrap/>
              <w:topLinePunct w:val="0"/>
              <w:autoSpaceDE/>
              <w:bidi w:val="0"/>
              <w:adjustRightInd w:val="0"/>
              <w:snapToGrid w:val="0"/>
              <w:spacing w:line="240" w:lineRule="auto"/>
              <w:ind w:left="0" w:leftChars="0"/>
              <w:jc w:val="left"/>
              <w:textAlignment w:val="auto"/>
              <w:rPr>
                <w:rFonts w:hint="default" w:ascii="Times New Roman" w:hAnsi="Times New Roman" w:eastAsia="hakuyoxingshu7000" w:cs="Times New Roman"/>
                <w:b/>
                <w:bCs/>
                <w:color w:val="auto"/>
                <w:kern w:val="2"/>
                <w:sz w:val="21"/>
                <w:szCs w:val="21"/>
                <w:highlight w:val="none"/>
                <w:lang w:val="en-US" w:eastAsia="zh-CN" w:bidi="ar-SA"/>
              </w:rPr>
            </w:pPr>
            <w:r>
              <w:rPr>
                <w:rFonts w:hint="default" w:ascii="Times New Roman" w:hAnsi="Times New Roman" w:eastAsia="宋体" w:cs="Times New Roman"/>
                <w:szCs w:val="21"/>
                <w:highlight w:val="none"/>
                <w:lang w:val="en-US" w:eastAsia="zh-CN"/>
              </w:rPr>
              <w:t>注：投标文件须提供上述证书复印件并加盖</w:t>
            </w:r>
            <w:r>
              <w:rPr>
                <w:rFonts w:hint="eastAsia" w:ascii="Times New Roman" w:hAnsi="Times New Roman" w:eastAsia="宋体" w:cs="Times New Roman"/>
                <w:szCs w:val="21"/>
                <w:highlight w:val="none"/>
                <w:lang w:val="en-US" w:eastAsia="zh-CN"/>
              </w:rPr>
              <w:t>投标人</w:t>
            </w:r>
            <w:r>
              <w:rPr>
                <w:rFonts w:hint="default" w:ascii="Times New Roman" w:hAnsi="Times New Roman" w:eastAsia="宋体" w:cs="Times New Roman"/>
                <w:szCs w:val="21"/>
                <w:highlight w:val="none"/>
                <w:lang w:val="en-US" w:eastAsia="zh-CN"/>
              </w:rPr>
              <w:t>公章，项目负责人必须为</w:t>
            </w:r>
            <w:r>
              <w:rPr>
                <w:rFonts w:hint="eastAsia" w:ascii="Times New Roman" w:hAnsi="Times New Roman" w:eastAsia="宋体" w:cs="Times New Roman"/>
                <w:szCs w:val="21"/>
                <w:highlight w:val="none"/>
                <w:lang w:val="en-US" w:eastAsia="zh-CN"/>
              </w:rPr>
              <w:t>投标人</w:t>
            </w:r>
            <w:r>
              <w:rPr>
                <w:rFonts w:hint="default" w:ascii="Times New Roman" w:hAnsi="Times New Roman" w:eastAsia="宋体" w:cs="Times New Roman"/>
                <w:szCs w:val="21"/>
                <w:highlight w:val="none"/>
                <w:lang w:val="en-US" w:eastAsia="zh-CN"/>
              </w:rPr>
              <w:t>本单位人员，提供开标前近三个月任意一个月的社保证明并加盖</w:t>
            </w:r>
            <w:r>
              <w:rPr>
                <w:rFonts w:hint="eastAsia" w:ascii="Times New Roman" w:hAnsi="Times New Roman" w:eastAsia="宋体" w:cs="Times New Roman"/>
                <w:szCs w:val="21"/>
                <w:highlight w:val="none"/>
                <w:lang w:val="en-US" w:eastAsia="zh-CN"/>
              </w:rPr>
              <w:t>投标人</w:t>
            </w:r>
            <w:r>
              <w:rPr>
                <w:rFonts w:hint="default" w:ascii="Times New Roman" w:hAnsi="Times New Roman" w:eastAsia="宋体" w:cs="Times New Roman"/>
                <w:szCs w:val="21"/>
                <w:highlight w:val="none"/>
                <w:lang w:val="en-US" w:eastAsia="zh-CN"/>
              </w:rPr>
              <w:t>公章，未提供的不得分。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92" w:type="dxa"/>
            <w:noWrap w:val="0"/>
            <w:vAlign w:val="center"/>
          </w:tcPr>
          <w:p>
            <w:pPr>
              <w:spacing w:line="300" w:lineRule="exact"/>
              <w:jc w:val="center"/>
              <w:outlineLvl w:val="9"/>
              <w:rPr>
                <w:rFonts w:hint="default" w:ascii="Times New Roman" w:hAnsi="Times New Roman" w:eastAsia="宋体" w:cs="Times New Roman"/>
                <w:b/>
                <w:bCs/>
                <w:spacing w:val="0"/>
                <w:sz w:val="21"/>
                <w:szCs w:val="21"/>
                <w:highlight w:val="none"/>
                <w:lang w:val="en-US" w:eastAsia="zh-CN"/>
              </w:rPr>
            </w:pPr>
            <w:r>
              <w:rPr>
                <w:rFonts w:hint="default" w:ascii="Times New Roman" w:hAnsi="Times New Roman" w:eastAsia="宋体" w:cs="Times New Roman"/>
                <w:b/>
                <w:bCs/>
                <w:spacing w:val="0"/>
                <w:sz w:val="21"/>
                <w:szCs w:val="21"/>
                <w:highlight w:val="none"/>
                <w:lang w:val="en-US" w:eastAsia="zh-CN"/>
              </w:rPr>
              <w:t>项目组成员</w:t>
            </w:r>
          </w:p>
          <w:p>
            <w:pPr>
              <w:spacing w:line="300" w:lineRule="exact"/>
              <w:jc w:val="center"/>
              <w:outlineLvl w:val="9"/>
              <w:rPr>
                <w:rFonts w:hint="default" w:ascii="Times New Roman" w:hAnsi="Times New Roman" w:eastAsia="hakuyoxingshu7000" w:cs="Times New Roman"/>
                <w:b/>
                <w:bCs/>
                <w:color w:val="auto"/>
                <w:szCs w:val="21"/>
                <w:highlight w:val="none"/>
                <w:lang w:eastAsia="zh-CN"/>
              </w:rPr>
            </w:pPr>
            <w:r>
              <w:rPr>
                <w:rFonts w:hint="default" w:ascii="Times New Roman" w:hAnsi="Times New Roman" w:eastAsia="宋体" w:cs="Times New Roman"/>
                <w:b/>
                <w:bCs/>
                <w:spacing w:val="0"/>
                <w:sz w:val="21"/>
                <w:szCs w:val="21"/>
                <w:highlight w:val="none"/>
                <w:lang w:val="en-US" w:eastAsia="zh-CN"/>
              </w:rPr>
              <w:t>（</w:t>
            </w:r>
            <w:r>
              <w:rPr>
                <w:rFonts w:hint="default" w:ascii="Times New Roman" w:hAnsi="Times New Roman" w:cs="Times New Roman"/>
                <w:b/>
                <w:bCs/>
                <w:spacing w:val="0"/>
                <w:sz w:val="21"/>
                <w:szCs w:val="21"/>
                <w:highlight w:val="none"/>
                <w:lang w:val="en-US" w:eastAsia="zh-CN"/>
              </w:rPr>
              <w:t>3</w:t>
            </w:r>
            <w:r>
              <w:rPr>
                <w:rFonts w:hint="default" w:ascii="Times New Roman" w:hAnsi="Times New Roman" w:eastAsia="宋体" w:cs="Times New Roman"/>
                <w:b/>
                <w:bCs/>
                <w:spacing w:val="0"/>
                <w:sz w:val="21"/>
                <w:szCs w:val="21"/>
                <w:highlight w:val="none"/>
                <w:lang w:val="en-US" w:eastAsia="zh-CN"/>
              </w:rPr>
              <w:t>分）</w:t>
            </w:r>
          </w:p>
        </w:tc>
        <w:tc>
          <w:tcPr>
            <w:tcW w:w="7176" w:type="dxa"/>
            <w:noWrap w:val="0"/>
            <w:vAlign w:val="center"/>
          </w:tcPr>
          <w:p>
            <w:pPr>
              <w:keepNext w:val="0"/>
              <w:keepLines w:val="0"/>
              <w:pageBreakBefore w:val="0"/>
              <w:widowControl/>
              <w:kinsoku/>
              <w:wordWrap/>
              <w:topLinePunct w:val="0"/>
              <w:autoSpaceDE/>
              <w:bidi w:val="0"/>
              <w:adjustRightInd w:val="0"/>
              <w:snapToGrid w:val="0"/>
              <w:spacing w:line="240" w:lineRule="auto"/>
              <w:ind w:left="0" w:leftChars="0"/>
              <w:jc w:val="left"/>
              <w:textAlignment w:val="auto"/>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项目组成员（除项目负责人外）</w:t>
            </w:r>
            <w:r>
              <w:rPr>
                <w:rFonts w:hint="default" w:ascii="Times New Roman" w:hAnsi="Times New Roman" w:cs="Times New Roman"/>
                <w:szCs w:val="21"/>
                <w:highlight w:val="none"/>
                <w:lang w:val="en-US" w:eastAsia="zh-CN"/>
              </w:rPr>
              <w:t>具有</w:t>
            </w:r>
            <w:r>
              <w:rPr>
                <w:rFonts w:hint="default" w:ascii="Times New Roman" w:hAnsi="Times New Roman" w:eastAsia="宋体" w:cs="Times New Roman"/>
                <w:szCs w:val="21"/>
                <w:highlight w:val="none"/>
                <w:lang w:val="en-US" w:eastAsia="zh-CN"/>
              </w:rPr>
              <w:t>①具有</w:t>
            </w:r>
            <w:r>
              <w:rPr>
                <w:rFonts w:hint="default" w:ascii="Times New Roman" w:hAnsi="Times New Roman" w:cs="Times New Roman"/>
                <w:color w:val="000000"/>
                <w:highlight w:val="none"/>
              </w:rPr>
              <w:t>数据库系统工程师</w:t>
            </w:r>
            <w:r>
              <w:rPr>
                <w:rFonts w:hint="default" w:ascii="Times New Roman" w:hAnsi="Times New Roman" w:eastAsia="宋体" w:cs="Times New Roman"/>
                <w:szCs w:val="21"/>
                <w:highlight w:val="none"/>
                <w:lang w:val="en-US" w:eastAsia="zh-CN"/>
              </w:rPr>
              <w:t>；②具有</w:t>
            </w:r>
            <w:r>
              <w:rPr>
                <w:rFonts w:hint="default" w:ascii="Times New Roman" w:hAnsi="Times New Roman" w:cs="Times New Roman"/>
                <w:color w:val="000000"/>
                <w:highlight w:val="none"/>
              </w:rPr>
              <w:t>网络规划师证书</w:t>
            </w:r>
            <w:r>
              <w:rPr>
                <w:rFonts w:hint="default" w:ascii="Times New Roman" w:hAnsi="Times New Roman" w:eastAsia="宋体" w:cs="Times New Roman"/>
                <w:szCs w:val="21"/>
                <w:highlight w:val="none"/>
                <w:lang w:val="en-US" w:eastAsia="zh-CN"/>
              </w:rPr>
              <w:t>；③具有</w:t>
            </w:r>
            <w:r>
              <w:rPr>
                <w:rFonts w:hint="default" w:ascii="Times New Roman" w:hAnsi="Times New Roman" w:cs="Times New Roman"/>
                <w:color w:val="000000"/>
                <w:highlight w:val="none"/>
              </w:rPr>
              <w:t>信息安全技术水平证书</w:t>
            </w:r>
            <w:r>
              <w:rPr>
                <w:rFonts w:hint="default" w:ascii="Times New Roman" w:hAnsi="Times New Roman" w:eastAsia="宋体" w:cs="Times New Roman"/>
                <w:szCs w:val="21"/>
                <w:highlight w:val="none"/>
                <w:lang w:val="en-US" w:eastAsia="zh-CN"/>
              </w:rPr>
              <w:t>；</w:t>
            </w:r>
          </w:p>
          <w:p>
            <w:pPr>
              <w:keepNext w:val="0"/>
              <w:keepLines w:val="0"/>
              <w:pageBreakBefore w:val="0"/>
              <w:widowControl/>
              <w:kinsoku/>
              <w:wordWrap/>
              <w:topLinePunct w:val="0"/>
              <w:autoSpaceDE/>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项目组成员中每一人满足上述一个条件的得</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分，同一人只能计一次分。本项最多得</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分。</w:t>
            </w:r>
          </w:p>
          <w:p>
            <w:pPr>
              <w:keepNext w:val="0"/>
              <w:keepLines w:val="0"/>
              <w:pageBreakBefore w:val="0"/>
              <w:widowControl/>
              <w:kinsoku/>
              <w:wordWrap/>
              <w:topLinePunct w:val="0"/>
              <w:autoSpaceDE/>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注：投标文件中提供上述证书复印件和项目组成员（除项目负责人外）开标前三个月内任意一个月投标人为其缴纳的社保证明复印件。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792" w:type="dxa"/>
            <w:noWrap w:val="0"/>
            <w:vAlign w:val="center"/>
          </w:tcPr>
          <w:p>
            <w:pPr>
              <w:spacing w:line="300" w:lineRule="exact"/>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供货方案</w:t>
            </w:r>
          </w:p>
          <w:p>
            <w:pPr>
              <w:spacing w:line="300" w:lineRule="exact"/>
              <w:jc w:val="center"/>
              <w:rPr>
                <w:rFonts w:hint="default" w:ascii="Times New Roman" w:hAnsi="Times New Roman" w:eastAsia="hakuyoxingshu7000"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zh-CN"/>
              </w:rPr>
              <w:t>（</w:t>
            </w:r>
            <w:r>
              <w:rPr>
                <w:rFonts w:hint="eastAsia"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lang w:val="en-US" w:eastAsia="zh-CN"/>
              </w:rPr>
              <w:t>分</w:t>
            </w:r>
            <w:r>
              <w:rPr>
                <w:rFonts w:hint="default" w:ascii="Times New Roman" w:hAnsi="Times New Roman" w:eastAsia="宋体" w:cs="Times New Roman"/>
                <w:b/>
                <w:bCs/>
                <w:color w:val="auto"/>
                <w:szCs w:val="21"/>
                <w:highlight w:val="none"/>
                <w:lang w:val="zh-CN"/>
              </w:rPr>
              <w:t>）</w:t>
            </w:r>
          </w:p>
        </w:tc>
        <w:tc>
          <w:tcPr>
            <w:tcW w:w="7176" w:type="dxa"/>
            <w:noWrap w:val="0"/>
            <w:vAlign w:val="center"/>
          </w:tcPr>
          <w:p>
            <w:pPr>
              <w:spacing w:line="300" w:lineRule="exact"/>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根据各投标人针对本项目特点</w:t>
            </w:r>
            <w:r>
              <w:rPr>
                <w:rFonts w:hint="default" w:ascii="Times New Roman" w:hAnsi="Times New Roman" w:eastAsia="宋体" w:cs="Times New Roman"/>
                <w:b w:val="0"/>
                <w:bCs w:val="0"/>
                <w:color w:val="auto"/>
                <w:sz w:val="21"/>
                <w:szCs w:val="21"/>
                <w:highlight w:val="none"/>
                <w:lang w:val="en-US" w:eastAsia="zh-CN"/>
              </w:rPr>
              <w:t>质量保证</w:t>
            </w:r>
            <w:r>
              <w:rPr>
                <w:rFonts w:hint="default" w:ascii="Times New Roman" w:hAnsi="Times New Roman" w:eastAsia="宋体" w:cs="Times New Roman"/>
                <w:b w:val="0"/>
                <w:bCs w:val="0"/>
                <w:color w:val="auto"/>
                <w:sz w:val="21"/>
                <w:szCs w:val="21"/>
                <w:highlight w:val="none"/>
                <w:lang w:val="en-US" w:eastAsia="zh-CN"/>
              </w:rPr>
              <w:t>（内容完整</w:t>
            </w:r>
            <w:r>
              <w:rPr>
                <w:rFonts w:hint="default" w:ascii="Times New Roman" w:hAnsi="Times New Roman" w:eastAsia="宋体" w:cs="Times New Roman"/>
                <w:color w:val="auto"/>
                <w:kern w:val="2"/>
                <w:sz w:val="21"/>
                <w:szCs w:val="21"/>
                <w:highlight w:val="none"/>
                <w:lang w:val="en-US" w:eastAsia="zh-CN" w:bidi="ar-SA"/>
              </w:rPr>
              <w:t>得</w:t>
            </w:r>
            <w:r>
              <w:rPr>
                <w:rFonts w:hint="eastAsia"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分，欠完整</w:t>
            </w:r>
            <w:r>
              <w:rPr>
                <w:rFonts w:hint="default" w:ascii="Times New Roman" w:hAnsi="Times New Roman" w:eastAsia="宋体" w:cs="Times New Roman"/>
                <w:color w:val="auto"/>
                <w:kern w:val="2"/>
                <w:sz w:val="21"/>
                <w:szCs w:val="21"/>
                <w:highlight w:val="none"/>
                <w:lang w:val="en-US" w:eastAsia="zh-CN" w:bidi="ar-SA"/>
              </w:rPr>
              <w:t>得</w:t>
            </w:r>
            <w:r>
              <w:rPr>
                <w:rFonts w:hint="default" w:ascii="Times New Roman" w:hAnsi="Times New Roman" w:eastAsia="宋体" w:cs="Times New Roman"/>
                <w:b w:val="0"/>
                <w:bCs w:val="0"/>
                <w:color w:val="auto"/>
                <w:sz w:val="21"/>
                <w:szCs w:val="21"/>
                <w:highlight w:val="none"/>
                <w:lang w:val="en-US" w:eastAsia="zh-CN"/>
              </w:rPr>
              <w:t>1分）、方面编制的供货方案进行</w:t>
            </w:r>
            <w:r>
              <w:rPr>
                <w:rFonts w:hint="default" w:ascii="Times New Roman" w:hAnsi="Times New Roman" w:eastAsia="宋体" w:cs="Times New Roman"/>
                <w:color w:val="auto"/>
                <w:kern w:val="2"/>
                <w:sz w:val="21"/>
                <w:szCs w:val="21"/>
                <w:highlight w:val="none"/>
                <w:lang w:val="en-US" w:eastAsia="zh-CN" w:bidi="ar-SA"/>
              </w:rPr>
              <w:t>评定</w:t>
            </w:r>
            <w:r>
              <w:rPr>
                <w:rFonts w:hint="default" w:ascii="Times New Roman" w:hAnsi="Times New Roman" w:eastAsia="宋体" w:cs="Times New Roman"/>
                <w:b w:val="0"/>
                <w:bCs w:val="0"/>
                <w:color w:val="auto"/>
                <w:sz w:val="21"/>
                <w:szCs w:val="21"/>
                <w:highlight w:val="none"/>
                <w:lang w:val="en-US" w:eastAsia="zh-CN"/>
              </w:rPr>
              <w:t>。</w:t>
            </w:r>
          </w:p>
          <w:p>
            <w:pPr>
              <w:spacing w:line="300" w:lineRule="exact"/>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注：</w:t>
            </w:r>
            <w:r>
              <w:rPr>
                <w:rFonts w:hint="default" w:ascii="Times New Roman" w:hAnsi="Times New Roman" w:eastAsia="宋体" w:cs="Times New Roman"/>
                <w:color w:val="auto"/>
                <w:kern w:val="2"/>
                <w:sz w:val="21"/>
                <w:szCs w:val="21"/>
                <w:highlight w:val="none"/>
                <w:lang w:val="en-US" w:eastAsia="zh-CN" w:bidi="ar-SA"/>
              </w:rPr>
              <w:t>对各投标人提供的内容进行横向对比，无内容的不得分。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jc w:val="center"/>
        </w:trPr>
        <w:tc>
          <w:tcPr>
            <w:tcW w:w="1792" w:type="dxa"/>
            <w:noWrap w:val="0"/>
            <w:vAlign w:val="center"/>
          </w:tcPr>
          <w:p>
            <w:pPr>
              <w:spacing w:line="300" w:lineRule="exact"/>
              <w:jc w:val="center"/>
              <w:rPr>
                <w:rFonts w:hint="default" w:ascii="Times New Roman" w:hAnsi="Times New Roman" w:eastAsia="hakuyoxingshu7000" w:cs="Times New Roman"/>
                <w:b/>
                <w:bCs/>
                <w:color w:val="auto"/>
                <w:szCs w:val="21"/>
                <w:highlight w:val="none"/>
                <w:lang w:val="zh-CN"/>
              </w:rPr>
            </w:pPr>
            <w:r>
              <w:rPr>
                <w:rFonts w:hint="default" w:ascii="Times New Roman" w:hAnsi="Times New Roman" w:eastAsia="hakuyoxingshu7000" w:cs="Times New Roman"/>
                <w:b/>
                <w:bCs/>
                <w:color w:val="auto"/>
                <w:szCs w:val="21"/>
                <w:highlight w:val="none"/>
                <w:lang w:val="zh-CN"/>
              </w:rPr>
              <w:t>安装调试方案、技术培训方案</w:t>
            </w:r>
          </w:p>
          <w:p>
            <w:pPr>
              <w:spacing w:line="300" w:lineRule="exact"/>
              <w:jc w:val="center"/>
              <w:rPr>
                <w:rFonts w:hint="default" w:ascii="Times New Roman" w:hAnsi="Times New Roman" w:eastAsia="hakuyoxingshu7000" w:cs="Times New Roman"/>
                <w:b/>
                <w:bCs/>
                <w:color w:val="auto"/>
                <w:kern w:val="2"/>
                <w:sz w:val="21"/>
                <w:szCs w:val="21"/>
                <w:highlight w:val="none"/>
                <w:lang w:val="zh-CN" w:eastAsia="zh-CN" w:bidi="ar-SA"/>
              </w:rPr>
            </w:pPr>
            <w:r>
              <w:rPr>
                <w:rFonts w:hint="default" w:ascii="Times New Roman" w:hAnsi="Times New Roman" w:eastAsia="hakuyoxingshu7000" w:cs="Times New Roman"/>
                <w:b/>
                <w:bCs/>
                <w:color w:val="auto"/>
                <w:szCs w:val="21"/>
                <w:highlight w:val="none"/>
                <w:lang w:val="zh-CN"/>
              </w:rPr>
              <w:t>（</w:t>
            </w:r>
            <w:r>
              <w:rPr>
                <w:rFonts w:hint="eastAsia" w:ascii="Times New Roman" w:hAnsi="Times New Roman" w:eastAsia="hakuyoxingshu7000" w:cs="Times New Roman"/>
                <w:b/>
                <w:bCs/>
                <w:color w:val="auto"/>
                <w:szCs w:val="21"/>
                <w:highlight w:val="none"/>
                <w:lang w:val="en-US" w:eastAsia="zh-CN"/>
              </w:rPr>
              <w:t>3</w:t>
            </w:r>
            <w:r>
              <w:rPr>
                <w:rFonts w:hint="default" w:ascii="Times New Roman" w:hAnsi="Times New Roman" w:eastAsia="hakuyoxingshu7000" w:cs="Times New Roman"/>
                <w:b/>
                <w:bCs/>
                <w:color w:val="auto"/>
                <w:szCs w:val="21"/>
                <w:highlight w:val="none"/>
                <w:lang w:val="zh-CN"/>
              </w:rPr>
              <w:t>分）</w:t>
            </w:r>
          </w:p>
        </w:tc>
        <w:tc>
          <w:tcPr>
            <w:tcW w:w="7176" w:type="dxa"/>
            <w:noWrap w:val="0"/>
            <w:vAlign w:val="center"/>
          </w:tcPr>
          <w:p>
            <w:pPr>
              <w:spacing w:line="300" w:lineRule="exact"/>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根据投标人提供的安装调试</w:t>
            </w:r>
            <w:r>
              <w:rPr>
                <w:rFonts w:hint="eastAsia" w:ascii="Times New Roman" w:hAnsi="Times New Roman" w:eastAsia="宋体" w:cs="Times New Roman"/>
                <w:b w:val="0"/>
                <w:bCs w:val="0"/>
                <w:color w:val="auto"/>
                <w:sz w:val="21"/>
                <w:szCs w:val="21"/>
                <w:highlight w:val="none"/>
                <w:lang w:val="en-US" w:eastAsia="zh-CN"/>
              </w:rPr>
              <w:t>及技术培训</w:t>
            </w:r>
            <w:r>
              <w:rPr>
                <w:rFonts w:hint="default" w:ascii="Times New Roman" w:hAnsi="Times New Roman" w:eastAsia="宋体" w:cs="Times New Roman"/>
                <w:b w:val="0"/>
                <w:bCs w:val="0"/>
                <w:color w:val="auto"/>
                <w:sz w:val="21"/>
                <w:szCs w:val="21"/>
                <w:highlight w:val="none"/>
                <w:lang w:val="en-US" w:eastAsia="zh-CN"/>
              </w:rPr>
              <w:t>方案的完整性（3分）（完整</w:t>
            </w:r>
            <w:r>
              <w:rPr>
                <w:rFonts w:hint="default" w:ascii="Times New Roman" w:hAnsi="Times New Roman" w:eastAsia="宋体" w:cs="Times New Roman"/>
                <w:color w:val="auto"/>
                <w:kern w:val="2"/>
                <w:sz w:val="21"/>
                <w:szCs w:val="21"/>
                <w:highlight w:val="none"/>
                <w:lang w:val="en-US" w:eastAsia="zh-CN" w:bidi="ar-SA"/>
              </w:rPr>
              <w:t>得</w:t>
            </w:r>
            <w:r>
              <w:rPr>
                <w:rFonts w:hint="default" w:ascii="Times New Roman" w:hAnsi="Times New Roman" w:eastAsia="宋体" w:cs="Times New Roman"/>
                <w:b w:val="0"/>
                <w:bCs w:val="0"/>
                <w:color w:val="auto"/>
                <w:sz w:val="21"/>
                <w:szCs w:val="21"/>
                <w:highlight w:val="none"/>
                <w:lang w:val="en-US" w:eastAsia="zh-CN"/>
              </w:rPr>
              <w:t>3分，欠完整</w:t>
            </w:r>
            <w:r>
              <w:rPr>
                <w:rFonts w:hint="default" w:ascii="Times New Roman" w:hAnsi="Times New Roman" w:eastAsia="宋体" w:cs="Times New Roman"/>
                <w:color w:val="auto"/>
                <w:kern w:val="2"/>
                <w:sz w:val="21"/>
                <w:szCs w:val="21"/>
                <w:highlight w:val="none"/>
                <w:lang w:val="en-US" w:eastAsia="zh-CN" w:bidi="ar-SA"/>
              </w:rPr>
              <w:t>得</w:t>
            </w:r>
            <w:r>
              <w:rPr>
                <w:rFonts w:hint="default" w:ascii="Times New Roman" w:hAnsi="Times New Roman" w:eastAsia="宋体" w:cs="Times New Roman"/>
                <w:b w:val="0"/>
                <w:bCs w:val="0"/>
                <w:color w:val="auto"/>
                <w:sz w:val="21"/>
                <w:szCs w:val="21"/>
                <w:highlight w:val="none"/>
                <w:lang w:val="en-US" w:eastAsia="zh-CN"/>
              </w:rPr>
              <w:t>1分）进行</w:t>
            </w:r>
            <w:r>
              <w:rPr>
                <w:rFonts w:hint="default" w:ascii="Times New Roman" w:hAnsi="Times New Roman" w:eastAsia="宋体" w:cs="Times New Roman"/>
                <w:color w:val="auto"/>
                <w:kern w:val="2"/>
                <w:sz w:val="21"/>
                <w:szCs w:val="21"/>
                <w:highlight w:val="none"/>
                <w:lang w:val="en-US" w:eastAsia="zh-CN" w:bidi="ar-SA"/>
              </w:rPr>
              <w:t>评定</w:t>
            </w:r>
            <w:r>
              <w:rPr>
                <w:rFonts w:hint="default" w:ascii="Times New Roman" w:hAnsi="Times New Roman" w:eastAsia="宋体" w:cs="Times New Roman"/>
                <w:b w:val="0"/>
                <w:bCs w:val="0"/>
                <w:color w:val="auto"/>
                <w:sz w:val="21"/>
                <w:szCs w:val="21"/>
                <w:highlight w:val="none"/>
                <w:lang w:val="en-US" w:eastAsia="zh-CN"/>
              </w:rPr>
              <w:t>。</w:t>
            </w:r>
          </w:p>
          <w:p>
            <w:pPr>
              <w:spacing w:line="300" w:lineRule="exact"/>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注：</w:t>
            </w:r>
            <w:r>
              <w:rPr>
                <w:rFonts w:hint="default" w:ascii="Times New Roman" w:hAnsi="Times New Roman" w:eastAsia="宋体" w:cs="Times New Roman"/>
                <w:color w:val="auto"/>
                <w:kern w:val="2"/>
                <w:sz w:val="21"/>
                <w:szCs w:val="21"/>
                <w:highlight w:val="none"/>
                <w:lang w:val="en-US" w:eastAsia="zh-CN" w:bidi="ar-SA"/>
              </w:rPr>
              <w:t>对各投标人提供的内容进行横向对比，无内容的不得分。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1792" w:type="dxa"/>
            <w:noWrap w:val="0"/>
            <w:vAlign w:val="center"/>
          </w:tcPr>
          <w:p>
            <w:pPr>
              <w:spacing w:line="300" w:lineRule="exact"/>
              <w:jc w:val="center"/>
              <w:rPr>
                <w:rFonts w:hint="default" w:ascii="Times New Roman" w:hAnsi="Times New Roman" w:eastAsia="hakuyoxingshu7000" w:cs="Times New Roman"/>
                <w:b/>
                <w:bCs/>
                <w:color w:val="auto"/>
                <w:szCs w:val="21"/>
                <w:highlight w:val="none"/>
                <w:lang w:val="zh-CN"/>
              </w:rPr>
            </w:pPr>
            <w:r>
              <w:rPr>
                <w:rFonts w:hint="default" w:ascii="Times New Roman" w:hAnsi="Times New Roman" w:eastAsia="hakuyoxingshu7000" w:cs="Times New Roman"/>
                <w:b/>
                <w:bCs/>
                <w:color w:val="auto"/>
                <w:szCs w:val="21"/>
                <w:highlight w:val="none"/>
                <w:lang w:val="zh-CN"/>
              </w:rPr>
              <w:t>售后服务方案</w:t>
            </w:r>
          </w:p>
          <w:p>
            <w:pPr>
              <w:spacing w:line="300" w:lineRule="exact"/>
              <w:jc w:val="center"/>
              <w:rPr>
                <w:rFonts w:hint="default" w:ascii="Times New Roman" w:hAnsi="Times New Roman" w:eastAsia="hakuyoxingshu7000" w:cs="Times New Roman"/>
                <w:b/>
                <w:bCs/>
                <w:color w:val="auto"/>
                <w:szCs w:val="21"/>
                <w:highlight w:val="none"/>
                <w:lang w:val="zh-CN"/>
              </w:rPr>
            </w:pPr>
            <w:r>
              <w:rPr>
                <w:rFonts w:hint="default" w:ascii="Times New Roman" w:hAnsi="Times New Roman" w:eastAsia="hakuyoxingshu7000" w:cs="Times New Roman"/>
                <w:b/>
                <w:bCs/>
                <w:color w:val="auto"/>
                <w:szCs w:val="21"/>
                <w:highlight w:val="none"/>
                <w:lang w:val="zh-CN"/>
              </w:rPr>
              <w:t>（</w:t>
            </w:r>
            <w:r>
              <w:rPr>
                <w:rFonts w:hint="eastAsia" w:ascii="Times New Roman" w:hAnsi="Times New Roman" w:eastAsia="hakuyoxingshu7000" w:cs="Times New Roman"/>
                <w:b/>
                <w:bCs/>
                <w:color w:val="auto"/>
                <w:szCs w:val="21"/>
                <w:highlight w:val="none"/>
                <w:lang w:val="en-US" w:eastAsia="zh-CN"/>
              </w:rPr>
              <w:t>2</w:t>
            </w:r>
            <w:r>
              <w:rPr>
                <w:rFonts w:hint="default" w:ascii="Times New Roman" w:hAnsi="Times New Roman" w:eastAsia="hakuyoxingshu7000" w:cs="Times New Roman"/>
                <w:b/>
                <w:bCs/>
                <w:color w:val="auto"/>
                <w:szCs w:val="21"/>
                <w:highlight w:val="none"/>
                <w:lang w:val="zh-CN"/>
              </w:rPr>
              <w:t>分）</w:t>
            </w:r>
          </w:p>
        </w:tc>
        <w:tc>
          <w:tcPr>
            <w:tcW w:w="7176" w:type="dxa"/>
            <w:noWrap w:val="0"/>
            <w:vAlign w:val="center"/>
          </w:tcPr>
          <w:p>
            <w:pPr>
              <w:spacing w:line="300" w:lineRule="exact"/>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根据各投标人针对本项目</w:t>
            </w:r>
            <w:r>
              <w:rPr>
                <w:rFonts w:hint="default" w:ascii="Times New Roman" w:hAnsi="Times New Roman" w:eastAsia="宋体" w:cs="Times New Roman"/>
                <w:b w:val="0"/>
                <w:bCs w:val="0"/>
                <w:color w:val="auto"/>
                <w:sz w:val="21"/>
                <w:szCs w:val="21"/>
                <w:highlight w:val="none"/>
                <w:lang w:val="en-US" w:eastAsia="zh-CN"/>
              </w:rPr>
              <w:t>服务便捷性</w:t>
            </w:r>
            <w:r>
              <w:rPr>
                <w:rFonts w:hint="default" w:ascii="Times New Roman" w:hAnsi="Times New Roman" w:eastAsia="宋体" w:cs="Times New Roman"/>
                <w:b w:val="0"/>
                <w:bCs w:val="0"/>
                <w:color w:val="auto"/>
                <w:sz w:val="21"/>
                <w:szCs w:val="21"/>
                <w:highlight w:val="none"/>
                <w:lang w:val="en-US" w:eastAsia="zh-CN"/>
              </w:rPr>
              <w:t>（内容完整得</w:t>
            </w:r>
            <w:r>
              <w:rPr>
                <w:rFonts w:hint="eastAsia"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val="en-US" w:eastAsia="zh-CN"/>
              </w:rPr>
              <w:t>分，欠完整得1分。</w:t>
            </w:r>
            <w:r>
              <w:rPr>
                <w:rFonts w:hint="default" w:ascii="Times New Roman" w:hAnsi="Times New Roman" w:eastAsia="宋体" w:cs="Times New Roman"/>
                <w:kern w:val="2"/>
                <w:sz w:val="21"/>
                <w:szCs w:val="24"/>
                <w:highlight w:val="none"/>
                <w:lang w:val="en-US" w:eastAsia="zh-CN"/>
              </w:rPr>
              <w:t>下同</w:t>
            </w:r>
            <w:r>
              <w:rPr>
                <w:rFonts w:hint="default" w:ascii="Times New Roman" w:hAnsi="Times New Roman" w:eastAsia="宋体" w:cs="Times New Roman"/>
                <w:b w:val="0"/>
                <w:bCs w:val="0"/>
                <w:color w:val="auto"/>
                <w:sz w:val="21"/>
                <w:szCs w:val="21"/>
                <w:highlight w:val="none"/>
                <w:lang w:val="en-US" w:eastAsia="zh-CN"/>
              </w:rPr>
              <w:t>）方面制定的售后服务方案进行</w:t>
            </w:r>
            <w:r>
              <w:rPr>
                <w:rFonts w:hint="default" w:ascii="Times New Roman" w:hAnsi="Times New Roman" w:eastAsia="宋体" w:cs="Times New Roman"/>
                <w:color w:val="auto"/>
                <w:kern w:val="2"/>
                <w:sz w:val="21"/>
                <w:szCs w:val="21"/>
                <w:highlight w:val="none"/>
                <w:lang w:val="en-US" w:eastAsia="zh-CN" w:bidi="ar-SA"/>
              </w:rPr>
              <w:t>评定</w:t>
            </w:r>
            <w:r>
              <w:rPr>
                <w:rFonts w:hint="default" w:ascii="Times New Roman" w:hAnsi="Times New Roman" w:eastAsia="宋体" w:cs="Times New Roman"/>
                <w:b w:val="0"/>
                <w:bCs w:val="0"/>
                <w:color w:val="auto"/>
                <w:sz w:val="21"/>
                <w:szCs w:val="21"/>
                <w:highlight w:val="none"/>
                <w:lang w:val="en-US" w:eastAsia="zh-CN"/>
              </w:rPr>
              <w:t>。</w:t>
            </w:r>
          </w:p>
          <w:p>
            <w:pPr>
              <w:spacing w:line="300" w:lineRule="exact"/>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注：</w:t>
            </w:r>
            <w:r>
              <w:rPr>
                <w:rFonts w:hint="default" w:ascii="Times New Roman" w:hAnsi="Times New Roman" w:eastAsia="宋体" w:cs="Times New Roman"/>
                <w:color w:val="auto"/>
                <w:kern w:val="2"/>
                <w:sz w:val="21"/>
                <w:szCs w:val="21"/>
                <w:highlight w:val="none"/>
                <w:lang w:val="en-US" w:eastAsia="zh-CN" w:bidi="ar-SA"/>
              </w:rPr>
              <w:t>对各投标人提供的内容进行横向对比，无内容的不得分。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1792" w:type="dxa"/>
            <w:noWrap w:val="0"/>
            <w:vAlign w:val="center"/>
          </w:tcPr>
          <w:p>
            <w:pPr>
              <w:spacing w:line="300" w:lineRule="exact"/>
              <w:jc w:val="center"/>
              <w:rPr>
                <w:rFonts w:hint="default" w:ascii="Times New Roman" w:hAnsi="Times New Roman" w:eastAsia="hakuyoxingshu7000" w:cs="Times New Roman"/>
                <w:b/>
                <w:bCs/>
                <w:color w:val="auto"/>
                <w:szCs w:val="21"/>
                <w:highlight w:val="none"/>
                <w:lang w:val="en-US" w:eastAsia="zh-CN"/>
              </w:rPr>
            </w:pPr>
            <w:r>
              <w:rPr>
                <w:rFonts w:hint="default" w:ascii="Times New Roman" w:hAnsi="Times New Roman" w:eastAsia="hakuyoxingshu7000" w:cs="Times New Roman"/>
                <w:b/>
                <w:bCs/>
                <w:color w:val="auto"/>
                <w:szCs w:val="21"/>
                <w:highlight w:val="none"/>
                <w:lang w:val="en-US" w:eastAsia="zh-CN"/>
              </w:rPr>
              <w:t>平台演示</w:t>
            </w:r>
          </w:p>
          <w:p>
            <w:pPr>
              <w:spacing w:line="300" w:lineRule="exact"/>
              <w:jc w:val="center"/>
              <w:rPr>
                <w:rFonts w:hint="default" w:ascii="Times New Roman" w:hAnsi="Times New Roman" w:eastAsia="hakuyoxingshu7000" w:cs="Times New Roman"/>
                <w:b/>
                <w:bCs/>
                <w:color w:val="auto"/>
                <w:szCs w:val="21"/>
                <w:highlight w:val="none"/>
                <w:lang w:val="en-US" w:eastAsia="zh-CN"/>
              </w:rPr>
            </w:pPr>
            <w:r>
              <w:rPr>
                <w:rFonts w:hint="default" w:ascii="Times New Roman" w:hAnsi="Times New Roman" w:eastAsia="hakuyoxingshu7000" w:cs="Times New Roman"/>
                <w:b/>
                <w:bCs/>
                <w:color w:val="auto"/>
                <w:szCs w:val="21"/>
                <w:highlight w:val="none"/>
                <w:lang w:val="en-US" w:eastAsia="zh-CN"/>
              </w:rPr>
              <w:t>（</w:t>
            </w:r>
            <w:r>
              <w:rPr>
                <w:rFonts w:hint="eastAsia" w:ascii="Times New Roman" w:hAnsi="Times New Roman" w:eastAsia="hakuyoxingshu7000" w:cs="Times New Roman"/>
                <w:b/>
                <w:bCs/>
                <w:color w:val="auto"/>
                <w:szCs w:val="21"/>
                <w:highlight w:val="none"/>
                <w:lang w:val="en-US" w:eastAsia="zh-CN"/>
              </w:rPr>
              <w:t>15</w:t>
            </w:r>
            <w:r>
              <w:rPr>
                <w:rFonts w:hint="default" w:ascii="Times New Roman" w:hAnsi="Times New Roman" w:eastAsia="hakuyoxingshu7000" w:cs="Times New Roman"/>
                <w:b/>
                <w:bCs/>
                <w:color w:val="auto"/>
                <w:szCs w:val="21"/>
                <w:highlight w:val="none"/>
                <w:lang w:val="en-US" w:eastAsia="zh-CN"/>
              </w:rPr>
              <w:t>分）</w:t>
            </w:r>
          </w:p>
        </w:tc>
        <w:tc>
          <w:tcPr>
            <w:tcW w:w="7176" w:type="dxa"/>
            <w:noWrap w:val="0"/>
            <w:vAlign w:val="center"/>
          </w:tcPr>
          <w:p>
            <w:pPr>
              <w:spacing w:line="300" w:lineRule="exact"/>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投标人根据招标文件第二章 招标需求</w:t>
            </w:r>
            <w:r>
              <w:rPr>
                <w:rFonts w:hint="eastAsia" w:cs="Times New Roman"/>
                <w:b w:val="0"/>
                <w:bCs w:val="0"/>
                <w:color w:val="auto"/>
                <w:sz w:val="21"/>
                <w:szCs w:val="21"/>
                <w:highlight w:val="none"/>
                <w:lang w:val="en-US" w:eastAsia="zh-CN"/>
              </w:rPr>
              <w:t>中所要求的演示的关键功能点</w:t>
            </w:r>
            <w:r>
              <w:rPr>
                <w:rFonts w:hint="default" w:ascii="Times New Roman" w:hAnsi="Times New Roman" w:eastAsia="宋体" w:cs="Times New Roman"/>
                <w:b w:val="0"/>
                <w:bCs w:val="0"/>
                <w:color w:val="auto"/>
                <w:sz w:val="21"/>
                <w:szCs w:val="21"/>
                <w:highlight w:val="none"/>
                <w:lang w:val="en-US" w:eastAsia="zh-CN"/>
              </w:rPr>
              <w:t>制作系统功能演示视频。代理机构将会在开标现场进行播放，由评委对功能实现、满足情况进行综合评议，演示内容以招标文件</w:t>
            </w:r>
            <w:r>
              <w:rPr>
                <w:rFonts w:hint="eastAsia" w:cs="Times New Roman"/>
                <w:b w:val="0"/>
                <w:bCs w:val="0"/>
                <w:color w:val="auto"/>
                <w:sz w:val="21"/>
                <w:szCs w:val="21"/>
                <w:highlight w:val="none"/>
                <w:lang w:val="en-US" w:eastAsia="zh-CN"/>
              </w:rPr>
              <w:t>平台演示清单</w:t>
            </w:r>
            <w:r>
              <w:rPr>
                <w:rFonts w:hint="default" w:ascii="Times New Roman" w:hAnsi="Times New Roman" w:eastAsia="宋体" w:cs="Times New Roman"/>
                <w:b w:val="0"/>
                <w:bCs w:val="0"/>
                <w:color w:val="auto"/>
                <w:sz w:val="21"/>
                <w:szCs w:val="21"/>
                <w:highlight w:val="none"/>
                <w:lang w:val="en-US" w:eastAsia="zh-CN"/>
              </w:rPr>
              <w:t>清单演示要求内容为准。</w:t>
            </w:r>
          </w:p>
          <w:p>
            <w:pPr>
              <w:spacing w:line="300" w:lineRule="exact"/>
              <w:ind w:left="0" w:leftChars="0" w:right="0" w:rightChars="0" w:firstLine="0" w:firstLineChars="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注：本项目不组织现场讲解，讲解形式为视频录制（视频录制时间不超过</w:t>
            </w:r>
            <w:r>
              <w:rPr>
                <w:rFonts w:hint="eastAsia"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分钟，须把录制的视频在开标时间前一日16:00前发送至代理机构邮箱</w:t>
            </w:r>
            <w:r>
              <w:rPr>
                <w:rFonts w:hint="eastAsia" w:ascii="Times New Roman" w:hAnsi="Times New Roman" w:eastAsia="宋体" w:cs="Times New Roman"/>
                <w:b/>
                <w:bCs/>
                <w:color w:val="auto"/>
                <w:sz w:val="21"/>
                <w:szCs w:val="21"/>
                <w:highlight w:val="none"/>
                <w:lang w:val="en-US" w:eastAsia="zh-CN"/>
              </w:rPr>
              <w:t>805986407</w:t>
            </w:r>
            <w:r>
              <w:rPr>
                <w:rFonts w:hint="default" w:ascii="Times New Roman" w:hAnsi="Times New Roman" w:eastAsia="宋体" w:cs="Times New Roman"/>
                <w:b/>
                <w:bCs/>
                <w:color w:val="auto"/>
                <w:sz w:val="21"/>
                <w:szCs w:val="21"/>
                <w:highlight w:val="none"/>
                <w:lang w:val="en-US" w:eastAsia="zh-CN"/>
              </w:rPr>
              <w:t>@qq.com，未按上述要求，本项不得分）。</w:t>
            </w:r>
          </w:p>
        </w:tc>
      </w:tr>
    </w:tbl>
    <w:p>
      <w:pPr>
        <w:pStyle w:val="24"/>
        <w:spacing w:before="0" w:beforeLines="0" w:after="0" w:afterLines="0" w:line="360" w:lineRule="auto"/>
        <w:rPr>
          <w:rFonts w:hint="default" w:ascii="Times New Roman" w:hAnsi="Times New Roman" w:cs="Times New Roman"/>
          <w:b/>
          <w:highlight w:val="none"/>
        </w:rPr>
      </w:pPr>
      <w:r>
        <w:rPr>
          <w:rFonts w:hint="default" w:ascii="Times New Roman" w:hAnsi="Times New Roman" w:cs="Times New Roman"/>
          <w:b/>
          <w:sz w:val="21"/>
          <w:szCs w:val="21"/>
          <w:highlight w:val="none"/>
        </w:rPr>
        <w:t>第二阶段：报价文件评审</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8"/>
        <w:gridCol w:w="78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blHeader/>
          <w:jc w:val="center"/>
        </w:trPr>
        <w:tc>
          <w:tcPr>
            <w:tcW w:w="908" w:type="dxa"/>
            <w:noWrap w:val="0"/>
            <w:vAlign w:val="center"/>
          </w:tcPr>
          <w:p>
            <w:pPr>
              <w:tabs>
                <w:tab w:val="left" w:pos="0"/>
              </w:tabs>
              <w:autoSpaceDE w:val="0"/>
              <w:autoSpaceDN w:val="0"/>
              <w:spacing w:line="300" w:lineRule="exact"/>
              <w:jc w:val="center"/>
              <w:rPr>
                <w:rFonts w:hint="default" w:ascii="Times New Roman" w:hAnsi="Times New Roman" w:cs="Times New Roman"/>
                <w:b/>
                <w:bCs/>
                <w:szCs w:val="21"/>
                <w:highlight w:val="none"/>
                <w:lang w:val="zh-CN"/>
              </w:rPr>
            </w:pPr>
            <w:r>
              <w:rPr>
                <w:rFonts w:hint="default" w:ascii="Times New Roman" w:hAnsi="Times New Roman" w:cs="Times New Roman"/>
                <w:b/>
                <w:bCs/>
                <w:szCs w:val="21"/>
                <w:highlight w:val="none"/>
                <w:lang w:val="zh-CN"/>
              </w:rPr>
              <w:t>分值</w:t>
            </w:r>
          </w:p>
        </w:tc>
        <w:tc>
          <w:tcPr>
            <w:tcW w:w="7842" w:type="dxa"/>
            <w:noWrap w:val="0"/>
            <w:vAlign w:val="center"/>
          </w:tcPr>
          <w:p>
            <w:pPr>
              <w:tabs>
                <w:tab w:val="left" w:pos="0"/>
              </w:tabs>
              <w:autoSpaceDE w:val="0"/>
              <w:autoSpaceDN w:val="0"/>
              <w:spacing w:line="300" w:lineRule="exact"/>
              <w:jc w:val="center"/>
              <w:rPr>
                <w:rFonts w:hint="default" w:ascii="Times New Roman" w:hAnsi="Times New Roman" w:cs="Times New Roman"/>
                <w:b/>
                <w:bCs/>
                <w:szCs w:val="21"/>
                <w:highlight w:val="none"/>
                <w:lang w:val="zh-CN"/>
              </w:rPr>
            </w:pPr>
            <w:r>
              <w:rPr>
                <w:rFonts w:hint="default" w:ascii="Times New Roman" w:hAnsi="Times New Roman" w:cs="Times New Roman"/>
                <w:b/>
                <w:bCs/>
                <w:szCs w:val="21"/>
                <w:highlight w:val="none"/>
                <w:lang w:val="zh-CN"/>
              </w:rPr>
              <w:t>评分标准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8" w:type="dxa"/>
            <w:noWrap w:val="0"/>
            <w:vAlign w:val="center"/>
          </w:tcPr>
          <w:p>
            <w:pPr>
              <w:tabs>
                <w:tab w:val="left" w:pos="0"/>
              </w:tabs>
              <w:spacing w:line="30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价格</w:t>
            </w:r>
          </w:p>
          <w:p>
            <w:pPr>
              <w:tabs>
                <w:tab w:val="left" w:pos="0"/>
              </w:tabs>
              <w:spacing w:line="30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得分</w:t>
            </w:r>
          </w:p>
          <w:p>
            <w:pPr>
              <w:tabs>
                <w:tab w:val="left" w:pos="0"/>
              </w:tabs>
              <w:spacing w:line="300" w:lineRule="exact"/>
              <w:jc w:val="center"/>
              <w:rPr>
                <w:rFonts w:hint="default" w:ascii="Times New Roman" w:hAnsi="Times New Roman" w:cs="Times New Roman"/>
                <w:szCs w:val="21"/>
                <w:highlight w:val="none"/>
              </w:rPr>
            </w:pPr>
            <w:r>
              <w:rPr>
                <w:rFonts w:hint="default" w:ascii="Times New Roman" w:hAnsi="Times New Roman" w:cs="Times New Roman"/>
                <w:b/>
                <w:bCs/>
                <w:szCs w:val="21"/>
                <w:highlight w:val="none"/>
              </w:rPr>
              <w:t>30分</w:t>
            </w:r>
          </w:p>
        </w:tc>
        <w:tc>
          <w:tcPr>
            <w:tcW w:w="7842" w:type="dxa"/>
            <w:noWrap w:val="0"/>
            <w:vAlign w:val="center"/>
          </w:tcPr>
          <w:p>
            <w:pPr>
              <w:tabs>
                <w:tab w:val="left" w:pos="0"/>
              </w:tabs>
              <w:spacing w:line="300" w:lineRule="exact"/>
              <w:rPr>
                <w:rFonts w:hint="default" w:ascii="Times New Roman" w:hAnsi="Times New Roman" w:cs="Times New Roman"/>
                <w:bCs/>
                <w:szCs w:val="21"/>
                <w:highlight w:val="none"/>
              </w:rPr>
            </w:pPr>
            <w:r>
              <w:rPr>
                <w:rFonts w:hint="default" w:ascii="Times New Roman" w:hAnsi="Times New Roman" w:cs="Times New Roman"/>
                <w:bCs/>
                <w:szCs w:val="21"/>
                <w:highlight w:val="none"/>
              </w:rPr>
              <w:t>评标基准价指的是满足招标文件要求且最低的参与评审的价格。</w:t>
            </w:r>
          </w:p>
          <w:p>
            <w:pPr>
              <w:tabs>
                <w:tab w:val="left" w:pos="0"/>
              </w:tabs>
              <w:spacing w:line="300" w:lineRule="exact"/>
              <w:rPr>
                <w:rFonts w:hint="default" w:ascii="Times New Roman" w:hAnsi="Times New Roman" w:cs="Times New Roman"/>
                <w:bCs/>
                <w:szCs w:val="21"/>
                <w:highlight w:val="none"/>
              </w:rPr>
            </w:pPr>
            <w:r>
              <w:rPr>
                <w:rFonts w:hint="default" w:ascii="Times New Roman" w:hAnsi="Times New Roman" w:cs="Times New Roman"/>
                <w:bCs/>
                <w:szCs w:val="21"/>
                <w:highlight w:val="none"/>
              </w:rPr>
              <w:t>参与评审的价格=投标报价-小微企业价格扣除优惠值</w:t>
            </w:r>
            <w:r>
              <w:rPr>
                <w:rFonts w:hint="default" w:ascii="Times New Roman" w:hAnsi="Times New Roman" w:cs="Times New Roman"/>
                <w:bCs/>
                <w:szCs w:val="21"/>
                <w:highlight w:val="none"/>
                <w:lang w:val="en-US" w:eastAsia="zh-CN"/>
              </w:rPr>
              <w:t>10</w:t>
            </w:r>
            <w:r>
              <w:rPr>
                <w:rFonts w:hint="default" w:ascii="Times New Roman" w:hAnsi="Times New Roman" w:cs="Times New Roman"/>
                <w:bCs/>
                <w:szCs w:val="21"/>
                <w:highlight w:val="none"/>
              </w:rPr>
              <w:t>％（如有）。</w:t>
            </w:r>
          </w:p>
          <w:p>
            <w:pPr>
              <w:tabs>
                <w:tab w:val="left" w:pos="0"/>
              </w:tabs>
              <w:spacing w:line="300" w:lineRule="exact"/>
              <w:rPr>
                <w:rFonts w:hint="default" w:ascii="Times New Roman" w:hAnsi="Times New Roman" w:cs="Times New Roman"/>
                <w:bCs/>
                <w:szCs w:val="21"/>
                <w:highlight w:val="none"/>
              </w:rPr>
            </w:pPr>
            <w:r>
              <w:rPr>
                <w:rFonts w:hint="default" w:ascii="Times New Roman" w:hAnsi="Times New Roman" w:cs="Times New Roman"/>
                <w:bCs/>
                <w:szCs w:val="21"/>
                <w:highlight w:val="none"/>
              </w:rPr>
              <w:t>参与评审的价格为评标基准价的其价格得分得满分30分。</w:t>
            </w:r>
          </w:p>
          <w:p>
            <w:pPr>
              <w:tabs>
                <w:tab w:val="left" w:pos="0"/>
              </w:tabs>
              <w:spacing w:line="300" w:lineRule="exact"/>
              <w:rPr>
                <w:rFonts w:hint="default" w:ascii="Times New Roman" w:hAnsi="Times New Roman" w:cs="Times New Roman"/>
                <w:bCs/>
                <w:szCs w:val="21"/>
                <w:highlight w:val="none"/>
              </w:rPr>
            </w:pPr>
            <w:r>
              <w:rPr>
                <w:rFonts w:hint="default" w:ascii="Times New Roman" w:hAnsi="Times New Roman" w:cs="Times New Roman"/>
                <w:bCs/>
                <w:szCs w:val="21"/>
                <w:highlight w:val="none"/>
              </w:rPr>
              <w:t>其他投标人价格得分按照下列公式计算：</w:t>
            </w:r>
          </w:p>
          <w:p>
            <w:pPr>
              <w:tabs>
                <w:tab w:val="left" w:pos="0"/>
              </w:tabs>
              <w:spacing w:line="300" w:lineRule="exact"/>
              <w:rPr>
                <w:rFonts w:hint="default" w:ascii="Times New Roman" w:hAnsi="Times New Roman" w:cs="Times New Roman"/>
                <w:bCs/>
                <w:szCs w:val="21"/>
                <w:highlight w:val="none"/>
              </w:rPr>
            </w:pPr>
            <w:r>
              <w:rPr>
                <w:rFonts w:hint="default" w:ascii="Times New Roman" w:hAnsi="Times New Roman" w:cs="Times New Roman"/>
                <w:bCs/>
                <w:szCs w:val="21"/>
                <w:highlight w:val="none"/>
              </w:rPr>
              <w:t>价格得分=（评标基准价/各投标人参与评审的价格）×30％×100。</w:t>
            </w:r>
          </w:p>
          <w:p>
            <w:pPr>
              <w:tabs>
                <w:tab w:val="left" w:pos="0"/>
              </w:tabs>
              <w:spacing w:line="300" w:lineRule="exact"/>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注：1、投标报价超过对应最高限价的作无效标处理。</w:t>
            </w:r>
          </w:p>
          <w:p>
            <w:pPr>
              <w:tabs>
                <w:tab w:val="left" w:pos="0"/>
              </w:tabs>
              <w:spacing w:line="300" w:lineRule="exact"/>
              <w:ind w:firstLine="422" w:firstLineChars="200"/>
              <w:rPr>
                <w:rFonts w:hint="default" w:ascii="Times New Roman" w:hAnsi="Times New Roman" w:cs="Times New Roman"/>
                <w:szCs w:val="21"/>
                <w:highlight w:val="none"/>
              </w:rPr>
            </w:pPr>
            <w:r>
              <w:rPr>
                <w:rFonts w:hint="default" w:ascii="Times New Roman" w:hAnsi="Times New Roman" w:cs="Times New Roman"/>
                <w:b/>
                <w:bCs/>
                <w:szCs w:val="21"/>
                <w:highlight w:val="none"/>
              </w:rPr>
              <w:t>2、价格得分小数点后保留2位小数，第3位小数四舍五入。</w:t>
            </w:r>
          </w:p>
        </w:tc>
      </w:tr>
    </w:tbl>
    <w:p>
      <w:pPr>
        <w:pStyle w:val="24"/>
        <w:spacing w:before="0" w:beforeLines="0" w:after="0" w:afterLines="0" w:line="360" w:lineRule="auto"/>
        <w:jc w:val="center"/>
        <w:outlineLvl w:val="0"/>
        <w:rPr>
          <w:rFonts w:hint="default" w:ascii="Times New Roman" w:hAnsi="Times New Roman" w:cs="Times New Roman"/>
          <w:sz w:val="21"/>
          <w:szCs w:val="21"/>
          <w:highlight w:val="none"/>
        </w:rPr>
      </w:pPr>
      <w:r>
        <w:rPr>
          <w:rFonts w:hint="default" w:ascii="Times New Roman" w:hAnsi="Times New Roman" w:cs="Times New Roman"/>
          <w:b/>
          <w:highlight w:val="none"/>
        </w:rPr>
        <w:br w:type="page"/>
      </w:r>
      <w:bookmarkStart w:id="105" w:name="_Toc31838"/>
      <w:bookmarkStart w:id="106" w:name="_Toc25668"/>
      <w:bookmarkStart w:id="107" w:name="_Toc11954"/>
      <w:bookmarkStart w:id="108" w:name="_Toc344"/>
      <w:bookmarkStart w:id="109" w:name="_Toc24934"/>
      <w:bookmarkStart w:id="110" w:name="_Toc6919"/>
      <w:bookmarkStart w:id="111" w:name="_Toc19881"/>
      <w:bookmarkStart w:id="112" w:name="_Toc20625"/>
      <w:bookmarkStart w:id="113" w:name="_Toc7246_WPSOffice_Level1"/>
      <w:r>
        <w:rPr>
          <w:rFonts w:hint="default" w:ascii="Times New Roman" w:hAnsi="Times New Roman" w:cs="Times New Roman"/>
          <w:b/>
          <w:highlight w:val="none"/>
        </w:rPr>
        <w:t>第五章 政府采购合同主要条款</w:t>
      </w:r>
      <w:bookmarkEnd w:id="105"/>
      <w:bookmarkEnd w:id="106"/>
      <w:bookmarkEnd w:id="107"/>
      <w:bookmarkEnd w:id="108"/>
      <w:bookmarkEnd w:id="109"/>
      <w:bookmarkEnd w:id="110"/>
      <w:bookmarkEnd w:id="111"/>
      <w:bookmarkEnd w:id="112"/>
      <w:bookmarkEnd w:id="113"/>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项目名称：</w:t>
      </w:r>
      <w:r>
        <w:rPr>
          <w:rFonts w:hint="default" w:ascii="Times New Roman" w:hAnsi="Times New Roman" w:cs="Times New Roman"/>
          <w:w w:val="90"/>
          <w:sz w:val="21"/>
          <w:szCs w:val="21"/>
          <w:highlight w:val="none"/>
          <w:u w:val="single"/>
          <w:lang w:eastAsia="zh-CN"/>
        </w:rPr>
        <w:t>宁波高新梅沁未来社区项目（旧改类）数字化（含智能化）系统设备采购项目</w:t>
      </w:r>
      <w:r>
        <w:rPr>
          <w:rFonts w:hint="default" w:ascii="Times New Roman" w:hAnsi="Times New Roman" w:cs="Times New Roman"/>
          <w:sz w:val="21"/>
          <w:szCs w:val="21"/>
          <w:highlight w:val="none"/>
        </w:rPr>
        <w:t xml:space="preserve">                                      </w:t>
      </w:r>
    </w:p>
    <w:p>
      <w:pPr>
        <w:pStyle w:val="24"/>
        <w:spacing w:before="0" w:beforeLines="0" w:after="0" w:afterLines="0" w:line="360" w:lineRule="auto"/>
        <w:ind w:firstLine="420" w:firstLineChars="200"/>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项目编号：</w:t>
      </w:r>
      <w:r>
        <w:rPr>
          <w:rFonts w:hint="default" w:ascii="Times New Roman" w:hAnsi="Times New Roman" w:cs="Times New Roman"/>
          <w:sz w:val="21"/>
          <w:szCs w:val="21"/>
          <w:highlight w:val="none"/>
          <w:lang w:eastAsia="zh-CN"/>
        </w:rPr>
        <w:t>科信建代字[2023]100030号</w:t>
      </w:r>
    </w:p>
    <w:p>
      <w:pPr>
        <w:pStyle w:val="24"/>
        <w:spacing w:before="0" w:beforeLines="0" w:after="0" w:afterLines="0" w:line="360" w:lineRule="auto"/>
        <w:ind w:firstLine="420" w:firstLineChars="200"/>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甲方：</w:t>
      </w:r>
      <w:r>
        <w:rPr>
          <w:rFonts w:hint="default" w:ascii="Times New Roman" w:hAnsi="Times New Roman" w:cs="Times New Roman"/>
          <w:sz w:val="21"/>
          <w:szCs w:val="21"/>
          <w:highlight w:val="none"/>
          <w:u w:val="single"/>
          <w:lang w:eastAsia="zh-CN"/>
        </w:rPr>
        <w:t>宁波市鄞州区人民政府梅墟街道办事处</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乙方：</w:t>
      </w:r>
    </w:p>
    <w:p>
      <w:pPr>
        <w:pStyle w:val="24"/>
        <w:spacing w:before="0" w:beforeLines="0" w:after="0" w:afterLines="0" w:line="360" w:lineRule="auto"/>
        <w:ind w:firstLine="420" w:firstLineChars="200"/>
        <w:rPr>
          <w:rFonts w:hint="default" w:ascii="Times New Roman" w:hAnsi="Times New Roman" w:cs="Times New Roman"/>
          <w:b/>
          <w:sz w:val="21"/>
          <w:szCs w:val="21"/>
          <w:highlight w:val="none"/>
        </w:rPr>
      </w:pPr>
      <w:r>
        <w:rPr>
          <w:rFonts w:hint="default" w:ascii="Times New Roman" w:hAnsi="Times New Roman" w:cs="Times New Roman"/>
          <w:sz w:val="21"/>
          <w:szCs w:val="21"/>
          <w:highlight w:val="none"/>
        </w:rPr>
        <w:t>甲、乙双方根据</w:t>
      </w:r>
      <w:r>
        <w:rPr>
          <w:rFonts w:hint="default" w:ascii="Times New Roman" w:hAnsi="Times New Roman" w:cs="Times New Roman"/>
          <w:sz w:val="21"/>
          <w:szCs w:val="21"/>
          <w:highlight w:val="none"/>
          <w:u w:val="single"/>
          <w:lang w:val="en-US" w:eastAsia="zh-CN"/>
        </w:rPr>
        <w:t xml:space="preserve"> </w:t>
      </w:r>
      <w:r>
        <w:rPr>
          <w:rFonts w:hint="default" w:ascii="Times New Roman" w:hAnsi="Times New Roman" w:cs="Times New Roman"/>
          <w:sz w:val="21"/>
          <w:szCs w:val="21"/>
          <w:highlight w:val="none"/>
          <w:u w:val="single"/>
          <w:lang w:eastAsia="zh-CN"/>
        </w:rPr>
        <w:t>宁波高新梅沁未来社区项目（旧改类）数字化（含智能化）系统设备采购项目</w:t>
      </w:r>
      <w:r>
        <w:rPr>
          <w:rFonts w:hint="default" w:ascii="Times New Roman" w:hAnsi="Times New Roman" w:cs="Times New Roman"/>
          <w:sz w:val="21"/>
          <w:szCs w:val="21"/>
          <w:highlight w:val="none"/>
          <w:u w:val="single"/>
          <w:lang w:val="en-US" w:eastAsia="zh-CN"/>
        </w:rPr>
        <w:t xml:space="preserve"> </w:t>
      </w:r>
      <w:r>
        <w:rPr>
          <w:rFonts w:hint="default" w:ascii="Times New Roman" w:hAnsi="Times New Roman" w:cs="Times New Roman"/>
          <w:sz w:val="21"/>
          <w:szCs w:val="21"/>
          <w:highlight w:val="none"/>
        </w:rPr>
        <w:t>的招标结果，签署本合同。</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一、</w:t>
      </w:r>
      <w:r>
        <w:rPr>
          <w:rFonts w:hint="eastAsia" w:ascii="Times New Roman" w:hAnsi="Times New Roman" w:cs="Times New Roman"/>
          <w:b/>
          <w:sz w:val="21"/>
          <w:szCs w:val="21"/>
          <w:highlight w:val="none"/>
          <w:lang w:eastAsia="zh-CN"/>
        </w:rPr>
        <w:t>建设</w:t>
      </w:r>
      <w:r>
        <w:rPr>
          <w:rFonts w:hint="default" w:ascii="Times New Roman" w:hAnsi="Times New Roman" w:cs="Times New Roman"/>
          <w:b/>
          <w:sz w:val="21"/>
          <w:szCs w:val="21"/>
          <w:highlight w:val="none"/>
        </w:rPr>
        <w:t>内容</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eastAsia="zh-CN"/>
        </w:rPr>
        <w:t>接入高新区未来社区统一底座及底座自有应用，建设邻里、教育、健康等九大场景内容，实现多端接入，系统对接，安全系统建设等内容。智能化软件</w:t>
      </w:r>
      <w:r>
        <w:rPr>
          <w:rFonts w:hint="default" w:ascii="Times New Roman" w:hAnsi="Times New Roman" w:cs="Times New Roman"/>
          <w:sz w:val="21"/>
          <w:szCs w:val="21"/>
          <w:highlight w:val="none"/>
          <w:lang w:val="en-US" w:eastAsia="zh-CN"/>
        </w:rPr>
        <w:t>开发涵盖</w:t>
      </w:r>
      <w:r>
        <w:rPr>
          <w:rFonts w:hint="default" w:ascii="Times New Roman" w:hAnsi="Times New Roman" w:cs="Times New Roman"/>
          <w:sz w:val="21"/>
          <w:szCs w:val="21"/>
          <w:highlight w:val="none"/>
          <w:lang w:eastAsia="zh-CN"/>
        </w:rPr>
        <w:t>服务、治理、健康、教育、邻里、建筑场景的</w:t>
      </w:r>
      <w:r>
        <w:rPr>
          <w:rFonts w:hint="default" w:ascii="Times New Roman" w:hAnsi="Times New Roman" w:cs="Times New Roman"/>
          <w:sz w:val="21"/>
          <w:szCs w:val="21"/>
          <w:highlight w:val="none"/>
          <w:lang w:val="en-US" w:eastAsia="zh-CN"/>
        </w:rPr>
        <w:t>板块</w:t>
      </w:r>
      <w:r>
        <w:rPr>
          <w:rFonts w:hint="default" w:ascii="Times New Roman" w:hAnsi="Times New Roman" w:cs="Times New Roman"/>
          <w:sz w:val="21"/>
          <w:szCs w:val="21"/>
          <w:highlight w:val="none"/>
          <w:lang w:eastAsia="zh-CN"/>
        </w:rPr>
        <w:t>打造，并包括了梅沁社区驾驶舱</w:t>
      </w:r>
      <w:r>
        <w:rPr>
          <w:rFonts w:hint="default" w:ascii="Times New Roman" w:hAnsi="Times New Roman" w:cs="Times New Roman"/>
          <w:sz w:val="21"/>
          <w:szCs w:val="21"/>
          <w:highlight w:val="none"/>
          <w:lang w:val="en-US" w:eastAsia="zh-CN"/>
        </w:rPr>
        <w:t>建造</w:t>
      </w:r>
      <w:r>
        <w:rPr>
          <w:rFonts w:hint="default" w:ascii="Times New Roman" w:hAnsi="Times New Roman" w:cs="Times New Roman"/>
          <w:sz w:val="21"/>
          <w:szCs w:val="21"/>
          <w:highlight w:val="none"/>
          <w:lang w:eastAsia="zh-CN"/>
        </w:rPr>
        <w:t>、数字社会十二</w:t>
      </w:r>
      <w:r>
        <w:rPr>
          <w:rFonts w:hint="default" w:ascii="Times New Roman" w:hAnsi="Times New Roman" w:cs="Times New Roman"/>
          <w:sz w:val="21"/>
          <w:szCs w:val="21"/>
          <w:highlight w:val="none"/>
          <w:lang w:val="en-US" w:eastAsia="zh-CN"/>
        </w:rPr>
        <w:t>有系统接口</w:t>
      </w:r>
      <w:r>
        <w:rPr>
          <w:rFonts w:hint="default" w:ascii="Times New Roman" w:hAnsi="Times New Roman" w:cs="Times New Roman"/>
          <w:sz w:val="21"/>
          <w:szCs w:val="21"/>
          <w:highlight w:val="none"/>
          <w:lang w:eastAsia="zh-CN"/>
        </w:rPr>
        <w:t>对接、浙里办</w:t>
      </w:r>
      <w:r>
        <w:rPr>
          <w:rFonts w:hint="default" w:ascii="Times New Roman" w:hAnsi="Times New Roman" w:cs="Times New Roman"/>
          <w:sz w:val="21"/>
          <w:szCs w:val="21"/>
          <w:highlight w:val="none"/>
          <w:lang w:val="en-US" w:eastAsia="zh-CN"/>
        </w:rPr>
        <w:t>系统接口</w:t>
      </w:r>
      <w:r>
        <w:rPr>
          <w:rFonts w:hint="default" w:ascii="Times New Roman" w:hAnsi="Times New Roman" w:cs="Times New Roman"/>
          <w:sz w:val="21"/>
          <w:szCs w:val="21"/>
          <w:highlight w:val="none"/>
          <w:lang w:eastAsia="zh-CN"/>
        </w:rPr>
        <w:t>对接、系统二级等保测评等内容。智能化硬件</w:t>
      </w:r>
      <w:r>
        <w:rPr>
          <w:rFonts w:hint="default" w:ascii="Times New Roman" w:hAnsi="Times New Roman" w:cs="Times New Roman"/>
          <w:sz w:val="21"/>
          <w:szCs w:val="21"/>
          <w:highlight w:val="none"/>
          <w:lang w:val="en-US" w:eastAsia="zh-CN"/>
        </w:rPr>
        <w:t>采购</w:t>
      </w:r>
      <w:r>
        <w:rPr>
          <w:rFonts w:hint="default" w:ascii="Times New Roman" w:hAnsi="Times New Roman" w:cs="Times New Roman"/>
          <w:sz w:val="21"/>
          <w:szCs w:val="21"/>
          <w:highlight w:val="none"/>
          <w:lang w:eastAsia="zh-CN"/>
        </w:rPr>
        <w:t>包括了社区党群服务中心智能化设备，网络设备，数字化办公设备，物业用房智能化，监控设备以及</w:t>
      </w:r>
      <w:r>
        <w:rPr>
          <w:rFonts w:hint="default" w:ascii="Times New Roman" w:hAnsi="Times New Roman" w:cs="Times New Roman"/>
          <w:sz w:val="21"/>
          <w:szCs w:val="21"/>
          <w:highlight w:val="none"/>
          <w:lang w:val="en-US" w:eastAsia="zh-CN"/>
        </w:rPr>
        <w:t>数字化建议</w:t>
      </w:r>
      <w:r>
        <w:rPr>
          <w:rFonts w:hint="default" w:ascii="Times New Roman" w:hAnsi="Times New Roman" w:cs="Times New Roman"/>
          <w:sz w:val="21"/>
          <w:szCs w:val="21"/>
          <w:highlight w:val="none"/>
          <w:lang w:eastAsia="zh-CN"/>
        </w:rPr>
        <w:t>七大场景涉及的硬件设备。</w:t>
      </w:r>
      <w:r>
        <w:rPr>
          <w:rFonts w:hint="eastAsia" w:ascii="Times New Roman" w:hAnsi="Times New Roman" w:cs="Times New Roman"/>
          <w:sz w:val="21"/>
          <w:szCs w:val="21"/>
          <w:highlight w:val="none"/>
          <w:lang w:eastAsia="zh-CN"/>
        </w:rPr>
        <w:t>（</w:t>
      </w:r>
      <w:r>
        <w:rPr>
          <w:rFonts w:hint="eastAsia" w:ascii="Times New Roman" w:hAnsi="Times New Roman" w:cs="Times New Roman"/>
          <w:sz w:val="21"/>
          <w:szCs w:val="21"/>
          <w:highlight w:val="none"/>
          <w:lang w:val="en-US" w:eastAsia="zh-CN"/>
        </w:rPr>
        <w:t>智能化软件开发及硬件内容详见分项报价表</w:t>
      </w:r>
      <w:r>
        <w:rPr>
          <w:rFonts w:hint="eastAsia" w:ascii="Times New Roman" w:hAnsi="Times New Roman" w:cs="Times New Roman"/>
          <w:sz w:val="21"/>
          <w:szCs w:val="21"/>
          <w:highlight w:val="none"/>
          <w:lang w:eastAsia="zh-CN"/>
        </w:rPr>
        <w:t>）</w:t>
      </w:r>
    </w:p>
    <w:p>
      <w:pPr>
        <w:pStyle w:val="24"/>
        <w:spacing w:before="0" w:beforeLines="0" w:after="0" w:afterLines="0" w:line="360" w:lineRule="auto"/>
        <w:ind w:firstLine="422" w:firstLineChars="200"/>
        <w:rPr>
          <w:rFonts w:hint="default" w:ascii="Times New Roman" w:hAnsi="Times New Roman" w:eastAsia="宋体" w:cs="Times New Roman"/>
          <w:b/>
          <w:sz w:val="21"/>
          <w:szCs w:val="21"/>
          <w:highlight w:val="none"/>
          <w:lang w:val="en-US" w:eastAsia="zh-CN"/>
        </w:rPr>
      </w:pPr>
      <w:r>
        <w:rPr>
          <w:rFonts w:hint="default" w:ascii="Times New Roman" w:hAnsi="Times New Roman" w:cs="Times New Roman"/>
          <w:b/>
          <w:sz w:val="21"/>
          <w:szCs w:val="21"/>
          <w:highlight w:val="none"/>
        </w:rPr>
        <w:t>二、合同金额</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2.1 本合同金额为（大写）：_______________元（￥_______________元）人民币。</w:t>
      </w:r>
    </w:p>
    <w:p>
      <w:pPr>
        <w:pStyle w:val="24"/>
        <w:spacing w:before="0" w:beforeLines="0" w:after="0" w:afterLines="0" w:line="360" w:lineRule="auto"/>
        <w:ind w:firstLine="420" w:firstLineChars="200"/>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2.2上述合同金额是履行合同的含税最终价格，包括但不限于为数字化建设、提升改造、综合运营费用以及项目试运行、第三方检测或验收、专家评审及相关审批、质保服务、各类保险费、利润、税金、政策性文件规定费用及合同包含的所有风险、责任等各项所有费用。</w:t>
      </w:r>
    </w:p>
    <w:p>
      <w:pPr>
        <w:pStyle w:val="24"/>
        <w:spacing w:before="0" w:beforeLines="0" w:after="0" w:afterLines="0" w:line="360" w:lineRule="auto"/>
        <w:ind w:firstLine="420" w:firstLineChars="200"/>
        <w:rPr>
          <w:rFonts w:hint="default" w:ascii="Times New Roman" w:hAnsi="Times New Roman" w:cs="Times New Roman"/>
          <w:b w:val="0"/>
          <w:bCs/>
          <w:color w:val="auto"/>
          <w:sz w:val="21"/>
          <w:szCs w:val="21"/>
          <w:highlight w:val="none"/>
        </w:rPr>
      </w:pPr>
      <w:r>
        <w:rPr>
          <w:rFonts w:hint="eastAsia" w:ascii="Times New Roman" w:hAnsi="Times New Roman" w:cs="Times New Roman"/>
          <w:b w:val="0"/>
          <w:bCs/>
          <w:color w:val="auto"/>
          <w:sz w:val="21"/>
          <w:szCs w:val="21"/>
          <w:highlight w:val="none"/>
          <w:lang w:val="en-US" w:eastAsia="zh-CN"/>
        </w:rPr>
        <w:t>2.</w:t>
      </w:r>
      <w:r>
        <w:rPr>
          <w:rFonts w:hint="default" w:ascii="Times New Roman" w:hAnsi="Times New Roman" w:cs="Times New Roman"/>
          <w:b w:val="0"/>
          <w:bCs/>
          <w:color w:val="auto"/>
          <w:sz w:val="21"/>
          <w:szCs w:val="21"/>
          <w:highlight w:val="none"/>
        </w:rPr>
        <w:t>3</w:t>
      </w:r>
      <w:r>
        <w:rPr>
          <w:rFonts w:hint="eastAsia" w:ascii="Times New Roman" w:hAnsi="Times New Roman" w:cs="Times New Roman"/>
          <w:b w:val="0"/>
          <w:bCs/>
          <w:color w:val="auto"/>
          <w:sz w:val="21"/>
          <w:szCs w:val="21"/>
          <w:highlight w:val="none"/>
          <w:lang w:val="en-US" w:eastAsia="zh-CN"/>
        </w:rPr>
        <w:t>合同金额</w:t>
      </w:r>
      <w:r>
        <w:rPr>
          <w:rFonts w:hint="default" w:ascii="Times New Roman" w:hAnsi="Times New Roman" w:cs="Times New Roman"/>
          <w:b w:val="0"/>
          <w:bCs/>
          <w:color w:val="auto"/>
          <w:sz w:val="21"/>
          <w:szCs w:val="21"/>
          <w:highlight w:val="none"/>
        </w:rPr>
        <w:t>包括所有服务内容及过程中、一切可预见的、不可预见、税费成本等一切直接、间接成本和费用以及利润的全部。招标文件未列明，而</w:t>
      </w:r>
      <w:r>
        <w:rPr>
          <w:rFonts w:hint="eastAsia" w:ascii="Times New Roman" w:hAnsi="Times New Roman" w:cs="Times New Roman"/>
          <w:b w:val="0"/>
          <w:bCs/>
          <w:color w:val="auto"/>
          <w:sz w:val="21"/>
          <w:szCs w:val="21"/>
          <w:highlight w:val="none"/>
          <w:lang w:val="en-US" w:eastAsia="zh-CN"/>
        </w:rPr>
        <w:t>乙方</w:t>
      </w:r>
      <w:r>
        <w:rPr>
          <w:rFonts w:hint="default" w:ascii="Times New Roman" w:hAnsi="Times New Roman" w:cs="Times New Roman"/>
          <w:b w:val="0"/>
          <w:bCs/>
          <w:color w:val="auto"/>
          <w:sz w:val="21"/>
          <w:szCs w:val="21"/>
          <w:highlight w:val="none"/>
        </w:rPr>
        <w:t>认为必需的费用也包含在投标报价内，即</w:t>
      </w:r>
      <w:r>
        <w:rPr>
          <w:rFonts w:hint="eastAsia" w:ascii="Times New Roman" w:hAnsi="Times New Roman" w:cs="Times New Roman"/>
          <w:b w:val="0"/>
          <w:bCs/>
          <w:color w:val="auto"/>
          <w:sz w:val="21"/>
          <w:szCs w:val="21"/>
          <w:highlight w:val="none"/>
          <w:lang w:val="en-US" w:eastAsia="zh-CN"/>
        </w:rPr>
        <w:t>甲方</w:t>
      </w:r>
      <w:r>
        <w:rPr>
          <w:rFonts w:hint="default" w:ascii="Times New Roman" w:hAnsi="Times New Roman" w:cs="Times New Roman"/>
          <w:b w:val="0"/>
          <w:bCs/>
          <w:color w:val="auto"/>
          <w:sz w:val="21"/>
          <w:szCs w:val="21"/>
          <w:highlight w:val="none"/>
        </w:rPr>
        <w:t>不再支付其他任何费用。合同履行期限内，</w:t>
      </w:r>
      <w:r>
        <w:rPr>
          <w:rFonts w:hint="eastAsia" w:ascii="Times New Roman" w:hAnsi="Times New Roman" w:cs="Times New Roman"/>
          <w:b w:val="0"/>
          <w:bCs/>
          <w:color w:val="auto"/>
          <w:sz w:val="21"/>
          <w:szCs w:val="21"/>
          <w:highlight w:val="none"/>
          <w:lang w:val="en-US" w:eastAsia="zh-CN"/>
        </w:rPr>
        <w:t>乙方</w:t>
      </w:r>
      <w:r>
        <w:rPr>
          <w:rFonts w:hint="default" w:ascii="Times New Roman" w:hAnsi="Times New Roman" w:cs="Times New Roman"/>
          <w:b w:val="0"/>
          <w:bCs/>
          <w:color w:val="auto"/>
          <w:sz w:val="21"/>
          <w:szCs w:val="21"/>
          <w:highlight w:val="none"/>
        </w:rPr>
        <w:t>承诺的中标价不因市场因素和政策因素变动而调整。</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三、技术资料</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3.1乙方应按招标文件规定的时间向甲方提供使用货物的有关技术资料。</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四、知识产权</w:t>
      </w:r>
    </w:p>
    <w:p>
      <w:pPr>
        <w:pStyle w:val="24"/>
        <w:spacing w:before="0" w:beforeLines="0" w:after="0" w:afterLines="0" w:line="360" w:lineRule="auto"/>
        <w:ind w:firstLine="420" w:firstLineChars="200"/>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rPr>
        <w:t>4.1 乙方应保证所提供的货物或其任何一部分均不会侵犯任何第三方的知识产权</w:t>
      </w:r>
      <w:r>
        <w:rPr>
          <w:rFonts w:hint="default" w:ascii="Times New Roman" w:hAnsi="Times New Roman" w:cs="Times New Roman"/>
          <w:bCs/>
          <w:sz w:val="21"/>
          <w:szCs w:val="21"/>
          <w:highlight w:val="none"/>
        </w:rPr>
        <w:t>。</w:t>
      </w:r>
    </w:p>
    <w:p>
      <w:pPr>
        <w:pStyle w:val="24"/>
        <w:spacing w:before="0" w:beforeLines="0" w:after="0" w:afterLines="0" w:line="360" w:lineRule="auto"/>
        <w:ind w:firstLine="422" w:firstLineChars="200"/>
        <w:rPr>
          <w:rFonts w:hint="default" w:ascii="Times New Roman" w:hAnsi="Times New Roman" w:cs="Times New Roman"/>
          <w:sz w:val="21"/>
          <w:szCs w:val="21"/>
          <w:highlight w:val="none"/>
          <w:u w:val="single"/>
        </w:rPr>
      </w:pPr>
      <w:r>
        <w:rPr>
          <w:rFonts w:hint="default" w:ascii="Times New Roman" w:hAnsi="Times New Roman" w:cs="Times New Roman"/>
          <w:b/>
          <w:sz w:val="21"/>
          <w:szCs w:val="21"/>
          <w:highlight w:val="none"/>
        </w:rPr>
        <w:t>五、产权担保</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u w:val="single"/>
        </w:rPr>
      </w:pPr>
      <w:r>
        <w:rPr>
          <w:rFonts w:hint="default" w:ascii="Times New Roman" w:hAnsi="Times New Roman" w:cs="Times New Roman"/>
          <w:sz w:val="21"/>
          <w:szCs w:val="21"/>
          <w:highlight w:val="none"/>
        </w:rPr>
        <w:t>5.1 乙方保证所交付的货物的所有权完全属于乙方且无任何抵押、查封等产权瑕疵。</w:t>
      </w:r>
    </w:p>
    <w:p>
      <w:pPr>
        <w:spacing w:line="360" w:lineRule="auto"/>
        <w:ind w:firstLine="422" w:firstLineChars="200"/>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六、转包或分包</w:t>
      </w:r>
    </w:p>
    <w:p>
      <w:pPr>
        <w:spacing w:line="360" w:lineRule="auto"/>
        <w:ind w:firstLine="420" w:firstLineChars="200"/>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6.1本合同范围的货物，应由供方直接供应，不得转让他人供应</w:t>
      </w:r>
      <w:r>
        <w:rPr>
          <w:rFonts w:hint="default" w:ascii="Times New Roman" w:hAnsi="Times New Roman" w:cs="Times New Roman"/>
          <w:szCs w:val="21"/>
          <w:highlight w:val="none"/>
          <w:lang w:eastAsia="zh-CN"/>
        </w:rPr>
        <w:t>。</w:t>
      </w:r>
    </w:p>
    <w:p>
      <w:pPr>
        <w:spacing w:line="360" w:lineRule="auto"/>
        <w:ind w:firstLine="420" w:firstLineChars="200"/>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6.2 除非得到需方的书面同意，供方不得部分分包给他人供应</w:t>
      </w:r>
      <w:r>
        <w:rPr>
          <w:rFonts w:hint="default" w:ascii="Times New Roman" w:hAnsi="Times New Roman" w:cs="Times New Roman"/>
          <w:szCs w:val="21"/>
          <w:highlight w:val="none"/>
          <w:lang w:eastAsia="zh-CN"/>
        </w:rPr>
        <w:t>。</w:t>
      </w: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6.3如有转让和未经需方同意的分包行为，需方有权给予终止合同。</w:t>
      </w:r>
    </w:p>
    <w:p>
      <w:pPr>
        <w:pStyle w:val="24"/>
        <w:spacing w:before="0" w:beforeLines="0" w:after="0" w:afterLines="0" w:line="360" w:lineRule="auto"/>
        <w:ind w:firstLine="422" w:firstLineChars="200"/>
        <w:rPr>
          <w:rFonts w:hint="default" w:ascii="Times New Roman" w:hAnsi="Times New Roman" w:eastAsia="宋体" w:cs="Times New Roman"/>
          <w:b/>
          <w:sz w:val="21"/>
          <w:szCs w:val="21"/>
          <w:highlight w:val="none"/>
          <w:lang w:val="en-US" w:eastAsia="zh-CN"/>
        </w:rPr>
      </w:pPr>
      <w:r>
        <w:rPr>
          <w:rFonts w:hint="eastAsia" w:ascii="Times New Roman" w:hAnsi="Times New Roman" w:cs="Times New Roman"/>
          <w:b/>
          <w:sz w:val="21"/>
          <w:szCs w:val="21"/>
          <w:highlight w:val="none"/>
          <w:lang w:val="en-US" w:eastAsia="zh-CN"/>
        </w:rPr>
        <w:t>七、保密</w:t>
      </w:r>
    </w:p>
    <w:p>
      <w:pPr>
        <w:spacing w:line="360" w:lineRule="auto"/>
        <w:ind w:firstLine="420" w:firstLineChars="200"/>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7.1</w:t>
      </w:r>
      <w:r>
        <w:rPr>
          <w:rFonts w:hint="default" w:ascii="Times New Roman" w:hAnsi="Times New Roman" w:cs="Times New Roman"/>
          <w:szCs w:val="21"/>
          <w:highlight w:val="none"/>
        </w:rPr>
        <w:t>未经</w:t>
      </w:r>
      <w:r>
        <w:rPr>
          <w:rFonts w:hint="eastAsia" w:cs="Times New Roman"/>
          <w:szCs w:val="21"/>
          <w:highlight w:val="none"/>
          <w:lang w:val="en-US" w:eastAsia="zh-CN"/>
        </w:rPr>
        <w:t>甲方</w:t>
      </w:r>
      <w:r>
        <w:rPr>
          <w:rFonts w:hint="default" w:ascii="Times New Roman" w:hAnsi="Times New Roman" w:cs="Times New Roman"/>
          <w:szCs w:val="21"/>
          <w:highlight w:val="none"/>
        </w:rPr>
        <w:t>允许，</w:t>
      </w:r>
      <w:r>
        <w:rPr>
          <w:rFonts w:hint="eastAsia" w:cs="Times New Roman"/>
          <w:szCs w:val="21"/>
          <w:highlight w:val="none"/>
          <w:lang w:val="en-US" w:eastAsia="zh-CN"/>
        </w:rPr>
        <w:t>乙方</w:t>
      </w:r>
      <w:r>
        <w:rPr>
          <w:rFonts w:hint="default" w:ascii="Times New Roman" w:hAnsi="Times New Roman" w:cs="Times New Roman"/>
          <w:szCs w:val="21"/>
          <w:highlight w:val="none"/>
        </w:rPr>
        <w:t>不得将属于</w:t>
      </w:r>
      <w:r>
        <w:rPr>
          <w:rFonts w:hint="eastAsia" w:cs="Times New Roman"/>
          <w:szCs w:val="21"/>
          <w:highlight w:val="none"/>
          <w:lang w:val="en-US" w:eastAsia="zh-CN"/>
        </w:rPr>
        <w:t>甲方</w:t>
      </w:r>
      <w:r>
        <w:rPr>
          <w:rFonts w:hint="default" w:ascii="Times New Roman" w:hAnsi="Times New Roman" w:cs="Times New Roman"/>
          <w:szCs w:val="21"/>
          <w:highlight w:val="none"/>
        </w:rPr>
        <w:t>的任何资料用于本协议之外的目的。</w:t>
      </w:r>
    </w:p>
    <w:p>
      <w:pPr>
        <w:spacing w:line="360" w:lineRule="auto"/>
        <w:ind w:firstLine="420" w:firstLineChars="200"/>
        <w:rPr>
          <w:rFonts w:hint="default" w:ascii="Times New Roman" w:hAnsi="Times New Roman" w:cs="Times New Roman"/>
          <w:szCs w:val="21"/>
          <w:highlight w:val="none"/>
        </w:rPr>
      </w:pPr>
      <w:r>
        <w:rPr>
          <w:rFonts w:hint="eastAsia" w:ascii="Times New Roman" w:hAnsi="Times New Roman" w:cs="Times New Roman"/>
          <w:szCs w:val="21"/>
          <w:highlight w:val="none"/>
          <w:lang w:val="en-US" w:eastAsia="zh-CN"/>
        </w:rPr>
        <w:t>7.2</w:t>
      </w:r>
      <w:r>
        <w:rPr>
          <w:rFonts w:hint="eastAsia" w:cs="Times New Roman"/>
          <w:szCs w:val="21"/>
          <w:highlight w:val="none"/>
          <w:lang w:eastAsia="zh-CN"/>
        </w:rPr>
        <w:t>乙方</w:t>
      </w:r>
      <w:r>
        <w:rPr>
          <w:rFonts w:hint="default" w:ascii="Times New Roman" w:hAnsi="Times New Roman" w:cs="Times New Roman"/>
          <w:szCs w:val="21"/>
          <w:highlight w:val="none"/>
        </w:rPr>
        <w:t>应妥善保管</w:t>
      </w:r>
      <w:r>
        <w:rPr>
          <w:rFonts w:hint="eastAsia" w:cs="Times New Roman"/>
          <w:szCs w:val="21"/>
          <w:highlight w:val="none"/>
          <w:lang w:eastAsia="zh-CN"/>
        </w:rPr>
        <w:t>甲方</w:t>
      </w:r>
      <w:r>
        <w:rPr>
          <w:rFonts w:hint="default" w:ascii="Times New Roman" w:hAnsi="Times New Roman" w:cs="Times New Roman"/>
          <w:szCs w:val="21"/>
          <w:highlight w:val="none"/>
        </w:rPr>
        <w:t>提供的各种资料、信息和数据。</w:t>
      </w:r>
    </w:p>
    <w:p>
      <w:pPr>
        <w:spacing w:line="360" w:lineRule="auto"/>
        <w:ind w:firstLine="420" w:firstLineChars="200"/>
        <w:rPr>
          <w:rFonts w:hint="default" w:ascii="Times New Roman" w:hAnsi="Times New Roman" w:cs="Times New Roman"/>
          <w:szCs w:val="21"/>
          <w:highlight w:val="none"/>
        </w:rPr>
      </w:pPr>
      <w:r>
        <w:rPr>
          <w:rFonts w:hint="eastAsia" w:cs="Times New Roman"/>
          <w:szCs w:val="21"/>
          <w:highlight w:val="none"/>
          <w:lang w:val="en-US" w:eastAsia="zh-CN"/>
        </w:rPr>
        <w:t>7.3</w:t>
      </w:r>
      <w:r>
        <w:rPr>
          <w:rFonts w:hint="eastAsia" w:cs="Times New Roman"/>
          <w:szCs w:val="21"/>
          <w:highlight w:val="none"/>
          <w:lang w:eastAsia="zh-CN"/>
        </w:rPr>
        <w:t>乙方</w:t>
      </w:r>
      <w:r>
        <w:rPr>
          <w:rFonts w:hint="default" w:ascii="Times New Roman" w:hAnsi="Times New Roman" w:cs="Times New Roman"/>
          <w:szCs w:val="21"/>
          <w:highlight w:val="none"/>
        </w:rPr>
        <w:t>对</w:t>
      </w:r>
      <w:r>
        <w:rPr>
          <w:rFonts w:hint="eastAsia" w:cs="Times New Roman"/>
          <w:szCs w:val="21"/>
          <w:highlight w:val="none"/>
          <w:lang w:eastAsia="zh-CN"/>
        </w:rPr>
        <w:t>甲方</w:t>
      </w:r>
      <w:r>
        <w:rPr>
          <w:rFonts w:hint="default" w:ascii="Times New Roman" w:hAnsi="Times New Roman" w:cs="Times New Roman"/>
          <w:szCs w:val="21"/>
          <w:highlight w:val="none"/>
        </w:rPr>
        <w:t>所提供的技术资料承担保密义务。本协议履行完毕后，除双方另有约定外，</w:t>
      </w:r>
      <w:r>
        <w:rPr>
          <w:rFonts w:hint="eastAsia" w:cs="Times New Roman"/>
          <w:szCs w:val="21"/>
          <w:highlight w:val="none"/>
          <w:lang w:eastAsia="zh-CN"/>
        </w:rPr>
        <w:t>乙方</w:t>
      </w:r>
      <w:r>
        <w:rPr>
          <w:rFonts w:hint="default" w:ascii="Times New Roman" w:hAnsi="Times New Roman" w:cs="Times New Roman"/>
          <w:szCs w:val="21"/>
          <w:highlight w:val="none"/>
        </w:rPr>
        <w:t>应按</w:t>
      </w:r>
      <w:r>
        <w:rPr>
          <w:rFonts w:hint="eastAsia" w:cs="Times New Roman"/>
          <w:szCs w:val="21"/>
          <w:highlight w:val="none"/>
          <w:lang w:eastAsia="zh-CN"/>
        </w:rPr>
        <w:t>甲方</w:t>
      </w:r>
      <w:r>
        <w:rPr>
          <w:rFonts w:hint="default" w:ascii="Times New Roman" w:hAnsi="Times New Roman" w:cs="Times New Roman"/>
          <w:szCs w:val="21"/>
          <w:highlight w:val="none"/>
        </w:rPr>
        <w:t>要求退还</w:t>
      </w:r>
      <w:r>
        <w:rPr>
          <w:rFonts w:hint="eastAsia" w:cs="Times New Roman"/>
          <w:szCs w:val="21"/>
          <w:highlight w:val="none"/>
          <w:lang w:eastAsia="zh-CN"/>
        </w:rPr>
        <w:t>甲方</w:t>
      </w:r>
      <w:r>
        <w:rPr>
          <w:rFonts w:hint="default" w:ascii="Times New Roman" w:hAnsi="Times New Roman" w:cs="Times New Roman"/>
          <w:szCs w:val="21"/>
          <w:highlight w:val="none"/>
        </w:rPr>
        <w:t>所提供的技术资料。</w:t>
      </w:r>
    </w:p>
    <w:p>
      <w:pPr>
        <w:spacing w:line="360" w:lineRule="auto"/>
        <w:ind w:firstLine="420" w:firstLineChars="200"/>
        <w:rPr>
          <w:rFonts w:hint="eastAsia" w:cs="Times New Roman"/>
          <w:szCs w:val="21"/>
          <w:highlight w:val="none"/>
          <w:lang w:val="en-US" w:eastAsia="zh-CN"/>
        </w:rPr>
      </w:pPr>
      <w:r>
        <w:rPr>
          <w:rFonts w:hint="eastAsia" w:cs="Times New Roman"/>
          <w:szCs w:val="21"/>
          <w:highlight w:val="none"/>
          <w:lang w:val="en-US" w:eastAsia="zh-CN"/>
        </w:rPr>
        <w:t>7.4</w:t>
      </w:r>
      <w:r>
        <w:rPr>
          <w:rFonts w:hint="default" w:ascii="Times New Roman" w:hAnsi="Times New Roman" w:cs="Times New Roman"/>
          <w:szCs w:val="21"/>
          <w:highlight w:val="none"/>
          <w:lang w:val="en-US" w:eastAsia="zh-CN"/>
        </w:rPr>
        <w:t>一方必须对本合同的签订和履行以及在此期间所接触到的对方的保密信息进行严格保密，未经对方书面许可不得向任何第三方以任何形式进行披露，但是有证据证明属于下列信息的，不受此限</w:t>
      </w:r>
      <w:r>
        <w:rPr>
          <w:rFonts w:hint="eastAsia" w:cs="Times New Roman"/>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imes New Roman"/>
          <w:szCs w:val="21"/>
          <w:highlight w:val="none"/>
          <w:lang w:val="en-US" w:eastAsia="zh-CN"/>
        </w:rPr>
      </w:pPr>
      <w:r>
        <w:rPr>
          <w:rFonts w:hint="eastAsia" w:cs="Times New Roman"/>
          <w:szCs w:val="21"/>
          <w:highlight w:val="none"/>
          <w:lang w:val="en-US" w:eastAsia="zh-CN"/>
        </w:rPr>
        <w:t>（1）已成为公知信息，而乙方对此并无过错；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imes New Roman"/>
          <w:szCs w:val="21"/>
          <w:highlight w:val="none"/>
          <w:lang w:val="en-US" w:eastAsia="zh-CN"/>
        </w:rPr>
      </w:pPr>
      <w:r>
        <w:rPr>
          <w:rFonts w:hint="eastAsia" w:cs="Times New Roman"/>
          <w:szCs w:val="21"/>
          <w:highlight w:val="none"/>
          <w:lang w:val="en-US" w:eastAsia="zh-CN"/>
        </w:rPr>
        <w:t>（2）披露时乙方已经知晓的信息；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imes New Roman"/>
          <w:szCs w:val="21"/>
          <w:highlight w:val="none"/>
          <w:lang w:val="en-US" w:eastAsia="zh-CN"/>
        </w:rPr>
      </w:pPr>
      <w:r>
        <w:rPr>
          <w:rFonts w:hint="eastAsia" w:cs="Times New Roman"/>
          <w:szCs w:val="21"/>
          <w:highlight w:val="none"/>
          <w:lang w:val="en-US" w:eastAsia="zh-CN"/>
        </w:rPr>
        <w:t>（3）乙方从第三方合法获得的信息，且未附加保密的义务；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imes New Roman"/>
          <w:szCs w:val="21"/>
          <w:highlight w:val="none"/>
          <w:lang w:val="en-US" w:eastAsia="zh-CN"/>
        </w:rPr>
      </w:pPr>
      <w:r>
        <w:rPr>
          <w:rFonts w:hint="eastAsia" w:cs="Times New Roman"/>
          <w:szCs w:val="21"/>
          <w:highlight w:val="none"/>
          <w:lang w:val="en-US" w:eastAsia="zh-CN"/>
        </w:rPr>
        <w:t>（4）乙方并未使用保密信息，而自行研发获得的信息；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imes New Roman"/>
          <w:szCs w:val="21"/>
          <w:highlight w:val="none"/>
          <w:lang w:val="en-US" w:eastAsia="zh-CN"/>
        </w:rPr>
      </w:pPr>
      <w:r>
        <w:rPr>
          <w:rFonts w:hint="eastAsia" w:cs="Times New Roman"/>
          <w:szCs w:val="21"/>
          <w:highlight w:val="none"/>
          <w:lang w:val="en-US" w:eastAsia="zh-CN"/>
        </w:rPr>
        <w:t>（5）甲方事先书面同意披露或使用的信息。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Times New Roman"/>
          <w:szCs w:val="21"/>
          <w:highlight w:val="none"/>
          <w:lang w:val="en-US" w:eastAsia="zh-CN"/>
        </w:rPr>
      </w:pPr>
      <w:r>
        <w:rPr>
          <w:rFonts w:hint="eastAsia" w:cs="Times New Roman"/>
          <w:szCs w:val="21"/>
          <w:highlight w:val="none"/>
          <w:lang w:val="en-US" w:eastAsia="zh-CN"/>
        </w:rPr>
        <w:t>7.5一方发现保密信息发生泄露等事故时，应立即告知对方，经双方协商后采取合理的对策。另外，由于一方的故意或过失造成保密信息泄露时，该方须承担本合同金额的2%，或人民币壹拾万元的违约金，以较高者为准，上述违约金不足以弥补本协议另一方损失的，违约方应向本协议另一方赔偿差额部分，且须及时采取必要的措施将对方损失控制在最小限度内，并自行承担因此发生的费用和责任。如果一方未及时采取必要措施而使损失扩大，则该方对对方扩大的损失亦承担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7.6</w:t>
      </w:r>
      <w:r>
        <w:rPr>
          <w:rFonts w:hint="default"/>
          <w:highlight w:val="none"/>
          <w:lang w:val="en-US" w:eastAsia="zh-CN"/>
        </w:rPr>
        <w:t>.本条规定的保密义务在本协议终止后继续有效，不因本协议的终止而终止。</w:t>
      </w:r>
    </w:p>
    <w:p>
      <w:pPr>
        <w:pStyle w:val="24"/>
        <w:spacing w:before="0" w:beforeLines="0" w:after="0" w:afterLines="0" w:line="360" w:lineRule="auto"/>
        <w:ind w:firstLine="422" w:firstLineChars="200"/>
        <w:rPr>
          <w:rFonts w:hint="default" w:ascii="Times New Roman" w:hAnsi="Times New Roman" w:cs="Times New Roman"/>
          <w:sz w:val="21"/>
          <w:szCs w:val="21"/>
          <w:highlight w:val="none"/>
        </w:rPr>
      </w:pPr>
      <w:r>
        <w:rPr>
          <w:rFonts w:hint="eastAsia" w:ascii="Times New Roman" w:hAnsi="Times New Roman" w:cs="Times New Roman"/>
          <w:b/>
          <w:sz w:val="21"/>
          <w:szCs w:val="21"/>
          <w:highlight w:val="none"/>
          <w:lang w:val="en-US" w:eastAsia="zh-CN"/>
        </w:rPr>
        <w:t>八</w:t>
      </w:r>
      <w:r>
        <w:rPr>
          <w:rFonts w:hint="default" w:ascii="Times New Roman" w:hAnsi="Times New Roman" w:cs="Times New Roman"/>
          <w:b/>
          <w:sz w:val="21"/>
          <w:szCs w:val="21"/>
          <w:highlight w:val="none"/>
        </w:rPr>
        <w:t>、质保期</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8</w:t>
      </w:r>
      <w:r>
        <w:rPr>
          <w:rFonts w:hint="default" w:ascii="Times New Roman" w:hAnsi="Times New Roman" w:cs="Times New Roman"/>
          <w:sz w:val="21"/>
          <w:szCs w:val="21"/>
          <w:highlight w:val="none"/>
        </w:rPr>
        <w:t>.1 质保期</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年。（自交货验收合格之日起计）</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eastAsia" w:ascii="Times New Roman" w:hAnsi="Times New Roman" w:cs="Times New Roman"/>
          <w:b/>
          <w:sz w:val="21"/>
          <w:szCs w:val="21"/>
          <w:highlight w:val="none"/>
          <w:lang w:val="en-US" w:eastAsia="zh-CN"/>
        </w:rPr>
        <w:t>九</w:t>
      </w:r>
      <w:r>
        <w:rPr>
          <w:rFonts w:hint="default" w:ascii="Times New Roman" w:hAnsi="Times New Roman" w:cs="Times New Roman"/>
          <w:b/>
          <w:sz w:val="21"/>
          <w:szCs w:val="21"/>
          <w:highlight w:val="none"/>
        </w:rPr>
        <w:t>、交付期及交付地点</w:t>
      </w:r>
    </w:p>
    <w:p>
      <w:pPr>
        <w:pStyle w:val="24"/>
        <w:spacing w:before="0" w:beforeLines="0" w:after="0" w:afterLines="0" w:line="360" w:lineRule="auto"/>
        <w:ind w:firstLine="420" w:firstLineChars="200"/>
        <w:rPr>
          <w:rFonts w:hint="default" w:ascii="Times New Roman" w:hAnsi="Times New Roman" w:cs="Times New Roman"/>
          <w:bCs/>
          <w:sz w:val="21"/>
          <w:szCs w:val="21"/>
          <w:highlight w:val="none"/>
        </w:rPr>
      </w:pPr>
      <w:r>
        <w:rPr>
          <w:rFonts w:hint="eastAsia" w:ascii="Times New Roman" w:hAnsi="Times New Roman" w:cs="Times New Roman"/>
          <w:bCs/>
          <w:sz w:val="21"/>
          <w:szCs w:val="21"/>
          <w:highlight w:val="none"/>
          <w:lang w:val="en-US" w:eastAsia="zh-CN"/>
        </w:rPr>
        <w:t>9</w:t>
      </w:r>
      <w:r>
        <w:rPr>
          <w:rFonts w:hint="default" w:ascii="Times New Roman" w:hAnsi="Times New Roman" w:cs="Times New Roman"/>
          <w:bCs/>
          <w:sz w:val="21"/>
          <w:szCs w:val="21"/>
          <w:highlight w:val="none"/>
        </w:rPr>
        <w:t>.1 交付期：</w:t>
      </w:r>
      <w:r>
        <w:rPr>
          <w:rFonts w:hint="default" w:ascii="Times New Roman" w:hAnsi="Times New Roman" w:cs="Times New Roman"/>
          <w:bCs/>
          <w:sz w:val="21"/>
          <w:szCs w:val="21"/>
          <w:highlight w:val="none"/>
        </w:rPr>
        <w:tab/>
      </w:r>
    </w:p>
    <w:p>
      <w:pPr>
        <w:pStyle w:val="24"/>
        <w:spacing w:before="0" w:beforeLines="0" w:after="0" w:afterLines="0" w:line="360" w:lineRule="auto"/>
        <w:ind w:firstLine="420" w:firstLineChars="200"/>
        <w:rPr>
          <w:rFonts w:hint="default" w:ascii="Times New Roman" w:hAnsi="Times New Roman" w:cs="Times New Roman"/>
          <w:b/>
          <w:sz w:val="21"/>
          <w:szCs w:val="21"/>
          <w:highlight w:val="none"/>
        </w:rPr>
      </w:pPr>
      <w:r>
        <w:rPr>
          <w:rFonts w:hint="eastAsia" w:ascii="Times New Roman" w:hAnsi="Times New Roman" w:cs="Times New Roman"/>
          <w:bCs/>
          <w:sz w:val="21"/>
          <w:szCs w:val="21"/>
          <w:highlight w:val="none"/>
          <w:lang w:val="en-US" w:eastAsia="zh-CN"/>
        </w:rPr>
        <w:t>9</w:t>
      </w:r>
      <w:r>
        <w:rPr>
          <w:rFonts w:hint="default" w:ascii="Times New Roman" w:hAnsi="Times New Roman" w:cs="Times New Roman"/>
          <w:bCs/>
          <w:sz w:val="21"/>
          <w:szCs w:val="21"/>
          <w:highlight w:val="none"/>
        </w:rPr>
        <w:t>.2 交付地点：</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eastAsia" w:ascii="Times New Roman" w:hAnsi="Times New Roman" w:cs="Times New Roman"/>
          <w:b/>
          <w:sz w:val="21"/>
          <w:szCs w:val="21"/>
          <w:highlight w:val="none"/>
          <w:lang w:val="en-US" w:eastAsia="zh-CN"/>
        </w:rPr>
        <w:t>十</w:t>
      </w:r>
      <w:r>
        <w:rPr>
          <w:rFonts w:hint="default" w:ascii="Times New Roman" w:hAnsi="Times New Roman" w:cs="Times New Roman"/>
          <w:b/>
          <w:sz w:val="21"/>
          <w:szCs w:val="21"/>
          <w:highlight w:val="none"/>
        </w:rPr>
        <w:t>、</w:t>
      </w:r>
      <w:r>
        <w:rPr>
          <w:rFonts w:hint="eastAsia" w:ascii="Times New Roman" w:hAnsi="Times New Roman" w:cs="Times New Roman"/>
          <w:b/>
          <w:sz w:val="21"/>
          <w:szCs w:val="21"/>
          <w:highlight w:val="none"/>
          <w:lang w:eastAsia="zh-CN"/>
        </w:rPr>
        <w:t>费用</w:t>
      </w:r>
      <w:r>
        <w:rPr>
          <w:rFonts w:hint="default" w:ascii="Times New Roman" w:hAnsi="Times New Roman" w:cs="Times New Roman"/>
          <w:b/>
          <w:sz w:val="21"/>
          <w:szCs w:val="21"/>
          <w:highlight w:val="none"/>
        </w:rPr>
        <w:t>支付</w:t>
      </w:r>
    </w:p>
    <w:p>
      <w:pPr>
        <w:pStyle w:val="24"/>
        <w:spacing w:before="0" w:beforeLines="0" w:after="0" w:afterLines="0" w:line="360" w:lineRule="auto"/>
        <w:ind w:firstLine="420" w:firstLineChars="200"/>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10.1、合同生效以及具备实施条件后7个工作日内，甲方向乙方支付合同金额的30%作为预付款；</w:t>
      </w:r>
    </w:p>
    <w:p>
      <w:pPr>
        <w:pStyle w:val="17"/>
        <w:ind w:firstLine="420" w:firstLineChars="200"/>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10.2、试运行上线</w:t>
      </w:r>
      <w:r>
        <w:rPr>
          <w:rFonts w:hint="eastAsia" w:cs="Times New Roman"/>
          <w:sz w:val="21"/>
          <w:szCs w:val="21"/>
          <w:highlight w:val="none"/>
          <w:lang w:val="en-US" w:eastAsia="zh-CN"/>
        </w:rPr>
        <w:t>，</w:t>
      </w:r>
      <w:r>
        <w:rPr>
          <w:rFonts w:hint="eastAsia" w:ascii="Times New Roman" w:hAnsi="Times New Roman" w:cs="Times New Roman"/>
          <w:sz w:val="21"/>
          <w:szCs w:val="21"/>
          <w:highlight w:val="none"/>
          <w:lang w:val="en-US" w:eastAsia="zh-CN"/>
        </w:rPr>
        <w:t>经甲方</w:t>
      </w:r>
      <w:r>
        <w:rPr>
          <w:rFonts w:hint="eastAsia" w:cs="Times New Roman"/>
          <w:sz w:val="21"/>
          <w:szCs w:val="21"/>
          <w:highlight w:val="none"/>
          <w:lang w:val="en-US" w:eastAsia="zh-CN"/>
        </w:rPr>
        <w:t>验收后支付至</w:t>
      </w:r>
      <w:r>
        <w:rPr>
          <w:rFonts w:hint="eastAsia" w:ascii="Times New Roman" w:hAnsi="Times New Roman" w:cs="Times New Roman"/>
          <w:sz w:val="21"/>
          <w:szCs w:val="21"/>
          <w:highlight w:val="none"/>
          <w:lang w:val="en-US" w:eastAsia="zh-CN"/>
        </w:rPr>
        <w:t>合同金额的</w:t>
      </w:r>
      <w:r>
        <w:rPr>
          <w:rFonts w:hint="eastAsia" w:cs="Times New Roman"/>
          <w:sz w:val="21"/>
          <w:szCs w:val="21"/>
          <w:highlight w:val="none"/>
          <w:lang w:val="en-US" w:eastAsia="zh-CN"/>
        </w:rPr>
        <w:t>80</w:t>
      </w:r>
      <w:r>
        <w:rPr>
          <w:rFonts w:hint="eastAsia" w:ascii="Times New Roman" w:hAnsi="Times New Roman" w:cs="Times New Roman"/>
          <w:sz w:val="21"/>
          <w:szCs w:val="21"/>
          <w:highlight w:val="none"/>
          <w:lang w:val="en-US" w:eastAsia="zh-CN"/>
        </w:rPr>
        <w:t>%</w:t>
      </w:r>
    </w:p>
    <w:p>
      <w:pPr>
        <w:pStyle w:val="24"/>
        <w:spacing w:before="0" w:beforeLines="0" w:after="0" w:afterLines="0" w:line="360" w:lineRule="auto"/>
        <w:ind w:firstLine="420" w:firstLineChars="200"/>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10.3、项目试运营期满，且通过省级未来社区验收</w:t>
      </w:r>
      <w:r>
        <w:rPr>
          <w:rFonts w:hint="eastAsia" w:cs="Times New Roman"/>
          <w:sz w:val="21"/>
          <w:szCs w:val="21"/>
          <w:highlight w:val="none"/>
          <w:lang w:val="en-US" w:eastAsia="zh-CN"/>
        </w:rPr>
        <w:t>后</w:t>
      </w:r>
      <w:r>
        <w:rPr>
          <w:rFonts w:hint="eastAsia" w:ascii="Times New Roman" w:hAnsi="Times New Roman" w:cs="Times New Roman"/>
          <w:sz w:val="21"/>
          <w:szCs w:val="21"/>
          <w:highlight w:val="none"/>
          <w:lang w:val="en-US" w:eastAsia="zh-CN"/>
        </w:rPr>
        <w:t>，支付至结算审核金额</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u w:val="single"/>
        </w:rPr>
      </w:pPr>
      <w:r>
        <w:rPr>
          <w:rFonts w:hint="default" w:ascii="Times New Roman" w:hAnsi="Times New Roman" w:cs="Times New Roman"/>
          <w:sz w:val="21"/>
          <w:szCs w:val="21"/>
          <w:highlight w:val="none"/>
        </w:rPr>
        <w:t>注：</w:t>
      </w:r>
      <w:r>
        <w:rPr>
          <w:rFonts w:hint="eastAsia" w:ascii="Times New Roman" w:hAnsi="Times New Roman" w:cs="Times New Roman"/>
          <w:sz w:val="21"/>
          <w:szCs w:val="21"/>
          <w:highlight w:val="none"/>
          <w:lang w:val="en-US" w:eastAsia="zh-CN"/>
        </w:rPr>
        <w:t>甲方</w:t>
      </w:r>
      <w:r>
        <w:rPr>
          <w:rFonts w:hint="default" w:ascii="Times New Roman" w:hAnsi="Times New Roman" w:cs="Times New Roman"/>
          <w:sz w:val="21"/>
          <w:szCs w:val="21"/>
          <w:highlight w:val="none"/>
        </w:rPr>
        <w:t>向</w:t>
      </w:r>
      <w:r>
        <w:rPr>
          <w:rFonts w:hint="eastAsia" w:ascii="Times New Roman" w:hAnsi="Times New Roman" w:cs="Times New Roman"/>
          <w:sz w:val="21"/>
          <w:szCs w:val="21"/>
          <w:highlight w:val="none"/>
          <w:lang w:val="en-US" w:eastAsia="zh-CN"/>
        </w:rPr>
        <w:t>乙方</w:t>
      </w:r>
      <w:r>
        <w:rPr>
          <w:rFonts w:hint="default" w:ascii="Times New Roman" w:hAnsi="Times New Roman" w:cs="Times New Roman"/>
          <w:sz w:val="21"/>
          <w:szCs w:val="21"/>
          <w:highlight w:val="none"/>
        </w:rPr>
        <w:t>付款时，</w:t>
      </w:r>
      <w:r>
        <w:rPr>
          <w:rFonts w:hint="eastAsia" w:ascii="Times New Roman" w:hAnsi="Times New Roman" w:cs="Times New Roman"/>
          <w:sz w:val="21"/>
          <w:szCs w:val="21"/>
          <w:highlight w:val="none"/>
          <w:lang w:val="en-US" w:eastAsia="zh-CN"/>
        </w:rPr>
        <w:t>乙方</w:t>
      </w:r>
      <w:r>
        <w:rPr>
          <w:rFonts w:hint="default" w:ascii="Times New Roman" w:hAnsi="Times New Roman" w:cs="Times New Roman"/>
          <w:sz w:val="21"/>
          <w:szCs w:val="21"/>
          <w:highlight w:val="none"/>
        </w:rPr>
        <w:t>须向</w:t>
      </w:r>
      <w:r>
        <w:rPr>
          <w:rFonts w:hint="eastAsia" w:ascii="Times New Roman" w:hAnsi="Times New Roman" w:cs="Times New Roman"/>
          <w:sz w:val="21"/>
          <w:szCs w:val="21"/>
          <w:highlight w:val="none"/>
          <w:lang w:val="en-US" w:eastAsia="zh-CN"/>
        </w:rPr>
        <w:t>甲方</w:t>
      </w:r>
      <w:r>
        <w:rPr>
          <w:rFonts w:hint="default" w:ascii="Times New Roman" w:hAnsi="Times New Roman" w:cs="Times New Roman"/>
          <w:sz w:val="21"/>
          <w:szCs w:val="21"/>
          <w:highlight w:val="none"/>
        </w:rPr>
        <w:t>提供相当于</w:t>
      </w:r>
      <w:r>
        <w:rPr>
          <w:rFonts w:hint="eastAsia" w:ascii="Times New Roman" w:hAnsi="Times New Roman" w:cs="Times New Roman"/>
          <w:sz w:val="21"/>
          <w:szCs w:val="21"/>
          <w:highlight w:val="none"/>
          <w:lang w:val="en-US" w:eastAsia="zh-CN"/>
        </w:rPr>
        <w:t>甲方</w:t>
      </w:r>
      <w:r>
        <w:rPr>
          <w:rFonts w:hint="default" w:ascii="Times New Roman" w:hAnsi="Times New Roman" w:cs="Times New Roman"/>
          <w:sz w:val="21"/>
          <w:szCs w:val="21"/>
          <w:highlight w:val="none"/>
        </w:rPr>
        <w:t>付款金额合法有效发票，否则</w:t>
      </w:r>
      <w:r>
        <w:rPr>
          <w:rFonts w:hint="eastAsia" w:ascii="Times New Roman" w:hAnsi="Times New Roman" w:cs="Times New Roman"/>
          <w:sz w:val="21"/>
          <w:szCs w:val="21"/>
          <w:highlight w:val="none"/>
          <w:lang w:val="en-US" w:eastAsia="zh-CN"/>
        </w:rPr>
        <w:t>甲方</w:t>
      </w:r>
      <w:r>
        <w:rPr>
          <w:rFonts w:hint="default" w:ascii="Times New Roman" w:hAnsi="Times New Roman" w:cs="Times New Roman"/>
          <w:sz w:val="21"/>
          <w:szCs w:val="21"/>
          <w:highlight w:val="none"/>
        </w:rPr>
        <w:t>有权拒绝付款。</w:t>
      </w:r>
    </w:p>
    <w:p>
      <w:pPr>
        <w:spacing w:line="360" w:lineRule="auto"/>
        <w:ind w:firstLine="422" w:firstLineChars="200"/>
        <w:rPr>
          <w:rFonts w:hint="default" w:ascii="Times New Roman" w:hAnsi="Times New Roman" w:cs="Times New Roman"/>
          <w:b/>
          <w:szCs w:val="21"/>
          <w:highlight w:val="none"/>
        </w:rPr>
      </w:pPr>
      <w:r>
        <w:rPr>
          <w:rFonts w:hint="eastAsia" w:cs="Times New Roman"/>
          <w:b/>
          <w:szCs w:val="21"/>
          <w:highlight w:val="none"/>
          <w:lang w:val="en-US" w:eastAsia="zh-CN"/>
        </w:rPr>
        <w:t>十一</w:t>
      </w:r>
      <w:r>
        <w:rPr>
          <w:rFonts w:hint="default" w:ascii="Times New Roman" w:hAnsi="Times New Roman" w:cs="Times New Roman"/>
          <w:b/>
          <w:szCs w:val="21"/>
          <w:highlight w:val="none"/>
        </w:rPr>
        <w:t>、税</w:t>
      </w:r>
    </w:p>
    <w:p>
      <w:pPr>
        <w:spacing w:line="360" w:lineRule="auto"/>
        <w:ind w:firstLine="420" w:firstLineChars="200"/>
        <w:rPr>
          <w:rFonts w:hint="default" w:ascii="Times New Roman" w:hAnsi="Times New Roman" w:cs="Times New Roman"/>
          <w:szCs w:val="21"/>
          <w:highlight w:val="none"/>
        </w:rPr>
      </w:pPr>
      <w:r>
        <w:rPr>
          <w:rFonts w:hint="eastAsia" w:cs="Times New Roman"/>
          <w:szCs w:val="21"/>
          <w:highlight w:val="none"/>
          <w:lang w:val="en-US" w:eastAsia="zh-CN"/>
        </w:rPr>
        <w:t>11</w:t>
      </w:r>
      <w:r>
        <w:rPr>
          <w:rFonts w:hint="default" w:ascii="Times New Roman" w:hAnsi="Times New Roman" w:cs="Times New Roman"/>
          <w:szCs w:val="21"/>
          <w:highlight w:val="none"/>
        </w:rPr>
        <w:t>.1本合同执行中相关的一切税费均由</w:t>
      </w:r>
      <w:r>
        <w:rPr>
          <w:rFonts w:hint="eastAsia" w:ascii="Times New Roman" w:hAnsi="Times New Roman" w:cs="Times New Roman"/>
          <w:szCs w:val="21"/>
          <w:highlight w:val="none"/>
          <w:lang w:val="en-US" w:eastAsia="zh-CN"/>
        </w:rPr>
        <w:t>乙</w:t>
      </w:r>
      <w:r>
        <w:rPr>
          <w:rFonts w:hint="default" w:ascii="Times New Roman" w:hAnsi="Times New Roman" w:cs="Times New Roman"/>
          <w:szCs w:val="21"/>
          <w:highlight w:val="none"/>
        </w:rPr>
        <w:t>方负担。</w:t>
      </w:r>
    </w:p>
    <w:p>
      <w:pPr>
        <w:pStyle w:val="24"/>
        <w:spacing w:before="0" w:beforeLines="0" w:after="0" w:afterLines="0" w:line="360" w:lineRule="auto"/>
        <w:ind w:firstLine="422" w:firstLineChars="200"/>
        <w:rPr>
          <w:rFonts w:hint="default" w:ascii="Times New Roman" w:hAnsi="Times New Roman" w:cs="Times New Roman"/>
          <w:sz w:val="21"/>
          <w:szCs w:val="21"/>
          <w:highlight w:val="none"/>
        </w:rPr>
      </w:pPr>
      <w:r>
        <w:rPr>
          <w:rFonts w:hint="default" w:ascii="Times New Roman" w:hAnsi="Times New Roman" w:cs="Times New Roman"/>
          <w:b/>
          <w:sz w:val="21"/>
          <w:szCs w:val="21"/>
          <w:highlight w:val="none"/>
        </w:rPr>
        <w:t>十</w:t>
      </w:r>
      <w:r>
        <w:rPr>
          <w:rFonts w:hint="eastAsia" w:ascii="Times New Roman" w:hAnsi="Times New Roman" w:cs="Times New Roman"/>
          <w:b/>
          <w:sz w:val="21"/>
          <w:szCs w:val="21"/>
          <w:highlight w:val="none"/>
          <w:lang w:val="en-US" w:eastAsia="zh-CN"/>
        </w:rPr>
        <w:t>二</w:t>
      </w:r>
      <w:r>
        <w:rPr>
          <w:rFonts w:hint="default" w:ascii="Times New Roman" w:hAnsi="Times New Roman" w:cs="Times New Roman"/>
          <w:b/>
          <w:sz w:val="21"/>
          <w:szCs w:val="21"/>
          <w:highlight w:val="none"/>
        </w:rPr>
        <w:t>、质量保证及售后服务</w:t>
      </w:r>
    </w:p>
    <w:p>
      <w:pPr>
        <w:spacing w:line="360" w:lineRule="auto"/>
        <w:ind w:firstLine="420" w:firstLineChars="200"/>
        <w:rPr>
          <w:rFonts w:hint="eastAsia" w:ascii="Times New Roman" w:hAnsi="Times New Roman" w:cs="Times New Roman"/>
          <w:szCs w:val="21"/>
          <w:highlight w:val="none"/>
          <w:lang w:val="en-US" w:eastAsia="zh-CN"/>
        </w:rPr>
      </w:pPr>
      <w:r>
        <w:rPr>
          <w:rFonts w:hint="eastAsia" w:cs="Times New Roman"/>
          <w:szCs w:val="21"/>
          <w:highlight w:val="none"/>
          <w:lang w:val="en-US" w:eastAsia="zh-CN"/>
        </w:rPr>
        <w:t>12.1</w:t>
      </w:r>
      <w:r>
        <w:rPr>
          <w:rFonts w:hint="eastAsia" w:ascii="Times New Roman" w:hAnsi="Times New Roman" w:cs="Times New Roman"/>
          <w:szCs w:val="21"/>
          <w:highlight w:val="none"/>
          <w:lang w:val="en-US" w:eastAsia="zh-CN"/>
        </w:rPr>
        <w:t>本项目系统建设完成通过终验后进入为期</w:t>
      </w:r>
      <w:r>
        <w:rPr>
          <w:rFonts w:hint="eastAsia" w:cs="Times New Roman"/>
          <w:szCs w:val="21"/>
          <w:highlight w:val="none"/>
          <w:lang w:val="en-US" w:eastAsia="zh-CN"/>
        </w:rPr>
        <w:t>2</w:t>
      </w:r>
      <w:r>
        <w:rPr>
          <w:rFonts w:hint="eastAsia" w:ascii="Times New Roman" w:hAnsi="Times New Roman" w:cs="Times New Roman"/>
          <w:szCs w:val="21"/>
          <w:highlight w:val="none"/>
          <w:lang w:val="en-US" w:eastAsia="zh-CN"/>
        </w:rPr>
        <w:t>年的质保期，质保期内运行维护包括软件系统故障修复、定期巡检等。</w:t>
      </w:r>
    </w:p>
    <w:p>
      <w:pPr>
        <w:spacing w:line="360" w:lineRule="auto"/>
        <w:ind w:firstLine="420" w:firstLineChars="200"/>
        <w:rPr>
          <w:rFonts w:hint="eastAsia" w:ascii="Times New Roman" w:hAnsi="Times New Roman" w:cs="Times New Roman"/>
          <w:szCs w:val="21"/>
          <w:highlight w:val="none"/>
          <w:lang w:val="en-US" w:eastAsia="zh-CN"/>
        </w:rPr>
      </w:pPr>
      <w:r>
        <w:rPr>
          <w:rFonts w:hint="eastAsia" w:cs="Times New Roman"/>
          <w:szCs w:val="21"/>
          <w:highlight w:val="none"/>
          <w:lang w:val="en-US" w:eastAsia="zh-CN"/>
        </w:rPr>
        <w:t>12.</w:t>
      </w:r>
      <w:r>
        <w:rPr>
          <w:rFonts w:hint="eastAsia" w:ascii="Times New Roman" w:hAnsi="Times New Roman" w:cs="Times New Roman"/>
          <w:szCs w:val="21"/>
          <w:highlight w:val="none"/>
          <w:lang w:val="en-US" w:eastAsia="zh-CN"/>
        </w:rPr>
        <w:t>2乙方提供的成果在服务质量保证期内发生故障，乙方应负责免费提供后续服务。对达不到要求者，根据实际情况，经双方协商，可按以下办法处理</w:t>
      </w:r>
      <w:r>
        <w:rPr>
          <w:rFonts w:hint="eastAsia" w:cs="Times New Roman"/>
          <w:szCs w:val="21"/>
          <w:highlight w:val="none"/>
          <w:lang w:val="en-US" w:eastAsia="zh-CN"/>
        </w:rPr>
        <w:t>：</w:t>
      </w:r>
    </w:p>
    <w:p>
      <w:pPr>
        <w:spacing w:line="360" w:lineRule="auto"/>
        <w:ind w:firstLine="420" w:firstLineChars="200"/>
        <w:rPr>
          <w:rFonts w:hint="eastAsia" w:ascii="Times New Roman" w:hAnsi="Times New Roman" w:cs="Times New Roman"/>
          <w:szCs w:val="21"/>
          <w:highlight w:val="none"/>
          <w:lang w:val="en-US" w:eastAsia="zh-CN"/>
        </w:rPr>
      </w:pPr>
      <w:r>
        <w:rPr>
          <w:rFonts w:hint="eastAsia" w:cs="Times New Roman"/>
          <w:szCs w:val="21"/>
          <w:highlight w:val="none"/>
          <w:lang w:val="en-US" w:eastAsia="zh-CN"/>
        </w:rPr>
        <w:t>（1）</w:t>
      </w:r>
      <w:r>
        <w:rPr>
          <w:rFonts w:hint="eastAsia" w:ascii="Times New Roman" w:hAnsi="Times New Roman" w:cs="Times New Roman"/>
          <w:szCs w:val="21"/>
          <w:highlight w:val="none"/>
          <w:lang w:val="en-US" w:eastAsia="zh-CN"/>
        </w:rPr>
        <w:t>更换或重做</w:t>
      </w:r>
      <w:r>
        <w:rPr>
          <w:rFonts w:hint="eastAsia" w:cs="Times New Roman"/>
          <w:szCs w:val="21"/>
          <w:highlight w:val="none"/>
          <w:lang w:val="en-US" w:eastAsia="zh-CN"/>
        </w:rPr>
        <w:t>：</w:t>
      </w:r>
      <w:r>
        <w:rPr>
          <w:rFonts w:hint="eastAsia" w:ascii="Times New Roman" w:hAnsi="Times New Roman" w:cs="Times New Roman"/>
          <w:szCs w:val="21"/>
          <w:highlight w:val="none"/>
          <w:lang w:val="en-US" w:eastAsia="zh-CN"/>
        </w:rPr>
        <w:t>由乙方承担所发生的全部费用。</w:t>
      </w:r>
    </w:p>
    <w:p>
      <w:pPr>
        <w:spacing w:line="360" w:lineRule="auto"/>
        <w:ind w:firstLine="420" w:firstLineChars="200"/>
        <w:rPr>
          <w:rFonts w:hint="eastAsia" w:ascii="Times New Roman" w:hAnsi="Times New Roman" w:cs="Times New Roman"/>
          <w:szCs w:val="21"/>
          <w:highlight w:val="none"/>
          <w:lang w:val="en-US" w:eastAsia="zh-CN"/>
        </w:rPr>
      </w:pPr>
      <w:r>
        <w:rPr>
          <w:rFonts w:hint="eastAsia" w:cs="Times New Roman"/>
          <w:szCs w:val="21"/>
          <w:highlight w:val="none"/>
          <w:lang w:val="en-US" w:eastAsia="zh-CN"/>
        </w:rPr>
        <w:t>（2）</w:t>
      </w:r>
      <w:r>
        <w:rPr>
          <w:rFonts w:hint="eastAsia" w:ascii="Times New Roman" w:hAnsi="Times New Roman" w:cs="Times New Roman"/>
          <w:szCs w:val="21"/>
          <w:highlight w:val="none"/>
          <w:lang w:val="en-US" w:eastAsia="zh-CN"/>
        </w:rPr>
        <w:t>贬值处理</w:t>
      </w:r>
      <w:r>
        <w:rPr>
          <w:rFonts w:hint="eastAsia" w:cs="Times New Roman"/>
          <w:szCs w:val="21"/>
          <w:highlight w:val="none"/>
          <w:lang w:val="en-US" w:eastAsia="zh-CN"/>
        </w:rPr>
        <w:t>：</w:t>
      </w:r>
      <w:r>
        <w:rPr>
          <w:rFonts w:hint="eastAsia" w:ascii="Times New Roman" w:hAnsi="Times New Roman" w:cs="Times New Roman"/>
          <w:szCs w:val="21"/>
          <w:highlight w:val="none"/>
          <w:lang w:val="en-US" w:eastAsia="zh-CN"/>
        </w:rPr>
        <w:t>由甲乙双方合议定价。如双方无法达成合议的，以双方委托的第三方审计核定价格。</w:t>
      </w:r>
    </w:p>
    <w:p>
      <w:pPr>
        <w:spacing w:line="360" w:lineRule="auto"/>
        <w:ind w:firstLine="420" w:firstLineChars="200"/>
        <w:rPr>
          <w:rFonts w:hint="eastAsia" w:cs="Times New Roman"/>
          <w:szCs w:val="21"/>
          <w:highlight w:val="none"/>
          <w:lang w:val="en-US" w:eastAsia="zh-CN"/>
        </w:rPr>
      </w:pPr>
      <w:r>
        <w:rPr>
          <w:rFonts w:hint="eastAsia" w:cs="Times New Roman"/>
          <w:szCs w:val="21"/>
          <w:highlight w:val="none"/>
          <w:lang w:val="en-US" w:eastAsia="zh-CN"/>
        </w:rPr>
        <w:t>（3）</w:t>
      </w:r>
      <w:r>
        <w:rPr>
          <w:rFonts w:hint="eastAsia" w:ascii="Times New Roman" w:hAnsi="Times New Roman" w:cs="Times New Roman"/>
          <w:szCs w:val="21"/>
          <w:highlight w:val="none"/>
          <w:lang w:val="en-US" w:eastAsia="zh-CN"/>
        </w:rPr>
        <w:t>退货处理</w:t>
      </w:r>
      <w:r>
        <w:rPr>
          <w:rFonts w:hint="eastAsia" w:cs="Times New Roman"/>
          <w:szCs w:val="21"/>
          <w:highlight w:val="none"/>
          <w:lang w:val="en-US" w:eastAsia="zh-CN"/>
        </w:rPr>
        <w:t>：</w:t>
      </w:r>
      <w:r>
        <w:rPr>
          <w:rFonts w:hint="eastAsia" w:ascii="Times New Roman" w:hAnsi="Times New Roman" w:cs="Times New Roman"/>
          <w:szCs w:val="21"/>
          <w:highlight w:val="none"/>
          <w:lang w:val="en-US" w:eastAsia="zh-CN"/>
        </w:rPr>
        <w:t xml:space="preserve">乙方应退还甲方支付的该部分合同款项，同时应承担该货物的直接费用(如运输、保险、检验、货款利息及银行手续费等) </w:t>
      </w:r>
      <w:r>
        <w:rPr>
          <w:rFonts w:hint="eastAsia" w:cs="Times New Roman"/>
          <w:szCs w:val="21"/>
          <w:highlight w:val="none"/>
          <w:lang w:val="en-US" w:eastAsia="zh-CN"/>
        </w:rPr>
        <w:t>。</w:t>
      </w:r>
    </w:p>
    <w:p>
      <w:pPr>
        <w:spacing w:line="360" w:lineRule="auto"/>
        <w:ind w:firstLine="420" w:firstLineChars="200"/>
        <w:rPr>
          <w:rFonts w:hint="eastAsia" w:cs="Times New Roman"/>
          <w:szCs w:val="21"/>
          <w:highlight w:val="none"/>
          <w:lang w:val="en-US" w:eastAsia="zh-CN"/>
        </w:rPr>
      </w:pPr>
      <w:r>
        <w:rPr>
          <w:rFonts w:hint="eastAsia" w:cs="Times New Roman"/>
          <w:szCs w:val="21"/>
          <w:highlight w:val="none"/>
          <w:lang w:val="en-US" w:eastAsia="zh-CN"/>
        </w:rPr>
        <w:t>12.3质量保证范围</w:t>
      </w:r>
    </w:p>
    <w:p>
      <w:pPr>
        <w:spacing w:line="360" w:lineRule="auto"/>
        <w:ind w:firstLine="420" w:firstLineChars="200"/>
        <w:rPr>
          <w:rFonts w:hint="eastAsia" w:cs="Times New Roman"/>
          <w:szCs w:val="21"/>
          <w:highlight w:val="none"/>
          <w:lang w:val="en-US" w:eastAsia="zh-CN"/>
        </w:rPr>
      </w:pPr>
      <w:r>
        <w:rPr>
          <w:rFonts w:hint="eastAsia" w:cs="Times New Roman"/>
          <w:szCs w:val="21"/>
          <w:highlight w:val="none"/>
          <w:lang w:val="en-US" w:eastAsia="zh-CN"/>
        </w:rPr>
        <w:t>范围包括：</w:t>
      </w:r>
      <w:r>
        <w:rPr>
          <w:rFonts w:hint="default" w:ascii="Times New Roman" w:hAnsi="Times New Roman" w:cs="Times New Roman"/>
          <w:highlight w:val="none"/>
          <w:lang w:val="en-US" w:eastAsia="zh-CN"/>
        </w:rPr>
        <w:t>梅沁未来社区数字化赋能九场景建设项目</w:t>
      </w:r>
      <w:r>
        <w:rPr>
          <w:rFonts w:hint="eastAsia" w:cs="Times New Roman"/>
          <w:szCs w:val="21"/>
          <w:highlight w:val="none"/>
          <w:lang w:val="en-US" w:eastAsia="zh-CN"/>
        </w:rPr>
        <w:t>的运行维护与安全防范服务，保证平台的正常运行，降低整体管理成本，提高网络信息系统的整体服务水平。同时根据日常维护的数据和记录，提供用户信息系统的整体建设规划和建议，更好的为用户的信息化发展提供有力的保障。</w:t>
      </w:r>
    </w:p>
    <w:p>
      <w:pPr>
        <w:spacing w:line="360" w:lineRule="auto"/>
        <w:ind w:firstLine="420" w:firstLineChars="200"/>
        <w:rPr>
          <w:rFonts w:hint="eastAsia" w:cs="Times New Roman"/>
          <w:szCs w:val="21"/>
          <w:highlight w:val="none"/>
          <w:lang w:val="en-US" w:eastAsia="zh-CN"/>
        </w:rPr>
      </w:pPr>
      <w:r>
        <w:rPr>
          <w:rFonts w:hint="eastAsia" w:cs="Times New Roman"/>
          <w:szCs w:val="21"/>
          <w:highlight w:val="none"/>
          <w:lang w:val="en-US" w:eastAsia="zh-CN"/>
        </w:rPr>
        <w:t>对现有系统进行监控和管理，及时掌握系统资源现状和配置信息，反映信息系统资源的可用性情况和健康状况，创建-一个可知可控的系统环境，从而保证和系统对接的各类应用系统的可靠、高效、持续、安全运行。</w:t>
      </w:r>
    </w:p>
    <w:p>
      <w:pPr>
        <w:spacing w:line="360" w:lineRule="auto"/>
        <w:ind w:firstLine="420" w:firstLineChars="200"/>
        <w:rPr>
          <w:rFonts w:hint="default" w:ascii="Times New Roman" w:hAnsi="Times New Roman" w:cs="Times New Roman"/>
          <w:szCs w:val="21"/>
          <w:highlight w:val="none"/>
          <w:lang w:val="en-US" w:eastAsia="zh-CN"/>
        </w:rPr>
      </w:pPr>
      <w:r>
        <w:rPr>
          <w:rFonts w:hint="eastAsia" w:cs="Times New Roman"/>
          <w:szCs w:val="21"/>
          <w:highlight w:val="none"/>
          <w:lang w:val="en-US" w:eastAsia="zh-CN"/>
        </w:rPr>
        <w:t>12.4质量保证内容</w:t>
      </w:r>
    </w:p>
    <w:p>
      <w:pPr>
        <w:spacing w:line="360" w:lineRule="auto"/>
        <w:ind w:firstLine="420" w:firstLineChars="200"/>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包括对系统可能存在的异常情况,针对各项环节进行定期检查并做好文档记录工作，保障系统各模块间的正常调用，修复系统错误。在交付版本的基础上。针对系统的指标体系进行数值更新，以符合</w:t>
      </w:r>
      <w:r>
        <w:rPr>
          <w:rFonts w:hint="eastAsia" w:cs="Times New Roman"/>
          <w:szCs w:val="21"/>
          <w:highlight w:val="none"/>
          <w:lang w:val="en-US" w:eastAsia="zh-CN"/>
        </w:rPr>
        <w:t>甲方</w:t>
      </w:r>
      <w:r>
        <w:rPr>
          <w:rFonts w:hint="eastAsia" w:ascii="Times New Roman" w:hAnsi="Times New Roman" w:cs="Times New Roman"/>
          <w:szCs w:val="21"/>
          <w:highlight w:val="none"/>
          <w:lang w:val="en-US" w:eastAsia="zh-CN"/>
        </w:rPr>
        <w:t>的需求。</w:t>
      </w:r>
    </w:p>
    <w:p>
      <w:pPr>
        <w:spacing w:line="360" w:lineRule="auto"/>
        <w:ind w:firstLine="420" w:firstLineChars="200"/>
        <w:rPr>
          <w:rFonts w:hint="default" w:ascii="Times New Roman" w:hAnsi="Times New Roman" w:cs="Times New Roman"/>
          <w:szCs w:val="21"/>
          <w:highlight w:val="none"/>
        </w:rPr>
      </w:pPr>
      <w:r>
        <w:rPr>
          <w:rFonts w:hint="eastAsia" w:cs="Times New Roman"/>
          <w:szCs w:val="21"/>
          <w:highlight w:val="none"/>
          <w:lang w:val="en-US" w:eastAsia="zh-CN"/>
        </w:rPr>
        <w:t>12.5</w:t>
      </w:r>
      <w:r>
        <w:rPr>
          <w:rFonts w:hint="default" w:ascii="Times New Roman" w:hAnsi="Times New Roman" w:cs="Times New Roman"/>
          <w:szCs w:val="21"/>
          <w:highlight w:val="none"/>
          <w:lang w:val="en-US" w:eastAsia="zh-CN"/>
        </w:rPr>
        <w:t>质保期</w:t>
      </w:r>
      <w:r>
        <w:rPr>
          <w:rFonts w:hint="default" w:ascii="Times New Roman" w:hAnsi="Times New Roman" w:cs="Times New Roman"/>
          <w:szCs w:val="21"/>
          <w:highlight w:val="none"/>
        </w:rPr>
        <w:t>内</w:t>
      </w:r>
      <w:r>
        <w:rPr>
          <w:rFonts w:hint="default" w:ascii="Times New Roman" w:hAnsi="Times New Roman" w:cs="Times New Roman"/>
          <w:b w:val="0"/>
          <w:bCs/>
          <w:sz w:val="21"/>
          <w:szCs w:val="21"/>
          <w:highlight w:val="none"/>
        </w:rPr>
        <w:t>乙方</w:t>
      </w:r>
      <w:r>
        <w:rPr>
          <w:rFonts w:hint="default" w:ascii="Times New Roman" w:hAnsi="Times New Roman" w:cs="Times New Roman"/>
          <w:szCs w:val="21"/>
          <w:highlight w:val="none"/>
        </w:rPr>
        <w:t>免予收取</w:t>
      </w:r>
      <w:r>
        <w:rPr>
          <w:rFonts w:hint="eastAsia" w:ascii="Times New Roman" w:hAnsi="Times New Roman" w:cs="Times New Roman"/>
          <w:szCs w:val="21"/>
          <w:highlight w:val="none"/>
          <w:lang w:val="en-US" w:eastAsia="zh-CN"/>
        </w:rPr>
        <w:t>甲方</w:t>
      </w:r>
      <w:r>
        <w:rPr>
          <w:rFonts w:hint="default" w:ascii="Times New Roman" w:hAnsi="Times New Roman" w:cs="Times New Roman"/>
          <w:szCs w:val="21"/>
          <w:highlight w:val="none"/>
        </w:rPr>
        <w:t>因维护/维修所产生的全部费用（包括但不限于人工、交通、运输、更换零配件等）。</w:t>
      </w:r>
    </w:p>
    <w:p>
      <w:pPr>
        <w:spacing w:line="360" w:lineRule="auto"/>
        <w:ind w:firstLine="420" w:firstLineChars="200"/>
        <w:rPr>
          <w:rFonts w:hint="default" w:ascii="Times New Roman" w:hAnsi="Times New Roman" w:cs="Times New Roman"/>
          <w:szCs w:val="21"/>
          <w:highlight w:val="none"/>
        </w:rPr>
      </w:pPr>
      <w:r>
        <w:rPr>
          <w:rFonts w:hint="eastAsia" w:cs="Times New Roman"/>
          <w:szCs w:val="21"/>
          <w:highlight w:val="none"/>
          <w:lang w:val="en-US" w:eastAsia="zh-CN"/>
        </w:rPr>
        <w:t>12.6</w:t>
      </w:r>
      <w:r>
        <w:rPr>
          <w:rFonts w:hint="default" w:ascii="Times New Roman" w:hAnsi="Times New Roman" w:cs="Times New Roman"/>
          <w:szCs w:val="21"/>
          <w:highlight w:val="none"/>
          <w:lang w:val="en-US" w:eastAsia="zh-CN"/>
        </w:rPr>
        <w:t>质保期</w:t>
      </w:r>
      <w:r>
        <w:rPr>
          <w:rFonts w:hint="default" w:ascii="Times New Roman" w:hAnsi="Times New Roman" w:cs="Times New Roman"/>
          <w:szCs w:val="21"/>
          <w:highlight w:val="none"/>
        </w:rPr>
        <w:t>内，产品出现故障时</w:t>
      </w:r>
      <w:r>
        <w:rPr>
          <w:rFonts w:hint="default" w:ascii="Times New Roman" w:hAnsi="Times New Roman" w:cs="Times New Roman"/>
          <w:b w:val="0"/>
          <w:bCs/>
          <w:sz w:val="21"/>
          <w:szCs w:val="21"/>
          <w:highlight w:val="none"/>
        </w:rPr>
        <w:t>乙方</w:t>
      </w:r>
      <w:r>
        <w:rPr>
          <w:rFonts w:hint="default" w:ascii="Times New Roman" w:hAnsi="Times New Roman" w:cs="Times New Roman"/>
          <w:szCs w:val="21"/>
          <w:highlight w:val="none"/>
        </w:rPr>
        <w:t>在接到</w:t>
      </w:r>
      <w:r>
        <w:rPr>
          <w:rFonts w:hint="eastAsia" w:ascii="Times New Roman" w:hAnsi="Times New Roman" w:cs="Times New Roman"/>
          <w:szCs w:val="21"/>
          <w:highlight w:val="none"/>
          <w:lang w:val="en-US" w:eastAsia="zh-CN"/>
        </w:rPr>
        <w:t>甲方</w:t>
      </w:r>
      <w:r>
        <w:rPr>
          <w:rFonts w:hint="default" w:ascii="Times New Roman" w:hAnsi="Times New Roman" w:cs="Times New Roman"/>
          <w:szCs w:val="21"/>
          <w:highlight w:val="none"/>
        </w:rPr>
        <w:t>电话后1小时内响应，</w:t>
      </w:r>
      <w:r>
        <w:rPr>
          <w:rFonts w:hint="default" w:cs="Times New Roman"/>
          <w:szCs w:val="21"/>
          <w:highlight w:val="none"/>
          <w:lang w:val="en-US"/>
        </w:rPr>
        <w:t>4</w:t>
      </w:r>
      <w:r>
        <w:rPr>
          <w:rFonts w:hint="default" w:ascii="Times New Roman" w:hAnsi="Times New Roman" w:cs="Times New Roman"/>
          <w:szCs w:val="21"/>
          <w:highlight w:val="none"/>
        </w:rPr>
        <w:t>小时内达到现场，8小时内修复，非因</w:t>
      </w:r>
      <w:r>
        <w:rPr>
          <w:rFonts w:hint="eastAsia" w:ascii="Times New Roman" w:hAnsi="Times New Roman" w:cs="Times New Roman"/>
          <w:szCs w:val="21"/>
          <w:highlight w:val="none"/>
          <w:lang w:val="en-US" w:eastAsia="zh-CN"/>
        </w:rPr>
        <w:t>甲方</w:t>
      </w:r>
      <w:r>
        <w:rPr>
          <w:rFonts w:hint="default" w:ascii="Times New Roman" w:hAnsi="Times New Roman" w:cs="Times New Roman"/>
          <w:szCs w:val="21"/>
          <w:highlight w:val="none"/>
        </w:rPr>
        <w:t>的人为原因而出现产品质量及安装问题，由</w:t>
      </w:r>
      <w:r>
        <w:rPr>
          <w:rFonts w:hint="default" w:ascii="Times New Roman" w:hAnsi="Times New Roman" w:cs="Times New Roman"/>
          <w:b w:val="0"/>
          <w:bCs/>
          <w:sz w:val="21"/>
          <w:szCs w:val="21"/>
          <w:highlight w:val="none"/>
        </w:rPr>
        <w:t>乙方</w:t>
      </w:r>
      <w:r>
        <w:rPr>
          <w:rFonts w:hint="default" w:ascii="Times New Roman" w:hAnsi="Times New Roman" w:cs="Times New Roman"/>
          <w:szCs w:val="21"/>
          <w:highlight w:val="none"/>
        </w:rPr>
        <w:t>负责包修、包换或包退，并承担因此而产生的一切费用。</w:t>
      </w:r>
    </w:p>
    <w:p>
      <w:pPr>
        <w:spacing w:line="360" w:lineRule="auto"/>
        <w:ind w:firstLine="420" w:firstLineChars="200"/>
        <w:rPr>
          <w:rFonts w:hint="default" w:ascii="Times New Roman" w:hAnsi="Times New Roman" w:cs="Times New Roman"/>
          <w:szCs w:val="21"/>
          <w:highlight w:val="none"/>
        </w:rPr>
      </w:pPr>
      <w:r>
        <w:rPr>
          <w:rFonts w:hint="eastAsia" w:cs="Times New Roman"/>
          <w:szCs w:val="21"/>
          <w:highlight w:val="none"/>
          <w:lang w:val="en-US" w:eastAsia="zh-CN"/>
        </w:rPr>
        <w:t>12.7</w:t>
      </w:r>
      <w:r>
        <w:rPr>
          <w:rFonts w:hint="default" w:ascii="Times New Roman" w:hAnsi="Times New Roman" w:cs="Times New Roman"/>
          <w:szCs w:val="21"/>
          <w:highlight w:val="none"/>
          <w:lang w:val="en-US" w:eastAsia="zh-CN"/>
        </w:rPr>
        <w:t>质保期</w:t>
      </w:r>
      <w:r>
        <w:rPr>
          <w:rFonts w:hint="default" w:ascii="Times New Roman" w:hAnsi="Times New Roman" w:cs="Times New Roman"/>
          <w:szCs w:val="21"/>
          <w:highlight w:val="none"/>
        </w:rPr>
        <w:t>满后，</w:t>
      </w:r>
      <w:r>
        <w:rPr>
          <w:rFonts w:hint="default" w:ascii="Times New Roman" w:hAnsi="Times New Roman" w:cs="Times New Roman"/>
          <w:b w:val="0"/>
          <w:bCs/>
          <w:sz w:val="21"/>
          <w:szCs w:val="21"/>
          <w:highlight w:val="none"/>
        </w:rPr>
        <w:t>乙方</w:t>
      </w:r>
      <w:r>
        <w:rPr>
          <w:rFonts w:hint="default" w:ascii="Times New Roman" w:hAnsi="Times New Roman" w:cs="Times New Roman"/>
          <w:szCs w:val="21"/>
          <w:highlight w:val="none"/>
        </w:rPr>
        <w:t>提供终身保修服务，</w:t>
      </w:r>
      <w:r>
        <w:rPr>
          <w:rFonts w:hint="default" w:ascii="Times New Roman" w:hAnsi="Times New Roman" w:cs="Times New Roman"/>
          <w:b w:val="0"/>
          <w:bCs/>
          <w:sz w:val="21"/>
          <w:szCs w:val="21"/>
          <w:highlight w:val="none"/>
        </w:rPr>
        <w:t>乙方</w:t>
      </w:r>
      <w:r>
        <w:rPr>
          <w:rFonts w:hint="default" w:ascii="Times New Roman" w:hAnsi="Times New Roman" w:cs="Times New Roman"/>
          <w:szCs w:val="21"/>
          <w:highlight w:val="none"/>
        </w:rPr>
        <w:t>上门维护/维修收取人工、交通、运输等费用，如需更换零配件，</w:t>
      </w:r>
      <w:r>
        <w:rPr>
          <w:rFonts w:hint="default" w:ascii="Times New Roman" w:hAnsi="Times New Roman" w:cs="Times New Roman"/>
          <w:b w:val="0"/>
          <w:bCs/>
          <w:sz w:val="21"/>
          <w:szCs w:val="21"/>
          <w:highlight w:val="none"/>
        </w:rPr>
        <w:t>乙方</w:t>
      </w:r>
      <w:r>
        <w:rPr>
          <w:rFonts w:hint="default" w:ascii="Times New Roman" w:hAnsi="Times New Roman" w:cs="Times New Roman"/>
          <w:szCs w:val="21"/>
          <w:highlight w:val="none"/>
        </w:rPr>
        <w:t>收取零配件费（不高于折扣的优惠价）。</w:t>
      </w:r>
    </w:p>
    <w:p>
      <w:pPr>
        <w:pStyle w:val="24"/>
        <w:spacing w:before="0" w:beforeLines="0" w:after="0" w:afterLines="0" w:line="360" w:lineRule="auto"/>
        <w:ind w:firstLine="420" w:firstLineChars="200"/>
        <w:rPr>
          <w:rFonts w:hint="default" w:ascii="Times New Roman" w:hAnsi="Times New Roman" w:cs="Times New Roman"/>
          <w:b w:val="0"/>
          <w:bCs/>
          <w:sz w:val="21"/>
          <w:szCs w:val="21"/>
          <w:highlight w:val="none"/>
        </w:rPr>
      </w:pPr>
      <w:r>
        <w:rPr>
          <w:rFonts w:hint="eastAsia" w:ascii="Times New Roman" w:hAnsi="Times New Roman" w:cs="Times New Roman"/>
          <w:b w:val="0"/>
          <w:bCs/>
          <w:sz w:val="21"/>
          <w:szCs w:val="21"/>
          <w:highlight w:val="none"/>
          <w:lang w:val="en-US" w:eastAsia="zh-CN"/>
        </w:rPr>
        <w:t>12.8</w:t>
      </w:r>
      <w:r>
        <w:rPr>
          <w:rFonts w:hint="default" w:ascii="Times New Roman" w:hAnsi="Times New Roman" w:cs="Times New Roman"/>
          <w:b w:val="0"/>
          <w:bCs/>
          <w:sz w:val="21"/>
          <w:szCs w:val="21"/>
          <w:highlight w:val="none"/>
        </w:rPr>
        <w:t>乙方负责解决所供系统出现的</w:t>
      </w:r>
      <w:r>
        <w:rPr>
          <w:rFonts w:hint="eastAsia" w:ascii="Times New Roman" w:hAnsi="Times New Roman" w:cs="Times New Roman"/>
          <w:b w:val="0"/>
          <w:bCs/>
          <w:sz w:val="21"/>
          <w:szCs w:val="21"/>
          <w:highlight w:val="none"/>
          <w:lang w:val="en-US" w:eastAsia="zh-CN"/>
        </w:rPr>
        <w:t>故障</w:t>
      </w:r>
      <w:r>
        <w:rPr>
          <w:rFonts w:hint="default" w:ascii="Times New Roman" w:hAnsi="Times New Roman" w:cs="Times New Roman"/>
          <w:b w:val="0"/>
          <w:bCs/>
          <w:sz w:val="21"/>
          <w:szCs w:val="21"/>
          <w:highlight w:val="none"/>
        </w:rPr>
        <w:t>，以及合同中规定的但在运行</w:t>
      </w:r>
      <w:r>
        <w:rPr>
          <w:rFonts w:hint="eastAsia" w:ascii="Times New Roman" w:hAnsi="Times New Roman" w:cs="Times New Roman"/>
          <w:b w:val="0"/>
          <w:bCs/>
          <w:sz w:val="21"/>
          <w:szCs w:val="21"/>
          <w:highlight w:val="none"/>
          <w:lang w:val="en-US" w:eastAsia="zh-CN"/>
        </w:rPr>
        <w:t>中</w:t>
      </w:r>
      <w:r>
        <w:rPr>
          <w:rFonts w:hint="default" w:ascii="Times New Roman" w:hAnsi="Times New Roman" w:cs="Times New Roman"/>
          <w:b w:val="0"/>
          <w:bCs/>
          <w:sz w:val="21"/>
          <w:szCs w:val="21"/>
          <w:highlight w:val="none"/>
        </w:rPr>
        <w:t>证实未满足的功能、性能要求，井</w:t>
      </w:r>
      <w:r>
        <w:rPr>
          <w:rFonts w:hint="eastAsia" w:ascii="Times New Roman" w:hAnsi="Times New Roman" w:cs="Times New Roman"/>
          <w:b w:val="0"/>
          <w:bCs/>
          <w:sz w:val="21"/>
          <w:szCs w:val="21"/>
          <w:highlight w:val="none"/>
          <w:lang w:val="en-US" w:eastAsia="zh-CN"/>
        </w:rPr>
        <w:t>需要</w:t>
      </w:r>
      <w:r>
        <w:rPr>
          <w:rFonts w:hint="default" w:ascii="Times New Roman" w:hAnsi="Times New Roman" w:cs="Times New Roman"/>
          <w:b w:val="0"/>
          <w:bCs/>
          <w:sz w:val="21"/>
          <w:szCs w:val="21"/>
          <w:highlight w:val="none"/>
        </w:rPr>
        <w:t>得到甲方的签字认可。</w:t>
      </w:r>
    </w:p>
    <w:p>
      <w:pPr>
        <w:pStyle w:val="24"/>
        <w:spacing w:before="0" w:beforeLines="0" w:after="0" w:afterLines="0" w:line="360" w:lineRule="auto"/>
        <w:ind w:firstLine="420" w:firstLineChars="200"/>
        <w:rPr>
          <w:rFonts w:hint="default" w:ascii="Times New Roman" w:hAnsi="Times New Roman" w:cs="Times New Roman"/>
          <w:b w:val="0"/>
          <w:bCs/>
          <w:sz w:val="21"/>
          <w:szCs w:val="21"/>
          <w:highlight w:val="none"/>
        </w:rPr>
      </w:pPr>
      <w:r>
        <w:rPr>
          <w:rFonts w:hint="eastAsia" w:ascii="Times New Roman" w:hAnsi="Times New Roman" w:cs="Times New Roman"/>
          <w:b w:val="0"/>
          <w:bCs/>
          <w:sz w:val="21"/>
          <w:szCs w:val="21"/>
          <w:highlight w:val="none"/>
          <w:lang w:val="en-US" w:eastAsia="zh-CN"/>
        </w:rPr>
        <w:t>12.9</w:t>
      </w:r>
      <w:r>
        <w:rPr>
          <w:rFonts w:hint="default" w:ascii="Times New Roman" w:hAnsi="Times New Roman" w:cs="Times New Roman"/>
          <w:b w:val="0"/>
          <w:bCs/>
          <w:sz w:val="21"/>
          <w:szCs w:val="21"/>
          <w:highlight w:val="none"/>
        </w:rPr>
        <w:t>在质保期结束时，乙方提供质保期的质保记录、系统的健康监测报告。</w:t>
      </w:r>
    </w:p>
    <w:p>
      <w:pPr>
        <w:pStyle w:val="24"/>
        <w:spacing w:before="0" w:beforeLines="0" w:after="0" w:afterLines="0" w:line="360" w:lineRule="auto"/>
        <w:ind w:firstLine="420" w:firstLineChars="200"/>
        <w:rPr>
          <w:rFonts w:hint="default" w:ascii="Times New Roman" w:hAnsi="Times New Roman" w:cs="Times New Roman"/>
          <w:b w:val="0"/>
          <w:bCs/>
          <w:sz w:val="21"/>
          <w:szCs w:val="21"/>
          <w:highlight w:val="none"/>
        </w:rPr>
      </w:pPr>
      <w:r>
        <w:rPr>
          <w:rFonts w:hint="eastAsia" w:ascii="Times New Roman" w:hAnsi="Times New Roman" w:cs="Times New Roman"/>
          <w:b w:val="0"/>
          <w:bCs/>
          <w:sz w:val="21"/>
          <w:szCs w:val="21"/>
          <w:highlight w:val="none"/>
          <w:lang w:val="en-US" w:eastAsia="zh-CN"/>
        </w:rPr>
        <w:t>12.10技术服务和人员培训承诺：在软件交付使用前，安排培训，负贵向使用人员提供基于不同层面的免费培训资料。提供使用人员免费培训。培训时间地点与甲方商定。</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十</w:t>
      </w:r>
      <w:r>
        <w:rPr>
          <w:rFonts w:hint="eastAsia" w:ascii="Times New Roman" w:hAnsi="Times New Roman" w:cs="Times New Roman"/>
          <w:b/>
          <w:sz w:val="21"/>
          <w:szCs w:val="21"/>
          <w:highlight w:val="none"/>
          <w:lang w:val="en-US" w:eastAsia="zh-CN"/>
        </w:rPr>
        <w:t>三</w:t>
      </w:r>
      <w:r>
        <w:rPr>
          <w:rFonts w:hint="default" w:ascii="Times New Roman" w:hAnsi="Times New Roman" w:cs="Times New Roman"/>
          <w:b/>
          <w:sz w:val="21"/>
          <w:szCs w:val="21"/>
          <w:highlight w:val="none"/>
        </w:rPr>
        <w:t>、调试和验收</w:t>
      </w:r>
    </w:p>
    <w:p>
      <w:pPr>
        <w:pStyle w:val="24"/>
        <w:spacing w:before="0" w:beforeLines="0" w:after="0" w:afterLines="0" w:line="360" w:lineRule="auto"/>
        <w:ind w:firstLine="420" w:firstLineChars="200"/>
        <w:rPr>
          <w:rFonts w:hint="eastAsia" w:ascii="Times New Roman" w:hAnsi="Times New Roman" w:eastAsia="宋体" w:cs="Times New Roman"/>
          <w:sz w:val="21"/>
          <w:szCs w:val="21"/>
          <w:highlight w:val="none"/>
          <w:lang w:eastAsia="zh-CN"/>
        </w:rPr>
      </w:pPr>
      <w:r>
        <w:rPr>
          <w:rFonts w:hint="eastAsia" w:ascii="Times New Roman" w:hAnsi="Times New Roman" w:cs="Times New Roman"/>
          <w:sz w:val="21"/>
          <w:szCs w:val="21"/>
          <w:highlight w:val="none"/>
          <w:lang w:val="en-US" w:eastAsia="zh-CN"/>
        </w:rPr>
        <w:t>13.1</w:t>
      </w:r>
      <w:r>
        <w:rPr>
          <w:rFonts w:hint="default" w:ascii="Times New Roman" w:hAnsi="Times New Roman" w:cs="Times New Roman"/>
          <w:sz w:val="21"/>
          <w:szCs w:val="21"/>
          <w:highlight w:val="none"/>
        </w:rPr>
        <w:t>验收标准</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本项目采用现场验收方式验收,验收标准以符合相关附件所提供的功能和甲方的要求为准</w:t>
      </w:r>
      <w:r>
        <w:rPr>
          <w:rFonts w:hint="eastAsia" w:ascii="Times New Roman" w:hAnsi="Times New Roman" w:cs="Times New Roman"/>
          <w:sz w:val="21"/>
          <w:szCs w:val="21"/>
          <w:highlight w:val="none"/>
          <w:lang w:eastAsia="zh-CN"/>
        </w:rPr>
        <w:t>。</w:t>
      </w:r>
    </w:p>
    <w:p>
      <w:pPr>
        <w:pStyle w:val="24"/>
        <w:spacing w:before="0" w:beforeLines="0" w:after="0" w:afterLines="0" w:line="360" w:lineRule="auto"/>
        <w:ind w:firstLine="420" w:firstLineChars="200"/>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13.2.验收由双方人员共同参与。系统开发、安装及测试完成后，经乙方内部测试通过，即可按照项目进度配合甲方进行系统联冈初验，所有系统功能权块符合本协议要求，能够正常运行。乙方向甲方递交系统资料包括但不限于《需求规格说明书》、 《系统概要设计说明书》 、《系统详细设计方案》 、《系统测试方案》 、《系统部署文档》 、《软件程序编码文件》 、《试运行报告》 、《测试报告》 、《配置维护手册》 、《培训资料》 、《用户报告》 、《等保备案证书》 及甲方认为需要的其他材料均提供纸质文档及电子文档各一份。</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13.</w:t>
      </w:r>
      <w:r>
        <w:rPr>
          <w:rFonts w:hint="default" w:ascii="Times New Roman" w:hAnsi="Times New Roman" w:cs="Times New Roman"/>
          <w:sz w:val="21"/>
          <w:szCs w:val="21"/>
          <w:highlight w:val="none"/>
        </w:rPr>
        <w:t>3初验完成，系统整体试运行三个月后，初验遗留问题已解决，乙方确认系统具备正常运行条件，即通知甲方系统已准备就绪，等待最终验收。</w:t>
      </w:r>
    </w:p>
    <w:p>
      <w:pPr>
        <w:pStyle w:val="24"/>
        <w:spacing w:before="0" w:beforeLines="0" w:after="0" w:afterLines="0" w:line="360" w:lineRule="auto"/>
        <w:ind w:firstLine="420" w:firstLineChars="200"/>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13.4系统达到验收条件后，通过第三方软件功能测试，由乙方提出验收申请，甲方组织相关部门进行最终验收。</w:t>
      </w:r>
    </w:p>
    <w:p>
      <w:pPr>
        <w:pStyle w:val="24"/>
        <w:spacing w:before="0" w:beforeLines="0" w:after="0" w:afterLines="0" w:line="360" w:lineRule="auto"/>
        <w:ind w:firstLine="420" w:firstLineChars="200"/>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13.5甲方根据乙方提交的验收申请进行确认。</w:t>
      </w:r>
    </w:p>
    <w:p>
      <w:pPr>
        <w:pStyle w:val="24"/>
        <w:spacing w:before="0" w:beforeLines="0" w:after="0" w:afterLines="0" w:line="360" w:lineRule="auto"/>
        <w:ind w:firstLine="420" w:firstLineChars="200"/>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13.6甲方验收不合格，应出具书面的异议：甲方怠于通知或者自验收申请收到之日起15个工作日内未通知乙方的，视为自动验收合格。</w:t>
      </w:r>
    </w:p>
    <w:p>
      <w:pPr>
        <w:pStyle w:val="24"/>
        <w:spacing w:before="0" w:beforeLines="0" w:after="0" w:afterLines="0" w:line="360" w:lineRule="auto"/>
        <w:ind w:firstLine="420" w:firstLineChars="200"/>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13.7验收分初验和终验两次，初验通过且系统试运行三个月后进行终验。验收可进行多次，如不合格，乙方应及时加以修改纠正，直到验收合格为止。</w:t>
      </w:r>
    </w:p>
    <w:p>
      <w:pPr>
        <w:pStyle w:val="24"/>
        <w:spacing w:before="0" w:beforeLines="0" w:after="0" w:afterLines="0" w:line="360" w:lineRule="auto"/>
        <w:ind w:firstLine="420" w:firstLineChars="200"/>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13.8如属于乙方原因致使项目未通过验收，乙方应排除故障，并承担相关费用，同时延长试运行期限</w:t>
      </w:r>
      <w:r>
        <w:rPr>
          <w:rFonts w:hint="eastAsia" w:ascii="Times New Roman" w:hAnsi="Times New Roman" w:cs="Times New Roman"/>
          <w:sz w:val="21"/>
          <w:szCs w:val="21"/>
          <w:highlight w:val="none"/>
          <w:u w:val="single"/>
          <w:lang w:val="en-US" w:eastAsia="zh-CN"/>
        </w:rPr>
        <w:t>20</w:t>
      </w:r>
      <w:r>
        <w:rPr>
          <w:rFonts w:hint="eastAsia" w:ascii="Times New Roman" w:hAnsi="Times New Roman" w:cs="Times New Roman"/>
          <w:sz w:val="21"/>
          <w:szCs w:val="21"/>
          <w:highlight w:val="none"/>
          <w:lang w:val="en-US" w:eastAsia="zh-CN"/>
        </w:rPr>
        <w:t>个工作日，直至软件系统完全符合验收标准。</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13.9如属于甲方原因致使项目未通过验收，如属甲方原有计算机系统故障原因，甲方应在合理时间内排除故障，再进行验收。如系上述故障之外的原因，除因本合同规定的不可抗力外，甲方未能在规定的时间内完成验收，乙方有权以其认为合理的方式进行单方面验收,并将验收报告提交甲方，即视为软件系统验收已经通过。乙方在进行单方面验收时，甲方应提供验收便利。如甲方在乙方提出单方面验收后的</w:t>
      </w:r>
      <w:r>
        <w:rPr>
          <w:rFonts w:hint="eastAsia" w:ascii="Times New Roman" w:hAnsi="Times New Roman" w:cs="Times New Roman"/>
          <w:sz w:val="21"/>
          <w:szCs w:val="21"/>
          <w:highlight w:val="none"/>
          <w:u w:val="single"/>
          <w:lang w:val="en-US" w:eastAsia="zh-CN"/>
        </w:rPr>
        <w:t>20</w:t>
      </w:r>
      <w:r>
        <w:rPr>
          <w:rFonts w:hint="eastAsia" w:ascii="Times New Roman" w:hAnsi="Times New Roman" w:cs="Times New Roman"/>
          <w:sz w:val="21"/>
          <w:szCs w:val="21"/>
          <w:highlight w:val="none"/>
          <w:lang w:val="en-US" w:eastAsia="zh-CN"/>
        </w:rPr>
        <w:t>个工作日内不提供验收便利，则视为该系统已经通过验收。</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13.10</w:t>
      </w:r>
      <w:r>
        <w:rPr>
          <w:rFonts w:hint="default" w:ascii="Times New Roman" w:hAnsi="Times New Roman" w:cs="Times New Roman"/>
          <w:sz w:val="21"/>
          <w:szCs w:val="21"/>
          <w:highlight w:val="none"/>
        </w:rPr>
        <w:t>甲方对乙方提交的货物依据招标文件上的技术规格要求和国家有关质量标准进行现场初步验收，外观、说明书符合招标文件技术要求的，给予签收，初步验收不合格的不予签收。货到后，甲方需在五个工作日内验收。</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13.11</w:t>
      </w:r>
      <w:r>
        <w:rPr>
          <w:rFonts w:hint="default" w:ascii="Times New Roman" w:hAnsi="Times New Roman" w:cs="Times New Roman"/>
          <w:sz w:val="21"/>
          <w:szCs w:val="21"/>
          <w:highlight w:val="none"/>
        </w:rPr>
        <w:t xml:space="preserve"> 乙方交货前应对产品作出全面检查和对验收文件进行整理，并列出清单，作为甲方收货验收和使用的技术条件依据，检验的结果应随货物交甲方。</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13.12</w:t>
      </w:r>
      <w:r>
        <w:rPr>
          <w:rFonts w:hint="default" w:ascii="Times New Roman" w:hAnsi="Times New Roman" w:cs="Times New Roman"/>
          <w:sz w:val="21"/>
          <w:szCs w:val="21"/>
          <w:highlight w:val="none"/>
        </w:rPr>
        <w:t>验收时乙方必须在现场，验收完毕后作出验收结果报告；验收费用由乙方负责。</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十</w:t>
      </w:r>
      <w:r>
        <w:rPr>
          <w:rFonts w:hint="eastAsia" w:ascii="Times New Roman" w:hAnsi="Times New Roman" w:cs="Times New Roman"/>
          <w:b/>
          <w:sz w:val="21"/>
          <w:szCs w:val="21"/>
          <w:highlight w:val="none"/>
          <w:lang w:val="en-US" w:eastAsia="zh-CN"/>
        </w:rPr>
        <w:t>四</w:t>
      </w:r>
      <w:r>
        <w:rPr>
          <w:rFonts w:hint="default" w:ascii="Times New Roman" w:hAnsi="Times New Roman" w:cs="Times New Roman"/>
          <w:b/>
          <w:sz w:val="21"/>
          <w:szCs w:val="21"/>
          <w:highlight w:val="none"/>
        </w:rPr>
        <w:t>、货物包装、发运及运输</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14</w:t>
      </w:r>
      <w:r>
        <w:rPr>
          <w:rFonts w:hint="default" w:ascii="Times New Roman" w:hAnsi="Times New Roman" w:cs="Times New Roman"/>
          <w:sz w:val="21"/>
          <w:szCs w:val="21"/>
          <w:highlight w:val="none"/>
        </w:rPr>
        <w:t>.1 乙方应在货物发运前对其进行满足运输距离、防潮、防震、防锈和防破损装卸等要求包装，以保证货物安全运达甲方指定地点。</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14</w:t>
      </w:r>
      <w:r>
        <w:rPr>
          <w:rFonts w:hint="default" w:ascii="Times New Roman" w:hAnsi="Times New Roman" w:cs="Times New Roman"/>
          <w:sz w:val="21"/>
          <w:szCs w:val="21"/>
          <w:highlight w:val="none"/>
        </w:rPr>
        <w:t>.2 使用说明书、质量检验证明书、随配附件和工具以及清单一并附于货物内。</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14</w:t>
      </w:r>
      <w:r>
        <w:rPr>
          <w:rFonts w:hint="default" w:ascii="Times New Roman" w:hAnsi="Times New Roman" w:cs="Times New Roman"/>
          <w:sz w:val="21"/>
          <w:szCs w:val="21"/>
          <w:highlight w:val="none"/>
        </w:rPr>
        <w:t>.3 乙方在货物发运手续办理完毕后24小时内或货到甲方48小时前通知甲方，以准备接货。</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14</w:t>
      </w:r>
      <w:r>
        <w:rPr>
          <w:rFonts w:hint="default" w:ascii="Times New Roman" w:hAnsi="Times New Roman" w:cs="Times New Roman"/>
          <w:sz w:val="21"/>
          <w:szCs w:val="21"/>
          <w:highlight w:val="none"/>
        </w:rPr>
        <w:t>.4 货物在交付甲方前发生的风险均由乙方负责。</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14</w:t>
      </w:r>
      <w:r>
        <w:rPr>
          <w:rFonts w:hint="default" w:ascii="Times New Roman" w:hAnsi="Times New Roman" w:cs="Times New Roman"/>
          <w:sz w:val="21"/>
          <w:szCs w:val="21"/>
          <w:highlight w:val="none"/>
        </w:rPr>
        <w:t>.5 货物在规定的交付期限内由乙方送达甲方指定的地点视为交付，乙方同时需通知甲方货物已送达。</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十</w:t>
      </w:r>
      <w:r>
        <w:rPr>
          <w:rFonts w:hint="eastAsia" w:ascii="Times New Roman" w:hAnsi="Times New Roman" w:cs="Times New Roman"/>
          <w:b/>
          <w:sz w:val="21"/>
          <w:szCs w:val="21"/>
          <w:highlight w:val="none"/>
          <w:lang w:val="en-US" w:eastAsia="zh-CN"/>
        </w:rPr>
        <w:t>五</w:t>
      </w:r>
      <w:r>
        <w:rPr>
          <w:rFonts w:hint="default" w:ascii="Times New Roman" w:hAnsi="Times New Roman" w:cs="Times New Roman"/>
          <w:b/>
          <w:sz w:val="21"/>
          <w:szCs w:val="21"/>
          <w:highlight w:val="none"/>
        </w:rPr>
        <w:t>、违约责任</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15.1</w:t>
      </w:r>
      <w:r>
        <w:rPr>
          <w:rFonts w:hint="default" w:ascii="Times New Roman" w:hAnsi="Times New Roman" w:cs="Times New Roman"/>
          <w:sz w:val="21"/>
          <w:szCs w:val="21"/>
          <w:highlight w:val="none"/>
        </w:rPr>
        <w:t>如乙方无法如期完成系统安装调试</w:t>
      </w:r>
      <w:r>
        <w:rPr>
          <w:rFonts w:hint="eastAsia"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前后台相关系统配置</w:t>
      </w:r>
      <w:r>
        <w:rPr>
          <w:rFonts w:hint="eastAsia" w:ascii="Times New Roman" w:hAnsi="Times New Roman" w:cs="Times New Roman"/>
          <w:sz w:val="21"/>
          <w:szCs w:val="21"/>
          <w:highlight w:val="none"/>
          <w:lang w:val="en-US" w:eastAsia="zh-CN"/>
        </w:rPr>
        <w:t>及</w:t>
      </w:r>
      <w:r>
        <w:rPr>
          <w:rFonts w:hint="default" w:ascii="Times New Roman" w:hAnsi="Times New Roman" w:cs="Times New Roman"/>
          <w:sz w:val="21"/>
          <w:szCs w:val="21"/>
          <w:highlight w:val="none"/>
        </w:rPr>
        <w:t>项目验收等情况的，逾</w:t>
      </w:r>
    </w:p>
    <w:p>
      <w:pPr>
        <w:pStyle w:val="24"/>
        <w:spacing w:before="0" w:beforeLines="0" w:after="0" w:afterLines="0"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期每日向甲方支付合同额的万分之五作为违约全。乙方超过约定日期30个工作日仍不能完成相关服务的，甲方可解除本合同。乙方因未能如期提供相关服务或其他违约行为导致甲方</w:t>
      </w:r>
    </w:p>
    <w:p>
      <w:pPr>
        <w:pStyle w:val="24"/>
        <w:spacing w:before="0" w:beforeLines="0" w:after="0" w:afterLines="0"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解除合同的。乙方应向甲方支付合同额的10%作为违约金。如造成甲方损失超过违约金的，超出部分由乙方继续承担赔付责任。</w:t>
      </w:r>
    </w:p>
    <w:p>
      <w:pPr>
        <w:pStyle w:val="24"/>
        <w:spacing w:before="0" w:beforeLines="0" w:after="0" w:afterLines="0" w:line="360" w:lineRule="auto"/>
        <w:ind w:firstLine="420" w:firstLineChars="200"/>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15.2若由于甲方的原因致使乙方不能按期安装调试完毕的，乙方不承担相应的违约责任。</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15.3</w:t>
      </w:r>
      <w:r>
        <w:rPr>
          <w:rFonts w:hint="default" w:ascii="Times New Roman" w:hAnsi="Times New Roman" w:cs="Times New Roman"/>
          <w:sz w:val="21"/>
          <w:szCs w:val="21"/>
          <w:highlight w:val="none"/>
        </w:rPr>
        <w:t>经甲乙双方友好协商同意，延期交货、安装调试、延期支付资金且无须罚款者可不受上述条款约束。</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15.4</w:t>
      </w:r>
      <w:r>
        <w:rPr>
          <w:rFonts w:hint="default" w:ascii="Times New Roman" w:hAnsi="Times New Roman" w:cs="Times New Roman"/>
          <w:sz w:val="21"/>
          <w:szCs w:val="21"/>
          <w:highlight w:val="none"/>
        </w:rPr>
        <w:t>在诉讼期间。除正在进行诉论的部分外，本合同其它部分可继续执行。</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15.5</w:t>
      </w:r>
      <w:r>
        <w:rPr>
          <w:rFonts w:hint="default" w:ascii="Times New Roman" w:hAnsi="Times New Roman" w:cs="Times New Roman"/>
          <w:sz w:val="21"/>
          <w:szCs w:val="21"/>
          <w:highlight w:val="none"/>
        </w:rPr>
        <w:t>如果在甲方发出索赔通知后10天内，乙方未作答复，上述索赔应视为已被乙方接受。甲方有权在甲方需支付给乙方的合同金额中直接扣除。</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十</w:t>
      </w:r>
      <w:r>
        <w:rPr>
          <w:rFonts w:hint="eastAsia" w:ascii="Times New Roman" w:hAnsi="Times New Roman" w:cs="Times New Roman"/>
          <w:b/>
          <w:sz w:val="21"/>
          <w:szCs w:val="21"/>
          <w:highlight w:val="none"/>
          <w:lang w:val="en-US" w:eastAsia="zh-CN"/>
        </w:rPr>
        <w:t>六</w:t>
      </w:r>
      <w:r>
        <w:rPr>
          <w:rFonts w:hint="default" w:ascii="Times New Roman" w:hAnsi="Times New Roman" w:cs="Times New Roman"/>
          <w:b/>
          <w:sz w:val="21"/>
          <w:szCs w:val="21"/>
          <w:highlight w:val="none"/>
        </w:rPr>
        <w:t>、不可抗力事件处理</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16</w:t>
      </w:r>
      <w:r>
        <w:rPr>
          <w:rFonts w:hint="default" w:ascii="Times New Roman" w:hAnsi="Times New Roman" w:cs="Times New Roman"/>
          <w:sz w:val="21"/>
          <w:szCs w:val="21"/>
          <w:highlight w:val="none"/>
        </w:rPr>
        <w:t>.1 在合同有效期内，任何一方因不可抗力事件导致不能履行合同，则合同履行期可延长，其延长期与不可抗力影响期相同。</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16</w:t>
      </w:r>
      <w:r>
        <w:rPr>
          <w:rFonts w:hint="default" w:ascii="Times New Roman" w:hAnsi="Times New Roman" w:cs="Times New Roman"/>
          <w:sz w:val="21"/>
          <w:szCs w:val="21"/>
          <w:highlight w:val="none"/>
        </w:rPr>
        <w:t>.2 不可抗力事件发生后，应立即通知对方，并寄送有关权威机构出具的证明。</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16</w:t>
      </w:r>
      <w:r>
        <w:rPr>
          <w:rFonts w:hint="default" w:ascii="Times New Roman" w:hAnsi="Times New Roman" w:cs="Times New Roman"/>
          <w:sz w:val="21"/>
          <w:szCs w:val="21"/>
          <w:highlight w:val="none"/>
        </w:rPr>
        <w:t>.3 不可抗力事件延续120天以上，双方应通过友好协商，确定是否继续履行合同。</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eastAsia" w:ascii="Times New Roman" w:hAnsi="Times New Roman" w:cs="Times New Roman"/>
          <w:b/>
          <w:sz w:val="21"/>
          <w:szCs w:val="21"/>
          <w:highlight w:val="none"/>
          <w:lang w:val="en-US" w:eastAsia="zh-CN"/>
        </w:rPr>
        <w:t>十七</w:t>
      </w:r>
      <w:r>
        <w:rPr>
          <w:rFonts w:hint="default" w:ascii="Times New Roman" w:hAnsi="Times New Roman" w:cs="Times New Roman"/>
          <w:b/>
          <w:sz w:val="21"/>
          <w:szCs w:val="21"/>
          <w:highlight w:val="none"/>
        </w:rPr>
        <w:t>、诉讼</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17</w:t>
      </w:r>
      <w:r>
        <w:rPr>
          <w:rFonts w:hint="default" w:ascii="Times New Roman" w:hAnsi="Times New Roman" w:cs="Times New Roman"/>
          <w:sz w:val="21"/>
          <w:szCs w:val="21"/>
          <w:highlight w:val="none"/>
        </w:rPr>
        <w:t>.1 双方在执行合同中所发生的一切争议，应通过协商解决。如协商不成，可向合同签订地法院起诉，合同签订地在此约定为宁波市。</w:t>
      </w:r>
    </w:p>
    <w:p>
      <w:pPr>
        <w:pStyle w:val="24"/>
        <w:spacing w:before="0" w:beforeLines="0" w:after="0" w:afterLines="0" w:line="360" w:lineRule="auto"/>
        <w:ind w:firstLine="422" w:firstLineChars="200"/>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十</w:t>
      </w:r>
      <w:r>
        <w:rPr>
          <w:rFonts w:hint="eastAsia" w:ascii="Times New Roman" w:hAnsi="Times New Roman" w:cs="Times New Roman"/>
          <w:b/>
          <w:sz w:val="21"/>
          <w:szCs w:val="21"/>
          <w:highlight w:val="none"/>
          <w:lang w:val="en-US" w:eastAsia="zh-CN"/>
        </w:rPr>
        <w:t>八</w:t>
      </w:r>
      <w:r>
        <w:rPr>
          <w:rFonts w:hint="default" w:ascii="Times New Roman" w:hAnsi="Times New Roman" w:cs="Times New Roman"/>
          <w:b/>
          <w:sz w:val="21"/>
          <w:szCs w:val="21"/>
          <w:highlight w:val="none"/>
        </w:rPr>
        <w:t>、合同生效及其它</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18</w:t>
      </w:r>
      <w:r>
        <w:rPr>
          <w:rFonts w:hint="default" w:ascii="Times New Roman" w:hAnsi="Times New Roman" w:cs="Times New Roman"/>
          <w:sz w:val="21"/>
          <w:szCs w:val="21"/>
          <w:highlight w:val="none"/>
        </w:rPr>
        <w:t>.1 合同经双方法定代表人或授权委托代理人签</w:t>
      </w:r>
      <w:r>
        <w:rPr>
          <w:rFonts w:hint="default" w:ascii="Times New Roman" w:hAnsi="Times New Roman" w:cs="Times New Roman"/>
          <w:sz w:val="21"/>
          <w:szCs w:val="21"/>
          <w:highlight w:val="none"/>
          <w:lang w:val="en-US" w:eastAsia="zh-CN"/>
        </w:rPr>
        <w:t>字或盖章</w:t>
      </w:r>
      <w:r>
        <w:rPr>
          <w:rFonts w:hint="default" w:ascii="Times New Roman" w:hAnsi="Times New Roman" w:cs="Times New Roman"/>
          <w:sz w:val="21"/>
          <w:szCs w:val="21"/>
          <w:highlight w:val="none"/>
        </w:rPr>
        <w:t>并加盖单位公章后生效。</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18</w:t>
      </w:r>
      <w:r>
        <w:rPr>
          <w:rFonts w:hint="default" w:ascii="Times New Roman" w:hAnsi="Times New Roman" w:cs="Times New Roman"/>
          <w:sz w:val="21"/>
          <w:szCs w:val="21"/>
          <w:highlight w:val="none"/>
        </w:rPr>
        <w:t>.2合同执行中涉及采购资金和采购内容修改或补充的，须经财政部门审批，并签书面补充协议报政府采购监督管理部门备案，方可作为主合同不可分割的一部分。</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18</w:t>
      </w:r>
      <w:r>
        <w:rPr>
          <w:rFonts w:hint="default" w:ascii="Times New Roman" w:hAnsi="Times New Roman" w:cs="Times New Roman"/>
          <w:sz w:val="21"/>
          <w:szCs w:val="21"/>
          <w:highlight w:val="none"/>
        </w:rPr>
        <w:t>.3本合同未尽事宜，遵照《中华人民共和国民法典》有关条文执行。</w:t>
      </w:r>
    </w:p>
    <w:p>
      <w:pPr>
        <w:pStyle w:val="24"/>
        <w:spacing w:before="0" w:beforeLines="0" w:after="0" w:afterLines="0" w:line="360" w:lineRule="auto"/>
        <w:ind w:firstLine="420" w:firstLineChars="200"/>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18</w:t>
      </w:r>
      <w:r>
        <w:rPr>
          <w:rFonts w:hint="default" w:ascii="Times New Roman" w:hAnsi="Times New Roman" w:cs="Times New Roman"/>
          <w:sz w:val="21"/>
          <w:szCs w:val="21"/>
          <w:highlight w:val="none"/>
        </w:rPr>
        <w:t>.4 本合同正本一式</w:t>
      </w:r>
      <w:r>
        <w:rPr>
          <w:rFonts w:hint="default" w:ascii="Times New Roman" w:hAnsi="Times New Roman" w:cs="Times New Roman"/>
          <w:b/>
          <w:sz w:val="21"/>
          <w:szCs w:val="21"/>
          <w:highlight w:val="none"/>
        </w:rPr>
        <w:t>△</w:t>
      </w:r>
      <w:r>
        <w:rPr>
          <w:rFonts w:hint="default" w:ascii="Times New Roman" w:hAnsi="Times New Roman" w:cs="Times New Roman"/>
          <w:sz w:val="21"/>
          <w:szCs w:val="21"/>
          <w:highlight w:val="none"/>
        </w:rPr>
        <w:t>份，具有同等法律效力，甲乙双方各执</w:t>
      </w:r>
      <w:r>
        <w:rPr>
          <w:rFonts w:hint="default" w:ascii="Times New Roman" w:hAnsi="Times New Roman" w:cs="Times New Roman"/>
          <w:b/>
          <w:sz w:val="21"/>
          <w:szCs w:val="21"/>
          <w:highlight w:val="none"/>
        </w:rPr>
        <w:t>△</w:t>
      </w:r>
      <w:r>
        <w:rPr>
          <w:rFonts w:hint="default" w:ascii="Times New Roman" w:hAnsi="Times New Roman" w:cs="Times New Roman"/>
          <w:sz w:val="21"/>
          <w:szCs w:val="21"/>
          <w:highlight w:val="none"/>
        </w:rPr>
        <w:t>份；副本</w:t>
      </w:r>
      <w:r>
        <w:rPr>
          <w:rFonts w:hint="default" w:ascii="Times New Roman" w:hAnsi="Times New Roman" w:cs="Times New Roman"/>
          <w:b/>
          <w:sz w:val="21"/>
          <w:szCs w:val="21"/>
          <w:highlight w:val="none"/>
        </w:rPr>
        <w:t>△</w:t>
      </w:r>
      <w:r>
        <w:rPr>
          <w:rFonts w:hint="default" w:ascii="Times New Roman" w:hAnsi="Times New Roman" w:cs="Times New Roman"/>
          <w:sz w:val="21"/>
          <w:szCs w:val="21"/>
          <w:highlight w:val="none"/>
        </w:rPr>
        <w:t>份。</w:t>
      </w:r>
    </w:p>
    <w:p>
      <w:pPr>
        <w:pStyle w:val="24"/>
        <w:spacing w:before="0" w:beforeLines="0" w:after="0" w:afterLines="0" w:line="360" w:lineRule="auto"/>
        <w:ind w:firstLine="630" w:firstLineChars="30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甲方：                                   乙方： </w:t>
      </w:r>
    </w:p>
    <w:p>
      <w:pPr>
        <w:pStyle w:val="24"/>
        <w:spacing w:before="0" w:beforeLines="0" w:after="0" w:afterLines="0" w:line="360" w:lineRule="auto"/>
        <w:ind w:firstLine="630" w:firstLineChars="30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 xml:space="preserve">地址：                                   地址： </w:t>
      </w:r>
    </w:p>
    <w:p>
      <w:pPr>
        <w:pStyle w:val="24"/>
        <w:spacing w:before="0" w:beforeLines="0" w:after="0" w:afterLines="0" w:line="360" w:lineRule="auto"/>
        <w:ind w:firstLine="630" w:firstLineChars="30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法定（授权）代表人：                     法定（授权）代表人：</w:t>
      </w:r>
    </w:p>
    <w:p>
      <w:pPr>
        <w:pStyle w:val="24"/>
        <w:spacing w:before="0" w:beforeLines="0" w:after="0" w:afterLines="0" w:line="360" w:lineRule="auto"/>
        <w:ind w:firstLine="630" w:firstLineChars="30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签订地点：                               签订日期：     年     月     日</w:t>
      </w:r>
    </w:p>
    <w:p>
      <w:pPr>
        <w:pStyle w:val="17"/>
        <w:rPr>
          <w:rFonts w:hint="default" w:ascii="Times New Roman" w:hAnsi="Times New Roman" w:eastAsia="宋体" w:cs="Times New Roman"/>
          <w:sz w:val="21"/>
          <w:szCs w:val="21"/>
          <w:highlight w:val="none"/>
        </w:rPr>
      </w:pPr>
    </w:p>
    <w:p>
      <w:pPr>
        <w:pStyle w:val="24"/>
        <w:tabs>
          <w:tab w:val="left" w:pos="2472"/>
        </w:tabs>
        <w:spacing w:before="0" w:beforeLines="0" w:after="0" w:afterLines="0" w:line="360" w:lineRule="auto"/>
        <w:jc w:val="center"/>
        <w:outlineLvl w:val="0"/>
        <w:rPr>
          <w:rFonts w:hint="default" w:ascii="Times New Roman" w:hAnsi="Times New Roman" w:cs="Times New Roman"/>
          <w:b/>
          <w:highlight w:val="none"/>
        </w:rPr>
      </w:pPr>
      <w:r>
        <w:rPr>
          <w:rFonts w:hint="default" w:ascii="Times New Roman" w:hAnsi="Times New Roman" w:cs="Times New Roman"/>
          <w:highlight w:val="none"/>
        </w:rPr>
        <w:br w:type="page"/>
      </w:r>
      <w:bookmarkStart w:id="114" w:name="_Toc18068_WPSOffice_Level1"/>
      <w:bookmarkStart w:id="115" w:name="_Toc23881"/>
      <w:bookmarkStart w:id="116" w:name="_Toc5297"/>
      <w:bookmarkStart w:id="117" w:name="_Toc7019"/>
      <w:bookmarkStart w:id="118" w:name="_Toc28361"/>
      <w:bookmarkStart w:id="119" w:name="_Toc16549"/>
      <w:bookmarkStart w:id="120" w:name="_Toc13672"/>
      <w:bookmarkStart w:id="121" w:name="_Toc3145"/>
      <w:r>
        <w:rPr>
          <w:rFonts w:hint="default" w:ascii="Times New Roman" w:hAnsi="Times New Roman" w:cs="Times New Roman"/>
          <w:b/>
          <w:highlight w:val="none"/>
        </w:rPr>
        <w:t>第六章 投标文件格式</w:t>
      </w:r>
      <w:bookmarkEnd w:id="114"/>
      <w:bookmarkEnd w:id="115"/>
      <w:bookmarkEnd w:id="116"/>
      <w:bookmarkEnd w:id="117"/>
      <w:bookmarkEnd w:id="118"/>
      <w:bookmarkEnd w:id="119"/>
      <w:bookmarkEnd w:id="120"/>
      <w:bookmarkEnd w:id="121"/>
    </w:p>
    <w:p>
      <w:pPr>
        <w:pStyle w:val="24"/>
        <w:tabs>
          <w:tab w:val="left" w:pos="2472"/>
        </w:tabs>
        <w:spacing w:before="0" w:beforeLines="0" w:after="0" w:afterLines="0" w:line="360" w:lineRule="auto"/>
        <w:jc w:val="center"/>
        <w:rPr>
          <w:rFonts w:hint="default" w:ascii="Times New Roman" w:hAnsi="Times New Roman" w:cs="Times New Roman"/>
          <w:b/>
          <w:sz w:val="21"/>
          <w:szCs w:val="21"/>
          <w:highlight w:val="none"/>
        </w:rPr>
      </w:pP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1.所有投标文件的外包装封面格式：（可选用）</w:t>
      </w:r>
    </w:p>
    <w:p>
      <w:pPr>
        <w:spacing w:line="360" w:lineRule="auto"/>
        <w:jc w:val="center"/>
        <w:rPr>
          <w:rFonts w:hint="default" w:ascii="Times New Roman" w:hAnsi="Times New Roman" w:cs="Times New Roman"/>
          <w:bCs/>
          <w:szCs w:val="21"/>
          <w:highlight w:val="none"/>
        </w:rPr>
      </w:pPr>
    </w:p>
    <w:p>
      <w:pPr>
        <w:spacing w:line="360" w:lineRule="auto"/>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投 标 文 件</w:t>
      </w:r>
    </w:p>
    <w:p>
      <w:pPr>
        <w:spacing w:line="360" w:lineRule="auto"/>
        <w:rPr>
          <w:rFonts w:hint="default" w:ascii="Times New Roman" w:hAnsi="Times New Roman" w:cs="Times New Roman"/>
          <w:bCs/>
          <w:szCs w:val="21"/>
          <w:highlight w:val="none"/>
        </w:rPr>
      </w:pPr>
    </w:p>
    <w:p>
      <w:pPr>
        <w:spacing w:line="360" w:lineRule="auto"/>
        <w:ind w:firstLine="1785" w:firstLineChars="850"/>
        <w:rPr>
          <w:rFonts w:hint="default" w:ascii="Times New Roman" w:hAnsi="Times New Roman" w:cs="Times New Roman"/>
          <w:bCs/>
          <w:szCs w:val="21"/>
          <w:highlight w:val="none"/>
        </w:rPr>
      </w:pPr>
      <w:r>
        <w:rPr>
          <w:rFonts w:hint="default" w:ascii="Times New Roman" w:hAnsi="Times New Roman" w:cs="Times New Roman"/>
          <w:bCs/>
          <w:szCs w:val="21"/>
          <w:highlight w:val="none"/>
        </w:rPr>
        <w:t xml:space="preserve">项目名称：        </w:t>
      </w:r>
    </w:p>
    <w:p>
      <w:pPr>
        <w:spacing w:line="360" w:lineRule="auto"/>
        <w:ind w:firstLine="1785" w:firstLineChars="850"/>
        <w:rPr>
          <w:rFonts w:hint="default" w:ascii="Times New Roman" w:hAnsi="Times New Roman" w:cs="Times New Roman"/>
          <w:bCs/>
          <w:szCs w:val="21"/>
          <w:highlight w:val="none"/>
        </w:rPr>
      </w:pPr>
      <w:r>
        <w:rPr>
          <w:rFonts w:hint="default" w:ascii="Times New Roman" w:hAnsi="Times New Roman" w:cs="Times New Roman"/>
          <w:bCs/>
          <w:szCs w:val="21"/>
          <w:highlight w:val="none"/>
        </w:rPr>
        <w:t>项目编号：</w:t>
      </w:r>
    </w:p>
    <w:p>
      <w:pPr>
        <w:spacing w:line="360" w:lineRule="auto"/>
        <w:ind w:firstLine="1785" w:firstLineChars="850"/>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投标文件名称：报价文件/资格证明文件/技术商务文件</w:t>
      </w:r>
    </w:p>
    <w:p>
      <w:pPr>
        <w:pStyle w:val="4"/>
        <w:spacing w:line="360" w:lineRule="auto"/>
        <w:ind w:firstLine="1785" w:firstLineChars="850"/>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投标人名称（公章）：</w:t>
      </w:r>
    </w:p>
    <w:p>
      <w:pPr>
        <w:pStyle w:val="4"/>
        <w:spacing w:line="360" w:lineRule="auto"/>
        <w:ind w:firstLine="1785" w:firstLineChars="850"/>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投标人地址：</w:t>
      </w:r>
    </w:p>
    <w:p>
      <w:pPr>
        <w:pStyle w:val="4"/>
        <w:spacing w:line="360" w:lineRule="auto"/>
        <w:ind w:firstLine="1785" w:firstLineChars="850"/>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开标时启封</w:t>
      </w:r>
    </w:p>
    <w:p>
      <w:pPr>
        <w:pStyle w:val="4"/>
        <w:spacing w:line="360" w:lineRule="auto"/>
        <w:ind w:firstLine="1785" w:firstLineChars="850"/>
        <w:rPr>
          <w:rFonts w:hint="default" w:ascii="Times New Roman" w:hAnsi="Times New Roman" w:cs="Times New Roman"/>
          <w:bCs/>
          <w:szCs w:val="21"/>
          <w:highlight w:val="none"/>
        </w:rPr>
      </w:pPr>
    </w:p>
    <w:p>
      <w:pPr>
        <w:spacing w:line="360" w:lineRule="auto"/>
        <w:ind w:firstLine="645"/>
        <w:jc w:val="center"/>
        <w:rPr>
          <w:rFonts w:hint="default" w:ascii="Times New Roman" w:hAnsi="Times New Roman" w:cs="Times New Roman"/>
          <w:bCs/>
          <w:szCs w:val="21"/>
          <w:highlight w:val="none"/>
        </w:rPr>
      </w:pPr>
      <w:r>
        <w:rPr>
          <w:rFonts w:hint="default" w:ascii="Times New Roman" w:hAnsi="Times New Roman" w:cs="Times New Roman"/>
          <w:bCs/>
          <w:szCs w:val="21"/>
          <w:highlight w:val="none"/>
        </w:rPr>
        <w:t xml:space="preserve">                        年  月  日</w:t>
      </w:r>
    </w:p>
    <w:p>
      <w:pPr>
        <w:spacing w:line="360" w:lineRule="auto"/>
        <w:jc w:val="center"/>
        <w:rPr>
          <w:rFonts w:hint="default" w:ascii="Times New Roman" w:hAnsi="Times New Roman" w:cs="Times New Roman"/>
          <w:szCs w:val="21"/>
          <w:highlight w:val="none"/>
        </w:rPr>
      </w:pPr>
    </w:p>
    <w:p>
      <w:pPr>
        <w:spacing w:line="360" w:lineRule="auto"/>
        <w:jc w:val="center"/>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2.封面格式： </w:t>
      </w:r>
    </w:p>
    <w:p>
      <w:pPr>
        <w:spacing w:line="360" w:lineRule="auto"/>
        <w:rPr>
          <w:rFonts w:hint="default" w:ascii="Times New Roman" w:hAnsi="Times New Roman" w:cs="Times New Roman"/>
          <w:highlight w:val="none"/>
        </w:rPr>
      </w:pPr>
      <w:r>
        <w:rPr>
          <w:rFonts w:hint="default" w:ascii="Times New Roman" w:hAnsi="Times New Roman" w:cs="Times New Roman"/>
          <w:szCs w:val="21"/>
          <w:highlight w:val="none"/>
        </w:rPr>
        <w:t xml:space="preserve">                                                    </w:t>
      </w:r>
    </w:p>
    <w:p>
      <w:pPr>
        <w:spacing w:line="360" w:lineRule="auto"/>
        <w:rPr>
          <w:rFonts w:hint="default" w:ascii="Times New Roman" w:hAnsi="Times New Roman" w:cs="Times New Roman"/>
          <w:bCs/>
          <w:szCs w:val="21"/>
          <w:highlight w:val="none"/>
        </w:rPr>
      </w:pPr>
    </w:p>
    <w:p>
      <w:pPr>
        <w:spacing w:line="360" w:lineRule="auto"/>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投 标 文 件</w:t>
      </w:r>
    </w:p>
    <w:p>
      <w:pPr>
        <w:spacing w:line="360" w:lineRule="auto"/>
        <w:rPr>
          <w:rFonts w:hint="default" w:ascii="Times New Roman" w:hAnsi="Times New Roman" w:cs="Times New Roman"/>
          <w:bCs/>
          <w:szCs w:val="21"/>
          <w:highlight w:val="none"/>
        </w:rPr>
      </w:pPr>
    </w:p>
    <w:p>
      <w:pPr>
        <w:spacing w:line="360" w:lineRule="auto"/>
        <w:ind w:firstLine="1575" w:firstLineChars="750"/>
        <w:rPr>
          <w:rFonts w:hint="default" w:ascii="Times New Roman" w:hAnsi="Times New Roman" w:cs="Times New Roman"/>
          <w:bCs/>
          <w:szCs w:val="21"/>
          <w:highlight w:val="none"/>
        </w:rPr>
      </w:pPr>
      <w:r>
        <w:rPr>
          <w:rFonts w:hint="default" w:ascii="Times New Roman" w:hAnsi="Times New Roman" w:cs="Times New Roman"/>
          <w:bCs/>
          <w:szCs w:val="21"/>
          <w:highlight w:val="none"/>
        </w:rPr>
        <w:t xml:space="preserve">项目名称： </w:t>
      </w:r>
    </w:p>
    <w:p>
      <w:pPr>
        <w:spacing w:line="360" w:lineRule="auto"/>
        <w:rPr>
          <w:rFonts w:hint="default" w:ascii="Times New Roman" w:hAnsi="Times New Roman" w:cs="Times New Roman"/>
          <w:bCs/>
          <w:szCs w:val="21"/>
          <w:highlight w:val="none"/>
        </w:rPr>
      </w:pPr>
      <w:r>
        <w:rPr>
          <w:rFonts w:hint="default" w:ascii="Times New Roman" w:hAnsi="Times New Roman" w:cs="Times New Roman"/>
          <w:bCs/>
          <w:szCs w:val="21"/>
          <w:highlight w:val="none"/>
        </w:rPr>
        <w:t xml:space="preserve">               项目编号： </w:t>
      </w:r>
    </w:p>
    <w:p>
      <w:pPr>
        <w:spacing w:line="360" w:lineRule="auto"/>
        <w:ind w:firstLine="1575" w:firstLineChars="750"/>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投标文件名称：报价文件/资格证明文件/技术商务文件</w:t>
      </w:r>
    </w:p>
    <w:p>
      <w:pPr>
        <w:pStyle w:val="4"/>
        <w:spacing w:line="360" w:lineRule="auto"/>
        <w:ind w:firstLine="1575" w:firstLineChars="750"/>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投标人名称（公章）：</w:t>
      </w:r>
    </w:p>
    <w:p>
      <w:pPr>
        <w:pStyle w:val="4"/>
        <w:spacing w:line="360" w:lineRule="auto"/>
        <w:ind w:firstLine="1575" w:firstLineChars="750"/>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投标人地址：</w:t>
      </w:r>
    </w:p>
    <w:p>
      <w:pPr>
        <w:pStyle w:val="4"/>
        <w:spacing w:line="360" w:lineRule="auto"/>
        <w:ind w:firstLine="840" w:firstLineChars="400"/>
        <w:rPr>
          <w:rFonts w:hint="default" w:ascii="Times New Roman" w:hAnsi="Times New Roman" w:cs="Times New Roman"/>
          <w:bCs/>
          <w:szCs w:val="21"/>
          <w:highlight w:val="none"/>
        </w:rPr>
      </w:pPr>
    </w:p>
    <w:p>
      <w:pPr>
        <w:pStyle w:val="4"/>
        <w:spacing w:line="360" w:lineRule="auto"/>
        <w:ind w:firstLine="873" w:firstLineChars="416"/>
        <w:rPr>
          <w:rFonts w:hint="default" w:ascii="Times New Roman" w:hAnsi="Times New Roman" w:cs="Times New Roman"/>
          <w:szCs w:val="21"/>
          <w:highlight w:val="none"/>
        </w:rPr>
      </w:pPr>
    </w:p>
    <w:p>
      <w:pPr>
        <w:spacing w:line="360" w:lineRule="auto"/>
        <w:ind w:firstLine="645"/>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年  月  日</w:t>
      </w:r>
    </w:p>
    <w:p>
      <w:pPr>
        <w:spacing w:line="360" w:lineRule="auto"/>
        <w:rPr>
          <w:rFonts w:hint="default" w:ascii="Times New Roman" w:hAnsi="Times New Roman" w:cs="Times New Roman"/>
          <w:b/>
          <w:szCs w:val="21"/>
          <w:highlight w:val="none"/>
        </w:rPr>
      </w:pPr>
    </w:p>
    <w:p>
      <w:pPr>
        <w:spacing w:line="360" w:lineRule="auto"/>
        <w:rPr>
          <w:rFonts w:hint="default" w:ascii="Times New Roman" w:hAnsi="Times New Roman" w:cs="Times New Roman"/>
          <w:b/>
          <w:szCs w:val="21"/>
          <w:highlight w:val="none"/>
        </w:rPr>
      </w:pPr>
    </w:p>
    <w:p>
      <w:pPr>
        <w:spacing w:line="360" w:lineRule="auto"/>
        <w:rPr>
          <w:rFonts w:hint="default" w:ascii="Times New Roman" w:hAnsi="Times New Roman" w:cs="Times New Roman"/>
          <w:b/>
          <w:szCs w:val="21"/>
          <w:highlight w:val="none"/>
        </w:rPr>
      </w:pPr>
    </w:p>
    <w:p>
      <w:pPr>
        <w:spacing w:line="360" w:lineRule="auto"/>
        <w:rPr>
          <w:rFonts w:hint="default" w:ascii="Times New Roman" w:hAnsi="Times New Roman" w:cs="Times New Roman"/>
          <w:b/>
          <w:szCs w:val="21"/>
          <w:highlight w:val="none"/>
        </w:rPr>
      </w:pPr>
    </w:p>
    <w:p>
      <w:pPr>
        <w:spacing w:line="360" w:lineRule="auto"/>
        <w:rPr>
          <w:rFonts w:hint="default" w:ascii="Times New Roman" w:hAnsi="Times New Roman" w:cs="Times New Roman"/>
          <w:b/>
          <w:szCs w:val="21"/>
          <w:highlight w:val="none"/>
        </w:rPr>
      </w:pPr>
    </w:p>
    <w:p>
      <w:pPr>
        <w:spacing w:line="360" w:lineRule="auto"/>
        <w:rPr>
          <w:rFonts w:hint="default" w:ascii="Times New Roman" w:hAnsi="Times New Roman" w:cs="Times New Roman"/>
          <w:b/>
          <w:szCs w:val="21"/>
          <w:highlight w:val="none"/>
        </w:rPr>
      </w:pPr>
    </w:p>
    <w:p>
      <w:pPr>
        <w:spacing w:line="360" w:lineRule="auto"/>
        <w:rPr>
          <w:rFonts w:hint="default" w:ascii="Times New Roman" w:hAnsi="Times New Roman" w:cs="Times New Roman"/>
          <w:b/>
          <w:szCs w:val="21"/>
          <w:highlight w:val="none"/>
        </w:rPr>
      </w:pPr>
    </w:p>
    <w:p>
      <w:pPr>
        <w:spacing w:line="360" w:lineRule="auto"/>
        <w:rPr>
          <w:rFonts w:hint="default" w:ascii="Times New Roman" w:hAnsi="Times New Roman" w:cs="Times New Roman"/>
          <w:b/>
          <w:bCs/>
          <w:szCs w:val="21"/>
          <w:highlight w:val="none"/>
        </w:rPr>
      </w:pPr>
      <w:r>
        <w:rPr>
          <w:rFonts w:hint="default" w:ascii="Times New Roman" w:hAnsi="Times New Roman" w:cs="Times New Roman"/>
          <w:b/>
          <w:szCs w:val="21"/>
          <w:highlight w:val="none"/>
        </w:rPr>
        <w:t>格式一：</w:t>
      </w:r>
    </w:p>
    <w:p>
      <w:pPr>
        <w:pStyle w:val="3"/>
        <w:widowControl/>
        <w:spacing w:line="360" w:lineRule="auto"/>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投标声明书</w:t>
      </w:r>
    </w:p>
    <w:p>
      <w:pPr>
        <w:snapToGrid w:val="0"/>
        <w:spacing w:line="360" w:lineRule="auto"/>
        <w:rPr>
          <w:rFonts w:hint="default" w:ascii="Times New Roman" w:hAnsi="Times New Roman" w:cs="Times New Roman"/>
          <w:szCs w:val="21"/>
          <w:highlight w:val="none"/>
        </w:rPr>
      </w:pPr>
    </w:p>
    <w:p>
      <w:pPr>
        <w:snapToGrid w:val="0"/>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致：</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（采购单位名称）：</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 </w:t>
      </w:r>
      <w:r>
        <w:rPr>
          <w:rFonts w:hint="default" w:ascii="Times New Roman" w:hAnsi="Times New Roman" w:cs="Times New Roman"/>
          <w:sz w:val="21"/>
          <w:szCs w:val="21"/>
          <w:highlight w:val="none"/>
          <w:u w:val="single"/>
        </w:rPr>
        <w:t>（投标人全称）</w:t>
      </w:r>
      <w:r>
        <w:rPr>
          <w:rFonts w:hint="default" w:ascii="Times New Roman" w:hAnsi="Times New Roman" w:cs="Times New Roman"/>
          <w:sz w:val="21"/>
          <w:szCs w:val="21"/>
          <w:highlight w:val="none"/>
        </w:rPr>
        <w:t>授权</w:t>
      </w:r>
      <w:r>
        <w:rPr>
          <w:rFonts w:hint="default" w:ascii="Times New Roman" w:hAnsi="Times New Roman" w:cs="Times New Roman"/>
          <w:sz w:val="21"/>
          <w:szCs w:val="21"/>
          <w:highlight w:val="none"/>
          <w:u w:val="single"/>
        </w:rPr>
        <w:t>（全权代表姓名）</w:t>
      </w:r>
      <w:r>
        <w:rPr>
          <w:rFonts w:hint="default" w:ascii="Times New Roman" w:hAnsi="Times New Roman" w:cs="Times New Roman"/>
          <w:sz w:val="21"/>
          <w:szCs w:val="21"/>
          <w:highlight w:val="none"/>
        </w:rPr>
        <w:t>为本公司（单位）合法代理人，参加贵方组织的</w:t>
      </w:r>
      <w:r>
        <w:rPr>
          <w:rFonts w:hint="default" w:ascii="Times New Roman" w:hAnsi="Times New Roman" w:cs="Times New Roman"/>
          <w:sz w:val="21"/>
          <w:szCs w:val="21"/>
          <w:highlight w:val="none"/>
          <w:u w:val="single"/>
        </w:rPr>
        <w:t>（项目编号、项目名称）</w:t>
      </w:r>
      <w:r>
        <w:rPr>
          <w:rFonts w:hint="default" w:ascii="Times New Roman" w:hAnsi="Times New Roman" w:cs="Times New Roman"/>
          <w:sz w:val="21"/>
          <w:szCs w:val="21"/>
          <w:highlight w:val="none"/>
        </w:rPr>
        <w:t>招投标活动，代表本公司（单位）处理招投标活动中的一切事宜，为对</w:t>
      </w:r>
      <w:r>
        <w:rPr>
          <w:rFonts w:hint="default" w:ascii="Times New Roman" w:hAnsi="Times New Roman" w:cs="Times New Roman"/>
          <w:sz w:val="21"/>
          <w:szCs w:val="21"/>
          <w:highlight w:val="none"/>
          <w:u w:val="single"/>
        </w:rPr>
        <w:t>（货物名称）</w:t>
      </w:r>
      <w:r>
        <w:rPr>
          <w:rFonts w:hint="default" w:ascii="Times New Roman" w:hAnsi="Times New Roman" w:cs="Times New Roman"/>
          <w:sz w:val="21"/>
          <w:szCs w:val="21"/>
          <w:highlight w:val="none"/>
        </w:rPr>
        <w:t>进行投标，在此：</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1、提供招标文件中“投标须知”规定的全部投标文件。 </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2、据此函，签名代表宣布并承诺如下：</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投标报价：人民币</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元。</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本报价已经包含了所提供服务应纳的税金及招标文件规定的报价方式应包含的其它费用。本报价在投标有效期内固定不变，并在合同有效期内不受市场价变化、不受实际工作量变化及利率波动的影响。</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3、本投标自投标截止之日起</w:t>
      </w:r>
      <w:r>
        <w:rPr>
          <w:rFonts w:hint="default" w:ascii="Times New Roman" w:hAnsi="Times New Roman" w:cs="Times New Roman"/>
          <w:sz w:val="21"/>
          <w:szCs w:val="21"/>
          <w:highlight w:val="none"/>
          <w:u w:val="single"/>
        </w:rPr>
        <w:t>90</w:t>
      </w:r>
      <w:r>
        <w:rPr>
          <w:rFonts w:hint="default" w:ascii="Times New Roman" w:hAnsi="Times New Roman" w:cs="Times New Roman"/>
          <w:sz w:val="21"/>
          <w:szCs w:val="21"/>
          <w:highlight w:val="none"/>
        </w:rPr>
        <w:t>天内有效。</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4、我们已详细审查全部招标文件及有关的澄清/修改文件（若有的话），我们完全理解并同意放弃对这方面提出任何异议的权利。保证遵守招标文件有关条款规定。</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5、保证遵守招标文件有关条款规定。</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6、保证在中标后忠实地执行与采购人所签署的合同，并承担合同规定的责任义务。保证在中标后按照招标文件的规定支付中标服务费。</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7、承诺应贵方要求提供任何与该项目投标有关的数据、情况和技术资料。</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8、与本项目有关的澄清、补充文件请发送至：</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电子邮箱：</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传真号码：</w:t>
      </w:r>
      <w:r>
        <w:rPr>
          <w:rFonts w:hint="default" w:ascii="Times New Roman" w:hAnsi="Times New Roman" w:cs="Times New Roman"/>
          <w:sz w:val="21"/>
          <w:szCs w:val="21"/>
          <w:highlight w:val="none"/>
          <w:u w:val="single"/>
        </w:rPr>
        <w:t xml:space="preserve">                 </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9、与本投标有关的一切往来通讯请寄：</w:t>
      </w: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地址：</w:t>
      </w:r>
      <w:r>
        <w:rPr>
          <w:rFonts w:hint="default" w:ascii="Times New Roman" w:hAnsi="Times New Roman" w:cs="Times New Roman"/>
          <w:sz w:val="21"/>
          <w:szCs w:val="21"/>
          <w:highlight w:val="none"/>
          <w:u w:val="single"/>
        </w:rPr>
        <w:t xml:space="preserve">                                                 </w:t>
      </w:r>
    </w:p>
    <w:p>
      <w:pPr>
        <w:pStyle w:val="3"/>
        <w:spacing w:line="360" w:lineRule="auto"/>
        <w:ind w:firstLine="404" w:firstLineChars="200"/>
        <w:rPr>
          <w:rFonts w:hint="default" w:ascii="Times New Roman" w:hAnsi="Times New Roman" w:cs="Times New Roman"/>
          <w:sz w:val="21"/>
          <w:szCs w:val="21"/>
          <w:highlight w:val="none"/>
          <w:u w:val="single"/>
        </w:rPr>
      </w:pPr>
      <w:r>
        <w:rPr>
          <w:rFonts w:hint="default" w:ascii="Times New Roman" w:hAnsi="Times New Roman" w:cs="Times New Roman"/>
          <w:sz w:val="21"/>
          <w:szCs w:val="21"/>
          <w:highlight w:val="none"/>
        </w:rPr>
        <w:t>邮编：</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电话：</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传真：</w:t>
      </w:r>
      <w:r>
        <w:rPr>
          <w:rFonts w:hint="default" w:ascii="Times New Roman" w:hAnsi="Times New Roman" w:cs="Times New Roman"/>
          <w:sz w:val="21"/>
          <w:szCs w:val="21"/>
          <w:highlight w:val="none"/>
          <w:u w:val="single"/>
        </w:rPr>
        <w:t xml:space="preserve">            </w:t>
      </w:r>
    </w:p>
    <w:p>
      <w:pPr>
        <w:pStyle w:val="3"/>
        <w:spacing w:line="360" w:lineRule="auto"/>
        <w:ind w:firstLine="404" w:firstLineChars="200"/>
        <w:rPr>
          <w:rFonts w:hint="default" w:ascii="Times New Roman" w:hAnsi="Times New Roman" w:cs="Times New Roman"/>
          <w:sz w:val="21"/>
          <w:szCs w:val="21"/>
          <w:highlight w:val="none"/>
        </w:rPr>
      </w:pPr>
    </w:p>
    <w:p>
      <w:pPr>
        <w:pStyle w:val="3"/>
        <w:spacing w:line="360" w:lineRule="auto"/>
        <w:ind w:firstLine="404" w:firstLineChars="200"/>
        <w:rPr>
          <w:rFonts w:hint="default" w:ascii="Times New Roman" w:hAnsi="Times New Roman" w:cs="Times New Roman"/>
          <w:sz w:val="21"/>
          <w:szCs w:val="21"/>
          <w:highlight w:val="none"/>
        </w:rPr>
      </w:pPr>
    </w:p>
    <w:p>
      <w:pPr>
        <w:pStyle w:val="3"/>
        <w:spacing w:line="360" w:lineRule="auto"/>
        <w:ind w:firstLine="404" w:firstLineChars="200"/>
        <w:rPr>
          <w:rFonts w:hint="default" w:ascii="Times New Roman" w:hAnsi="Times New Roman" w:cs="Times New Roman"/>
          <w:sz w:val="21"/>
          <w:szCs w:val="21"/>
          <w:highlight w:val="none"/>
        </w:rPr>
      </w:pPr>
    </w:p>
    <w:p>
      <w:pPr>
        <w:pStyle w:val="3"/>
        <w:widowControl/>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投标人全称（盖公章）：</w:t>
      </w:r>
    </w:p>
    <w:p>
      <w:pPr>
        <w:pStyle w:val="3"/>
        <w:widowControl/>
        <w:spacing w:line="360" w:lineRule="auto"/>
        <w:ind w:firstLine="404" w:firstLineChars="200"/>
        <w:rPr>
          <w:rFonts w:hint="default" w:ascii="Times New Roman" w:hAnsi="Times New Roman" w:cs="Times New Roman"/>
          <w:sz w:val="21"/>
          <w:szCs w:val="21"/>
          <w:highlight w:val="none"/>
        </w:rPr>
      </w:pPr>
    </w:p>
    <w:p>
      <w:pPr>
        <w:pStyle w:val="3"/>
        <w:spacing w:line="360" w:lineRule="auto"/>
        <w:ind w:firstLine="404"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日期：  年  月  日</w:t>
      </w:r>
    </w:p>
    <w:p>
      <w:pPr>
        <w:spacing w:line="360" w:lineRule="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br w:type="page"/>
      </w:r>
      <w:r>
        <w:rPr>
          <w:rFonts w:hint="default" w:ascii="Times New Roman" w:hAnsi="Times New Roman" w:cs="Times New Roman"/>
          <w:b/>
          <w:bCs/>
          <w:szCs w:val="21"/>
          <w:highlight w:val="none"/>
        </w:rPr>
        <w:t>格式二：</w:t>
      </w:r>
    </w:p>
    <w:p>
      <w:pPr>
        <w:pStyle w:val="3"/>
        <w:tabs>
          <w:tab w:val="left" w:pos="4841"/>
        </w:tabs>
        <w:spacing w:line="360" w:lineRule="auto"/>
        <w:jc w:val="center"/>
        <w:outlineLvl w:val="9"/>
        <w:rPr>
          <w:rFonts w:hint="default" w:ascii="Times New Roman" w:hAnsi="Times New Roman" w:cs="Times New Roman"/>
          <w:b/>
          <w:sz w:val="24"/>
          <w:highlight w:val="none"/>
        </w:rPr>
      </w:pPr>
      <w:bookmarkStart w:id="122" w:name="_Toc769"/>
      <w:bookmarkStart w:id="123" w:name="_Toc6942"/>
      <w:r>
        <w:rPr>
          <w:rFonts w:hint="default" w:ascii="Times New Roman" w:hAnsi="Times New Roman" w:cs="Times New Roman"/>
          <w:b/>
          <w:sz w:val="24"/>
          <w:highlight w:val="none"/>
        </w:rPr>
        <w:t>开标一览表</w:t>
      </w:r>
      <w:bookmarkEnd w:id="122"/>
      <w:bookmarkEnd w:id="123"/>
    </w:p>
    <w:p>
      <w:pPr>
        <w:pStyle w:val="3"/>
        <w:spacing w:line="360" w:lineRule="auto"/>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项目名称：</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项目编号：</w:t>
      </w:r>
      <w:r>
        <w:rPr>
          <w:rFonts w:hint="default" w:ascii="Times New Roman" w:hAnsi="Times New Roman" w:cs="Times New Roman"/>
          <w:sz w:val="21"/>
          <w:szCs w:val="21"/>
          <w:highlight w:val="none"/>
          <w:u w:val="single"/>
        </w:rPr>
        <w:t xml:space="preserve">                       </w:t>
      </w:r>
    </w:p>
    <w:tbl>
      <w:tblPr>
        <w:tblStyle w:val="37"/>
        <w:tblW w:w="0" w:type="auto"/>
        <w:tblInd w:w="11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891"/>
        <w:gridCol w:w="1001"/>
        <w:gridCol w:w="2778"/>
        <w:gridCol w:w="17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5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1891"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设备名称</w:t>
            </w:r>
          </w:p>
        </w:tc>
        <w:tc>
          <w:tcPr>
            <w:tcW w:w="1001"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数量</w:t>
            </w:r>
          </w:p>
        </w:tc>
        <w:tc>
          <w:tcPr>
            <w:tcW w:w="2778"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投标报价</w:t>
            </w:r>
          </w:p>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（人民币元）</w:t>
            </w:r>
          </w:p>
        </w:tc>
        <w:tc>
          <w:tcPr>
            <w:tcW w:w="1710"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交货</w:t>
            </w:r>
            <w:r>
              <w:rPr>
                <w:rStyle w:val="50"/>
                <w:rFonts w:hint="default" w:ascii="Times New Roman" w:hAnsi="Times New Roman" w:cs="Times New Roman"/>
                <w:highlight w:val="none"/>
              </w:rPr>
              <w:t>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75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1891" w:type="dxa"/>
            <w:noWrap w:val="0"/>
            <w:vAlign w:val="center"/>
          </w:tcPr>
          <w:p>
            <w:pPr>
              <w:spacing w:line="400" w:lineRule="exact"/>
              <w:jc w:val="center"/>
              <w:rPr>
                <w:rFonts w:hint="default" w:ascii="Times New Roman" w:hAnsi="Times New Roman" w:cs="Times New Roman"/>
                <w:szCs w:val="21"/>
                <w:highlight w:val="none"/>
              </w:rPr>
            </w:pPr>
          </w:p>
        </w:tc>
        <w:tc>
          <w:tcPr>
            <w:tcW w:w="1001" w:type="dxa"/>
            <w:noWrap w:val="0"/>
            <w:vAlign w:val="center"/>
          </w:tcPr>
          <w:p>
            <w:pPr>
              <w:spacing w:line="400" w:lineRule="exact"/>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1批</w:t>
            </w:r>
          </w:p>
        </w:tc>
        <w:tc>
          <w:tcPr>
            <w:tcW w:w="2778" w:type="dxa"/>
            <w:noWrap w:val="0"/>
            <w:vAlign w:val="center"/>
          </w:tcPr>
          <w:p>
            <w:pPr>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小写：</w:t>
            </w:r>
          </w:p>
          <w:p>
            <w:pPr>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大写：</w:t>
            </w:r>
          </w:p>
        </w:tc>
        <w:tc>
          <w:tcPr>
            <w:tcW w:w="1710" w:type="dxa"/>
            <w:noWrap w:val="0"/>
            <w:vAlign w:val="center"/>
          </w:tcPr>
          <w:p>
            <w:pPr>
              <w:spacing w:line="400" w:lineRule="exact"/>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eastAsia="zh-CN"/>
              </w:rPr>
              <w:t>自合同签订之日3个月</w:t>
            </w:r>
            <w:r>
              <w:rPr>
                <w:rFonts w:hint="default" w:ascii="Times New Roman" w:hAnsi="Times New Roman" w:cs="Times New Roman"/>
                <w:szCs w:val="21"/>
                <w:highlight w:val="none"/>
                <w:lang w:eastAsia="zh-CN"/>
              </w:rPr>
              <w:t>内完成本项目的供货、调试、试运行等全部工作。</w:t>
            </w:r>
          </w:p>
        </w:tc>
      </w:tr>
    </w:tbl>
    <w:p>
      <w:pPr>
        <w:pStyle w:val="3"/>
        <w:spacing w:line="360" w:lineRule="auto"/>
        <w:ind w:firstLine="0"/>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注：</w:t>
      </w:r>
      <w:r>
        <w:rPr>
          <w:rFonts w:hint="eastAsia" w:ascii="Times New Roman" w:hAnsi="Times New Roman" w:cs="Times New Roman"/>
          <w:b/>
          <w:bCs/>
          <w:sz w:val="21"/>
          <w:szCs w:val="21"/>
          <w:highlight w:val="none"/>
          <w:lang w:val="en-US" w:eastAsia="zh-CN"/>
        </w:rPr>
        <w:t>1、</w:t>
      </w:r>
      <w:r>
        <w:rPr>
          <w:rFonts w:hint="default" w:ascii="Times New Roman" w:hAnsi="Times New Roman" w:cs="Times New Roman"/>
          <w:b/>
          <w:bCs/>
          <w:sz w:val="21"/>
          <w:szCs w:val="21"/>
          <w:highlight w:val="none"/>
        </w:rPr>
        <w:t>报价一经涂改，应在涂改处加盖单位公章或者由法定代表人或授权委托人签</w:t>
      </w:r>
      <w:r>
        <w:rPr>
          <w:rFonts w:hint="default" w:ascii="Times New Roman" w:hAnsi="Times New Roman" w:cs="Times New Roman"/>
          <w:b/>
          <w:bCs/>
          <w:sz w:val="21"/>
          <w:szCs w:val="21"/>
          <w:highlight w:val="none"/>
          <w:lang w:val="en-US" w:eastAsia="zh-CN"/>
        </w:rPr>
        <w:t>字</w:t>
      </w:r>
      <w:r>
        <w:rPr>
          <w:rFonts w:hint="default" w:ascii="Times New Roman" w:hAnsi="Times New Roman" w:cs="Times New Roman"/>
          <w:b/>
          <w:bCs/>
          <w:sz w:val="21"/>
          <w:szCs w:val="21"/>
          <w:highlight w:val="none"/>
        </w:rPr>
        <w:t>或盖章，否则其投标作无效标处理。</w:t>
      </w:r>
    </w:p>
    <w:p>
      <w:pPr>
        <w:pStyle w:val="3"/>
        <w:spacing w:line="360" w:lineRule="auto"/>
        <w:ind w:left="693" w:hanging="692" w:hangingChars="343"/>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  </w:t>
      </w:r>
    </w:p>
    <w:p>
      <w:pPr>
        <w:pStyle w:val="3"/>
        <w:spacing w:line="360" w:lineRule="auto"/>
        <w:ind w:left="693" w:hanging="692" w:hangingChars="343"/>
        <w:rPr>
          <w:rFonts w:hint="default" w:ascii="Times New Roman" w:hAnsi="Times New Roman" w:cs="Times New Roman"/>
          <w:sz w:val="21"/>
          <w:szCs w:val="21"/>
          <w:highlight w:val="none"/>
        </w:rPr>
      </w:pPr>
    </w:p>
    <w:p>
      <w:pPr>
        <w:pStyle w:val="3"/>
        <w:spacing w:line="360" w:lineRule="auto"/>
        <w:ind w:left="693" w:hanging="692" w:hangingChars="343"/>
        <w:rPr>
          <w:rFonts w:hint="default" w:ascii="Times New Roman" w:hAnsi="Times New Roman" w:cs="Times New Roman"/>
          <w:sz w:val="21"/>
          <w:szCs w:val="21"/>
          <w:highlight w:val="none"/>
        </w:rPr>
      </w:pPr>
    </w:p>
    <w:p>
      <w:pPr>
        <w:pStyle w:val="3"/>
        <w:widowControl/>
        <w:spacing w:line="360" w:lineRule="auto"/>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投标人全称（盖公章）：</w:t>
      </w:r>
    </w:p>
    <w:p>
      <w:pPr>
        <w:pStyle w:val="3"/>
        <w:widowControl/>
        <w:spacing w:line="360" w:lineRule="auto"/>
        <w:jc w:val="left"/>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日期：  年  月  日</w:t>
      </w:r>
    </w:p>
    <w:p>
      <w:pPr>
        <w:pStyle w:val="3"/>
        <w:spacing w:line="360" w:lineRule="auto"/>
        <w:rPr>
          <w:rFonts w:hint="default" w:ascii="Times New Roman" w:hAnsi="Times New Roman" w:cs="Times New Roman"/>
          <w:sz w:val="21"/>
          <w:szCs w:val="21"/>
          <w:highlight w:val="none"/>
        </w:rPr>
      </w:pPr>
    </w:p>
    <w:p>
      <w:pPr>
        <w:spacing w:line="360" w:lineRule="auto"/>
        <w:rPr>
          <w:rFonts w:hint="default" w:ascii="Times New Roman" w:hAnsi="Times New Roman" w:cs="Times New Roman"/>
          <w:b/>
          <w:bCs/>
          <w:szCs w:val="21"/>
          <w:highlight w:val="none"/>
        </w:rPr>
      </w:pPr>
      <w:r>
        <w:rPr>
          <w:rFonts w:hint="default" w:ascii="Times New Roman" w:hAnsi="Times New Roman" w:cs="Times New Roman"/>
          <w:szCs w:val="21"/>
          <w:highlight w:val="none"/>
        </w:rPr>
        <w:br w:type="page"/>
      </w:r>
      <w:r>
        <w:rPr>
          <w:rFonts w:hint="default" w:ascii="Times New Roman" w:hAnsi="Times New Roman" w:cs="Times New Roman"/>
          <w:b/>
          <w:bCs/>
          <w:szCs w:val="21"/>
          <w:highlight w:val="none"/>
        </w:rPr>
        <w:t>格式三：</w:t>
      </w:r>
    </w:p>
    <w:p>
      <w:pPr>
        <w:pStyle w:val="3"/>
        <w:tabs>
          <w:tab w:val="left" w:pos="4841"/>
        </w:tabs>
        <w:spacing w:line="360" w:lineRule="auto"/>
        <w:jc w:val="center"/>
        <w:outlineLvl w:val="9"/>
        <w:rPr>
          <w:rFonts w:hint="default" w:ascii="Times New Roman" w:hAnsi="Times New Roman" w:cs="Times New Roman"/>
          <w:b/>
          <w:sz w:val="24"/>
          <w:highlight w:val="none"/>
        </w:rPr>
      </w:pPr>
      <w:bookmarkStart w:id="124" w:name="_Toc24995"/>
      <w:bookmarkStart w:id="125" w:name="_Toc22170"/>
      <w:r>
        <w:rPr>
          <w:rFonts w:hint="default" w:ascii="Times New Roman" w:hAnsi="Times New Roman" w:cs="Times New Roman"/>
          <w:b/>
          <w:sz w:val="24"/>
          <w:highlight w:val="none"/>
          <w:lang w:val="en-US" w:eastAsia="zh-CN"/>
        </w:rPr>
        <w:t>软件分项</w:t>
      </w:r>
      <w:r>
        <w:rPr>
          <w:rFonts w:hint="default" w:ascii="Times New Roman" w:hAnsi="Times New Roman" w:cs="Times New Roman"/>
          <w:b/>
          <w:sz w:val="24"/>
          <w:highlight w:val="none"/>
        </w:rPr>
        <w:t>分项报价表</w:t>
      </w:r>
      <w:bookmarkEnd w:id="124"/>
      <w:bookmarkEnd w:id="125"/>
    </w:p>
    <w:p>
      <w:pPr>
        <w:pStyle w:val="3"/>
        <w:spacing w:line="360" w:lineRule="auto"/>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项目名称：</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项目编号：</w:t>
      </w:r>
      <w:r>
        <w:rPr>
          <w:rFonts w:hint="default" w:ascii="Times New Roman" w:hAnsi="Times New Roman" w:cs="Times New Roman"/>
          <w:sz w:val="21"/>
          <w:szCs w:val="21"/>
          <w:highlight w:val="none"/>
          <w:u w:val="single"/>
        </w:rPr>
        <w:t xml:space="preserve">                       </w:t>
      </w:r>
    </w:p>
    <w:tbl>
      <w:tblPr>
        <w:tblStyle w:val="37"/>
        <w:tblW w:w="0" w:type="auto"/>
        <w:tblInd w:w="0" w:type="dxa"/>
        <w:tblLayout w:type="fixed"/>
        <w:tblCellMar>
          <w:top w:w="0" w:type="dxa"/>
          <w:left w:w="108" w:type="dxa"/>
          <w:bottom w:w="0" w:type="dxa"/>
          <w:right w:w="108" w:type="dxa"/>
        </w:tblCellMar>
      </w:tblPr>
      <w:tblGrid>
        <w:gridCol w:w="1000"/>
        <w:gridCol w:w="3153"/>
        <w:gridCol w:w="877"/>
        <w:gridCol w:w="591"/>
        <w:gridCol w:w="2904"/>
      </w:tblGrid>
      <w:tr>
        <w:tblPrEx>
          <w:tblCellMar>
            <w:top w:w="0" w:type="dxa"/>
            <w:left w:w="108" w:type="dxa"/>
            <w:bottom w:w="0" w:type="dxa"/>
            <w:right w:w="108" w:type="dxa"/>
          </w:tblCellMar>
        </w:tblPrEx>
        <w:trPr>
          <w:trHeight w:val="270" w:hRule="atLeast"/>
        </w:trPr>
        <w:tc>
          <w:tcPr>
            <w:tcW w:w="100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序号</w:t>
            </w:r>
          </w:p>
        </w:tc>
        <w:tc>
          <w:tcPr>
            <w:tcW w:w="31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功能模块</w:t>
            </w:r>
          </w:p>
        </w:tc>
        <w:tc>
          <w:tcPr>
            <w:tcW w:w="877" w:type="dxa"/>
            <w:tcBorders>
              <w:top w:val="single" w:color="auto" w:sz="4" w:space="0"/>
              <w:left w:val="nil"/>
              <w:bottom w:val="single" w:color="auto" w:sz="4" w:space="0"/>
              <w:right w:val="single" w:color="auto" w:sz="4" w:space="0"/>
            </w:tcBorders>
            <w:noWrap w:val="0"/>
            <w:vAlign w:val="top"/>
          </w:tcPr>
          <w:p>
            <w:pPr>
              <w:widowControl/>
              <w:adjustRightInd/>
              <w:snapToGrid/>
              <w:spacing w:line="240" w:lineRule="auto"/>
              <w:ind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单价</w:t>
            </w:r>
          </w:p>
        </w:tc>
        <w:tc>
          <w:tcPr>
            <w:tcW w:w="591" w:type="dxa"/>
            <w:vMerge w:val="restart"/>
            <w:tcBorders>
              <w:top w:val="single" w:color="auto" w:sz="4" w:space="0"/>
              <w:left w:val="single" w:color="auto" w:sz="4" w:space="0"/>
              <w:bottom w:val="single" w:color="auto" w:sz="4" w:space="0"/>
              <w:right w:val="single" w:color="auto" w:sz="4" w:space="0"/>
            </w:tcBorders>
            <w:noWrap w:val="0"/>
            <w:vAlign w:val="top"/>
          </w:tcPr>
          <w:p>
            <w:pPr>
              <w:widowControl/>
              <w:adjustRightInd/>
              <w:snapToGrid/>
              <w:spacing w:line="240" w:lineRule="auto"/>
              <w:ind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数量</w:t>
            </w:r>
          </w:p>
        </w:tc>
        <w:tc>
          <w:tcPr>
            <w:tcW w:w="2904" w:type="dxa"/>
            <w:tcBorders>
              <w:top w:val="single" w:color="auto" w:sz="4" w:space="0"/>
              <w:left w:val="nil"/>
              <w:bottom w:val="single" w:color="auto" w:sz="4" w:space="0"/>
              <w:right w:val="single" w:color="auto" w:sz="4" w:space="0"/>
            </w:tcBorders>
            <w:noWrap/>
            <w:vAlign w:val="top"/>
          </w:tcPr>
          <w:p>
            <w:pPr>
              <w:widowControl/>
              <w:adjustRightInd/>
              <w:snapToGrid/>
              <w:spacing w:line="240" w:lineRule="auto"/>
              <w:ind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总价</w:t>
            </w:r>
          </w:p>
        </w:tc>
      </w:tr>
      <w:tr>
        <w:tblPrEx>
          <w:tblCellMar>
            <w:top w:w="0" w:type="dxa"/>
            <w:left w:w="108" w:type="dxa"/>
            <w:bottom w:w="0" w:type="dxa"/>
            <w:right w:w="108" w:type="dxa"/>
          </w:tblCellMar>
        </w:tblPrEx>
        <w:trPr>
          <w:trHeight w:val="270" w:hRule="atLeast"/>
        </w:trPr>
        <w:tc>
          <w:tcPr>
            <w:tcW w:w="10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left"/>
              <w:rPr>
                <w:rFonts w:hint="default" w:ascii="Times New Roman" w:hAnsi="Times New Roman" w:cs="Times New Roman"/>
                <w:color w:val="000000"/>
                <w:kern w:val="0"/>
                <w:sz w:val="21"/>
                <w:szCs w:val="21"/>
                <w:highlight w:val="none"/>
              </w:rPr>
            </w:pPr>
          </w:p>
        </w:tc>
        <w:tc>
          <w:tcPr>
            <w:tcW w:w="31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left"/>
              <w:rPr>
                <w:rFonts w:hint="default" w:ascii="Times New Roman" w:hAnsi="Times New Roman" w:cs="Times New Roman"/>
                <w:color w:val="000000"/>
                <w:kern w:val="0"/>
                <w:sz w:val="21"/>
                <w:szCs w:val="21"/>
                <w:highlight w:val="none"/>
              </w:rPr>
            </w:pPr>
          </w:p>
        </w:tc>
        <w:tc>
          <w:tcPr>
            <w:tcW w:w="877" w:type="dxa"/>
            <w:tcBorders>
              <w:top w:val="nil"/>
              <w:left w:val="nil"/>
              <w:bottom w:val="single" w:color="auto" w:sz="4" w:space="0"/>
              <w:right w:val="single" w:color="auto" w:sz="4" w:space="0"/>
            </w:tcBorders>
            <w:noWrap w:val="0"/>
            <w:vAlign w:val="top"/>
          </w:tcPr>
          <w:p>
            <w:pPr>
              <w:widowControl/>
              <w:adjustRightInd/>
              <w:snapToGrid/>
              <w:spacing w:line="240" w:lineRule="auto"/>
              <w:ind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（元）</w:t>
            </w:r>
          </w:p>
        </w:tc>
        <w:tc>
          <w:tcPr>
            <w:tcW w:w="59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left"/>
              <w:rPr>
                <w:rFonts w:hint="default" w:ascii="Times New Roman" w:hAnsi="Times New Roman" w:cs="Times New Roman"/>
                <w:color w:val="000000"/>
                <w:kern w:val="0"/>
                <w:sz w:val="21"/>
                <w:szCs w:val="21"/>
                <w:highlight w:val="none"/>
              </w:rPr>
            </w:pPr>
          </w:p>
        </w:tc>
        <w:tc>
          <w:tcPr>
            <w:tcW w:w="2904" w:type="dxa"/>
            <w:tcBorders>
              <w:top w:val="nil"/>
              <w:left w:val="nil"/>
              <w:bottom w:val="single" w:color="auto" w:sz="4" w:space="0"/>
              <w:right w:val="single" w:color="auto" w:sz="4" w:space="0"/>
            </w:tcBorders>
            <w:noWrap/>
            <w:vAlign w:val="top"/>
          </w:tcPr>
          <w:p>
            <w:pPr>
              <w:widowControl/>
              <w:adjustRightInd/>
              <w:snapToGrid/>
              <w:spacing w:line="240" w:lineRule="auto"/>
              <w:ind w:firstLine="0" w:firstLineChars="0"/>
              <w:jc w:val="center"/>
              <w:rPr>
                <w:rFonts w:hint="default" w:ascii="Times New Roman" w:hAnsi="Times New Roman" w:cs="Times New Roman"/>
                <w:color w:val="000000"/>
                <w:kern w:val="0"/>
                <w:sz w:val="21"/>
                <w:szCs w:val="21"/>
                <w:highlight w:val="none"/>
              </w:rPr>
            </w:pPr>
            <w:r>
              <w:rPr>
                <w:rFonts w:hint="default" w:ascii="Times New Roman" w:hAnsi="Times New Roman" w:cs="Times New Roman"/>
                <w:color w:val="000000"/>
                <w:kern w:val="0"/>
                <w:sz w:val="21"/>
                <w:szCs w:val="21"/>
                <w:highlight w:val="none"/>
              </w:rPr>
              <w:t>（元）</w:t>
            </w:r>
          </w:p>
        </w:tc>
      </w:tr>
      <w:tr>
        <w:tblPrEx>
          <w:tblCellMar>
            <w:top w:w="0" w:type="dxa"/>
            <w:left w:w="108" w:type="dxa"/>
            <w:bottom w:w="0" w:type="dxa"/>
            <w:right w:w="108" w:type="dxa"/>
          </w:tblCellMar>
        </w:tblPrEx>
        <w:trPr>
          <w:trHeight w:val="315"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rPr>
            </w:pPr>
            <w:r>
              <w:rPr>
                <w:rFonts w:hint="default" w:ascii="Times New Roman" w:hAnsi="Times New Roman" w:eastAsia="宋体" w:cs="Times New Roman"/>
                <w:b/>
                <w:bCs/>
                <w:color w:val="000000"/>
                <w:kern w:val="0"/>
                <w:sz w:val="21"/>
                <w:szCs w:val="21"/>
                <w:highlight w:val="none"/>
              </w:rPr>
              <w:t>一、</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rPr>
              <w:t>软件开发费</w:t>
            </w:r>
            <w:r>
              <w:rPr>
                <w:rFonts w:hint="default" w:ascii="Times New Roman" w:hAnsi="Times New Roman" w:eastAsia="宋体" w:cs="Times New Roman"/>
                <w:b/>
                <w:bCs/>
                <w:color w:val="000000"/>
                <w:kern w:val="0"/>
                <w:sz w:val="21"/>
                <w:szCs w:val="21"/>
                <w:highlight w:val="none"/>
                <w:lang w:val="en-US" w:eastAsia="zh-CN"/>
              </w:rPr>
              <w:t>用</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rPr>
              <w:t>　</w:t>
            </w: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rPr>
              <w:t>　</w:t>
            </w:r>
          </w:p>
        </w:tc>
        <w:tc>
          <w:tcPr>
            <w:tcW w:w="2904"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381"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1</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服务场景</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2904"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408"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1.1</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梅沁社区团购</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315"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1.2</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社区车辆登记</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315"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1.3</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家政服务</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1.4</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社区食堂</w:t>
            </w:r>
          </w:p>
        </w:tc>
        <w:tc>
          <w:tcPr>
            <w:tcW w:w="87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1.5</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社区方志</w:t>
            </w:r>
          </w:p>
        </w:tc>
        <w:tc>
          <w:tcPr>
            <w:tcW w:w="87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r>
      <w:tr>
        <w:tblPrEx>
          <w:tblCellMar>
            <w:top w:w="0" w:type="dxa"/>
            <w:left w:w="108" w:type="dxa"/>
            <w:bottom w:w="0" w:type="dxa"/>
            <w:right w:w="108" w:type="dxa"/>
          </w:tblCellMar>
        </w:tblPrEx>
        <w:trPr>
          <w:trHeight w:val="9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2</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治理场景</w:t>
            </w:r>
          </w:p>
        </w:tc>
        <w:tc>
          <w:tcPr>
            <w:tcW w:w="87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2.1</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微网格管理</w:t>
            </w:r>
          </w:p>
        </w:tc>
        <w:tc>
          <w:tcPr>
            <w:tcW w:w="87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2.2</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智慧党建</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2.3</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特殊人口管理</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3</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健康场景</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3.1</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健康宁波</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3.2</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特殊中医预约</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4</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教育场景</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4.1</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幸福学堂</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4.2</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梅沁托幼</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5</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邻里场景</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5.1</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志愿服务</w:t>
            </w:r>
          </w:p>
        </w:tc>
        <w:tc>
          <w:tcPr>
            <w:tcW w:w="877"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5.2</w:t>
            </w:r>
          </w:p>
        </w:tc>
        <w:tc>
          <w:tcPr>
            <w:tcW w:w="3153"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邻里互助</w:t>
            </w:r>
          </w:p>
        </w:tc>
        <w:tc>
          <w:tcPr>
            <w:tcW w:w="87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5.3</w:t>
            </w:r>
          </w:p>
        </w:tc>
        <w:tc>
          <w:tcPr>
            <w:tcW w:w="3153"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邻里群团</w:t>
            </w:r>
          </w:p>
        </w:tc>
        <w:tc>
          <w:tcPr>
            <w:tcW w:w="87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5.4</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社区闲鱼</w:t>
            </w:r>
          </w:p>
        </w:tc>
        <w:tc>
          <w:tcPr>
            <w:tcW w:w="877"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6</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建筑场景</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6.1</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数字社区</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7</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创业场景</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7.1</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众创空间</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7.2</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双创服务</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8</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梅沁社区驾驶舱</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9</w:t>
            </w:r>
          </w:p>
        </w:tc>
        <w:tc>
          <w:tcPr>
            <w:tcW w:w="3153"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数字社会十二有对接</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10</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浙里办对接</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11</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省、市监测平台定期上报</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1000" w:type="dxa"/>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12</w:t>
            </w:r>
          </w:p>
        </w:tc>
        <w:tc>
          <w:tcPr>
            <w:tcW w:w="3153" w:type="dxa"/>
            <w:tcBorders>
              <w:top w:val="nil"/>
              <w:left w:val="nil"/>
              <w:bottom w:val="single" w:color="auto" w:sz="4" w:space="0"/>
              <w:right w:val="single" w:color="auto" w:sz="4" w:space="0"/>
            </w:tcBorders>
            <w:noWrap w:val="0"/>
            <w:vAlign w:val="center"/>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系统二级等保测评</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r>
              <w:rPr>
                <w:rFonts w:hint="eastAsia" w:ascii="Times New Roman" w:hAnsi="Times New Roman" w:eastAsia="宋体" w:cs="Times New Roman"/>
                <w:color w:val="000000"/>
                <w:kern w:val="0"/>
                <w:sz w:val="21"/>
                <w:szCs w:val="21"/>
                <w:highlight w:val="none"/>
                <w:lang w:val="en-US" w:eastAsia="zh-CN"/>
              </w:rPr>
              <w:t>项</w:t>
            </w: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lang w:val="en-US"/>
              </w:rPr>
            </w:pPr>
          </w:p>
        </w:tc>
      </w:tr>
      <w:tr>
        <w:tblPrEx>
          <w:tblCellMar>
            <w:top w:w="0" w:type="dxa"/>
            <w:left w:w="108" w:type="dxa"/>
            <w:bottom w:w="0" w:type="dxa"/>
            <w:right w:w="108" w:type="dxa"/>
          </w:tblCellMar>
        </w:tblPrEx>
        <w:trPr>
          <w:trHeight w:val="270" w:hRule="atLeast"/>
        </w:trPr>
        <w:tc>
          <w:tcPr>
            <w:tcW w:w="4153" w:type="dxa"/>
            <w:gridSpan w:val="2"/>
            <w:tcBorders>
              <w:top w:val="nil"/>
              <w:left w:val="single" w:color="auto" w:sz="4" w:space="0"/>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val="en-US" w:eastAsia="zh-CN"/>
              </w:rPr>
              <w:t>合计</w:t>
            </w:r>
          </w:p>
        </w:tc>
        <w:tc>
          <w:tcPr>
            <w:tcW w:w="877"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c>
          <w:tcPr>
            <w:tcW w:w="591"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c>
          <w:tcPr>
            <w:tcW w:w="2904" w:type="dxa"/>
            <w:tcBorders>
              <w:top w:val="nil"/>
              <w:left w:val="nil"/>
              <w:bottom w:val="single" w:color="auto" w:sz="4" w:space="0"/>
              <w:right w:val="single" w:color="auto" w:sz="4" w:space="0"/>
            </w:tcBorders>
            <w:noWrap/>
            <w:vAlign w:val="bottom"/>
          </w:tcPr>
          <w:p>
            <w:pPr>
              <w:widowControl/>
              <w:adjustRightInd/>
              <w:snapToGrid/>
              <w:spacing w:line="240" w:lineRule="auto"/>
              <w:ind w:firstLine="0" w:firstLineChars="0"/>
              <w:jc w:val="center"/>
              <w:rPr>
                <w:rFonts w:hint="default" w:ascii="Times New Roman" w:hAnsi="Times New Roman" w:eastAsia="宋体" w:cs="Times New Roman"/>
                <w:color w:val="000000"/>
                <w:kern w:val="0"/>
                <w:sz w:val="21"/>
                <w:szCs w:val="21"/>
                <w:highlight w:val="none"/>
              </w:rPr>
            </w:pPr>
          </w:p>
        </w:tc>
      </w:tr>
    </w:tbl>
    <w:p>
      <w:pPr>
        <w:pStyle w:val="3"/>
        <w:spacing w:line="360" w:lineRule="auto"/>
        <w:ind w:firstLine="0"/>
        <w:rPr>
          <w:rFonts w:hint="default" w:ascii="Times New Roman" w:hAnsi="Times New Roman" w:cs="Times New Roman"/>
          <w:b/>
          <w:bCs/>
          <w:sz w:val="21"/>
          <w:szCs w:val="21"/>
          <w:highlight w:val="none"/>
        </w:rPr>
      </w:pPr>
    </w:p>
    <w:p>
      <w:pPr>
        <w:pStyle w:val="3"/>
        <w:widowControl/>
        <w:spacing w:line="360" w:lineRule="auto"/>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投标人全称（盖公章）：</w:t>
      </w:r>
    </w:p>
    <w:p>
      <w:pPr>
        <w:pStyle w:val="3"/>
        <w:widowControl/>
        <w:spacing w:line="360" w:lineRule="auto"/>
        <w:jc w:val="left"/>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sectPr>
          <w:pgSz w:w="11906" w:h="16838"/>
          <w:pgMar w:top="1474" w:right="1797" w:bottom="1247" w:left="1797" w:header="851" w:footer="850"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sz w:val="21"/>
          <w:szCs w:val="21"/>
          <w:highlight w:val="none"/>
        </w:rPr>
        <w:t>日期：  年  月  日</w:t>
      </w:r>
    </w:p>
    <w:p>
      <w:pPr>
        <w:pStyle w:val="3"/>
        <w:tabs>
          <w:tab w:val="left" w:pos="4841"/>
        </w:tabs>
        <w:spacing w:line="360" w:lineRule="auto"/>
        <w:jc w:val="center"/>
        <w:outlineLvl w:val="9"/>
        <w:rPr>
          <w:rFonts w:hint="default" w:ascii="Times New Roman" w:hAnsi="Times New Roman" w:cs="Times New Roman"/>
          <w:b/>
          <w:sz w:val="24"/>
          <w:highlight w:val="none"/>
        </w:rPr>
      </w:pPr>
      <w:bookmarkStart w:id="126" w:name="_Toc6867"/>
      <w:bookmarkStart w:id="127" w:name="_Toc7358"/>
      <w:r>
        <w:rPr>
          <w:rFonts w:hint="default" w:ascii="Times New Roman" w:hAnsi="Times New Roman" w:eastAsia="宋体" w:cs="Times New Roman"/>
          <w:b/>
          <w:sz w:val="24"/>
          <w:highlight w:val="none"/>
        </w:rPr>
        <w:t>硬件</w:t>
      </w:r>
      <w:r>
        <w:rPr>
          <w:rFonts w:hint="default" w:ascii="Times New Roman" w:hAnsi="Times New Roman" w:cs="Times New Roman"/>
          <w:b/>
          <w:sz w:val="24"/>
          <w:highlight w:val="none"/>
          <w:lang w:val="en-US" w:eastAsia="zh-CN"/>
        </w:rPr>
        <w:t>分项</w:t>
      </w:r>
      <w:r>
        <w:rPr>
          <w:rFonts w:hint="default" w:ascii="Times New Roman" w:hAnsi="Times New Roman" w:cs="Times New Roman"/>
          <w:b/>
          <w:sz w:val="24"/>
          <w:highlight w:val="none"/>
        </w:rPr>
        <w:t>分项报价表</w:t>
      </w:r>
      <w:bookmarkEnd w:id="126"/>
      <w:bookmarkEnd w:id="127"/>
    </w:p>
    <w:p>
      <w:pPr>
        <w:pStyle w:val="3"/>
        <w:spacing w:line="360" w:lineRule="auto"/>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项目名称：</w:t>
      </w:r>
      <w:r>
        <w:rPr>
          <w:rFonts w:hint="default" w:ascii="Times New Roman" w:hAnsi="Times New Roman" w:cs="Times New Roman"/>
          <w:sz w:val="21"/>
          <w:szCs w:val="21"/>
          <w:highlight w:val="none"/>
          <w:u w:val="single"/>
        </w:rPr>
        <w:t xml:space="preserve">                       </w:t>
      </w:r>
      <w:r>
        <w:rPr>
          <w:rFonts w:hint="default" w:ascii="Times New Roman" w:hAnsi="Times New Roman" w:cs="Times New Roman"/>
          <w:sz w:val="21"/>
          <w:szCs w:val="21"/>
          <w:highlight w:val="none"/>
        </w:rPr>
        <w:t>项目编号：</w:t>
      </w:r>
      <w:r>
        <w:rPr>
          <w:rFonts w:hint="default" w:ascii="Times New Roman" w:hAnsi="Times New Roman" w:cs="Times New Roman"/>
          <w:sz w:val="21"/>
          <w:szCs w:val="21"/>
          <w:highlight w:val="none"/>
          <w:u w:val="single"/>
        </w:rPr>
        <w:t xml:space="preserve">                       </w:t>
      </w:r>
    </w:p>
    <w:tbl>
      <w:tblPr>
        <w:tblStyle w:val="37"/>
        <w:tblW w:w="14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5"/>
        <w:gridCol w:w="2876"/>
        <w:gridCol w:w="1003"/>
        <w:gridCol w:w="1179"/>
        <w:gridCol w:w="1091"/>
        <w:gridCol w:w="3928"/>
        <w:gridCol w:w="1588"/>
        <w:gridCol w:w="15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序号</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功能模块</w:t>
            </w:r>
          </w:p>
        </w:tc>
        <w:tc>
          <w:tcPr>
            <w:tcW w:w="1003"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i w:val="0"/>
                <w:iCs w:val="0"/>
                <w:color w:val="000000"/>
                <w:kern w:val="0"/>
                <w:sz w:val="20"/>
                <w:szCs w:val="20"/>
                <w:highlight w:val="none"/>
                <w:u w:val="none"/>
                <w:lang w:val="en-US" w:eastAsia="zh-CN" w:bidi="ar"/>
              </w:rPr>
              <w:t>单位</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top"/>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数量</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品牌</w:t>
            </w: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top"/>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参数</w:t>
            </w:r>
          </w:p>
        </w:tc>
        <w:tc>
          <w:tcPr>
            <w:tcW w:w="1588" w:type="dxa"/>
            <w:tcBorders>
              <w:top w:val="single" w:color="000000" w:sz="4" w:space="0"/>
              <w:left w:val="single" w:color="000000" w:sz="4" w:space="0"/>
              <w:right w:val="single" w:color="000000" w:sz="4" w:space="0"/>
            </w:tcBorders>
            <w:noWrap/>
            <w:vAlign w:val="top"/>
          </w:tcPr>
          <w:p>
            <w:pPr>
              <w:keepNext w:val="0"/>
              <w:keepLines w:val="0"/>
              <w:pageBreakBefore w:val="0"/>
              <w:widowControl/>
              <w:suppressLineNumbers w:val="0"/>
              <w:kinsoku/>
              <w:wordWrap/>
              <w:overflowPunct/>
              <w:topLinePunct w:val="0"/>
              <w:autoSpaceDE/>
              <w:autoSpaceDN/>
              <w:bidi w:val="0"/>
              <w:ind w:firstLine="0" w:firstLineChars="0"/>
              <w:jc w:val="center"/>
              <w:textAlignment w:val="top"/>
              <w:rPr>
                <w:rFonts w:hint="default" w:ascii="Times New Roman" w:hAnsi="Times New Roman" w:cs="Times New Roman"/>
                <w:i w:val="0"/>
                <w:iCs w:val="0"/>
                <w:color w:val="000000"/>
                <w:sz w:val="20"/>
                <w:szCs w:val="20"/>
                <w:highlight w:val="none"/>
                <w:u w:val="none"/>
                <w:lang w:val="en-US" w:eastAsia="zh-CN"/>
              </w:rPr>
            </w:pPr>
            <w:r>
              <w:rPr>
                <w:rFonts w:hint="default" w:ascii="Times New Roman" w:hAnsi="Times New Roman" w:cs="Times New Roman"/>
                <w:i w:val="0"/>
                <w:iCs w:val="0"/>
                <w:color w:val="000000"/>
                <w:sz w:val="20"/>
                <w:szCs w:val="20"/>
                <w:highlight w:val="none"/>
                <w:u w:val="none"/>
                <w:lang w:val="en-US" w:eastAsia="zh-CN"/>
              </w:rPr>
              <w:t>单价</w:t>
            </w:r>
          </w:p>
          <w:p>
            <w:pPr>
              <w:keepNext w:val="0"/>
              <w:keepLines w:val="0"/>
              <w:pageBreakBefore w:val="0"/>
              <w:widowControl/>
              <w:kinsoku/>
              <w:wordWrap/>
              <w:overflowPunct/>
              <w:topLinePunct w:val="0"/>
              <w:autoSpaceDE/>
              <w:autoSpaceDN/>
              <w:bidi w:val="0"/>
              <w:ind w:firstLine="0" w:firstLineChars="0"/>
              <w:jc w:val="center"/>
              <w:rPr>
                <w:rFonts w:hint="default" w:ascii="Times New Roman" w:hAnsi="Times New Roman" w:eastAsia="宋体" w:cs="Times New Roman"/>
                <w:i w:val="0"/>
                <w:iCs w:val="0"/>
                <w:color w:val="000000"/>
                <w:sz w:val="20"/>
                <w:szCs w:val="20"/>
                <w:highlight w:val="none"/>
                <w:u w:val="none"/>
                <w:lang w:eastAsia="zh-CN"/>
              </w:rPr>
            </w:pPr>
            <w:r>
              <w:rPr>
                <w:rFonts w:hint="default" w:ascii="Times New Roman" w:hAnsi="Times New Roman" w:cs="Times New Roman"/>
                <w:i w:val="0"/>
                <w:iCs w:val="0"/>
                <w:color w:val="000000"/>
                <w:sz w:val="20"/>
                <w:szCs w:val="20"/>
                <w:highlight w:val="none"/>
                <w:u w:val="none"/>
                <w:lang w:eastAsia="zh-CN"/>
              </w:rPr>
              <w:t>（</w:t>
            </w:r>
            <w:r>
              <w:rPr>
                <w:rFonts w:hint="default" w:ascii="Times New Roman" w:hAnsi="Times New Roman" w:cs="Times New Roman"/>
                <w:i w:val="0"/>
                <w:iCs w:val="0"/>
                <w:color w:val="000000"/>
                <w:sz w:val="20"/>
                <w:szCs w:val="20"/>
                <w:highlight w:val="none"/>
                <w:u w:val="none"/>
                <w:lang w:val="en-US" w:eastAsia="zh-CN"/>
              </w:rPr>
              <w:t>元</w:t>
            </w:r>
            <w:r>
              <w:rPr>
                <w:rFonts w:hint="default" w:ascii="Times New Roman" w:hAnsi="Times New Roman" w:cs="Times New Roman"/>
                <w:i w:val="0"/>
                <w:iCs w:val="0"/>
                <w:color w:val="000000"/>
                <w:sz w:val="20"/>
                <w:szCs w:val="20"/>
                <w:highlight w:val="none"/>
                <w:u w:val="none"/>
                <w:lang w:eastAsia="zh-CN"/>
              </w:rPr>
              <w:t>）</w:t>
            </w:r>
          </w:p>
        </w:tc>
        <w:tc>
          <w:tcPr>
            <w:tcW w:w="1588" w:type="dxa"/>
            <w:tcBorders>
              <w:top w:val="single" w:color="000000" w:sz="4" w:space="0"/>
              <w:left w:val="single" w:color="000000" w:sz="4" w:space="0"/>
              <w:right w:val="single" w:color="000000" w:sz="4" w:space="0"/>
            </w:tcBorders>
            <w:noWrap/>
            <w:vAlign w:val="top"/>
          </w:tcPr>
          <w:p>
            <w:pPr>
              <w:keepNext w:val="0"/>
              <w:keepLines w:val="0"/>
              <w:pageBreakBefore w:val="0"/>
              <w:widowControl/>
              <w:kinsoku/>
              <w:wordWrap/>
              <w:overflowPunct/>
              <w:topLinePunct w:val="0"/>
              <w:autoSpaceDE/>
              <w:autoSpaceDN/>
              <w:bidi w:val="0"/>
              <w:ind w:firstLine="0" w:firstLineChars="0"/>
              <w:jc w:val="center"/>
              <w:rPr>
                <w:rFonts w:hint="eastAsia" w:ascii="Times New Roman" w:hAnsi="Times New Roman" w:cs="Times New Roman"/>
                <w:i w:val="0"/>
                <w:iCs w:val="0"/>
                <w:color w:val="000000"/>
                <w:sz w:val="20"/>
                <w:szCs w:val="20"/>
                <w:highlight w:val="none"/>
                <w:u w:val="none"/>
                <w:lang w:val="en-US" w:eastAsia="zh-CN"/>
              </w:rPr>
            </w:pPr>
            <w:r>
              <w:rPr>
                <w:rFonts w:hint="eastAsia" w:ascii="Times New Roman" w:hAnsi="Times New Roman" w:cs="Times New Roman"/>
                <w:i w:val="0"/>
                <w:iCs w:val="0"/>
                <w:color w:val="000000"/>
                <w:sz w:val="20"/>
                <w:szCs w:val="20"/>
                <w:highlight w:val="none"/>
                <w:u w:val="none"/>
                <w:lang w:val="en-US" w:eastAsia="zh-CN"/>
              </w:rPr>
              <w:t>总价</w:t>
            </w:r>
          </w:p>
          <w:p>
            <w:pPr>
              <w:keepNext w:val="0"/>
              <w:keepLines w:val="0"/>
              <w:pageBreakBefore w:val="0"/>
              <w:widowControl/>
              <w:kinsoku/>
              <w:wordWrap/>
              <w:overflowPunct/>
              <w:topLinePunct w:val="0"/>
              <w:autoSpaceDE/>
              <w:autoSpaceDN/>
              <w:bidi w:val="0"/>
              <w:ind w:firstLine="0" w:firstLineChars="0"/>
              <w:jc w:val="center"/>
              <w:rPr>
                <w:rFonts w:hint="default" w:ascii="Times New Roman" w:hAnsi="Times New Roman" w:cs="Times New Roman"/>
                <w:i w:val="0"/>
                <w:iCs w:val="0"/>
                <w:color w:val="000000"/>
                <w:sz w:val="20"/>
                <w:szCs w:val="20"/>
                <w:highlight w:val="none"/>
                <w:u w:val="none"/>
                <w:lang w:val="en-US" w:eastAsia="zh-CN"/>
              </w:rPr>
            </w:pPr>
            <w:r>
              <w:rPr>
                <w:rFonts w:hint="eastAsia" w:ascii="Times New Roman" w:hAnsi="Times New Roman" w:cs="Times New Roman"/>
                <w:i w:val="0"/>
                <w:iCs w:val="0"/>
                <w:color w:val="000000"/>
                <w:sz w:val="20"/>
                <w:szCs w:val="20"/>
                <w:highlight w:val="none"/>
                <w:u w:val="none"/>
                <w:lang w:val="en-US" w:eastAsia="zh-CN"/>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一、</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硬件费用</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（一）</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邻里场景-邻里特色文化</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会议一体机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移动式支架</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壁挂音响</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只</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功放</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电源时序器</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一拖二无线话筒</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调音台</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（二）</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邻里场景-邻里开放共享</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全频音箱</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只</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专业功放</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效果器</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电源时序器</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无线麦克风</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点歌机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挂壁挂架</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只</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电视机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（三）</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服务场景-社区应急与智能防护</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溺水监测摄像机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绿道监控</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监控立杆</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电梯摄像头</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无线网桥</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对</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应急智慧广播</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广播管理电脑主机</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IP数字网络广播服务器软件</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分控服务器（EBU）</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IP网络寻呼广播话筒</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调音台</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反馈抑制器</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网络吸顶音箱</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智能窨井盖</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智能消防栓</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（四）</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服务场景-社区应急与智能防护（民和架空层监控）</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架空层监控</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5口交换机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集中供电电源</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光收发器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对</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光缆</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米</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4000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米</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2400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（五）</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服务场景-社区服务</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会议一体机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移动式支架</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壁挂音响</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功放</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电源时序器</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一拖二无线话筒</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调音台</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LED显示单元</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平方</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控制系统</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视频拼接器</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框架</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配电柜</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壁挂音响</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只</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功放</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电源时序器</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一拖八无线话筒</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反馈抑制器</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调音台</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电视机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（六）</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治理场景-精益化数字管理平台</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LED显示单元</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平方</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6.8</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控制系统</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视频拼接器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无线投屏器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无线平板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框架</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配电柜</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信息发布播放盒</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大屏支架</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配电柜</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GPU服务器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LCD拼接屏</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解码器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2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超脑</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2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综合管理平台</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2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平台服务器</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2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储存</w:t>
            </w:r>
          </w:p>
        </w:tc>
        <w:tc>
          <w:tcPr>
            <w:tcW w:w="1003"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块</w:t>
            </w:r>
          </w:p>
        </w:tc>
        <w:tc>
          <w:tcPr>
            <w:tcW w:w="1179"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数据链路服务</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条/3年/20M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VPN专线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条/3年/20M</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汇聚交换机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接入交换机</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核心交换机</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千兆光模块</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对</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万兆光模块</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对</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防火墙</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硬盘录像机</w:t>
            </w:r>
          </w:p>
        </w:tc>
        <w:tc>
          <w:tcPr>
            <w:tcW w:w="1003" w:type="dxa"/>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储存硬盘</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监视器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UPS</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蓄电池</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蓄电池（柜）</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防静电活动地板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平方</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操作台</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联动报警</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（七）</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治理场景-政务宣传</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社区室外宣传大屏</w:t>
            </w:r>
          </w:p>
        </w:tc>
        <w:tc>
          <w:tcPr>
            <w:tcW w:w="100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套（每套4平方）</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全彩控制板卡</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视频传输设备</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软件</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钢结构、装饰及基础</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音柱</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对</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输入设备</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21.5寸壁挂显控一体机（楼道宣传屏）</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管理服务器</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（八）</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教育场景-幸福学龄全覆盖</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会议一体机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移动式支架</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话筒</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（九）</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教育场景-知识在身边</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图书借还一体机</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图书馆自动化管理系统</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教育场景-托育全覆盖</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会议一体机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移动式支架</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智慧幼教签到机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（十一）</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健康场景-社区养老助残</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老人健康手环（带定位）</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电视机</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（十二）</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健康场景-智慧健康管理</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健康一体机</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雾化器</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电视机</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（十三）</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健康场景-活力运动健身</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AI运动登录机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AI运动登录机软件</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AI数据采集站（智能人脸识别杆）</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智能步道综合管理系统</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小程序对接</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（十四）</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低碳场景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智能水表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智能电表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（十五）</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创业场景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人脸门禁一体机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磁力锁</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（十六）</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社区服务中心智能化</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无线AP</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无线控制器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路由器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互联网</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500M/条/3年</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防火墙</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双口网络面板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单口网络面板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网络模块</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语音模块</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交换机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交换机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LED工位屏</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套</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LED输入设备</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（十七）</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物业用房智能化</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无线AP</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无线控制器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路由器</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互联网</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500M/条/3年</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双口网络面板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单口网络面板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网络模块</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语音模块</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机柜</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交换机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交换机</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电梯摄像头</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无线网桥</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对</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高清摄像头</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台</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（十八）</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室外综合管路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530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1、塑料电线管埋地敷设 PE50</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1、镀锌钢管地埋敷设 SC50</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4500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1、室外型超五类非屏蔽双绞线 WCAT5E</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1、铜芯电力电缆敷设 WDZ-YJV-3×4</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3500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1、控制电缆敷设 KVVR-2×1.5</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1、户内干包式电力电缆头制安 干包终端头(1kV以下截面mm2以下)35~10mm²及以下</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1、室外6芯单模光缆</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架</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1、48芯抽屉式光纤配线架</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条</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1、SC-LC双芯单模跳线，2米</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根</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336</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1、SC单模尾纤，2米</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芯</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168</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1、光纤连接，熔接法单模</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1、6芯光缆终端盒，含耦合器、尾纤等</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168</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1、SC单模适配器</w:t>
            </w:r>
          </w:p>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2、采用磷青铜套管材料</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座</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1、室外手孔井 500×500×500(mm),含井盖</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m3</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1、挖一般土方，土方类别综合考虑，干湿土综合考虑</w:t>
            </w:r>
          </w:p>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2、含人工辅助开挖基底</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m3</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1、原土回填，含景观绿化修复费用</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m2</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1、混凝土拆除及修复，含建筑垃圾外运及处置费用</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m2</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1、沥青路面拆除及修复，含建筑垃圾外运及处置费用</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2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综合管路</w:t>
            </w:r>
          </w:p>
        </w:tc>
        <w:tc>
          <w:tcPr>
            <w:tcW w:w="10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室外箱600×800×400mm；防水，含基础接地，含浪涌保护器、空气开关模块、漏电保护器等（箱体尺寸需根据所安装设备的容量进行复核）</w:t>
            </w: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（十九）</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室内综合布线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1、砖、混凝土结构明配刚性阻燃管 PC25</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1、砖、混凝土结构暗配钢管 SC25</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4690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1、管内穿多芯软导线 RVV-2×1</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2997</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1、管内穿多芯软导线 RVV-2×1.5</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13900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1、管内穿六类非屏蔽双绞线</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1、桥架内穿六类非屏蔽双绞线</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条</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1、HDMI高清线</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1、弱电金属桥架 200×100</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1、金属桥架配件</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1、室外6芯单模光缆</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m</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1500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1、管内穿4芯语音电话线</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24口非屏蔽六类配线架</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0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287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综合布线</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个</w:t>
            </w: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val="0"/>
              <w:snapToGrid w:val="0"/>
              <w:ind w:firstLine="0" w:firstLineChars="0"/>
              <w:jc w:val="left"/>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1U金属带盖理线架</w:t>
            </w: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388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合计</w:t>
            </w:r>
          </w:p>
        </w:tc>
        <w:tc>
          <w:tcPr>
            <w:tcW w:w="10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39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bl>
    <w:p>
      <w:pPr>
        <w:pStyle w:val="3"/>
        <w:widowControl/>
        <w:spacing w:line="360" w:lineRule="auto"/>
        <w:jc w:val="left"/>
        <w:rPr>
          <w:rFonts w:hint="default" w:ascii="Times New Roman" w:hAnsi="Times New Roman" w:cs="Times New Roman"/>
          <w:sz w:val="21"/>
          <w:szCs w:val="21"/>
          <w:highlight w:val="none"/>
        </w:rPr>
      </w:pPr>
    </w:p>
    <w:p>
      <w:pPr>
        <w:pStyle w:val="3"/>
        <w:widowControl/>
        <w:spacing w:line="360" w:lineRule="auto"/>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投标人全称（盖公章）：</w:t>
      </w:r>
    </w:p>
    <w:p>
      <w:pPr>
        <w:pStyle w:val="3"/>
        <w:widowControl/>
        <w:spacing w:line="360" w:lineRule="auto"/>
        <w:jc w:val="left"/>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日期：  年  月  日</w:t>
      </w:r>
    </w:p>
    <w:p>
      <w:pPr>
        <w:spacing w:line="360" w:lineRule="auto"/>
        <w:rPr>
          <w:rFonts w:hint="default" w:ascii="Times New Roman" w:hAnsi="Times New Roman" w:cs="Times New Roman"/>
          <w:b/>
          <w:szCs w:val="21"/>
          <w:highlight w:val="none"/>
        </w:rPr>
        <w:sectPr>
          <w:pgSz w:w="16838" w:h="11906" w:orient="landscape"/>
          <w:pgMar w:top="1797" w:right="1474" w:bottom="1797" w:left="1247" w:header="851" w:footer="850"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rPr>
          <w:rFonts w:hint="default" w:ascii="Times New Roman" w:hAnsi="Times New Roman" w:cs="Times New Roman"/>
          <w:b/>
          <w:szCs w:val="21"/>
          <w:highlight w:val="none"/>
        </w:rPr>
      </w:pPr>
      <w:r>
        <w:rPr>
          <w:rFonts w:hint="default" w:ascii="Times New Roman" w:hAnsi="Times New Roman" w:cs="Times New Roman"/>
          <w:b/>
          <w:szCs w:val="21"/>
          <w:highlight w:val="none"/>
        </w:rPr>
        <w:t>格式四：</w:t>
      </w:r>
    </w:p>
    <w:p>
      <w:pPr>
        <w:adjustRightInd w:val="0"/>
        <w:spacing w:line="360" w:lineRule="auto"/>
        <w:jc w:val="center"/>
        <w:outlineLvl w:val="9"/>
        <w:rPr>
          <w:rFonts w:hint="default" w:ascii="Times New Roman" w:hAnsi="Times New Roman" w:cs="Times New Roman"/>
          <w:b/>
          <w:sz w:val="24"/>
          <w:highlight w:val="none"/>
        </w:rPr>
      </w:pPr>
      <w:bookmarkStart w:id="128" w:name="_Toc25911"/>
      <w:bookmarkStart w:id="129" w:name="_Toc22448"/>
      <w:r>
        <w:rPr>
          <w:rFonts w:hint="default" w:ascii="Times New Roman" w:hAnsi="Times New Roman" w:cs="Times New Roman"/>
          <w:b/>
          <w:sz w:val="24"/>
          <w:highlight w:val="none"/>
        </w:rPr>
        <w:t>资格条件自查表</w:t>
      </w:r>
      <w:bookmarkEnd w:id="128"/>
      <w:bookmarkEnd w:id="129"/>
    </w:p>
    <w:tbl>
      <w:tblPr>
        <w:tblStyle w:val="37"/>
        <w:tblW w:w="0" w:type="auto"/>
        <w:tblInd w:w="12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4320"/>
        <w:gridCol w:w="1167"/>
        <w:gridCol w:w="20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tblHeader/>
        </w:trPr>
        <w:tc>
          <w:tcPr>
            <w:tcW w:w="780" w:type="dxa"/>
            <w:noWrap w:val="0"/>
            <w:vAlign w:val="center"/>
          </w:tcPr>
          <w:p>
            <w:pPr>
              <w:widowControl/>
              <w:adjustRightInd w:val="0"/>
              <w:spacing w:line="400" w:lineRule="exact"/>
              <w:jc w:val="center"/>
              <w:rPr>
                <w:rFonts w:hint="default" w:ascii="Times New Roman" w:hAnsi="Times New Roman" w:cs="Times New Roman"/>
                <w:b/>
                <w:sz w:val="24"/>
                <w:highlight w:val="none"/>
              </w:rPr>
            </w:pPr>
            <w:r>
              <w:rPr>
                <w:rStyle w:val="40"/>
                <w:rFonts w:hint="default" w:ascii="Times New Roman" w:hAnsi="Times New Roman" w:cs="Times New Roman"/>
                <w:szCs w:val="21"/>
                <w:highlight w:val="none"/>
              </w:rPr>
              <w:t>评审内容</w:t>
            </w:r>
          </w:p>
        </w:tc>
        <w:tc>
          <w:tcPr>
            <w:tcW w:w="4320" w:type="dxa"/>
            <w:noWrap w:val="0"/>
            <w:vAlign w:val="center"/>
          </w:tcPr>
          <w:p>
            <w:pPr>
              <w:widowControl/>
              <w:adjustRightInd w:val="0"/>
              <w:spacing w:line="400" w:lineRule="exact"/>
              <w:jc w:val="center"/>
              <w:rPr>
                <w:rFonts w:hint="default" w:ascii="Times New Roman" w:hAnsi="Times New Roman" w:cs="Times New Roman"/>
                <w:b/>
                <w:sz w:val="24"/>
                <w:highlight w:val="none"/>
              </w:rPr>
            </w:pPr>
            <w:r>
              <w:rPr>
                <w:rStyle w:val="40"/>
                <w:rFonts w:hint="default" w:ascii="Times New Roman" w:hAnsi="Times New Roman" w:cs="Times New Roman"/>
                <w:szCs w:val="21"/>
                <w:highlight w:val="none"/>
              </w:rPr>
              <w:t>招标文件要求</w:t>
            </w:r>
          </w:p>
        </w:tc>
        <w:tc>
          <w:tcPr>
            <w:tcW w:w="1167" w:type="dxa"/>
            <w:noWrap w:val="0"/>
            <w:vAlign w:val="center"/>
          </w:tcPr>
          <w:p>
            <w:pPr>
              <w:widowControl/>
              <w:adjustRightInd w:val="0"/>
              <w:spacing w:line="400" w:lineRule="exact"/>
              <w:jc w:val="center"/>
              <w:rPr>
                <w:rFonts w:hint="default" w:ascii="Times New Roman" w:hAnsi="Times New Roman" w:cs="Times New Roman"/>
                <w:b/>
                <w:sz w:val="24"/>
                <w:highlight w:val="none"/>
              </w:rPr>
            </w:pPr>
            <w:r>
              <w:rPr>
                <w:rStyle w:val="40"/>
                <w:rFonts w:hint="default" w:ascii="Times New Roman" w:hAnsi="Times New Roman" w:cs="Times New Roman"/>
                <w:szCs w:val="21"/>
                <w:highlight w:val="none"/>
              </w:rPr>
              <w:t>自查结论</w:t>
            </w:r>
          </w:p>
        </w:tc>
        <w:tc>
          <w:tcPr>
            <w:tcW w:w="2028" w:type="dxa"/>
            <w:noWrap w:val="0"/>
            <w:vAlign w:val="center"/>
          </w:tcPr>
          <w:p>
            <w:pPr>
              <w:widowControl/>
              <w:adjustRightInd w:val="0"/>
              <w:spacing w:line="400" w:lineRule="exact"/>
              <w:jc w:val="center"/>
              <w:rPr>
                <w:rFonts w:hint="default" w:ascii="Times New Roman" w:hAnsi="Times New Roman" w:cs="Times New Roman"/>
                <w:b/>
                <w:sz w:val="24"/>
                <w:highlight w:val="none"/>
              </w:rPr>
            </w:pPr>
            <w:r>
              <w:rPr>
                <w:rStyle w:val="40"/>
                <w:rFonts w:hint="default" w:ascii="Times New Roman" w:hAnsi="Times New Roman" w:cs="Times New Roman"/>
                <w:szCs w:val="21"/>
                <w:highlight w:val="none"/>
              </w:rPr>
              <w:t>证明资料页码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restart"/>
            <w:noWrap w:val="0"/>
            <w:vAlign w:val="center"/>
          </w:tcPr>
          <w:p>
            <w:pPr>
              <w:pStyle w:val="106"/>
              <w:adjustRightInd w:val="0"/>
              <w:spacing w:before="0" w:beforeAutospacing="0" w:after="0" w:afterAutospacing="0" w:line="400" w:lineRule="exact"/>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资</w:t>
            </w:r>
          </w:p>
          <w:p>
            <w:pPr>
              <w:pStyle w:val="106"/>
              <w:adjustRightInd w:val="0"/>
              <w:spacing w:before="0" w:beforeAutospacing="0" w:after="0" w:afterAutospacing="0" w:line="400" w:lineRule="exact"/>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格</w:t>
            </w:r>
          </w:p>
          <w:p>
            <w:pPr>
              <w:pStyle w:val="106"/>
              <w:adjustRightInd w:val="0"/>
              <w:spacing w:before="0" w:beforeAutospacing="0" w:after="0" w:afterAutospacing="0" w:line="400" w:lineRule="exact"/>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性</w:t>
            </w:r>
          </w:p>
          <w:p>
            <w:pPr>
              <w:pStyle w:val="106"/>
              <w:adjustRightInd w:val="0"/>
              <w:spacing w:before="0" w:beforeAutospacing="0" w:after="0" w:afterAutospacing="0" w:line="400" w:lineRule="exact"/>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审</w:t>
            </w:r>
          </w:p>
          <w:p>
            <w:pPr>
              <w:widowControl/>
              <w:adjustRightInd w:val="0"/>
              <w:spacing w:line="400" w:lineRule="exact"/>
              <w:jc w:val="center"/>
              <w:rPr>
                <w:rFonts w:hint="default" w:ascii="Times New Roman" w:hAnsi="Times New Roman" w:cs="Times New Roman"/>
                <w:b/>
                <w:sz w:val="24"/>
                <w:highlight w:val="none"/>
              </w:rPr>
            </w:pPr>
            <w:r>
              <w:rPr>
                <w:rFonts w:hint="default" w:ascii="Times New Roman" w:hAnsi="Times New Roman" w:cs="Times New Roman"/>
                <w:b/>
                <w:szCs w:val="21"/>
                <w:highlight w:val="none"/>
              </w:rPr>
              <w:t>查</w:t>
            </w:r>
          </w:p>
        </w:tc>
        <w:tc>
          <w:tcPr>
            <w:tcW w:w="4320" w:type="dxa"/>
            <w:noWrap w:val="0"/>
            <w:vAlign w:val="center"/>
          </w:tcPr>
          <w:p>
            <w:pPr>
              <w:widowControl/>
              <w:adjustRightInd w:val="0"/>
              <w:spacing w:line="400" w:lineRule="exact"/>
              <w:rPr>
                <w:rFonts w:hint="default" w:ascii="Times New Roman" w:hAnsi="Times New Roman" w:cs="Times New Roman"/>
                <w:b/>
                <w:sz w:val="24"/>
                <w:highlight w:val="none"/>
              </w:rPr>
            </w:pPr>
            <w:r>
              <w:rPr>
                <w:rFonts w:hint="default" w:ascii="Times New Roman" w:hAnsi="Times New Roman" w:cs="Times New Roman"/>
                <w:szCs w:val="21"/>
                <w:highlight w:val="none"/>
              </w:rPr>
              <w:t>一、投标人具备《</w:t>
            </w:r>
            <w:r>
              <w:rPr>
                <w:rFonts w:hint="default" w:ascii="Times New Roman" w:hAnsi="Times New Roman" w:cs="Times New Roman"/>
                <w:highlight w:val="none"/>
              </w:rPr>
              <w:t>中华人民共和国政府采购法</w:t>
            </w:r>
            <w:r>
              <w:rPr>
                <w:rFonts w:hint="default" w:ascii="Times New Roman" w:hAnsi="Times New Roman" w:cs="Times New Roman"/>
                <w:szCs w:val="21"/>
                <w:highlight w:val="none"/>
              </w:rPr>
              <w:t>》第二十二条所规定的条件</w:t>
            </w:r>
            <w:r>
              <w:rPr>
                <w:rFonts w:hint="default" w:ascii="Times New Roman" w:hAnsi="Times New Roman" w:cs="Times New Roman"/>
                <w:kern w:val="0"/>
                <w:szCs w:val="21"/>
                <w:highlight w:val="none"/>
                <w:lang w:bidi="ar"/>
              </w:rPr>
              <w:t>（提供《</w:t>
            </w:r>
            <w:r>
              <w:rPr>
                <w:rFonts w:hint="default" w:ascii="Times New Roman" w:hAnsi="Times New Roman" w:cs="Times New Roman"/>
                <w:highlight w:val="none"/>
              </w:rPr>
              <w:t>书面声明</w:t>
            </w:r>
            <w:r>
              <w:rPr>
                <w:rFonts w:hint="default" w:ascii="Times New Roman" w:hAnsi="Times New Roman" w:cs="Times New Roman"/>
                <w:kern w:val="0"/>
                <w:szCs w:val="21"/>
                <w:highlight w:val="none"/>
                <w:lang w:bidi="ar"/>
              </w:rPr>
              <w:t>》）</w:t>
            </w:r>
            <w:r>
              <w:rPr>
                <w:rFonts w:hint="default" w:ascii="Times New Roman" w:hAnsi="Times New Roman" w:cs="Times New Roman"/>
                <w:szCs w:val="21"/>
                <w:highlight w:val="none"/>
              </w:rPr>
              <w:t>：</w:t>
            </w:r>
          </w:p>
        </w:tc>
        <w:tc>
          <w:tcPr>
            <w:tcW w:w="1167" w:type="dxa"/>
            <w:noWrap w:val="0"/>
            <w:vAlign w:val="center"/>
          </w:tcPr>
          <w:p>
            <w:pPr>
              <w:widowControl/>
              <w:adjustRightInd w:val="0"/>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widowControl/>
              <w:adjustRightInd w:val="0"/>
              <w:spacing w:line="400" w:lineRule="exact"/>
              <w:rPr>
                <w:rFonts w:hint="default" w:ascii="Times New Roman" w:hAnsi="Times New Roman" w:cs="Times New Roman"/>
                <w:b/>
                <w:sz w:val="24"/>
                <w:highlight w:val="none"/>
              </w:rPr>
            </w:pPr>
            <w:r>
              <w:rPr>
                <w:rFonts w:hint="default" w:ascii="Times New Roman" w:hAnsi="Times New Roman" w:cs="Times New Roman"/>
                <w:szCs w:val="21"/>
                <w:highlight w:val="none"/>
              </w:rPr>
              <w:t>□不通过</w:t>
            </w:r>
          </w:p>
        </w:tc>
        <w:tc>
          <w:tcPr>
            <w:tcW w:w="2028" w:type="dxa"/>
            <w:noWrap w:val="0"/>
            <w:vAlign w:val="center"/>
          </w:tcPr>
          <w:p>
            <w:pPr>
              <w:widowControl/>
              <w:adjustRightInd w:val="0"/>
              <w:spacing w:line="400" w:lineRule="exact"/>
              <w:jc w:val="center"/>
              <w:rPr>
                <w:rFonts w:hint="default" w:ascii="Times New Roman" w:hAnsi="Times New Roman" w:cs="Times New Roman"/>
                <w:b/>
                <w:sz w:val="24"/>
                <w:highlight w:val="none"/>
              </w:rPr>
            </w:pPr>
            <w:r>
              <w:rPr>
                <w:rFonts w:hint="default" w:ascii="Times New Roman" w:hAnsi="Times New Roman" w:cs="Times New Roman"/>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noWrap w:val="0"/>
            <w:vAlign w:val="top"/>
          </w:tcPr>
          <w:p>
            <w:pPr>
              <w:widowControl/>
              <w:adjustRightInd w:val="0"/>
              <w:spacing w:line="400" w:lineRule="exact"/>
              <w:rPr>
                <w:rFonts w:hint="default" w:ascii="Times New Roman" w:hAnsi="Times New Roman" w:cs="Times New Roman"/>
                <w:bCs/>
                <w:szCs w:val="28"/>
                <w:highlight w:val="none"/>
              </w:rPr>
            </w:pPr>
          </w:p>
        </w:tc>
        <w:tc>
          <w:tcPr>
            <w:tcW w:w="4320" w:type="dxa"/>
            <w:noWrap w:val="0"/>
            <w:vAlign w:val="center"/>
          </w:tcPr>
          <w:p>
            <w:pPr>
              <w:widowControl/>
              <w:adjustRightInd w:val="0"/>
              <w:spacing w:line="400" w:lineRule="exact"/>
              <w:rPr>
                <w:rFonts w:hint="default" w:ascii="Times New Roman" w:hAnsi="Times New Roman" w:cs="Times New Roman"/>
                <w:bCs/>
                <w:szCs w:val="28"/>
                <w:highlight w:val="none"/>
              </w:rPr>
            </w:pPr>
            <w:r>
              <w:rPr>
                <w:rFonts w:hint="default" w:ascii="Times New Roman" w:hAnsi="Times New Roman" w:cs="Times New Roman"/>
                <w:bCs/>
                <w:szCs w:val="28"/>
                <w:highlight w:val="none"/>
              </w:rPr>
              <w:t>二、</w:t>
            </w:r>
            <w:r>
              <w:rPr>
                <w:rFonts w:hint="default" w:ascii="Times New Roman" w:hAnsi="Times New Roman" w:cs="Times New Roman"/>
                <w:highlight w:val="none"/>
              </w:rPr>
              <w:t>投标人未被列入信用中国网站</w:t>
            </w:r>
            <w:r>
              <w:rPr>
                <w:rFonts w:hint="default" w:ascii="Times New Roman" w:hAnsi="Times New Roman" w:cs="Times New Roman"/>
                <w:highlight w:val="none"/>
                <w:lang w:eastAsia="zh-CN"/>
              </w:rPr>
              <w:t>（</w:t>
            </w:r>
            <w:r>
              <w:rPr>
                <w:rFonts w:hint="default" w:ascii="Times New Roman" w:hAnsi="Times New Roman" w:cs="Times New Roman"/>
                <w:highlight w:val="none"/>
              </w:rPr>
              <w:t>www.creditchina.gov.cn</w:t>
            </w:r>
            <w:r>
              <w:rPr>
                <w:rFonts w:hint="default" w:ascii="Times New Roman" w:hAnsi="Times New Roman" w:cs="Times New Roman"/>
                <w:highlight w:val="none"/>
                <w:lang w:eastAsia="zh-CN"/>
              </w:rPr>
              <w:t>）</w:t>
            </w:r>
            <w:r>
              <w:rPr>
                <w:rFonts w:hint="default" w:ascii="Times New Roman" w:hAnsi="Times New Roman" w:cs="Times New Roman"/>
                <w:highlight w:val="none"/>
              </w:rPr>
              <w:t>“记录失信被执行人或重大税收违法案件当事人名单或政府采购严重违法失信行为”记录名单；不处于中国政府采购网</w:t>
            </w:r>
            <w:r>
              <w:rPr>
                <w:rFonts w:hint="default" w:ascii="Times New Roman" w:hAnsi="Times New Roman" w:cs="Times New Roman"/>
                <w:highlight w:val="none"/>
                <w:lang w:eastAsia="zh-CN"/>
              </w:rPr>
              <w:t>（</w:t>
            </w:r>
            <w:r>
              <w:rPr>
                <w:rFonts w:hint="default" w:ascii="Times New Roman" w:hAnsi="Times New Roman" w:cs="Times New Roman"/>
                <w:highlight w:val="none"/>
              </w:rPr>
              <w:t>www.ccgp.gov.cn</w:t>
            </w:r>
            <w:r>
              <w:rPr>
                <w:rFonts w:hint="default" w:ascii="Times New Roman" w:hAnsi="Times New Roman" w:cs="Times New Roman"/>
                <w:highlight w:val="none"/>
                <w:lang w:eastAsia="zh-CN"/>
              </w:rPr>
              <w:t>）</w:t>
            </w:r>
            <w:r>
              <w:rPr>
                <w:rFonts w:hint="default" w:ascii="Times New Roman" w:hAnsi="Times New Roman" w:cs="Times New Roman"/>
                <w:highlight w:val="none"/>
              </w:rPr>
              <w:t>“政府采购严重违法失信行为信息记录”中的禁止参加政府采购活动期间（以采购代理机构于投标截止日当天在信用中国网站及中国政府采购网查询结果为准，如相关失信记录已失效，投标人需提供相关证明资料）。</w:t>
            </w:r>
          </w:p>
        </w:tc>
        <w:tc>
          <w:tcPr>
            <w:tcW w:w="1167" w:type="dxa"/>
            <w:noWrap w:val="0"/>
            <w:vAlign w:val="center"/>
          </w:tcPr>
          <w:p>
            <w:pPr>
              <w:widowControl/>
              <w:adjustRightInd w:val="0"/>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widowControl/>
              <w:adjustRightInd w:val="0"/>
              <w:spacing w:line="400" w:lineRule="exact"/>
              <w:rPr>
                <w:rFonts w:hint="default" w:ascii="Times New Roman" w:hAnsi="Times New Roman" w:cs="Times New Roman"/>
                <w:bCs/>
                <w:szCs w:val="28"/>
                <w:highlight w:val="none"/>
              </w:rPr>
            </w:pPr>
            <w:r>
              <w:rPr>
                <w:rFonts w:hint="default" w:ascii="Times New Roman" w:hAnsi="Times New Roman" w:cs="Times New Roman"/>
                <w:szCs w:val="21"/>
                <w:highlight w:val="none"/>
              </w:rPr>
              <w:t>□不通过</w:t>
            </w:r>
          </w:p>
        </w:tc>
        <w:tc>
          <w:tcPr>
            <w:tcW w:w="2028" w:type="dxa"/>
            <w:noWrap w:val="0"/>
            <w:vAlign w:val="center"/>
          </w:tcPr>
          <w:p>
            <w:pPr>
              <w:widowControl/>
              <w:adjustRightInd w:val="0"/>
              <w:spacing w:line="400" w:lineRule="exact"/>
              <w:jc w:val="center"/>
              <w:rPr>
                <w:rFonts w:hint="default" w:ascii="Times New Roman" w:hAnsi="Times New Roman" w:cs="Times New Roman"/>
                <w:bCs/>
                <w:szCs w:val="28"/>
                <w:highlight w:val="none"/>
                <w:u w:val="single"/>
              </w:rPr>
            </w:pPr>
            <w:r>
              <w:rPr>
                <w:rFonts w:hint="default" w:ascii="Times New Roman" w:hAnsi="Times New Roman" w:cs="Times New Roman"/>
                <w:bCs/>
                <w:szCs w:val="28"/>
                <w:highlight w:val="none"/>
              </w:rPr>
              <w:t xml:space="preserve">信用记录 </w:t>
            </w:r>
            <w:r>
              <w:rPr>
                <w:rFonts w:hint="default" w:ascii="Times New Roman" w:hAnsi="Times New Roman" w:cs="Times New Roman"/>
                <w:bCs/>
                <w:szCs w:val="28"/>
                <w:highlight w:val="none"/>
                <w:u w:val="single"/>
              </w:rPr>
              <w:t>是/否</w:t>
            </w:r>
            <w:r>
              <w:rPr>
                <w:rFonts w:hint="default" w:ascii="Times New Roman" w:hAnsi="Times New Roman" w:cs="Times New Roman"/>
                <w:bCs/>
                <w:szCs w:val="28"/>
                <w:highlight w:val="none"/>
              </w:rPr>
              <w:t xml:space="preserve"> 已失效，如失效，证明材料详见</w:t>
            </w:r>
            <w:r>
              <w:rPr>
                <w:rFonts w:hint="default" w:ascii="Times New Roman" w:hAnsi="Times New Roman" w:cs="Times New Roman"/>
                <w:szCs w:val="21"/>
                <w:highlight w:val="none"/>
              </w:rPr>
              <w:t>第（ ）页-（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noWrap w:val="0"/>
            <w:vAlign w:val="top"/>
          </w:tcPr>
          <w:p>
            <w:pPr>
              <w:widowControl/>
              <w:adjustRightInd w:val="0"/>
              <w:spacing w:line="400" w:lineRule="exact"/>
              <w:rPr>
                <w:rFonts w:hint="default" w:ascii="Times New Roman" w:hAnsi="Times New Roman" w:cs="Times New Roman"/>
                <w:bCs/>
                <w:szCs w:val="28"/>
                <w:highlight w:val="none"/>
              </w:rPr>
            </w:pPr>
          </w:p>
        </w:tc>
        <w:tc>
          <w:tcPr>
            <w:tcW w:w="4320" w:type="dxa"/>
            <w:noWrap w:val="0"/>
            <w:vAlign w:val="center"/>
          </w:tcPr>
          <w:p>
            <w:pPr>
              <w:widowControl/>
              <w:adjustRightInd w:val="0"/>
              <w:spacing w:line="400" w:lineRule="exact"/>
              <w:rPr>
                <w:rFonts w:hint="default" w:ascii="Times New Roman" w:hAnsi="Times New Roman" w:cs="Times New Roman"/>
                <w:bCs/>
                <w:szCs w:val="28"/>
                <w:highlight w:val="none"/>
              </w:rPr>
            </w:pPr>
            <w:r>
              <w:rPr>
                <w:rFonts w:hint="default" w:ascii="Times New Roman" w:hAnsi="Times New Roman" w:cs="Times New Roman"/>
                <w:bCs/>
                <w:szCs w:val="28"/>
                <w:highlight w:val="none"/>
                <w:lang w:val="en-US" w:eastAsia="zh-CN"/>
              </w:rPr>
              <w:t>三、</w:t>
            </w:r>
            <w:r>
              <w:rPr>
                <w:rFonts w:hint="default" w:ascii="Times New Roman" w:hAnsi="Times New Roman" w:cs="Times New Roman"/>
                <w:szCs w:val="21"/>
                <w:highlight w:val="none"/>
              </w:rPr>
              <w:t>本项目不接受联合体投标。</w:t>
            </w:r>
          </w:p>
        </w:tc>
        <w:tc>
          <w:tcPr>
            <w:tcW w:w="1167" w:type="dxa"/>
            <w:noWrap w:val="0"/>
            <w:vAlign w:val="center"/>
          </w:tcPr>
          <w:p>
            <w:pPr>
              <w:widowControl/>
              <w:adjustRightInd w:val="0"/>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widowControl/>
              <w:adjustRightInd w:val="0"/>
              <w:spacing w:line="400" w:lineRule="exact"/>
              <w:rPr>
                <w:rFonts w:hint="default" w:ascii="Times New Roman" w:hAnsi="Times New Roman" w:cs="Times New Roman"/>
                <w:bCs/>
                <w:szCs w:val="28"/>
                <w:highlight w:val="none"/>
              </w:rPr>
            </w:pPr>
            <w:r>
              <w:rPr>
                <w:rFonts w:hint="default" w:ascii="Times New Roman" w:hAnsi="Times New Roman" w:cs="Times New Roman"/>
                <w:szCs w:val="21"/>
                <w:highlight w:val="none"/>
              </w:rPr>
              <w:t>□不通过</w:t>
            </w:r>
          </w:p>
        </w:tc>
        <w:tc>
          <w:tcPr>
            <w:tcW w:w="2028" w:type="dxa"/>
            <w:noWrap w:val="0"/>
            <w:vAlign w:val="center"/>
          </w:tcPr>
          <w:p>
            <w:pPr>
              <w:widowControl/>
              <w:adjustRightInd w:val="0"/>
              <w:spacing w:line="400" w:lineRule="exact"/>
              <w:jc w:val="center"/>
              <w:rPr>
                <w:rFonts w:hint="default" w:ascii="Times New Roman" w:hAnsi="Times New Roman" w:cs="Times New Roman"/>
                <w:bCs/>
                <w:szCs w:val="28"/>
                <w:highlight w:val="none"/>
              </w:rPr>
            </w:pPr>
            <w:r>
              <w:rPr>
                <w:rFonts w:hint="default" w:ascii="Times New Roman" w:hAnsi="Times New Roman" w:cs="Times New Roman"/>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80" w:type="dxa"/>
            <w:vMerge w:val="continue"/>
            <w:noWrap w:val="0"/>
            <w:vAlign w:val="top"/>
          </w:tcPr>
          <w:p>
            <w:pPr>
              <w:widowControl/>
              <w:adjustRightInd w:val="0"/>
              <w:spacing w:line="400" w:lineRule="exact"/>
              <w:rPr>
                <w:rFonts w:hint="default" w:ascii="Times New Roman" w:hAnsi="Times New Roman" w:cs="Times New Roman"/>
                <w:bCs/>
                <w:szCs w:val="28"/>
                <w:highlight w:val="none"/>
              </w:rPr>
            </w:pPr>
          </w:p>
        </w:tc>
        <w:tc>
          <w:tcPr>
            <w:tcW w:w="4320" w:type="dxa"/>
            <w:noWrap w:val="0"/>
            <w:vAlign w:val="center"/>
          </w:tcPr>
          <w:p>
            <w:pPr>
              <w:widowControl/>
              <w:adjustRightInd w:val="0"/>
              <w:spacing w:line="400" w:lineRule="exact"/>
              <w:rPr>
                <w:rFonts w:hint="default" w:ascii="Times New Roman" w:hAnsi="Times New Roman" w:cs="Times New Roman"/>
                <w:bCs/>
                <w:szCs w:val="28"/>
                <w:highlight w:val="none"/>
                <w:lang w:val="en-US" w:eastAsia="zh-CN"/>
              </w:rPr>
            </w:pPr>
            <w:r>
              <w:rPr>
                <w:rFonts w:hint="default" w:ascii="Times New Roman" w:hAnsi="Times New Roman" w:cs="Times New Roman"/>
                <w:bCs/>
                <w:szCs w:val="28"/>
                <w:highlight w:val="none"/>
                <w:lang w:val="en-US" w:eastAsia="zh-CN"/>
              </w:rPr>
              <w:t>四、采购文件其他要求内容。</w:t>
            </w:r>
          </w:p>
        </w:tc>
        <w:tc>
          <w:tcPr>
            <w:tcW w:w="1167" w:type="dxa"/>
            <w:noWrap w:val="0"/>
            <w:vAlign w:val="center"/>
          </w:tcPr>
          <w:p>
            <w:pPr>
              <w:widowControl/>
              <w:adjustRightInd w:val="0"/>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widowControl/>
              <w:adjustRightInd w:val="0"/>
              <w:spacing w:line="4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2028" w:type="dxa"/>
            <w:noWrap w:val="0"/>
            <w:vAlign w:val="center"/>
          </w:tcPr>
          <w:p>
            <w:pPr>
              <w:widowControl/>
              <w:adjustRightInd w:val="0"/>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bl>
    <w:p>
      <w:pPr>
        <w:spacing w:line="360" w:lineRule="auto"/>
        <w:rPr>
          <w:rFonts w:hint="default" w:ascii="Times New Roman" w:hAnsi="Times New Roman" w:cs="Times New Roman"/>
          <w:b/>
          <w:spacing w:val="-4"/>
          <w:szCs w:val="21"/>
          <w:highlight w:val="none"/>
        </w:rPr>
      </w:pPr>
      <w:r>
        <w:rPr>
          <w:rFonts w:hint="default" w:ascii="Times New Roman" w:hAnsi="Times New Roman" w:cs="Times New Roman"/>
          <w:b/>
          <w:szCs w:val="21"/>
          <w:highlight w:val="none"/>
        </w:rPr>
        <w:br w:type="page"/>
      </w:r>
      <w:r>
        <w:rPr>
          <w:rFonts w:hint="default" w:ascii="Times New Roman" w:hAnsi="Times New Roman" w:cs="Times New Roman"/>
          <w:b/>
          <w:szCs w:val="21"/>
          <w:highlight w:val="none"/>
        </w:rPr>
        <w:t>格式五：</w:t>
      </w:r>
    </w:p>
    <w:p>
      <w:pPr>
        <w:spacing w:line="360" w:lineRule="auto"/>
        <w:jc w:val="center"/>
        <w:rPr>
          <w:rFonts w:hint="default" w:ascii="Times New Roman" w:hAnsi="Times New Roman" w:cs="Times New Roman"/>
          <w:b/>
          <w:bCs/>
          <w:szCs w:val="21"/>
          <w:highlight w:val="none"/>
        </w:rPr>
      </w:pPr>
      <w:r>
        <w:rPr>
          <w:rFonts w:hint="default" w:ascii="Times New Roman" w:hAnsi="Times New Roman" w:cs="Times New Roman"/>
          <w:b/>
          <w:bCs/>
          <w:sz w:val="24"/>
          <w:highlight w:val="none"/>
        </w:rPr>
        <w:t>书面声明</w:t>
      </w:r>
    </w:p>
    <w:p>
      <w:pPr>
        <w:spacing w:line="360" w:lineRule="auto"/>
        <w:rPr>
          <w:rFonts w:hint="default" w:ascii="Times New Roman" w:hAnsi="Times New Roman" w:cs="Times New Roman"/>
          <w:b/>
          <w:szCs w:val="21"/>
          <w:highlight w:val="none"/>
        </w:rPr>
      </w:pPr>
    </w:p>
    <w:p>
      <w:pPr>
        <w:spacing w:line="360" w:lineRule="auto"/>
        <w:outlineLvl w:val="9"/>
        <w:rPr>
          <w:rFonts w:hint="default" w:ascii="Times New Roman" w:hAnsi="Times New Roman" w:cs="Times New Roman"/>
          <w:b/>
          <w:szCs w:val="21"/>
          <w:highlight w:val="none"/>
        </w:rPr>
      </w:pPr>
      <w:bookmarkStart w:id="130" w:name="_Toc28862"/>
      <w:bookmarkStart w:id="131" w:name="_Toc27921"/>
      <w:r>
        <w:rPr>
          <w:rFonts w:hint="default" w:ascii="Times New Roman" w:hAnsi="Times New Roman" w:cs="Times New Roman"/>
          <w:b/>
          <w:szCs w:val="21"/>
          <w:highlight w:val="none"/>
        </w:rPr>
        <w:t>致：浙江科信联合工程项目管理咨询有限公司</w:t>
      </w:r>
      <w:bookmarkEnd w:id="130"/>
      <w:bookmarkEnd w:id="131"/>
    </w:p>
    <w:p>
      <w:pPr>
        <w:adjustRightInd w:val="0"/>
        <w:spacing w:line="360" w:lineRule="auto"/>
        <w:ind w:firstLine="422" w:firstLineChars="200"/>
        <w:textAlignment w:val="baseline"/>
        <w:rPr>
          <w:rFonts w:hint="default" w:ascii="Times New Roman" w:hAnsi="Times New Roman" w:cs="Times New Roman"/>
          <w:b/>
          <w:szCs w:val="21"/>
          <w:highlight w:val="none"/>
        </w:rPr>
      </w:pPr>
      <w:bookmarkStart w:id="132" w:name="_Toc399148312"/>
      <w:r>
        <w:rPr>
          <w:rFonts w:hint="default" w:ascii="Times New Roman" w:hAnsi="Times New Roman" w:cs="Times New Roman"/>
          <w:b/>
          <w:szCs w:val="21"/>
          <w:highlight w:val="none"/>
        </w:rPr>
        <w:t>我方郑重</w:t>
      </w:r>
      <w:bookmarkEnd w:id="132"/>
      <w:r>
        <w:rPr>
          <w:rFonts w:hint="default" w:ascii="Times New Roman" w:hAnsi="Times New Roman" w:cs="Times New Roman"/>
          <w:b/>
          <w:szCs w:val="21"/>
          <w:highlight w:val="none"/>
        </w:rPr>
        <w:t>声明：</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1、具有独立承担民事责任的能力。</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2、具有良好的商业信誉和健全的财务会计制度。</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3、具有履行合同所必需的设备和专业技术能力。</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4、有依法缴纳税收和社会保障资金的良好记录。</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5、参加政府采购活动前三年内，在经营活动中没有重大违法记录。</w:t>
      </w: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6、我单位符合以下条件：</w:t>
      </w:r>
    </w:p>
    <w:p>
      <w:pPr>
        <w:adjustRightInd w:val="0"/>
        <w:spacing w:line="360" w:lineRule="auto"/>
        <w:ind w:firstLine="420" w:firstLineChars="200"/>
        <w:textAlignment w:val="baseline"/>
        <w:rPr>
          <w:rFonts w:hint="default" w:ascii="Times New Roman" w:hAnsi="Times New Roman" w:cs="Times New Roman"/>
          <w:bCs/>
          <w:szCs w:val="21"/>
          <w:highlight w:val="none"/>
        </w:rPr>
      </w:pPr>
      <w:r>
        <w:rPr>
          <w:rFonts w:hint="default" w:ascii="Times New Roman" w:hAnsi="Times New Roman" w:cs="Times New Roman"/>
          <w:highlight w:val="none"/>
        </w:rPr>
        <w:t>我单位与其他投标人不存在单位负责人为同一人或者</w:t>
      </w:r>
      <w:r>
        <w:rPr>
          <w:rFonts w:hint="default" w:ascii="Times New Roman" w:hAnsi="Times New Roman" w:cs="Times New Roman"/>
          <w:bCs/>
          <w:szCs w:val="21"/>
          <w:highlight w:val="none"/>
        </w:rPr>
        <w:t>存在直接控股、管理关系；我单位不是本项目提供整体设计、规范编制或者项目管理、监理、检测等服务的单位。</w:t>
      </w:r>
    </w:p>
    <w:p>
      <w:pPr>
        <w:spacing w:line="360" w:lineRule="auto"/>
        <w:ind w:firstLine="422" w:firstLineChars="200"/>
        <w:rPr>
          <w:rFonts w:hint="default" w:ascii="Times New Roman" w:hAnsi="Times New Roman" w:cs="Times New Roman"/>
          <w:b/>
          <w:bCs/>
          <w:szCs w:val="21"/>
          <w:highlight w:val="none"/>
        </w:rPr>
      </w:pPr>
      <w:r>
        <w:rPr>
          <w:rFonts w:hint="default" w:ascii="Times New Roman" w:hAnsi="Times New Roman" w:cs="Times New Roman"/>
          <w:b/>
          <w:szCs w:val="21"/>
          <w:highlight w:val="none"/>
        </w:rPr>
        <w:t>特此声明。</w:t>
      </w:r>
    </w:p>
    <w:p>
      <w:pPr>
        <w:spacing w:line="360" w:lineRule="auto"/>
        <w:rPr>
          <w:rFonts w:hint="default" w:ascii="Times New Roman" w:hAnsi="Times New Roman" w:cs="Times New Roman"/>
          <w:b/>
          <w:bCs/>
          <w:szCs w:val="21"/>
          <w:highlight w:val="none"/>
        </w:rPr>
      </w:pP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pStyle w:val="3"/>
        <w:widowControl/>
        <w:spacing w:line="360" w:lineRule="auto"/>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投标人全称（盖公章）：</w:t>
      </w:r>
    </w:p>
    <w:p>
      <w:pPr>
        <w:pStyle w:val="3"/>
        <w:widowControl/>
        <w:spacing w:line="360" w:lineRule="auto"/>
        <w:jc w:val="left"/>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日期：年  月  日</w:t>
      </w:r>
    </w:p>
    <w:p>
      <w:pPr>
        <w:spacing w:line="360" w:lineRule="auto"/>
        <w:rPr>
          <w:rFonts w:hint="default" w:ascii="Times New Roman" w:hAnsi="Times New Roman" w:cs="Times New Roman"/>
          <w:b/>
          <w:spacing w:val="-4"/>
          <w:sz w:val="24"/>
          <w:highlight w:val="none"/>
        </w:rPr>
      </w:pPr>
      <w:r>
        <w:rPr>
          <w:rFonts w:hint="default" w:ascii="Times New Roman" w:hAnsi="Times New Roman" w:cs="Times New Roman"/>
          <w:b/>
          <w:szCs w:val="21"/>
          <w:highlight w:val="none"/>
        </w:rPr>
        <w:br w:type="page"/>
      </w:r>
      <w:r>
        <w:rPr>
          <w:rFonts w:hint="default" w:ascii="Times New Roman" w:hAnsi="Times New Roman" w:cs="Times New Roman"/>
          <w:b/>
          <w:szCs w:val="21"/>
          <w:highlight w:val="none"/>
        </w:rPr>
        <w:t>格式六：</w:t>
      </w:r>
    </w:p>
    <w:p>
      <w:pPr>
        <w:spacing w:line="360" w:lineRule="auto"/>
        <w:jc w:val="center"/>
        <w:outlineLvl w:val="9"/>
        <w:rPr>
          <w:rFonts w:hint="default" w:ascii="Times New Roman" w:hAnsi="Times New Roman" w:cs="Times New Roman"/>
          <w:sz w:val="24"/>
          <w:highlight w:val="none"/>
        </w:rPr>
      </w:pPr>
      <w:bookmarkStart w:id="133" w:name="_Toc23525"/>
      <w:bookmarkStart w:id="134" w:name="_Toc23501"/>
      <w:r>
        <w:rPr>
          <w:rFonts w:hint="default" w:ascii="Times New Roman" w:hAnsi="Times New Roman" w:cs="Times New Roman"/>
          <w:b/>
          <w:spacing w:val="-4"/>
          <w:sz w:val="24"/>
          <w:highlight w:val="none"/>
        </w:rPr>
        <w:t>符合性自查表</w:t>
      </w:r>
      <w:bookmarkEnd w:id="133"/>
      <w:bookmarkEnd w:id="134"/>
    </w:p>
    <w:tbl>
      <w:tblPr>
        <w:tblStyle w:val="37"/>
        <w:tblW w:w="0" w:type="auto"/>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831"/>
        <w:gridCol w:w="4725"/>
        <w:gridCol w:w="1418"/>
        <w:gridCol w:w="1959"/>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40" w:hRule="atLeast"/>
          <w:jc w:val="center"/>
        </w:trPr>
        <w:tc>
          <w:tcPr>
            <w:tcW w:w="831" w:type="dxa"/>
            <w:tcBorders>
              <w:top w:val="single" w:color="auto" w:sz="12" w:space="0"/>
              <w:left w:val="single" w:color="auto" w:sz="12" w:space="0"/>
              <w:bottom w:val="outset" w:color="111111" w:sz="6" w:space="0"/>
              <w:right w:val="outset" w:color="111111" w:sz="6"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评审内容</w:t>
            </w:r>
          </w:p>
        </w:tc>
        <w:tc>
          <w:tcPr>
            <w:tcW w:w="4725" w:type="dxa"/>
            <w:tcBorders>
              <w:top w:val="single" w:color="auto" w:sz="12" w:space="0"/>
              <w:left w:val="outset" w:color="111111" w:sz="6" w:space="0"/>
              <w:bottom w:val="outset" w:color="111111" w:sz="6" w:space="0"/>
              <w:right w:val="outset" w:color="111111" w:sz="6"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采购文件要求</w:t>
            </w:r>
          </w:p>
        </w:tc>
        <w:tc>
          <w:tcPr>
            <w:tcW w:w="1418" w:type="dxa"/>
            <w:tcBorders>
              <w:top w:val="single" w:color="auto" w:sz="12" w:space="0"/>
              <w:left w:val="outset" w:color="111111" w:sz="6" w:space="0"/>
              <w:bottom w:val="outset" w:color="111111" w:sz="6" w:space="0"/>
              <w:right w:val="outset" w:color="111111" w:sz="6"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自查结论</w:t>
            </w:r>
          </w:p>
        </w:tc>
        <w:tc>
          <w:tcPr>
            <w:tcW w:w="1959" w:type="dxa"/>
            <w:tcBorders>
              <w:top w:val="single" w:color="auto" w:sz="12" w:space="0"/>
              <w:left w:val="outset" w:color="111111" w:sz="6" w:space="0"/>
              <w:bottom w:val="outset" w:color="111111" w:sz="6"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57" w:hRule="atLeast"/>
          <w:jc w:val="center"/>
        </w:trPr>
        <w:tc>
          <w:tcPr>
            <w:tcW w:w="831" w:type="dxa"/>
            <w:vMerge w:val="restart"/>
            <w:tcBorders>
              <w:top w:val="outset" w:color="111111" w:sz="6" w:space="0"/>
              <w:left w:val="single" w:color="auto" w:sz="12" w:space="0"/>
              <w:right w:val="outset" w:color="111111" w:sz="6"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符</w:t>
            </w:r>
          </w:p>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w:t>
            </w:r>
          </w:p>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性</w:t>
            </w:r>
          </w:p>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审</w:t>
            </w:r>
          </w:p>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查</w:t>
            </w:r>
          </w:p>
        </w:tc>
        <w:tc>
          <w:tcPr>
            <w:tcW w:w="4725" w:type="dxa"/>
            <w:tcBorders>
              <w:top w:val="outset" w:color="111111" w:sz="6" w:space="0"/>
              <w:left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1、投标人按招标文件要求签署、签章；</w:t>
            </w:r>
          </w:p>
        </w:tc>
        <w:tc>
          <w:tcPr>
            <w:tcW w:w="1418" w:type="dxa"/>
            <w:tcBorders>
              <w:top w:val="outset" w:color="111111" w:sz="6" w:space="0"/>
              <w:left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1959" w:type="dxa"/>
            <w:tcBorders>
              <w:top w:val="outset" w:color="111111" w:sz="6" w:space="0"/>
              <w:left w:val="outset" w:color="111111" w:sz="6"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40" w:hRule="atLeast"/>
          <w:jc w:val="center"/>
        </w:trPr>
        <w:tc>
          <w:tcPr>
            <w:tcW w:w="831" w:type="dxa"/>
            <w:vMerge w:val="continue"/>
            <w:tcBorders>
              <w:left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p>
        </w:tc>
        <w:tc>
          <w:tcPr>
            <w:tcW w:w="4725"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2、投标有效期满足招标文件要求；</w:t>
            </w:r>
          </w:p>
        </w:tc>
        <w:tc>
          <w:tcPr>
            <w:tcW w:w="1418"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1959" w:type="dxa"/>
            <w:tcBorders>
              <w:top w:val="outset" w:color="111111" w:sz="6" w:space="0"/>
              <w:left w:val="outset" w:color="111111" w:sz="6" w:space="0"/>
              <w:bottom w:val="outset" w:color="111111" w:sz="6"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40" w:hRule="atLeast"/>
          <w:jc w:val="center"/>
        </w:trPr>
        <w:tc>
          <w:tcPr>
            <w:tcW w:w="831" w:type="dxa"/>
            <w:vMerge w:val="continue"/>
            <w:tcBorders>
              <w:left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p>
        </w:tc>
        <w:tc>
          <w:tcPr>
            <w:tcW w:w="4725"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3、</w:t>
            </w:r>
            <w:r>
              <w:rPr>
                <w:rFonts w:hint="default" w:ascii="Times New Roman" w:hAnsi="Times New Roman" w:cs="Times New Roman"/>
                <w:szCs w:val="21"/>
                <w:highlight w:val="none"/>
              </w:rPr>
              <w:t>投标文件完全满足招标文件的实质性条款（即标注*号条款）无负偏离的；</w:t>
            </w:r>
          </w:p>
        </w:tc>
        <w:tc>
          <w:tcPr>
            <w:tcW w:w="1418"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1959" w:type="dxa"/>
            <w:tcBorders>
              <w:top w:val="outset" w:color="111111" w:sz="6" w:space="0"/>
              <w:left w:val="outset" w:color="111111" w:sz="6" w:space="0"/>
              <w:bottom w:val="outset" w:color="111111" w:sz="6"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40" w:hRule="atLeast"/>
          <w:jc w:val="center"/>
        </w:trPr>
        <w:tc>
          <w:tcPr>
            <w:tcW w:w="831" w:type="dxa"/>
            <w:vMerge w:val="continue"/>
            <w:tcBorders>
              <w:left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p>
        </w:tc>
        <w:tc>
          <w:tcPr>
            <w:tcW w:w="4725"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4、</w:t>
            </w:r>
            <w:r>
              <w:rPr>
                <w:rFonts w:hint="default" w:ascii="Times New Roman" w:hAnsi="Times New Roman" w:cs="Times New Roman"/>
                <w:szCs w:val="21"/>
                <w:highlight w:val="none"/>
              </w:rPr>
              <w:t>投标文件没有采购人不能接受的附加的条件；</w:t>
            </w:r>
          </w:p>
        </w:tc>
        <w:tc>
          <w:tcPr>
            <w:tcW w:w="1418"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1959" w:type="dxa"/>
            <w:tcBorders>
              <w:top w:val="outset" w:color="111111" w:sz="6" w:space="0"/>
              <w:left w:val="outset" w:color="111111" w:sz="6" w:space="0"/>
              <w:bottom w:val="outset" w:color="111111" w:sz="6"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40" w:hRule="atLeast"/>
          <w:jc w:val="center"/>
        </w:trPr>
        <w:tc>
          <w:tcPr>
            <w:tcW w:w="831" w:type="dxa"/>
            <w:vMerge w:val="continue"/>
            <w:tcBorders>
              <w:left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p>
        </w:tc>
        <w:tc>
          <w:tcPr>
            <w:tcW w:w="4725"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5、</w:t>
            </w:r>
            <w:r>
              <w:rPr>
                <w:rFonts w:hint="default" w:ascii="Times New Roman" w:hAnsi="Times New Roman" w:cs="Times New Roman"/>
                <w:szCs w:val="21"/>
                <w:highlight w:val="none"/>
              </w:rPr>
              <w:t>委托人提供法定代表人授权委托书，填写项目齐全；</w:t>
            </w:r>
          </w:p>
        </w:tc>
        <w:tc>
          <w:tcPr>
            <w:tcW w:w="1418"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1959" w:type="dxa"/>
            <w:tcBorders>
              <w:top w:val="outset" w:color="111111" w:sz="6" w:space="0"/>
              <w:left w:val="outset" w:color="111111" w:sz="6" w:space="0"/>
              <w:bottom w:val="outset" w:color="111111" w:sz="6"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40" w:hRule="atLeast"/>
          <w:jc w:val="center"/>
        </w:trPr>
        <w:tc>
          <w:tcPr>
            <w:tcW w:w="831" w:type="dxa"/>
            <w:vMerge w:val="continue"/>
            <w:tcBorders>
              <w:left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p>
        </w:tc>
        <w:tc>
          <w:tcPr>
            <w:tcW w:w="4725"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6、</w:t>
            </w:r>
            <w:r>
              <w:rPr>
                <w:rFonts w:hint="default" w:ascii="Times New Roman" w:hAnsi="Times New Roman" w:cs="Times New Roman"/>
                <w:szCs w:val="21"/>
                <w:highlight w:val="none"/>
              </w:rPr>
              <w:t>投标文件提供资料齐全并且不存在内容虚假；</w:t>
            </w:r>
          </w:p>
        </w:tc>
        <w:tc>
          <w:tcPr>
            <w:tcW w:w="1418"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1959" w:type="dxa"/>
            <w:tcBorders>
              <w:top w:val="outset" w:color="111111" w:sz="6" w:space="0"/>
              <w:left w:val="outset" w:color="111111" w:sz="6" w:space="0"/>
              <w:bottom w:val="outset" w:color="111111" w:sz="6"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40" w:hRule="atLeast"/>
          <w:jc w:val="center"/>
        </w:trPr>
        <w:tc>
          <w:tcPr>
            <w:tcW w:w="831" w:type="dxa"/>
            <w:vMerge w:val="continue"/>
            <w:tcBorders>
              <w:left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p>
        </w:tc>
        <w:tc>
          <w:tcPr>
            <w:tcW w:w="4725"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7、</w:t>
            </w:r>
            <w:r>
              <w:rPr>
                <w:rFonts w:hint="default" w:ascii="Times New Roman" w:hAnsi="Times New Roman" w:cs="Times New Roman"/>
                <w:szCs w:val="21"/>
                <w:highlight w:val="none"/>
              </w:rPr>
              <w:t>投标文件的实质性内容使用中文表述、表述明确、前后不存在矛盾且使用计量单位均符合招标文件要求；</w:t>
            </w:r>
          </w:p>
        </w:tc>
        <w:tc>
          <w:tcPr>
            <w:tcW w:w="1418"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1959" w:type="dxa"/>
            <w:tcBorders>
              <w:top w:val="outset" w:color="111111" w:sz="6" w:space="0"/>
              <w:left w:val="outset" w:color="111111" w:sz="6" w:space="0"/>
              <w:bottom w:val="outset" w:color="111111" w:sz="6"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40" w:hRule="atLeast"/>
          <w:jc w:val="center"/>
        </w:trPr>
        <w:tc>
          <w:tcPr>
            <w:tcW w:w="831" w:type="dxa"/>
            <w:vMerge w:val="continue"/>
            <w:tcBorders>
              <w:left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p>
        </w:tc>
        <w:tc>
          <w:tcPr>
            <w:tcW w:w="4725"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8、</w:t>
            </w:r>
            <w:r>
              <w:rPr>
                <w:rFonts w:hint="default" w:ascii="Times New Roman" w:hAnsi="Times New Roman" w:cs="Times New Roman"/>
                <w:szCs w:val="21"/>
                <w:highlight w:val="none"/>
              </w:rPr>
              <w:t>投标文件的关键内容字迹清晰、能够辨认，且投标文件中经修正的内容（如有）字迹清晰可以辩认并且修改处均按规定签署、盖章；</w:t>
            </w:r>
          </w:p>
        </w:tc>
        <w:tc>
          <w:tcPr>
            <w:tcW w:w="1418" w:type="dxa"/>
            <w:tcBorders>
              <w:top w:val="outset" w:color="111111" w:sz="6" w:space="0"/>
              <w:left w:val="outset" w:color="111111" w:sz="6" w:space="0"/>
              <w:bottom w:val="outset" w:color="111111" w:sz="6"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1959" w:type="dxa"/>
            <w:tcBorders>
              <w:top w:val="outset" w:color="111111" w:sz="6" w:space="0"/>
              <w:left w:val="outset" w:color="111111" w:sz="6" w:space="0"/>
              <w:bottom w:val="outset" w:color="111111" w:sz="6"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340" w:hRule="atLeast"/>
          <w:jc w:val="center"/>
        </w:trPr>
        <w:tc>
          <w:tcPr>
            <w:tcW w:w="831" w:type="dxa"/>
            <w:vMerge w:val="continue"/>
            <w:tcBorders>
              <w:left w:val="single" w:color="auto" w:sz="12" w:space="0"/>
              <w:bottom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p>
        </w:tc>
        <w:tc>
          <w:tcPr>
            <w:tcW w:w="4725" w:type="dxa"/>
            <w:tcBorders>
              <w:top w:val="outset" w:color="111111" w:sz="6" w:space="0"/>
              <w:left w:val="outset" w:color="111111" w:sz="6" w:space="0"/>
              <w:bottom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不含法律、法规和招标文件规定的其他无效情形。</w:t>
            </w:r>
          </w:p>
        </w:tc>
        <w:tc>
          <w:tcPr>
            <w:tcW w:w="1418" w:type="dxa"/>
            <w:tcBorders>
              <w:top w:val="outset" w:color="111111" w:sz="6" w:space="0"/>
              <w:left w:val="outset" w:color="111111" w:sz="6" w:space="0"/>
              <w:bottom w:val="single" w:color="auto" w:sz="12" w:space="0"/>
              <w:right w:val="outset" w:color="111111" w:sz="6" w:space="0"/>
            </w:tcBorders>
            <w:noWrap w:val="0"/>
            <w:vAlign w:val="center"/>
          </w:tcPr>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□通过 </w:t>
            </w:r>
          </w:p>
          <w:p>
            <w:pPr>
              <w:spacing w:line="300" w:lineRule="exact"/>
              <w:rPr>
                <w:rFonts w:hint="default" w:ascii="Times New Roman" w:hAnsi="Times New Roman" w:cs="Times New Roman"/>
                <w:szCs w:val="21"/>
                <w:highlight w:val="none"/>
              </w:rPr>
            </w:pPr>
            <w:r>
              <w:rPr>
                <w:rFonts w:hint="default" w:ascii="Times New Roman" w:hAnsi="Times New Roman" w:cs="Times New Roman"/>
                <w:szCs w:val="21"/>
                <w:highlight w:val="none"/>
              </w:rPr>
              <w:t>□不通过</w:t>
            </w:r>
          </w:p>
        </w:tc>
        <w:tc>
          <w:tcPr>
            <w:tcW w:w="1959" w:type="dxa"/>
            <w:tcBorders>
              <w:top w:val="outset" w:color="111111" w:sz="6" w:space="0"/>
              <w:left w:val="outset" w:color="111111" w:sz="6" w:space="0"/>
              <w:bottom w:val="single" w:color="auto" w:sz="12" w:space="0"/>
              <w:right w:val="single" w:color="auto" w:sz="12" w:space="0"/>
            </w:tcBorders>
            <w:noWrap w:val="0"/>
            <w:vAlign w:val="center"/>
          </w:tcPr>
          <w:p>
            <w:pPr>
              <w:spacing w:line="3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r>
    </w:tbl>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备注：投标人自查表将作为投标投标人有效性审查的重要内容之一，投标人请按照其内容及序列要求在投标文件中对应如实提供。</w:t>
      </w:r>
      <w:r>
        <w:rPr>
          <w:rFonts w:hint="default" w:ascii="Times New Roman" w:hAnsi="Times New Roman" w:cs="Times New Roman"/>
          <w:b/>
          <w:szCs w:val="21"/>
          <w:highlight w:val="none"/>
        </w:rPr>
        <w:br w:type="page"/>
      </w:r>
      <w:r>
        <w:rPr>
          <w:rFonts w:hint="default" w:ascii="Times New Roman" w:hAnsi="Times New Roman" w:cs="Times New Roman"/>
          <w:b/>
          <w:szCs w:val="21"/>
          <w:highlight w:val="none"/>
        </w:rPr>
        <w:t>格式七：</w:t>
      </w:r>
    </w:p>
    <w:p>
      <w:pPr>
        <w:spacing w:line="360" w:lineRule="auto"/>
        <w:jc w:val="center"/>
        <w:rPr>
          <w:rFonts w:hint="default" w:ascii="Times New Roman" w:hAnsi="Times New Roman" w:cs="Times New Roman"/>
          <w:b/>
          <w:sz w:val="24"/>
          <w:highlight w:val="none"/>
        </w:rPr>
      </w:pPr>
      <w:r>
        <w:rPr>
          <w:rFonts w:hint="default" w:ascii="Times New Roman" w:hAnsi="Times New Roman" w:cs="Times New Roman"/>
          <w:b/>
          <w:sz w:val="24"/>
          <w:highlight w:val="none"/>
        </w:rPr>
        <w:t>法定代表人资格证明</w:t>
      </w:r>
    </w:p>
    <w:p>
      <w:pPr>
        <w:spacing w:line="360" w:lineRule="auto"/>
        <w:rPr>
          <w:rFonts w:hint="default" w:ascii="Times New Roman" w:hAnsi="Times New Roman" w:cs="Times New Roman"/>
          <w:bCs/>
          <w:szCs w:val="21"/>
          <w:highlight w:val="none"/>
        </w:rPr>
      </w:pPr>
    </w:p>
    <w:p>
      <w:pPr>
        <w:spacing w:line="360" w:lineRule="auto"/>
        <w:rPr>
          <w:rFonts w:hint="default" w:ascii="Times New Roman" w:hAnsi="Times New Roman" w:cs="Times New Roman"/>
          <w:bCs/>
          <w:szCs w:val="21"/>
          <w:highlight w:val="none"/>
          <w:u w:val="single"/>
        </w:rPr>
      </w:pPr>
      <w:r>
        <w:rPr>
          <w:rFonts w:hint="default" w:ascii="Times New Roman" w:hAnsi="Times New Roman" w:cs="Times New Roman"/>
          <w:bCs/>
          <w:szCs w:val="21"/>
          <w:highlight w:val="none"/>
        </w:rPr>
        <w:t>单位名称：</w:t>
      </w:r>
      <w:r>
        <w:rPr>
          <w:rFonts w:hint="default" w:ascii="Times New Roman" w:hAnsi="Times New Roman" w:cs="Times New Roman"/>
          <w:bCs/>
          <w:szCs w:val="21"/>
          <w:highlight w:val="none"/>
          <w:u w:val="single"/>
        </w:rPr>
        <w:t xml:space="preserve">                                                                    </w:t>
      </w:r>
    </w:p>
    <w:p>
      <w:pPr>
        <w:spacing w:line="360" w:lineRule="auto"/>
        <w:rPr>
          <w:rFonts w:hint="default" w:ascii="Times New Roman" w:hAnsi="Times New Roman" w:cs="Times New Roman"/>
          <w:bCs/>
          <w:szCs w:val="21"/>
          <w:highlight w:val="none"/>
        </w:rPr>
      </w:pPr>
      <w:r>
        <w:rPr>
          <w:rFonts w:hint="default" w:ascii="Times New Roman" w:hAnsi="Times New Roman" w:cs="Times New Roman"/>
          <w:bCs/>
          <w:szCs w:val="21"/>
          <w:highlight w:val="none"/>
        </w:rPr>
        <w:t>地    址：</w:t>
      </w:r>
      <w:r>
        <w:rPr>
          <w:rFonts w:hint="default" w:ascii="Times New Roman" w:hAnsi="Times New Roman" w:cs="Times New Roman"/>
          <w:bCs/>
          <w:szCs w:val="21"/>
          <w:highlight w:val="none"/>
          <w:u w:val="single"/>
        </w:rPr>
        <w:t xml:space="preserve">                                                                    </w:t>
      </w:r>
    </w:p>
    <w:p>
      <w:pPr>
        <w:spacing w:line="360" w:lineRule="auto"/>
        <w:rPr>
          <w:rFonts w:hint="default" w:ascii="Times New Roman" w:hAnsi="Times New Roman" w:cs="Times New Roman"/>
          <w:bCs/>
          <w:szCs w:val="21"/>
          <w:highlight w:val="none"/>
        </w:rPr>
      </w:pPr>
      <w:r>
        <w:rPr>
          <w:rFonts w:hint="default" w:ascii="Times New Roman" w:hAnsi="Times New Roman" w:cs="Times New Roman"/>
          <w:bCs/>
          <w:szCs w:val="21"/>
          <w:highlight w:val="none"/>
        </w:rPr>
        <w:t>姓    名：</w:t>
      </w:r>
      <w:r>
        <w:rPr>
          <w:rFonts w:hint="default" w:ascii="Times New Roman" w:hAnsi="Times New Roman" w:cs="Times New Roman"/>
          <w:bCs/>
          <w:szCs w:val="21"/>
          <w:highlight w:val="none"/>
          <w:u w:val="single"/>
        </w:rPr>
        <w:t xml:space="preserve">                          </w:t>
      </w:r>
      <w:r>
        <w:rPr>
          <w:rFonts w:hint="default" w:ascii="Times New Roman" w:hAnsi="Times New Roman" w:cs="Times New Roman"/>
          <w:bCs/>
          <w:szCs w:val="21"/>
          <w:highlight w:val="none"/>
        </w:rPr>
        <w:t xml:space="preserve">  性    别：</w:t>
      </w:r>
      <w:r>
        <w:rPr>
          <w:rFonts w:hint="default" w:ascii="Times New Roman" w:hAnsi="Times New Roman" w:cs="Times New Roman"/>
          <w:bCs/>
          <w:szCs w:val="21"/>
          <w:highlight w:val="none"/>
          <w:u w:val="single"/>
        </w:rPr>
        <w:t xml:space="preserve">                              </w:t>
      </w:r>
    </w:p>
    <w:p>
      <w:pPr>
        <w:spacing w:line="360" w:lineRule="auto"/>
        <w:rPr>
          <w:rFonts w:hint="default" w:ascii="Times New Roman" w:hAnsi="Times New Roman" w:cs="Times New Roman"/>
          <w:bCs/>
          <w:szCs w:val="21"/>
          <w:highlight w:val="none"/>
        </w:rPr>
      </w:pPr>
      <w:r>
        <w:rPr>
          <w:rFonts w:hint="default" w:ascii="Times New Roman" w:hAnsi="Times New Roman" w:cs="Times New Roman"/>
          <w:bCs/>
          <w:szCs w:val="21"/>
          <w:highlight w:val="none"/>
        </w:rPr>
        <w:t>年    龄：</w:t>
      </w:r>
      <w:r>
        <w:rPr>
          <w:rFonts w:hint="default" w:ascii="Times New Roman" w:hAnsi="Times New Roman" w:cs="Times New Roman"/>
          <w:bCs/>
          <w:szCs w:val="21"/>
          <w:highlight w:val="none"/>
          <w:u w:val="single"/>
        </w:rPr>
        <w:t xml:space="preserve">                          </w:t>
      </w:r>
      <w:r>
        <w:rPr>
          <w:rFonts w:hint="default" w:ascii="Times New Roman" w:hAnsi="Times New Roman" w:cs="Times New Roman"/>
          <w:bCs/>
          <w:szCs w:val="21"/>
          <w:highlight w:val="none"/>
        </w:rPr>
        <w:t xml:space="preserve">  职    务：</w:t>
      </w:r>
      <w:r>
        <w:rPr>
          <w:rFonts w:hint="default" w:ascii="Times New Roman" w:hAnsi="Times New Roman" w:cs="Times New Roman"/>
          <w:bCs/>
          <w:szCs w:val="21"/>
          <w:highlight w:val="none"/>
          <w:u w:val="single"/>
        </w:rPr>
        <w:t xml:space="preserve">                              </w:t>
      </w:r>
    </w:p>
    <w:p>
      <w:pPr>
        <w:spacing w:line="360" w:lineRule="auto"/>
        <w:rPr>
          <w:rFonts w:hint="default" w:ascii="Times New Roman" w:hAnsi="Times New Roman" w:cs="Times New Roman"/>
          <w:bCs/>
          <w:szCs w:val="21"/>
          <w:highlight w:val="none"/>
        </w:rPr>
      </w:pPr>
      <w:r>
        <w:rPr>
          <w:rFonts w:hint="default" w:ascii="Times New Roman" w:hAnsi="Times New Roman" w:cs="Times New Roman"/>
          <w:bCs/>
          <w:szCs w:val="21"/>
          <w:highlight w:val="none"/>
        </w:rPr>
        <w:t>身份证号码：</w:t>
      </w:r>
      <w:r>
        <w:rPr>
          <w:rFonts w:hint="default" w:ascii="Times New Roman" w:hAnsi="Times New Roman" w:cs="Times New Roman"/>
          <w:bCs/>
          <w:szCs w:val="21"/>
          <w:highlight w:val="none"/>
          <w:u w:val="single"/>
        </w:rPr>
        <w:t xml:space="preserve">                     </w:t>
      </w:r>
      <w:r>
        <w:rPr>
          <w:rFonts w:hint="default" w:ascii="Times New Roman" w:hAnsi="Times New Roman" w:cs="Times New Roman"/>
          <w:bCs/>
          <w:szCs w:val="21"/>
          <w:highlight w:val="none"/>
        </w:rPr>
        <w:t>系</w:t>
      </w:r>
      <w:r>
        <w:rPr>
          <w:rFonts w:hint="default" w:ascii="Times New Roman" w:hAnsi="Times New Roman" w:cs="Times New Roman"/>
          <w:bCs/>
          <w:szCs w:val="21"/>
          <w:highlight w:val="none"/>
          <w:u w:val="single"/>
        </w:rPr>
        <w:t xml:space="preserve">               </w:t>
      </w:r>
      <w:r>
        <w:rPr>
          <w:rFonts w:hint="default" w:ascii="Times New Roman" w:hAnsi="Times New Roman" w:cs="Times New Roman"/>
          <w:bCs/>
          <w:szCs w:val="21"/>
          <w:highlight w:val="none"/>
        </w:rPr>
        <w:t>（投标人单位全称）的法定代表人。</w:t>
      </w:r>
    </w:p>
    <w:p>
      <w:pPr>
        <w:spacing w:line="360" w:lineRule="auto"/>
        <w:ind w:firstLine="420" w:firstLineChars="200"/>
        <w:rPr>
          <w:rFonts w:hint="default" w:ascii="Times New Roman" w:hAnsi="Times New Roman" w:cs="Times New Roman"/>
          <w:bCs/>
          <w:szCs w:val="21"/>
          <w:highlight w:val="none"/>
        </w:rPr>
      </w:pPr>
    </w:p>
    <w:p>
      <w:pPr>
        <w:spacing w:line="360" w:lineRule="auto"/>
        <w:ind w:firstLine="420" w:firstLineChars="200"/>
        <w:rPr>
          <w:rFonts w:hint="default" w:ascii="Times New Roman" w:hAnsi="Times New Roman" w:cs="Times New Roman"/>
          <w:bCs/>
          <w:szCs w:val="21"/>
          <w:highlight w:val="none"/>
        </w:rPr>
      </w:pPr>
      <w:r>
        <w:rPr>
          <w:rFonts w:hint="default" w:ascii="Times New Roman" w:hAnsi="Times New Roman" w:cs="Times New Roman"/>
          <w:bCs/>
          <w:szCs w:val="21"/>
          <w:highlight w:val="none"/>
        </w:rPr>
        <w:t>特此证明。</w:t>
      </w:r>
    </w:p>
    <w:p>
      <w:pPr>
        <w:spacing w:line="360" w:lineRule="auto"/>
        <w:ind w:firstLine="420" w:firstLineChars="200"/>
        <w:rPr>
          <w:rFonts w:hint="default" w:ascii="Times New Roman" w:hAnsi="Times New Roman" w:cs="Times New Roman"/>
          <w:bCs/>
          <w:szCs w:val="21"/>
          <w:highlight w:val="none"/>
        </w:rPr>
      </w:pPr>
    </w:p>
    <w:p>
      <w:pPr>
        <w:spacing w:line="360" w:lineRule="auto"/>
        <w:ind w:firstLine="422" w:firstLineChars="200"/>
        <w:rPr>
          <w:rFonts w:hint="default" w:ascii="Times New Roman" w:hAnsi="Times New Roman" w:cs="Times New Roman"/>
          <w:b/>
          <w:szCs w:val="21"/>
          <w:highlight w:val="none"/>
        </w:rPr>
      </w:pPr>
      <w:r>
        <w:rPr>
          <w:rFonts w:hint="default" w:ascii="Times New Roman" w:hAnsi="Times New Roman" w:cs="Times New Roman"/>
          <w:b/>
          <w:szCs w:val="21"/>
          <w:highlight w:val="none"/>
        </w:rPr>
        <w:t>后附法定代表人身份证正反面复印件，加盖公章。</w:t>
      </w:r>
    </w:p>
    <w:p>
      <w:pPr>
        <w:spacing w:line="360" w:lineRule="auto"/>
        <w:rPr>
          <w:rFonts w:hint="default" w:ascii="Times New Roman" w:hAnsi="Times New Roman" w:cs="Times New Roman"/>
          <w:bCs/>
          <w:szCs w:val="21"/>
          <w:highlight w:val="none"/>
        </w:rPr>
      </w:pPr>
    </w:p>
    <w:p>
      <w:pPr>
        <w:spacing w:line="360" w:lineRule="auto"/>
        <w:rPr>
          <w:rFonts w:hint="default" w:ascii="Times New Roman" w:hAnsi="Times New Roman" w:cs="Times New Roman"/>
          <w:bCs/>
          <w:szCs w:val="21"/>
          <w:highlight w:val="none"/>
        </w:rPr>
      </w:pPr>
    </w:p>
    <w:p>
      <w:pPr>
        <w:spacing w:line="360" w:lineRule="auto"/>
        <w:rPr>
          <w:rFonts w:hint="default" w:ascii="Times New Roman" w:hAnsi="Times New Roman" w:cs="Times New Roman"/>
          <w:bCs/>
          <w:szCs w:val="21"/>
          <w:highlight w:val="none"/>
        </w:rPr>
      </w:pPr>
    </w:p>
    <w:p>
      <w:pPr>
        <w:spacing w:line="360" w:lineRule="auto"/>
        <w:rPr>
          <w:rFonts w:hint="default" w:ascii="Times New Roman" w:hAnsi="Times New Roman" w:cs="Times New Roman"/>
          <w:bCs/>
          <w:szCs w:val="21"/>
          <w:highlight w:val="none"/>
        </w:rPr>
      </w:pPr>
    </w:p>
    <w:p>
      <w:pPr>
        <w:spacing w:line="360" w:lineRule="auto"/>
        <w:rPr>
          <w:rFonts w:hint="default" w:ascii="Times New Roman" w:hAnsi="Times New Roman" w:cs="Times New Roman"/>
          <w:bCs/>
          <w:szCs w:val="21"/>
          <w:highlight w:val="none"/>
        </w:rPr>
      </w:pPr>
    </w:p>
    <w:p>
      <w:pPr>
        <w:spacing w:line="360" w:lineRule="auto"/>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投标人全称（盖公章）：</w:t>
      </w:r>
    </w:p>
    <w:p>
      <w:pPr>
        <w:spacing w:line="360" w:lineRule="auto"/>
        <w:rPr>
          <w:rFonts w:hint="default" w:ascii="Times New Roman" w:hAnsi="Times New Roman" w:cs="Times New Roman"/>
          <w:bCs/>
          <w:szCs w:val="21"/>
          <w:highlight w:val="none"/>
        </w:rPr>
      </w:pPr>
      <w:r>
        <w:rPr>
          <w:rFonts w:hint="default" w:ascii="Times New Roman" w:hAnsi="Times New Roman" w:cs="Times New Roman"/>
          <w:bCs/>
          <w:szCs w:val="21"/>
          <w:highlight w:val="none"/>
        </w:rPr>
        <w:t>投标人法定代表人（</w:t>
      </w:r>
      <w:r>
        <w:rPr>
          <w:rFonts w:hint="default" w:ascii="Times New Roman" w:hAnsi="Times New Roman" w:cs="Times New Roman"/>
          <w:bCs/>
          <w:szCs w:val="21"/>
          <w:highlight w:val="none"/>
          <w:lang w:val="en-US" w:eastAsia="zh-CN"/>
        </w:rPr>
        <w:t>签字</w:t>
      </w:r>
      <w:r>
        <w:rPr>
          <w:rFonts w:hint="default" w:ascii="Times New Roman" w:hAnsi="Times New Roman" w:cs="Times New Roman"/>
          <w:bCs/>
          <w:szCs w:val="21"/>
          <w:highlight w:val="none"/>
          <w:lang w:val="en-US" w:eastAsia="zh-CN"/>
        </w:rPr>
        <w:t>或盖章</w:t>
      </w:r>
      <w:r>
        <w:rPr>
          <w:rFonts w:hint="default" w:ascii="Times New Roman" w:hAnsi="Times New Roman" w:cs="Times New Roman"/>
          <w:bCs/>
          <w:szCs w:val="21"/>
          <w:highlight w:val="none"/>
        </w:rPr>
        <w:t xml:space="preserve">）：                       </w:t>
      </w:r>
    </w:p>
    <w:p>
      <w:pPr>
        <w:spacing w:line="360" w:lineRule="auto"/>
        <w:rPr>
          <w:rFonts w:hint="default" w:ascii="Times New Roman" w:hAnsi="Times New Roman" w:cs="Times New Roman"/>
          <w:bCs/>
          <w:szCs w:val="21"/>
          <w:highlight w:val="none"/>
        </w:rPr>
      </w:pPr>
      <w:r>
        <w:rPr>
          <w:rFonts w:hint="default" w:ascii="Times New Roman" w:hAnsi="Times New Roman" w:cs="Times New Roman"/>
          <w:bCs/>
          <w:szCs w:val="21"/>
          <w:highlight w:val="none"/>
        </w:rPr>
        <w:t>日期：年  月  日</w:t>
      </w: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center"/>
        <w:rPr>
          <w:rFonts w:hint="default" w:ascii="Times New Roman" w:hAnsi="Times New Roman" w:cs="Times New Roman"/>
          <w:b/>
          <w:szCs w:val="21"/>
          <w:highlight w:val="none"/>
        </w:rPr>
      </w:pPr>
    </w:p>
    <w:p>
      <w:pPr>
        <w:spacing w:line="360" w:lineRule="auto"/>
        <w:jc w:val="left"/>
        <w:rPr>
          <w:rFonts w:hint="default" w:ascii="Times New Roman" w:hAnsi="Times New Roman" w:cs="Times New Roman"/>
          <w:b/>
          <w:szCs w:val="21"/>
          <w:highlight w:val="none"/>
        </w:rPr>
      </w:pPr>
      <w:r>
        <w:rPr>
          <w:rFonts w:hint="default" w:ascii="Times New Roman" w:hAnsi="Times New Roman" w:cs="Times New Roman"/>
          <w:b/>
          <w:szCs w:val="21"/>
          <w:highlight w:val="none"/>
        </w:rPr>
        <w:br w:type="page"/>
      </w:r>
      <w:r>
        <w:rPr>
          <w:rFonts w:hint="default" w:ascii="Times New Roman" w:hAnsi="Times New Roman" w:cs="Times New Roman"/>
          <w:b/>
          <w:szCs w:val="21"/>
          <w:highlight w:val="none"/>
        </w:rPr>
        <w:t>格式八：</w:t>
      </w:r>
    </w:p>
    <w:p>
      <w:pPr>
        <w:spacing w:line="360" w:lineRule="auto"/>
        <w:jc w:val="center"/>
        <w:outlineLvl w:val="9"/>
        <w:rPr>
          <w:rFonts w:hint="default" w:ascii="Times New Roman" w:hAnsi="Times New Roman" w:cs="Times New Roman"/>
          <w:b/>
          <w:sz w:val="24"/>
          <w:highlight w:val="none"/>
        </w:rPr>
      </w:pPr>
      <w:bookmarkStart w:id="135" w:name="_Toc15794"/>
      <w:bookmarkStart w:id="136" w:name="_Toc18533"/>
      <w:r>
        <w:rPr>
          <w:rFonts w:hint="default" w:ascii="Times New Roman" w:hAnsi="Times New Roman" w:cs="Times New Roman"/>
          <w:b/>
          <w:sz w:val="24"/>
          <w:highlight w:val="none"/>
        </w:rPr>
        <w:t>法定代表人授权委托书</w:t>
      </w:r>
      <w:bookmarkEnd w:id="135"/>
      <w:bookmarkEnd w:id="136"/>
    </w:p>
    <w:p>
      <w:pPr>
        <w:spacing w:line="360" w:lineRule="auto"/>
        <w:jc w:val="center"/>
        <w:rPr>
          <w:rFonts w:hint="default" w:ascii="Times New Roman" w:hAnsi="Times New Roman" w:cs="Times New Roman"/>
          <w:b/>
          <w:szCs w:val="21"/>
          <w:highlight w:val="none"/>
        </w:rPr>
      </w:pP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u w:val="single"/>
        </w:rPr>
        <w:t>致 （代理机构）</w:t>
      </w:r>
      <w:r>
        <w:rPr>
          <w:rFonts w:hint="default" w:ascii="Times New Roman" w:hAnsi="Times New Roman" w:cs="Times New Roman"/>
          <w:szCs w:val="21"/>
          <w:highlight w:val="none"/>
        </w:rPr>
        <w:t>：</w:t>
      </w: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w:t>
      </w:r>
      <w:r>
        <w:rPr>
          <w:rFonts w:hint="default" w:ascii="Times New Roman" w:hAnsi="Times New Roman" w:cs="Times New Roman"/>
          <w:szCs w:val="21"/>
          <w:highlight w:val="none"/>
          <w:u w:val="single"/>
        </w:rPr>
        <w:t xml:space="preserve">  （投标人全称）   </w:t>
      </w:r>
      <w:r>
        <w:rPr>
          <w:rFonts w:hint="default" w:ascii="Times New Roman" w:hAnsi="Times New Roman" w:cs="Times New Roman"/>
          <w:szCs w:val="21"/>
          <w:highlight w:val="none"/>
        </w:rPr>
        <w:t>法定代表人</w:t>
      </w:r>
      <w:r>
        <w:rPr>
          <w:rFonts w:hint="default" w:ascii="Times New Roman" w:hAnsi="Times New Roman" w:cs="Times New Roman"/>
          <w:szCs w:val="21"/>
          <w:highlight w:val="none"/>
          <w:u w:val="single"/>
        </w:rPr>
        <w:t xml:space="preserve"> （姓名、职务） </w:t>
      </w:r>
      <w:r>
        <w:rPr>
          <w:rFonts w:hint="default" w:ascii="Times New Roman" w:hAnsi="Times New Roman" w:cs="Times New Roman"/>
          <w:szCs w:val="21"/>
          <w:highlight w:val="none"/>
        </w:rPr>
        <w:t>授权</w:t>
      </w:r>
      <w:r>
        <w:rPr>
          <w:rFonts w:hint="default" w:ascii="Times New Roman" w:hAnsi="Times New Roman" w:cs="Times New Roman"/>
          <w:szCs w:val="21"/>
          <w:highlight w:val="none"/>
          <w:u w:val="single"/>
        </w:rPr>
        <w:t xml:space="preserve"> （授权代表姓名、职务）</w:t>
      </w:r>
      <w:r>
        <w:rPr>
          <w:rFonts w:hint="default" w:ascii="Times New Roman" w:hAnsi="Times New Roman" w:cs="Times New Roman"/>
          <w:szCs w:val="21"/>
          <w:highlight w:val="none"/>
        </w:rPr>
        <w:t>为本公司合法代理人，参加贵招标代理公司组织的</w:t>
      </w:r>
      <w:r>
        <w:rPr>
          <w:rFonts w:hint="default" w:ascii="Times New Roman" w:hAnsi="Times New Roman" w:cs="Times New Roman"/>
          <w:szCs w:val="21"/>
          <w:highlight w:val="none"/>
          <w:u w:val="single"/>
        </w:rPr>
        <w:t xml:space="preserve"> （项目编号、项目名称)  </w:t>
      </w:r>
      <w:r>
        <w:rPr>
          <w:rFonts w:hint="default" w:ascii="Times New Roman" w:hAnsi="Times New Roman" w:cs="Times New Roman"/>
          <w:szCs w:val="21"/>
          <w:highlight w:val="none"/>
        </w:rPr>
        <w:t>项目的招标投标活动，代表本公司处理招标投标活动中的一切事宜。</w:t>
      </w: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本授权书于</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年</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月</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日签字或盖章生效，特此声明。</w:t>
      </w: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pStyle w:val="3"/>
        <w:widowControl/>
        <w:spacing w:line="360" w:lineRule="auto"/>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                                         投标人全称（盖公章）：</w:t>
      </w:r>
    </w:p>
    <w:p>
      <w:pPr>
        <w:pStyle w:val="3"/>
        <w:widowControl/>
        <w:spacing w:line="360" w:lineRule="auto"/>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                                         投标人法定代表人（签字或盖章）：</w:t>
      </w:r>
    </w:p>
    <w:p>
      <w:pPr>
        <w:pStyle w:val="3"/>
        <w:spacing w:line="360" w:lineRule="auto"/>
        <w:rPr>
          <w:rFonts w:hint="default" w:ascii="Times New Roman" w:hAnsi="Times New Roman" w:cs="Times New Roman"/>
          <w:b/>
          <w:sz w:val="21"/>
          <w:szCs w:val="21"/>
          <w:highlight w:val="none"/>
        </w:rPr>
      </w:pPr>
      <w:r>
        <w:rPr>
          <w:rFonts w:hint="default" w:ascii="Times New Roman" w:hAnsi="Times New Roman" w:cs="Times New Roman"/>
          <w:sz w:val="21"/>
          <w:szCs w:val="21"/>
          <w:highlight w:val="none"/>
        </w:rPr>
        <w:t xml:space="preserve">                                         日期：年  月  日</w:t>
      </w: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附：</w:t>
      </w: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授权代表姓名：</w:t>
      </w: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职        务：</w:t>
      </w:r>
    </w:p>
    <w:p>
      <w:pPr>
        <w:spacing w:line="360" w:lineRule="auto"/>
        <w:ind w:firstLine="210" w:firstLineChars="100"/>
        <w:rPr>
          <w:rFonts w:hint="default" w:ascii="Times New Roman" w:hAnsi="Times New Roman" w:cs="Times New Roman"/>
          <w:szCs w:val="21"/>
          <w:highlight w:val="none"/>
        </w:rPr>
      </w:pPr>
      <w:r>
        <w:rPr>
          <w:rFonts w:hint="default" w:ascii="Times New Roman" w:hAnsi="Times New Roman" w:cs="Times New Roman"/>
          <w:szCs w:val="21"/>
          <w:highlight w:val="none"/>
        </w:rPr>
        <w:t>授权代表</w:t>
      </w:r>
      <w:r>
        <w:rPr>
          <w:rFonts w:hint="default" w:ascii="Times New Roman" w:hAnsi="Times New Roman" w:cs="Times New Roman"/>
          <w:bCs/>
          <w:szCs w:val="21"/>
          <w:highlight w:val="none"/>
          <w:lang w:val="en-US" w:eastAsia="zh-CN"/>
        </w:rPr>
        <w:t>签字或盖章</w:t>
      </w:r>
      <w:r>
        <w:rPr>
          <w:rFonts w:hint="default" w:ascii="Times New Roman" w:hAnsi="Times New Roman" w:cs="Times New Roman"/>
          <w:szCs w:val="21"/>
          <w:highlight w:val="none"/>
        </w:rPr>
        <w:t>：</w:t>
      </w: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详细通讯地址：</w:t>
      </w: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邮 政 编  码：</w:t>
      </w: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传        真：</w:t>
      </w:r>
    </w:p>
    <w:p>
      <w:pPr>
        <w:spacing w:line="360" w:lineRule="auto"/>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电        话：</w:t>
      </w:r>
    </w:p>
    <w:p>
      <w:pPr>
        <w:spacing w:line="360" w:lineRule="auto"/>
        <w:jc w:val="center"/>
        <w:rPr>
          <w:rFonts w:hint="default" w:ascii="Times New Roman" w:hAnsi="Times New Roman" w:cs="Times New Roman"/>
          <w:szCs w:val="21"/>
          <w:highlight w:val="none"/>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noWrap w:val="0"/>
            <w:vAlign w:val="top"/>
          </w:tcPr>
          <w:p>
            <w:pPr>
              <w:spacing w:line="360" w:lineRule="auto"/>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此处请附法定代表人和授权代表的身份证复印件并加盖公章，也可另起一页。</w:t>
            </w:r>
          </w:p>
          <w:p>
            <w:pPr>
              <w:spacing w:line="360" w:lineRule="auto"/>
              <w:ind w:firstLine="316" w:firstLineChars="150"/>
              <w:rPr>
                <w:rFonts w:hint="default" w:ascii="Times New Roman" w:hAnsi="Times New Roman" w:cs="Times New Roman"/>
                <w:szCs w:val="21"/>
                <w:highlight w:val="none"/>
              </w:rPr>
            </w:pPr>
            <w:r>
              <w:rPr>
                <w:rFonts w:hint="default" w:ascii="Times New Roman" w:hAnsi="Times New Roman" w:cs="Times New Roman"/>
                <w:b/>
                <w:bCs/>
                <w:szCs w:val="21"/>
                <w:highlight w:val="none"/>
              </w:rPr>
              <w:t>另请提供投标人代表的社保部门出具的开标日近三个月内任意一个月的社保证明。</w:t>
            </w:r>
          </w:p>
        </w:tc>
      </w:tr>
    </w:tbl>
    <w:p>
      <w:pPr>
        <w:spacing w:line="360" w:lineRule="auto"/>
        <w:ind w:firstLine="3150" w:firstLineChars="1500"/>
        <w:rPr>
          <w:rFonts w:hint="default" w:ascii="Times New Roman" w:hAnsi="Times New Roman" w:cs="Times New Roman"/>
          <w:szCs w:val="21"/>
          <w:highlight w:val="none"/>
        </w:rPr>
      </w:pPr>
    </w:p>
    <w:p>
      <w:pPr>
        <w:spacing w:line="360" w:lineRule="auto"/>
        <w:rPr>
          <w:rFonts w:hint="default" w:ascii="Times New Roman" w:hAnsi="Times New Roman" w:eastAsia="宋体" w:cs="Times New Roman"/>
          <w:b/>
          <w:bCs w:val="0"/>
          <w:szCs w:val="21"/>
          <w:highlight w:val="none"/>
        </w:rPr>
      </w:pPr>
    </w:p>
    <w:p>
      <w:pPr>
        <w:spacing w:line="360" w:lineRule="auto"/>
        <w:rPr>
          <w:rFonts w:hint="default" w:ascii="Times New Roman" w:hAnsi="Times New Roman" w:eastAsia="宋体" w:cs="Times New Roman"/>
          <w:b/>
          <w:bCs w:val="0"/>
          <w:szCs w:val="21"/>
          <w:highlight w:val="none"/>
        </w:rPr>
      </w:pPr>
      <w:r>
        <w:rPr>
          <w:rFonts w:hint="default" w:ascii="Times New Roman" w:hAnsi="Times New Roman" w:eastAsia="宋体" w:cs="Times New Roman"/>
          <w:b/>
          <w:bCs w:val="0"/>
          <w:szCs w:val="21"/>
          <w:highlight w:val="none"/>
        </w:rPr>
        <w:t>说明：法定代表人参加本项目的</w:t>
      </w:r>
      <w:r>
        <w:rPr>
          <w:rFonts w:hint="default" w:ascii="Times New Roman" w:hAnsi="Times New Roman" w:eastAsia="宋体" w:cs="Times New Roman"/>
          <w:b/>
          <w:bCs w:val="0"/>
          <w:szCs w:val="21"/>
          <w:highlight w:val="none"/>
          <w:lang w:eastAsia="zh-CN"/>
        </w:rPr>
        <w:t>，</w:t>
      </w:r>
      <w:r>
        <w:rPr>
          <w:rFonts w:hint="default" w:ascii="Times New Roman" w:hAnsi="Times New Roman" w:eastAsia="宋体" w:cs="Times New Roman"/>
          <w:b/>
          <w:bCs w:val="0"/>
          <w:szCs w:val="21"/>
          <w:highlight w:val="none"/>
          <w:lang w:val="en-US" w:eastAsia="zh-CN"/>
        </w:rPr>
        <w:t>无须提供本授权委托书</w:t>
      </w:r>
      <w:r>
        <w:rPr>
          <w:rFonts w:hint="default" w:ascii="Times New Roman" w:hAnsi="Times New Roman" w:eastAsia="宋体" w:cs="Times New Roman"/>
          <w:b/>
          <w:bCs w:val="0"/>
          <w:szCs w:val="21"/>
          <w:highlight w:val="none"/>
        </w:rPr>
        <w:t>。</w:t>
      </w: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br w:type="page"/>
      </w:r>
      <w:r>
        <w:rPr>
          <w:rFonts w:hint="default" w:ascii="Times New Roman" w:hAnsi="Times New Roman" w:cs="Times New Roman"/>
          <w:b/>
          <w:bCs/>
          <w:szCs w:val="21"/>
          <w:highlight w:val="none"/>
        </w:rPr>
        <w:t>格式九：</w:t>
      </w:r>
    </w:p>
    <w:p>
      <w:pPr>
        <w:spacing w:line="360" w:lineRule="auto"/>
        <w:jc w:val="center"/>
        <w:outlineLvl w:val="9"/>
        <w:rPr>
          <w:rFonts w:hint="default" w:ascii="Times New Roman" w:hAnsi="Times New Roman" w:cs="Times New Roman"/>
          <w:sz w:val="24"/>
          <w:highlight w:val="none"/>
        </w:rPr>
      </w:pPr>
      <w:bookmarkStart w:id="137" w:name="_Toc18435"/>
      <w:bookmarkStart w:id="138" w:name="_Toc2331"/>
      <w:r>
        <w:rPr>
          <w:rFonts w:hint="default" w:ascii="Times New Roman" w:hAnsi="Times New Roman" w:cs="Times New Roman"/>
          <w:b/>
          <w:bCs/>
          <w:sz w:val="24"/>
          <w:highlight w:val="none"/>
        </w:rPr>
        <w:t>商务条款响应（偏离）表</w:t>
      </w:r>
      <w:bookmarkEnd w:id="137"/>
      <w:bookmarkEnd w:id="138"/>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u w:val="single"/>
        </w:rPr>
      </w:pPr>
      <w:r>
        <w:rPr>
          <w:rFonts w:hint="default" w:ascii="Times New Roman" w:hAnsi="Times New Roman" w:cs="Times New Roman"/>
          <w:szCs w:val="21"/>
          <w:highlight w:val="none"/>
        </w:rPr>
        <w:t>项目名称：</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项目编号：</w:t>
      </w:r>
      <w:r>
        <w:rPr>
          <w:rFonts w:hint="default" w:ascii="Times New Roman" w:hAnsi="Times New Roman" w:cs="Times New Roman"/>
          <w:szCs w:val="21"/>
          <w:highlight w:val="none"/>
          <w:u w:val="single"/>
        </w:rPr>
        <w:t xml:space="preserve">                      </w:t>
      </w: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700"/>
        <w:gridCol w:w="1260"/>
        <w:gridCol w:w="3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8" w:type="dxa"/>
            <w:noWrap w:val="0"/>
            <w:vAlign w:val="center"/>
          </w:tcPr>
          <w:p>
            <w:pPr>
              <w:spacing w:line="400" w:lineRule="exac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项目</w:t>
            </w:r>
          </w:p>
        </w:tc>
        <w:tc>
          <w:tcPr>
            <w:tcW w:w="2700" w:type="dxa"/>
            <w:noWrap w:val="0"/>
            <w:vAlign w:val="center"/>
          </w:tcPr>
          <w:p>
            <w:pPr>
              <w:spacing w:line="400" w:lineRule="exac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采购文件要求</w:t>
            </w:r>
          </w:p>
        </w:tc>
        <w:tc>
          <w:tcPr>
            <w:tcW w:w="1260" w:type="dxa"/>
            <w:noWrap w:val="0"/>
            <w:vAlign w:val="center"/>
          </w:tcPr>
          <w:p>
            <w:pPr>
              <w:spacing w:line="400" w:lineRule="exac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是否响应</w:t>
            </w:r>
          </w:p>
        </w:tc>
        <w:tc>
          <w:tcPr>
            <w:tcW w:w="3020" w:type="dxa"/>
            <w:noWrap w:val="0"/>
            <w:vAlign w:val="center"/>
          </w:tcPr>
          <w:p>
            <w:pPr>
              <w:spacing w:line="400" w:lineRule="exact"/>
              <w:jc w:val="center"/>
              <w:rPr>
                <w:rFonts w:hint="default" w:ascii="Times New Roman" w:hAnsi="Times New Roman" w:cs="Times New Roman"/>
                <w:b/>
                <w:szCs w:val="21"/>
                <w:highlight w:val="none"/>
              </w:rPr>
            </w:pPr>
            <w:r>
              <w:rPr>
                <w:rFonts w:hint="default" w:ascii="Times New Roman" w:hAnsi="Times New Roman" w:cs="Times New Roman"/>
                <w:b/>
                <w:szCs w:val="21"/>
                <w:highlight w:val="none"/>
              </w:rPr>
              <w:t>投标人的承诺或说明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8" w:type="dxa"/>
            <w:noWrap w:val="0"/>
            <w:vAlign w:val="center"/>
          </w:tcPr>
          <w:p>
            <w:pPr>
              <w:spacing w:line="400" w:lineRule="exact"/>
              <w:rPr>
                <w:rFonts w:hint="default" w:ascii="Times New Roman" w:hAnsi="Times New Roman" w:cs="Times New Roman"/>
                <w:szCs w:val="21"/>
                <w:highlight w:val="none"/>
              </w:rPr>
            </w:pPr>
          </w:p>
        </w:tc>
        <w:tc>
          <w:tcPr>
            <w:tcW w:w="2700" w:type="dxa"/>
            <w:noWrap w:val="0"/>
            <w:vAlign w:val="center"/>
          </w:tcPr>
          <w:p>
            <w:pPr>
              <w:spacing w:line="400" w:lineRule="exact"/>
              <w:rPr>
                <w:rFonts w:hint="default" w:ascii="Times New Roman" w:hAnsi="Times New Roman" w:cs="Times New Roman"/>
                <w:szCs w:val="21"/>
                <w:highlight w:val="none"/>
              </w:rPr>
            </w:pPr>
          </w:p>
        </w:tc>
        <w:tc>
          <w:tcPr>
            <w:tcW w:w="1260" w:type="dxa"/>
            <w:noWrap w:val="0"/>
            <w:vAlign w:val="center"/>
          </w:tcPr>
          <w:p>
            <w:pPr>
              <w:spacing w:line="400" w:lineRule="exact"/>
              <w:rPr>
                <w:rFonts w:hint="default" w:ascii="Times New Roman" w:hAnsi="Times New Roman" w:cs="Times New Roman"/>
                <w:szCs w:val="21"/>
                <w:highlight w:val="none"/>
              </w:rPr>
            </w:pPr>
          </w:p>
        </w:tc>
        <w:tc>
          <w:tcPr>
            <w:tcW w:w="3020" w:type="dxa"/>
            <w:noWrap w:val="0"/>
            <w:vAlign w:val="center"/>
          </w:tcPr>
          <w:p>
            <w:pPr>
              <w:spacing w:line="400" w:lineRule="exact"/>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8" w:type="dxa"/>
            <w:noWrap w:val="0"/>
            <w:vAlign w:val="center"/>
          </w:tcPr>
          <w:p>
            <w:pPr>
              <w:spacing w:line="400" w:lineRule="exact"/>
              <w:rPr>
                <w:rFonts w:hint="default" w:ascii="Times New Roman" w:hAnsi="Times New Roman" w:cs="Times New Roman"/>
                <w:szCs w:val="21"/>
                <w:highlight w:val="none"/>
              </w:rPr>
            </w:pPr>
          </w:p>
        </w:tc>
        <w:tc>
          <w:tcPr>
            <w:tcW w:w="2700" w:type="dxa"/>
            <w:noWrap w:val="0"/>
            <w:vAlign w:val="center"/>
          </w:tcPr>
          <w:p>
            <w:pPr>
              <w:spacing w:line="400" w:lineRule="exact"/>
              <w:rPr>
                <w:rFonts w:hint="default" w:ascii="Times New Roman" w:hAnsi="Times New Roman" w:cs="Times New Roman"/>
                <w:szCs w:val="21"/>
                <w:highlight w:val="none"/>
              </w:rPr>
            </w:pPr>
          </w:p>
        </w:tc>
        <w:tc>
          <w:tcPr>
            <w:tcW w:w="1260" w:type="dxa"/>
            <w:noWrap w:val="0"/>
            <w:vAlign w:val="center"/>
          </w:tcPr>
          <w:p>
            <w:pPr>
              <w:spacing w:line="400" w:lineRule="exact"/>
              <w:rPr>
                <w:rFonts w:hint="default" w:ascii="Times New Roman" w:hAnsi="Times New Roman" w:cs="Times New Roman"/>
                <w:szCs w:val="21"/>
                <w:highlight w:val="none"/>
              </w:rPr>
            </w:pPr>
          </w:p>
        </w:tc>
        <w:tc>
          <w:tcPr>
            <w:tcW w:w="3020" w:type="dxa"/>
            <w:noWrap w:val="0"/>
            <w:vAlign w:val="center"/>
          </w:tcPr>
          <w:p>
            <w:pPr>
              <w:spacing w:line="400" w:lineRule="exact"/>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8" w:type="dxa"/>
            <w:noWrap w:val="0"/>
            <w:vAlign w:val="center"/>
          </w:tcPr>
          <w:p>
            <w:pPr>
              <w:spacing w:line="400" w:lineRule="exact"/>
              <w:rPr>
                <w:rFonts w:hint="default" w:ascii="Times New Roman" w:hAnsi="Times New Roman" w:cs="Times New Roman"/>
                <w:szCs w:val="21"/>
                <w:highlight w:val="none"/>
              </w:rPr>
            </w:pPr>
          </w:p>
        </w:tc>
        <w:tc>
          <w:tcPr>
            <w:tcW w:w="2700" w:type="dxa"/>
            <w:noWrap w:val="0"/>
            <w:vAlign w:val="center"/>
          </w:tcPr>
          <w:p>
            <w:pPr>
              <w:spacing w:line="400" w:lineRule="exact"/>
              <w:rPr>
                <w:rFonts w:hint="default" w:ascii="Times New Roman" w:hAnsi="Times New Roman" w:cs="Times New Roman"/>
                <w:szCs w:val="21"/>
                <w:highlight w:val="none"/>
              </w:rPr>
            </w:pPr>
          </w:p>
        </w:tc>
        <w:tc>
          <w:tcPr>
            <w:tcW w:w="1260" w:type="dxa"/>
            <w:noWrap w:val="0"/>
            <w:vAlign w:val="center"/>
          </w:tcPr>
          <w:p>
            <w:pPr>
              <w:spacing w:line="400" w:lineRule="exact"/>
              <w:rPr>
                <w:rFonts w:hint="default" w:ascii="Times New Roman" w:hAnsi="Times New Roman" w:cs="Times New Roman"/>
                <w:szCs w:val="21"/>
                <w:highlight w:val="none"/>
              </w:rPr>
            </w:pPr>
          </w:p>
        </w:tc>
        <w:tc>
          <w:tcPr>
            <w:tcW w:w="3020" w:type="dxa"/>
            <w:noWrap w:val="0"/>
            <w:vAlign w:val="center"/>
          </w:tcPr>
          <w:p>
            <w:pPr>
              <w:spacing w:line="400" w:lineRule="exact"/>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8" w:type="dxa"/>
            <w:noWrap w:val="0"/>
            <w:vAlign w:val="center"/>
          </w:tcPr>
          <w:p>
            <w:pPr>
              <w:spacing w:line="400" w:lineRule="exact"/>
              <w:rPr>
                <w:rFonts w:hint="default" w:ascii="Times New Roman" w:hAnsi="Times New Roman" w:cs="Times New Roman"/>
                <w:szCs w:val="21"/>
                <w:highlight w:val="none"/>
              </w:rPr>
            </w:pPr>
          </w:p>
        </w:tc>
        <w:tc>
          <w:tcPr>
            <w:tcW w:w="2700" w:type="dxa"/>
            <w:noWrap w:val="0"/>
            <w:vAlign w:val="center"/>
          </w:tcPr>
          <w:p>
            <w:pPr>
              <w:spacing w:line="400" w:lineRule="exact"/>
              <w:rPr>
                <w:rFonts w:hint="default" w:ascii="Times New Roman" w:hAnsi="Times New Roman" w:cs="Times New Roman"/>
                <w:szCs w:val="21"/>
                <w:highlight w:val="none"/>
              </w:rPr>
            </w:pPr>
          </w:p>
        </w:tc>
        <w:tc>
          <w:tcPr>
            <w:tcW w:w="1260" w:type="dxa"/>
            <w:noWrap w:val="0"/>
            <w:vAlign w:val="center"/>
          </w:tcPr>
          <w:p>
            <w:pPr>
              <w:spacing w:line="400" w:lineRule="exact"/>
              <w:rPr>
                <w:rFonts w:hint="default" w:ascii="Times New Roman" w:hAnsi="Times New Roman" w:cs="Times New Roman"/>
                <w:szCs w:val="21"/>
                <w:highlight w:val="none"/>
              </w:rPr>
            </w:pPr>
          </w:p>
        </w:tc>
        <w:tc>
          <w:tcPr>
            <w:tcW w:w="3020" w:type="dxa"/>
            <w:noWrap w:val="0"/>
            <w:vAlign w:val="center"/>
          </w:tcPr>
          <w:p>
            <w:pPr>
              <w:spacing w:line="400" w:lineRule="exact"/>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8" w:type="dxa"/>
            <w:noWrap w:val="0"/>
            <w:vAlign w:val="center"/>
          </w:tcPr>
          <w:p>
            <w:pPr>
              <w:spacing w:line="400" w:lineRule="exact"/>
              <w:rPr>
                <w:rFonts w:hint="default" w:ascii="Times New Roman" w:hAnsi="Times New Roman" w:cs="Times New Roman"/>
                <w:szCs w:val="21"/>
                <w:highlight w:val="none"/>
              </w:rPr>
            </w:pPr>
          </w:p>
        </w:tc>
        <w:tc>
          <w:tcPr>
            <w:tcW w:w="2700" w:type="dxa"/>
            <w:noWrap w:val="0"/>
            <w:vAlign w:val="center"/>
          </w:tcPr>
          <w:p>
            <w:pPr>
              <w:spacing w:line="400" w:lineRule="exact"/>
              <w:rPr>
                <w:rFonts w:hint="default" w:ascii="Times New Roman" w:hAnsi="Times New Roman" w:cs="Times New Roman"/>
                <w:szCs w:val="21"/>
                <w:highlight w:val="none"/>
              </w:rPr>
            </w:pPr>
          </w:p>
        </w:tc>
        <w:tc>
          <w:tcPr>
            <w:tcW w:w="1260" w:type="dxa"/>
            <w:noWrap w:val="0"/>
            <w:vAlign w:val="center"/>
          </w:tcPr>
          <w:p>
            <w:pPr>
              <w:spacing w:line="400" w:lineRule="exact"/>
              <w:rPr>
                <w:rFonts w:hint="default" w:ascii="Times New Roman" w:hAnsi="Times New Roman" w:cs="Times New Roman"/>
                <w:szCs w:val="21"/>
                <w:highlight w:val="none"/>
              </w:rPr>
            </w:pPr>
          </w:p>
        </w:tc>
        <w:tc>
          <w:tcPr>
            <w:tcW w:w="3020" w:type="dxa"/>
            <w:noWrap w:val="0"/>
            <w:vAlign w:val="center"/>
          </w:tcPr>
          <w:p>
            <w:pPr>
              <w:spacing w:line="400" w:lineRule="exact"/>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8" w:type="dxa"/>
            <w:noWrap w:val="0"/>
            <w:vAlign w:val="center"/>
          </w:tcPr>
          <w:p>
            <w:pPr>
              <w:spacing w:line="400" w:lineRule="exact"/>
              <w:rPr>
                <w:rFonts w:hint="default" w:ascii="Times New Roman" w:hAnsi="Times New Roman" w:cs="Times New Roman"/>
                <w:szCs w:val="21"/>
                <w:highlight w:val="none"/>
              </w:rPr>
            </w:pPr>
          </w:p>
        </w:tc>
        <w:tc>
          <w:tcPr>
            <w:tcW w:w="2700" w:type="dxa"/>
            <w:noWrap w:val="0"/>
            <w:vAlign w:val="center"/>
          </w:tcPr>
          <w:p>
            <w:pPr>
              <w:spacing w:line="400" w:lineRule="exact"/>
              <w:rPr>
                <w:rFonts w:hint="default" w:ascii="Times New Roman" w:hAnsi="Times New Roman" w:cs="Times New Roman"/>
                <w:szCs w:val="21"/>
                <w:highlight w:val="none"/>
              </w:rPr>
            </w:pPr>
          </w:p>
        </w:tc>
        <w:tc>
          <w:tcPr>
            <w:tcW w:w="1260" w:type="dxa"/>
            <w:noWrap w:val="0"/>
            <w:vAlign w:val="center"/>
          </w:tcPr>
          <w:p>
            <w:pPr>
              <w:spacing w:line="400" w:lineRule="exact"/>
              <w:rPr>
                <w:rFonts w:hint="default" w:ascii="Times New Roman" w:hAnsi="Times New Roman" w:cs="Times New Roman"/>
                <w:szCs w:val="21"/>
                <w:highlight w:val="none"/>
              </w:rPr>
            </w:pPr>
          </w:p>
        </w:tc>
        <w:tc>
          <w:tcPr>
            <w:tcW w:w="3020" w:type="dxa"/>
            <w:noWrap w:val="0"/>
            <w:vAlign w:val="center"/>
          </w:tcPr>
          <w:p>
            <w:pPr>
              <w:spacing w:line="400" w:lineRule="exact"/>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8" w:type="dxa"/>
            <w:noWrap w:val="0"/>
            <w:vAlign w:val="center"/>
          </w:tcPr>
          <w:p>
            <w:pPr>
              <w:spacing w:line="400" w:lineRule="exact"/>
              <w:rPr>
                <w:rFonts w:hint="default" w:ascii="Times New Roman" w:hAnsi="Times New Roman" w:cs="Times New Roman"/>
                <w:szCs w:val="21"/>
                <w:highlight w:val="none"/>
              </w:rPr>
            </w:pPr>
          </w:p>
        </w:tc>
        <w:tc>
          <w:tcPr>
            <w:tcW w:w="2700" w:type="dxa"/>
            <w:noWrap w:val="0"/>
            <w:vAlign w:val="center"/>
          </w:tcPr>
          <w:p>
            <w:pPr>
              <w:spacing w:line="400" w:lineRule="exact"/>
              <w:rPr>
                <w:rFonts w:hint="default" w:ascii="Times New Roman" w:hAnsi="Times New Roman" w:cs="Times New Roman"/>
                <w:szCs w:val="21"/>
                <w:highlight w:val="none"/>
              </w:rPr>
            </w:pPr>
          </w:p>
        </w:tc>
        <w:tc>
          <w:tcPr>
            <w:tcW w:w="1260" w:type="dxa"/>
            <w:noWrap w:val="0"/>
            <w:vAlign w:val="center"/>
          </w:tcPr>
          <w:p>
            <w:pPr>
              <w:spacing w:line="400" w:lineRule="exact"/>
              <w:rPr>
                <w:rFonts w:hint="default" w:ascii="Times New Roman" w:hAnsi="Times New Roman" w:cs="Times New Roman"/>
                <w:szCs w:val="21"/>
                <w:highlight w:val="none"/>
              </w:rPr>
            </w:pPr>
          </w:p>
        </w:tc>
        <w:tc>
          <w:tcPr>
            <w:tcW w:w="3020" w:type="dxa"/>
            <w:noWrap w:val="0"/>
            <w:vAlign w:val="center"/>
          </w:tcPr>
          <w:p>
            <w:pPr>
              <w:spacing w:line="400" w:lineRule="exact"/>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48" w:type="dxa"/>
            <w:noWrap w:val="0"/>
            <w:vAlign w:val="center"/>
          </w:tcPr>
          <w:p>
            <w:pPr>
              <w:spacing w:line="400" w:lineRule="exact"/>
              <w:rPr>
                <w:rFonts w:hint="default" w:ascii="Times New Roman" w:hAnsi="Times New Roman" w:cs="Times New Roman"/>
                <w:szCs w:val="21"/>
                <w:highlight w:val="none"/>
              </w:rPr>
            </w:pPr>
          </w:p>
        </w:tc>
        <w:tc>
          <w:tcPr>
            <w:tcW w:w="2700" w:type="dxa"/>
            <w:noWrap w:val="0"/>
            <w:vAlign w:val="center"/>
          </w:tcPr>
          <w:p>
            <w:pPr>
              <w:spacing w:line="400" w:lineRule="exact"/>
              <w:rPr>
                <w:rFonts w:hint="default" w:ascii="Times New Roman" w:hAnsi="Times New Roman" w:cs="Times New Roman"/>
                <w:szCs w:val="21"/>
                <w:highlight w:val="none"/>
              </w:rPr>
            </w:pPr>
          </w:p>
        </w:tc>
        <w:tc>
          <w:tcPr>
            <w:tcW w:w="1260" w:type="dxa"/>
            <w:noWrap w:val="0"/>
            <w:vAlign w:val="center"/>
          </w:tcPr>
          <w:p>
            <w:pPr>
              <w:spacing w:line="400" w:lineRule="exact"/>
              <w:rPr>
                <w:rFonts w:hint="default" w:ascii="Times New Roman" w:hAnsi="Times New Roman" w:cs="Times New Roman"/>
                <w:szCs w:val="21"/>
                <w:highlight w:val="none"/>
              </w:rPr>
            </w:pPr>
          </w:p>
        </w:tc>
        <w:tc>
          <w:tcPr>
            <w:tcW w:w="3020" w:type="dxa"/>
            <w:noWrap w:val="0"/>
            <w:vAlign w:val="center"/>
          </w:tcPr>
          <w:p>
            <w:pPr>
              <w:spacing w:line="400" w:lineRule="exact"/>
              <w:rPr>
                <w:rFonts w:hint="default" w:ascii="Times New Roman" w:hAnsi="Times New Roman" w:cs="Times New Roman"/>
                <w:szCs w:val="21"/>
                <w:highlight w:val="none"/>
              </w:rPr>
            </w:pPr>
          </w:p>
        </w:tc>
      </w:tr>
    </w:tbl>
    <w:p>
      <w:pPr>
        <w:pStyle w:val="18"/>
        <w:spacing w:line="360" w:lineRule="auto"/>
        <w:ind w:firstLine="0" w:firstLineChars="0"/>
        <w:rPr>
          <w:rFonts w:hint="default" w:ascii="Times New Roman" w:hAnsi="Times New Roman" w:cs="Times New Roman"/>
          <w:szCs w:val="21"/>
          <w:highlight w:val="none"/>
          <w:u w:val="single"/>
        </w:rPr>
      </w:pPr>
      <w:r>
        <w:rPr>
          <w:rFonts w:hint="default" w:ascii="Times New Roman" w:hAnsi="Times New Roman" w:cs="Times New Roman"/>
          <w:b/>
          <w:bCs/>
          <w:szCs w:val="21"/>
          <w:highlight w:val="none"/>
        </w:rPr>
        <w:t>注：1、本表根据第二章《招标需求》一、商务要求表的要求制作。2、若无偏离应在本表空白处醒目地注明“无商务条款偏离，完全响应采购文件要求”的类似字样。</w:t>
      </w:r>
    </w:p>
    <w:p>
      <w:pPr>
        <w:pStyle w:val="18"/>
        <w:ind w:firstLine="210"/>
        <w:rPr>
          <w:rFonts w:hint="default" w:ascii="Times New Roman" w:hAnsi="Times New Roman" w:cs="Times New Roman"/>
          <w:szCs w:val="21"/>
          <w:highlight w:val="none"/>
          <w:u w:val="single"/>
        </w:rPr>
      </w:pPr>
    </w:p>
    <w:p>
      <w:pPr>
        <w:pStyle w:val="3"/>
        <w:widowControl/>
        <w:spacing w:line="360" w:lineRule="auto"/>
        <w:jc w:val="left"/>
        <w:rPr>
          <w:rFonts w:hint="default" w:ascii="Times New Roman" w:hAnsi="Times New Roman" w:cs="Times New Roman"/>
          <w:sz w:val="21"/>
          <w:szCs w:val="21"/>
          <w:highlight w:val="none"/>
        </w:rPr>
      </w:pPr>
    </w:p>
    <w:p>
      <w:pPr>
        <w:pStyle w:val="3"/>
        <w:widowControl/>
        <w:spacing w:line="360" w:lineRule="auto"/>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投标人全称（盖公章）：</w:t>
      </w:r>
    </w:p>
    <w:p>
      <w:pPr>
        <w:pStyle w:val="3"/>
        <w:widowControl/>
        <w:spacing w:line="360" w:lineRule="auto"/>
        <w:jc w:val="left"/>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日期：年  月  日</w:t>
      </w: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b/>
          <w:szCs w:val="21"/>
          <w:highlight w:val="none"/>
        </w:rPr>
      </w:pPr>
      <w:r>
        <w:rPr>
          <w:rFonts w:hint="default" w:ascii="Times New Roman" w:hAnsi="Times New Roman" w:cs="Times New Roman"/>
          <w:szCs w:val="21"/>
          <w:highlight w:val="none"/>
        </w:rPr>
        <w:br w:type="page"/>
      </w:r>
      <w:r>
        <w:rPr>
          <w:rFonts w:hint="default" w:ascii="Times New Roman" w:hAnsi="Times New Roman" w:cs="Times New Roman"/>
          <w:b/>
          <w:szCs w:val="21"/>
          <w:highlight w:val="none"/>
        </w:rPr>
        <w:t>格式十：</w:t>
      </w:r>
    </w:p>
    <w:p>
      <w:pPr>
        <w:spacing w:line="360" w:lineRule="auto"/>
        <w:jc w:val="center"/>
        <w:outlineLvl w:val="9"/>
        <w:rPr>
          <w:rFonts w:hint="default" w:ascii="Times New Roman" w:hAnsi="Times New Roman" w:cs="Times New Roman"/>
          <w:sz w:val="24"/>
          <w:highlight w:val="none"/>
        </w:rPr>
      </w:pPr>
      <w:bookmarkStart w:id="139" w:name="_Toc8549"/>
      <w:bookmarkStart w:id="140" w:name="_Toc19691"/>
      <w:r>
        <w:rPr>
          <w:rFonts w:hint="default" w:ascii="Times New Roman" w:hAnsi="Times New Roman" w:cs="Times New Roman"/>
          <w:b/>
          <w:bCs/>
          <w:sz w:val="24"/>
          <w:highlight w:val="none"/>
        </w:rPr>
        <w:t>技术条款响应（偏离）表</w:t>
      </w:r>
      <w:bookmarkEnd w:id="139"/>
      <w:bookmarkEnd w:id="140"/>
    </w:p>
    <w:p>
      <w:pPr>
        <w:spacing w:line="360" w:lineRule="auto"/>
        <w:rPr>
          <w:rFonts w:hint="default" w:ascii="Times New Roman" w:hAnsi="Times New Roman" w:cs="Times New Roman"/>
          <w:szCs w:val="21"/>
          <w:highlight w:val="none"/>
        </w:rPr>
      </w:pPr>
    </w:p>
    <w:p>
      <w:pPr>
        <w:spacing w:line="360" w:lineRule="auto"/>
        <w:rPr>
          <w:rFonts w:hint="default" w:ascii="Times New Roman" w:hAnsi="Times New Roman" w:cs="Times New Roman"/>
          <w:szCs w:val="21"/>
          <w:highlight w:val="none"/>
          <w:u w:val="single"/>
        </w:rPr>
      </w:pPr>
      <w:r>
        <w:rPr>
          <w:rFonts w:hint="default" w:ascii="Times New Roman" w:hAnsi="Times New Roman" w:cs="Times New Roman"/>
          <w:szCs w:val="21"/>
          <w:highlight w:val="none"/>
        </w:rPr>
        <w:t>项目名称：</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项目编号：</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 xml:space="preserve"> </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3360"/>
        <w:gridCol w:w="2908"/>
        <w:gridCol w:w="16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序号</w:t>
            </w:r>
          </w:p>
        </w:tc>
        <w:tc>
          <w:tcPr>
            <w:tcW w:w="3360" w:type="dxa"/>
            <w:noWrap w:val="0"/>
            <w:vAlign w:val="center"/>
          </w:tcPr>
          <w:p>
            <w:pPr>
              <w:spacing w:line="40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招标文件技术要求</w:t>
            </w:r>
          </w:p>
        </w:tc>
        <w:tc>
          <w:tcPr>
            <w:tcW w:w="2908" w:type="dxa"/>
            <w:noWrap w:val="0"/>
            <w:vAlign w:val="center"/>
          </w:tcPr>
          <w:p>
            <w:pPr>
              <w:spacing w:line="40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投标文件对应技术描述</w:t>
            </w:r>
          </w:p>
        </w:tc>
        <w:tc>
          <w:tcPr>
            <w:tcW w:w="1635" w:type="dxa"/>
            <w:noWrap w:val="0"/>
            <w:vAlign w:val="center"/>
          </w:tcPr>
          <w:p>
            <w:pPr>
              <w:spacing w:line="400" w:lineRule="exact"/>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（若有负偏离，请填写“负偏离”）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94" w:type="dxa"/>
            <w:noWrap w:val="0"/>
            <w:vAlign w:val="center"/>
          </w:tcPr>
          <w:p>
            <w:pPr>
              <w:spacing w:line="400" w:lineRule="exact"/>
              <w:jc w:val="center"/>
              <w:rPr>
                <w:rFonts w:hint="default" w:ascii="Times New Roman" w:hAnsi="Times New Roman" w:cs="Times New Roman"/>
                <w:szCs w:val="21"/>
                <w:highlight w:val="none"/>
              </w:rPr>
            </w:pPr>
          </w:p>
        </w:tc>
        <w:tc>
          <w:tcPr>
            <w:tcW w:w="3360" w:type="dxa"/>
            <w:noWrap w:val="0"/>
            <w:vAlign w:val="center"/>
          </w:tcPr>
          <w:p>
            <w:pPr>
              <w:spacing w:line="400" w:lineRule="exact"/>
              <w:jc w:val="center"/>
              <w:rPr>
                <w:rFonts w:hint="default" w:ascii="Times New Roman" w:hAnsi="Times New Roman" w:cs="Times New Roman"/>
                <w:szCs w:val="21"/>
                <w:highlight w:val="none"/>
              </w:rPr>
            </w:pPr>
          </w:p>
        </w:tc>
        <w:tc>
          <w:tcPr>
            <w:tcW w:w="2908" w:type="dxa"/>
            <w:noWrap w:val="0"/>
            <w:vAlign w:val="center"/>
          </w:tcPr>
          <w:p>
            <w:pPr>
              <w:spacing w:line="400" w:lineRule="exact"/>
              <w:jc w:val="center"/>
              <w:rPr>
                <w:rFonts w:hint="default" w:ascii="Times New Roman" w:hAnsi="Times New Roman" w:cs="Times New Roman"/>
                <w:szCs w:val="21"/>
                <w:highlight w:val="none"/>
              </w:rPr>
            </w:pPr>
          </w:p>
        </w:tc>
        <w:tc>
          <w:tcPr>
            <w:tcW w:w="1635" w:type="dxa"/>
            <w:noWrap w:val="0"/>
            <w:vAlign w:val="center"/>
          </w:tcPr>
          <w:p>
            <w:pPr>
              <w:spacing w:line="400" w:lineRule="exact"/>
              <w:jc w:val="center"/>
              <w:rPr>
                <w:rFonts w:hint="default" w:ascii="Times New Roman" w:hAnsi="Times New Roman" w:cs="Times New Roman"/>
                <w:szCs w:val="21"/>
                <w:highlight w:val="none"/>
              </w:rPr>
            </w:pPr>
          </w:p>
        </w:tc>
      </w:tr>
    </w:tbl>
    <w:p>
      <w:pPr>
        <w:pStyle w:val="18"/>
        <w:spacing w:line="360" w:lineRule="auto"/>
        <w:ind w:firstLine="0" w:firstLineChars="0"/>
        <w:rPr>
          <w:rFonts w:hint="default" w:ascii="Times New Roman" w:hAnsi="Times New Roman" w:cs="Times New Roman"/>
          <w:szCs w:val="21"/>
          <w:highlight w:val="none"/>
          <w:u w:val="single"/>
        </w:rPr>
      </w:pPr>
      <w:r>
        <w:rPr>
          <w:rFonts w:hint="default" w:ascii="Times New Roman" w:hAnsi="Times New Roman" w:cs="Times New Roman"/>
          <w:b/>
          <w:bCs/>
          <w:szCs w:val="21"/>
          <w:highlight w:val="none"/>
        </w:rPr>
        <w:t>注：1、本表根据第二章《招标需求》</w:t>
      </w:r>
      <w:r>
        <w:rPr>
          <w:rFonts w:hint="eastAsia" w:ascii="Times New Roman" w:hAnsi="Times New Roman" w:cs="Times New Roman"/>
          <w:b/>
          <w:bCs/>
          <w:szCs w:val="21"/>
          <w:highlight w:val="none"/>
          <w:lang w:val="en-US" w:eastAsia="zh-CN"/>
        </w:rPr>
        <w:t>二</w:t>
      </w:r>
      <w:r>
        <w:rPr>
          <w:rFonts w:hint="default" w:ascii="Times New Roman" w:hAnsi="Times New Roman" w:cs="Times New Roman"/>
          <w:b/>
          <w:bCs/>
          <w:szCs w:val="21"/>
          <w:highlight w:val="none"/>
        </w:rPr>
        <w:t>、</w:t>
      </w:r>
      <w:r>
        <w:rPr>
          <w:rFonts w:hint="default" w:ascii="Times New Roman" w:hAnsi="Times New Roman" w:cs="Times New Roman"/>
          <w:b/>
          <w:bCs/>
          <w:szCs w:val="21"/>
          <w:highlight w:val="none"/>
        </w:rPr>
        <w:t>详细采购需求</w:t>
      </w:r>
      <w:r>
        <w:rPr>
          <w:rFonts w:hint="default" w:ascii="Times New Roman" w:hAnsi="Times New Roman" w:cs="Times New Roman"/>
          <w:b/>
          <w:bCs/>
          <w:szCs w:val="21"/>
          <w:highlight w:val="none"/>
        </w:rPr>
        <w:t>的要求制作。2、若无偏离应在本表空白处醒目地注明“无技术条款偏离，完全响应采购文件要求”的类似字样。</w:t>
      </w:r>
    </w:p>
    <w:p>
      <w:pPr>
        <w:spacing w:line="360" w:lineRule="auto"/>
        <w:rPr>
          <w:rFonts w:hint="default" w:ascii="Times New Roman" w:hAnsi="Times New Roman" w:cs="Times New Roman"/>
          <w:szCs w:val="21"/>
          <w:highlight w:val="none"/>
        </w:rPr>
      </w:pPr>
    </w:p>
    <w:p>
      <w:pPr>
        <w:pStyle w:val="17"/>
        <w:rPr>
          <w:rFonts w:hint="default" w:ascii="Times New Roman" w:hAnsi="Times New Roman" w:cs="Times New Roman"/>
          <w:highlight w:val="none"/>
        </w:rPr>
      </w:pPr>
    </w:p>
    <w:p>
      <w:pPr>
        <w:pStyle w:val="3"/>
        <w:widowControl/>
        <w:spacing w:line="360" w:lineRule="auto"/>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投标人全称（盖公章）：</w:t>
      </w:r>
    </w:p>
    <w:p>
      <w:pPr>
        <w:pStyle w:val="3"/>
        <w:widowControl/>
        <w:spacing w:line="360" w:lineRule="auto"/>
        <w:jc w:val="left"/>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日期：年  月  日</w:t>
      </w:r>
    </w:p>
    <w:p>
      <w:pPr>
        <w:spacing w:line="360" w:lineRule="auto"/>
        <w:rPr>
          <w:rFonts w:hint="default" w:ascii="Times New Roman" w:hAnsi="Times New Roman" w:cs="Times New Roman"/>
          <w:b/>
          <w:szCs w:val="21"/>
          <w:highlight w:val="none"/>
        </w:rPr>
        <w:sectPr>
          <w:pgSz w:w="11906" w:h="16838"/>
          <w:pgMar w:top="1474" w:right="1797" w:bottom="1247" w:left="1797" w:header="851" w:footer="850"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rPr>
          <w:rFonts w:hint="default" w:ascii="Times New Roman" w:hAnsi="Times New Roman" w:cs="Times New Roman"/>
          <w:b/>
          <w:szCs w:val="21"/>
          <w:highlight w:val="none"/>
        </w:rPr>
      </w:pPr>
      <w:r>
        <w:rPr>
          <w:rFonts w:hint="default" w:ascii="Times New Roman" w:hAnsi="Times New Roman" w:cs="Times New Roman"/>
          <w:b/>
          <w:szCs w:val="21"/>
          <w:highlight w:val="none"/>
        </w:rPr>
        <w:t>格式十一：</w:t>
      </w:r>
    </w:p>
    <w:p>
      <w:pPr>
        <w:pStyle w:val="3"/>
        <w:spacing w:line="360" w:lineRule="auto"/>
        <w:ind w:left="20" w:firstLine="562"/>
        <w:jc w:val="center"/>
        <w:rPr>
          <w:rFonts w:hint="default" w:ascii="Times New Roman" w:hAnsi="Times New Roman" w:cs="Times New Roman"/>
          <w:b/>
          <w:sz w:val="24"/>
          <w:highlight w:val="none"/>
        </w:rPr>
      </w:pPr>
    </w:p>
    <w:p>
      <w:pPr>
        <w:pStyle w:val="3"/>
        <w:spacing w:line="360" w:lineRule="auto"/>
        <w:ind w:left="20" w:firstLine="562"/>
        <w:jc w:val="center"/>
        <w:outlineLvl w:val="9"/>
        <w:rPr>
          <w:rFonts w:hint="default" w:ascii="Times New Roman" w:hAnsi="Times New Roman" w:cs="Times New Roman"/>
          <w:b/>
          <w:sz w:val="24"/>
          <w:highlight w:val="none"/>
        </w:rPr>
      </w:pPr>
      <w:bookmarkStart w:id="141" w:name="_Toc16937"/>
      <w:bookmarkStart w:id="142" w:name="_Toc30490"/>
      <w:r>
        <w:rPr>
          <w:rFonts w:hint="default" w:ascii="Times New Roman" w:hAnsi="Times New Roman" w:cs="Times New Roman"/>
          <w:b/>
          <w:sz w:val="24"/>
          <w:highlight w:val="none"/>
        </w:rPr>
        <w:t>中小企业声明函（货物）</w:t>
      </w:r>
      <w:bookmarkEnd w:id="141"/>
      <w:bookmarkEnd w:id="142"/>
    </w:p>
    <w:p>
      <w:pPr>
        <w:widowControl/>
        <w:spacing w:line="360" w:lineRule="auto"/>
        <w:ind w:firstLine="420" w:firstLineChars="200"/>
        <w:rPr>
          <w:rFonts w:hint="default" w:ascii="Times New Roman" w:hAnsi="Times New Roman" w:cs="Times New Roman"/>
          <w:kern w:val="0"/>
          <w:szCs w:val="21"/>
          <w:highlight w:val="none"/>
          <w:lang w:bidi="ar"/>
        </w:rPr>
      </w:pP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kern w:val="0"/>
          <w:szCs w:val="21"/>
          <w:highlight w:val="none"/>
          <w:lang w:bidi="ar"/>
        </w:rPr>
        <w:t>本公司（联合体）郑重声明，根据《政府采购促进中小企业发展管理办法》（财库【2020】46 号）的规定，本公司（联合体）参加</w:t>
      </w:r>
      <w:r>
        <w:rPr>
          <w:rFonts w:hint="default" w:ascii="Times New Roman" w:hAnsi="Times New Roman" w:cs="Times New Roman"/>
          <w:i/>
          <w:kern w:val="0"/>
          <w:szCs w:val="21"/>
          <w:highlight w:val="none"/>
          <w:u w:val="single"/>
          <w:lang w:bidi="ar"/>
        </w:rPr>
        <w:t>（单位名称）</w:t>
      </w:r>
      <w:r>
        <w:rPr>
          <w:rFonts w:hint="default" w:ascii="Times New Roman" w:hAnsi="Times New Roman" w:cs="Times New Roman"/>
          <w:kern w:val="0"/>
          <w:szCs w:val="21"/>
          <w:highlight w:val="none"/>
          <w:lang w:bidi="ar"/>
        </w:rPr>
        <w:t>的</w:t>
      </w:r>
      <w:r>
        <w:rPr>
          <w:rFonts w:hint="default" w:ascii="Times New Roman" w:hAnsi="Times New Roman" w:cs="Times New Roman"/>
          <w:i/>
          <w:kern w:val="0"/>
          <w:szCs w:val="21"/>
          <w:highlight w:val="none"/>
          <w:u w:val="single"/>
          <w:lang w:bidi="ar"/>
        </w:rPr>
        <w:t>（项目名称）</w:t>
      </w:r>
      <w:r>
        <w:rPr>
          <w:rFonts w:hint="default" w:ascii="Times New Roman" w:hAnsi="Times New Roman" w:cs="Times New Roman"/>
          <w:kern w:val="0"/>
          <w:szCs w:val="21"/>
          <w:highlight w:val="none"/>
          <w:lang w:bidi="ar"/>
        </w:rPr>
        <w:t>采购活动，提供的货物全部由符合政策要求的中小企业制造。相关企业（含联合体中的中小企业、签订分包意向协议的中小企业）的具体情况如下：</w:t>
      </w: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kern w:val="0"/>
          <w:szCs w:val="21"/>
          <w:highlight w:val="none"/>
          <w:lang w:bidi="ar"/>
        </w:rPr>
        <w:t>1.</w:t>
      </w:r>
      <w:r>
        <w:rPr>
          <w:rFonts w:hint="default" w:ascii="Times New Roman" w:hAnsi="Times New Roman" w:cs="Times New Roman"/>
          <w:i/>
          <w:kern w:val="0"/>
          <w:szCs w:val="21"/>
          <w:highlight w:val="none"/>
          <w:u w:val="single"/>
          <w:lang w:bidi="ar"/>
        </w:rPr>
        <w:t>（标的名称）</w:t>
      </w:r>
      <w:r>
        <w:rPr>
          <w:rFonts w:hint="default" w:ascii="Times New Roman" w:hAnsi="Times New Roman" w:cs="Times New Roman"/>
          <w:kern w:val="0"/>
          <w:szCs w:val="21"/>
          <w:highlight w:val="none"/>
          <w:lang w:bidi="ar"/>
        </w:rPr>
        <w:t>，属于</w:t>
      </w:r>
      <w:r>
        <w:rPr>
          <w:rFonts w:hint="default" w:ascii="Times New Roman" w:hAnsi="Times New Roman" w:cs="Times New Roman"/>
          <w:b/>
          <w:bCs/>
          <w:iCs/>
          <w:kern w:val="0"/>
          <w:szCs w:val="21"/>
          <w:highlight w:val="none"/>
          <w:u w:val="single"/>
          <w:lang w:bidi="ar"/>
        </w:rPr>
        <w:t>工业</w:t>
      </w:r>
      <w:r>
        <w:rPr>
          <w:rFonts w:hint="default" w:ascii="Times New Roman" w:hAnsi="Times New Roman" w:cs="Times New Roman"/>
          <w:kern w:val="0"/>
          <w:szCs w:val="21"/>
          <w:highlight w:val="none"/>
          <w:lang w:bidi="ar"/>
        </w:rPr>
        <w:t>；制造商为</w:t>
      </w:r>
      <w:r>
        <w:rPr>
          <w:rFonts w:hint="default" w:ascii="Times New Roman" w:hAnsi="Times New Roman" w:cs="Times New Roman"/>
          <w:i/>
          <w:kern w:val="0"/>
          <w:szCs w:val="21"/>
          <w:highlight w:val="none"/>
          <w:u w:val="single"/>
          <w:lang w:bidi="ar"/>
        </w:rPr>
        <w:t>（企业名称）</w:t>
      </w:r>
      <w:r>
        <w:rPr>
          <w:rFonts w:hint="default" w:ascii="Times New Roman" w:hAnsi="Times New Roman" w:cs="Times New Roman"/>
          <w:kern w:val="0"/>
          <w:szCs w:val="21"/>
          <w:highlight w:val="none"/>
          <w:lang w:bidi="ar"/>
        </w:rPr>
        <w:t>，从业人员</w:t>
      </w:r>
      <w:r>
        <w:rPr>
          <w:rFonts w:hint="default" w:ascii="Times New Roman" w:hAnsi="Times New Roman" w:cs="Times New Roman"/>
          <w:kern w:val="0"/>
          <w:szCs w:val="21"/>
          <w:highlight w:val="none"/>
          <w:u w:val="single"/>
          <w:lang w:bidi="ar"/>
        </w:rPr>
        <w:t xml:space="preserve">    </w:t>
      </w:r>
      <w:r>
        <w:rPr>
          <w:rFonts w:hint="default" w:ascii="Times New Roman" w:hAnsi="Times New Roman" w:cs="Times New Roman"/>
          <w:kern w:val="0"/>
          <w:szCs w:val="21"/>
          <w:highlight w:val="none"/>
          <w:lang w:bidi="ar"/>
        </w:rPr>
        <w:t>人，营业收入为</w:t>
      </w:r>
      <w:r>
        <w:rPr>
          <w:rFonts w:hint="default" w:ascii="Times New Roman" w:hAnsi="Times New Roman" w:cs="Times New Roman"/>
          <w:kern w:val="0"/>
          <w:szCs w:val="21"/>
          <w:highlight w:val="none"/>
          <w:u w:val="single"/>
          <w:lang w:bidi="ar"/>
        </w:rPr>
        <w:t xml:space="preserve">    </w:t>
      </w:r>
      <w:r>
        <w:rPr>
          <w:rFonts w:hint="default" w:ascii="Times New Roman" w:hAnsi="Times New Roman" w:cs="Times New Roman"/>
          <w:kern w:val="0"/>
          <w:szCs w:val="21"/>
          <w:highlight w:val="none"/>
          <w:lang w:bidi="ar"/>
        </w:rPr>
        <w:t>万元，资产总额为</w:t>
      </w:r>
      <w:r>
        <w:rPr>
          <w:rFonts w:hint="default" w:ascii="Times New Roman" w:hAnsi="Times New Roman" w:cs="Times New Roman"/>
          <w:kern w:val="0"/>
          <w:szCs w:val="21"/>
          <w:highlight w:val="none"/>
          <w:u w:val="single"/>
          <w:lang w:bidi="ar"/>
        </w:rPr>
        <w:t xml:space="preserve">    </w:t>
      </w:r>
      <w:r>
        <w:rPr>
          <w:rFonts w:hint="default" w:ascii="Times New Roman" w:hAnsi="Times New Roman" w:cs="Times New Roman"/>
          <w:kern w:val="0"/>
          <w:szCs w:val="21"/>
          <w:highlight w:val="none"/>
          <w:lang w:bidi="ar"/>
        </w:rPr>
        <w:t>万元</w:t>
      </w:r>
      <w:r>
        <w:rPr>
          <w:rFonts w:hint="default" w:ascii="Times New Roman" w:hAnsi="Times New Roman" w:cs="Times New Roman"/>
          <w:kern w:val="0"/>
          <w:szCs w:val="21"/>
          <w:highlight w:val="none"/>
          <w:vertAlign w:val="superscript"/>
          <w:lang w:bidi="ar"/>
        </w:rPr>
        <w:t>1</w:t>
      </w:r>
      <w:r>
        <w:rPr>
          <w:rFonts w:hint="default" w:ascii="Times New Roman" w:hAnsi="Times New Roman" w:cs="Times New Roman"/>
          <w:kern w:val="0"/>
          <w:szCs w:val="21"/>
          <w:highlight w:val="none"/>
          <w:lang w:bidi="ar"/>
        </w:rPr>
        <w:t>，属于</w:t>
      </w:r>
      <w:r>
        <w:rPr>
          <w:rFonts w:hint="default" w:ascii="Times New Roman" w:hAnsi="Times New Roman" w:cs="Times New Roman"/>
          <w:i/>
          <w:kern w:val="0"/>
          <w:szCs w:val="21"/>
          <w:highlight w:val="none"/>
          <w:u w:val="single"/>
          <w:lang w:bidi="ar"/>
        </w:rPr>
        <w:t>（中型企业、小型企业、微型企业）</w:t>
      </w:r>
      <w:r>
        <w:rPr>
          <w:rFonts w:hint="default" w:ascii="Times New Roman" w:hAnsi="Times New Roman" w:cs="Times New Roman"/>
          <w:kern w:val="0"/>
          <w:szCs w:val="21"/>
          <w:highlight w:val="none"/>
          <w:lang w:bidi="ar"/>
        </w:rPr>
        <w:t xml:space="preserve">； </w:t>
      </w: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kern w:val="0"/>
          <w:szCs w:val="21"/>
          <w:highlight w:val="none"/>
          <w:lang w:bidi="ar"/>
        </w:rPr>
        <w:t>2.</w:t>
      </w:r>
      <w:r>
        <w:rPr>
          <w:rFonts w:hint="default" w:ascii="Times New Roman" w:hAnsi="Times New Roman" w:cs="Times New Roman"/>
          <w:i/>
          <w:kern w:val="0"/>
          <w:szCs w:val="21"/>
          <w:highlight w:val="none"/>
          <w:u w:val="single"/>
          <w:lang w:bidi="ar"/>
        </w:rPr>
        <w:t>（标的名称）</w:t>
      </w:r>
      <w:r>
        <w:rPr>
          <w:rFonts w:hint="default" w:ascii="Times New Roman" w:hAnsi="Times New Roman" w:cs="Times New Roman"/>
          <w:kern w:val="0"/>
          <w:szCs w:val="21"/>
          <w:highlight w:val="none"/>
          <w:lang w:bidi="ar"/>
        </w:rPr>
        <w:t>，属于</w:t>
      </w:r>
      <w:r>
        <w:rPr>
          <w:rFonts w:hint="default" w:ascii="Times New Roman" w:hAnsi="Times New Roman" w:cs="Times New Roman"/>
          <w:b/>
          <w:bCs/>
          <w:iCs/>
          <w:kern w:val="0"/>
          <w:szCs w:val="21"/>
          <w:highlight w:val="none"/>
          <w:u w:val="single"/>
          <w:lang w:bidi="ar"/>
        </w:rPr>
        <w:t>工业</w:t>
      </w:r>
      <w:r>
        <w:rPr>
          <w:rFonts w:hint="default" w:ascii="Times New Roman" w:hAnsi="Times New Roman" w:cs="Times New Roman"/>
          <w:kern w:val="0"/>
          <w:szCs w:val="21"/>
          <w:highlight w:val="none"/>
          <w:lang w:bidi="ar"/>
        </w:rPr>
        <w:t>；制造商为</w:t>
      </w:r>
      <w:r>
        <w:rPr>
          <w:rFonts w:hint="default" w:ascii="Times New Roman" w:hAnsi="Times New Roman" w:cs="Times New Roman"/>
          <w:i/>
          <w:kern w:val="0"/>
          <w:szCs w:val="21"/>
          <w:highlight w:val="none"/>
          <w:u w:val="single"/>
          <w:lang w:bidi="ar"/>
        </w:rPr>
        <w:t>（企业名称）</w:t>
      </w:r>
      <w:r>
        <w:rPr>
          <w:rFonts w:hint="default" w:ascii="Times New Roman" w:hAnsi="Times New Roman" w:cs="Times New Roman"/>
          <w:kern w:val="0"/>
          <w:szCs w:val="21"/>
          <w:highlight w:val="none"/>
          <w:lang w:bidi="ar"/>
        </w:rPr>
        <w:t>，从业人员</w:t>
      </w:r>
      <w:r>
        <w:rPr>
          <w:rFonts w:hint="default" w:ascii="Times New Roman" w:hAnsi="Times New Roman" w:cs="Times New Roman"/>
          <w:kern w:val="0"/>
          <w:szCs w:val="21"/>
          <w:highlight w:val="none"/>
          <w:u w:val="single"/>
          <w:lang w:bidi="ar"/>
        </w:rPr>
        <w:t xml:space="preserve">    </w:t>
      </w:r>
      <w:r>
        <w:rPr>
          <w:rFonts w:hint="default" w:ascii="Times New Roman" w:hAnsi="Times New Roman" w:cs="Times New Roman"/>
          <w:kern w:val="0"/>
          <w:szCs w:val="21"/>
          <w:highlight w:val="none"/>
          <w:lang w:bidi="ar"/>
        </w:rPr>
        <w:t>人，营业收入为</w:t>
      </w:r>
      <w:r>
        <w:rPr>
          <w:rFonts w:hint="default" w:ascii="Times New Roman" w:hAnsi="Times New Roman" w:cs="Times New Roman"/>
          <w:kern w:val="0"/>
          <w:szCs w:val="21"/>
          <w:highlight w:val="none"/>
          <w:u w:val="single"/>
          <w:lang w:bidi="ar"/>
        </w:rPr>
        <w:t xml:space="preserve">    </w:t>
      </w:r>
      <w:r>
        <w:rPr>
          <w:rFonts w:hint="default" w:ascii="Times New Roman" w:hAnsi="Times New Roman" w:cs="Times New Roman"/>
          <w:kern w:val="0"/>
          <w:szCs w:val="21"/>
          <w:highlight w:val="none"/>
          <w:lang w:bidi="ar"/>
        </w:rPr>
        <w:t>万元，资产总额为</w:t>
      </w:r>
      <w:r>
        <w:rPr>
          <w:rFonts w:hint="default" w:ascii="Times New Roman" w:hAnsi="Times New Roman" w:cs="Times New Roman"/>
          <w:kern w:val="0"/>
          <w:szCs w:val="21"/>
          <w:highlight w:val="none"/>
          <w:u w:val="single"/>
          <w:lang w:bidi="ar"/>
        </w:rPr>
        <w:t xml:space="preserve">    </w:t>
      </w:r>
      <w:r>
        <w:rPr>
          <w:rFonts w:hint="default" w:ascii="Times New Roman" w:hAnsi="Times New Roman" w:cs="Times New Roman"/>
          <w:kern w:val="0"/>
          <w:szCs w:val="21"/>
          <w:highlight w:val="none"/>
          <w:lang w:bidi="ar"/>
        </w:rPr>
        <w:t>万元</w:t>
      </w:r>
      <w:r>
        <w:rPr>
          <w:rFonts w:hint="default" w:ascii="Times New Roman" w:hAnsi="Times New Roman" w:cs="Times New Roman"/>
          <w:kern w:val="0"/>
          <w:szCs w:val="21"/>
          <w:highlight w:val="none"/>
          <w:vertAlign w:val="superscript"/>
          <w:lang w:bidi="ar"/>
        </w:rPr>
        <w:t>1</w:t>
      </w:r>
      <w:r>
        <w:rPr>
          <w:rFonts w:hint="default" w:ascii="Times New Roman" w:hAnsi="Times New Roman" w:cs="Times New Roman"/>
          <w:kern w:val="0"/>
          <w:szCs w:val="21"/>
          <w:highlight w:val="none"/>
          <w:lang w:bidi="ar"/>
        </w:rPr>
        <w:t>，属于</w:t>
      </w:r>
      <w:r>
        <w:rPr>
          <w:rFonts w:hint="default" w:ascii="Times New Roman" w:hAnsi="Times New Roman" w:cs="Times New Roman"/>
          <w:i/>
          <w:kern w:val="0"/>
          <w:szCs w:val="21"/>
          <w:highlight w:val="none"/>
          <w:u w:val="single"/>
          <w:lang w:bidi="ar"/>
        </w:rPr>
        <w:t>（中型企业、小型企业、微型企业）</w:t>
      </w:r>
      <w:r>
        <w:rPr>
          <w:rFonts w:hint="default" w:ascii="Times New Roman" w:hAnsi="Times New Roman" w:cs="Times New Roman"/>
          <w:kern w:val="0"/>
          <w:szCs w:val="21"/>
          <w:highlight w:val="none"/>
          <w:lang w:bidi="ar"/>
        </w:rPr>
        <w:t xml:space="preserve">； </w:t>
      </w:r>
    </w:p>
    <w:p>
      <w:pPr>
        <w:spacing w:line="360" w:lineRule="auto"/>
        <w:ind w:firstLine="422" w:firstLineChars="200"/>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u w:val="single"/>
          <w:lang w:val="en-US" w:eastAsia="zh-CN"/>
        </w:rPr>
        <w:t xml:space="preserve">       </w:t>
      </w:r>
      <w:r>
        <w:rPr>
          <w:rFonts w:hint="default" w:ascii="Times New Roman" w:hAnsi="Times New Roman" w:cs="Times New Roman"/>
          <w:color w:val="auto"/>
          <w:szCs w:val="21"/>
          <w:highlight w:val="none"/>
          <w:u w:val="none"/>
          <w:lang w:val="en-US" w:eastAsia="zh-CN"/>
        </w:rPr>
        <w:t>。</w:t>
      </w:r>
      <w:r>
        <w:rPr>
          <w:rFonts w:hint="default" w:ascii="Times New Roman" w:hAnsi="Times New Roman" w:cs="Times New Roman"/>
          <w:b/>
          <w:bCs/>
          <w:color w:val="auto"/>
          <w:szCs w:val="21"/>
          <w:highlight w:val="none"/>
        </w:rPr>
        <w:t>（务必列全采购需求中要求的货物，若已列全，供应商须</w:t>
      </w:r>
      <w:r>
        <w:rPr>
          <w:rFonts w:hint="default" w:ascii="Times New Roman" w:hAnsi="Times New Roman" w:cs="Times New Roman"/>
          <w:b/>
          <w:bCs/>
          <w:color w:val="auto"/>
          <w:szCs w:val="21"/>
          <w:highlight w:val="none"/>
          <w:lang w:val="en-US" w:eastAsia="zh-CN"/>
        </w:rPr>
        <w:t>在此处填写</w:t>
      </w:r>
      <w:r>
        <w:rPr>
          <w:rFonts w:hint="default" w:ascii="Times New Roman" w:hAnsi="Times New Roman" w:cs="Times New Roman"/>
          <w:b/>
          <w:bCs/>
          <w:color w:val="auto"/>
          <w:szCs w:val="21"/>
          <w:highlight w:val="none"/>
        </w:rPr>
        <w:t>如下内容“采购需求中要求的货物均已列全”）</w:t>
      </w: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kern w:val="0"/>
          <w:szCs w:val="21"/>
          <w:highlight w:val="none"/>
          <w:lang w:bidi="ar"/>
        </w:rPr>
        <w:t>以上企业，不属于大企业的分支机构，不存在控股股东为大企业的情形，也不存在与大企业的负责人为同一人的情形。</w:t>
      </w: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kern w:val="0"/>
          <w:szCs w:val="21"/>
          <w:highlight w:val="none"/>
          <w:lang w:bidi="ar"/>
        </w:rPr>
        <w:t xml:space="preserve">本企业对上述声明内容的真实性负责。如有虚假，将依法承担相应责任。 </w:t>
      </w:r>
    </w:p>
    <w:p>
      <w:pPr>
        <w:widowControl/>
        <w:spacing w:line="360" w:lineRule="auto"/>
        <w:ind w:firstLine="420" w:firstLineChars="200"/>
        <w:rPr>
          <w:rFonts w:hint="default" w:ascii="Times New Roman" w:hAnsi="Times New Roman" w:cs="Times New Roman"/>
          <w:kern w:val="0"/>
          <w:szCs w:val="21"/>
          <w:highlight w:val="none"/>
          <w:lang w:bidi="ar"/>
        </w:rPr>
      </w:pPr>
    </w:p>
    <w:p>
      <w:pPr>
        <w:pStyle w:val="17"/>
        <w:spacing w:after="0" w:line="360" w:lineRule="auto"/>
        <w:ind w:firstLine="420" w:firstLineChars="200"/>
        <w:rPr>
          <w:rFonts w:hint="default" w:ascii="Times New Roman" w:hAnsi="Times New Roman" w:cs="Times New Roman"/>
          <w:kern w:val="0"/>
          <w:sz w:val="21"/>
          <w:szCs w:val="21"/>
          <w:highlight w:val="none"/>
          <w:lang w:bidi="ar"/>
        </w:rPr>
      </w:pPr>
    </w:p>
    <w:p>
      <w:pPr>
        <w:pStyle w:val="17"/>
        <w:spacing w:after="0" w:line="360" w:lineRule="auto"/>
        <w:ind w:firstLine="420" w:firstLineChars="200"/>
        <w:rPr>
          <w:rFonts w:hint="default" w:ascii="Times New Roman" w:hAnsi="Times New Roman" w:cs="Times New Roman"/>
          <w:kern w:val="0"/>
          <w:sz w:val="21"/>
          <w:szCs w:val="21"/>
          <w:highlight w:val="none"/>
          <w:lang w:bidi="ar"/>
        </w:rPr>
      </w:pP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kern w:val="0"/>
          <w:szCs w:val="21"/>
          <w:highlight w:val="none"/>
          <w:lang w:bidi="ar"/>
        </w:rPr>
        <w:t xml:space="preserve">企业名称（盖章）： </w:t>
      </w:r>
    </w:p>
    <w:p>
      <w:pPr>
        <w:widowControl/>
        <w:spacing w:line="360" w:lineRule="auto"/>
        <w:ind w:firstLine="420" w:firstLineChars="200"/>
        <w:rPr>
          <w:rFonts w:hint="default" w:ascii="Times New Roman" w:hAnsi="Times New Roman" w:cs="Times New Roman"/>
          <w:kern w:val="0"/>
          <w:szCs w:val="21"/>
          <w:highlight w:val="none"/>
          <w:lang w:bidi="ar"/>
        </w:rPr>
      </w:pPr>
    </w:p>
    <w:p>
      <w:pPr>
        <w:widowControl/>
        <w:spacing w:line="360" w:lineRule="auto"/>
        <w:ind w:firstLine="420" w:firstLineChars="200"/>
        <w:rPr>
          <w:rFonts w:hint="default" w:ascii="Times New Roman" w:hAnsi="Times New Roman" w:cs="Times New Roman"/>
          <w:kern w:val="0"/>
          <w:szCs w:val="21"/>
          <w:highlight w:val="none"/>
          <w:lang w:bidi="ar"/>
        </w:rPr>
      </w:pPr>
    </w:p>
    <w:p>
      <w:pPr>
        <w:widowControl/>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kern w:val="0"/>
          <w:szCs w:val="21"/>
          <w:highlight w:val="none"/>
          <w:lang w:bidi="ar"/>
        </w:rPr>
        <w:t xml:space="preserve">日 期： </w:t>
      </w:r>
    </w:p>
    <w:p>
      <w:pPr>
        <w:widowControl/>
        <w:spacing w:line="360" w:lineRule="auto"/>
        <w:ind w:firstLine="420" w:firstLineChars="200"/>
        <w:rPr>
          <w:rFonts w:hint="default" w:ascii="Times New Roman" w:hAnsi="Times New Roman" w:cs="Times New Roman"/>
          <w:kern w:val="0"/>
          <w:szCs w:val="21"/>
          <w:highlight w:val="none"/>
          <w:lang w:bidi="ar"/>
        </w:rPr>
      </w:pPr>
    </w:p>
    <w:p>
      <w:pPr>
        <w:widowControl/>
        <w:spacing w:line="360" w:lineRule="auto"/>
        <w:ind w:firstLine="420" w:firstLineChars="200"/>
        <w:rPr>
          <w:rFonts w:hint="default" w:ascii="Times New Roman" w:hAnsi="Times New Roman" w:cs="Times New Roman"/>
          <w:kern w:val="0"/>
          <w:szCs w:val="21"/>
          <w:highlight w:val="none"/>
          <w:lang w:bidi="ar"/>
        </w:rPr>
      </w:pPr>
    </w:p>
    <w:p>
      <w:pPr>
        <w:widowControl/>
        <w:spacing w:line="360" w:lineRule="auto"/>
        <w:ind w:firstLine="420" w:firstLineChars="200"/>
        <w:rPr>
          <w:rFonts w:hint="default" w:ascii="Times New Roman" w:hAnsi="Times New Roman" w:cs="Times New Roman"/>
          <w:kern w:val="0"/>
          <w:szCs w:val="21"/>
          <w:highlight w:val="none"/>
          <w:lang w:bidi="ar"/>
        </w:rPr>
      </w:pPr>
    </w:p>
    <w:p>
      <w:pPr>
        <w:widowControl/>
        <w:tabs>
          <w:tab w:val="left" w:pos="606"/>
        </w:tabs>
        <w:spacing w:line="360" w:lineRule="auto"/>
        <w:ind w:firstLine="396" w:firstLineChars="200"/>
        <w:rPr>
          <w:rFonts w:hint="default" w:ascii="Times New Roman" w:hAnsi="Times New Roman" w:cs="Times New Roman"/>
          <w:kern w:val="0"/>
          <w:szCs w:val="21"/>
          <w:highlight w:val="none"/>
          <w:lang w:bidi="ar"/>
        </w:rPr>
      </w:pPr>
      <w:r>
        <w:rPr>
          <w:rFonts w:hint="default" w:ascii="Times New Roman" w:hAnsi="Times New Roman" w:cs="Times New Roman"/>
          <w:spacing w:val="-6"/>
          <w:kern w:val="0"/>
          <w:szCs w:val="21"/>
          <w:highlight w:val="none"/>
          <w:vertAlign w:val="superscript"/>
          <w:lang w:bidi="ar"/>
        </w:rPr>
        <w:t>1</w:t>
      </w:r>
      <w:r>
        <w:rPr>
          <w:rFonts w:hint="default" w:ascii="Times New Roman" w:hAnsi="Times New Roman" w:cs="Times New Roman"/>
          <w:kern w:val="0"/>
          <w:szCs w:val="21"/>
          <w:highlight w:val="none"/>
          <w:lang w:bidi="ar"/>
        </w:rPr>
        <w:t>、从业人员、营业收入、资产总额填报上一年度数据，无上一年度数据的新成立企业可不填报。</w:t>
      </w:r>
    </w:p>
    <w:p>
      <w:pPr>
        <w:widowControl/>
        <w:tabs>
          <w:tab w:val="left" w:pos="606"/>
        </w:tabs>
        <w:spacing w:line="360" w:lineRule="auto"/>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kern w:val="0"/>
          <w:szCs w:val="21"/>
          <w:highlight w:val="none"/>
          <w:lang w:bidi="ar"/>
        </w:rPr>
        <w:t>2、</w:t>
      </w:r>
      <w:r>
        <w:rPr>
          <w:rFonts w:hint="default" w:ascii="Times New Roman" w:hAnsi="Times New Roman" w:cs="Times New Roman"/>
          <w:color w:val="auto"/>
          <w:szCs w:val="21"/>
          <w:highlight w:val="none"/>
        </w:rPr>
        <w:t>根据工信部联企业【2011】300号规定。</w:t>
      </w:r>
      <w:r>
        <w:rPr>
          <w:rFonts w:hint="default" w:ascii="Times New Roman" w:hAnsi="Times New Roman" w:cs="Times New Roman"/>
          <w:b/>
          <w:bCs/>
          <w:color w:val="auto"/>
          <w:szCs w:val="21"/>
          <w:highlight w:val="none"/>
        </w:rPr>
        <w:t>工业</w:t>
      </w:r>
      <w:r>
        <w:rPr>
          <w:rFonts w:hint="default" w:ascii="Times New Roman" w:hAnsi="Times New Roman" w:cs="Times New Roman"/>
          <w:color w:val="auto"/>
          <w:szCs w:val="21"/>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tabs>
          <w:tab w:val="left" w:pos="606"/>
        </w:tabs>
        <w:spacing w:line="360" w:lineRule="auto"/>
        <w:ind w:firstLine="420" w:firstLineChars="200"/>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bidi="ar"/>
        </w:rPr>
        <w:t>风险提示：</w:t>
      </w:r>
    </w:p>
    <w:p>
      <w:pPr>
        <w:widowControl/>
        <w:tabs>
          <w:tab w:val="left" w:pos="606"/>
        </w:tabs>
        <w:spacing w:line="360" w:lineRule="auto"/>
        <w:ind w:firstLine="420" w:firstLineChars="200"/>
        <w:rPr>
          <w:rFonts w:hint="default" w:ascii="Times New Roman" w:hAnsi="Times New Roman" w:eastAsia="宋体" w:cs="Times New Roman"/>
          <w:kern w:val="0"/>
          <w:szCs w:val="21"/>
          <w:highlight w:val="none"/>
          <w:lang w:bidi="ar"/>
        </w:rPr>
      </w:pPr>
      <w:r>
        <w:rPr>
          <w:rFonts w:hint="default" w:ascii="Times New Roman" w:hAnsi="Times New Roman" w:eastAsia="宋体" w:cs="Times New Roman"/>
          <w:kern w:val="0"/>
          <w:szCs w:val="21"/>
          <w:highlight w:val="none"/>
          <w:lang w:eastAsia="zh-CN" w:bidi="ar"/>
        </w:rPr>
        <w:t>（</w:t>
      </w:r>
      <w:r>
        <w:rPr>
          <w:rFonts w:hint="default" w:ascii="Times New Roman" w:hAnsi="Times New Roman" w:eastAsia="宋体" w:cs="Times New Roman"/>
          <w:kern w:val="0"/>
          <w:szCs w:val="21"/>
          <w:highlight w:val="none"/>
          <w:lang w:val="en-US" w:eastAsia="zh-CN" w:bidi="ar"/>
        </w:rPr>
        <w:t>1</w:t>
      </w:r>
      <w:r>
        <w:rPr>
          <w:rFonts w:hint="default" w:ascii="Times New Roman" w:hAnsi="Times New Roman" w:eastAsia="宋体" w:cs="Times New Roman"/>
          <w:kern w:val="0"/>
          <w:szCs w:val="21"/>
          <w:highlight w:val="none"/>
          <w:lang w:eastAsia="zh-CN" w:bidi="ar"/>
        </w:rPr>
        <w:t>）</w:t>
      </w:r>
      <w:r>
        <w:rPr>
          <w:rFonts w:hint="default" w:ascii="Times New Roman" w:hAnsi="Times New Roman" w:eastAsia="宋体" w:cs="Times New Roman"/>
          <w:kern w:val="0"/>
          <w:szCs w:val="21"/>
          <w:highlight w:val="none"/>
          <w:lang w:bidi="ar"/>
        </w:rPr>
        <w:t>对于非面向联合体的项目，在货物采购项目中，供应商提供的货物既有中型企业制造，也有小微企业制造的，不享受办法规定的小微企业扶持政策。</w:t>
      </w:r>
    </w:p>
    <w:p>
      <w:pPr>
        <w:widowControl/>
        <w:tabs>
          <w:tab w:val="left" w:pos="606"/>
        </w:tabs>
        <w:spacing w:line="360" w:lineRule="auto"/>
        <w:ind w:firstLine="420" w:firstLineChars="200"/>
        <w:rPr>
          <w:rFonts w:hint="default" w:ascii="Times New Roman" w:hAnsi="Times New Roman" w:eastAsia="宋体" w:cs="Times New Roman"/>
          <w:kern w:val="0"/>
          <w:szCs w:val="21"/>
          <w:highlight w:val="none"/>
          <w:lang w:val="en-US" w:eastAsia="zh-CN" w:bidi="ar"/>
        </w:rPr>
      </w:pPr>
      <w:r>
        <w:rPr>
          <w:rFonts w:hint="default" w:ascii="Times New Roman" w:hAnsi="Times New Roman" w:eastAsia="宋体" w:cs="Times New Roman"/>
          <w:kern w:val="0"/>
          <w:szCs w:val="21"/>
          <w:highlight w:val="none"/>
          <w:lang w:eastAsia="zh-CN" w:bidi="ar"/>
        </w:rPr>
        <w:t>（</w:t>
      </w:r>
      <w:r>
        <w:rPr>
          <w:rFonts w:hint="default" w:ascii="Times New Roman" w:hAnsi="Times New Roman" w:eastAsia="宋体" w:cs="Times New Roman"/>
          <w:kern w:val="0"/>
          <w:szCs w:val="21"/>
          <w:highlight w:val="none"/>
          <w:lang w:val="en-US" w:eastAsia="zh-CN" w:bidi="ar"/>
        </w:rPr>
        <w:t>2</w:t>
      </w:r>
      <w:r>
        <w:rPr>
          <w:rFonts w:hint="default" w:ascii="Times New Roman" w:hAnsi="Times New Roman" w:eastAsia="宋体" w:cs="Times New Roman"/>
          <w:kern w:val="0"/>
          <w:szCs w:val="21"/>
          <w:highlight w:val="none"/>
          <w:lang w:eastAsia="zh-CN" w:bidi="ar"/>
        </w:rPr>
        <w:t>）</w:t>
      </w:r>
      <w:r>
        <w:rPr>
          <w:rFonts w:hint="default" w:ascii="Times New Roman" w:hAnsi="Times New Roman" w:eastAsia="宋体" w:cs="Times New Roman"/>
          <w:kern w:val="0"/>
          <w:szCs w:val="21"/>
          <w:highlight w:val="none"/>
          <w:lang w:bidi="ar"/>
        </w:rPr>
        <w:t>供应商应当对其出具的《中小企业声明函》真实性负责，供应商出具的《中小企业声明函》内容不实的，属于提供虚假材料谋取成交。在实际操作中，供应商希望获得政策支持的，应从制造商处获得充分、准确的信息。对相关制造商信息了解不充分，或者不能确定相关信息真实、准确的，不建议出具《中小企业声明函》。</w:t>
      </w:r>
    </w:p>
    <w:p>
      <w:pPr>
        <w:widowControl/>
        <w:spacing w:line="360" w:lineRule="auto"/>
        <w:rPr>
          <w:rFonts w:hint="default" w:ascii="Times New Roman" w:hAnsi="Times New Roman" w:cs="Times New Roman"/>
          <w:spacing w:val="6"/>
          <w:szCs w:val="21"/>
          <w:highlight w:val="none"/>
        </w:rPr>
      </w:pPr>
      <w:r>
        <w:rPr>
          <w:rFonts w:hint="default" w:ascii="Times New Roman" w:hAnsi="Times New Roman" w:cs="Times New Roman"/>
          <w:kern w:val="0"/>
          <w:szCs w:val="21"/>
          <w:highlight w:val="none"/>
          <w:lang w:bidi="ar"/>
        </w:rPr>
        <w:br w:type="page"/>
      </w:r>
      <w:r>
        <w:rPr>
          <w:rFonts w:hint="default" w:ascii="Times New Roman" w:hAnsi="Times New Roman" w:cs="Times New Roman"/>
          <w:b/>
          <w:spacing w:val="6"/>
          <w:szCs w:val="21"/>
          <w:highlight w:val="none"/>
        </w:rPr>
        <w:t>格式十二：</w:t>
      </w:r>
    </w:p>
    <w:p>
      <w:pPr>
        <w:spacing w:line="360" w:lineRule="auto"/>
        <w:jc w:val="center"/>
        <w:outlineLvl w:val="9"/>
        <w:rPr>
          <w:rFonts w:hint="default" w:ascii="Times New Roman" w:hAnsi="Times New Roman" w:cs="Times New Roman"/>
          <w:b/>
          <w:sz w:val="24"/>
          <w:highlight w:val="none"/>
        </w:rPr>
      </w:pPr>
      <w:bookmarkStart w:id="143" w:name="_Toc16713"/>
      <w:bookmarkStart w:id="144" w:name="_Toc22373"/>
      <w:r>
        <w:rPr>
          <w:rFonts w:hint="default" w:ascii="Times New Roman" w:hAnsi="Times New Roman" w:cs="Times New Roman"/>
          <w:b/>
          <w:sz w:val="24"/>
          <w:highlight w:val="none"/>
        </w:rPr>
        <w:t>投标人响应表</w:t>
      </w:r>
      <w:bookmarkEnd w:id="143"/>
      <w:bookmarkEnd w:id="144"/>
    </w:p>
    <w:p>
      <w:pPr>
        <w:spacing w:line="360" w:lineRule="auto"/>
        <w:jc w:val="left"/>
        <w:rPr>
          <w:rFonts w:hint="default" w:ascii="Times New Roman" w:hAnsi="Times New Roman" w:cs="Times New Roman"/>
          <w:szCs w:val="21"/>
          <w:highlight w:val="none"/>
        </w:rPr>
      </w:pPr>
    </w:p>
    <w:p>
      <w:pPr>
        <w:spacing w:line="360" w:lineRule="auto"/>
        <w:jc w:val="left"/>
        <w:rPr>
          <w:rFonts w:hint="default" w:ascii="Times New Roman" w:hAnsi="Times New Roman" w:cs="Times New Roman"/>
          <w:kern w:val="0"/>
          <w:szCs w:val="21"/>
          <w:highlight w:val="none"/>
        </w:rPr>
      </w:pPr>
      <w:r>
        <w:rPr>
          <w:rFonts w:hint="default" w:ascii="Times New Roman" w:hAnsi="Times New Roman" w:cs="Times New Roman"/>
          <w:szCs w:val="21"/>
          <w:highlight w:val="none"/>
        </w:rPr>
        <w:t>项目名称：</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项目编号：</w:t>
      </w:r>
      <w:r>
        <w:rPr>
          <w:rFonts w:hint="default" w:ascii="Times New Roman" w:hAnsi="Times New Roman" w:cs="Times New Roman"/>
          <w:szCs w:val="21"/>
          <w:highlight w:val="none"/>
          <w:u w:val="single"/>
        </w:rPr>
        <w:t xml:space="preserve">                      </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724"/>
        <w:gridCol w:w="6237"/>
        <w:gridCol w:w="184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序号</w:t>
            </w:r>
          </w:p>
        </w:tc>
        <w:tc>
          <w:tcPr>
            <w:tcW w:w="6237"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评审内容</w:t>
            </w: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证明文件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724" w:type="dxa"/>
            <w:noWrap w:val="0"/>
            <w:vAlign w:val="center"/>
          </w:tcPr>
          <w:p>
            <w:pPr>
              <w:spacing w:line="400" w:lineRule="exact"/>
              <w:rPr>
                <w:rFonts w:hint="default" w:ascii="Times New Roman" w:hAnsi="Times New Roman" w:cs="Times New Roman"/>
                <w:szCs w:val="21"/>
                <w:highlight w:val="none"/>
              </w:rPr>
            </w:pPr>
          </w:p>
        </w:tc>
        <w:tc>
          <w:tcPr>
            <w:tcW w:w="6237" w:type="dxa"/>
            <w:noWrap w:val="0"/>
            <w:vAlign w:val="center"/>
          </w:tcPr>
          <w:p>
            <w:pPr>
              <w:spacing w:line="400" w:lineRule="exact"/>
              <w:rPr>
                <w:rFonts w:hint="default" w:ascii="Times New Roman" w:hAnsi="Times New Roman" w:cs="Times New Roman"/>
                <w:szCs w:val="21"/>
                <w:highlight w:val="none"/>
              </w:rPr>
            </w:pPr>
          </w:p>
        </w:tc>
        <w:tc>
          <w:tcPr>
            <w:tcW w:w="1843" w:type="dxa"/>
            <w:noWrap w:val="0"/>
            <w:vAlign w:val="center"/>
          </w:tcPr>
          <w:p>
            <w:pPr>
              <w:spacing w:line="40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见（  ）页</w:t>
            </w:r>
          </w:p>
        </w:tc>
      </w:tr>
    </w:tbl>
    <w:p>
      <w:pPr>
        <w:widowControl/>
        <w:spacing w:line="360" w:lineRule="auto"/>
        <w:jc w:val="left"/>
        <w:rPr>
          <w:rFonts w:hint="default" w:ascii="Times New Roman" w:hAnsi="Times New Roman" w:cs="Times New Roman"/>
          <w:b/>
          <w:spacing w:val="6"/>
          <w:szCs w:val="21"/>
          <w:highlight w:val="none"/>
        </w:rPr>
      </w:pPr>
      <w:r>
        <w:rPr>
          <w:rFonts w:hint="default" w:ascii="Times New Roman" w:hAnsi="Times New Roman" w:cs="Times New Roman"/>
          <w:b/>
          <w:bCs/>
          <w:szCs w:val="21"/>
          <w:highlight w:val="none"/>
        </w:rPr>
        <w:t>注：根据评分标准逐条填写。</w:t>
      </w:r>
    </w:p>
    <w:p>
      <w:pPr>
        <w:widowControl/>
        <w:spacing w:line="360" w:lineRule="auto"/>
        <w:jc w:val="left"/>
        <w:rPr>
          <w:rFonts w:hint="default" w:ascii="Times New Roman" w:hAnsi="Times New Roman" w:cs="Times New Roman"/>
          <w:b/>
          <w:spacing w:val="6"/>
          <w:szCs w:val="21"/>
          <w:highlight w:val="none"/>
        </w:rPr>
      </w:pPr>
    </w:p>
    <w:p>
      <w:pPr>
        <w:pStyle w:val="17"/>
        <w:rPr>
          <w:rFonts w:hint="default" w:ascii="Times New Roman" w:hAnsi="Times New Roman" w:cs="Times New Roman"/>
          <w:highlight w:val="none"/>
        </w:rPr>
      </w:pPr>
    </w:p>
    <w:p>
      <w:pPr>
        <w:pStyle w:val="3"/>
        <w:widowControl/>
        <w:spacing w:line="360" w:lineRule="auto"/>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投标人全称（盖公章）：</w:t>
      </w:r>
    </w:p>
    <w:p>
      <w:pPr>
        <w:pStyle w:val="3"/>
        <w:widowControl/>
        <w:spacing w:line="360" w:lineRule="auto"/>
        <w:jc w:val="left"/>
        <w:rPr>
          <w:rFonts w:hint="default" w:ascii="Times New Roman" w:hAnsi="Times New Roman" w:cs="Times New Roman"/>
          <w:sz w:val="21"/>
          <w:szCs w:val="21"/>
          <w:highlight w:val="none"/>
        </w:rPr>
      </w:pPr>
    </w:p>
    <w:p>
      <w:pPr>
        <w:pStyle w:val="3"/>
        <w:spacing w:line="360" w:lineRule="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日期：年  月  日</w:t>
      </w:r>
    </w:p>
    <w:p>
      <w:pPr>
        <w:widowControl/>
        <w:spacing w:line="360" w:lineRule="auto"/>
        <w:rPr>
          <w:rFonts w:hint="default" w:ascii="Times New Roman" w:hAnsi="Times New Roman" w:cs="Times New Roman"/>
          <w:kern w:val="0"/>
          <w:szCs w:val="21"/>
          <w:highlight w:val="none"/>
          <w:lang w:bidi="ar"/>
        </w:rPr>
        <w:sectPr>
          <w:pgSz w:w="11906" w:h="16838"/>
          <w:pgMar w:top="1474" w:right="1797" w:bottom="1247" w:left="1797" w:header="851" w:footer="850" w:gutter="0"/>
          <w:pgBorders>
            <w:top w:val="none" w:sz="0" w:space="0"/>
            <w:left w:val="none" w:sz="0" w:space="0"/>
            <w:bottom w:val="none" w:sz="0" w:space="0"/>
            <w:right w:val="none" w:sz="0" w:space="0"/>
          </w:pgBorders>
          <w:pgNumType w:fmt="decimal"/>
          <w:cols w:space="720" w:num="1"/>
          <w:docGrid w:linePitch="312" w:charSpace="0"/>
        </w:sectPr>
      </w:pPr>
    </w:p>
    <w:p>
      <w:pPr>
        <w:widowControl/>
        <w:spacing w:line="360" w:lineRule="auto"/>
        <w:outlineLvl w:val="9"/>
        <w:rPr>
          <w:rFonts w:hint="default" w:ascii="Times New Roman" w:hAnsi="Times New Roman" w:cs="Times New Roman"/>
          <w:b/>
          <w:szCs w:val="21"/>
          <w:highlight w:val="none"/>
        </w:rPr>
      </w:pPr>
      <w:r>
        <w:rPr>
          <w:rFonts w:hint="default" w:ascii="Times New Roman" w:hAnsi="Times New Roman" w:cs="Times New Roman"/>
          <w:b/>
          <w:spacing w:val="6"/>
          <w:szCs w:val="21"/>
          <w:highlight w:val="none"/>
        </w:rPr>
        <w:t>格式十三：</w:t>
      </w:r>
    </w:p>
    <w:p>
      <w:pPr>
        <w:pStyle w:val="3"/>
        <w:spacing w:line="360" w:lineRule="auto"/>
        <w:ind w:firstLine="0"/>
        <w:jc w:val="center"/>
        <w:outlineLvl w:val="9"/>
        <w:rPr>
          <w:rFonts w:hint="default" w:ascii="Times New Roman" w:hAnsi="Times New Roman" w:cs="Times New Roman"/>
          <w:b/>
          <w:sz w:val="24"/>
          <w:highlight w:val="none"/>
        </w:rPr>
      </w:pPr>
      <w:bookmarkStart w:id="145" w:name="OLE_LINK13"/>
      <w:bookmarkStart w:id="146" w:name="_Toc21448"/>
      <w:bookmarkStart w:id="147" w:name="OLE_LINK14"/>
      <w:bookmarkStart w:id="148" w:name="_Toc28213"/>
      <w:r>
        <w:rPr>
          <w:rFonts w:hint="default" w:ascii="Times New Roman" w:hAnsi="Times New Roman" w:cs="Times New Roman"/>
          <w:b/>
          <w:sz w:val="24"/>
          <w:highlight w:val="none"/>
        </w:rPr>
        <w:t>残疾人福利性单位声明函</w:t>
      </w:r>
      <w:bookmarkEnd w:id="145"/>
      <w:bookmarkEnd w:id="146"/>
      <w:bookmarkEnd w:id="147"/>
      <w:bookmarkEnd w:id="148"/>
    </w:p>
    <w:p>
      <w:pPr>
        <w:spacing w:line="360" w:lineRule="auto"/>
        <w:ind w:firstLine="420" w:firstLineChars="200"/>
        <w:rPr>
          <w:rFonts w:hint="default" w:ascii="Times New Roman" w:hAnsi="Times New Roman" w:cs="Times New Roman"/>
          <w:szCs w:val="21"/>
          <w:highlight w:val="none"/>
        </w:rPr>
      </w:pPr>
    </w:p>
    <w:p>
      <w:pPr>
        <w:spacing w:line="360" w:lineRule="auto"/>
        <w:ind w:firstLine="420" w:firstLineChars="200"/>
        <w:rPr>
          <w:rFonts w:hint="default" w:ascii="Times New Roman" w:hAnsi="Times New Roman" w:cs="Times New Roman"/>
          <w:szCs w:val="21"/>
          <w:highlight w:val="none"/>
        </w:rPr>
      </w:pPr>
      <w:r>
        <w:rPr>
          <w:rFonts w:hint="default" w:ascii="Times New Roman" w:hAnsi="Times New Roman" w:cs="Times New Roman"/>
          <w:szCs w:val="21"/>
          <w:highlight w:val="none"/>
        </w:rPr>
        <w:t>本单位郑重声明，根据《财政部 民政部 中国残疾人联合会关于促进残疾人就业政府采购政策的通知》（财库【2017】141号）的规定，本单位</w:t>
      </w:r>
      <w:r>
        <w:rPr>
          <w:rFonts w:hint="default" w:ascii="Times New Roman" w:hAnsi="Times New Roman" w:cs="Times New Roman"/>
          <w:szCs w:val="21"/>
          <w:highlight w:val="none"/>
          <w:u w:val="single"/>
        </w:rPr>
        <w:t xml:space="preserve">    </w:t>
      </w:r>
      <w:r>
        <w:rPr>
          <w:rFonts w:hint="default" w:ascii="Times New Roman" w:hAnsi="Times New Roman" w:cs="Times New Roman"/>
          <w:kern w:val="0"/>
          <w:szCs w:val="21"/>
          <w:highlight w:val="none"/>
          <w:lang w:bidi="ar"/>
        </w:rPr>
        <w:t>（请填写：为符合、不符合）</w:t>
      </w:r>
      <w:r>
        <w:rPr>
          <w:rFonts w:hint="default" w:ascii="Times New Roman" w:hAnsi="Times New Roman" w:cs="Times New Roman"/>
          <w:szCs w:val="21"/>
          <w:highlight w:val="none"/>
        </w:rPr>
        <w:t>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default" w:ascii="Times New Roman" w:hAnsi="Times New Roman" w:cs="Times New Roman"/>
          <w:highlight w:val="none"/>
        </w:rPr>
      </w:pPr>
      <w:r>
        <w:rPr>
          <w:rFonts w:hint="default" w:ascii="Times New Roman" w:hAnsi="Times New Roman" w:cs="Times New Roman"/>
          <w:szCs w:val="21"/>
          <w:highlight w:val="none"/>
        </w:rPr>
        <w:t>本单位对上述声明的真实性负责。如有虚假，将依法承担相应责任。</w:t>
      </w:r>
    </w:p>
    <w:p>
      <w:pPr>
        <w:spacing w:line="360" w:lineRule="auto"/>
        <w:ind w:firstLine="444" w:firstLineChars="200"/>
        <w:rPr>
          <w:rFonts w:hint="default" w:ascii="Times New Roman" w:hAnsi="Times New Roman" w:cs="Times New Roman"/>
          <w:spacing w:val="6"/>
          <w:szCs w:val="21"/>
          <w:highlight w:val="none"/>
        </w:rPr>
      </w:pPr>
    </w:p>
    <w:p>
      <w:pPr>
        <w:spacing w:line="360" w:lineRule="auto"/>
        <w:ind w:firstLine="444" w:firstLineChars="200"/>
        <w:rPr>
          <w:rFonts w:hint="default" w:ascii="Times New Roman" w:hAnsi="Times New Roman" w:cs="Times New Roman"/>
          <w:spacing w:val="6"/>
          <w:szCs w:val="21"/>
          <w:highlight w:val="none"/>
        </w:rPr>
      </w:pPr>
    </w:p>
    <w:p>
      <w:pPr>
        <w:tabs>
          <w:tab w:val="left" w:pos="4860"/>
        </w:tabs>
        <w:spacing w:line="360" w:lineRule="auto"/>
        <w:ind w:right="1560" w:firstLine="444" w:firstLineChars="200"/>
        <w:jc w:val="center"/>
        <w:rPr>
          <w:rFonts w:hint="default" w:ascii="Times New Roman" w:hAnsi="Times New Roman" w:cs="Times New Roman"/>
          <w:spacing w:val="6"/>
          <w:szCs w:val="21"/>
          <w:highlight w:val="none"/>
        </w:rPr>
      </w:pPr>
      <w:r>
        <w:rPr>
          <w:rFonts w:hint="default" w:ascii="Times New Roman" w:hAnsi="Times New Roman" w:cs="Times New Roman"/>
          <w:spacing w:val="6"/>
          <w:szCs w:val="21"/>
          <w:highlight w:val="none"/>
        </w:rPr>
        <w:t xml:space="preserve">                                   企业名称（盖章）： </w:t>
      </w:r>
    </w:p>
    <w:p>
      <w:pPr>
        <w:spacing w:line="360" w:lineRule="auto"/>
        <w:jc w:val="left"/>
        <w:rPr>
          <w:rFonts w:hint="default" w:ascii="Times New Roman" w:hAnsi="Times New Roman" w:cs="Times New Roman"/>
          <w:b/>
          <w:bCs/>
          <w:spacing w:val="0"/>
          <w:sz w:val="21"/>
          <w:szCs w:val="21"/>
          <w:highlight w:val="none"/>
        </w:rPr>
      </w:pPr>
      <w:r>
        <w:rPr>
          <w:rFonts w:hint="default" w:ascii="Times New Roman" w:hAnsi="Times New Roman" w:cs="Times New Roman"/>
          <w:spacing w:val="6"/>
          <w:szCs w:val="21"/>
          <w:highlight w:val="none"/>
        </w:rPr>
        <w:t xml:space="preserve">                                        日  期：</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sectPr>
      <w:pgSz w:w="11906" w:h="16838"/>
      <w:pgMar w:top="1474" w:right="1797" w:bottom="1247" w:left="1797" w:header="851" w:footer="85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幼圆">
    <w:panose1 w:val="02010509060101010101"/>
    <w:charset w:val="86"/>
    <w:family w:val="modern"/>
    <w:pitch w:val="default"/>
    <w:sig w:usb0="00000001" w:usb1="080E0000" w:usb2="00000000" w:usb3="00000000" w:csb0="00040000" w:csb1="00000000"/>
  </w:font>
  <w:font w:name="Thorndale">
    <w:altName w:val="Times New Roman"/>
    <w:panose1 w:val="00000000000000000000"/>
    <w:charset w:val="00"/>
    <w:family w:val="roman"/>
    <w:pitch w:val="default"/>
    <w:sig w:usb0="00000000" w:usb1="00000000" w:usb2="00000000" w:usb3="00000000" w:csb0="00040001" w:csb1="00000000"/>
  </w:font>
  <w:font w:name="HG Mincho Light J">
    <w:altName w:val="Times New Roman"/>
    <w:panose1 w:val="00000000000000000000"/>
    <w:charset w:val="00"/>
    <w:family w:val="auto"/>
    <w:pitch w:val="default"/>
    <w:sig w:usb0="00000000" w:usb1="00000000" w:usb2="00000000" w:usb3="00000000" w:csb0="00040001" w:csb1="00000000"/>
  </w:font>
  <w:font w:name="Helvetica">
    <w:altName w:val="Arial"/>
    <w:panose1 w:val="020B0504020202030204"/>
    <w:charset w:val="00"/>
    <w:family w:val="swiss"/>
    <w:pitch w:val="default"/>
    <w:sig w:usb0="00000007" w:usb1="00000000" w:usb2="00000000" w:usb3="00000000" w:csb0="00000093" w:csb1="00000000"/>
  </w:font>
  <w:font w:name="Verdana">
    <w:panose1 w:val="020B0604030504040204"/>
    <w:charset w:val="00"/>
    <w:family w:val="swiss"/>
    <w:pitch w:val="default"/>
    <w:sig w:usb0="A00006FF" w:usb1="4000205B" w:usb2="00000010" w:usb3="00000000" w:csb0="2000019F"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Futura Bk">
    <w:altName w:val="Courier New"/>
    <w:panose1 w:val="00000000000000000000"/>
    <w:charset w:val="00"/>
    <w:family w:val="auto"/>
    <w:pitch w:val="default"/>
    <w:sig w:usb0="80000067" w:usb1="00000000" w:usb2="00000000" w:usb3="00000000" w:csb0="000001FB" w:csb1="00000000"/>
  </w:font>
  <w:font w:name="hakuyoxingshu7000">
    <w:altName w:val="宋体"/>
    <w:panose1 w:val="02000600000000000000"/>
    <w:charset w:val="86"/>
    <w:family w:val="auto"/>
    <w:pitch w:val="default"/>
    <w:sig w:usb0="FFFFFFFF" w:usb1="E9FFFFFF" w:usb2="0000003F" w:usb3="00000000" w:csb0="603F00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8"/>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 AQAADwAAAGRycy9kb3ducmV2LnhtbE2PMWvDMBCF90L/g7hAt0ZOhtY4ljMEsnRLWgrdFOtimUgn IymO/e9zLYV2Oe7xjnffq7eTd2LEmPpAClbLAgRSG0xPnYKP9/1zCSJlTUa7QKhgxgTb5vGh1pUJ NzrgeMyd4BBKlVZgcx4qKVNr0eu0DAMSe+cQvc4sYydN1DcO906ui+JFet0Tf7B6wJ3F9nK8egWv 02fAIeEOv85jG20/l+5tVuppsSo2IDJO+e8YvvEZHRpmOoUrmSScAi6SfyZ767JkefpdZFPL//TN HVBLAwQUAAAACACHTuJAK1vRY94BAAC/AwAADgAAAGRycy9lMm9Eb2MueG1srVPNjtMwEL4j8Q6W 7zTZroSqqOkKtlqEhABp4QFcx2ks+U8zbpPyAPAGnLhw57n6HIydpAvLZQ9ckvHM+Jv5vhmvbwZr 2FEBau9qfrUoOVNO+ka7fc0/f7p7seIMo3CNMN6pmp8U8pvN82frPlRq6TtvGgWMQBxWfah5F2Oo igJlp6zAhQ/KUbD1YEWkI+yLBkRP6NYUy7J8WfQemgBeKkTybscgnxDhKYC+bbVUWy8PVrk4ooIy IhIl7HRAvsndtq2S8UPboorM1JyYxvylImTv0rfYrEW1BxE6LacWxFNaeMTJCu2o6AVqK6JgB9D/ QFktwaNv40J6W4xEsiLE4qp8pM19J4LKXEhqDBfR8f/ByvfHj8B0Q5uw5MwJSxM/f/92/vHr/PMr u0769AErSrsPlBiH136g3NmP5Ey0hxZs+hMhRnFS93RRVw2RyXRptVytSgpJis0Hwi8ergfA+EZ5 y5JRc6DxZVXF8R3GMXVOSdWcv9PG5BEa95eDMJOnSL2PPSYrDrthIrTzzYn40DugOp2HL5z1tAU1 d7T0nJm3jkROCzMbMBu72RBO0sWaR85G8zaOi3UIoPddXrXUFIZXh0idZgKpjbH21B3NNUsw7WBa nD/POevh3W1+A1BLAwQKAAAAAACHTuJAAAAAAAAAAAAAAAAABgAAAF9yZWxzL1BLAwQUAAAACACH TuJAihRmPNEAAACUAQAACwAAAF9yZWxzLy5yZWxzpZDBasMwDIbvg72D0X1xmsMYo04vo9Br6R7A 2IpjGltGMtn69vMOg2X0tqN+oe8T//7wmRa1IkukbGDX9aAwO/IxBwPvl+PTCyipNnu7UEYDNxQ4 jI8P+zMutrYjmWMR1ShZDMy1lletxc2YrHRUMLfNRJxsbSMHXay72oB66Ptnzb8ZMG6Y6uQN8MkP oC630sx/2Ck6JqGpdo6SpmmK7h5VB7Zlju7INuEbuUazHLAa8CwaB2pZ134EfV+/+6fe00c+47rV foeM649Xb7ocvwBQSwMEFAAAAAgAh07iQH7m5SD3AAAA4QEAABMAAABbQ29udGVudF9UeXBlc10u eG1slZFBTsMwEEX3SNzB8hYlTrtACCXpgrRLQKgcYGRPEotkbHlMaG+Pk7YbRJFY2jP/vye73BzG QUwY2Dqq5CovpEDSzljqKvm+32UPUnAEMjA4wkoekeWmvr0p90ePLFKauJJ9jP5RKdY9jsC580hp 0rowQkzH0CkP+gM6VOuiuFfaUUSKWZw7ZF022MLnEMX2kK5PJgEHluLptDizKgneD1ZDTKZqIvOD kp0JeUouO9xbz3dJQ6pfCfPkOuCce0lPE6xB8QohPsOYNJQJrIz7ooBT/nfJbDly5trWasybwE2K veF0sbrWjmvXOP3f8u2SunSr5YPqb1BLAQIUABQAAAAIAIdO4kB+5uUg9wAAAOEBAAATAAAAAAAA AAEAIAAAAEYEAABbQ29udGVudF9UeXBlc10ueG1sUEsBAhQACgAAAAAAh07iQAAAAAAAAAAAAAAA AAYAAAAAAAAAAAAQAAAAKAMAAF9yZWxzL1BLAQIUABQAAAAIAIdO4kCKFGY80QAAAJQBAAALAAAA AAAAAAEAIAAAAEwDAABfcmVscy8ucmVsc1BLAQIUAAoAAAAAAIdO4kAAAAAAAAAAAAAAAAAEAAAA AAAAAAAAEAAAAAAAAABkcnMvUEsBAhQAFAAAAAgAh07iQM6pebnPAAAABQEAAA8AAAAAAAAAAQAg AAAAIgAAAGRycy9kb3ducmV2LnhtbFBLAQIUABQAAAAIAIdO4kArW9Fj3gEAAL8DAAAOAAAAAAAA AAEAIAAAAB4BAABkcnMvZTJvRG9jLnhtbFBLBQYAAAAABgAGAFkBAABuBQAAAAA= ">
              <v:fill on="f" focussize="0,0"/>
              <v:stroke on="f"/>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DE97D8"/>
    <w:multiLevelType w:val="singleLevel"/>
    <w:tmpl w:val="81DE97D8"/>
    <w:lvl w:ilvl="0" w:tentative="0">
      <w:start w:val="1"/>
      <w:numFmt w:val="bullet"/>
      <w:lvlText w:val=""/>
      <w:lvlJc w:val="left"/>
      <w:pPr>
        <w:ind w:left="420" w:hanging="420"/>
      </w:pPr>
      <w:rPr>
        <w:rFonts w:hint="default" w:ascii="Wingdings" w:hAnsi="Wingdings"/>
      </w:rPr>
    </w:lvl>
  </w:abstractNum>
  <w:abstractNum w:abstractNumId="1">
    <w:nsid w:val="8BF9E956"/>
    <w:multiLevelType w:val="singleLevel"/>
    <w:tmpl w:val="8BF9E956"/>
    <w:lvl w:ilvl="0" w:tentative="0">
      <w:start w:val="1"/>
      <w:numFmt w:val="bullet"/>
      <w:lvlText w:val=""/>
      <w:lvlJc w:val="left"/>
      <w:pPr>
        <w:ind w:left="420" w:hanging="420"/>
      </w:pPr>
      <w:rPr>
        <w:rFonts w:hint="default" w:ascii="Wingdings" w:hAnsi="Wingdings"/>
      </w:rPr>
    </w:lvl>
  </w:abstractNum>
  <w:abstractNum w:abstractNumId="2">
    <w:nsid w:val="8E109042"/>
    <w:multiLevelType w:val="singleLevel"/>
    <w:tmpl w:val="8E109042"/>
    <w:lvl w:ilvl="0" w:tentative="0">
      <w:start w:val="1"/>
      <w:numFmt w:val="bullet"/>
      <w:lvlText w:val=""/>
      <w:lvlJc w:val="left"/>
      <w:pPr>
        <w:ind w:left="420" w:hanging="420"/>
      </w:pPr>
      <w:rPr>
        <w:rFonts w:hint="default" w:ascii="Wingdings" w:hAnsi="Wingdings"/>
      </w:rPr>
    </w:lvl>
  </w:abstractNum>
  <w:abstractNum w:abstractNumId="3">
    <w:nsid w:val="8FD3EDCF"/>
    <w:multiLevelType w:val="singleLevel"/>
    <w:tmpl w:val="8FD3EDCF"/>
    <w:lvl w:ilvl="0" w:tentative="0">
      <w:start w:val="1"/>
      <w:numFmt w:val="bullet"/>
      <w:lvlText w:val=""/>
      <w:lvlJc w:val="left"/>
      <w:pPr>
        <w:ind w:left="420" w:hanging="420"/>
      </w:pPr>
      <w:rPr>
        <w:rFonts w:hint="default" w:ascii="Wingdings" w:hAnsi="Wingdings"/>
      </w:rPr>
    </w:lvl>
  </w:abstractNum>
  <w:abstractNum w:abstractNumId="4">
    <w:nsid w:val="9A5573F5"/>
    <w:multiLevelType w:val="singleLevel"/>
    <w:tmpl w:val="9A5573F5"/>
    <w:lvl w:ilvl="0" w:tentative="0">
      <w:start w:val="1"/>
      <w:numFmt w:val="bullet"/>
      <w:lvlText w:val=""/>
      <w:lvlJc w:val="left"/>
      <w:pPr>
        <w:ind w:left="420" w:hanging="420"/>
      </w:pPr>
      <w:rPr>
        <w:rFonts w:hint="default" w:ascii="Wingdings" w:hAnsi="Wingdings"/>
      </w:rPr>
    </w:lvl>
  </w:abstractNum>
  <w:abstractNum w:abstractNumId="5">
    <w:nsid w:val="9C8FC0E1"/>
    <w:multiLevelType w:val="singleLevel"/>
    <w:tmpl w:val="9C8FC0E1"/>
    <w:lvl w:ilvl="0" w:tentative="0">
      <w:start w:val="1"/>
      <w:numFmt w:val="bullet"/>
      <w:lvlText w:val=""/>
      <w:lvlJc w:val="left"/>
      <w:pPr>
        <w:ind w:left="420" w:hanging="420"/>
      </w:pPr>
      <w:rPr>
        <w:rFonts w:hint="default" w:ascii="Wingdings" w:hAnsi="Wingdings"/>
      </w:rPr>
    </w:lvl>
  </w:abstractNum>
  <w:abstractNum w:abstractNumId="6">
    <w:nsid w:val="A8D5BF20"/>
    <w:multiLevelType w:val="singleLevel"/>
    <w:tmpl w:val="A8D5BF20"/>
    <w:lvl w:ilvl="0" w:tentative="0">
      <w:start w:val="1"/>
      <w:numFmt w:val="bullet"/>
      <w:lvlText w:val=""/>
      <w:lvlJc w:val="left"/>
      <w:pPr>
        <w:ind w:left="420" w:hanging="420"/>
      </w:pPr>
      <w:rPr>
        <w:rFonts w:hint="default" w:ascii="Wingdings" w:hAnsi="Wingdings"/>
      </w:rPr>
    </w:lvl>
  </w:abstractNum>
  <w:abstractNum w:abstractNumId="7">
    <w:nsid w:val="BE55156B"/>
    <w:multiLevelType w:val="singleLevel"/>
    <w:tmpl w:val="BE55156B"/>
    <w:lvl w:ilvl="0" w:tentative="0">
      <w:start w:val="1"/>
      <w:numFmt w:val="bullet"/>
      <w:lvlText w:val=""/>
      <w:lvlJc w:val="left"/>
      <w:pPr>
        <w:ind w:left="420" w:hanging="420"/>
      </w:pPr>
      <w:rPr>
        <w:rFonts w:hint="default" w:ascii="Wingdings" w:hAnsi="Wingdings"/>
      </w:rPr>
    </w:lvl>
  </w:abstractNum>
  <w:abstractNum w:abstractNumId="8">
    <w:nsid w:val="BFE50E61"/>
    <w:multiLevelType w:val="singleLevel"/>
    <w:tmpl w:val="BFE50E61"/>
    <w:lvl w:ilvl="0" w:tentative="0">
      <w:start w:val="1"/>
      <w:numFmt w:val="decimal"/>
      <w:lvlText w:val="%1."/>
      <w:lvlJc w:val="left"/>
      <w:pPr>
        <w:tabs>
          <w:tab w:val="left" w:pos="312"/>
        </w:tabs>
      </w:pPr>
    </w:lvl>
  </w:abstractNum>
  <w:abstractNum w:abstractNumId="9">
    <w:nsid w:val="C073D505"/>
    <w:multiLevelType w:val="singleLevel"/>
    <w:tmpl w:val="C073D505"/>
    <w:lvl w:ilvl="0" w:tentative="0">
      <w:start w:val="1"/>
      <w:numFmt w:val="chineseCounting"/>
      <w:suff w:val="nothing"/>
      <w:lvlText w:val="（%1）"/>
      <w:lvlJc w:val="left"/>
      <w:pPr>
        <w:ind w:left="0" w:firstLine="420"/>
      </w:pPr>
      <w:rPr>
        <w:rFonts w:hint="eastAsia"/>
      </w:rPr>
    </w:lvl>
  </w:abstractNum>
  <w:abstractNum w:abstractNumId="10">
    <w:nsid w:val="C4729965"/>
    <w:multiLevelType w:val="singleLevel"/>
    <w:tmpl w:val="C4729965"/>
    <w:lvl w:ilvl="0" w:tentative="0">
      <w:start w:val="1"/>
      <w:numFmt w:val="chineseCounting"/>
      <w:suff w:val="nothing"/>
      <w:lvlText w:val="（%1）"/>
      <w:lvlJc w:val="left"/>
      <w:pPr>
        <w:ind w:left="0" w:firstLine="420"/>
      </w:pPr>
      <w:rPr>
        <w:rFonts w:hint="eastAsia"/>
      </w:rPr>
    </w:lvl>
  </w:abstractNum>
  <w:abstractNum w:abstractNumId="11">
    <w:nsid w:val="C59FBECF"/>
    <w:multiLevelType w:val="singleLevel"/>
    <w:tmpl w:val="C59FBECF"/>
    <w:lvl w:ilvl="0" w:tentative="0">
      <w:start w:val="1"/>
      <w:numFmt w:val="bullet"/>
      <w:lvlText w:val=""/>
      <w:lvlJc w:val="left"/>
      <w:pPr>
        <w:ind w:left="420" w:hanging="420"/>
      </w:pPr>
      <w:rPr>
        <w:rFonts w:hint="default" w:ascii="Wingdings" w:hAnsi="Wingdings"/>
      </w:rPr>
    </w:lvl>
  </w:abstractNum>
  <w:abstractNum w:abstractNumId="12">
    <w:nsid w:val="C6E956B8"/>
    <w:multiLevelType w:val="singleLevel"/>
    <w:tmpl w:val="C6E956B8"/>
    <w:lvl w:ilvl="0" w:tentative="0">
      <w:start w:val="1"/>
      <w:numFmt w:val="bullet"/>
      <w:lvlText w:val=""/>
      <w:lvlJc w:val="left"/>
      <w:pPr>
        <w:ind w:left="420" w:hanging="420"/>
      </w:pPr>
      <w:rPr>
        <w:rFonts w:hint="default" w:ascii="Wingdings" w:hAnsi="Wingdings"/>
      </w:rPr>
    </w:lvl>
  </w:abstractNum>
  <w:abstractNum w:abstractNumId="13">
    <w:nsid w:val="C72A3B0D"/>
    <w:multiLevelType w:val="singleLevel"/>
    <w:tmpl w:val="C72A3B0D"/>
    <w:lvl w:ilvl="0" w:tentative="0">
      <w:start w:val="1"/>
      <w:numFmt w:val="bullet"/>
      <w:lvlText w:val=""/>
      <w:lvlJc w:val="left"/>
      <w:pPr>
        <w:ind w:left="420" w:hanging="420"/>
      </w:pPr>
      <w:rPr>
        <w:rFonts w:hint="default" w:ascii="Wingdings" w:hAnsi="Wingdings"/>
      </w:rPr>
    </w:lvl>
  </w:abstractNum>
  <w:abstractNum w:abstractNumId="14">
    <w:nsid w:val="C81574D9"/>
    <w:multiLevelType w:val="singleLevel"/>
    <w:tmpl w:val="C81574D9"/>
    <w:lvl w:ilvl="0" w:tentative="0">
      <w:start w:val="1"/>
      <w:numFmt w:val="bullet"/>
      <w:lvlText w:val=""/>
      <w:lvlJc w:val="left"/>
      <w:pPr>
        <w:ind w:left="420" w:hanging="420"/>
      </w:pPr>
      <w:rPr>
        <w:rFonts w:hint="default" w:ascii="Wingdings" w:hAnsi="Wingdings"/>
      </w:rPr>
    </w:lvl>
  </w:abstractNum>
  <w:abstractNum w:abstractNumId="15">
    <w:nsid w:val="D2A6246B"/>
    <w:multiLevelType w:val="singleLevel"/>
    <w:tmpl w:val="D2A6246B"/>
    <w:lvl w:ilvl="0" w:tentative="0">
      <w:start w:val="1"/>
      <w:numFmt w:val="bullet"/>
      <w:lvlText w:val=""/>
      <w:lvlJc w:val="left"/>
      <w:pPr>
        <w:ind w:left="420" w:hanging="420"/>
      </w:pPr>
      <w:rPr>
        <w:rFonts w:hint="default" w:ascii="Wingdings" w:hAnsi="Wingdings"/>
      </w:rPr>
    </w:lvl>
  </w:abstractNum>
  <w:abstractNum w:abstractNumId="16">
    <w:nsid w:val="D4959512"/>
    <w:multiLevelType w:val="singleLevel"/>
    <w:tmpl w:val="D4959512"/>
    <w:lvl w:ilvl="0" w:tentative="0">
      <w:start w:val="1"/>
      <w:numFmt w:val="bullet"/>
      <w:lvlText w:val=""/>
      <w:lvlJc w:val="left"/>
      <w:pPr>
        <w:ind w:left="420" w:hanging="420"/>
      </w:pPr>
      <w:rPr>
        <w:rFonts w:hint="default" w:ascii="Wingdings" w:hAnsi="Wingdings"/>
      </w:rPr>
    </w:lvl>
  </w:abstractNum>
  <w:abstractNum w:abstractNumId="17">
    <w:nsid w:val="D84E1EAF"/>
    <w:multiLevelType w:val="singleLevel"/>
    <w:tmpl w:val="D84E1EAF"/>
    <w:lvl w:ilvl="0" w:tentative="0">
      <w:start w:val="1"/>
      <w:numFmt w:val="bullet"/>
      <w:lvlText w:val=""/>
      <w:lvlJc w:val="left"/>
      <w:pPr>
        <w:ind w:left="420" w:hanging="420"/>
      </w:pPr>
      <w:rPr>
        <w:rFonts w:hint="default" w:ascii="Wingdings" w:hAnsi="Wingdings"/>
      </w:rPr>
    </w:lvl>
  </w:abstractNum>
  <w:abstractNum w:abstractNumId="18">
    <w:nsid w:val="D892B6E0"/>
    <w:multiLevelType w:val="singleLevel"/>
    <w:tmpl w:val="D892B6E0"/>
    <w:lvl w:ilvl="0" w:tentative="0">
      <w:start w:val="1"/>
      <w:numFmt w:val="bullet"/>
      <w:lvlText w:val=""/>
      <w:lvlJc w:val="left"/>
      <w:pPr>
        <w:ind w:left="420" w:hanging="420"/>
      </w:pPr>
      <w:rPr>
        <w:rFonts w:hint="default" w:ascii="Wingdings" w:hAnsi="Wingdings"/>
      </w:rPr>
    </w:lvl>
  </w:abstractNum>
  <w:abstractNum w:abstractNumId="19">
    <w:nsid w:val="DC42DD6C"/>
    <w:multiLevelType w:val="singleLevel"/>
    <w:tmpl w:val="DC42DD6C"/>
    <w:lvl w:ilvl="0" w:tentative="0">
      <w:start w:val="1"/>
      <w:numFmt w:val="bullet"/>
      <w:lvlText w:val=""/>
      <w:lvlJc w:val="left"/>
      <w:pPr>
        <w:ind w:left="420" w:hanging="420"/>
      </w:pPr>
      <w:rPr>
        <w:rFonts w:hint="default" w:ascii="Wingdings" w:hAnsi="Wingdings"/>
      </w:rPr>
    </w:lvl>
  </w:abstractNum>
  <w:abstractNum w:abstractNumId="20">
    <w:nsid w:val="E2766D10"/>
    <w:multiLevelType w:val="singleLevel"/>
    <w:tmpl w:val="E2766D10"/>
    <w:lvl w:ilvl="0" w:tentative="0">
      <w:start w:val="1"/>
      <w:numFmt w:val="bullet"/>
      <w:lvlText w:val=""/>
      <w:lvlJc w:val="left"/>
      <w:pPr>
        <w:ind w:left="420" w:hanging="420"/>
      </w:pPr>
      <w:rPr>
        <w:rFonts w:hint="default" w:ascii="Wingdings" w:hAnsi="Wingdings"/>
      </w:rPr>
    </w:lvl>
  </w:abstractNum>
  <w:abstractNum w:abstractNumId="21">
    <w:nsid w:val="E3F005B5"/>
    <w:multiLevelType w:val="singleLevel"/>
    <w:tmpl w:val="E3F005B5"/>
    <w:lvl w:ilvl="0" w:tentative="0">
      <w:start w:val="1"/>
      <w:numFmt w:val="bullet"/>
      <w:lvlText w:val=""/>
      <w:lvlJc w:val="left"/>
      <w:pPr>
        <w:ind w:left="420" w:hanging="420"/>
      </w:pPr>
      <w:rPr>
        <w:rFonts w:hint="default" w:ascii="Wingdings" w:hAnsi="Wingdings"/>
      </w:rPr>
    </w:lvl>
  </w:abstractNum>
  <w:abstractNum w:abstractNumId="22">
    <w:nsid w:val="E8E1F9A7"/>
    <w:multiLevelType w:val="singleLevel"/>
    <w:tmpl w:val="E8E1F9A7"/>
    <w:lvl w:ilvl="0" w:tentative="0">
      <w:start w:val="1"/>
      <w:numFmt w:val="bullet"/>
      <w:lvlText w:val=""/>
      <w:lvlJc w:val="left"/>
      <w:pPr>
        <w:ind w:left="420" w:hanging="420"/>
      </w:pPr>
      <w:rPr>
        <w:rFonts w:hint="default" w:ascii="Wingdings" w:hAnsi="Wingdings"/>
      </w:rPr>
    </w:lvl>
  </w:abstractNum>
  <w:abstractNum w:abstractNumId="23">
    <w:nsid w:val="EA0505D0"/>
    <w:multiLevelType w:val="singleLevel"/>
    <w:tmpl w:val="EA0505D0"/>
    <w:lvl w:ilvl="0" w:tentative="0">
      <w:start w:val="1"/>
      <w:numFmt w:val="bullet"/>
      <w:lvlText w:val=""/>
      <w:lvlJc w:val="left"/>
      <w:pPr>
        <w:ind w:left="420" w:hanging="420"/>
      </w:pPr>
      <w:rPr>
        <w:rFonts w:hint="default" w:ascii="Wingdings" w:hAnsi="Wingdings"/>
      </w:rPr>
    </w:lvl>
  </w:abstractNum>
  <w:abstractNum w:abstractNumId="24">
    <w:nsid w:val="EB1FE1EB"/>
    <w:multiLevelType w:val="singleLevel"/>
    <w:tmpl w:val="EB1FE1EB"/>
    <w:lvl w:ilvl="0" w:tentative="0">
      <w:start w:val="1"/>
      <w:numFmt w:val="bullet"/>
      <w:lvlText w:val=""/>
      <w:lvlJc w:val="left"/>
      <w:pPr>
        <w:ind w:left="420" w:hanging="420"/>
      </w:pPr>
      <w:rPr>
        <w:rFonts w:hint="default" w:ascii="Wingdings" w:hAnsi="Wingdings"/>
      </w:rPr>
    </w:lvl>
  </w:abstractNum>
  <w:abstractNum w:abstractNumId="25">
    <w:nsid w:val="ED28CAAD"/>
    <w:multiLevelType w:val="singleLevel"/>
    <w:tmpl w:val="ED28CAAD"/>
    <w:lvl w:ilvl="0" w:tentative="0">
      <w:start w:val="1"/>
      <w:numFmt w:val="bullet"/>
      <w:lvlText w:val=""/>
      <w:lvlJc w:val="left"/>
      <w:pPr>
        <w:ind w:left="420" w:hanging="420"/>
      </w:pPr>
      <w:rPr>
        <w:rFonts w:hint="default" w:ascii="Wingdings" w:hAnsi="Wingdings"/>
      </w:rPr>
    </w:lvl>
  </w:abstractNum>
  <w:abstractNum w:abstractNumId="26">
    <w:nsid w:val="EF7319EE"/>
    <w:multiLevelType w:val="singleLevel"/>
    <w:tmpl w:val="EF7319EE"/>
    <w:lvl w:ilvl="0" w:tentative="0">
      <w:start w:val="1"/>
      <w:numFmt w:val="bullet"/>
      <w:lvlText w:val=""/>
      <w:lvlJc w:val="left"/>
      <w:pPr>
        <w:ind w:left="420" w:hanging="420"/>
      </w:pPr>
      <w:rPr>
        <w:rFonts w:hint="default" w:ascii="Wingdings" w:hAnsi="Wingdings"/>
      </w:rPr>
    </w:lvl>
  </w:abstractNum>
  <w:abstractNum w:abstractNumId="27">
    <w:nsid w:val="F532E4BD"/>
    <w:multiLevelType w:val="singleLevel"/>
    <w:tmpl w:val="F532E4BD"/>
    <w:lvl w:ilvl="0" w:tentative="0">
      <w:start w:val="1"/>
      <w:numFmt w:val="decimal"/>
      <w:suff w:val="nothing"/>
      <w:lvlText w:val="（%1）"/>
      <w:lvlJc w:val="left"/>
    </w:lvl>
  </w:abstractNum>
  <w:abstractNum w:abstractNumId="28">
    <w:nsid w:val="F5AC17F5"/>
    <w:multiLevelType w:val="singleLevel"/>
    <w:tmpl w:val="F5AC17F5"/>
    <w:lvl w:ilvl="0" w:tentative="0">
      <w:start w:val="1"/>
      <w:numFmt w:val="bullet"/>
      <w:lvlText w:val=""/>
      <w:lvlJc w:val="left"/>
      <w:pPr>
        <w:ind w:left="420" w:hanging="420"/>
      </w:pPr>
      <w:rPr>
        <w:rFonts w:hint="default" w:ascii="Wingdings" w:hAnsi="Wingdings"/>
      </w:rPr>
    </w:lvl>
  </w:abstractNum>
  <w:abstractNum w:abstractNumId="29">
    <w:nsid w:val="F7C2B9F7"/>
    <w:multiLevelType w:val="singleLevel"/>
    <w:tmpl w:val="F7C2B9F7"/>
    <w:lvl w:ilvl="0" w:tentative="0">
      <w:start w:val="1"/>
      <w:numFmt w:val="bullet"/>
      <w:lvlText w:val=""/>
      <w:lvlJc w:val="left"/>
      <w:pPr>
        <w:ind w:left="420" w:hanging="420"/>
      </w:pPr>
      <w:rPr>
        <w:rFonts w:hint="default" w:ascii="Wingdings" w:hAnsi="Wingdings"/>
      </w:rPr>
    </w:lvl>
  </w:abstractNum>
  <w:abstractNum w:abstractNumId="30">
    <w:nsid w:val="F7F2C734"/>
    <w:multiLevelType w:val="singleLevel"/>
    <w:tmpl w:val="F7F2C734"/>
    <w:lvl w:ilvl="0" w:tentative="0">
      <w:start w:val="1"/>
      <w:numFmt w:val="bullet"/>
      <w:lvlText w:val=""/>
      <w:lvlJc w:val="left"/>
      <w:pPr>
        <w:ind w:left="420" w:hanging="420"/>
      </w:pPr>
      <w:rPr>
        <w:rFonts w:hint="default" w:ascii="Wingdings" w:hAnsi="Wingdings"/>
      </w:rPr>
    </w:lvl>
  </w:abstractNum>
  <w:abstractNum w:abstractNumId="31">
    <w:nsid w:val="F83A3C26"/>
    <w:multiLevelType w:val="singleLevel"/>
    <w:tmpl w:val="F83A3C26"/>
    <w:lvl w:ilvl="0" w:tentative="0">
      <w:start w:val="1"/>
      <w:numFmt w:val="bullet"/>
      <w:lvlText w:val=""/>
      <w:lvlJc w:val="left"/>
      <w:pPr>
        <w:ind w:left="420" w:hanging="420"/>
      </w:pPr>
      <w:rPr>
        <w:rFonts w:hint="default" w:ascii="Wingdings" w:hAnsi="Wingdings"/>
      </w:rPr>
    </w:lvl>
  </w:abstractNum>
  <w:abstractNum w:abstractNumId="32">
    <w:nsid w:val="FC519F06"/>
    <w:multiLevelType w:val="singleLevel"/>
    <w:tmpl w:val="FC519F06"/>
    <w:lvl w:ilvl="0" w:tentative="0">
      <w:start w:val="1"/>
      <w:numFmt w:val="bullet"/>
      <w:lvlText w:val=""/>
      <w:lvlJc w:val="left"/>
      <w:pPr>
        <w:ind w:left="420" w:hanging="420"/>
      </w:pPr>
      <w:rPr>
        <w:rFonts w:hint="default" w:ascii="Wingdings" w:hAnsi="Wingdings"/>
      </w:rPr>
    </w:lvl>
  </w:abstractNum>
  <w:abstractNum w:abstractNumId="33">
    <w:nsid w:val="00000005"/>
    <w:multiLevelType w:val="singleLevel"/>
    <w:tmpl w:val="00000005"/>
    <w:lvl w:ilvl="0" w:tentative="0">
      <w:start w:val="3"/>
      <w:numFmt w:val="decimal"/>
      <w:suff w:val="nothing"/>
      <w:lvlText w:val="%1."/>
      <w:lvlJc w:val="left"/>
    </w:lvl>
  </w:abstractNum>
  <w:abstractNum w:abstractNumId="34">
    <w:nsid w:val="00000006"/>
    <w:multiLevelType w:val="multilevel"/>
    <w:tmpl w:val="0000000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pStyle w:val="89"/>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00000007"/>
    <w:multiLevelType w:val="multilevel"/>
    <w:tmpl w:val="00000007"/>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1145" w:hanging="720"/>
      </w:pPr>
      <w:rPr>
        <w:lang w:val="en-US"/>
      </w:rPr>
    </w:lvl>
    <w:lvl w:ilvl="3" w:tentative="0">
      <w:start w:val="1"/>
      <w:numFmt w:val="decimal"/>
      <w:lvlText w:val="%1.%2.%3.%4"/>
      <w:lvlJc w:val="left"/>
      <w:pPr>
        <w:ind w:left="864" w:hanging="864"/>
      </w:pPr>
    </w:lvl>
    <w:lvl w:ilvl="4" w:tentative="0">
      <w:start w:val="1"/>
      <w:numFmt w:val="decimal"/>
      <w:pStyle w:val="9"/>
      <w:lvlText w:val="%1.%2.%3.%4.%5"/>
      <w:lvlJc w:val="left"/>
      <w:pPr>
        <w:ind w:left="1008" w:hanging="1008"/>
      </w:pPr>
    </w:lvl>
    <w:lvl w:ilvl="5" w:tentative="0">
      <w:start w:val="1"/>
      <w:numFmt w:val="decimal"/>
      <w:pStyle w:val="10"/>
      <w:lvlText w:val="%1.%2.%3.%4.%5.%6"/>
      <w:lvlJc w:val="left"/>
      <w:pPr>
        <w:ind w:left="1152" w:hanging="1152"/>
      </w:pPr>
    </w:lvl>
    <w:lvl w:ilvl="6" w:tentative="0">
      <w:start w:val="1"/>
      <w:numFmt w:val="decimal"/>
      <w:pStyle w:val="11"/>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6">
    <w:nsid w:val="00000009"/>
    <w:multiLevelType w:val="multilevel"/>
    <w:tmpl w:val="00000009"/>
    <w:lvl w:ilvl="0" w:tentative="0">
      <w:start w:val="1"/>
      <w:numFmt w:val="bullet"/>
      <w:pStyle w:val="129"/>
      <w:lvlText w:val=""/>
      <w:lvlJc w:val="left"/>
      <w:pPr>
        <w:tabs>
          <w:tab w:val="left" w:pos="840"/>
        </w:tabs>
        <w:ind w:left="840" w:hanging="420"/>
      </w:pPr>
      <w:rPr>
        <w:rFonts w:hint="default" w:ascii="Wingdings" w:hAnsi="Wingdings"/>
        <w:color w:val="000080"/>
        <w:sz w:val="15"/>
        <w:szCs w:val="15"/>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7">
    <w:nsid w:val="0000000A"/>
    <w:multiLevelType w:val="singleLevel"/>
    <w:tmpl w:val="0000000A"/>
    <w:lvl w:ilvl="0" w:tentative="0">
      <w:start w:val="1"/>
      <w:numFmt w:val="decimal"/>
      <w:pStyle w:val="20"/>
      <w:lvlText w:val="%1."/>
      <w:lvlJc w:val="left"/>
      <w:pPr>
        <w:tabs>
          <w:tab w:val="left" w:pos="1200"/>
        </w:tabs>
        <w:ind w:left="1200" w:hanging="360"/>
      </w:pPr>
    </w:lvl>
  </w:abstractNum>
  <w:abstractNum w:abstractNumId="38">
    <w:nsid w:val="0000000B"/>
    <w:multiLevelType w:val="singleLevel"/>
    <w:tmpl w:val="0000000B"/>
    <w:lvl w:ilvl="0" w:tentative="0">
      <w:start w:val="1"/>
      <w:numFmt w:val="decimal"/>
      <w:suff w:val="nothing"/>
      <w:lvlText w:val="（%1）"/>
      <w:lvlJc w:val="left"/>
      <w:pPr>
        <w:ind w:left="0" w:firstLine="400"/>
      </w:pPr>
      <w:rPr>
        <w:rFonts w:hint="default"/>
      </w:rPr>
    </w:lvl>
  </w:abstractNum>
  <w:abstractNum w:abstractNumId="39">
    <w:nsid w:val="0116524C"/>
    <w:multiLevelType w:val="singleLevel"/>
    <w:tmpl w:val="0116524C"/>
    <w:lvl w:ilvl="0" w:tentative="0">
      <w:start w:val="1"/>
      <w:numFmt w:val="bullet"/>
      <w:lvlText w:val=""/>
      <w:lvlJc w:val="left"/>
      <w:pPr>
        <w:ind w:left="420" w:hanging="420"/>
      </w:pPr>
      <w:rPr>
        <w:rFonts w:hint="default" w:ascii="Wingdings" w:hAnsi="Wingdings"/>
      </w:rPr>
    </w:lvl>
  </w:abstractNum>
  <w:abstractNum w:abstractNumId="40">
    <w:nsid w:val="018E1002"/>
    <w:multiLevelType w:val="singleLevel"/>
    <w:tmpl w:val="018E1002"/>
    <w:lvl w:ilvl="0" w:tentative="0">
      <w:start w:val="2"/>
      <w:numFmt w:val="chineseCounting"/>
      <w:suff w:val="nothing"/>
      <w:lvlText w:val="%1、"/>
      <w:lvlJc w:val="left"/>
      <w:rPr>
        <w:rFonts w:hint="eastAsia"/>
      </w:rPr>
    </w:lvl>
  </w:abstractNum>
  <w:abstractNum w:abstractNumId="41">
    <w:nsid w:val="02C95E1C"/>
    <w:multiLevelType w:val="singleLevel"/>
    <w:tmpl w:val="02C95E1C"/>
    <w:lvl w:ilvl="0" w:tentative="0">
      <w:start w:val="1"/>
      <w:numFmt w:val="decimal"/>
      <w:lvlText w:val="%1."/>
      <w:lvlJc w:val="left"/>
      <w:pPr>
        <w:tabs>
          <w:tab w:val="left" w:pos="312"/>
        </w:tabs>
      </w:pPr>
    </w:lvl>
  </w:abstractNum>
  <w:abstractNum w:abstractNumId="42">
    <w:nsid w:val="06B8FD17"/>
    <w:multiLevelType w:val="singleLevel"/>
    <w:tmpl w:val="06B8FD17"/>
    <w:lvl w:ilvl="0" w:tentative="0">
      <w:start w:val="1"/>
      <w:numFmt w:val="bullet"/>
      <w:lvlText w:val=""/>
      <w:lvlJc w:val="left"/>
      <w:pPr>
        <w:ind w:left="420" w:hanging="420"/>
      </w:pPr>
      <w:rPr>
        <w:rFonts w:hint="default" w:ascii="Wingdings" w:hAnsi="Wingdings"/>
      </w:rPr>
    </w:lvl>
  </w:abstractNum>
  <w:abstractNum w:abstractNumId="43">
    <w:nsid w:val="08BC19B3"/>
    <w:multiLevelType w:val="singleLevel"/>
    <w:tmpl w:val="08BC19B3"/>
    <w:lvl w:ilvl="0" w:tentative="0">
      <w:start w:val="1"/>
      <w:numFmt w:val="bullet"/>
      <w:lvlText w:val=""/>
      <w:lvlJc w:val="left"/>
      <w:pPr>
        <w:ind w:left="420" w:hanging="420"/>
      </w:pPr>
      <w:rPr>
        <w:rFonts w:hint="default" w:ascii="Wingdings" w:hAnsi="Wingdings"/>
      </w:rPr>
    </w:lvl>
  </w:abstractNum>
  <w:abstractNum w:abstractNumId="44">
    <w:nsid w:val="08D3CD7E"/>
    <w:multiLevelType w:val="singleLevel"/>
    <w:tmpl w:val="08D3CD7E"/>
    <w:lvl w:ilvl="0" w:tentative="0">
      <w:start w:val="1"/>
      <w:numFmt w:val="bullet"/>
      <w:lvlText w:val=""/>
      <w:lvlJc w:val="left"/>
      <w:pPr>
        <w:ind w:left="420" w:hanging="420"/>
      </w:pPr>
      <w:rPr>
        <w:rFonts w:hint="default" w:ascii="Wingdings" w:hAnsi="Wingdings"/>
      </w:rPr>
    </w:lvl>
  </w:abstractNum>
  <w:abstractNum w:abstractNumId="45">
    <w:nsid w:val="0B8D66D7"/>
    <w:multiLevelType w:val="singleLevel"/>
    <w:tmpl w:val="0B8D66D7"/>
    <w:lvl w:ilvl="0" w:tentative="0">
      <w:start w:val="1"/>
      <w:numFmt w:val="bullet"/>
      <w:lvlText w:val=""/>
      <w:lvlJc w:val="left"/>
      <w:pPr>
        <w:ind w:left="420" w:hanging="420"/>
      </w:pPr>
      <w:rPr>
        <w:rFonts w:hint="default" w:ascii="Wingdings" w:hAnsi="Wingdings"/>
      </w:rPr>
    </w:lvl>
  </w:abstractNum>
  <w:abstractNum w:abstractNumId="46">
    <w:nsid w:val="0FA82852"/>
    <w:multiLevelType w:val="singleLevel"/>
    <w:tmpl w:val="0FA82852"/>
    <w:lvl w:ilvl="0" w:tentative="0">
      <w:start w:val="1"/>
      <w:numFmt w:val="bullet"/>
      <w:lvlText w:val=""/>
      <w:lvlJc w:val="left"/>
      <w:pPr>
        <w:ind w:left="420" w:hanging="420"/>
      </w:pPr>
      <w:rPr>
        <w:rFonts w:hint="default" w:ascii="Wingdings" w:hAnsi="Wingdings"/>
      </w:rPr>
    </w:lvl>
  </w:abstractNum>
  <w:abstractNum w:abstractNumId="47">
    <w:nsid w:val="12B3E63E"/>
    <w:multiLevelType w:val="singleLevel"/>
    <w:tmpl w:val="12B3E63E"/>
    <w:lvl w:ilvl="0" w:tentative="0">
      <w:start w:val="1"/>
      <w:numFmt w:val="chineseCounting"/>
      <w:suff w:val="nothing"/>
      <w:lvlText w:val="（%1）"/>
      <w:lvlJc w:val="left"/>
      <w:pPr>
        <w:ind w:left="0" w:firstLine="420"/>
      </w:pPr>
      <w:rPr>
        <w:rFonts w:hint="eastAsia"/>
      </w:rPr>
    </w:lvl>
  </w:abstractNum>
  <w:abstractNum w:abstractNumId="48">
    <w:nsid w:val="12D43CAC"/>
    <w:multiLevelType w:val="singleLevel"/>
    <w:tmpl w:val="12D43CAC"/>
    <w:lvl w:ilvl="0" w:tentative="0">
      <w:start w:val="1"/>
      <w:numFmt w:val="bullet"/>
      <w:lvlText w:val=""/>
      <w:lvlJc w:val="left"/>
      <w:pPr>
        <w:ind w:left="420" w:hanging="420"/>
      </w:pPr>
      <w:rPr>
        <w:rFonts w:hint="default" w:ascii="Wingdings" w:hAnsi="Wingdings"/>
      </w:rPr>
    </w:lvl>
  </w:abstractNum>
  <w:abstractNum w:abstractNumId="49">
    <w:nsid w:val="13539596"/>
    <w:multiLevelType w:val="singleLevel"/>
    <w:tmpl w:val="13539596"/>
    <w:lvl w:ilvl="0" w:tentative="0">
      <w:start w:val="1"/>
      <w:numFmt w:val="bullet"/>
      <w:lvlText w:val=""/>
      <w:lvlJc w:val="left"/>
      <w:pPr>
        <w:ind w:left="420" w:hanging="420"/>
      </w:pPr>
      <w:rPr>
        <w:rFonts w:hint="default" w:ascii="Wingdings" w:hAnsi="Wingdings"/>
      </w:rPr>
    </w:lvl>
  </w:abstractNum>
  <w:abstractNum w:abstractNumId="50">
    <w:nsid w:val="1555B1F1"/>
    <w:multiLevelType w:val="singleLevel"/>
    <w:tmpl w:val="1555B1F1"/>
    <w:lvl w:ilvl="0" w:tentative="0">
      <w:start w:val="1"/>
      <w:numFmt w:val="bullet"/>
      <w:lvlText w:val=""/>
      <w:lvlJc w:val="left"/>
      <w:pPr>
        <w:ind w:left="420" w:hanging="420"/>
      </w:pPr>
      <w:rPr>
        <w:rFonts w:hint="default" w:ascii="Wingdings" w:hAnsi="Wingdings"/>
      </w:rPr>
    </w:lvl>
  </w:abstractNum>
  <w:abstractNum w:abstractNumId="51">
    <w:nsid w:val="16EE45F4"/>
    <w:multiLevelType w:val="singleLevel"/>
    <w:tmpl w:val="16EE45F4"/>
    <w:lvl w:ilvl="0" w:tentative="0">
      <w:start w:val="1"/>
      <w:numFmt w:val="bullet"/>
      <w:lvlText w:val=""/>
      <w:lvlJc w:val="left"/>
      <w:pPr>
        <w:ind w:left="420" w:hanging="420"/>
      </w:pPr>
      <w:rPr>
        <w:rFonts w:hint="default" w:ascii="Wingdings" w:hAnsi="Wingdings"/>
      </w:rPr>
    </w:lvl>
  </w:abstractNum>
  <w:abstractNum w:abstractNumId="52">
    <w:nsid w:val="183DBBCC"/>
    <w:multiLevelType w:val="singleLevel"/>
    <w:tmpl w:val="183DBBCC"/>
    <w:lvl w:ilvl="0" w:tentative="0">
      <w:start w:val="1"/>
      <w:numFmt w:val="bullet"/>
      <w:lvlText w:val=""/>
      <w:lvlJc w:val="left"/>
      <w:pPr>
        <w:ind w:left="420" w:hanging="420"/>
      </w:pPr>
      <w:rPr>
        <w:rFonts w:hint="default" w:ascii="Wingdings" w:hAnsi="Wingdings"/>
      </w:rPr>
    </w:lvl>
  </w:abstractNum>
  <w:abstractNum w:abstractNumId="53">
    <w:nsid w:val="19B1E0A9"/>
    <w:multiLevelType w:val="singleLevel"/>
    <w:tmpl w:val="19B1E0A9"/>
    <w:lvl w:ilvl="0" w:tentative="0">
      <w:start w:val="1"/>
      <w:numFmt w:val="bullet"/>
      <w:lvlText w:val=""/>
      <w:lvlJc w:val="left"/>
      <w:pPr>
        <w:ind w:left="420" w:hanging="420"/>
      </w:pPr>
      <w:rPr>
        <w:rFonts w:hint="default" w:ascii="Wingdings" w:hAnsi="Wingdings"/>
      </w:rPr>
    </w:lvl>
  </w:abstractNum>
  <w:abstractNum w:abstractNumId="54">
    <w:nsid w:val="1C72DA15"/>
    <w:multiLevelType w:val="singleLevel"/>
    <w:tmpl w:val="1C72DA15"/>
    <w:lvl w:ilvl="0" w:tentative="0">
      <w:start w:val="1"/>
      <w:numFmt w:val="bullet"/>
      <w:lvlText w:val=""/>
      <w:lvlJc w:val="left"/>
      <w:pPr>
        <w:ind w:left="420" w:hanging="420"/>
      </w:pPr>
      <w:rPr>
        <w:rFonts w:hint="default" w:ascii="Wingdings" w:hAnsi="Wingdings"/>
      </w:rPr>
    </w:lvl>
  </w:abstractNum>
  <w:abstractNum w:abstractNumId="55">
    <w:nsid w:val="1D6645E4"/>
    <w:multiLevelType w:val="singleLevel"/>
    <w:tmpl w:val="1D6645E4"/>
    <w:lvl w:ilvl="0" w:tentative="0">
      <w:start w:val="1"/>
      <w:numFmt w:val="bullet"/>
      <w:lvlText w:val=""/>
      <w:lvlJc w:val="left"/>
      <w:pPr>
        <w:ind w:left="420" w:hanging="420"/>
      </w:pPr>
      <w:rPr>
        <w:rFonts w:hint="default" w:ascii="Wingdings" w:hAnsi="Wingdings"/>
      </w:rPr>
    </w:lvl>
  </w:abstractNum>
  <w:abstractNum w:abstractNumId="56">
    <w:nsid w:val="1D7EAB93"/>
    <w:multiLevelType w:val="singleLevel"/>
    <w:tmpl w:val="1D7EAB93"/>
    <w:lvl w:ilvl="0" w:tentative="0">
      <w:start w:val="1"/>
      <w:numFmt w:val="bullet"/>
      <w:lvlText w:val=""/>
      <w:lvlJc w:val="left"/>
      <w:pPr>
        <w:ind w:left="420" w:hanging="420"/>
      </w:pPr>
      <w:rPr>
        <w:rFonts w:hint="default" w:ascii="Wingdings" w:hAnsi="Wingdings"/>
      </w:rPr>
    </w:lvl>
  </w:abstractNum>
  <w:abstractNum w:abstractNumId="57">
    <w:nsid w:val="22AC6B61"/>
    <w:multiLevelType w:val="singleLevel"/>
    <w:tmpl w:val="22AC6B61"/>
    <w:lvl w:ilvl="0" w:tentative="0">
      <w:start w:val="1"/>
      <w:numFmt w:val="bullet"/>
      <w:lvlText w:val=""/>
      <w:lvlJc w:val="left"/>
      <w:pPr>
        <w:ind w:left="420" w:hanging="420"/>
      </w:pPr>
      <w:rPr>
        <w:rFonts w:hint="default" w:ascii="Wingdings" w:hAnsi="Wingdings"/>
      </w:rPr>
    </w:lvl>
  </w:abstractNum>
  <w:abstractNum w:abstractNumId="58">
    <w:nsid w:val="2A5835C2"/>
    <w:multiLevelType w:val="singleLevel"/>
    <w:tmpl w:val="2A5835C2"/>
    <w:lvl w:ilvl="0" w:tentative="0">
      <w:start w:val="1"/>
      <w:numFmt w:val="bullet"/>
      <w:lvlText w:val=""/>
      <w:lvlJc w:val="left"/>
      <w:pPr>
        <w:ind w:left="420" w:hanging="420"/>
      </w:pPr>
      <w:rPr>
        <w:rFonts w:hint="default" w:ascii="Wingdings" w:hAnsi="Wingdings"/>
      </w:rPr>
    </w:lvl>
  </w:abstractNum>
  <w:abstractNum w:abstractNumId="59">
    <w:nsid w:val="2A9E3FCD"/>
    <w:multiLevelType w:val="singleLevel"/>
    <w:tmpl w:val="2A9E3FCD"/>
    <w:lvl w:ilvl="0" w:tentative="0">
      <w:start w:val="1"/>
      <w:numFmt w:val="decimal"/>
      <w:lvlText w:val="%1."/>
      <w:lvlJc w:val="left"/>
      <w:pPr>
        <w:tabs>
          <w:tab w:val="left" w:pos="312"/>
        </w:tabs>
      </w:pPr>
    </w:lvl>
  </w:abstractNum>
  <w:abstractNum w:abstractNumId="60">
    <w:nsid w:val="2B858C32"/>
    <w:multiLevelType w:val="singleLevel"/>
    <w:tmpl w:val="2B858C32"/>
    <w:lvl w:ilvl="0" w:tentative="0">
      <w:start w:val="1"/>
      <w:numFmt w:val="bullet"/>
      <w:lvlText w:val=""/>
      <w:lvlJc w:val="left"/>
      <w:pPr>
        <w:ind w:left="420" w:hanging="420"/>
      </w:pPr>
      <w:rPr>
        <w:rFonts w:hint="default" w:ascii="Wingdings" w:hAnsi="Wingdings"/>
      </w:rPr>
    </w:lvl>
  </w:abstractNum>
  <w:abstractNum w:abstractNumId="61">
    <w:nsid w:val="2F9BFF5F"/>
    <w:multiLevelType w:val="singleLevel"/>
    <w:tmpl w:val="2F9BFF5F"/>
    <w:lvl w:ilvl="0" w:tentative="0">
      <w:start w:val="1"/>
      <w:numFmt w:val="decimal"/>
      <w:lvlText w:val="%1."/>
      <w:lvlJc w:val="left"/>
      <w:pPr>
        <w:tabs>
          <w:tab w:val="left" w:pos="312"/>
        </w:tabs>
      </w:pPr>
    </w:lvl>
  </w:abstractNum>
  <w:abstractNum w:abstractNumId="62">
    <w:nsid w:val="2FC2008A"/>
    <w:multiLevelType w:val="singleLevel"/>
    <w:tmpl w:val="2FC2008A"/>
    <w:lvl w:ilvl="0" w:tentative="0">
      <w:start w:val="1"/>
      <w:numFmt w:val="bullet"/>
      <w:lvlText w:val=""/>
      <w:lvlJc w:val="left"/>
      <w:pPr>
        <w:ind w:left="420" w:hanging="420"/>
      </w:pPr>
      <w:rPr>
        <w:rFonts w:hint="default" w:ascii="Wingdings" w:hAnsi="Wingdings"/>
      </w:rPr>
    </w:lvl>
  </w:abstractNum>
  <w:abstractNum w:abstractNumId="63">
    <w:nsid w:val="2FFCBB92"/>
    <w:multiLevelType w:val="singleLevel"/>
    <w:tmpl w:val="2FFCBB92"/>
    <w:lvl w:ilvl="0" w:tentative="0">
      <w:start w:val="1"/>
      <w:numFmt w:val="chineseCounting"/>
      <w:suff w:val="nothing"/>
      <w:lvlText w:val="（%1）"/>
      <w:lvlJc w:val="left"/>
      <w:pPr>
        <w:ind w:left="0" w:firstLine="420"/>
      </w:pPr>
      <w:rPr>
        <w:rFonts w:hint="eastAsia"/>
      </w:rPr>
    </w:lvl>
  </w:abstractNum>
  <w:abstractNum w:abstractNumId="64">
    <w:nsid w:val="334638DF"/>
    <w:multiLevelType w:val="singleLevel"/>
    <w:tmpl w:val="334638DF"/>
    <w:lvl w:ilvl="0" w:tentative="0">
      <w:start w:val="1"/>
      <w:numFmt w:val="chineseCounting"/>
      <w:suff w:val="nothing"/>
      <w:lvlText w:val="（%1）"/>
      <w:lvlJc w:val="left"/>
      <w:pPr>
        <w:ind w:left="0" w:firstLine="420"/>
      </w:pPr>
      <w:rPr>
        <w:rFonts w:hint="eastAsia"/>
      </w:rPr>
    </w:lvl>
  </w:abstractNum>
  <w:abstractNum w:abstractNumId="65">
    <w:nsid w:val="33F87322"/>
    <w:multiLevelType w:val="singleLevel"/>
    <w:tmpl w:val="33F87322"/>
    <w:lvl w:ilvl="0" w:tentative="0">
      <w:start w:val="1"/>
      <w:numFmt w:val="bullet"/>
      <w:lvlText w:val=""/>
      <w:lvlJc w:val="left"/>
      <w:pPr>
        <w:ind w:left="420" w:hanging="420"/>
      </w:pPr>
      <w:rPr>
        <w:rFonts w:hint="default" w:ascii="Wingdings" w:hAnsi="Wingdings"/>
      </w:rPr>
    </w:lvl>
  </w:abstractNum>
  <w:abstractNum w:abstractNumId="66">
    <w:nsid w:val="3DB17AF2"/>
    <w:multiLevelType w:val="singleLevel"/>
    <w:tmpl w:val="3DB17AF2"/>
    <w:lvl w:ilvl="0" w:tentative="0">
      <w:start w:val="1"/>
      <w:numFmt w:val="bullet"/>
      <w:lvlText w:val=""/>
      <w:lvlJc w:val="left"/>
      <w:pPr>
        <w:ind w:left="420" w:hanging="420"/>
      </w:pPr>
      <w:rPr>
        <w:rFonts w:hint="default" w:ascii="Wingdings" w:hAnsi="Wingdings"/>
      </w:rPr>
    </w:lvl>
  </w:abstractNum>
  <w:abstractNum w:abstractNumId="67">
    <w:nsid w:val="4634AFD6"/>
    <w:multiLevelType w:val="singleLevel"/>
    <w:tmpl w:val="4634AFD6"/>
    <w:lvl w:ilvl="0" w:tentative="0">
      <w:start w:val="1"/>
      <w:numFmt w:val="bullet"/>
      <w:lvlText w:val=""/>
      <w:lvlJc w:val="left"/>
      <w:pPr>
        <w:ind w:left="420" w:hanging="420"/>
      </w:pPr>
      <w:rPr>
        <w:rFonts w:hint="default" w:ascii="Wingdings" w:hAnsi="Wingdings"/>
      </w:rPr>
    </w:lvl>
  </w:abstractNum>
  <w:abstractNum w:abstractNumId="68">
    <w:nsid w:val="4691A80A"/>
    <w:multiLevelType w:val="singleLevel"/>
    <w:tmpl w:val="4691A80A"/>
    <w:lvl w:ilvl="0" w:tentative="0">
      <w:start w:val="1"/>
      <w:numFmt w:val="bullet"/>
      <w:lvlText w:val=""/>
      <w:lvlJc w:val="left"/>
      <w:pPr>
        <w:ind w:left="420" w:hanging="420"/>
      </w:pPr>
      <w:rPr>
        <w:rFonts w:hint="default" w:ascii="Wingdings" w:hAnsi="Wingdings"/>
      </w:rPr>
    </w:lvl>
  </w:abstractNum>
  <w:abstractNum w:abstractNumId="69">
    <w:nsid w:val="46CC9B1C"/>
    <w:multiLevelType w:val="singleLevel"/>
    <w:tmpl w:val="46CC9B1C"/>
    <w:lvl w:ilvl="0" w:tentative="0">
      <w:start w:val="1"/>
      <w:numFmt w:val="bullet"/>
      <w:lvlText w:val=""/>
      <w:lvlJc w:val="left"/>
      <w:pPr>
        <w:ind w:left="420" w:hanging="420"/>
      </w:pPr>
      <w:rPr>
        <w:rFonts w:hint="default" w:ascii="Wingdings" w:hAnsi="Wingdings"/>
      </w:rPr>
    </w:lvl>
  </w:abstractNum>
  <w:abstractNum w:abstractNumId="70">
    <w:nsid w:val="46E5151D"/>
    <w:multiLevelType w:val="singleLevel"/>
    <w:tmpl w:val="46E5151D"/>
    <w:lvl w:ilvl="0" w:tentative="0">
      <w:start w:val="1"/>
      <w:numFmt w:val="chineseCounting"/>
      <w:suff w:val="nothing"/>
      <w:lvlText w:val="（%1）"/>
      <w:lvlJc w:val="left"/>
      <w:pPr>
        <w:ind w:left="0" w:firstLine="420"/>
      </w:pPr>
      <w:rPr>
        <w:rFonts w:hint="eastAsia"/>
      </w:rPr>
    </w:lvl>
  </w:abstractNum>
  <w:abstractNum w:abstractNumId="71">
    <w:nsid w:val="470A53D9"/>
    <w:multiLevelType w:val="singleLevel"/>
    <w:tmpl w:val="470A53D9"/>
    <w:lvl w:ilvl="0" w:tentative="0">
      <w:start w:val="1"/>
      <w:numFmt w:val="bullet"/>
      <w:lvlText w:val=""/>
      <w:lvlJc w:val="left"/>
      <w:pPr>
        <w:ind w:left="420" w:hanging="420"/>
      </w:pPr>
      <w:rPr>
        <w:rFonts w:hint="default" w:ascii="Wingdings" w:hAnsi="Wingdings"/>
      </w:rPr>
    </w:lvl>
  </w:abstractNum>
  <w:abstractNum w:abstractNumId="72">
    <w:nsid w:val="475D82E9"/>
    <w:multiLevelType w:val="singleLevel"/>
    <w:tmpl w:val="475D82E9"/>
    <w:lvl w:ilvl="0" w:tentative="0">
      <w:start w:val="1"/>
      <w:numFmt w:val="bullet"/>
      <w:lvlText w:val=""/>
      <w:lvlJc w:val="left"/>
      <w:pPr>
        <w:ind w:left="420" w:hanging="420"/>
      </w:pPr>
      <w:rPr>
        <w:rFonts w:hint="default" w:ascii="Wingdings" w:hAnsi="Wingdings"/>
      </w:rPr>
    </w:lvl>
  </w:abstractNum>
  <w:abstractNum w:abstractNumId="73">
    <w:nsid w:val="491539D3"/>
    <w:multiLevelType w:val="singleLevel"/>
    <w:tmpl w:val="491539D3"/>
    <w:lvl w:ilvl="0" w:tentative="0">
      <w:start w:val="1"/>
      <w:numFmt w:val="chineseCounting"/>
      <w:suff w:val="nothing"/>
      <w:lvlText w:val="（%1）"/>
      <w:lvlJc w:val="left"/>
      <w:pPr>
        <w:ind w:left="0" w:firstLine="420"/>
      </w:pPr>
      <w:rPr>
        <w:rFonts w:hint="eastAsia"/>
      </w:rPr>
    </w:lvl>
  </w:abstractNum>
  <w:abstractNum w:abstractNumId="74">
    <w:nsid w:val="4FBB388C"/>
    <w:multiLevelType w:val="singleLevel"/>
    <w:tmpl w:val="4FBB388C"/>
    <w:lvl w:ilvl="0" w:tentative="0">
      <w:start w:val="1"/>
      <w:numFmt w:val="bullet"/>
      <w:lvlText w:val=""/>
      <w:lvlJc w:val="left"/>
      <w:pPr>
        <w:ind w:left="420" w:hanging="420"/>
      </w:pPr>
      <w:rPr>
        <w:rFonts w:hint="default" w:ascii="Wingdings" w:hAnsi="Wingdings"/>
      </w:rPr>
    </w:lvl>
  </w:abstractNum>
  <w:abstractNum w:abstractNumId="75">
    <w:nsid w:val="5C7AA806"/>
    <w:multiLevelType w:val="singleLevel"/>
    <w:tmpl w:val="5C7AA806"/>
    <w:lvl w:ilvl="0" w:tentative="0">
      <w:start w:val="1"/>
      <w:numFmt w:val="bullet"/>
      <w:lvlText w:val=""/>
      <w:lvlJc w:val="left"/>
      <w:pPr>
        <w:ind w:left="420" w:hanging="420"/>
      </w:pPr>
      <w:rPr>
        <w:rFonts w:hint="default" w:ascii="Wingdings" w:hAnsi="Wingdings"/>
      </w:rPr>
    </w:lvl>
  </w:abstractNum>
  <w:abstractNum w:abstractNumId="76">
    <w:nsid w:val="5EC80A39"/>
    <w:multiLevelType w:val="singleLevel"/>
    <w:tmpl w:val="5EC80A39"/>
    <w:lvl w:ilvl="0" w:tentative="0">
      <w:start w:val="1"/>
      <w:numFmt w:val="bullet"/>
      <w:lvlText w:val=""/>
      <w:lvlJc w:val="left"/>
      <w:pPr>
        <w:ind w:left="420" w:hanging="420"/>
      </w:pPr>
      <w:rPr>
        <w:rFonts w:hint="default" w:ascii="Wingdings" w:hAnsi="Wingdings"/>
      </w:rPr>
    </w:lvl>
  </w:abstractNum>
  <w:abstractNum w:abstractNumId="77">
    <w:nsid w:val="68FD830F"/>
    <w:multiLevelType w:val="singleLevel"/>
    <w:tmpl w:val="68FD830F"/>
    <w:lvl w:ilvl="0" w:tentative="0">
      <w:start w:val="1"/>
      <w:numFmt w:val="bullet"/>
      <w:lvlText w:val=""/>
      <w:lvlJc w:val="left"/>
      <w:pPr>
        <w:ind w:left="420" w:hanging="420"/>
      </w:pPr>
      <w:rPr>
        <w:rFonts w:hint="default" w:ascii="Wingdings" w:hAnsi="Wingdings"/>
      </w:rPr>
    </w:lvl>
  </w:abstractNum>
  <w:abstractNum w:abstractNumId="78">
    <w:nsid w:val="69944BA8"/>
    <w:multiLevelType w:val="singleLevel"/>
    <w:tmpl w:val="69944BA8"/>
    <w:lvl w:ilvl="0" w:tentative="0">
      <w:start w:val="1"/>
      <w:numFmt w:val="bullet"/>
      <w:lvlText w:val=""/>
      <w:lvlJc w:val="left"/>
      <w:pPr>
        <w:ind w:left="420" w:hanging="420"/>
      </w:pPr>
      <w:rPr>
        <w:rFonts w:hint="default" w:ascii="Wingdings" w:hAnsi="Wingdings"/>
      </w:rPr>
    </w:lvl>
  </w:abstractNum>
  <w:abstractNum w:abstractNumId="79">
    <w:nsid w:val="6A504FA3"/>
    <w:multiLevelType w:val="singleLevel"/>
    <w:tmpl w:val="6A504FA3"/>
    <w:lvl w:ilvl="0" w:tentative="0">
      <w:start w:val="1"/>
      <w:numFmt w:val="bullet"/>
      <w:lvlText w:val=""/>
      <w:lvlJc w:val="left"/>
      <w:pPr>
        <w:ind w:left="420" w:hanging="420"/>
      </w:pPr>
      <w:rPr>
        <w:rFonts w:hint="default" w:ascii="Wingdings" w:hAnsi="Wingdings"/>
      </w:rPr>
    </w:lvl>
  </w:abstractNum>
  <w:abstractNum w:abstractNumId="80">
    <w:nsid w:val="6A8ECBA4"/>
    <w:multiLevelType w:val="singleLevel"/>
    <w:tmpl w:val="6A8ECBA4"/>
    <w:lvl w:ilvl="0" w:tentative="0">
      <w:start w:val="1"/>
      <w:numFmt w:val="bullet"/>
      <w:lvlText w:val=""/>
      <w:lvlJc w:val="left"/>
      <w:pPr>
        <w:ind w:left="420" w:hanging="420"/>
      </w:pPr>
      <w:rPr>
        <w:rFonts w:hint="default" w:ascii="Wingdings" w:hAnsi="Wingdings"/>
      </w:rPr>
    </w:lvl>
  </w:abstractNum>
  <w:abstractNum w:abstractNumId="81">
    <w:nsid w:val="6D46896E"/>
    <w:multiLevelType w:val="singleLevel"/>
    <w:tmpl w:val="6D46896E"/>
    <w:lvl w:ilvl="0" w:tentative="0">
      <w:start w:val="1"/>
      <w:numFmt w:val="bullet"/>
      <w:lvlText w:val=""/>
      <w:lvlJc w:val="left"/>
      <w:pPr>
        <w:ind w:left="420" w:hanging="420"/>
      </w:pPr>
      <w:rPr>
        <w:rFonts w:hint="default" w:ascii="Wingdings" w:hAnsi="Wingdings"/>
      </w:rPr>
    </w:lvl>
  </w:abstractNum>
  <w:abstractNum w:abstractNumId="82">
    <w:nsid w:val="6E38AE6C"/>
    <w:multiLevelType w:val="singleLevel"/>
    <w:tmpl w:val="6E38AE6C"/>
    <w:lvl w:ilvl="0" w:tentative="0">
      <w:start w:val="1"/>
      <w:numFmt w:val="bullet"/>
      <w:lvlText w:val=""/>
      <w:lvlJc w:val="left"/>
      <w:pPr>
        <w:ind w:left="420" w:hanging="420"/>
      </w:pPr>
      <w:rPr>
        <w:rFonts w:hint="default" w:ascii="Wingdings" w:hAnsi="Wingdings"/>
      </w:rPr>
    </w:lvl>
  </w:abstractNum>
  <w:abstractNum w:abstractNumId="83">
    <w:nsid w:val="741F61E3"/>
    <w:multiLevelType w:val="singleLevel"/>
    <w:tmpl w:val="741F61E3"/>
    <w:lvl w:ilvl="0" w:tentative="0">
      <w:start w:val="1"/>
      <w:numFmt w:val="chineseCounting"/>
      <w:suff w:val="nothing"/>
      <w:lvlText w:val="（%1）"/>
      <w:lvlJc w:val="left"/>
      <w:pPr>
        <w:ind w:left="0" w:firstLine="420"/>
      </w:pPr>
      <w:rPr>
        <w:rFonts w:hint="eastAsia"/>
      </w:rPr>
    </w:lvl>
  </w:abstractNum>
  <w:abstractNum w:abstractNumId="84">
    <w:nsid w:val="7FF5F2A0"/>
    <w:multiLevelType w:val="singleLevel"/>
    <w:tmpl w:val="7FF5F2A0"/>
    <w:lvl w:ilvl="0" w:tentative="0">
      <w:start w:val="1"/>
      <w:numFmt w:val="bullet"/>
      <w:lvlText w:val=""/>
      <w:lvlJc w:val="left"/>
      <w:pPr>
        <w:ind w:left="420" w:hanging="420"/>
      </w:pPr>
      <w:rPr>
        <w:rFonts w:hint="default" w:ascii="Wingdings" w:hAnsi="Wingdings"/>
      </w:rPr>
    </w:lvl>
  </w:abstractNum>
  <w:num w:numId="1">
    <w:abstractNumId w:val="35"/>
  </w:num>
  <w:num w:numId="2">
    <w:abstractNumId w:val="37"/>
  </w:num>
  <w:num w:numId="3">
    <w:abstractNumId w:val="34"/>
  </w:num>
  <w:num w:numId="4">
    <w:abstractNumId w:val="36"/>
  </w:num>
  <w:num w:numId="5">
    <w:abstractNumId w:val="40"/>
  </w:num>
  <w:num w:numId="6">
    <w:abstractNumId w:val="5"/>
  </w:num>
  <w:num w:numId="7">
    <w:abstractNumId w:val="7"/>
  </w:num>
  <w:num w:numId="8">
    <w:abstractNumId w:val="24"/>
  </w:num>
  <w:num w:numId="9">
    <w:abstractNumId w:val="71"/>
  </w:num>
  <w:num w:numId="10">
    <w:abstractNumId w:val="43"/>
  </w:num>
  <w:num w:numId="11">
    <w:abstractNumId w:val="11"/>
  </w:num>
  <w:num w:numId="12">
    <w:abstractNumId w:val="81"/>
  </w:num>
  <w:num w:numId="13">
    <w:abstractNumId w:val="0"/>
  </w:num>
  <w:num w:numId="14">
    <w:abstractNumId w:val="48"/>
  </w:num>
  <w:num w:numId="15">
    <w:abstractNumId w:val="45"/>
  </w:num>
  <w:num w:numId="16">
    <w:abstractNumId w:val="72"/>
  </w:num>
  <w:num w:numId="17">
    <w:abstractNumId w:val="66"/>
  </w:num>
  <w:num w:numId="18">
    <w:abstractNumId w:val="19"/>
  </w:num>
  <w:num w:numId="19">
    <w:abstractNumId w:val="52"/>
  </w:num>
  <w:num w:numId="20">
    <w:abstractNumId w:val="22"/>
  </w:num>
  <w:num w:numId="21">
    <w:abstractNumId w:val="26"/>
  </w:num>
  <w:num w:numId="22">
    <w:abstractNumId w:val="49"/>
  </w:num>
  <w:num w:numId="23">
    <w:abstractNumId w:val="54"/>
  </w:num>
  <w:num w:numId="24">
    <w:abstractNumId w:val="25"/>
  </w:num>
  <w:num w:numId="25">
    <w:abstractNumId w:val="65"/>
  </w:num>
  <w:num w:numId="26">
    <w:abstractNumId w:val="16"/>
  </w:num>
  <w:num w:numId="27">
    <w:abstractNumId w:val="68"/>
  </w:num>
  <w:num w:numId="28">
    <w:abstractNumId w:val="27"/>
  </w:num>
  <w:num w:numId="29">
    <w:abstractNumId w:val="12"/>
  </w:num>
  <w:num w:numId="30">
    <w:abstractNumId w:val="42"/>
  </w:num>
  <w:num w:numId="31">
    <w:abstractNumId w:val="1"/>
  </w:num>
  <w:num w:numId="32">
    <w:abstractNumId w:val="77"/>
  </w:num>
  <w:num w:numId="33">
    <w:abstractNumId w:val="55"/>
  </w:num>
  <w:num w:numId="34">
    <w:abstractNumId w:val="21"/>
  </w:num>
  <w:num w:numId="35">
    <w:abstractNumId w:val="70"/>
  </w:num>
  <w:num w:numId="36">
    <w:abstractNumId w:val="53"/>
  </w:num>
  <w:num w:numId="37">
    <w:abstractNumId w:val="9"/>
  </w:num>
  <w:num w:numId="38">
    <w:abstractNumId w:val="23"/>
  </w:num>
  <w:num w:numId="39">
    <w:abstractNumId w:val="14"/>
  </w:num>
  <w:num w:numId="40">
    <w:abstractNumId w:val="82"/>
  </w:num>
  <w:num w:numId="41">
    <w:abstractNumId w:val="39"/>
  </w:num>
  <w:num w:numId="42">
    <w:abstractNumId w:val="2"/>
  </w:num>
  <w:num w:numId="43">
    <w:abstractNumId w:val="56"/>
  </w:num>
  <w:num w:numId="44">
    <w:abstractNumId w:val="80"/>
  </w:num>
  <w:num w:numId="45">
    <w:abstractNumId w:val="83"/>
  </w:num>
  <w:num w:numId="46">
    <w:abstractNumId w:val="50"/>
  </w:num>
  <w:num w:numId="47">
    <w:abstractNumId w:val="10"/>
  </w:num>
  <w:num w:numId="48">
    <w:abstractNumId w:val="31"/>
  </w:num>
  <w:num w:numId="49">
    <w:abstractNumId w:val="47"/>
  </w:num>
  <w:num w:numId="50">
    <w:abstractNumId w:val="28"/>
  </w:num>
  <w:num w:numId="51">
    <w:abstractNumId w:val="17"/>
  </w:num>
  <w:num w:numId="52">
    <w:abstractNumId w:val="46"/>
  </w:num>
  <w:num w:numId="53">
    <w:abstractNumId w:val="63"/>
  </w:num>
  <w:num w:numId="54">
    <w:abstractNumId w:val="3"/>
  </w:num>
  <w:num w:numId="55">
    <w:abstractNumId w:val="44"/>
  </w:num>
  <w:num w:numId="56">
    <w:abstractNumId w:val="4"/>
  </w:num>
  <w:num w:numId="57">
    <w:abstractNumId w:val="79"/>
  </w:num>
  <w:num w:numId="58">
    <w:abstractNumId w:val="57"/>
  </w:num>
  <w:num w:numId="59">
    <w:abstractNumId w:val="30"/>
  </w:num>
  <w:num w:numId="60">
    <w:abstractNumId w:val="73"/>
  </w:num>
  <w:num w:numId="61">
    <w:abstractNumId w:val="69"/>
  </w:num>
  <w:num w:numId="62">
    <w:abstractNumId w:val="64"/>
  </w:num>
  <w:num w:numId="63">
    <w:abstractNumId w:val="60"/>
  </w:num>
  <w:num w:numId="64">
    <w:abstractNumId w:val="29"/>
  </w:num>
  <w:num w:numId="65">
    <w:abstractNumId w:val="51"/>
  </w:num>
  <w:num w:numId="66">
    <w:abstractNumId w:val="18"/>
  </w:num>
  <w:num w:numId="67">
    <w:abstractNumId w:val="13"/>
  </w:num>
  <w:num w:numId="68">
    <w:abstractNumId w:val="6"/>
  </w:num>
  <w:num w:numId="69">
    <w:abstractNumId w:val="32"/>
  </w:num>
  <w:num w:numId="70">
    <w:abstractNumId w:val="76"/>
  </w:num>
  <w:num w:numId="71">
    <w:abstractNumId w:val="75"/>
  </w:num>
  <w:num w:numId="72">
    <w:abstractNumId w:val="67"/>
  </w:num>
  <w:num w:numId="73">
    <w:abstractNumId w:val="8"/>
  </w:num>
  <w:num w:numId="74">
    <w:abstractNumId w:val="59"/>
  </w:num>
  <w:num w:numId="75">
    <w:abstractNumId w:val="41"/>
  </w:num>
  <w:num w:numId="76">
    <w:abstractNumId w:val="61"/>
  </w:num>
  <w:num w:numId="77">
    <w:abstractNumId w:val="58"/>
  </w:num>
  <w:num w:numId="78">
    <w:abstractNumId w:val="78"/>
  </w:num>
  <w:num w:numId="79">
    <w:abstractNumId w:val="62"/>
  </w:num>
  <w:num w:numId="80">
    <w:abstractNumId w:val="84"/>
  </w:num>
  <w:num w:numId="81">
    <w:abstractNumId w:val="74"/>
  </w:num>
  <w:num w:numId="82">
    <w:abstractNumId w:val="20"/>
  </w:num>
  <w:num w:numId="83">
    <w:abstractNumId w:val="15"/>
  </w:num>
  <w:num w:numId="84">
    <w:abstractNumId w:val="38"/>
  </w:num>
  <w:num w:numId="8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okNames" w:val="year1_2;filetype1_2"/>
    <w:docVar w:name="commondata" w:val="eyJoZGlkIjoiYTExMDg5NGM5ZDljNDgyZjZkN2NmNzY5ODZhYjFjYTgifQ=="/>
    <w:docVar w:name="CurUserName" w:val="采购监管处收发室"/>
    <w:docVar w:name="DeleteMarces" w:val="False"/>
    <w:docVar w:name="DocName" w:val="0EF90D4B09DBFB9E4825742B0028ACBF_1.doc"/>
    <w:docVar w:name="haha" w:val="100"/>
    <w:docVar w:name="NewInfo" w:val="〔2009〕20&amp;;&amp;浙财采监字"/>
    <w:docVar w:name="OldInfo" w:val=" "/>
    <w:docVar w:name="SplitTool" w:val="False"/>
    <w:docVar w:name="TitleStr" w:val="浙江省财政厅;文件;"/>
    <w:docVar w:name="TrackMark" w:val="1"/>
  </w:docVars>
  <w:rsids>
    <w:rsidRoot w:val="00172A27"/>
    <w:rsid w:val="00013D4F"/>
    <w:rsid w:val="00094B86"/>
    <w:rsid w:val="000A5650"/>
    <w:rsid w:val="000C5C11"/>
    <w:rsid w:val="0012072D"/>
    <w:rsid w:val="002C5D83"/>
    <w:rsid w:val="002E1B91"/>
    <w:rsid w:val="00322886"/>
    <w:rsid w:val="003E1335"/>
    <w:rsid w:val="004604CA"/>
    <w:rsid w:val="004C40DB"/>
    <w:rsid w:val="005317B9"/>
    <w:rsid w:val="0056483F"/>
    <w:rsid w:val="005903C3"/>
    <w:rsid w:val="005A4014"/>
    <w:rsid w:val="00601D95"/>
    <w:rsid w:val="00646153"/>
    <w:rsid w:val="006465C7"/>
    <w:rsid w:val="006933D7"/>
    <w:rsid w:val="006F6AF6"/>
    <w:rsid w:val="00701E85"/>
    <w:rsid w:val="00755150"/>
    <w:rsid w:val="00796FB1"/>
    <w:rsid w:val="007A70BD"/>
    <w:rsid w:val="007C73D4"/>
    <w:rsid w:val="0082432D"/>
    <w:rsid w:val="008E1F07"/>
    <w:rsid w:val="00967FDD"/>
    <w:rsid w:val="0099027C"/>
    <w:rsid w:val="009A1A26"/>
    <w:rsid w:val="009E20D5"/>
    <w:rsid w:val="00A721F2"/>
    <w:rsid w:val="00A7638E"/>
    <w:rsid w:val="00BD7BDD"/>
    <w:rsid w:val="00C67226"/>
    <w:rsid w:val="00C90857"/>
    <w:rsid w:val="00D4594D"/>
    <w:rsid w:val="00E43693"/>
    <w:rsid w:val="00EB2F0F"/>
    <w:rsid w:val="00EF4DB1"/>
    <w:rsid w:val="00F348EB"/>
    <w:rsid w:val="00F359DD"/>
    <w:rsid w:val="00F42E1D"/>
    <w:rsid w:val="00F5781B"/>
    <w:rsid w:val="00FD26ED"/>
    <w:rsid w:val="012E4036"/>
    <w:rsid w:val="01395070"/>
    <w:rsid w:val="01AD5ACC"/>
    <w:rsid w:val="01AE147F"/>
    <w:rsid w:val="01F40F97"/>
    <w:rsid w:val="01F74ED9"/>
    <w:rsid w:val="02130DA9"/>
    <w:rsid w:val="02751DA3"/>
    <w:rsid w:val="0282105D"/>
    <w:rsid w:val="029F1947"/>
    <w:rsid w:val="02BE03EF"/>
    <w:rsid w:val="03FB3EF3"/>
    <w:rsid w:val="0403531C"/>
    <w:rsid w:val="040A6DDA"/>
    <w:rsid w:val="04224F4E"/>
    <w:rsid w:val="043C4376"/>
    <w:rsid w:val="048D2007"/>
    <w:rsid w:val="04A6423B"/>
    <w:rsid w:val="04A71C7C"/>
    <w:rsid w:val="04C60AA0"/>
    <w:rsid w:val="04E6163D"/>
    <w:rsid w:val="05061743"/>
    <w:rsid w:val="050D3B20"/>
    <w:rsid w:val="05392403"/>
    <w:rsid w:val="057860EF"/>
    <w:rsid w:val="05F240DF"/>
    <w:rsid w:val="05F45FEC"/>
    <w:rsid w:val="0620235A"/>
    <w:rsid w:val="06324AED"/>
    <w:rsid w:val="07074B30"/>
    <w:rsid w:val="071752D4"/>
    <w:rsid w:val="07613D3E"/>
    <w:rsid w:val="0773446D"/>
    <w:rsid w:val="07EA47F3"/>
    <w:rsid w:val="083E515C"/>
    <w:rsid w:val="09294917"/>
    <w:rsid w:val="0930243A"/>
    <w:rsid w:val="095356B7"/>
    <w:rsid w:val="09E97B3C"/>
    <w:rsid w:val="0A7301B5"/>
    <w:rsid w:val="0AAA4AD0"/>
    <w:rsid w:val="0B25266D"/>
    <w:rsid w:val="0B464C92"/>
    <w:rsid w:val="0BC8677A"/>
    <w:rsid w:val="0C22507E"/>
    <w:rsid w:val="0D02048A"/>
    <w:rsid w:val="0D714FDD"/>
    <w:rsid w:val="0E3C35ED"/>
    <w:rsid w:val="0E6C1965"/>
    <w:rsid w:val="0EB66FEC"/>
    <w:rsid w:val="0EBC3C2B"/>
    <w:rsid w:val="0ECA6467"/>
    <w:rsid w:val="0EE058E7"/>
    <w:rsid w:val="0EFA439D"/>
    <w:rsid w:val="0F275A78"/>
    <w:rsid w:val="0F370EFF"/>
    <w:rsid w:val="0F956C66"/>
    <w:rsid w:val="0FA80EAE"/>
    <w:rsid w:val="10047A4D"/>
    <w:rsid w:val="104C6F6D"/>
    <w:rsid w:val="10700B2D"/>
    <w:rsid w:val="11C26920"/>
    <w:rsid w:val="11C33393"/>
    <w:rsid w:val="12324513"/>
    <w:rsid w:val="124010EB"/>
    <w:rsid w:val="127321CC"/>
    <w:rsid w:val="12BE10B9"/>
    <w:rsid w:val="13091228"/>
    <w:rsid w:val="13582DDC"/>
    <w:rsid w:val="13CA0BA6"/>
    <w:rsid w:val="141521C0"/>
    <w:rsid w:val="14484724"/>
    <w:rsid w:val="147C747C"/>
    <w:rsid w:val="14893B28"/>
    <w:rsid w:val="14FC21E4"/>
    <w:rsid w:val="15175270"/>
    <w:rsid w:val="159154D2"/>
    <w:rsid w:val="159D2C42"/>
    <w:rsid w:val="15CB6B37"/>
    <w:rsid w:val="15D8360E"/>
    <w:rsid w:val="15DA7971"/>
    <w:rsid w:val="15F1161D"/>
    <w:rsid w:val="16B2294B"/>
    <w:rsid w:val="16B54C18"/>
    <w:rsid w:val="16E41FC1"/>
    <w:rsid w:val="16E87D44"/>
    <w:rsid w:val="17327908"/>
    <w:rsid w:val="174F2A04"/>
    <w:rsid w:val="18391450"/>
    <w:rsid w:val="186718A5"/>
    <w:rsid w:val="18954137"/>
    <w:rsid w:val="18D149D1"/>
    <w:rsid w:val="18F768FA"/>
    <w:rsid w:val="190D44B0"/>
    <w:rsid w:val="19BB50D1"/>
    <w:rsid w:val="19D42E47"/>
    <w:rsid w:val="1A0D3219"/>
    <w:rsid w:val="1A4F2E54"/>
    <w:rsid w:val="1B0E0CE0"/>
    <w:rsid w:val="1B7A7B53"/>
    <w:rsid w:val="1B9508C8"/>
    <w:rsid w:val="1BC36758"/>
    <w:rsid w:val="1BC96E23"/>
    <w:rsid w:val="1C026FE7"/>
    <w:rsid w:val="1C192F8D"/>
    <w:rsid w:val="1C2362A8"/>
    <w:rsid w:val="1C572724"/>
    <w:rsid w:val="1C6C40F3"/>
    <w:rsid w:val="1C8A0185"/>
    <w:rsid w:val="1C972D75"/>
    <w:rsid w:val="1D5D6F1E"/>
    <w:rsid w:val="1D7777DC"/>
    <w:rsid w:val="1DC952F5"/>
    <w:rsid w:val="1E815FD7"/>
    <w:rsid w:val="1EC66BAD"/>
    <w:rsid w:val="1EDE61F3"/>
    <w:rsid w:val="1F25331C"/>
    <w:rsid w:val="1F6C6795"/>
    <w:rsid w:val="1FF5602C"/>
    <w:rsid w:val="200E5E42"/>
    <w:rsid w:val="201626C0"/>
    <w:rsid w:val="20726B38"/>
    <w:rsid w:val="207F4698"/>
    <w:rsid w:val="2122672A"/>
    <w:rsid w:val="212E5E1B"/>
    <w:rsid w:val="2162021F"/>
    <w:rsid w:val="21736AC9"/>
    <w:rsid w:val="217C26E3"/>
    <w:rsid w:val="219519F6"/>
    <w:rsid w:val="21BC3BB6"/>
    <w:rsid w:val="21C1461B"/>
    <w:rsid w:val="22347461"/>
    <w:rsid w:val="225E436A"/>
    <w:rsid w:val="22B05FA1"/>
    <w:rsid w:val="22C7376A"/>
    <w:rsid w:val="23AD09E3"/>
    <w:rsid w:val="23E12DCA"/>
    <w:rsid w:val="240D4301"/>
    <w:rsid w:val="2458638E"/>
    <w:rsid w:val="24695600"/>
    <w:rsid w:val="2494479B"/>
    <w:rsid w:val="254675D5"/>
    <w:rsid w:val="255F045C"/>
    <w:rsid w:val="25DB2580"/>
    <w:rsid w:val="25FD46DF"/>
    <w:rsid w:val="26140599"/>
    <w:rsid w:val="263413C9"/>
    <w:rsid w:val="26E21FD3"/>
    <w:rsid w:val="275D391F"/>
    <w:rsid w:val="27762525"/>
    <w:rsid w:val="27A05702"/>
    <w:rsid w:val="27D02AAF"/>
    <w:rsid w:val="27D24BF8"/>
    <w:rsid w:val="27FD167B"/>
    <w:rsid w:val="287B13BA"/>
    <w:rsid w:val="28CD14E2"/>
    <w:rsid w:val="2904711E"/>
    <w:rsid w:val="29111EDF"/>
    <w:rsid w:val="296D5305"/>
    <w:rsid w:val="29932882"/>
    <w:rsid w:val="2A1907CB"/>
    <w:rsid w:val="2A297BE5"/>
    <w:rsid w:val="2A462F55"/>
    <w:rsid w:val="2A757735"/>
    <w:rsid w:val="2A836536"/>
    <w:rsid w:val="2AE44C84"/>
    <w:rsid w:val="2BAE4DFA"/>
    <w:rsid w:val="2C1F6AAA"/>
    <w:rsid w:val="2C7164D6"/>
    <w:rsid w:val="2C837C6E"/>
    <w:rsid w:val="2C9D6CED"/>
    <w:rsid w:val="2CA45A1B"/>
    <w:rsid w:val="2CD84AC2"/>
    <w:rsid w:val="2D263BD6"/>
    <w:rsid w:val="2DB92514"/>
    <w:rsid w:val="2DC42EE3"/>
    <w:rsid w:val="2DE67053"/>
    <w:rsid w:val="2E12402F"/>
    <w:rsid w:val="2E154469"/>
    <w:rsid w:val="2E1E0A56"/>
    <w:rsid w:val="2E75271F"/>
    <w:rsid w:val="2ED0104E"/>
    <w:rsid w:val="2EE041C9"/>
    <w:rsid w:val="2F0B016F"/>
    <w:rsid w:val="2F2C1A71"/>
    <w:rsid w:val="2FE35091"/>
    <w:rsid w:val="3006093E"/>
    <w:rsid w:val="30416508"/>
    <w:rsid w:val="30AE5499"/>
    <w:rsid w:val="30FD38D4"/>
    <w:rsid w:val="321047C6"/>
    <w:rsid w:val="323A4655"/>
    <w:rsid w:val="324D104E"/>
    <w:rsid w:val="32806669"/>
    <w:rsid w:val="32864E8F"/>
    <w:rsid w:val="32ED263A"/>
    <w:rsid w:val="32EE18E9"/>
    <w:rsid w:val="32F775BB"/>
    <w:rsid w:val="33324856"/>
    <w:rsid w:val="33357C29"/>
    <w:rsid w:val="33384141"/>
    <w:rsid w:val="335E09FD"/>
    <w:rsid w:val="3378080D"/>
    <w:rsid w:val="33911EFD"/>
    <w:rsid w:val="33E15717"/>
    <w:rsid w:val="340001FD"/>
    <w:rsid w:val="340034E1"/>
    <w:rsid w:val="340E63CE"/>
    <w:rsid w:val="341F649B"/>
    <w:rsid w:val="342A7AA7"/>
    <w:rsid w:val="34545A98"/>
    <w:rsid w:val="34A34E49"/>
    <w:rsid w:val="356B5EE7"/>
    <w:rsid w:val="356D683B"/>
    <w:rsid w:val="359F6483"/>
    <w:rsid w:val="35AE49CB"/>
    <w:rsid w:val="35CC5402"/>
    <w:rsid w:val="36243417"/>
    <w:rsid w:val="36557A9F"/>
    <w:rsid w:val="3700496E"/>
    <w:rsid w:val="371E07E6"/>
    <w:rsid w:val="37375FD3"/>
    <w:rsid w:val="374A2E54"/>
    <w:rsid w:val="37DF38F7"/>
    <w:rsid w:val="386670FB"/>
    <w:rsid w:val="386A3CC4"/>
    <w:rsid w:val="387A3E17"/>
    <w:rsid w:val="38A361F1"/>
    <w:rsid w:val="38D65B3A"/>
    <w:rsid w:val="38F434B3"/>
    <w:rsid w:val="397E1F2B"/>
    <w:rsid w:val="39AB0EFB"/>
    <w:rsid w:val="39EB2E51"/>
    <w:rsid w:val="3AA10E82"/>
    <w:rsid w:val="3AC365CC"/>
    <w:rsid w:val="3B643F53"/>
    <w:rsid w:val="3B6A650A"/>
    <w:rsid w:val="3B73593B"/>
    <w:rsid w:val="3BB5409E"/>
    <w:rsid w:val="3C251889"/>
    <w:rsid w:val="3C284494"/>
    <w:rsid w:val="3C3B3210"/>
    <w:rsid w:val="3C6771AB"/>
    <w:rsid w:val="3C6C5B47"/>
    <w:rsid w:val="3CA433C8"/>
    <w:rsid w:val="3D55704B"/>
    <w:rsid w:val="3D5925EA"/>
    <w:rsid w:val="3E76488F"/>
    <w:rsid w:val="3F651411"/>
    <w:rsid w:val="3F661751"/>
    <w:rsid w:val="3F876BFE"/>
    <w:rsid w:val="3F9D5862"/>
    <w:rsid w:val="3FAB0F81"/>
    <w:rsid w:val="40123DA5"/>
    <w:rsid w:val="40AF3A59"/>
    <w:rsid w:val="40CE4185"/>
    <w:rsid w:val="40D85BCE"/>
    <w:rsid w:val="40EF02F3"/>
    <w:rsid w:val="41433B21"/>
    <w:rsid w:val="41592C0A"/>
    <w:rsid w:val="4165798D"/>
    <w:rsid w:val="416F0681"/>
    <w:rsid w:val="41A06E5E"/>
    <w:rsid w:val="41EB4E3F"/>
    <w:rsid w:val="41F110BD"/>
    <w:rsid w:val="42082330"/>
    <w:rsid w:val="42AD656B"/>
    <w:rsid w:val="42E73C47"/>
    <w:rsid w:val="43563417"/>
    <w:rsid w:val="44DD5A36"/>
    <w:rsid w:val="44F522C2"/>
    <w:rsid w:val="45183C32"/>
    <w:rsid w:val="451A3405"/>
    <w:rsid w:val="451D16F2"/>
    <w:rsid w:val="4584449B"/>
    <w:rsid w:val="45F1708E"/>
    <w:rsid w:val="4634431B"/>
    <w:rsid w:val="46872F8B"/>
    <w:rsid w:val="468C2A97"/>
    <w:rsid w:val="469A31A8"/>
    <w:rsid w:val="470A6F28"/>
    <w:rsid w:val="47404394"/>
    <w:rsid w:val="47541888"/>
    <w:rsid w:val="47FC4F08"/>
    <w:rsid w:val="47FE7DDA"/>
    <w:rsid w:val="484863C2"/>
    <w:rsid w:val="486C64AE"/>
    <w:rsid w:val="487A48E5"/>
    <w:rsid w:val="488320D4"/>
    <w:rsid w:val="48AD18CF"/>
    <w:rsid w:val="48F74986"/>
    <w:rsid w:val="49C5700A"/>
    <w:rsid w:val="49DB2279"/>
    <w:rsid w:val="4A463698"/>
    <w:rsid w:val="4A55684B"/>
    <w:rsid w:val="4A9E066B"/>
    <w:rsid w:val="4B414AA5"/>
    <w:rsid w:val="4B5B0EC1"/>
    <w:rsid w:val="4BA219AF"/>
    <w:rsid w:val="4C587786"/>
    <w:rsid w:val="4C773E99"/>
    <w:rsid w:val="4CE70721"/>
    <w:rsid w:val="4D5D475F"/>
    <w:rsid w:val="4D6C1D1A"/>
    <w:rsid w:val="4D7012D7"/>
    <w:rsid w:val="4D8F74CD"/>
    <w:rsid w:val="4D9D1B7A"/>
    <w:rsid w:val="4DC20EFA"/>
    <w:rsid w:val="4DFF6742"/>
    <w:rsid w:val="4E7464CB"/>
    <w:rsid w:val="4ECC6D7A"/>
    <w:rsid w:val="4EDA79C8"/>
    <w:rsid w:val="4EF77ACD"/>
    <w:rsid w:val="4EFE010D"/>
    <w:rsid w:val="4F084528"/>
    <w:rsid w:val="4F3C2904"/>
    <w:rsid w:val="4F606FCB"/>
    <w:rsid w:val="4FBC661C"/>
    <w:rsid w:val="4FEB3E89"/>
    <w:rsid w:val="4FF02619"/>
    <w:rsid w:val="501660AE"/>
    <w:rsid w:val="50540DC6"/>
    <w:rsid w:val="510E658F"/>
    <w:rsid w:val="51177510"/>
    <w:rsid w:val="511B50DE"/>
    <w:rsid w:val="518507A7"/>
    <w:rsid w:val="51990CEF"/>
    <w:rsid w:val="51BC034C"/>
    <w:rsid w:val="51E00D12"/>
    <w:rsid w:val="526563EA"/>
    <w:rsid w:val="528E2050"/>
    <w:rsid w:val="52C858BF"/>
    <w:rsid w:val="5302663C"/>
    <w:rsid w:val="532B6911"/>
    <w:rsid w:val="53991B03"/>
    <w:rsid w:val="539F032F"/>
    <w:rsid w:val="53EC347C"/>
    <w:rsid w:val="542A36DA"/>
    <w:rsid w:val="54545D44"/>
    <w:rsid w:val="54DF015C"/>
    <w:rsid w:val="54FE7E32"/>
    <w:rsid w:val="552E5F37"/>
    <w:rsid w:val="55434644"/>
    <w:rsid w:val="56054BE3"/>
    <w:rsid w:val="568D6141"/>
    <w:rsid w:val="56A74291"/>
    <w:rsid w:val="56B11A71"/>
    <w:rsid w:val="56B665C7"/>
    <w:rsid w:val="56BE67DE"/>
    <w:rsid w:val="56CE27D4"/>
    <w:rsid w:val="56F3516F"/>
    <w:rsid w:val="57143C74"/>
    <w:rsid w:val="57781818"/>
    <w:rsid w:val="579B4978"/>
    <w:rsid w:val="58072185"/>
    <w:rsid w:val="58D43BB7"/>
    <w:rsid w:val="58EF1AF7"/>
    <w:rsid w:val="5919023C"/>
    <w:rsid w:val="592B61C1"/>
    <w:rsid w:val="59346B1C"/>
    <w:rsid w:val="59696213"/>
    <w:rsid w:val="59853B70"/>
    <w:rsid w:val="59A07980"/>
    <w:rsid w:val="59AA2772"/>
    <w:rsid w:val="59B27EA3"/>
    <w:rsid w:val="59B60710"/>
    <w:rsid w:val="5A0D40A7"/>
    <w:rsid w:val="5A93720E"/>
    <w:rsid w:val="5AD469BD"/>
    <w:rsid w:val="5B2318FA"/>
    <w:rsid w:val="5B6A18A9"/>
    <w:rsid w:val="5BA73B1D"/>
    <w:rsid w:val="5BA77147"/>
    <w:rsid w:val="5BE3424B"/>
    <w:rsid w:val="5C5E17DD"/>
    <w:rsid w:val="5CE537D4"/>
    <w:rsid w:val="5CF327C7"/>
    <w:rsid w:val="5D40107D"/>
    <w:rsid w:val="5D671CC1"/>
    <w:rsid w:val="5DAB7147"/>
    <w:rsid w:val="5DB203F5"/>
    <w:rsid w:val="5DD76EF6"/>
    <w:rsid w:val="5E1116CE"/>
    <w:rsid w:val="5E32256E"/>
    <w:rsid w:val="5E6D4B86"/>
    <w:rsid w:val="5EA84DCE"/>
    <w:rsid w:val="5EF34CC3"/>
    <w:rsid w:val="5F0144F0"/>
    <w:rsid w:val="5F1B5B34"/>
    <w:rsid w:val="5F3242D7"/>
    <w:rsid w:val="5F501C8E"/>
    <w:rsid w:val="5F554229"/>
    <w:rsid w:val="5F916216"/>
    <w:rsid w:val="5FCA61FB"/>
    <w:rsid w:val="60536708"/>
    <w:rsid w:val="60657C4E"/>
    <w:rsid w:val="60C1189D"/>
    <w:rsid w:val="610672E9"/>
    <w:rsid w:val="61706E1D"/>
    <w:rsid w:val="62467F84"/>
    <w:rsid w:val="62512933"/>
    <w:rsid w:val="625A44AE"/>
    <w:rsid w:val="62B9053C"/>
    <w:rsid w:val="632207D7"/>
    <w:rsid w:val="633A7322"/>
    <w:rsid w:val="634C37F3"/>
    <w:rsid w:val="63D61951"/>
    <w:rsid w:val="64005B15"/>
    <w:rsid w:val="640D2D56"/>
    <w:rsid w:val="644D14FE"/>
    <w:rsid w:val="6452020F"/>
    <w:rsid w:val="64C21AF0"/>
    <w:rsid w:val="64E57840"/>
    <w:rsid w:val="64F50291"/>
    <w:rsid w:val="65DE7D2B"/>
    <w:rsid w:val="65F81D25"/>
    <w:rsid w:val="65FA3CA3"/>
    <w:rsid w:val="66971DCD"/>
    <w:rsid w:val="66C11E3E"/>
    <w:rsid w:val="67330AF7"/>
    <w:rsid w:val="67580AC9"/>
    <w:rsid w:val="677C4B43"/>
    <w:rsid w:val="67972A84"/>
    <w:rsid w:val="67A719A6"/>
    <w:rsid w:val="67E12734"/>
    <w:rsid w:val="67EE3F38"/>
    <w:rsid w:val="67F9777D"/>
    <w:rsid w:val="6846124B"/>
    <w:rsid w:val="6888198E"/>
    <w:rsid w:val="68BB2495"/>
    <w:rsid w:val="69346BB9"/>
    <w:rsid w:val="695C41C7"/>
    <w:rsid w:val="697E554F"/>
    <w:rsid w:val="69B60936"/>
    <w:rsid w:val="69E753C6"/>
    <w:rsid w:val="69EE194C"/>
    <w:rsid w:val="6A16228B"/>
    <w:rsid w:val="6A3A2BCF"/>
    <w:rsid w:val="6A7708B1"/>
    <w:rsid w:val="6AB06444"/>
    <w:rsid w:val="6BA86B02"/>
    <w:rsid w:val="6BB35604"/>
    <w:rsid w:val="6BC93422"/>
    <w:rsid w:val="6C00726E"/>
    <w:rsid w:val="6C5A7A49"/>
    <w:rsid w:val="6C653646"/>
    <w:rsid w:val="6C710A30"/>
    <w:rsid w:val="6C7C5786"/>
    <w:rsid w:val="6CFB6E95"/>
    <w:rsid w:val="6D262AD0"/>
    <w:rsid w:val="6D331832"/>
    <w:rsid w:val="6D375FE8"/>
    <w:rsid w:val="6D4642EF"/>
    <w:rsid w:val="6D4E17AF"/>
    <w:rsid w:val="6E5B5C8E"/>
    <w:rsid w:val="6E6D517D"/>
    <w:rsid w:val="6EAC46CA"/>
    <w:rsid w:val="6EE43082"/>
    <w:rsid w:val="6FAE7281"/>
    <w:rsid w:val="6FB35483"/>
    <w:rsid w:val="70447380"/>
    <w:rsid w:val="707A7AC8"/>
    <w:rsid w:val="7098374B"/>
    <w:rsid w:val="70D91073"/>
    <w:rsid w:val="716E055E"/>
    <w:rsid w:val="71883FDF"/>
    <w:rsid w:val="71B5533D"/>
    <w:rsid w:val="71B76CAA"/>
    <w:rsid w:val="71D77EB3"/>
    <w:rsid w:val="71FE31BB"/>
    <w:rsid w:val="7228495B"/>
    <w:rsid w:val="72D67CD8"/>
    <w:rsid w:val="735D0899"/>
    <w:rsid w:val="736B7184"/>
    <w:rsid w:val="737A3336"/>
    <w:rsid w:val="743146D1"/>
    <w:rsid w:val="744932BD"/>
    <w:rsid w:val="744B6DD0"/>
    <w:rsid w:val="74A9733F"/>
    <w:rsid w:val="74F02680"/>
    <w:rsid w:val="75E857AB"/>
    <w:rsid w:val="76535E9D"/>
    <w:rsid w:val="76931B51"/>
    <w:rsid w:val="778237BB"/>
    <w:rsid w:val="77F21F9F"/>
    <w:rsid w:val="78437DDA"/>
    <w:rsid w:val="789038AC"/>
    <w:rsid w:val="79323584"/>
    <w:rsid w:val="79586FDF"/>
    <w:rsid w:val="797240FB"/>
    <w:rsid w:val="79965308"/>
    <w:rsid w:val="79B062D2"/>
    <w:rsid w:val="79D46A87"/>
    <w:rsid w:val="79ED0270"/>
    <w:rsid w:val="7A4964D4"/>
    <w:rsid w:val="7A5E519E"/>
    <w:rsid w:val="7A8005B8"/>
    <w:rsid w:val="7AAC7669"/>
    <w:rsid w:val="7AB62FF8"/>
    <w:rsid w:val="7ABF14B0"/>
    <w:rsid w:val="7B433D8A"/>
    <w:rsid w:val="7B4D4A2E"/>
    <w:rsid w:val="7B9504E9"/>
    <w:rsid w:val="7BE14377"/>
    <w:rsid w:val="7C0067E2"/>
    <w:rsid w:val="7CA13F21"/>
    <w:rsid w:val="7CB34D40"/>
    <w:rsid w:val="7CBD259D"/>
    <w:rsid w:val="7DC0278A"/>
    <w:rsid w:val="7DF60039"/>
    <w:rsid w:val="7E2457F0"/>
    <w:rsid w:val="7E80473C"/>
    <w:rsid w:val="7EA62F22"/>
    <w:rsid w:val="7F2F3A2C"/>
    <w:rsid w:val="7FAE3BD4"/>
    <w:rsid w:val="7FBC2591"/>
    <w:rsid w:val="7FC46A78"/>
    <w:rsid w:val="7FD765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5">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6">
    <w:name w:val="heading 2"/>
    <w:basedOn w:val="1"/>
    <w:next w:val="1"/>
    <w:link w:val="56"/>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7">
    <w:name w:val="heading 3"/>
    <w:basedOn w:val="1"/>
    <w:next w:val="1"/>
    <w:link w:val="57"/>
    <w:qFormat/>
    <w:uiPriority w:val="0"/>
    <w:pPr>
      <w:keepNext/>
      <w:keepLines/>
      <w:spacing w:before="260" w:beforeLines="0" w:after="260" w:afterLines="0" w:line="413" w:lineRule="auto"/>
      <w:outlineLvl w:val="2"/>
    </w:pPr>
    <w:rPr>
      <w:b/>
      <w:sz w:val="32"/>
      <w:szCs w:val="20"/>
    </w:rPr>
  </w:style>
  <w:style w:type="paragraph" w:styleId="8">
    <w:name w:val="heading 4"/>
    <w:basedOn w:val="1"/>
    <w:next w:val="1"/>
    <w:link w:val="58"/>
    <w:qFormat/>
    <w:uiPriority w:val="0"/>
    <w:pPr>
      <w:keepNext/>
      <w:keepLines/>
      <w:spacing w:before="280" w:beforeLines="0" w:after="290" w:afterLines="0" w:line="372" w:lineRule="auto"/>
      <w:outlineLvl w:val="3"/>
    </w:pPr>
    <w:rPr>
      <w:rFonts w:ascii="Arial" w:hAnsi="Arial" w:eastAsia="黑体"/>
      <w:b/>
      <w:bCs/>
      <w:sz w:val="28"/>
      <w:szCs w:val="28"/>
    </w:rPr>
  </w:style>
  <w:style w:type="paragraph" w:styleId="9">
    <w:name w:val="heading 5"/>
    <w:basedOn w:val="1"/>
    <w:next w:val="1"/>
    <w:qFormat/>
    <w:uiPriority w:val="0"/>
    <w:pPr>
      <w:keepNext/>
      <w:keepLines/>
      <w:numPr>
        <w:ilvl w:val="4"/>
        <w:numId w:val="1"/>
      </w:numPr>
      <w:spacing w:before="280" w:beforeLines="0" w:after="290" w:afterLines="0" w:line="372" w:lineRule="auto"/>
      <w:outlineLvl w:val="4"/>
    </w:pPr>
    <w:rPr>
      <w:b/>
      <w:bCs/>
      <w:sz w:val="24"/>
      <w:szCs w:val="28"/>
    </w:rPr>
  </w:style>
  <w:style w:type="paragraph" w:styleId="10">
    <w:name w:val="heading 6"/>
    <w:basedOn w:val="6"/>
    <w:next w:val="1"/>
    <w:qFormat/>
    <w:uiPriority w:val="0"/>
    <w:pPr>
      <w:keepNext/>
      <w:keepLines/>
      <w:numPr>
        <w:ilvl w:val="5"/>
        <w:numId w:val="1"/>
      </w:numPr>
      <w:spacing w:before="240" w:beforeLines="0" w:after="64" w:afterLines="0" w:line="317" w:lineRule="auto"/>
      <w:outlineLvl w:val="5"/>
    </w:pPr>
    <w:rPr>
      <w:rFonts w:ascii="Cambria" w:hAnsi="Cambria"/>
      <w:sz w:val="24"/>
      <w:szCs w:val="24"/>
    </w:rPr>
  </w:style>
  <w:style w:type="paragraph" w:styleId="11">
    <w:name w:val="heading 7"/>
    <w:basedOn w:val="1"/>
    <w:next w:val="1"/>
    <w:qFormat/>
    <w:uiPriority w:val="0"/>
    <w:pPr>
      <w:keepNext/>
      <w:keepLines/>
      <w:numPr>
        <w:ilvl w:val="6"/>
        <w:numId w:val="1"/>
      </w:numPr>
      <w:spacing w:before="240" w:beforeLines="0" w:after="64" w:afterLines="0" w:line="317" w:lineRule="auto"/>
      <w:outlineLvl w:val="6"/>
    </w:pPr>
    <w:rPr>
      <w:b/>
      <w:bCs/>
      <w:sz w:val="24"/>
      <w:szCs w:val="24"/>
    </w:rPr>
  </w:style>
  <w:style w:type="character" w:default="1" w:styleId="39">
    <w:name w:val="Default Paragraph Font"/>
    <w:uiPriority w:val="0"/>
  </w:style>
  <w:style w:type="table" w:default="1" w:styleId="37">
    <w:name w:val="Normal Table"/>
    <w:semiHidden/>
    <w:uiPriority w:val="0"/>
    <w:tblPr>
      <w:tblStyle w:val="37"/>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rPr>
      <w:rFonts w:ascii="Times New Roman" w:hAnsi="Times New Roman" w:eastAsia="宋体" w:cs="Times New Roman"/>
      <w:lang w:val="zh-CN"/>
    </w:rPr>
  </w:style>
  <w:style w:type="paragraph" w:styleId="3">
    <w:name w:val="Body Text Indent"/>
    <w:basedOn w:val="1"/>
    <w:next w:val="4"/>
    <w:link w:val="54"/>
    <w:uiPriority w:val="0"/>
    <w:pPr>
      <w:spacing w:line="200" w:lineRule="exact"/>
      <w:ind w:firstLine="301"/>
    </w:pPr>
    <w:rPr>
      <w:rFonts w:ascii="宋体" w:hAnsi="Courier New"/>
      <w:spacing w:val="-4"/>
      <w:sz w:val="18"/>
      <w:szCs w:val="20"/>
    </w:rPr>
  </w:style>
  <w:style w:type="paragraph" w:styleId="4">
    <w:name w:val="Normal Indent"/>
    <w:basedOn w:val="1"/>
    <w:next w:val="1"/>
    <w:link w:val="55"/>
    <w:uiPriority w:val="0"/>
    <w:pPr>
      <w:ind w:firstLine="420"/>
    </w:pPr>
    <w:rPr>
      <w:szCs w:val="20"/>
    </w:rPr>
  </w:style>
  <w:style w:type="paragraph" w:styleId="12">
    <w:name w:val="List Number"/>
    <w:basedOn w:val="1"/>
    <w:uiPriority w:val="0"/>
    <w:pPr>
      <w:widowControl/>
      <w:tabs>
        <w:tab w:val="left" w:pos="454"/>
        <w:tab w:val="left" w:pos="720"/>
      </w:tabs>
      <w:spacing w:after="156" w:afterLines="50"/>
      <w:ind w:left="454" w:hanging="284"/>
      <w:jc w:val="left"/>
    </w:pPr>
    <w:rPr>
      <w:kern w:val="0"/>
      <w:sz w:val="24"/>
      <w:szCs w:val="20"/>
    </w:rPr>
  </w:style>
  <w:style w:type="paragraph" w:styleId="13">
    <w:name w:val="caption"/>
    <w:basedOn w:val="1"/>
    <w:next w:val="1"/>
    <w:qFormat/>
    <w:uiPriority w:val="0"/>
    <w:pPr>
      <w:spacing w:before="152" w:beforeLines="0" w:after="160" w:afterLines="0"/>
    </w:pPr>
    <w:rPr>
      <w:rFonts w:ascii="Arial" w:hAnsi="Arial" w:eastAsia="黑体" w:cs="Arial"/>
      <w:sz w:val="20"/>
      <w:szCs w:val="20"/>
    </w:rPr>
  </w:style>
  <w:style w:type="paragraph" w:styleId="14">
    <w:name w:val="Document Map"/>
    <w:basedOn w:val="1"/>
    <w:uiPriority w:val="0"/>
    <w:pPr>
      <w:shd w:val="clear" w:color="auto" w:fill="000080"/>
    </w:pPr>
  </w:style>
  <w:style w:type="paragraph" w:styleId="15">
    <w:name w:val="annotation text"/>
    <w:basedOn w:val="1"/>
    <w:link w:val="59"/>
    <w:uiPriority w:val="0"/>
    <w:pPr>
      <w:jc w:val="left"/>
    </w:pPr>
    <w:rPr>
      <w:szCs w:val="20"/>
    </w:rPr>
  </w:style>
  <w:style w:type="paragraph" w:styleId="16">
    <w:name w:val="Body Text 3"/>
    <w:basedOn w:val="1"/>
    <w:uiPriority w:val="0"/>
    <w:pPr>
      <w:snapToGrid w:val="0"/>
      <w:spacing w:before="50" w:beforeLines="0" w:after="50" w:afterLines="0"/>
    </w:pPr>
    <w:rPr>
      <w:rFonts w:hAnsi="宋体" w:eastAsia="仿宋_GB2312"/>
      <w:b/>
      <w:bCs/>
      <w:sz w:val="24"/>
      <w:szCs w:val="20"/>
    </w:rPr>
  </w:style>
  <w:style w:type="paragraph" w:styleId="17">
    <w:name w:val="Body Text"/>
    <w:basedOn w:val="1"/>
    <w:next w:val="18"/>
    <w:uiPriority w:val="0"/>
    <w:pPr>
      <w:spacing w:after="120" w:afterLines="0"/>
    </w:pPr>
    <w:rPr>
      <w:sz w:val="28"/>
    </w:rPr>
  </w:style>
  <w:style w:type="paragraph" w:styleId="18">
    <w:name w:val="Body Text First Indent"/>
    <w:basedOn w:val="17"/>
    <w:next w:val="19"/>
    <w:uiPriority w:val="0"/>
    <w:pPr>
      <w:ind w:firstLine="420" w:firstLineChars="100"/>
    </w:pPr>
    <w:rPr>
      <w:rFonts w:ascii="Calibri" w:hAnsi="Calibri"/>
      <w:sz w:val="21"/>
      <w:szCs w:val="22"/>
    </w:rPr>
  </w:style>
  <w:style w:type="paragraph" w:styleId="19">
    <w:name w:val="toc 6"/>
    <w:basedOn w:val="1"/>
    <w:next w:val="1"/>
    <w:unhideWhenUsed/>
    <w:qFormat/>
    <w:uiPriority w:val="39"/>
    <w:pPr>
      <w:adjustRightInd/>
      <w:snapToGrid/>
      <w:spacing w:line="240" w:lineRule="auto"/>
      <w:ind w:left="2100" w:leftChars="1000" w:firstLine="0" w:firstLineChars="0"/>
    </w:pPr>
    <w:rPr>
      <w:rFonts w:ascii="等线" w:hAnsi="等线" w:eastAsia="等线"/>
      <w:sz w:val="21"/>
    </w:rPr>
  </w:style>
  <w:style w:type="paragraph" w:styleId="20">
    <w:name w:val="List Number 3"/>
    <w:basedOn w:val="1"/>
    <w:uiPriority w:val="0"/>
    <w:pPr>
      <w:numPr>
        <w:ilvl w:val="0"/>
        <w:numId w:val="2"/>
      </w:numPr>
    </w:pPr>
  </w:style>
  <w:style w:type="paragraph" w:styleId="21">
    <w:name w:val="List 2"/>
    <w:basedOn w:val="1"/>
    <w:uiPriority w:val="0"/>
    <w:pPr>
      <w:ind w:left="100" w:leftChars="200" w:hanging="200" w:hangingChars="200"/>
    </w:pPr>
    <w:rPr>
      <w:sz w:val="28"/>
    </w:rPr>
  </w:style>
  <w:style w:type="paragraph" w:styleId="22">
    <w:name w:val="Block Text"/>
    <w:basedOn w:val="1"/>
    <w:qFormat/>
    <w:uiPriority w:val="0"/>
    <w:pPr>
      <w:widowControl/>
      <w:tabs>
        <w:tab w:val="left" w:pos="2880"/>
      </w:tabs>
      <w:spacing w:line="360" w:lineRule="auto"/>
      <w:ind w:left="2880" w:hanging="420"/>
      <w:jc w:val="left"/>
    </w:pPr>
    <w:rPr>
      <w:rFonts w:ascii="Arial" w:hAnsi="Arial"/>
      <w:kern w:val="0"/>
      <w:sz w:val="18"/>
      <w:szCs w:val="20"/>
      <w:lang w:eastAsia="en-US"/>
    </w:rPr>
  </w:style>
  <w:style w:type="paragraph" w:styleId="23">
    <w:name w:val="HTML Address"/>
    <w:basedOn w:val="1"/>
    <w:link w:val="60"/>
    <w:uiPriority w:val="0"/>
    <w:pPr>
      <w:widowControl/>
      <w:jc w:val="left"/>
    </w:pPr>
    <w:rPr>
      <w:rFonts w:ascii="宋体" w:hAnsi="宋体"/>
      <w:i/>
      <w:iCs/>
      <w:kern w:val="0"/>
      <w:sz w:val="24"/>
    </w:rPr>
  </w:style>
  <w:style w:type="paragraph" w:styleId="24">
    <w:name w:val="Plain Text"/>
    <w:basedOn w:val="1"/>
    <w:next w:val="17"/>
    <w:link w:val="61"/>
    <w:uiPriority w:val="0"/>
    <w:pPr>
      <w:spacing w:before="156" w:beforeLines="50" w:after="156" w:afterLines="50" w:line="400" w:lineRule="exact"/>
    </w:pPr>
    <w:rPr>
      <w:rFonts w:ascii="宋体" w:hAnsi="Courier New"/>
      <w:sz w:val="24"/>
    </w:rPr>
  </w:style>
  <w:style w:type="paragraph" w:styleId="25">
    <w:name w:val="Date"/>
    <w:basedOn w:val="1"/>
    <w:next w:val="1"/>
    <w:link w:val="62"/>
    <w:uiPriority w:val="0"/>
    <w:pPr>
      <w:ind w:leftChars="2500"/>
    </w:pPr>
    <w:rPr>
      <w:rFonts w:eastAsia="楷体_GB2312"/>
      <w:sz w:val="32"/>
      <w:szCs w:val="20"/>
    </w:rPr>
  </w:style>
  <w:style w:type="paragraph" w:styleId="26">
    <w:name w:val="Body Text Indent 2"/>
    <w:basedOn w:val="1"/>
    <w:uiPriority w:val="0"/>
    <w:pPr>
      <w:snapToGrid w:val="0"/>
      <w:ind w:firstLine="542" w:firstLineChars="225"/>
    </w:pPr>
    <w:rPr>
      <w:rFonts w:ascii="仿宋_GB2312" w:hAnsi="宋体" w:cs="Arial"/>
      <w:b/>
      <w:bCs/>
      <w:color w:val="000000"/>
      <w:sz w:val="24"/>
    </w:rPr>
  </w:style>
  <w:style w:type="paragraph" w:styleId="27">
    <w:name w:val="Balloon Text"/>
    <w:basedOn w:val="1"/>
    <w:uiPriority w:val="0"/>
    <w:rPr>
      <w:sz w:val="18"/>
      <w:szCs w:val="18"/>
    </w:rPr>
  </w:style>
  <w:style w:type="paragraph" w:styleId="28">
    <w:name w:val="footer"/>
    <w:basedOn w:val="1"/>
    <w:link w:val="63"/>
    <w:uiPriority w:val="0"/>
    <w:pPr>
      <w:tabs>
        <w:tab w:val="center" w:pos="4153"/>
        <w:tab w:val="right" w:pos="8306"/>
      </w:tabs>
      <w:snapToGrid w:val="0"/>
      <w:jc w:val="left"/>
    </w:pPr>
    <w:rPr>
      <w:rFonts w:eastAsia="黑体"/>
      <w:snapToGrid w:val="0"/>
      <w:kern w:val="0"/>
      <w:sz w:val="18"/>
      <w:szCs w:val="18"/>
    </w:rPr>
  </w:style>
  <w:style w:type="paragraph" w:styleId="29">
    <w:name w:val="header"/>
    <w:basedOn w:val="1"/>
    <w:link w:val="64"/>
    <w:uiPriority w:val="0"/>
    <w:pPr>
      <w:pBdr>
        <w:bottom w:val="single" w:color="auto" w:sz="6" w:space="1"/>
      </w:pBdr>
      <w:tabs>
        <w:tab w:val="center" w:pos="4153"/>
        <w:tab w:val="right" w:pos="8306"/>
      </w:tabs>
      <w:snapToGrid w:val="0"/>
      <w:jc w:val="center"/>
    </w:pPr>
    <w:rPr>
      <w:rFonts w:eastAsia="仿宋_GB2312"/>
      <w:sz w:val="18"/>
      <w:szCs w:val="20"/>
    </w:rPr>
  </w:style>
  <w:style w:type="paragraph" w:styleId="30">
    <w:name w:val="toc 1"/>
    <w:basedOn w:val="1"/>
    <w:next w:val="1"/>
    <w:uiPriority w:val="0"/>
  </w:style>
  <w:style w:type="paragraph" w:styleId="31">
    <w:name w:val="Subtitle"/>
    <w:basedOn w:val="1"/>
    <w:next w:val="1"/>
    <w:qFormat/>
    <w:uiPriority w:val="11"/>
    <w:pPr>
      <w:spacing w:before="240" w:after="60" w:line="312" w:lineRule="auto"/>
      <w:jc w:val="center"/>
      <w:outlineLvl w:val="1"/>
    </w:pPr>
    <w:rPr>
      <w:rFonts w:ascii="Calibri" w:hAnsi="Calibri" w:eastAsia="宋体" w:cs="Times New Roman"/>
      <w:b/>
      <w:bCs/>
      <w:kern w:val="28"/>
      <w:sz w:val="32"/>
      <w:szCs w:val="32"/>
    </w:rPr>
  </w:style>
  <w:style w:type="paragraph" w:styleId="32">
    <w:name w:val="List"/>
    <w:basedOn w:val="1"/>
    <w:uiPriority w:val="0"/>
    <w:pPr>
      <w:ind w:left="200" w:hanging="200" w:hangingChars="200"/>
    </w:pPr>
    <w:rPr>
      <w:sz w:val="28"/>
    </w:rPr>
  </w:style>
  <w:style w:type="paragraph" w:styleId="33">
    <w:name w:val="Body Text Indent 3"/>
    <w:basedOn w:val="1"/>
    <w:uiPriority w:val="0"/>
    <w:pPr>
      <w:snapToGrid w:val="0"/>
      <w:ind w:firstLine="480" w:firstLineChars="200"/>
      <w:jc w:val="left"/>
    </w:pPr>
    <w:rPr>
      <w:rFonts w:ascii="仿宋_GB2312" w:hAnsi="宋体" w:eastAsia="仿宋_GB2312"/>
      <w:color w:val="000000"/>
      <w:sz w:val="24"/>
    </w:rPr>
  </w:style>
  <w:style w:type="paragraph" w:styleId="34">
    <w:name w:val="Body Text 2"/>
    <w:basedOn w:val="1"/>
    <w:uiPriority w:val="0"/>
    <w:pPr>
      <w:widowControl/>
      <w:snapToGrid w:val="0"/>
      <w:spacing w:before="50" w:beforeLines="0" w:after="156" w:afterLines="50" w:line="400" w:lineRule="exact"/>
      <w:jc w:val="left"/>
    </w:pPr>
    <w:rPr>
      <w:rFonts w:ascii="宋体" w:hAnsi="宋体"/>
      <w:color w:val="000000"/>
      <w:sz w:val="24"/>
    </w:rPr>
  </w:style>
  <w:style w:type="paragraph" w:styleId="35">
    <w:name w:val="Normal (Web)"/>
    <w:basedOn w:val="1"/>
    <w:uiPriority w:val="0"/>
    <w:pPr>
      <w:widowControl/>
      <w:spacing w:before="100" w:beforeLines="0" w:beforeAutospacing="1" w:after="100" w:afterLines="0" w:afterAutospacing="1"/>
      <w:jc w:val="left"/>
    </w:pPr>
    <w:rPr>
      <w:kern w:val="0"/>
      <w:sz w:val="24"/>
    </w:rPr>
  </w:style>
  <w:style w:type="paragraph" w:styleId="36">
    <w:name w:val="annotation subject"/>
    <w:basedOn w:val="15"/>
    <w:next w:val="15"/>
    <w:link w:val="65"/>
    <w:uiPriority w:val="0"/>
  </w:style>
  <w:style w:type="table" w:styleId="38">
    <w:name w:val="Table Grid"/>
    <w:basedOn w:val="37"/>
    <w:qFormat/>
    <w:uiPriority w:val="39"/>
    <w:tblPr>
      <w:tblStyle w:val="3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0"/>
    <w:rPr>
      <w:b/>
      <w:bCs/>
    </w:rPr>
  </w:style>
  <w:style w:type="character" w:styleId="41">
    <w:name w:val="page number"/>
    <w:basedOn w:val="39"/>
    <w:uiPriority w:val="0"/>
  </w:style>
  <w:style w:type="character" w:styleId="42">
    <w:name w:val="FollowedHyperlink"/>
    <w:uiPriority w:val="0"/>
    <w:rPr>
      <w:color w:val="333333"/>
      <w:u w:val="none"/>
    </w:rPr>
  </w:style>
  <w:style w:type="character" w:styleId="43">
    <w:name w:val="Emphasis"/>
    <w:qFormat/>
    <w:uiPriority w:val="0"/>
  </w:style>
  <w:style w:type="character" w:styleId="44">
    <w:name w:val="HTML Definition"/>
    <w:uiPriority w:val="0"/>
  </w:style>
  <w:style w:type="character" w:styleId="45">
    <w:name w:val="HTML Typewriter"/>
    <w:uiPriority w:val="0"/>
    <w:rPr>
      <w:rFonts w:ascii="Courier New" w:hAnsi="Courier New"/>
      <w:sz w:val="24"/>
      <w:szCs w:val="24"/>
    </w:rPr>
  </w:style>
  <w:style w:type="character" w:styleId="46">
    <w:name w:val="HTML Acronym"/>
    <w:basedOn w:val="39"/>
    <w:uiPriority w:val="0"/>
  </w:style>
  <w:style w:type="character" w:styleId="47">
    <w:name w:val="HTML Variable"/>
    <w:uiPriority w:val="0"/>
  </w:style>
  <w:style w:type="character" w:styleId="48">
    <w:name w:val="Hyperlink"/>
    <w:uiPriority w:val="0"/>
    <w:rPr>
      <w:color w:val="333333"/>
      <w:u w:val="none"/>
    </w:rPr>
  </w:style>
  <w:style w:type="character" w:styleId="49">
    <w:name w:val="HTML Code"/>
    <w:uiPriority w:val="0"/>
    <w:rPr>
      <w:rFonts w:ascii="Courier New" w:hAnsi="Courier New"/>
      <w:sz w:val="24"/>
      <w:szCs w:val="24"/>
    </w:rPr>
  </w:style>
  <w:style w:type="character" w:styleId="50">
    <w:name w:val="annotation reference"/>
    <w:uiPriority w:val="0"/>
    <w:rPr>
      <w:sz w:val="21"/>
      <w:szCs w:val="21"/>
    </w:rPr>
  </w:style>
  <w:style w:type="character" w:styleId="51">
    <w:name w:val="HTML Cite"/>
    <w:uiPriority w:val="0"/>
  </w:style>
  <w:style w:type="character" w:styleId="52">
    <w:name w:val="HTML Keyboard"/>
    <w:uiPriority w:val="0"/>
    <w:rPr>
      <w:rFonts w:ascii="Courier New" w:hAnsi="Courier New"/>
      <w:sz w:val="24"/>
      <w:szCs w:val="24"/>
    </w:rPr>
  </w:style>
  <w:style w:type="character" w:styleId="53">
    <w:name w:val="HTML Sample"/>
    <w:uiPriority w:val="0"/>
    <w:rPr>
      <w:rFonts w:ascii="Courier New" w:hAnsi="Courier New"/>
      <w:sz w:val="24"/>
      <w:szCs w:val="24"/>
    </w:rPr>
  </w:style>
  <w:style w:type="character" w:customStyle="1" w:styleId="54">
    <w:name w:val="正文文本缩进 字符"/>
    <w:link w:val="3"/>
    <w:uiPriority w:val="0"/>
    <w:rPr>
      <w:rFonts w:ascii="宋体" w:hAnsi="Courier New"/>
      <w:spacing w:val="-4"/>
      <w:kern w:val="2"/>
      <w:sz w:val="18"/>
    </w:rPr>
  </w:style>
  <w:style w:type="character" w:customStyle="1" w:styleId="55">
    <w:name w:val="正文缩进 字符"/>
    <w:link w:val="4"/>
    <w:uiPriority w:val="0"/>
    <w:rPr>
      <w:kern w:val="2"/>
      <w:sz w:val="21"/>
    </w:rPr>
  </w:style>
  <w:style w:type="character" w:customStyle="1" w:styleId="56">
    <w:name w:val="标题 2 字符"/>
    <w:link w:val="6"/>
    <w:uiPriority w:val="0"/>
    <w:rPr>
      <w:rFonts w:ascii="Arial" w:hAnsi="Arial" w:eastAsia="黑体"/>
      <w:b/>
      <w:bCs/>
      <w:kern w:val="2"/>
      <w:sz w:val="32"/>
      <w:szCs w:val="32"/>
      <w:lang w:val="en-US" w:eastAsia="zh-CN" w:bidi="ar-SA"/>
    </w:rPr>
  </w:style>
  <w:style w:type="character" w:customStyle="1" w:styleId="57">
    <w:name w:val="标题 3 字符"/>
    <w:link w:val="7"/>
    <w:uiPriority w:val="0"/>
    <w:rPr>
      <w:b/>
      <w:kern w:val="2"/>
      <w:sz w:val="32"/>
    </w:rPr>
  </w:style>
  <w:style w:type="character" w:customStyle="1" w:styleId="58">
    <w:name w:val="标题 4 字符"/>
    <w:link w:val="8"/>
    <w:uiPriority w:val="0"/>
    <w:rPr>
      <w:rFonts w:ascii="Arial" w:hAnsi="Arial" w:eastAsia="黑体"/>
      <w:b/>
      <w:bCs/>
      <w:kern w:val="2"/>
      <w:sz w:val="28"/>
      <w:szCs w:val="28"/>
    </w:rPr>
  </w:style>
  <w:style w:type="character" w:customStyle="1" w:styleId="59">
    <w:name w:val="批注文字 字符"/>
    <w:link w:val="15"/>
    <w:uiPriority w:val="0"/>
    <w:rPr>
      <w:kern w:val="2"/>
      <w:sz w:val="21"/>
    </w:rPr>
  </w:style>
  <w:style w:type="character" w:customStyle="1" w:styleId="60">
    <w:name w:val="HTML 地址 字符"/>
    <w:link w:val="23"/>
    <w:uiPriority w:val="0"/>
    <w:rPr>
      <w:rFonts w:ascii="宋体" w:hAnsi="宋体"/>
      <w:i/>
      <w:iCs/>
      <w:sz w:val="24"/>
      <w:szCs w:val="24"/>
    </w:rPr>
  </w:style>
  <w:style w:type="character" w:customStyle="1" w:styleId="61">
    <w:name w:val="纯文本 字符"/>
    <w:link w:val="24"/>
    <w:uiPriority w:val="0"/>
    <w:rPr>
      <w:rFonts w:ascii="宋体" w:hAnsi="Courier New" w:eastAsia="宋体"/>
      <w:kern w:val="2"/>
      <w:sz w:val="24"/>
      <w:szCs w:val="24"/>
      <w:lang w:val="en-US" w:eastAsia="zh-CN" w:bidi="ar-SA"/>
    </w:rPr>
  </w:style>
  <w:style w:type="character" w:customStyle="1" w:styleId="62">
    <w:name w:val="日期 字符"/>
    <w:link w:val="25"/>
    <w:uiPriority w:val="0"/>
    <w:rPr>
      <w:rFonts w:eastAsia="楷体_GB2312"/>
      <w:kern w:val="2"/>
      <w:sz w:val="32"/>
    </w:rPr>
  </w:style>
  <w:style w:type="character" w:customStyle="1" w:styleId="63">
    <w:name w:val="页脚 字符"/>
    <w:link w:val="28"/>
    <w:uiPriority w:val="0"/>
    <w:rPr>
      <w:rFonts w:eastAsia="黑体"/>
      <w:snapToGrid w:val="0"/>
      <w:sz w:val="18"/>
      <w:szCs w:val="18"/>
      <w:lang w:val="en-US" w:eastAsia="zh-CN" w:bidi="ar-SA"/>
    </w:rPr>
  </w:style>
  <w:style w:type="character" w:customStyle="1" w:styleId="64">
    <w:name w:val="页眉 字符"/>
    <w:link w:val="29"/>
    <w:uiPriority w:val="0"/>
    <w:rPr>
      <w:rFonts w:eastAsia="仿宋_GB2312"/>
      <w:kern w:val="2"/>
      <w:sz w:val="18"/>
    </w:rPr>
  </w:style>
  <w:style w:type="character" w:customStyle="1" w:styleId="65">
    <w:name w:val="批注主题 字符"/>
    <w:basedOn w:val="59"/>
    <w:link w:val="36"/>
    <w:uiPriority w:val="0"/>
  </w:style>
  <w:style w:type="character" w:customStyle="1" w:styleId="66">
    <w:name w:val="font41"/>
    <w:uiPriority w:val="0"/>
    <w:rPr>
      <w:rFonts w:hint="eastAsia" w:ascii="宋体" w:hAnsi="宋体" w:eastAsia="宋体" w:cs="宋体"/>
      <w:color w:val="000000"/>
      <w:sz w:val="22"/>
      <w:szCs w:val="22"/>
      <w:u w:val="none"/>
    </w:rPr>
  </w:style>
  <w:style w:type="character" w:customStyle="1" w:styleId="67">
    <w:name w:val="Subtle Emphasis"/>
    <w:uiPriority w:val="0"/>
    <w:rPr>
      <w:i/>
      <w:iCs/>
      <w:color w:val="404040"/>
    </w:rPr>
  </w:style>
  <w:style w:type="character" w:customStyle="1" w:styleId="68">
    <w:name w:val="layui-laypage-curr"/>
    <w:basedOn w:val="39"/>
    <w:uiPriority w:val="0"/>
  </w:style>
  <w:style w:type="character" w:customStyle="1" w:styleId="69">
    <w:name w:val="批注文字 Char1"/>
    <w:uiPriority w:val="0"/>
    <w:rPr>
      <w:rFonts w:ascii="Tahoma" w:hAnsi="Tahoma"/>
      <w:kern w:val="2"/>
      <w:sz w:val="21"/>
      <w:szCs w:val="24"/>
    </w:rPr>
  </w:style>
  <w:style w:type="character" w:customStyle="1" w:styleId="70">
    <w:name w:val="纯文本 Char1"/>
    <w:aliases w:val="普通文字 Char1,普通文字 Char Char2,纯文本 Char Char Char1,纯文本 Char Char2,普通文字 Char Char Char"/>
    <w:uiPriority w:val="0"/>
    <w:rPr>
      <w:rFonts w:ascii="宋体" w:hAnsi="Courier New" w:eastAsia="宋体" w:cs="Courier New"/>
      <w:kern w:val="2"/>
      <w:sz w:val="21"/>
      <w:szCs w:val="21"/>
      <w:lang w:val="en-US" w:eastAsia="zh-CN" w:bidi="ar-SA"/>
    </w:rPr>
  </w:style>
  <w:style w:type="character" w:customStyle="1" w:styleId="71">
    <w:name w:val="font13"/>
    <w:uiPriority w:val="0"/>
    <w:rPr>
      <w:rFonts w:hint="eastAsia" w:ascii="微软雅黑" w:hAnsi="微软雅黑" w:eastAsia="微软雅黑" w:cs="微软雅黑"/>
      <w:color w:val="000000"/>
      <w:sz w:val="28"/>
      <w:szCs w:val="28"/>
      <w:u w:val="none"/>
    </w:rPr>
  </w:style>
  <w:style w:type="character" w:customStyle="1" w:styleId="72">
    <w:name w:val="font111"/>
    <w:uiPriority w:val="0"/>
    <w:rPr>
      <w:rFonts w:hint="default" w:ascii="Times New Roman" w:hAnsi="Times New Roman" w:cs="Times New Roman"/>
      <w:b/>
      <w:color w:val="000000"/>
      <w:sz w:val="21"/>
      <w:szCs w:val="21"/>
      <w:u w:val="none"/>
    </w:rPr>
  </w:style>
  <w:style w:type="character" w:customStyle="1" w:styleId="73">
    <w:name w:val="NormalCharacter"/>
    <w:qFormat/>
    <w:uiPriority w:val="0"/>
    <w:rPr>
      <w:kern w:val="2"/>
      <w:sz w:val="21"/>
      <w:lang w:val="en-US" w:eastAsia="zh-CN" w:bidi="ar-SA"/>
    </w:rPr>
  </w:style>
  <w:style w:type="character" w:customStyle="1" w:styleId="74">
    <w:name w:val="font11"/>
    <w:uiPriority w:val="0"/>
    <w:rPr>
      <w:rFonts w:hint="eastAsia" w:ascii="宋体" w:hAnsi="宋体" w:eastAsia="宋体" w:cs="宋体"/>
      <w:color w:val="000000"/>
      <w:sz w:val="21"/>
      <w:szCs w:val="21"/>
      <w:u w:val="none"/>
    </w:rPr>
  </w:style>
  <w:style w:type="character" w:customStyle="1" w:styleId="75">
    <w:name w:val="cr4 Char Char"/>
    <w:link w:val="76"/>
    <w:uiPriority w:val="0"/>
    <w:rPr>
      <w:rFonts w:ascii="黑体" w:hAnsi="宋体" w:eastAsia="黑体"/>
      <w:b/>
      <w:color w:val="000000"/>
      <w:sz w:val="28"/>
      <w:szCs w:val="28"/>
    </w:rPr>
  </w:style>
  <w:style w:type="paragraph" w:customStyle="1" w:styleId="76">
    <w:name w:val="cr4"/>
    <w:basedOn w:val="8"/>
    <w:next w:val="1"/>
    <w:link w:val="75"/>
    <w:uiPriority w:val="0"/>
    <w:pPr>
      <w:tabs>
        <w:tab w:val="left" w:pos="645"/>
      </w:tabs>
      <w:spacing w:before="25" w:beforeLines="0" w:after="25" w:afterLines="0" w:line="300" w:lineRule="auto"/>
      <w:ind w:left="420" w:hanging="420"/>
      <w:outlineLvl w:val="2"/>
    </w:pPr>
    <w:rPr>
      <w:rFonts w:ascii="黑体" w:hAnsi="宋体"/>
      <w:bCs w:val="0"/>
      <w:color w:val="000000"/>
      <w:kern w:val="0"/>
    </w:rPr>
  </w:style>
  <w:style w:type="character" w:customStyle="1" w:styleId="77">
    <w:name w:val="Font Style16"/>
    <w:uiPriority w:val="0"/>
    <w:rPr>
      <w:rFonts w:ascii="宋体" w:eastAsia="宋体" w:cs="宋体"/>
      <w:b/>
      <w:bCs/>
    </w:rPr>
  </w:style>
  <w:style w:type="character" w:customStyle="1" w:styleId="78">
    <w:name w:val="font12"/>
    <w:uiPriority w:val="0"/>
    <w:rPr>
      <w:rFonts w:ascii="幼圆" w:hAnsi="幼圆" w:eastAsia="幼圆" w:cs="幼圆"/>
      <w:color w:val="000000"/>
      <w:sz w:val="24"/>
      <w:szCs w:val="24"/>
      <w:u w:val="none"/>
    </w:rPr>
  </w:style>
  <w:style w:type="character" w:customStyle="1" w:styleId="79">
    <w:name w:val="普通文字 Char Char1"/>
    <w:aliases w:val="纯文本 Char Char Char,纯文本 Char Char1,普通文字 Char Char Char Char"/>
    <w:uiPriority w:val="0"/>
    <w:rPr>
      <w:rFonts w:ascii="宋体" w:hAnsi="Courier New" w:eastAsia="宋体"/>
      <w:kern w:val="2"/>
      <w:sz w:val="24"/>
      <w:szCs w:val="24"/>
      <w:lang w:val="en-US" w:eastAsia="zh-CN" w:bidi="ar-SA"/>
    </w:rPr>
  </w:style>
  <w:style w:type="character" w:customStyle="1" w:styleId="80">
    <w:name w:val="样式 标题 1合同标题卷标题H1h1Level 1 Topic HeadingH11H12H111H13H1... Char"/>
    <w:uiPriority w:val="0"/>
    <w:rPr>
      <w:rFonts w:ascii="宋体" w:hAnsi="宋体" w:eastAsia="宋体"/>
      <w:b/>
      <w:bCs/>
      <w:kern w:val="44"/>
      <w:sz w:val="24"/>
      <w:szCs w:val="44"/>
      <w:lang w:val="en-US" w:eastAsia="zh-CN" w:bidi="ar-SA"/>
    </w:rPr>
  </w:style>
  <w:style w:type="character" w:customStyle="1" w:styleId="81">
    <w:name w:val="font91"/>
    <w:uiPriority w:val="0"/>
    <w:rPr>
      <w:rFonts w:hint="eastAsia" w:ascii="微软雅黑" w:hAnsi="微软雅黑" w:eastAsia="微软雅黑" w:cs="微软雅黑"/>
      <w:color w:val="000000"/>
      <w:sz w:val="28"/>
      <w:szCs w:val="28"/>
      <w:u w:val="none"/>
    </w:rPr>
  </w:style>
  <w:style w:type="character" w:customStyle="1" w:styleId="82">
    <w:name w:val="font01"/>
    <w:uiPriority w:val="0"/>
    <w:rPr>
      <w:rFonts w:hint="eastAsia" w:ascii="宋体" w:hAnsi="宋体" w:eastAsia="宋体" w:cs="宋体"/>
      <w:color w:val="000000"/>
      <w:sz w:val="22"/>
      <w:szCs w:val="22"/>
      <w:u w:val="none"/>
    </w:rPr>
  </w:style>
  <w:style w:type="character" w:customStyle="1" w:styleId="83">
    <w:name w:val="Font Style14"/>
    <w:uiPriority w:val="0"/>
    <w:rPr>
      <w:rFonts w:ascii="宋体" w:eastAsia="宋体" w:cs="宋体"/>
    </w:rPr>
  </w:style>
  <w:style w:type="character" w:customStyle="1" w:styleId="84">
    <w:name w:val="xxggcat"/>
    <w:uiPriority w:val="0"/>
    <w:rPr>
      <w:color w:val="007E09"/>
    </w:rPr>
  </w:style>
  <w:style w:type="character" w:customStyle="1" w:styleId="85">
    <w:name w:val="font51"/>
    <w:uiPriority w:val="0"/>
    <w:rPr>
      <w:rFonts w:hint="default" w:ascii="Times New Roman" w:hAnsi="Times New Roman" w:cs="Times New Roman"/>
      <w:color w:val="000000"/>
      <w:sz w:val="21"/>
      <w:szCs w:val="21"/>
      <w:u w:val="none"/>
    </w:rPr>
  </w:style>
  <w:style w:type="character" w:customStyle="1" w:styleId="86">
    <w:name w:val="Char Char1"/>
    <w:uiPriority w:val="0"/>
    <w:rPr>
      <w:rFonts w:ascii="宋体" w:hAnsi="Courier New" w:eastAsia="宋体" w:cs="Courier New"/>
      <w:kern w:val="2"/>
      <w:sz w:val="21"/>
      <w:szCs w:val="21"/>
      <w:lang w:val="en-US" w:eastAsia="zh-CN" w:bidi="ar-SA"/>
    </w:rPr>
  </w:style>
  <w:style w:type="character" w:customStyle="1" w:styleId="87">
    <w:name w:val="页眉 Char"/>
    <w:uiPriority w:val="0"/>
    <w:rPr>
      <w:sz w:val="18"/>
      <w:szCs w:val="18"/>
    </w:rPr>
  </w:style>
  <w:style w:type="character" w:customStyle="1" w:styleId="88">
    <w:name w:val="cr3 Char Char"/>
    <w:link w:val="89"/>
    <w:uiPriority w:val="0"/>
    <w:rPr>
      <w:rFonts w:eastAsia="黑体"/>
      <w:b/>
      <w:bCs/>
      <w:kern w:val="2"/>
      <w:sz w:val="32"/>
      <w:szCs w:val="32"/>
    </w:rPr>
  </w:style>
  <w:style w:type="paragraph" w:customStyle="1" w:styleId="89">
    <w:name w:val="cr3"/>
    <w:basedOn w:val="7"/>
    <w:next w:val="76"/>
    <w:link w:val="88"/>
    <w:uiPriority w:val="0"/>
    <w:pPr>
      <w:numPr>
        <w:ilvl w:val="2"/>
        <w:numId w:val="3"/>
      </w:numPr>
      <w:spacing w:line="240" w:lineRule="auto"/>
      <w:outlineLvl w:val="1"/>
    </w:pPr>
    <w:rPr>
      <w:rFonts w:eastAsia="黑体"/>
      <w:bCs/>
      <w:szCs w:val="32"/>
    </w:rPr>
  </w:style>
  <w:style w:type="character" w:customStyle="1" w:styleId="90">
    <w:name w:val="font31"/>
    <w:uiPriority w:val="0"/>
    <w:rPr>
      <w:rFonts w:ascii="Calibri" w:hAnsi="Calibri" w:cs="Calibri"/>
      <w:color w:val="000000"/>
      <w:sz w:val="21"/>
      <w:szCs w:val="21"/>
      <w:u w:val="none"/>
    </w:rPr>
  </w:style>
  <w:style w:type="character" w:customStyle="1" w:styleId="91">
    <w:name w:val="newsdate"/>
    <w:basedOn w:val="39"/>
    <w:uiPriority w:val="0"/>
  </w:style>
  <w:style w:type="character" w:customStyle="1" w:styleId="92">
    <w:name w:val="font81"/>
    <w:uiPriority w:val="0"/>
    <w:rPr>
      <w:rFonts w:hint="eastAsia" w:ascii="宋体" w:hAnsi="宋体" w:eastAsia="宋体" w:cs="宋体"/>
      <w:b/>
      <w:color w:val="000000"/>
      <w:sz w:val="21"/>
      <w:szCs w:val="21"/>
      <w:u w:val="none"/>
    </w:rPr>
  </w:style>
  <w:style w:type="character" w:customStyle="1" w:styleId="93">
    <w:name w:val="font21"/>
    <w:uiPriority w:val="0"/>
    <w:rPr>
      <w:rFonts w:hint="eastAsia" w:ascii="宋体" w:hAnsi="宋体" w:eastAsia="宋体" w:cs="宋体"/>
      <w:color w:val="000000"/>
      <w:sz w:val="21"/>
      <w:szCs w:val="21"/>
      <w:u w:val="none"/>
    </w:rPr>
  </w:style>
  <w:style w:type="character" w:customStyle="1" w:styleId="94">
    <w:name w:val="表格 Char"/>
    <w:link w:val="95"/>
    <w:uiPriority w:val="0"/>
    <w:rPr>
      <w:rFonts w:eastAsia="仿宋_GB2312"/>
      <w:sz w:val="24"/>
    </w:rPr>
  </w:style>
  <w:style w:type="paragraph" w:customStyle="1" w:styleId="95">
    <w:name w:val="表格"/>
    <w:basedOn w:val="1"/>
    <w:link w:val="94"/>
    <w:uiPriority w:val="0"/>
    <w:rPr>
      <w:rFonts w:eastAsia="仿宋_GB2312"/>
      <w:kern w:val="0"/>
      <w:sz w:val="24"/>
      <w:szCs w:val="20"/>
    </w:rPr>
  </w:style>
  <w:style w:type="character" w:customStyle="1" w:styleId="96">
    <w:name w:val="列出段落 Char"/>
    <w:link w:val="97"/>
    <w:uiPriority w:val="0"/>
    <w:rPr>
      <w:rFonts w:ascii="Calibri" w:hAnsi="Calibri"/>
      <w:kern w:val="2"/>
      <w:sz w:val="21"/>
      <w:szCs w:val="22"/>
    </w:rPr>
  </w:style>
  <w:style w:type="paragraph" w:customStyle="1" w:styleId="97">
    <w:name w:val="列出段落1"/>
    <w:basedOn w:val="1"/>
    <w:link w:val="96"/>
    <w:uiPriority w:val="0"/>
    <w:pPr>
      <w:ind w:firstLine="420" w:firstLineChars="200"/>
    </w:pPr>
    <w:rPr>
      <w:rFonts w:ascii="Calibri" w:hAnsi="Calibri"/>
      <w:szCs w:val="22"/>
    </w:rPr>
  </w:style>
  <w:style w:type="paragraph" w:customStyle="1" w:styleId="98">
    <w:name w:val="Normal Char"/>
    <w:basedOn w:val="1"/>
    <w:uiPriority w:val="0"/>
    <w:pPr>
      <w:suppressAutoHyphens/>
      <w:autoSpaceDE w:val="0"/>
      <w:jc w:val="left"/>
    </w:pPr>
    <w:rPr>
      <w:rFonts w:ascii="Thorndale" w:hAnsi="Thorndale" w:eastAsia="HG Mincho Light J"/>
      <w:color w:val="000000"/>
      <w:kern w:val="0"/>
      <w:sz w:val="20"/>
      <w:szCs w:val="20"/>
      <w:lang w:val="hu-HU"/>
    </w:rPr>
  </w:style>
  <w:style w:type="paragraph" w:customStyle="1" w:styleId="99">
    <w:name w:val="无间隔1"/>
    <w:basedOn w:val="1"/>
    <w:uiPriority w:val="0"/>
    <w:pPr>
      <w:widowControl/>
      <w:jc w:val="left"/>
    </w:pPr>
    <w:rPr>
      <w:kern w:val="0"/>
      <w:sz w:val="20"/>
      <w:szCs w:val="20"/>
      <w:lang w:eastAsia="en-US"/>
    </w:rPr>
  </w:style>
  <w:style w:type="paragraph" w:customStyle="1" w:styleId="100">
    <w:name w:val="默认段落字体 Para Char Char Char Char Char Char Char"/>
    <w:basedOn w:val="14"/>
    <w:uiPriority w:val="0"/>
    <w:pPr>
      <w:adjustRightInd w:val="0"/>
      <w:spacing w:line="436" w:lineRule="exact"/>
      <w:ind w:left="357"/>
      <w:jc w:val="left"/>
      <w:outlineLvl w:val="3"/>
    </w:pPr>
    <w:rPr>
      <w:rFonts w:ascii="Tahoma" w:hAnsi="Tahoma"/>
      <w:b/>
      <w:sz w:val="24"/>
    </w:rPr>
  </w:style>
  <w:style w:type="paragraph" w:customStyle="1" w:styleId="101">
    <w:name w:val="ÕýÎÄ"/>
    <w:uiPriority w:val="0"/>
    <w:pPr>
      <w:widowControl w:val="0"/>
      <w:overflowPunct w:val="0"/>
      <w:autoSpaceDE w:val="0"/>
      <w:autoSpaceDN w:val="0"/>
      <w:adjustRightInd w:val="0"/>
      <w:jc w:val="both"/>
      <w:textAlignment w:val="baseline"/>
    </w:pPr>
    <w:rPr>
      <w:kern w:val="2"/>
      <w:sz w:val="21"/>
      <w:szCs w:val="22"/>
      <w:lang w:val="en-US" w:eastAsia="zh-CN" w:bidi="ar-SA"/>
    </w:rPr>
  </w:style>
  <w:style w:type="paragraph" w:customStyle="1" w:styleId="102">
    <w:name w:val="WPSOffice手动目录 1"/>
    <w:uiPriority w:val="0"/>
    <w:rPr>
      <w:lang w:val="en-US" w:eastAsia="zh-CN" w:bidi="ar-SA"/>
    </w:rPr>
  </w:style>
  <w:style w:type="paragraph" w:styleId="103">
    <w:name w:val="No Spacing"/>
    <w:qFormat/>
    <w:uiPriority w:val="0"/>
    <w:pPr>
      <w:widowControl w:val="0"/>
      <w:jc w:val="both"/>
    </w:pPr>
    <w:rPr>
      <w:kern w:val="2"/>
      <w:sz w:val="21"/>
      <w:szCs w:val="24"/>
      <w:lang w:val="en-US" w:eastAsia="zh-CN" w:bidi="ar-SA"/>
    </w:rPr>
  </w:style>
  <w:style w:type="paragraph" w:customStyle="1" w:styleId="104">
    <w:name w:val=" Char Char Char Char Char Char Char Char Char Char Char Char1 Char"/>
    <w:basedOn w:val="14"/>
    <w:uiPriority w:val="0"/>
    <w:rPr>
      <w:rFonts w:ascii="Tahoma" w:hAnsi="Tahoma"/>
      <w:sz w:val="24"/>
    </w:rPr>
  </w:style>
  <w:style w:type="paragraph" w:customStyle="1" w:styleId="105">
    <w:name w:val="样式1"/>
    <w:basedOn w:val="8"/>
    <w:uiPriority w:val="0"/>
  </w:style>
  <w:style w:type="paragraph" w:customStyle="1" w:styleId="106">
    <w:name w:val="普通(网站)1"/>
    <w:basedOn w:val="1"/>
    <w:uiPriority w:val="0"/>
    <w:pPr>
      <w:widowControl/>
      <w:spacing w:before="100" w:beforeLines="0" w:beforeAutospacing="1" w:after="100" w:afterLines="0" w:afterAutospacing="1"/>
      <w:jc w:val="left"/>
    </w:pPr>
    <w:rPr>
      <w:rFonts w:ascii="宋体" w:hAnsi="宋体"/>
      <w:kern w:val="0"/>
      <w:sz w:val="24"/>
    </w:rPr>
  </w:style>
  <w:style w:type="paragraph" w:customStyle="1" w:styleId="107">
    <w:name w:val="_Style 2"/>
    <w:basedOn w:val="1"/>
    <w:uiPriority w:val="0"/>
    <w:pPr>
      <w:spacing w:line="440" w:lineRule="exact"/>
      <w:ind w:firstLine="420" w:firstLineChars="200"/>
    </w:pPr>
  </w:style>
  <w:style w:type="paragraph" w:customStyle="1" w:styleId="108">
    <w:name w:val="List Paragraph"/>
    <w:basedOn w:val="1"/>
    <w:uiPriority w:val="0"/>
    <w:pPr>
      <w:ind w:firstLine="420" w:firstLineChars="200"/>
    </w:pPr>
    <w:rPr>
      <w:rFonts w:cs="Times New Roman"/>
    </w:rPr>
  </w:style>
  <w:style w:type="paragraph" w:customStyle="1" w:styleId="109">
    <w:name w:val="f1"/>
    <w:basedOn w:val="1"/>
    <w:uiPriority w:val="0"/>
    <w:pPr>
      <w:widowControl/>
      <w:spacing w:before="100" w:beforeLines="0" w:beforeAutospacing="1" w:after="100" w:afterLines="0" w:afterAutospacing="1"/>
      <w:jc w:val="center"/>
    </w:pPr>
    <w:rPr>
      <w:rFonts w:ascii="Helvetica" w:hAnsi="Helvetica" w:cs="Helvetica"/>
      <w:b/>
      <w:bCs/>
      <w:color w:val="FF8080"/>
      <w:spacing w:val="160"/>
      <w:kern w:val="0"/>
      <w:sz w:val="80"/>
      <w:szCs w:val="80"/>
    </w:rPr>
  </w:style>
  <w:style w:type="paragraph" w:customStyle="1" w:styleId="110">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1">
    <w:name w:val="xl33"/>
    <w:basedOn w:val="1"/>
    <w:uiPriority w:val="0"/>
    <w:pPr>
      <w:widowControl/>
      <w:spacing w:before="100" w:beforeLines="0" w:beforeAutospacing="1" w:after="100" w:afterLines="0" w:afterAutospacing="1"/>
    </w:pPr>
    <w:rPr>
      <w:rFonts w:ascii="宋体" w:hAnsi="宋体"/>
      <w:kern w:val="0"/>
      <w:sz w:val="24"/>
    </w:rPr>
  </w:style>
  <w:style w:type="paragraph" w:customStyle="1" w:styleId="112">
    <w:name w:val="Table Paragraph"/>
    <w:basedOn w:val="1"/>
    <w:uiPriority w:val="0"/>
    <w:pPr>
      <w:spacing w:before="93" w:beforeLines="0"/>
      <w:ind w:left="108"/>
    </w:pPr>
    <w:rPr>
      <w:rFonts w:ascii="Calibri" w:hAnsi="Calibri" w:eastAsia="宋体" w:cs="Times New Roman"/>
    </w:rPr>
  </w:style>
  <w:style w:type="paragraph" w:customStyle="1" w:styleId="113">
    <w:name w:val="Default"/>
    <w:uiPriority w:val="0"/>
    <w:pPr>
      <w:widowControl w:val="0"/>
      <w:autoSpaceDE w:val="0"/>
      <w:autoSpaceDN w:val="0"/>
      <w:adjustRightInd w:val="0"/>
    </w:pPr>
    <w:rPr>
      <w:color w:val="000000"/>
      <w:sz w:val="24"/>
      <w:szCs w:val="24"/>
      <w:lang w:val="en-US" w:eastAsia="zh-CN" w:bidi="ar-SA"/>
    </w:rPr>
  </w:style>
  <w:style w:type="paragraph" w:customStyle="1" w:styleId="114">
    <w:name w:val=" Char1"/>
    <w:basedOn w:val="1"/>
    <w:uiPriority w:val="0"/>
  </w:style>
  <w:style w:type="paragraph" w:customStyle="1" w:styleId="115">
    <w:name w:val=" Char"/>
    <w:basedOn w:val="1"/>
    <w:uiPriority w:val="0"/>
    <w:pPr>
      <w:widowControl/>
      <w:spacing w:line="400" w:lineRule="exact"/>
      <w:jc w:val="center"/>
    </w:pPr>
    <w:rPr>
      <w:rFonts w:ascii="Verdana" w:hAnsi="Verdana"/>
      <w:kern w:val="0"/>
      <w:szCs w:val="20"/>
      <w:lang w:eastAsia="en-US"/>
    </w:rPr>
  </w:style>
  <w:style w:type="paragraph" w:customStyle="1" w:styleId="116">
    <w:name w:val="Char Char Char Char Char Char Char Char Char Char Char Char1 Char"/>
    <w:basedOn w:val="14"/>
    <w:uiPriority w:val="0"/>
    <w:rPr>
      <w:rFonts w:ascii="Tahoma" w:hAnsi="Tahoma"/>
      <w:sz w:val="24"/>
    </w:rPr>
  </w:style>
  <w:style w:type="paragraph" w:customStyle="1" w:styleId="117">
    <w:name w:val="段"/>
    <w:uiPriority w:val="0"/>
    <w:pPr>
      <w:autoSpaceDE w:val="0"/>
      <w:autoSpaceDN w:val="0"/>
      <w:ind w:firstLine="200" w:firstLineChars="200"/>
      <w:jc w:val="both"/>
    </w:pPr>
    <w:rPr>
      <w:rFonts w:ascii="宋体"/>
      <w:sz w:val="21"/>
      <w:lang w:val="en-US" w:eastAsia="zh-CN" w:bidi="ar-SA"/>
    </w:rPr>
  </w:style>
  <w:style w:type="paragraph" w:customStyle="1" w:styleId="118">
    <w:name w:val="正文－恩普"/>
    <w:basedOn w:val="4"/>
    <w:uiPriority w:val="0"/>
    <w:pPr>
      <w:widowControl/>
      <w:spacing w:line="360" w:lineRule="auto"/>
      <w:ind w:firstLine="480" w:firstLineChars="200"/>
      <w:jc w:val="left"/>
    </w:pPr>
    <w:rPr>
      <w:kern w:val="0"/>
      <w:sz w:val="24"/>
    </w:rPr>
  </w:style>
  <w:style w:type="paragraph" w:customStyle="1" w:styleId="119">
    <w:name w:val="自由格式 A"/>
    <w:uiPriority w:val="0"/>
    <w:rPr>
      <w:rFonts w:ascii="Helvetica" w:hAnsi="Helvetica" w:eastAsia="ヒラギノ角ゴ Pro W3"/>
      <w:color w:val="000000"/>
      <w:sz w:val="24"/>
      <w:lang w:val="en-US" w:eastAsia="zh-CN" w:bidi="ar-SA"/>
    </w:rPr>
  </w:style>
  <w:style w:type="paragraph" w:customStyle="1" w:styleId="120">
    <w:name w:val="方案正文"/>
    <w:basedOn w:val="1"/>
    <w:uiPriority w:val="0"/>
    <w:pPr>
      <w:spacing w:before="120" w:beforeLines="0" w:line="360" w:lineRule="auto"/>
      <w:ind w:firstLine="425" w:firstLineChars="177"/>
    </w:pPr>
    <w:rPr>
      <w:rFonts w:ascii="华文细黑" w:hAnsi="华文细黑" w:eastAsia="华文细黑"/>
      <w:sz w:val="24"/>
    </w:rPr>
  </w:style>
  <w:style w:type="paragraph" w:customStyle="1" w:styleId="121">
    <w:name w:val="Char"/>
    <w:basedOn w:val="1"/>
    <w:uiPriority w:val="0"/>
    <w:pPr>
      <w:tabs>
        <w:tab w:val="left" w:pos="1200"/>
        <w:tab w:val="left" w:pos="1800"/>
      </w:tabs>
      <w:ind w:left="1200" w:hanging="1110"/>
    </w:pPr>
    <w:rPr>
      <w:sz w:val="24"/>
    </w:rPr>
  </w:style>
  <w:style w:type="paragraph" w:customStyle="1" w:styleId="122">
    <w:name w:val="ChinesePara"/>
    <w:basedOn w:val="1"/>
    <w:qFormat/>
    <w:uiPriority w:val="0"/>
    <w:pPr>
      <w:spacing w:before="50" w:after="50" w:line="400" w:lineRule="exact"/>
      <w:ind w:firstLine="200"/>
      <w:textAlignment w:val="baseline"/>
    </w:pPr>
    <w:rPr>
      <w:rFonts w:ascii="Arial" w:hAnsi="Arial"/>
      <w:szCs w:val="20"/>
    </w:rPr>
  </w:style>
  <w:style w:type="paragraph" w:customStyle="1" w:styleId="123">
    <w:name w:val="样式5"/>
    <w:basedOn w:val="1"/>
    <w:uiPriority w:val="0"/>
    <w:pPr>
      <w:spacing w:before="120" w:beforeLines="0" w:line="360" w:lineRule="auto"/>
      <w:ind w:firstLine="425" w:firstLineChars="177"/>
    </w:pPr>
    <w:rPr>
      <w:rFonts w:ascii="华文细黑" w:hAnsi="华文细黑" w:eastAsia="华文细黑"/>
      <w:sz w:val="24"/>
    </w:rPr>
  </w:style>
  <w:style w:type="paragraph" w:customStyle="1" w:styleId="124">
    <w:name w:val="xl35"/>
    <w:basedOn w:val="1"/>
    <w:uiPriority w:val="0"/>
    <w:pPr>
      <w:widowControl/>
      <w:spacing w:before="100" w:beforeLines="0" w:beforeAutospacing="1" w:after="100" w:afterLines="0" w:afterAutospacing="1"/>
      <w:jc w:val="right"/>
      <w:textAlignment w:val="center"/>
    </w:pPr>
    <w:rPr>
      <w:rFonts w:ascii="宋体" w:hAnsi="宋体"/>
      <w:kern w:val="0"/>
      <w:sz w:val="18"/>
      <w:szCs w:val="20"/>
    </w:rPr>
  </w:style>
  <w:style w:type="paragraph" w:customStyle="1" w:styleId="125">
    <w:name w:val="表格非标题文字"/>
    <w:uiPriority w:val="0"/>
    <w:pPr>
      <w:snapToGrid w:val="0"/>
      <w:spacing w:before="80" w:after="40"/>
    </w:pPr>
    <w:rPr>
      <w:rFonts w:ascii="Futura Bk" w:hAnsi="Futura Bk"/>
      <w:sz w:val="18"/>
      <w:szCs w:val="21"/>
      <w:lang w:val="en-US" w:eastAsia="zh-CN" w:bidi="ar-SA"/>
    </w:rPr>
  </w:style>
  <w:style w:type="paragraph" w:customStyle="1" w:styleId="126">
    <w:name w:val="列表内容"/>
    <w:basedOn w:val="1"/>
    <w:next w:val="1"/>
    <w:uiPriority w:val="0"/>
    <w:pPr>
      <w:widowControl/>
      <w:tabs>
        <w:tab w:val="left" w:pos="840"/>
      </w:tabs>
      <w:ind w:left="840"/>
      <w:jc w:val="left"/>
    </w:pPr>
    <w:rPr>
      <w:kern w:val="0"/>
      <w:sz w:val="18"/>
      <w:szCs w:val="20"/>
    </w:rPr>
  </w:style>
  <w:style w:type="paragraph" w:customStyle="1" w:styleId="127">
    <w:name w:val="Body Text"/>
    <w:basedOn w:val="1"/>
    <w:uiPriority w:val="0"/>
    <w:rPr>
      <w:i/>
      <w:sz w:val="18"/>
    </w:rPr>
  </w:style>
  <w:style w:type="paragraph" w:styleId="128">
    <w:name w:val="List Paragraph"/>
    <w:basedOn w:val="1"/>
    <w:qFormat/>
    <w:uiPriority w:val="0"/>
    <w:pPr>
      <w:widowControl/>
      <w:ind w:left="720" w:firstLine="360"/>
      <w:jc w:val="left"/>
    </w:pPr>
    <w:rPr>
      <w:rFonts w:eastAsia="宋体" w:cs="Times New Roman"/>
      <w:kern w:val="0"/>
      <w:sz w:val="22"/>
      <w:szCs w:val="22"/>
      <w:lang w:eastAsia="en-US" w:bidi="en-US"/>
    </w:rPr>
  </w:style>
  <w:style w:type="paragraph" w:customStyle="1" w:styleId="129">
    <w:name w:val="Item List in Table"/>
    <w:basedOn w:val="1"/>
    <w:uiPriority w:val="0"/>
    <w:pPr>
      <w:numPr>
        <w:ilvl w:val="0"/>
        <w:numId w:val="4"/>
      </w:numPr>
      <w:jc w:val="left"/>
    </w:pPr>
    <w:rPr>
      <w:rFonts w:ascii="Tahoma" w:hAnsi="Tahoma" w:eastAsia="宋体" w:cs="Times New Roman"/>
      <w:szCs w:val="21"/>
    </w:rPr>
  </w:style>
  <w:style w:type="paragraph" w:customStyle="1" w:styleId="130">
    <w:name w:val="样式3"/>
    <w:basedOn w:val="24"/>
    <w:next w:val="1"/>
    <w:uiPriority w:val="0"/>
    <w:pPr>
      <w:adjustRightInd/>
      <w:textAlignment w:val="auto"/>
    </w:pPr>
    <w:rPr>
      <w:rFonts w:ascii="Times New Roman" w:hAnsi="Times New Roman" w:eastAsia="宋体" w:cs="Times New Roman"/>
      <w:kern w:val="2"/>
      <w:sz w:val="21"/>
      <w:szCs w:val="20"/>
    </w:rPr>
  </w:style>
  <w:style w:type="paragraph" w:customStyle="1" w:styleId="131">
    <w:name w:val="font5"/>
    <w:basedOn w:val="1"/>
    <w:uiPriority w:val="0"/>
    <w:pPr>
      <w:widowControl/>
      <w:spacing w:before="100" w:beforeLines="0" w:beforeAutospacing="1" w:after="100" w:afterLines="0" w:afterAutospacing="1"/>
      <w:jc w:val="left"/>
    </w:pPr>
    <w:rPr>
      <w:rFonts w:hint="eastAsia" w:ascii="宋体" w:hAnsi="宋体"/>
      <w:kern w:val="0"/>
      <w:sz w:val="18"/>
      <w:szCs w:val="20"/>
    </w:rPr>
  </w:style>
  <w:style w:type="paragraph" w:customStyle="1" w:styleId="132">
    <w:name w:val="正文段"/>
    <w:basedOn w:val="1"/>
    <w:uiPriority w:val="0"/>
    <w:pPr>
      <w:widowControl/>
      <w:snapToGrid w:val="0"/>
      <w:spacing w:after="156" w:afterLines="50"/>
      <w:ind w:firstLine="200" w:firstLineChars="200"/>
    </w:pPr>
    <w:rPr>
      <w:kern w:val="0"/>
      <w:sz w:val="24"/>
      <w:szCs w:val="20"/>
    </w:rPr>
  </w:style>
  <w:style w:type="paragraph" w:customStyle="1" w:styleId="133">
    <w:name w:val=" Char Char Char Char Char Char Char"/>
    <w:basedOn w:val="1"/>
    <w:uiPriority w:val="0"/>
    <w:rPr>
      <w:rFonts w:ascii="Tahoma" w:hAnsi="Tahoma"/>
      <w:sz w:val="24"/>
      <w:szCs w:val="20"/>
    </w:rPr>
  </w:style>
  <w:style w:type="paragraph" w:customStyle="1" w:styleId="134">
    <w:name w:val="C503-正文格式"/>
    <w:basedOn w:val="1"/>
    <w:qFormat/>
    <w:uiPriority w:val="0"/>
    <w:pPr>
      <w:adjustRightInd w:val="0"/>
      <w:spacing w:line="360" w:lineRule="auto"/>
      <w:ind w:firstLine="480" w:firstLineChars="200"/>
      <w:textAlignment w:val="baseline"/>
    </w:pPr>
    <w:rPr>
      <w:rFonts w:ascii="宋体" w:hAnsi="Times New Roman"/>
      <w:kern w:val="0"/>
      <w:sz w:val="24"/>
      <w:szCs w:val="20"/>
    </w:rPr>
  </w:style>
  <w:style w:type="paragraph" w:customStyle="1" w:styleId="135">
    <w:name w:val="Char1"/>
    <w:basedOn w:val="1"/>
    <w:uiPriority w:val="0"/>
    <w:rPr>
      <w:rFonts w:ascii="Tahoma" w:hAnsi="Tahoma"/>
      <w:sz w:val="24"/>
      <w:szCs w:val="20"/>
    </w:rPr>
  </w:style>
  <w:style w:type="paragraph" w:customStyle="1" w:styleId="136">
    <w:name w:val="表格文字"/>
    <w:basedOn w:val="1"/>
    <w:next w:val="17"/>
    <w:qFormat/>
    <w:uiPriority w:val="0"/>
    <w:pPr>
      <w:adjustRightInd w:val="0"/>
      <w:spacing w:line="420" w:lineRule="atLeast"/>
      <w:jc w:val="left"/>
      <w:textAlignment w:val="baseline"/>
    </w:pPr>
    <w:rPr>
      <w:rFonts w:ascii="Times New Roman" w:hAnsi="Times New Roman" w:eastAsia="宋体" w:cs="Times New Roman"/>
      <w:kern w:val="0"/>
      <w:szCs w:val="24"/>
    </w:rPr>
  </w:style>
  <w:style w:type="paragraph" w:customStyle="1" w:styleId="137">
    <w:name w:val="正文1"/>
    <w:qFormat/>
    <w:uiPriority w:val="0"/>
    <w:pPr>
      <w:spacing w:line="360" w:lineRule="auto"/>
      <w:ind w:firstLine="200" w:firstLineChars="200"/>
      <w:jc w:val="both"/>
    </w:pPr>
    <w:rPr>
      <w:rFonts w:ascii="Times New Roman" w:hAnsi="Times New Roman" w:eastAsia="宋体" w:cs="Times New Roman"/>
      <w:kern w:val="44"/>
      <w:sz w:val="24"/>
      <w:szCs w:val="32"/>
      <w:lang w:val="en-US" w:eastAsia="zh-CN" w:bidi="ar-SA"/>
    </w:rPr>
  </w:style>
  <w:style w:type="paragraph" w:customStyle="1" w:styleId="138">
    <w:name w:val="Char Char Char Char Char Char"/>
    <w:basedOn w:val="1"/>
    <w:uiPriority w:val="0"/>
    <w:pPr>
      <w:ind w:firstLine="200" w:firstLineChars="200"/>
    </w:pPr>
    <w:rPr>
      <w:rFonts w:ascii="Tahoma" w:hAnsi="Tahoma"/>
      <w:sz w:val="24"/>
      <w:szCs w:val="20"/>
    </w:rPr>
  </w:style>
  <w:style w:type="paragraph" w:customStyle="1" w:styleId="139">
    <w:name w:val="默认段落字体 Para Char Char Char Char Char Char Char Char Char1 Char Char Char Char"/>
    <w:basedOn w:val="1"/>
    <w:uiPriority w:val="0"/>
    <w:rPr>
      <w:rFonts w:ascii="Tahoma" w:hAnsi="Tahoma"/>
      <w:sz w:val="24"/>
      <w:szCs w:val="20"/>
    </w:rPr>
  </w:style>
  <w:style w:type="paragraph" w:customStyle="1" w:styleId="140">
    <w:name w:val="List Paragraph1"/>
    <w:basedOn w:val="1"/>
    <w:uiPriority w:val="0"/>
    <w:pPr>
      <w:spacing w:line="360" w:lineRule="auto"/>
      <w:ind w:firstLine="420" w:firstLineChars="200"/>
    </w:pPr>
    <w:rPr>
      <w:rFonts w:ascii="Calibri" w:hAnsi="Calibri"/>
      <w:sz w:val="24"/>
      <w:szCs w:val="22"/>
    </w:rPr>
  </w:style>
  <w:style w:type="paragraph" w:customStyle="1" w:styleId="141">
    <w:name w:val="表内文字"/>
    <w:basedOn w:val="1"/>
    <w:uiPriority w:val="0"/>
    <w:pPr>
      <w:tabs>
        <w:tab w:val="left" w:pos="1418"/>
      </w:tabs>
      <w:spacing w:line="360" w:lineRule="auto"/>
      <w:jc w:val="center"/>
    </w:pPr>
    <w:rPr>
      <w:rFonts w:ascii="仿宋_GB2312" w:eastAsia="仿宋_GB2312"/>
      <w:spacing w:val="-20"/>
      <w:kern w:val="0"/>
      <w:sz w:val="24"/>
    </w:rPr>
  </w:style>
  <w:style w:type="paragraph" w:customStyle="1" w:styleId="142">
    <w:name w:val="p0"/>
    <w:basedOn w:val="1"/>
    <w:uiPriority w:val="0"/>
    <w:pPr>
      <w:widowControl/>
    </w:pPr>
    <w:rPr>
      <w:kern w:val="0"/>
      <w:szCs w:val="21"/>
    </w:rPr>
  </w:style>
  <w:style w:type="paragraph" w:customStyle="1" w:styleId="143">
    <w:name w:val="列出段落2"/>
    <w:basedOn w:val="1"/>
    <w:uiPriority w:val="0"/>
    <w:pPr>
      <w:ind w:firstLine="420" w:firstLineChars="200"/>
    </w:pPr>
  </w:style>
  <w:style w:type="paragraph" w:customStyle="1" w:styleId="144">
    <w:name w:val="a"/>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45">
    <w:name w:val="彩色列表 - 着色 11"/>
    <w:basedOn w:val="1"/>
    <w:uiPriority w:val="0"/>
    <w:pPr>
      <w:ind w:firstLine="420" w:firstLineChars="200"/>
    </w:pPr>
    <w:rPr>
      <w:rFonts w:ascii="Calibri" w:hAnsi="Calibri"/>
      <w:szCs w:val="22"/>
    </w:rPr>
  </w:style>
  <w:style w:type="paragraph" w:customStyle="1" w:styleId="146">
    <w:name w:val="样式 正文缩进 + 首行缩进:  2 字符"/>
    <w:basedOn w:val="4"/>
    <w:uiPriority w:val="0"/>
    <w:pPr>
      <w:spacing w:line="360" w:lineRule="auto"/>
      <w:ind w:firstLine="200"/>
    </w:pPr>
    <w:rPr>
      <w:rFonts w:ascii="Times New Roman" w:hAnsi="Times New Roman" w:cs="Times New Roman"/>
      <w:sz w:val="24"/>
      <w:szCs w:val="20"/>
    </w:rPr>
  </w:style>
  <w:style w:type="paragraph" w:customStyle="1" w:styleId="147">
    <w:name w:val="此正文"/>
    <w:basedOn w:val="1"/>
    <w:uiPriority w:val="0"/>
    <w:pPr>
      <w:spacing w:line="360" w:lineRule="auto"/>
      <w:ind w:firstLine="200" w:firstLineChars="200"/>
    </w:pPr>
    <w:rPr>
      <w:sz w:val="24"/>
    </w:rPr>
  </w:style>
  <w:style w:type="paragraph" w:customStyle="1" w:styleId="148">
    <w:name w:val="a2"/>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49">
    <w:name w:val="列表段落1"/>
    <w:basedOn w:val="1"/>
    <w:uiPriority w:val="0"/>
    <w:pPr>
      <w:ind w:firstLine="420" w:firstLineChars="200"/>
    </w:p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media/image10.png" Type="http://schemas.openxmlformats.org/officeDocument/2006/relationships/image"/><Relationship Id="rId17" Target="media/image11.png" Type="http://schemas.openxmlformats.org/officeDocument/2006/relationships/image"/><Relationship Id="rId18" Target="embeddings/oleObject1.bin" Type="http://schemas.openxmlformats.org/officeDocument/2006/relationships/oleObject"/><Relationship Id="rId19" Target="media/image12.emf" Type="http://schemas.openxmlformats.org/officeDocument/2006/relationships/image"/><Relationship Id="rId2" Target="settings.xml" Type="http://schemas.openxmlformats.org/officeDocument/2006/relationships/settings"/><Relationship Id="rId20" Target="../customXml/item1.xml" Type="http://schemas.openxmlformats.org/officeDocument/2006/relationships/customXml"/><Relationship Id="rId21" Target="numbering.xml" Type="http://schemas.openxmlformats.org/officeDocument/2006/relationships/numbering"/><Relationship Id="rId22" Target="fontTable.xml" Type="http://schemas.openxmlformats.org/officeDocument/2006/relationships/fontTable"/><Relationship Id="rId3" Target="footer1.xml" Type="http://schemas.openxmlformats.org/officeDocument/2006/relationships/footer"/><Relationship Id="rId4" Target="header1.xml" Type="http://schemas.openxmlformats.org/officeDocument/2006/relationships/header"/><Relationship Id="rId5" Target="footer2.xml" Type="http://schemas.openxmlformats.org/officeDocument/2006/relationships/footer"/><Relationship Id="rId6" Target="theme/theme1.xml" Type="http://schemas.openxmlformats.org/officeDocument/2006/relationships/theme"/><Relationship Id="rId7" Target="media/image1.png" Type="http://schemas.openxmlformats.org/officeDocument/2006/relationships/image"/><Relationship Id="rId8" Target="media/image2.emf"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青鸟杭办</Company>
  <Pages>177</Pages>
  <Words>120718</Words>
  <Characters>139837</Characters>
  <Lines>203</Lines>
  <Paragraphs>57</Paragraphs>
  <TotalTime>0</TotalTime>
  <ScaleCrop>false</ScaleCrop>
  <LinksUpToDate>false</LinksUpToDate>
  <CharactersWithSpaces>147098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2020-08-05T02:11:00Z</dcterms:created>
  <dc:creator>黄旭明</dc:creator>
  <cp:lastModifiedBy>WPS_1701756769</cp:lastModifiedBy>
  <cp:lastPrinted>2022-10-13T12:38:23Z</cp:lastPrinted>
  <dcterms:modified xsi:type="dcterms:W3CDTF">2024-02-26T01:43:14Z</dcterms:modified>
  <cp:revision>5</cp:revision>
  <dc:titl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BCEFDBFC791A43B5ABEC41134B737CFB_13</vt:lpwstr>
  </property>
</Properties>
</file>