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C6527">
      <w:pPr>
        <w:shd w:val="clear" w:color="auto" w:fill="FFFFFF"/>
        <w:tabs>
          <w:tab w:val="left" w:pos="4500"/>
        </w:tabs>
        <w:snapToGrid w:val="0"/>
        <w:spacing w:line="360" w:lineRule="auto"/>
        <w:textAlignment w:val="bottom"/>
        <w:rPr>
          <w:rFonts w:hint="eastAsia" w:ascii="宋体" w:hAnsi="宋体" w:eastAsia="宋体" w:cs="宋体"/>
          <w:sz w:val="48"/>
          <w:szCs w:val="48"/>
        </w:rPr>
      </w:pPr>
    </w:p>
    <w:p w14:paraId="37AE96DC">
      <w:pPr>
        <w:shd w:val="clear" w:color="auto" w:fill="FFFFFF"/>
        <w:tabs>
          <w:tab w:val="left" w:pos="4500"/>
        </w:tabs>
        <w:snapToGrid w:val="0"/>
        <w:spacing w:line="360" w:lineRule="auto"/>
        <w:textAlignment w:val="bottom"/>
        <w:rPr>
          <w:rFonts w:hint="eastAsia" w:ascii="宋体" w:hAnsi="宋体" w:eastAsia="宋体" w:cs="宋体"/>
          <w:b/>
          <w:bCs/>
          <w:spacing w:val="6"/>
          <w:sz w:val="52"/>
          <w:szCs w:val="52"/>
        </w:rPr>
      </w:pPr>
      <w:r>
        <w:rPr>
          <w:rFonts w:hint="eastAsia" w:ascii="宋体" w:hAnsi="宋体" w:eastAsia="宋体" w:cs="宋体"/>
          <w:sz w:val="48"/>
          <w:szCs w:val="48"/>
        </w:rPr>
        <w:drawing>
          <wp:inline distT="0" distB="0" distL="114300" distR="114300">
            <wp:extent cx="1057275" cy="771525"/>
            <wp:effectExtent l="0" t="0" r="9525" b="9525"/>
            <wp:docPr id="1" name="图片 1" descr="8b7073bde8a3f52f88d1b7191676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7073bde8a3f52f88d1b7191676f41"/>
                    <pic:cNvPicPr>
                      <a:picLocks noChangeAspect="1"/>
                    </pic:cNvPicPr>
                  </pic:nvPicPr>
                  <pic:blipFill>
                    <a:blip r:embed="rId7"/>
                    <a:stretch>
                      <a:fillRect/>
                    </a:stretch>
                  </pic:blipFill>
                  <pic:spPr>
                    <a:xfrm>
                      <a:off x="0" y="0"/>
                      <a:ext cx="1057275" cy="771525"/>
                    </a:xfrm>
                    <a:prstGeom prst="rect">
                      <a:avLst/>
                    </a:prstGeom>
                    <a:noFill/>
                    <a:ln>
                      <a:noFill/>
                    </a:ln>
                  </pic:spPr>
                </pic:pic>
              </a:graphicData>
            </a:graphic>
          </wp:inline>
        </w:drawing>
      </w:r>
    </w:p>
    <w:p w14:paraId="3FDE37EF">
      <w:pPr>
        <w:widowControl/>
        <w:spacing w:line="360" w:lineRule="auto"/>
        <w:ind w:right="-2"/>
        <w:jc w:val="center"/>
        <w:rPr>
          <w:rFonts w:hint="eastAsia" w:ascii="宋体" w:hAnsi="宋体" w:eastAsia="宋体" w:cs="宋体"/>
          <w:b/>
          <w:bCs/>
          <w:sz w:val="48"/>
          <w:szCs w:val="48"/>
        </w:rPr>
      </w:pPr>
      <w:r>
        <w:rPr>
          <w:rFonts w:hint="eastAsia" w:ascii="宋体" w:hAnsi="宋体" w:eastAsia="宋体" w:cs="宋体"/>
          <w:b/>
          <w:bCs/>
          <w:sz w:val="48"/>
          <w:szCs w:val="48"/>
        </w:rPr>
        <w:t>椒江区第五中学体育馆提升</w:t>
      </w:r>
    </w:p>
    <w:p w14:paraId="4B14A6A3">
      <w:pPr>
        <w:widowControl/>
        <w:spacing w:line="360" w:lineRule="auto"/>
        <w:ind w:right="-2"/>
        <w:jc w:val="center"/>
        <w:rPr>
          <w:rFonts w:hint="eastAsia" w:ascii="宋体" w:hAnsi="宋体" w:eastAsia="宋体" w:cs="宋体"/>
          <w:b/>
          <w:bCs/>
          <w:sz w:val="48"/>
          <w:szCs w:val="48"/>
        </w:rPr>
      </w:pPr>
      <w:r>
        <w:rPr>
          <w:rFonts w:hint="eastAsia" w:ascii="宋体" w:hAnsi="宋体" w:eastAsia="宋体" w:cs="宋体"/>
          <w:b/>
          <w:bCs/>
          <w:sz w:val="48"/>
          <w:szCs w:val="48"/>
        </w:rPr>
        <w:t xml:space="preserve">及室外配套工程 </w:t>
      </w:r>
    </w:p>
    <w:p w14:paraId="72499ABF">
      <w:pPr>
        <w:widowControl/>
        <w:spacing w:line="360" w:lineRule="auto"/>
        <w:ind w:right="-2"/>
        <w:jc w:val="center"/>
        <w:rPr>
          <w:rFonts w:hint="eastAsia" w:ascii="宋体" w:hAnsi="宋体" w:eastAsia="宋体" w:cs="宋体"/>
          <w:b/>
          <w:bCs/>
          <w:sz w:val="72"/>
          <w:szCs w:val="72"/>
        </w:rPr>
      </w:pPr>
    </w:p>
    <w:p w14:paraId="0CC281EF">
      <w:pPr>
        <w:widowControl/>
        <w:spacing w:line="360" w:lineRule="auto"/>
        <w:ind w:right="-2"/>
        <w:jc w:val="center"/>
        <w:rPr>
          <w:rFonts w:hint="eastAsia" w:ascii="宋体" w:hAnsi="宋体" w:eastAsia="宋体" w:cs="宋体"/>
          <w:b/>
          <w:bCs/>
          <w:sz w:val="72"/>
          <w:szCs w:val="72"/>
        </w:rPr>
      </w:pPr>
      <w:r>
        <w:rPr>
          <w:rFonts w:hint="eastAsia" w:ascii="宋体" w:hAnsi="宋体" w:eastAsia="宋体" w:cs="宋体"/>
          <w:b/>
          <w:bCs/>
          <w:sz w:val="72"/>
          <w:szCs w:val="72"/>
        </w:rPr>
        <w:t>竞争性磋商文件</w:t>
      </w:r>
    </w:p>
    <w:p w14:paraId="1CFF5AB5">
      <w:pPr>
        <w:widowControl/>
        <w:spacing w:line="360" w:lineRule="auto"/>
        <w:ind w:right="-2"/>
        <w:jc w:val="center"/>
        <w:rPr>
          <w:rFonts w:hint="eastAsia" w:ascii="宋体" w:hAnsi="宋体" w:eastAsia="宋体" w:cs="宋体"/>
          <w:b/>
          <w:sz w:val="36"/>
        </w:rPr>
      </w:pPr>
      <w:r>
        <w:rPr>
          <w:rFonts w:hint="eastAsia" w:ascii="宋体" w:hAnsi="宋体" w:eastAsia="宋体" w:cs="宋体"/>
          <w:b/>
          <w:sz w:val="36"/>
        </w:rPr>
        <w:t>（线上电子招投标）</w:t>
      </w:r>
    </w:p>
    <w:p w14:paraId="0B47A407">
      <w:pPr>
        <w:shd w:val="clear" w:color="auto" w:fill="FFFFFF"/>
        <w:snapToGrid w:val="0"/>
        <w:spacing w:line="360" w:lineRule="auto"/>
        <w:textAlignment w:val="bottom"/>
        <w:rPr>
          <w:rFonts w:hint="eastAsia" w:ascii="宋体" w:hAnsi="宋体" w:eastAsia="宋体" w:cs="宋体"/>
          <w:b/>
          <w:bCs/>
          <w:sz w:val="30"/>
          <w:szCs w:val="30"/>
        </w:rPr>
      </w:pPr>
    </w:p>
    <w:p w14:paraId="566C64F4">
      <w:pPr>
        <w:shd w:val="clear" w:color="auto" w:fill="FFFFFF"/>
        <w:snapToGrid w:val="0"/>
        <w:spacing w:line="360" w:lineRule="auto"/>
        <w:textAlignment w:val="bottom"/>
        <w:rPr>
          <w:rFonts w:hint="eastAsia" w:ascii="宋体" w:hAnsi="宋体" w:eastAsia="宋体" w:cs="宋体"/>
          <w:b/>
          <w:bCs/>
          <w:sz w:val="48"/>
          <w:szCs w:val="48"/>
        </w:rPr>
      </w:pPr>
      <w:r>
        <w:rPr>
          <w:rFonts w:ascii="宋体" w:hAnsi="宋体" w:eastAsia="宋体" w:cs="宋体"/>
          <w:sz w:val="48"/>
          <w:szCs w:val="4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72390</wp:posOffset>
                </wp:positionV>
                <wp:extent cx="635" cy="0"/>
                <wp:effectExtent l="0" t="4445" r="0" b="5080"/>
                <wp:wrapSquare wrapText="bothSides"/>
                <wp:docPr id="6"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330pt;margin-top:5.7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t5t1AAAAAkBAAAPAAAA&#10;AAAAAAEAIAAAACIAAABkcnMvZG93bnJldi54bWxQSwECFAAUAAAACACHTuJAkEv9peABAADZAwAA&#10;DgAAAAAAAAABACAAAAAjAQAAZHJzL2Uyb0RvYy54bWxQSwUGAAAAAAYABgBZAQAAdQUAAAAA&#10;">
                <v:fill on="f" focussize="0,0"/>
                <v:stroke color="#000000" joinstyle="round"/>
                <v:imagedata o:title=""/>
                <o:lock v:ext="edit" aspectratio="f"/>
                <w10:wrap type="square"/>
              </v:line>
            </w:pict>
          </mc:Fallback>
        </mc:AlternateContent>
      </w:r>
    </w:p>
    <w:p w14:paraId="1769B843">
      <w:pPr>
        <w:shd w:val="clear" w:color="auto" w:fill="FFFFFF"/>
        <w:snapToGrid w:val="0"/>
        <w:spacing w:line="360" w:lineRule="auto"/>
        <w:jc w:val="center"/>
        <w:textAlignment w:val="bottom"/>
        <w:rPr>
          <w:rFonts w:hint="eastAsia" w:ascii="宋体" w:hAnsi="宋体" w:eastAsia="宋体" w:cs="宋体"/>
          <w:b/>
          <w:bCs/>
          <w:sz w:val="30"/>
          <w:szCs w:val="30"/>
        </w:rPr>
      </w:pPr>
    </w:p>
    <w:p w14:paraId="4DCEB117">
      <w:pPr>
        <w:spacing w:line="360" w:lineRule="auto"/>
        <w:ind w:left="-210" w:leftChars="-100" w:right="-57" w:firstLine="1200" w:firstLineChars="400"/>
        <w:rPr>
          <w:rFonts w:hint="eastAsia" w:ascii="宋体" w:hAnsi="宋体" w:eastAsia="宋体" w:cs="宋体"/>
          <w:sz w:val="30"/>
          <w:szCs w:val="30"/>
        </w:rPr>
      </w:pPr>
      <w:r>
        <w:rPr>
          <w:rFonts w:hint="eastAsia" w:ascii="宋体" w:hAnsi="宋体" w:eastAsia="宋体" w:cs="宋体"/>
          <w:sz w:val="30"/>
          <w:szCs w:val="30"/>
        </w:rPr>
        <w:t>项目编号：ZGTZZB2025-0410</w:t>
      </w:r>
    </w:p>
    <w:p w14:paraId="0D6C9587">
      <w:pPr>
        <w:spacing w:line="360" w:lineRule="auto"/>
        <w:ind w:left="-210" w:leftChars="-100" w:right="-57" w:firstLine="1200" w:firstLineChars="400"/>
        <w:rPr>
          <w:rFonts w:hint="eastAsia" w:ascii="宋体" w:hAnsi="宋体" w:eastAsia="宋体" w:cs="宋体"/>
          <w:sz w:val="30"/>
          <w:szCs w:val="30"/>
        </w:rPr>
      </w:pPr>
      <w:r>
        <w:rPr>
          <w:rFonts w:hint="eastAsia" w:ascii="宋体" w:hAnsi="宋体" w:eastAsia="宋体" w:cs="宋体"/>
          <w:sz w:val="30"/>
          <w:szCs w:val="30"/>
        </w:rPr>
        <w:t>采购人：</w:t>
      </w:r>
      <w:r>
        <w:rPr>
          <w:rFonts w:hint="eastAsia" w:ascii="宋体" w:hAnsi="宋体" w:eastAsia="宋体" w:cs="宋体"/>
          <w:sz w:val="32"/>
          <w:szCs w:val="32"/>
        </w:rPr>
        <w:t>台州市椒江区第五中学</w:t>
      </w:r>
    </w:p>
    <w:p w14:paraId="19B10B2D">
      <w:pPr>
        <w:spacing w:line="360" w:lineRule="auto"/>
        <w:ind w:left="-210" w:leftChars="-100" w:right="-57" w:firstLine="1200" w:firstLineChars="400"/>
        <w:rPr>
          <w:rFonts w:hint="eastAsia" w:ascii="宋体" w:hAnsi="宋体" w:eastAsia="宋体" w:cs="宋体"/>
          <w:sz w:val="30"/>
          <w:szCs w:val="30"/>
        </w:rPr>
      </w:pPr>
      <w:r>
        <w:rPr>
          <w:rFonts w:hint="eastAsia" w:ascii="宋体" w:hAnsi="宋体" w:eastAsia="宋体" w:cs="宋体"/>
          <w:sz w:val="30"/>
          <w:szCs w:val="30"/>
        </w:rPr>
        <w:t>采购代理机构：中冠工程管理咨询有限公司</w:t>
      </w:r>
    </w:p>
    <w:p w14:paraId="38067A7D">
      <w:pPr>
        <w:spacing w:line="360" w:lineRule="auto"/>
        <w:ind w:left="-210" w:leftChars="-100" w:right="-57" w:firstLine="1200" w:firstLineChars="400"/>
        <w:rPr>
          <w:rFonts w:hint="eastAsia" w:ascii="宋体" w:hAnsi="宋体" w:eastAsia="宋体" w:cs="宋体"/>
          <w:sz w:val="30"/>
          <w:szCs w:val="30"/>
        </w:rPr>
      </w:pPr>
      <w:r>
        <w:rPr>
          <w:rFonts w:hint="eastAsia" w:ascii="宋体" w:hAnsi="宋体" w:eastAsia="宋体" w:cs="宋体"/>
          <w:sz w:val="30"/>
          <w:szCs w:val="30"/>
        </w:rPr>
        <w:t>二〇二五年</w:t>
      </w:r>
      <w:r>
        <w:rPr>
          <w:rFonts w:hint="eastAsia" w:ascii="宋体" w:hAnsi="宋体" w:eastAsia="宋体" w:cs="宋体"/>
          <w:sz w:val="30"/>
          <w:szCs w:val="30"/>
          <w:u w:val="single"/>
          <w:lang w:val="en-US" w:eastAsia="zh-CN"/>
        </w:rPr>
        <w:t xml:space="preserve"> 七</w:t>
      </w:r>
      <w:r>
        <w:rPr>
          <w:rFonts w:hint="eastAsia" w:ascii="宋体" w:hAnsi="宋体" w:eastAsia="宋体" w:cs="宋体"/>
          <w:sz w:val="30"/>
          <w:szCs w:val="30"/>
        </w:rPr>
        <w:t>月</w:t>
      </w:r>
    </w:p>
    <w:p w14:paraId="6B95EFA4">
      <w:pPr>
        <w:shd w:val="clear" w:color="auto" w:fill="FFFFFF"/>
        <w:snapToGrid w:val="0"/>
        <w:spacing w:line="480" w:lineRule="auto"/>
        <w:ind w:firstLine="425"/>
        <w:textAlignment w:val="bottom"/>
        <w:rPr>
          <w:rFonts w:hint="eastAsia" w:ascii="宋体" w:hAnsi="宋体" w:eastAsia="宋体" w:cs="宋体"/>
          <w:b/>
          <w:bCs/>
          <w:sz w:val="30"/>
          <w:szCs w:val="30"/>
        </w:rPr>
      </w:pPr>
    </w:p>
    <w:p w14:paraId="7217456F">
      <w:pPr>
        <w:pageBreakBefore/>
        <w:shd w:val="clear" w:color="auto" w:fill="FFFFFF"/>
        <w:snapToGrid w:val="0"/>
        <w:spacing w:line="360" w:lineRule="auto"/>
        <w:jc w:val="center"/>
        <w:rPr>
          <w:rFonts w:hint="eastAsia" w:ascii="宋体" w:hAnsi="宋体" w:eastAsia="宋体" w:cs="宋体"/>
          <w:b/>
          <w:bCs/>
          <w:sz w:val="24"/>
        </w:rPr>
        <w:sectPr>
          <w:footerReference r:id="rId3" w:type="default"/>
          <w:pgSz w:w="11906" w:h="16838"/>
          <w:pgMar w:top="1440" w:right="1800" w:bottom="1440" w:left="1800" w:header="720" w:footer="720" w:gutter="0"/>
          <w:cols w:space="720" w:num="1"/>
        </w:sectPr>
      </w:pPr>
    </w:p>
    <w:p w14:paraId="01CFB208">
      <w:pPr>
        <w:jc w:val="center"/>
        <w:rPr>
          <w:rFonts w:hint="eastAsia" w:ascii="宋体" w:hAnsi="宋体" w:eastAsia="宋体" w:cs="宋体"/>
          <w:sz w:val="44"/>
          <w:szCs w:val="44"/>
        </w:rPr>
      </w:pPr>
    </w:p>
    <w:p w14:paraId="17ED9661">
      <w:pPr>
        <w:jc w:val="center"/>
        <w:rPr>
          <w:rFonts w:hint="eastAsia" w:ascii="宋体" w:hAnsi="宋体" w:eastAsia="宋体" w:cs="宋体"/>
          <w:sz w:val="44"/>
          <w:szCs w:val="44"/>
        </w:rPr>
      </w:pPr>
    </w:p>
    <w:p w14:paraId="10AEC6EF">
      <w:pPr>
        <w:jc w:val="center"/>
        <w:rPr>
          <w:rFonts w:hint="eastAsia" w:ascii="宋体" w:hAnsi="宋体" w:eastAsia="宋体" w:cs="宋体"/>
          <w:sz w:val="44"/>
          <w:szCs w:val="44"/>
        </w:rPr>
      </w:pPr>
      <w:r>
        <w:rPr>
          <w:rFonts w:hint="eastAsia" w:ascii="宋体" w:hAnsi="宋体" w:eastAsia="宋体" w:cs="宋体"/>
          <w:sz w:val="44"/>
          <w:szCs w:val="44"/>
        </w:rPr>
        <w:t>目录</w:t>
      </w:r>
    </w:p>
    <w:p w14:paraId="1C127214">
      <w:pPr>
        <w:pStyle w:val="7"/>
        <w:rPr>
          <w:rFonts w:hint="eastAsia" w:ascii="宋体" w:hAnsi="宋体" w:cs="宋体"/>
        </w:rPr>
      </w:pPr>
    </w:p>
    <w:p w14:paraId="0AAF2609">
      <w:pPr>
        <w:pStyle w:val="18"/>
        <w:tabs>
          <w:tab w:val="right" w:leader="dot" w:pos="8306"/>
          <w:tab w:val="clear" w:pos="8789"/>
        </w:tabs>
        <w:spacing w:line="72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"_Toc29599" </w:instrText>
      </w:r>
      <w:r>
        <w:fldChar w:fldCharType="separate"/>
      </w:r>
      <w:r>
        <w:rPr>
          <w:rFonts w:hint="eastAsia" w:ascii="宋体" w:hAnsi="宋体" w:cs="宋体"/>
          <w:sz w:val="28"/>
          <w:szCs w:val="28"/>
        </w:rPr>
        <w:t>第一章  竞争性磋商公告</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p>
    <w:p w14:paraId="7C52E6A8">
      <w:pPr>
        <w:pStyle w:val="18"/>
        <w:tabs>
          <w:tab w:val="right" w:leader="dot" w:pos="8306"/>
          <w:tab w:val="clear" w:pos="8789"/>
        </w:tabs>
        <w:spacing w:line="720" w:lineRule="auto"/>
        <w:rPr>
          <w:rFonts w:hint="eastAsia" w:ascii="宋体" w:hAnsi="宋体" w:cs="宋体"/>
          <w:sz w:val="28"/>
          <w:szCs w:val="28"/>
        </w:rPr>
      </w:pPr>
      <w:r>
        <w:fldChar w:fldCharType="begin"/>
      </w:r>
      <w:r>
        <w:instrText xml:space="preserve"> HYPERLINK \l "_Toc15413" </w:instrText>
      </w:r>
      <w:r>
        <w:fldChar w:fldCharType="separate"/>
      </w:r>
      <w:r>
        <w:rPr>
          <w:rFonts w:hint="eastAsia" w:ascii="宋体" w:hAnsi="宋体" w:cs="宋体"/>
          <w:sz w:val="28"/>
          <w:szCs w:val="28"/>
        </w:rPr>
        <w:t>第二章  磋商须知</w:t>
      </w:r>
      <w:r>
        <w:rPr>
          <w:rFonts w:hint="eastAsia" w:ascii="宋体" w:hAnsi="宋体" w:cs="宋体"/>
          <w:sz w:val="28"/>
          <w:szCs w:val="28"/>
        </w:rPr>
        <w:tab/>
      </w:r>
      <w:r>
        <w:rPr>
          <w:rFonts w:hint="eastAsia" w:ascii="宋体" w:hAnsi="宋体" w:cs="宋体"/>
          <w:sz w:val="28"/>
          <w:szCs w:val="28"/>
        </w:rPr>
        <w:t>9</w:t>
      </w:r>
      <w:r>
        <w:rPr>
          <w:rFonts w:hint="eastAsia" w:ascii="宋体" w:hAnsi="宋体" w:cs="宋体"/>
          <w:sz w:val="28"/>
          <w:szCs w:val="28"/>
        </w:rPr>
        <w:fldChar w:fldCharType="end"/>
      </w:r>
    </w:p>
    <w:p w14:paraId="1367AE80">
      <w:pPr>
        <w:pStyle w:val="18"/>
        <w:tabs>
          <w:tab w:val="right" w:leader="dot" w:pos="8306"/>
          <w:tab w:val="clear" w:pos="8789"/>
        </w:tabs>
        <w:spacing w:line="720" w:lineRule="auto"/>
        <w:rPr>
          <w:rFonts w:hint="eastAsia" w:ascii="宋体" w:hAnsi="宋体" w:cs="宋体"/>
          <w:sz w:val="28"/>
          <w:szCs w:val="28"/>
        </w:rPr>
      </w:pPr>
      <w:r>
        <w:fldChar w:fldCharType="begin"/>
      </w:r>
      <w:r>
        <w:instrText xml:space="preserve"> HYPERLINK \l "_Toc26128" </w:instrText>
      </w:r>
      <w:r>
        <w:fldChar w:fldCharType="separate"/>
      </w:r>
      <w:r>
        <w:rPr>
          <w:rFonts w:hint="eastAsia" w:ascii="宋体" w:hAnsi="宋体" w:cs="宋体"/>
          <w:sz w:val="28"/>
          <w:szCs w:val="28"/>
        </w:rPr>
        <w:t>第三章　评定成交的标准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_Toc26128 \h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fldChar w:fldCharType="end"/>
      </w:r>
    </w:p>
    <w:p w14:paraId="0B9E1488">
      <w:pPr>
        <w:pStyle w:val="18"/>
        <w:tabs>
          <w:tab w:val="right" w:leader="dot" w:pos="8306"/>
          <w:tab w:val="clear" w:pos="8789"/>
        </w:tabs>
        <w:spacing w:line="720" w:lineRule="auto"/>
        <w:rPr>
          <w:rFonts w:hint="eastAsia" w:ascii="宋体" w:hAnsi="宋体" w:cs="宋体"/>
          <w:sz w:val="28"/>
          <w:szCs w:val="28"/>
        </w:rPr>
      </w:pPr>
      <w:r>
        <w:fldChar w:fldCharType="begin"/>
      </w:r>
      <w:r>
        <w:instrText xml:space="preserve"> HYPERLINK \l "_Toc550" </w:instrText>
      </w:r>
      <w:r>
        <w:fldChar w:fldCharType="separate"/>
      </w:r>
      <w:r>
        <w:rPr>
          <w:rFonts w:hint="eastAsia" w:ascii="宋体" w:hAnsi="宋体" w:cs="宋体"/>
          <w:sz w:val="28"/>
          <w:szCs w:val="28"/>
        </w:rPr>
        <w:t>第四章  用户需求书</w:t>
      </w:r>
      <w:r>
        <w:rPr>
          <w:rFonts w:hint="eastAsia" w:ascii="宋体" w:hAnsi="宋体" w:cs="宋体"/>
          <w:sz w:val="28"/>
          <w:szCs w:val="28"/>
        </w:rPr>
        <w:tab/>
      </w:r>
      <w:r>
        <w:rPr>
          <w:rFonts w:hint="eastAsia" w:ascii="宋体" w:hAnsi="宋体" w:cs="宋体"/>
          <w:sz w:val="28"/>
          <w:szCs w:val="28"/>
        </w:rPr>
        <w:t>29</w:t>
      </w:r>
      <w:r>
        <w:rPr>
          <w:rFonts w:hint="eastAsia" w:ascii="宋体" w:hAnsi="宋体" w:cs="宋体"/>
          <w:sz w:val="28"/>
          <w:szCs w:val="28"/>
        </w:rPr>
        <w:fldChar w:fldCharType="end"/>
      </w:r>
    </w:p>
    <w:p w14:paraId="4A866971">
      <w:pPr>
        <w:pStyle w:val="18"/>
        <w:tabs>
          <w:tab w:val="right" w:leader="dot" w:pos="8306"/>
          <w:tab w:val="clear" w:pos="8789"/>
        </w:tabs>
        <w:spacing w:line="720" w:lineRule="auto"/>
        <w:rPr>
          <w:rFonts w:hint="eastAsia" w:ascii="宋体" w:hAnsi="宋体" w:cs="宋体"/>
          <w:sz w:val="28"/>
          <w:szCs w:val="28"/>
        </w:rPr>
      </w:pPr>
      <w:r>
        <w:fldChar w:fldCharType="begin"/>
      </w:r>
      <w:r>
        <w:instrText xml:space="preserve"> HYPERLINK \l "_Toc29988" </w:instrText>
      </w:r>
      <w:r>
        <w:fldChar w:fldCharType="separate"/>
      </w:r>
      <w:r>
        <w:rPr>
          <w:rFonts w:hint="eastAsia" w:ascii="宋体" w:hAnsi="宋体" w:cs="宋体"/>
          <w:sz w:val="28"/>
          <w:szCs w:val="28"/>
        </w:rPr>
        <w:t>第五章  商务</w:t>
      </w:r>
      <w:bookmarkStart w:id="0" w:name="_Hlt121226408"/>
      <w:bookmarkStart w:id="1" w:name="_Hlt121226409"/>
      <w:r>
        <w:rPr>
          <w:rFonts w:hint="eastAsia" w:ascii="宋体" w:hAnsi="宋体" w:cs="宋体"/>
          <w:sz w:val="28"/>
          <w:szCs w:val="28"/>
        </w:rPr>
        <w:t>条</w:t>
      </w:r>
      <w:bookmarkEnd w:id="0"/>
      <w:bookmarkEnd w:id="1"/>
      <w:r>
        <w:rPr>
          <w:rFonts w:hint="eastAsia" w:ascii="宋体" w:hAnsi="宋体" w:cs="宋体"/>
          <w:sz w:val="28"/>
          <w:szCs w:val="28"/>
        </w:rPr>
        <w:t>款</w:t>
      </w:r>
      <w:r>
        <w:rPr>
          <w:rFonts w:hint="eastAsia" w:ascii="宋体" w:hAnsi="宋体" w:cs="宋体"/>
          <w:sz w:val="28"/>
          <w:szCs w:val="28"/>
        </w:rPr>
        <w:tab/>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6</w:t>
      </w:r>
    </w:p>
    <w:p w14:paraId="2187EB32">
      <w:pPr>
        <w:pStyle w:val="18"/>
        <w:tabs>
          <w:tab w:val="right" w:leader="dot" w:pos="8306"/>
          <w:tab w:val="clear" w:pos="8789"/>
        </w:tabs>
        <w:spacing w:line="720" w:lineRule="auto"/>
        <w:rPr>
          <w:rFonts w:hint="eastAsia" w:ascii="宋体" w:hAnsi="宋体" w:cs="宋体"/>
          <w:sz w:val="28"/>
          <w:szCs w:val="28"/>
        </w:rPr>
      </w:pPr>
      <w:r>
        <w:fldChar w:fldCharType="begin"/>
      </w:r>
      <w:r>
        <w:instrText xml:space="preserve"> HYPERLINK \l "_Toc29988" </w:instrText>
      </w:r>
      <w:r>
        <w:fldChar w:fldCharType="separate"/>
      </w:r>
      <w:r>
        <w:rPr>
          <w:rFonts w:hint="eastAsia" w:ascii="宋体" w:hAnsi="宋体" w:cs="宋体"/>
          <w:sz w:val="28"/>
          <w:szCs w:val="28"/>
        </w:rPr>
        <w:t>第六章  合同</w:t>
      </w:r>
      <w:bookmarkStart w:id="2" w:name="_Hlt121230017"/>
      <w:r>
        <w:rPr>
          <w:rFonts w:hint="eastAsia" w:ascii="宋体" w:hAnsi="宋体" w:cs="宋体"/>
          <w:sz w:val="28"/>
          <w:szCs w:val="28"/>
        </w:rPr>
        <w:t>草</w:t>
      </w:r>
      <w:bookmarkEnd w:id="2"/>
      <w:bookmarkStart w:id="3" w:name="_Hlt123224288"/>
      <w:bookmarkStart w:id="4" w:name="_Hlt123224287"/>
      <w:r>
        <w:rPr>
          <w:rFonts w:hint="eastAsia" w:ascii="宋体" w:hAnsi="宋体" w:cs="宋体"/>
          <w:sz w:val="28"/>
          <w:szCs w:val="28"/>
        </w:rPr>
        <w:t>案</w:t>
      </w:r>
      <w:bookmarkEnd w:id="3"/>
      <w:bookmarkEnd w:id="4"/>
      <w:r>
        <w:rPr>
          <w:rFonts w:hint="eastAsia" w:ascii="宋体" w:hAnsi="宋体" w:cs="宋体"/>
          <w:sz w:val="28"/>
          <w:szCs w:val="28"/>
        </w:rPr>
        <w:tab/>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7</w:t>
      </w:r>
    </w:p>
    <w:p w14:paraId="76569A27">
      <w:pPr>
        <w:pStyle w:val="18"/>
        <w:tabs>
          <w:tab w:val="right" w:leader="dot" w:pos="8306"/>
          <w:tab w:val="clear" w:pos="8789"/>
        </w:tabs>
        <w:spacing w:line="720" w:lineRule="auto"/>
        <w:rPr>
          <w:rFonts w:hint="eastAsia" w:ascii="宋体" w:hAnsi="宋体" w:cs="宋体"/>
          <w:sz w:val="28"/>
          <w:szCs w:val="28"/>
        </w:rPr>
      </w:pPr>
      <w:r>
        <w:fldChar w:fldCharType="begin"/>
      </w:r>
      <w:r>
        <w:instrText xml:space="preserve"> HYPERLINK \l "_Toc2649" </w:instrText>
      </w:r>
      <w:r>
        <w:fldChar w:fldCharType="separate"/>
      </w:r>
      <w:r>
        <w:rPr>
          <w:rFonts w:hint="eastAsia" w:ascii="宋体" w:hAnsi="宋体" w:cs="宋体"/>
          <w:sz w:val="28"/>
          <w:szCs w:val="28"/>
        </w:rPr>
        <w:t>第七章  附件</w:t>
      </w:r>
      <w:r>
        <w:rPr>
          <w:rFonts w:hint="eastAsia" w:ascii="宋体" w:hAnsi="宋体" w:cs="宋体"/>
          <w:sz w:val="28"/>
          <w:szCs w:val="28"/>
        </w:rPr>
        <w:tab/>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0</w:t>
      </w:r>
    </w:p>
    <w:p w14:paraId="7364C4D3">
      <w:pPr>
        <w:pageBreakBefore/>
        <w:spacing w:line="720" w:lineRule="auto"/>
        <w:jc w:val="center"/>
        <w:rPr>
          <w:rFonts w:hint="eastAsia" w:ascii="宋体" w:hAnsi="宋体" w:eastAsia="宋体" w:cs="宋体"/>
          <w:sz w:val="28"/>
          <w:szCs w:val="28"/>
        </w:rPr>
      </w:pPr>
      <w:r>
        <w:rPr>
          <w:rFonts w:hint="eastAsia" w:ascii="宋体" w:hAnsi="宋体" w:eastAsia="宋体" w:cs="宋体"/>
          <w:sz w:val="28"/>
          <w:szCs w:val="28"/>
        </w:rPr>
        <w:fldChar w:fldCharType="end"/>
      </w:r>
      <w:r>
        <w:rPr>
          <w:rFonts w:hint="eastAsia" w:ascii="宋体" w:hAnsi="宋体" w:eastAsia="宋体" w:cs="宋体"/>
          <w:b/>
          <w:sz w:val="28"/>
          <w:szCs w:val="28"/>
        </w:rPr>
        <w:t>第一章竞争性磋商公告</w:t>
      </w:r>
    </w:p>
    <w:p w14:paraId="7BDFB9D3">
      <w:pPr>
        <w:pBdr>
          <w:top w:val="single" w:color="auto" w:sz="4" w:space="1"/>
          <w:left w:val="single" w:color="auto" w:sz="4" w:space="4"/>
          <w:bottom w:val="single" w:color="auto" w:sz="4" w:space="1"/>
          <w:right w:val="single" w:color="auto" w:sz="4" w:space="4"/>
        </w:pBdr>
        <w:autoSpaceDN w:val="0"/>
        <w:spacing w:line="440" w:lineRule="exact"/>
        <w:rPr>
          <w:rFonts w:hint="eastAsia" w:ascii="宋体" w:hAnsi="宋体" w:eastAsia="宋体" w:cs="宋体"/>
          <w:b/>
          <w:bCs/>
        </w:rPr>
      </w:pPr>
      <w:r>
        <w:rPr>
          <w:rFonts w:hint="eastAsia" w:ascii="宋体" w:hAnsi="宋体" w:eastAsia="宋体" w:cs="宋体"/>
          <w:b/>
          <w:bCs/>
          <w:szCs w:val="21"/>
        </w:rPr>
        <w:t>项目概况</w:t>
      </w:r>
    </w:p>
    <w:p w14:paraId="50E8D880">
      <w:pPr>
        <w:pBdr>
          <w:top w:val="single" w:color="auto" w:sz="4" w:space="1"/>
          <w:left w:val="single" w:color="auto" w:sz="4" w:space="4"/>
          <w:bottom w:val="single" w:color="auto" w:sz="4" w:space="1"/>
          <w:right w:val="single" w:color="auto" w:sz="4" w:space="4"/>
        </w:pBdr>
        <w:autoSpaceDN w:val="0"/>
        <w:spacing w:line="440" w:lineRule="exact"/>
        <w:ind w:firstLine="420" w:firstLineChars="200"/>
        <w:rPr>
          <w:rFonts w:hint="eastAsia" w:ascii="宋体" w:hAnsi="宋体" w:eastAsia="宋体" w:cs="宋体"/>
        </w:rPr>
      </w:pPr>
      <w:r>
        <w:rPr>
          <w:rFonts w:hint="eastAsia" w:ascii="宋体" w:hAnsi="宋体" w:eastAsia="宋体" w:cs="宋体"/>
          <w:bCs/>
          <w:szCs w:val="21"/>
          <w:u w:val="single"/>
        </w:rPr>
        <w:t xml:space="preserve">椒江区第五中学体育馆提升及室外配套工程 </w:t>
      </w:r>
      <w:r>
        <w:rPr>
          <w:rFonts w:hint="eastAsia" w:ascii="宋体" w:hAnsi="宋体" w:eastAsia="宋体" w:cs="宋体"/>
          <w:szCs w:val="21"/>
        </w:rPr>
        <w:t>的潜在供应商应在</w:t>
      </w:r>
      <w:r>
        <w:rPr>
          <w:rFonts w:hint="eastAsia" w:ascii="宋体" w:hAnsi="宋体" w:eastAsia="宋体" w:cs="宋体"/>
          <w:szCs w:val="21"/>
          <w:u w:val="single"/>
        </w:rPr>
        <w:t>政采云平台（https://www.zcygov.cn/）</w:t>
      </w:r>
      <w:r>
        <w:rPr>
          <w:rFonts w:hint="eastAsia" w:ascii="宋体" w:hAnsi="宋体" w:eastAsia="宋体" w:cs="宋体"/>
          <w:szCs w:val="21"/>
        </w:rPr>
        <w:t>获取竞争性磋商文件，并于2025年</w:t>
      </w:r>
      <w:r>
        <w:rPr>
          <w:rFonts w:hint="eastAsia" w:ascii="宋体" w:hAnsi="宋体" w:eastAsia="宋体" w:cs="宋体"/>
          <w:bCs/>
          <w:szCs w:val="21"/>
          <w:u w:val="single"/>
          <w:lang w:val="en-US" w:eastAsia="zh-CN"/>
        </w:rPr>
        <w:t>07</w:t>
      </w:r>
      <w:r>
        <w:rPr>
          <w:rFonts w:hint="eastAsia" w:ascii="宋体" w:hAnsi="宋体" w:eastAsia="宋体" w:cs="宋体"/>
          <w:bCs/>
          <w:szCs w:val="21"/>
          <w:u w:val="single"/>
        </w:rPr>
        <w:t>月</w:t>
      </w:r>
      <w:r>
        <w:rPr>
          <w:rFonts w:hint="eastAsia" w:ascii="宋体" w:hAnsi="宋体" w:eastAsia="宋体" w:cs="宋体"/>
          <w:bCs/>
          <w:szCs w:val="21"/>
          <w:u w:val="single"/>
          <w:lang w:val="en-US" w:eastAsia="zh-CN"/>
        </w:rPr>
        <w:t>14</w:t>
      </w:r>
      <w:r>
        <w:rPr>
          <w:rFonts w:hint="eastAsia" w:ascii="宋体" w:hAnsi="宋体" w:eastAsia="宋体" w:cs="宋体"/>
          <w:bCs/>
          <w:szCs w:val="21"/>
          <w:u w:val="single"/>
        </w:rPr>
        <w:t>日09点00分（</w:t>
      </w:r>
      <w:r>
        <w:rPr>
          <w:rFonts w:hint="eastAsia" w:ascii="宋体" w:hAnsi="宋体" w:eastAsia="宋体" w:cs="宋体"/>
          <w:bCs/>
          <w:szCs w:val="21"/>
        </w:rPr>
        <w:t>北京时间）前提交响应文件</w:t>
      </w:r>
      <w:r>
        <w:rPr>
          <w:rFonts w:hint="eastAsia" w:ascii="宋体" w:hAnsi="宋体" w:eastAsia="宋体" w:cs="宋体"/>
          <w:szCs w:val="21"/>
        </w:rPr>
        <w:t>。</w:t>
      </w:r>
    </w:p>
    <w:p w14:paraId="0FC6824A">
      <w:pPr>
        <w:pStyle w:val="21"/>
        <w:autoSpaceDN w:val="0"/>
        <w:spacing w:before="0" w:beforeAutospacing="0" w:after="0" w:afterAutospacing="0" w:line="440" w:lineRule="exact"/>
        <w:rPr>
          <w:rFonts w:hint="eastAsia" w:cs="宋体"/>
        </w:rPr>
      </w:pPr>
      <w:r>
        <w:rPr>
          <w:rFonts w:cs="宋体"/>
          <w:kern w:val="2"/>
          <w:szCs w:val="21"/>
        </w:rPr>
        <w:t> </w:t>
      </w:r>
    </w:p>
    <w:p w14:paraId="4D8117EA">
      <w:pPr>
        <w:widowControl/>
        <w:shd w:val="clear" w:color="auto" w:fill="FFFFFF"/>
        <w:autoSpaceDN w:val="0"/>
        <w:spacing w:line="440" w:lineRule="exact"/>
        <w:rPr>
          <w:rFonts w:hint="eastAsia" w:ascii="宋体" w:hAnsi="宋体" w:eastAsia="宋体" w:cs="宋体"/>
        </w:rPr>
      </w:pPr>
      <w:r>
        <w:rPr>
          <w:rFonts w:hint="eastAsia" w:ascii="宋体" w:hAnsi="宋体" w:eastAsia="宋体" w:cs="宋体"/>
          <w:b/>
          <w:bCs/>
          <w:szCs w:val="21"/>
          <w:shd w:val="clear" w:color="auto" w:fill="FFFFFF"/>
        </w:rPr>
        <w:t>一、项目基本情况</w:t>
      </w:r>
    </w:p>
    <w:p w14:paraId="6C7F4D56">
      <w:pPr>
        <w:widowControl/>
        <w:shd w:val="clear" w:color="auto" w:fill="FFFFFF"/>
        <w:autoSpaceDN w:val="0"/>
        <w:spacing w:line="440" w:lineRule="exact"/>
        <w:ind w:firstLine="420" w:firstLineChars="200"/>
        <w:rPr>
          <w:rFonts w:hint="eastAsia" w:ascii="宋体" w:hAnsi="宋体" w:eastAsia="宋体" w:cs="宋体"/>
          <w:bCs/>
          <w:szCs w:val="21"/>
        </w:rPr>
      </w:pPr>
      <w:r>
        <w:rPr>
          <w:rFonts w:hint="eastAsia" w:ascii="宋体" w:hAnsi="宋体" w:eastAsia="宋体" w:cs="宋体"/>
          <w:szCs w:val="21"/>
          <w:shd w:val="clear" w:color="auto" w:fill="FFFFFF"/>
        </w:rPr>
        <w:t>项目编号：</w:t>
      </w:r>
      <w:r>
        <w:rPr>
          <w:rFonts w:hint="eastAsia" w:ascii="宋体" w:hAnsi="宋体" w:eastAsia="宋体" w:cs="宋体"/>
          <w:bCs/>
          <w:szCs w:val="21"/>
        </w:rPr>
        <w:t>ZGTZZB2025-0410</w:t>
      </w:r>
    </w:p>
    <w:p w14:paraId="6AC6DA92">
      <w:pPr>
        <w:widowControl/>
        <w:shd w:val="clear" w:color="auto" w:fill="FFFFFF"/>
        <w:autoSpaceDN w:val="0"/>
        <w:spacing w:line="440" w:lineRule="exact"/>
        <w:ind w:firstLine="420" w:firstLineChars="200"/>
        <w:rPr>
          <w:rFonts w:hint="eastAsia" w:ascii="宋体" w:hAnsi="宋体" w:eastAsia="宋体" w:cs="宋体"/>
          <w:bCs/>
          <w:szCs w:val="21"/>
        </w:rPr>
      </w:pPr>
      <w:r>
        <w:rPr>
          <w:rFonts w:hint="eastAsia" w:ascii="宋体" w:hAnsi="宋体" w:eastAsia="宋体" w:cs="宋体"/>
          <w:szCs w:val="21"/>
          <w:shd w:val="clear" w:color="auto" w:fill="FFFFFF"/>
        </w:rPr>
        <w:t>项目名称：</w:t>
      </w:r>
      <w:r>
        <w:rPr>
          <w:rFonts w:hint="eastAsia" w:ascii="宋体" w:hAnsi="宋体" w:eastAsia="宋体" w:cs="宋体"/>
          <w:bCs/>
          <w:szCs w:val="21"/>
        </w:rPr>
        <w:t xml:space="preserve">椒江区第五中学体育馆提升及室外配套工程 </w:t>
      </w:r>
    </w:p>
    <w:p w14:paraId="69BBF677">
      <w:pPr>
        <w:widowControl/>
        <w:spacing w:line="380" w:lineRule="exact"/>
        <w:ind w:firstLine="420" w:firstLineChars="200"/>
        <w:contextualSpacing/>
        <w:jc w:val="left"/>
        <w:rPr>
          <w:rFonts w:hint="eastAsia" w:cs="宋体" w:asciiTheme="minorEastAsia" w:hAnsiTheme="minorEastAsia"/>
          <w:szCs w:val="21"/>
        </w:rPr>
      </w:pPr>
      <w:r>
        <w:rPr>
          <w:rFonts w:hint="eastAsia" w:cs="宋体" w:asciiTheme="minorEastAsia" w:hAnsiTheme="minorEastAsia"/>
          <w:szCs w:val="21"/>
        </w:rPr>
        <w:t>采购方式：竞争性磋商</w:t>
      </w:r>
    </w:p>
    <w:p w14:paraId="6AEB34EE">
      <w:pPr>
        <w:widowControl/>
        <w:spacing w:line="380" w:lineRule="exact"/>
        <w:ind w:firstLine="420" w:firstLineChars="200"/>
        <w:contextualSpacing/>
        <w:jc w:val="left"/>
        <w:rPr>
          <w:rFonts w:hint="eastAsia" w:cs="宋体" w:asciiTheme="minorEastAsia" w:hAnsiTheme="minorEastAsia" w:eastAsiaTheme="minorEastAsia"/>
          <w:szCs w:val="21"/>
          <w:lang w:eastAsia="zh-CN"/>
        </w:rPr>
      </w:pPr>
      <w:r>
        <w:rPr>
          <w:rFonts w:cs="宋体" w:asciiTheme="minorEastAsia" w:hAnsiTheme="minorEastAsia"/>
          <w:szCs w:val="21"/>
        </w:rPr>
        <w:t>预算金额</w:t>
      </w:r>
      <w:r>
        <w:rPr>
          <w:rFonts w:hint="eastAsia" w:cs="宋体" w:asciiTheme="minorEastAsia" w:hAnsiTheme="minorEastAsia"/>
          <w:szCs w:val="21"/>
        </w:rPr>
        <w:t>（元）</w:t>
      </w:r>
      <w:r>
        <w:rPr>
          <w:rFonts w:cs="宋体" w:asciiTheme="minorEastAsia" w:hAnsiTheme="minorEastAsia"/>
          <w:szCs w:val="21"/>
        </w:rPr>
        <w:t>：</w:t>
      </w:r>
      <w:r>
        <w:rPr>
          <w:rFonts w:hint="eastAsia" w:cs="宋体" w:asciiTheme="minorEastAsia" w:hAnsiTheme="minorEastAsia"/>
          <w:szCs w:val="21"/>
          <w:lang w:eastAsia="zh-CN"/>
        </w:rPr>
        <w:t>3890873</w:t>
      </w:r>
    </w:p>
    <w:p w14:paraId="5C5A7868">
      <w:pPr>
        <w:widowControl/>
        <w:shd w:val="clear" w:color="auto" w:fill="FFFFFF"/>
        <w:autoSpaceDN w:val="0"/>
        <w:spacing w:line="440" w:lineRule="exact"/>
        <w:ind w:firstLine="420" w:firstLineChars="200"/>
        <w:rPr>
          <w:rFonts w:hint="eastAsia" w:cs="宋体" w:asciiTheme="minorEastAsia" w:hAnsiTheme="minorEastAsia"/>
          <w:szCs w:val="21"/>
        </w:rPr>
      </w:pPr>
      <w:r>
        <w:rPr>
          <w:rFonts w:cs="宋体" w:asciiTheme="minorEastAsia" w:hAnsiTheme="minorEastAsia"/>
          <w:szCs w:val="21"/>
        </w:rPr>
        <w:t>最高限价</w:t>
      </w:r>
      <w:r>
        <w:rPr>
          <w:rFonts w:hint="eastAsia" w:cs="宋体" w:asciiTheme="minorEastAsia" w:hAnsiTheme="minorEastAsia"/>
          <w:szCs w:val="21"/>
        </w:rPr>
        <w:t>（元）</w:t>
      </w:r>
      <w:r>
        <w:rPr>
          <w:rFonts w:cs="宋体" w:asciiTheme="minorEastAsia" w:hAnsiTheme="minorEastAsia"/>
          <w:szCs w:val="21"/>
        </w:rPr>
        <w:t>：</w:t>
      </w:r>
      <w:r>
        <w:rPr>
          <w:rFonts w:hint="eastAsia" w:cs="宋体" w:asciiTheme="minorEastAsia" w:hAnsiTheme="minorEastAsia"/>
          <w:szCs w:val="21"/>
          <w:lang w:eastAsia="zh-CN"/>
        </w:rPr>
        <w:t>3890873</w:t>
      </w:r>
      <w:r>
        <w:rPr>
          <w:rFonts w:hint="eastAsia" w:cs="宋体" w:asciiTheme="minorEastAsia" w:hAnsiTheme="minorEastAsia"/>
          <w:szCs w:val="21"/>
        </w:rPr>
        <w:t xml:space="preserve">                         </w:t>
      </w:r>
    </w:p>
    <w:p w14:paraId="15CA27FE">
      <w:pPr>
        <w:widowControl/>
        <w:shd w:val="clear" w:color="auto" w:fill="FFFFFF"/>
        <w:autoSpaceDN w:val="0"/>
        <w:spacing w:line="440" w:lineRule="exact"/>
        <w:ind w:firstLine="420" w:firstLineChars="200"/>
        <w:rPr>
          <w:rFonts w:hint="eastAsia" w:ascii="宋体" w:hAnsi="宋体" w:eastAsia="宋体" w:cs="宋体"/>
        </w:rPr>
      </w:pPr>
      <w:r>
        <w:rPr>
          <w:rFonts w:hint="eastAsia" w:ascii="宋体" w:hAnsi="宋体" w:eastAsia="宋体" w:cs="宋体"/>
          <w:szCs w:val="21"/>
          <w:shd w:val="clear" w:color="auto" w:fill="FFFFFF"/>
        </w:rPr>
        <w:t>采购需求</w:t>
      </w:r>
    </w:p>
    <w:p w14:paraId="076CF892">
      <w:pPr>
        <w:widowControl/>
        <w:shd w:val="clear" w:color="auto" w:fill="FFFFFF"/>
        <w:autoSpaceDN w:val="0"/>
        <w:spacing w:line="440" w:lineRule="exact"/>
        <w:ind w:firstLine="420" w:firstLineChars="200"/>
        <w:rPr>
          <w:rFonts w:hint="eastAsia" w:ascii="宋体" w:hAnsi="宋体" w:eastAsia="宋体" w:cs="宋体"/>
        </w:rPr>
      </w:pPr>
      <w:r>
        <w:rPr>
          <w:rFonts w:hint="eastAsia" w:ascii="宋体" w:hAnsi="宋体" w:eastAsia="宋体" w:cs="宋体"/>
          <w:szCs w:val="21"/>
          <w:shd w:val="clear" w:color="auto" w:fill="FFFFFF"/>
        </w:rPr>
        <w:t>数量: 1 </w:t>
      </w:r>
    </w:p>
    <w:p w14:paraId="7A889C7A">
      <w:pPr>
        <w:widowControl/>
        <w:shd w:val="clear" w:color="auto" w:fill="FFFFFF"/>
        <w:autoSpaceDN w:val="0"/>
        <w:spacing w:line="440" w:lineRule="exact"/>
        <w:ind w:firstLine="420" w:firstLineChars="200"/>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rPr>
        <w:t>预算金额（元）: </w:t>
      </w:r>
      <w:r>
        <w:rPr>
          <w:rFonts w:hint="eastAsia" w:eastAsia="宋体" w:cs="宋体" w:asciiTheme="minorEastAsia" w:hAnsiTheme="minorEastAsia"/>
          <w:szCs w:val="21"/>
          <w:lang w:eastAsia="zh-CN"/>
        </w:rPr>
        <w:t>3890873</w:t>
      </w:r>
    </w:p>
    <w:p w14:paraId="65E7F14C">
      <w:pPr>
        <w:widowControl/>
        <w:shd w:val="clear" w:color="auto" w:fill="FFFFFF"/>
        <w:autoSpaceDN w:val="0"/>
        <w:spacing w:line="440" w:lineRule="exact"/>
        <w:ind w:firstLine="420" w:firstLineChars="2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单位：项</w:t>
      </w:r>
    </w:p>
    <w:p w14:paraId="0E20EFEA">
      <w:pPr>
        <w:widowControl/>
        <w:shd w:val="clear" w:color="auto" w:fill="FFFFFF"/>
        <w:autoSpaceDN w:val="0"/>
        <w:spacing w:line="440" w:lineRule="exact"/>
        <w:ind w:firstLine="422" w:firstLineChars="200"/>
        <w:rPr>
          <w:rFonts w:hint="eastAsia" w:ascii="宋体" w:hAnsi="宋体" w:eastAsia="宋体" w:cs="宋体"/>
          <w:bCs/>
        </w:rPr>
      </w:pPr>
      <w:r>
        <w:rPr>
          <w:rFonts w:hint="eastAsia" w:ascii="宋体" w:hAnsi="宋体" w:eastAsia="宋体" w:cs="宋体"/>
          <w:b/>
          <w:szCs w:val="21"/>
          <w:shd w:val="clear" w:color="auto" w:fill="FFFFFF"/>
        </w:rPr>
        <w:t>简要规格描述：</w:t>
      </w:r>
      <w:r>
        <w:rPr>
          <w:rFonts w:hint="eastAsia" w:ascii="宋体" w:hAnsi="宋体" w:eastAsia="宋体" w:cs="宋体"/>
          <w:bCs/>
          <w:szCs w:val="21"/>
          <w:shd w:val="clear" w:color="auto" w:fill="FFFFFF"/>
        </w:rPr>
        <w:t>详见第四章 用户需求书。</w:t>
      </w:r>
    </w:p>
    <w:p w14:paraId="20A0AECA">
      <w:pPr>
        <w:widowControl/>
        <w:shd w:val="clear" w:color="auto" w:fill="FFFFFF"/>
        <w:autoSpaceDN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备注：</w:t>
      </w:r>
    </w:p>
    <w:p w14:paraId="4F5E397F">
      <w:pPr>
        <w:widowControl/>
        <w:shd w:val="clear" w:color="auto" w:fill="FFFFFF"/>
        <w:autoSpaceDN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工期：下达开工令后</w:t>
      </w:r>
      <w:r>
        <w:rPr>
          <w:rFonts w:hint="eastAsia" w:ascii="宋体" w:hAnsi="宋体" w:eastAsia="宋体" w:cs="宋体"/>
          <w:szCs w:val="21"/>
          <w:u w:val="single"/>
        </w:rPr>
        <w:t xml:space="preserve"> 90 </w:t>
      </w:r>
      <w:r>
        <w:rPr>
          <w:rFonts w:hint="eastAsia" w:ascii="宋体" w:hAnsi="宋体" w:eastAsia="宋体" w:cs="宋体"/>
          <w:szCs w:val="21"/>
        </w:rPr>
        <w:t xml:space="preserve">天内完成施工图示和工程量清单包含的所有内容并提请采购人验收。  </w:t>
      </w:r>
    </w:p>
    <w:p w14:paraId="6CD0AD3A">
      <w:pPr>
        <w:widowControl/>
        <w:shd w:val="clear" w:color="auto" w:fill="FFFFFF"/>
        <w:autoSpaceDN w:val="0"/>
        <w:spacing w:line="440" w:lineRule="exact"/>
        <w:ind w:firstLine="482" w:firstLineChars="200"/>
        <w:rPr>
          <w:rFonts w:hint="eastAsia" w:ascii="宋体" w:hAnsi="宋体" w:eastAsia="宋体" w:cs="宋体"/>
          <w:szCs w:val="21"/>
        </w:rPr>
      </w:pPr>
      <w:r>
        <w:rPr>
          <w:rFonts w:hint="eastAsia" w:ascii="宋体" w:hAnsi="宋体"/>
          <w:b/>
          <w:sz w:val="24"/>
          <w:lang w:val="en-US" w:eastAsia="zh-CN"/>
        </w:rPr>
        <w:t>▲</w:t>
      </w:r>
      <w:r>
        <w:rPr>
          <w:rFonts w:hint="eastAsia" w:ascii="宋体" w:hAnsi="宋体" w:eastAsia="宋体" w:cs="宋体"/>
          <w:szCs w:val="21"/>
        </w:rPr>
        <w:t>本项目（否）接受联合体投标。</w:t>
      </w:r>
    </w:p>
    <w:p w14:paraId="1C928016">
      <w:pPr>
        <w:widowControl/>
        <w:shd w:val="clear" w:color="auto" w:fill="FFFFFF"/>
        <w:autoSpaceDN w:val="0"/>
        <w:spacing w:line="440" w:lineRule="exact"/>
        <w:rPr>
          <w:rFonts w:hint="eastAsia" w:ascii="宋体" w:hAnsi="宋体" w:eastAsia="宋体" w:cs="宋体"/>
        </w:rPr>
      </w:pPr>
      <w:r>
        <w:rPr>
          <w:rFonts w:hint="eastAsia" w:ascii="宋体" w:hAnsi="宋体" w:eastAsia="宋体" w:cs="宋体"/>
          <w:b/>
          <w:bCs/>
          <w:szCs w:val="21"/>
          <w:shd w:val="clear" w:color="auto" w:fill="FFFFFF"/>
        </w:rPr>
        <w:t>二、申请人的资格要求：</w:t>
      </w:r>
    </w:p>
    <w:p w14:paraId="3B4882C4">
      <w:pPr>
        <w:widowControl/>
        <w:shd w:val="clear" w:color="auto" w:fill="FFFFFF"/>
        <w:autoSpaceDN w:val="0"/>
        <w:spacing w:line="440" w:lineRule="exact"/>
        <w:ind w:firstLine="420" w:firstLineChars="2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 1、满足《中华人民共和国政府采购法》第二十二条规定；未被“信用中国”（www.creditchina.gov.cn)、中国政府采购网（www.ccgp.gov.cn）列入失信被执行人、重大税收违法失信主体、政府采购严重违法失信行为记录名单。</w:t>
      </w:r>
    </w:p>
    <w:p w14:paraId="67CD6A93">
      <w:pPr>
        <w:widowControl/>
        <w:shd w:val="clear" w:color="auto" w:fill="FFFFFF"/>
        <w:autoSpaceDN w:val="0"/>
        <w:spacing w:line="440" w:lineRule="exact"/>
        <w:ind w:firstLine="420" w:firstLineChars="200"/>
        <w:rPr>
          <w:rFonts w:hint="eastAsia" w:ascii="宋体" w:hAnsi="宋体" w:eastAsia="宋体" w:cs="宋体"/>
          <w:b/>
          <w:szCs w:val="21"/>
          <w:shd w:val="clear" w:color="auto" w:fill="FFFFFF"/>
        </w:rPr>
      </w:pPr>
      <w:r>
        <w:rPr>
          <w:rFonts w:hint="eastAsia" w:ascii="宋体" w:hAnsi="宋体" w:eastAsia="宋体" w:cs="宋体"/>
          <w:szCs w:val="21"/>
          <w:shd w:val="clear" w:color="auto" w:fill="FFFFFF"/>
        </w:rPr>
        <w:t>2、落实政府采购政策需满足的资格要求：</w:t>
      </w:r>
      <w:r>
        <w:rPr>
          <w:rFonts w:hint="eastAsia" w:ascii="宋体" w:hAnsi="宋体" w:eastAsia="宋体" w:cs="宋体"/>
          <w:b/>
          <w:bCs/>
          <w:szCs w:val="21"/>
          <w:shd w:val="clear" w:color="auto" w:fill="FFFFFF"/>
        </w:rPr>
        <w:t>本项目专门面向中小企业采购（本项目工程由中小企业承接（须在资格证明文件里提供《中小企业声明函》）；监狱企业、残疾人福利性单位视同小型、微型企业（须在资格证明文件里提供相关证明材料）。</w:t>
      </w:r>
    </w:p>
    <w:p w14:paraId="4E7E6D48">
      <w:pPr>
        <w:widowControl/>
        <w:shd w:val="clear" w:color="auto" w:fill="FFFFFF"/>
        <w:spacing w:line="360" w:lineRule="auto"/>
        <w:ind w:firstLine="420" w:firstLineChars="200"/>
        <w:contextualSpacing/>
        <w:rPr>
          <w:rFonts w:hint="eastAsia" w:hAnsi="宋体" w:eastAsia="宋体" w:cs="宋体"/>
          <w:b/>
          <w:bCs/>
        </w:rPr>
      </w:pPr>
      <w:r>
        <w:rPr>
          <w:rFonts w:hint="eastAsia" w:hAnsi="宋体" w:eastAsia="宋体" w:cs="宋体"/>
        </w:rPr>
        <w:t>3、本项目的特定资格要求：</w:t>
      </w:r>
      <w:r>
        <w:rPr>
          <w:rFonts w:hint="eastAsia" w:hAnsi="宋体" w:eastAsia="宋体" w:cs="宋体"/>
          <w:b/>
          <w:bCs/>
        </w:rPr>
        <w:t>具备有效的建筑装修装饰工程专业承包二级及以上资质并具备有效的安全生产许可证。</w:t>
      </w:r>
    </w:p>
    <w:p w14:paraId="633341DD">
      <w:pPr>
        <w:widowControl/>
        <w:shd w:val="clear" w:color="auto" w:fill="FFFFFF"/>
        <w:autoSpaceDN w:val="0"/>
        <w:spacing w:line="440" w:lineRule="exact"/>
        <w:ind w:firstLine="420" w:firstLineChars="200"/>
        <w:rPr>
          <w:rFonts w:hint="eastAsia" w:ascii="宋体" w:hAnsi="宋体" w:eastAsia="宋体" w:cs="宋体"/>
          <w:szCs w:val="21"/>
          <w:shd w:val="clear" w:color="auto" w:fill="FFFFFF"/>
        </w:rPr>
      </w:pPr>
    </w:p>
    <w:p w14:paraId="4072ABE7">
      <w:pPr>
        <w:widowControl/>
        <w:shd w:val="clear" w:color="auto" w:fill="FFFFFF"/>
        <w:autoSpaceDN w:val="0"/>
        <w:spacing w:line="440" w:lineRule="exact"/>
        <w:rPr>
          <w:rFonts w:hint="eastAsia" w:ascii="宋体" w:hAnsi="宋体" w:eastAsia="宋体" w:cs="宋体"/>
        </w:rPr>
      </w:pPr>
      <w:r>
        <w:rPr>
          <w:rFonts w:hint="eastAsia" w:ascii="宋体" w:hAnsi="宋体" w:eastAsia="宋体" w:cs="宋体"/>
          <w:b/>
          <w:bCs/>
          <w:szCs w:val="21"/>
          <w:shd w:val="clear" w:color="auto" w:fill="FFFFFF"/>
        </w:rPr>
        <w:t>三、获取（下载）竞争性磋商文件</w:t>
      </w:r>
    </w:p>
    <w:p w14:paraId="0A3996FC">
      <w:pPr>
        <w:widowControl/>
        <w:spacing w:line="440" w:lineRule="exact"/>
        <w:ind w:firstLine="420" w:firstLineChars="200"/>
        <w:contextualSpacing/>
        <w:rPr>
          <w:rFonts w:hint="eastAsia" w:ascii="宋体" w:hAnsi="宋体" w:eastAsia="宋体" w:cs="宋体"/>
          <w:szCs w:val="21"/>
        </w:rPr>
      </w:pPr>
      <w:r>
        <w:rPr>
          <w:rFonts w:hint="eastAsia" w:ascii="宋体" w:hAnsi="宋体" w:eastAsia="宋体" w:cs="宋体"/>
          <w:szCs w:val="21"/>
        </w:rPr>
        <w:t>时间：/至2025年07月14日，每天上午00:00至12:00 ，下午12:00至23:59（北京时间，线上获取法定节假日均可，线下获取文件法定节假日除外）</w:t>
      </w:r>
    </w:p>
    <w:p w14:paraId="5E6201C2">
      <w:pPr>
        <w:widowControl/>
        <w:spacing w:line="440" w:lineRule="exact"/>
        <w:ind w:firstLine="420" w:firstLineChars="200"/>
        <w:contextualSpacing/>
        <w:rPr>
          <w:rFonts w:hint="eastAsia" w:ascii="宋体" w:hAnsi="宋体" w:eastAsia="宋体" w:cs="宋体"/>
          <w:szCs w:val="21"/>
        </w:rPr>
      </w:pPr>
      <w:r>
        <w:rPr>
          <w:rFonts w:hint="eastAsia" w:ascii="宋体" w:hAnsi="宋体" w:eastAsia="宋体" w:cs="宋体"/>
          <w:szCs w:val="21"/>
        </w:rPr>
        <w:t>地点（网址）：政采云平台线上获取      </w:t>
      </w:r>
    </w:p>
    <w:p w14:paraId="70EA62DD">
      <w:pPr>
        <w:widowControl/>
        <w:spacing w:line="440" w:lineRule="exact"/>
        <w:ind w:firstLine="420" w:firstLineChars="200"/>
        <w:contextualSpacing/>
        <w:rPr>
          <w:rFonts w:hint="eastAsia" w:ascii="宋体" w:hAnsi="宋体" w:eastAsia="宋体" w:cs="宋体"/>
          <w:szCs w:val="21"/>
        </w:rPr>
      </w:pPr>
      <w:r>
        <w:rPr>
          <w:rFonts w:hint="eastAsia" w:ascii="宋体" w:hAnsi="宋体" w:eastAsia="宋体" w:cs="宋体"/>
          <w:szCs w:val="21"/>
        </w:rPr>
        <w:t>方式：供应商登录政采云平台https://www.zcygov.cn/在线申请获取采购文件（进入“项目采购”应用，在获取采购文件菜单中选择项目，申请获取采购文件）      </w:t>
      </w:r>
    </w:p>
    <w:p w14:paraId="6ADFADFF">
      <w:pPr>
        <w:widowControl/>
        <w:spacing w:line="440" w:lineRule="exact"/>
        <w:ind w:firstLine="420" w:firstLineChars="200"/>
        <w:contextualSpacing/>
        <w:rPr>
          <w:rFonts w:hint="eastAsia" w:ascii="宋体" w:hAnsi="宋体" w:eastAsia="宋体" w:cs="宋体"/>
          <w:szCs w:val="21"/>
        </w:rPr>
      </w:pPr>
      <w:r>
        <w:rPr>
          <w:rFonts w:hint="eastAsia" w:ascii="宋体" w:hAnsi="宋体" w:eastAsia="宋体" w:cs="宋体"/>
          <w:szCs w:val="21"/>
        </w:rPr>
        <w:t xml:space="preserve">售价（元）：0     </w:t>
      </w:r>
    </w:p>
    <w:p w14:paraId="2222F744">
      <w:pPr>
        <w:widowControl/>
        <w:spacing w:line="440" w:lineRule="exact"/>
        <w:contextualSpacing/>
        <w:rPr>
          <w:rFonts w:hint="eastAsia" w:ascii="宋体" w:hAnsi="宋体" w:eastAsia="宋体" w:cs="宋体"/>
          <w:b/>
          <w:bCs/>
          <w:szCs w:val="21"/>
          <w:shd w:val="clear" w:color="auto" w:fill="FFFFFF"/>
        </w:rPr>
      </w:pPr>
      <w:r>
        <w:rPr>
          <w:rFonts w:hint="eastAsia" w:ascii="宋体" w:hAnsi="宋体" w:eastAsia="宋体" w:cs="宋体"/>
          <w:b/>
          <w:bCs/>
          <w:szCs w:val="21"/>
          <w:shd w:val="clear" w:color="auto" w:fill="FFFFFF"/>
        </w:rPr>
        <w:t>四、响应文件提交（上传）</w:t>
      </w:r>
    </w:p>
    <w:p w14:paraId="3274A746">
      <w:pPr>
        <w:widowControl/>
        <w:spacing w:line="440" w:lineRule="exact"/>
        <w:ind w:firstLine="420" w:firstLineChars="200"/>
        <w:contextualSpacing/>
        <w:rPr>
          <w:rFonts w:hint="eastAsia" w:ascii="宋体" w:hAnsi="宋体" w:eastAsia="宋体" w:cs="宋体"/>
          <w:szCs w:val="21"/>
        </w:rPr>
      </w:pPr>
      <w:r>
        <w:rPr>
          <w:rFonts w:hint="eastAsia" w:ascii="宋体" w:hAnsi="宋体" w:eastAsia="宋体" w:cs="宋体"/>
          <w:szCs w:val="21"/>
        </w:rPr>
        <w:t>截止时间：2025年07月14日 09:00（北京时间）</w:t>
      </w:r>
    </w:p>
    <w:p w14:paraId="4041EB6A">
      <w:pPr>
        <w:widowControl/>
        <w:spacing w:line="440" w:lineRule="exact"/>
        <w:ind w:firstLine="420" w:firstLineChars="200"/>
        <w:contextualSpacing/>
        <w:rPr>
          <w:rFonts w:hint="eastAsia" w:ascii="宋体" w:hAnsi="宋体" w:eastAsia="宋体" w:cs="宋体"/>
          <w:szCs w:val="21"/>
        </w:rPr>
      </w:pPr>
      <w:r>
        <w:rPr>
          <w:rFonts w:hint="eastAsia" w:ascii="宋体" w:hAnsi="宋体" w:eastAsia="宋体" w:cs="宋体"/>
          <w:szCs w:val="21"/>
        </w:rPr>
        <w:t>地点（网址）：请登录政采云投标客户端投标      </w:t>
      </w:r>
    </w:p>
    <w:p w14:paraId="3BF12A2F">
      <w:pPr>
        <w:widowControl/>
        <w:shd w:val="clear" w:color="auto" w:fill="FFFFFF"/>
        <w:autoSpaceDN w:val="0"/>
        <w:spacing w:line="440" w:lineRule="exact"/>
        <w:rPr>
          <w:rFonts w:hint="eastAsia" w:ascii="宋体" w:hAnsi="宋体" w:eastAsia="宋体" w:cs="宋体"/>
          <w:b/>
          <w:bCs/>
          <w:szCs w:val="21"/>
          <w:shd w:val="clear" w:color="auto" w:fill="FFFFFF"/>
        </w:rPr>
      </w:pPr>
      <w:r>
        <w:rPr>
          <w:rFonts w:hint="eastAsia" w:ascii="宋体" w:hAnsi="宋体" w:eastAsia="宋体" w:cs="宋体"/>
          <w:b/>
          <w:bCs/>
          <w:szCs w:val="21"/>
          <w:shd w:val="clear" w:color="auto" w:fill="FFFFFF"/>
        </w:rPr>
        <w:t>五、响应文件开启</w:t>
      </w:r>
    </w:p>
    <w:p w14:paraId="2DEC1D66">
      <w:pPr>
        <w:widowControl/>
        <w:spacing w:line="440" w:lineRule="exact"/>
        <w:ind w:firstLine="420" w:firstLineChars="200"/>
        <w:contextualSpacing/>
        <w:rPr>
          <w:rFonts w:hint="eastAsia" w:ascii="宋体" w:hAnsi="宋体" w:eastAsia="宋体" w:cs="宋体"/>
          <w:szCs w:val="21"/>
        </w:rPr>
      </w:pPr>
      <w:r>
        <w:rPr>
          <w:rFonts w:hint="eastAsia" w:ascii="宋体" w:hAnsi="宋体" w:eastAsia="宋体" w:cs="宋体"/>
          <w:szCs w:val="21"/>
        </w:rPr>
        <w:t>开启时间：2025年07月14日 09:00（北京时间）</w:t>
      </w:r>
    </w:p>
    <w:p w14:paraId="5630A11A">
      <w:pPr>
        <w:widowControl/>
        <w:spacing w:line="440" w:lineRule="exact"/>
        <w:ind w:firstLine="420" w:firstLineChars="200"/>
        <w:contextualSpacing/>
        <w:rPr>
          <w:rFonts w:hint="eastAsia" w:ascii="微软雅黑" w:hAnsi="微软雅黑" w:eastAsia="微软雅黑" w:cs="微软雅黑"/>
          <w:sz w:val="24"/>
          <w:szCs w:val="24"/>
        </w:rPr>
      </w:pPr>
      <w:r>
        <w:rPr>
          <w:rFonts w:hint="eastAsia" w:ascii="宋体" w:hAnsi="宋体" w:eastAsia="宋体" w:cs="宋体"/>
          <w:szCs w:val="21"/>
        </w:rPr>
        <w:t>地点（网址）：浙江政府采购云平台</w:t>
      </w:r>
      <w:r>
        <w:rPr>
          <w:rFonts w:hint="eastAsia" w:ascii="微软雅黑" w:hAnsi="微软雅黑" w:eastAsia="微软雅黑" w:cs="微软雅黑"/>
          <w:sz w:val="24"/>
          <w:szCs w:val="24"/>
        </w:rPr>
        <w:t xml:space="preserve">     </w:t>
      </w:r>
    </w:p>
    <w:p w14:paraId="22A1547D">
      <w:pPr>
        <w:widowControl/>
        <w:spacing w:line="440" w:lineRule="exact"/>
        <w:contextualSpacing/>
        <w:rPr>
          <w:rFonts w:hint="eastAsia" w:ascii="宋体" w:hAnsi="宋体" w:eastAsia="宋体" w:cs="宋体"/>
        </w:rPr>
      </w:pPr>
      <w:r>
        <w:rPr>
          <w:rFonts w:hint="eastAsia" w:ascii="宋体" w:hAnsi="宋体" w:eastAsia="宋体" w:cs="宋体"/>
          <w:b/>
          <w:bCs/>
          <w:szCs w:val="21"/>
          <w:shd w:val="clear" w:color="auto" w:fill="FFFFFF"/>
        </w:rPr>
        <w:t>六、公告期限</w:t>
      </w:r>
    </w:p>
    <w:p w14:paraId="2233046C">
      <w:pPr>
        <w:widowControl/>
        <w:shd w:val="clear" w:color="auto" w:fill="FFFFFF"/>
        <w:autoSpaceDN w:val="0"/>
        <w:spacing w:line="440" w:lineRule="exact"/>
        <w:ind w:firstLine="420" w:firstLineChars="200"/>
        <w:rPr>
          <w:rFonts w:hint="eastAsia" w:ascii="宋体" w:hAnsi="宋体" w:eastAsia="宋体" w:cs="宋体"/>
        </w:rPr>
      </w:pPr>
      <w:r>
        <w:rPr>
          <w:rFonts w:hint="eastAsia" w:ascii="宋体" w:hAnsi="宋体" w:eastAsia="宋体" w:cs="宋体"/>
          <w:szCs w:val="21"/>
          <w:shd w:val="clear" w:color="auto" w:fill="FFFFFF"/>
        </w:rPr>
        <w:t>自本公告发布之日起3个工作日。</w:t>
      </w:r>
    </w:p>
    <w:p w14:paraId="1A3D61E1">
      <w:pPr>
        <w:widowControl/>
        <w:shd w:val="clear" w:color="auto" w:fill="FFFFFF"/>
        <w:autoSpaceDN w:val="0"/>
        <w:spacing w:line="440" w:lineRule="exact"/>
        <w:rPr>
          <w:rFonts w:hint="eastAsia" w:ascii="宋体" w:hAnsi="宋体" w:eastAsia="宋体" w:cs="宋体"/>
        </w:rPr>
      </w:pPr>
      <w:r>
        <w:rPr>
          <w:rFonts w:hint="eastAsia" w:ascii="宋体" w:hAnsi="宋体" w:eastAsia="宋体" w:cs="宋体"/>
          <w:b/>
          <w:bCs/>
          <w:szCs w:val="21"/>
          <w:shd w:val="clear" w:color="auto" w:fill="FFFFFF"/>
        </w:rPr>
        <w:t>七、其他补充事宜</w:t>
      </w:r>
      <w:r>
        <w:rPr>
          <w:rFonts w:hint="eastAsia" w:ascii="宋体" w:hAnsi="宋体" w:eastAsia="宋体" w:cs="宋体"/>
          <w:szCs w:val="21"/>
          <w:shd w:val="clear" w:color="auto" w:fill="FFFFFF"/>
        </w:rPr>
        <w:t> </w:t>
      </w:r>
    </w:p>
    <w:p w14:paraId="3FE0A285">
      <w:pPr>
        <w:widowControl/>
        <w:shd w:val="clear" w:color="auto" w:fill="FFFFFF"/>
        <w:autoSpaceDN w:val="0"/>
        <w:spacing w:line="440" w:lineRule="exact"/>
        <w:ind w:firstLine="420" w:firstLineChars="2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27C7A17C">
      <w:pPr>
        <w:widowControl/>
        <w:shd w:val="clear" w:color="auto" w:fill="FFFFFF"/>
        <w:autoSpaceDN w:val="0"/>
        <w:spacing w:line="440" w:lineRule="exact"/>
        <w:ind w:firstLine="420" w:firstLineChars="2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308ACB5E">
      <w:pPr>
        <w:widowControl/>
        <w:shd w:val="clear" w:color="auto" w:fill="FFFFFF"/>
        <w:autoSpaceDN w:val="0"/>
        <w:spacing w:line="440" w:lineRule="exact"/>
        <w:ind w:firstLine="420" w:firstLineChars="2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3.供应商认为采购文件使自己的权益受到损害的，可以自获取采购文件之日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57A8AD43">
      <w:pPr>
        <w:widowControl/>
        <w:shd w:val="clear" w:color="auto" w:fill="FFFFFF"/>
        <w:autoSpaceDN w:val="0"/>
        <w:spacing w:line="440" w:lineRule="exact"/>
        <w:ind w:firstLine="420" w:firstLineChars="200"/>
      </w:pPr>
      <w:r>
        <w:rPr>
          <w:rFonts w:hint="eastAsia" w:ascii="宋体" w:hAnsi="宋体" w:eastAsia="宋体" w:cs="宋体"/>
          <w:szCs w:val="21"/>
          <w:shd w:val="clear" w:color="auto" w:fill="FFFFFF"/>
        </w:rPr>
        <w:t>4.其他事项：（一）供应商认为采购文件使自己的权益受到损害的，可以自获取采购文件之日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szCs w:val="21"/>
          <w:shd w:val="clear" w:color="auto" w:fill="FFFFFF"/>
        </w:rPr>
        <w:br w:type="textWrapping"/>
      </w:r>
      <w:r>
        <w:rPr>
          <w:rFonts w:hint="eastAsia" w:ascii="宋体" w:hAnsi="宋体" w:eastAsia="宋体" w:cs="宋体"/>
          <w:szCs w:val="21"/>
          <w:shd w:val="clear" w:color="auto" w:fill="FFFFFF"/>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r>
        <w:rPr>
          <w:rFonts w:hint="eastAsia" w:ascii="宋体" w:hAnsi="宋体" w:eastAsia="宋体" w:cs="宋体"/>
          <w:szCs w:val="21"/>
          <w:shd w:val="clear" w:color="auto" w:fill="FFFFFF"/>
        </w:rPr>
        <w:br w:type="textWrapping"/>
      </w:r>
      <w:r>
        <w:rPr>
          <w:rFonts w:hint="eastAsia" w:ascii="宋体" w:hAnsi="宋体" w:eastAsia="宋体" w:cs="宋体"/>
          <w:szCs w:val="21"/>
          <w:shd w:val="clear" w:color="auto" w:fill="FFFFFF"/>
        </w:rPr>
        <w:t>（三）其他补充事宜</w:t>
      </w:r>
      <w:r>
        <w:rPr>
          <w:rFonts w:hint="eastAsia" w:ascii="宋体" w:hAnsi="宋体" w:eastAsia="宋体" w:cs="宋体"/>
          <w:szCs w:val="21"/>
          <w:shd w:val="clear" w:color="auto" w:fill="FFFFFF"/>
        </w:rPr>
        <w:br w:type="textWrapping"/>
      </w:r>
      <w:r>
        <w:rPr>
          <w:rFonts w:hint="eastAsia" w:ascii="宋体" w:hAnsi="宋体" w:eastAsia="宋体" w:cs="宋体"/>
          <w:szCs w:val="21"/>
          <w:shd w:val="clear" w:color="auto" w:fill="FFFFFF"/>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宋体" w:hAnsi="宋体" w:eastAsia="宋体" w:cs="宋体"/>
          <w:szCs w:val="21"/>
          <w:shd w:val="clear" w:color="auto" w:fill="FFFFFF"/>
        </w:rPr>
        <w:br w:type="textWrapping"/>
      </w:r>
      <w:r>
        <w:rPr>
          <w:rFonts w:hint="eastAsia" w:ascii="宋体" w:hAnsi="宋体" w:eastAsia="宋体" w:cs="宋体"/>
          <w:szCs w:val="21"/>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r>
        <w:rPr>
          <w:rFonts w:hint="eastAsia" w:ascii="微软雅黑" w:hAnsi="微软雅黑" w:eastAsia="微软雅黑" w:cs="微软雅黑"/>
          <w:sz w:val="24"/>
          <w:szCs w:val="24"/>
        </w:rPr>
        <w:t xml:space="preserve">    </w:t>
      </w:r>
    </w:p>
    <w:p w14:paraId="7D0BD48E">
      <w:pPr>
        <w:widowControl/>
        <w:shd w:val="clear" w:color="auto" w:fill="FFFFFF"/>
        <w:autoSpaceDN w:val="0"/>
        <w:spacing w:line="440" w:lineRule="exact"/>
        <w:rPr>
          <w:rFonts w:hint="eastAsia" w:ascii="宋体" w:hAnsi="宋体" w:eastAsia="宋体" w:cs="宋体"/>
        </w:rPr>
      </w:pPr>
      <w:r>
        <w:rPr>
          <w:rFonts w:hint="eastAsia" w:ascii="宋体" w:hAnsi="宋体" w:eastAsia="宋体" w:cs="宋体"/>
          <w:b/>
          <w:bCs/>
          <w:szCs w:val="21"/>
          <w:shd w:val="clear" w:color="auto" w:fill="FFFFFF"/>
        </w:rPr>
        <w:t>八、凡对本次采购提出询问、质疑、投诉，请按以下方式联系</w:t>
      </w:r>
    </w:p>
    <w:p w14:paraId="49E63708">
      <w:pPr>
        <w:widowControl/>
        <w:shd w:val="clear" w:color="auto" w:fill="FFFFFF"/>
        <w:autoSpaceDN w:val="0"/>
        <w:spacing w:line="440" w:lineRule="exact"/>
        <w:ind w:firstLine="420" w:firstLineChars="200"/>
        <w:rPr>
          <w:rFonts w:hint="eastAsia" w:ascii="宋体" w:hAnsi="宋体" w:eastAsia="宋体" w:cs="宋体"/>
        </w:rPr>
      </w:pPr>
      <w:r>
        <w:rPr>
          <w:rFonts w:hint="eastAsia" w:ascii="宋体" w:hAnsi="宋体" w:eastAsia="宋体" w:cs="宋体"/>
          <w:szCs w:val="21"/>
          <w:shd w:val="clear" w:color="auto" w:fill="FFFFFF"/>
        </w:rPr>
        <w:t>1.采购人信息</w:t>
      </w:r>
    </w:p>
    <w:p w14:paraId="1FDA1A08">
      <w:pPr>
        <w:widowControl/>
        <w:shd w:val="clear" w:color="auto" w:fill="FFFFFF"/>
        <w:autoSpaceDN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名称：台州市椒江区第五中学</w:t>
      </w:r>
    </w:p>
    <w:p w14:paraId="0D255C82">
      <w:pPr>
        <w:widowControl/>
        <w:shd w:val="clear" w:color="auto" w:fill="FFFFFF"/>
        <w:autoSpaceDN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地址：台州市椒江区葭沚街道星明路72号</w:t>
      </w:r>
    </w:p>
    <w:p w14:paraId="6D5A9228">
      <w:pPr>
        <w:widowControl/>
        <w:shd w:val="clear" w:color="auto" w:fill="FFFFFF"/>
        <w:autoSpaceDN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传真：/</w:t>
      </w:r>
    </w:p>
    <w:p w14:paraId="46A60BCE">
      <w:pPr>
        <w:widowControl/>
        <w:shd w:val="clear" w:color="auto" w:fill="FFFFFF"/>
        <w:autoSpaceDN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项目联系人（询问）：解老师</w:t>
      </w:r>
    </w:p>
    <w:p w14:paraId="6B1FC0AA">
      <w:pPr>
        <w:widowControl/>
        <w:shd w:val="clear" w:color="auto" w:fill="FFFFFF"/>
        <w:autoSpaceDN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项目联系方式（询问）：0576</w:t>
      </w:r>
      <w:r>
        <w:rPr>
          <w:rFonts w:hint="eastAsia" w:ascii="宋体" w:hAnsi="宋体" w:eastAsia="宋体" w:cs="宋体"/>
          <w:szCs w:val="21"/>
          <w:lang w:val="en-US" w:eastAsia="zh-CN"/>
        </w:rPr>
        <w:t>-</w:t>
      </w:r>
      <w:r>
        <w:rPr>
          <w:rFonts w:hint="eastAsia" w:ascii="宋体" w:hAnsi="宋体" w:eastAsia="宋体" w:cs="宋体"/>
          <w:szCs w:val="21"/>
        </w:rPr>
        <w:t>89018828</w:t>
      </w:r>
    </w:p>
    <w:p w14:paraId="3C2F2A00">
      <w:pPr>
        <w:widowControl/>
        <w:shd w:val="clear" w:color="auto" w:fill="FFFFFF"/>
        <w:autoSpaceDN w:val="0"/>
        <w:spacing w:line="440" w:lineRule="exact"/>
        <w:ind w:firstLine="420" w:firstLineChars="200"/>
        <w:jc w:val="left"/>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rPr>
        <w:t>质疑联系人：</w:t>
      </w:r>
      <w:r>
        <w:rPr>
          <w:rFonts w:hint="eastAsia" w:ascii="宋体" w:hAnsi="宋体" w:eastAsia="宋体" w:cs="宋体"/>
          <w:szCs w:val="21"/>
          <w:shd w:val="clear" w:color="auto" w:fill="FFFFFF"/>
          <w:lang w:eastAsia="zh-CN"/>
        </w:rPr>
        <w:t>金老师</w:t>
      </w:r>
    </w:p>
    <w:p w14:paraId="786B1FBB">
      <w:pPr>
        <w:widowControl/>
        <w:shd w:val="clear" w:color="auto" w:fill="FFFFFF"/>
        <w:autoSpaceDN w:val="0"/>
        <w:spacing w:line="440" w:lineRule="exact"/>
        <w:ind w:firstLine="420" w:firstLineChars="200"/>
        <w:jc w:val="left"/>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质疑联系方式：0576</w:t>
      </w:r>
      <w:r>
        <w:rPr>
          <w:rFonts w:hint="eastAsia" w:ascii="宋体" w:hAnsi="宋体" w:eastAsia="宋体" w:cs="宋体"/>
          <w:szCs w:val="21"/>
          <w:shd w:val="clear" w:color="auto" w:fill="FFFFFF"/>
          <w:lang w:val="en-US" w:eastAsia="zh-CN"/>
        </w:rPr>
        <w:t>-</w:t>
      </w:r>
      <w:r>
        <w:rPr>
          <w:rFonts w:hint="eastAsia" w:ascii="宋体" w:hAnsi="宋体" w:eastAsia="宋体" w:cs="宋体"/>
          <w:szCs w:val="21"/>
          <w:shd w:val="clear" w:color="auto" w:fill="FFFFFF"/>
        </w:rPr>
        <w:t>89018806</w:t>
      </w:r>
    </w:p>
    <w:p w14:paraId="40AD520D">
      <w:pPr>
        <w:widowControl/>
        <w:shd w:val="clear" w:color="auto" w:fill="FFFFFF"/>
        <w:autoSpaceDN w:val="0"/>
        <w:spacing w:line="440" w:lineRule="exact"/>
        <w:ind w:firstLine="420" w:firstLineChars="200"/>
        <w:jc w:val="left"/>
        <w:rPr>
          <w:rFonts w:hint="eastAsia" w:ascii="宋体" w:hAnsi="宋体" w:eastAsia="宋体" w:cs="宋体"/>
        </w:rPr>
      </w:pPr>
      <w:r>
        <w:rPr>
          <w:rFonts w:hint="eastAsia" w:ascii="宋体" w:hAnsi="宋体" w:eastAsia="宋体" w:cs="宋体"/>
          <w:szCs w:val="21"/>
          <w:shd w:val="clear" w:color="auto" w:fill="FFFFFF"/>
        </w:rPr>
        <w:t>2.采购代理机构信息</w:t>
      </w:r>
    </w:p>
    <w:p w14:paraId="5431A625">
      <w:pPr>
        <w:widowControl/>
        <w:shd w:val="clear" w:color="auto" w:fill="FFFFFF"/>
        <w:autoSpaceDN w:val="0"/>
        <w:spacing w:line="440" w:lineRule="exact"/>
        <w:ind w:firstLine="420" w:firstLineChars="200"/>
        <w:rPr>
          <w:rFonts w:hint="eastAsia" w:ascii="宋体" w:hAnsi="宋体" w:eastAsia="宋体" w:cs="宋体"/>
        </w:rPr>
      </w:pPr>
      <w:r>
        <w:rPr>
          <w:rFonts w:hint="eastAsia" w:ascii="宋体" w:hAnsi="宋体" w:eastAsia="宋体" w:cs="宋体"/>
          <w:szCs w:val="21"/>
          <w:shd w:val="clear" w:color="auto" w:fill="FFFFFF"/>
        </w:rPr>
        <w:t>名    称：中冠工程管理咨询有限公司 </w:t>
      </w:r>
    </w:p>
    <w:p w14:paraId="0FBFC916">
      <w:pPr>
        <w:widowControl/>
        <w:shd w:val="clear" w:color="auto" w:fill="FFFFFF"/>
        <w:autoSpaceDN w:val="0"/>
        <w:spacing w:line="440" w:lineRule="exact"/>
        <w:ind w:firstLine="420" w:firstLineChars="2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地    址：</w:t>
      </w:r>
      <w:r>
        <w:rPr>
          <w:rFonts w:hint="eastAsia" w:ascii="宋体" w:hAnsi="宋体" w:eastAsia="宋体" w:cs="宋体"/>
        </w:rPr>
        <w:t>浙江省台州市椒江区东海大道378号4楼</w:t>
      </w:r>
    </w:p>
    <w:p w14:paraId="4B921D32">
      <w:pPr>
        <w:spacing w:line="440" w:lineRule="exact"/>
        <w:ind w:firstLine="411" w:firstLineChars="196"/>
        <w:rPr>
          <w:rFonts w:hint="eastAsia" w:ascii="宋体" w:hAnsi="宋体" w:eastAsia="宋体" w:cs="宋体"/>
        </w:rPr>
      </w:pPr>
      <w:r>
        <w:rPr>
          <w:rFonts w:hint="eastAsia" w:ascii="宋体" w:hAnsi="宋体" w:eastAsia="宋体" w:cs="宋体"/>
          <w:szCs w:val="21"/>
          <w:shd w:val="clear" w:color="auto" w:fill="FFFFFF"/>
        </w:rPr>
        <w:t>传    真：</w:t>
      </w:r>
      <w:r>
        <w:rPr>
          <w:rFonts w:hint="eastAsia" w:ascii="宋体" w:hAnsi="宋体" w:eastAsia="宋体" w:cs="宋体"/>
        </w:rPr>
        <w:t xml:space="preserve">0576-81810806 </w:t>
      </w:r>
    </w:p>
    <w:p w14:paraId="3F76D697">
      <w:pPr>
        <w:widowControl/>
        <w:shd w:val="clear" w:color="auto" w:fill="FFFFFF"/>
        <w:autoSpaceDN w:val="0"/>
        <w:spacing w:line="440" w:lineRule="exact"/>
        <w:ind w:firstLine="420" w:firstLineChars="200"/>
        <w:rPr>
          <w:rFonts w:hint="eastAsia" w:ascii="宋体" w:hAnsi="宋体" w:eastAsia="宋体" w:cs="宋体"/>
          <w:lang w:eastAsia="zh-CN"/>
        </w:rPr>
      </w:pPr>
      <w:r>
        <w:rPr>
          <w:rFonts w:hint="eastAsia" w:ascii="宋体" w:hAnsi="宋体" w:eastAsia="宋体" w:cs="宋体"/>
          <w:szCs w:val="21"/>
          <w:shd w:val="clear" w:color="auto" w:fill="FFFFFF"/>
        </w:rPr>
        <w:t>项目联系人（询问）：戴艳燕、陈金泉、</w:t>
      </w:r>
      <w:r>
        <w:rPr>
          <w:rFonts w:hint="eastAsia" w:ascii="宋体" w:hAnsi="宋体" w:eastAsia="宋体" w:cs="宋体"/>
          <w:szCs w:val="21"/>
          <w:shd w:val="clear" w:color="auto" w:fill="FFFFFF"/>
          <w:lang w:eastAsia="zh-CN"/>
        </w:rPr>
        <w:t>徐茜</w:t>
      </w:r>
    </w:p>
    <w:p w14:paraId="4D132703">
      <w:pPr>
        <w:widowControl/>
        <w:shd w:val="clear" w:color="auto" w:fill="FFFFFF"/>
        <w:autoSpaceDN w:val="0"/>
        <w:spacing w:line="440" w:lineRule="exact"/>
        <w:ind w:firstLine="420" w:firstLineChars="2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项目联系方式（询问）：</w:t>
      </w:r>
      <w:r>
        <w:rPr>
          <w:rFonts w:hint="eastAsia" w:ascii="宋体" w:hAnsi="宋体" w:eastAsia="宋体" w:cs="宋体"/>
        </w:rPr>
        <w:t xml:space="preserve">0576-81810227、18968407875  </w:t>
      </w:r>
    </w:p>
    <w:p w14:paraId="72CC74DB">
      <w:pPr>
        <w:widowControl/>
        <w:shd w:val="clear" w:color="auto" w:fill="FFFFFF"/>
        <w:autoSpaceDN w:val="0"/>
        <w:spacing w:line="440" w:lineRule="exact"/>
        <w:ind w:firstLine="420" w:firstLineChars="200"/>
        <w:rPr>
          <w:rFonts w:hint="eastAsia" w:ascii="宋体" w:hAnsi="宋体" w:eastAsia="宋体" w:cs="宋体"/>
        </w:rPr>
      </w:pPr>
      <w:r>
        <w:rPr>
          <w:rFonts w:hint="eastAsia" w:ascii="宋体" w:hAnsi="宋体" w:eastAsia="宋体" w:cs="宋体"/>
          <w:szCs w:val="21"/>
          <w:shd w:val="clear" w:color="auto" w:fill="FFFFFF"/>
        </w:rPr>
        <w:t>质疑联系人：</w:t>
      </w:r>
      <w:r>
        <w:rPr>
          <w:rFonts w:hint="eastAsia" w:ascii="宋体" w:hAnsi="宋体" w:eastAsia="宋体" w:cs="宋体"/>
        </w:rPr>
        <w:t>刘霞</w:t>
      </w:r>
    </w:p>
    <w:p w14:paraId="28ABDC70">
      <w:pPr>
        <w:widowControl/>
        <w:shd w:val="clear" w:color="auto" w:fill="FFFFFF"/>
        <w:autoSpaceDN w:val="0"/>
        <w:spacing w:line="440" w:lineRule="exact"/>
        <w:ind w:firstLine="420" w:firstLineChars="200"/>
        <w:rPr>
          <w:rFonts w:hint="eastAsia" w:ascii="宋体" w:hAnsi="宋体" w:eastAsia="宋体" w:cs="宋体"/>
        </w:rPr>
      </w:pPr>
      <w:r>
        <w:rPr>
          <w:rFonts w:hint="eastAsia" w:ascii="宋体" w:hAnsi="宋体" w:eastAsia="宋体" w:cs="宋体"/>
          <w:szCs w:val="21"/>
          <w:shd w:val="clear" w:color="auto" w:fill="FFFFFF"/>
        </w:rPr>
        <w:t>质疑联系方式：0576-81810270</w:t>
      </w:r>
    </w:p>
    <w:p w14:paraId="6434774C">
      <w:pPr>
        <w:widowControl/>
        <w:shd w:val="clear" w:color="auto" w:fill="FFFFFF"/>
        <w:autoSpaceDN w:val="0"/>
        <w:spacing w:line="440" w:lineRule="exact"/>
        <w:ind w:firstLine="420" w:firstLineChars="200"/>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3.同级政府采购监督管理部门</w:t>
      </w:r>
    </w:p>
    <w:p w14:paraId="40C6E5C4">
      <w:pPr>
        <w:widowControl/>
        <w:shd w:val="clear" w:color="auto" w:fill="FFFFFF"/>
        <w:autoSpaceDN w:val="0"/>
        <w:spacing w:line="440" w:lineRule="exact"/>
        <w:ind w:firstLine="420" w:firstLineChars="200"/>
        <w:rPr>
          <w:rFonts w:hint="eastAsia" w:ascii="宋体" w:hAnsi="宋体" w:eastAsia="宋体" w:cs="宋体"/>
          <w:bCs/>
          <w:szCs w:val="21"/>
        </w:rPr>
      </w:pPr>
      <w:r>
        <w:rPr>
          <w:rFonts w:hint="eastAsia" w:ascii="宋体" w:hAnsi="宋体" w:eastAsia="宋体" w:cs="宋体"/>
          <w:bCs/>
          <w:szCs w:val="21"/>
        </w:rPr>
        <w:t>名称：台州市椒江区财政局政府采购监管科</w:t>
      </w:r>
    </w:p>
    <w:p w14:paraId="29695D62">
      <w:pPr>
        <w:widowControl/>
        <w:shd w:val="clear" w:color="auto" w:fill="FFFFFF"/>
        <w:autoSpaceDN w:val="0"/>
        <w:spacing w:line="440" w:lineRule="exact"/>
        <w:ind w:firstLine="420" w:firstLineChars="200"/>
        <w:rPr>
          <w:rFonts w:hint="eastAsia" w:ascii="宋体" w:hAnsi="宋体" w:eastAsia="宋体" w:cs="宋体"/>
          <w:bCs/>
          <w:szCs w:val="21"/>
        </w:rPr>
      </w:pPr>
      <w:r>
        <w:rPr>
          <w:rFonts w:hint="eastAsia" w:ascii="宋体" w:hAnsi="宋体" w:eastAsia="宋体" w:cs="宋体"/>
          <w:bCs/>
          <w:szCs w:val="21"/>
        </w:rPr>
        <w:t>地址：台州市椒江区建设路6号</w:t>
      </w:r>
    </w:p>
    <w:p w14:paraId="4A302F86">
      <w:pPr>
        <w:widowControl/>
        <w:shd w:val="clear" w:color="auto" w:fill="FFFFFF"/>
        <w:autoSpaceDN w:val="0"/>
        <w:spacing w:line="440" w:lineRule="exact"/>
        <w:ind w:firstLine="420" w:firstLineChars="200"/>
        <w:rPr>
          <w:rFonts w:hint="eastAsia" w:ascii="宋体" w:hAnsi="宋体" w:eastAsia="宋体" w:cs="宋体"/>
          <w:bCs/>
          <w:szCs w:val="21"/>
        </w:rPr>
      </w:pPr>
      <w:r>
        <w:rPr>
          <w:rFonts w:hint="eastAsia" w:ascii="宋体" w:hAnsi="宋体" w:eastAsia="宋体" w:cs="宋体"/>
          <w:bCs/>
          <w:szCs w:val="21"/>
        </w:rPr>
        <w:t>传真：0576-88225817</w:t>
      </w:r>
    </w:p>
    <w:p w14:paraId="06468225">
      <w:pPr>
        <w:widowControl/>
        <w:shd w:val="clear" w:color="auto" w:fill="FFFFFF"/>
        <w:autoSpaceDN w:val="0"/>
        <w:spacing w:line="440" w:lineRule="exact"/>
        <w:ind w:firstLine="420" w:firstLineChars="200"/>
        <w:rPr>
          <w:rFonts w:hint="eastAsia" w:ascii="宋体" w:hAnsi="宋体" w:eastAsia="宋体" w:cs="宋体"/>
          <w:bCs/>
          <w:szCs w:val="21"/>
        </w:rPr>
      </w:pPr>
      <w:r>
        <w:rPr>
          <w:rFonts w:hint="eastAsia" w:ascii="宋体" w:hAnsi="宋体" w:eastAsia="宋体" w:cs="宋体"/>
          <w:bCs/>
          <w:szCs w:val="21"/>
        </w:rPr>
        <w:t>联系人：李老师</w:t>
      </w:r>
    </w:p>
    <w:p w14:paraId="3DC4F38C">
      <w:pPr>
        <w:widowControl/>
        <w:shd w:val="clear" w:color="auto" w:fill="FFFFFF"/>
        <w:autoSpaceDN w:val="0"/>
        <w:spacing w:line="440" w:lineRule="exact"/>
        <w:ind w:firstLine="420" w:firstLineChars="200"/>
        <w:rPr>
          <w:rFonts w:hint="eastAsia" w:ascii="宋体" w:hAnsi="宋体" w:eastAsia="宋体" w:cs="宋体"/>
          <w:bCs/>
          <w:szCs w:val="21"/>
        </w:rPr>
      </w:pPr>
      <w:r>
        <w:rPr>
          <w:rFonts w:hint="eastAsia" w:ascii="宋体" w:hAnsi="宋体" w:eastAsia="宋体" w:cs="宋体"/>
          <w:bCs/>
          <w:szCs w:val="21"/>
        </w:rPr>
        <w:t xml:space="preserve">监督投诉电话：0576-88225817  </w:t>
      </w:r>
    </w:p>
    <w:p w14:paraId="47C02151">
      <w:pPr>
        <w:widowControl/>
        <w:shd w:val="clear" w:color="auto" w:fill="FFFFFF"/>
        <w:autoSpaceDN w:val="0"/>
        <w:spacing w:line="440" w:lineRule="exact"/>
        <w:rPr>
          <w:rFonts w:hint="eastAsia" w:ascii="宋体" w:hAnsi="宋体" w:eastAsia="宋体" w:cs="宋体"/>
          <w:b/>
          <w:szCs w:val="21"/>
        </w:rPr>
      </w:pPr>
      <w:r>
        <w:rPr>
          <w:rFonts w:hint="eastAsia" w:ascii="宋体" w:hAnsi="宋体" w:eastAsia="宋体" w:cs="宋体"/>
          <w:b/>
          <w:szCs w:val="21"/>
        </w:rPr>
        <w:t>九、成交供应商如有融资需求，可使用以下服务</w:t>
      </w:r>
    </w:p>
    <w:p w14:paraId="30CB0A00">
      <w:pPr>
        <w:pStyle w:val="6"/>
        <w:spacing w:line="440" w:lineRule="exact"/>
        <w:ind w:firstLine="0" w:firstLineChars="0"/>
        <w:jc w:val="center"/>
        <w:rPr>
          <w:rFonts w:hint="eastAsia" w:ascii="宋体" w:hAnsi="宋体" w:cs="宋体"/>
          <w:b/>
          <w:szCs w:val="21"/>
        </w:rPr>
      </w:pPr>
      <w:r>
        <w:rPr>
          <w:rFonts w:hint="eastAsia" w:ascii="宋体" w:hAnsi="宋体" w:cs="宋体"/>
          <w:b/>
          <w:szCs w:val="21"/>
        </w:rPr>
        <w:t>政采贷联系方式</w:t>
      </w:r>
    </w:p>
    <w:tbl>
      <w:tblPr>
        <w:tblStyle w:val="25"/>
        <w:tblW w:w="925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1691"/>
        <w:gridCol w:w="1830"/>
        <w:gridCol w:w="3176"/>
      </w:tblGrid>
      <w:tr w14:paraId="4970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84B7937">
            <w:pPr>
              <w:spacing w:line="440" w:lineRule="exact"/>
              <w:jc w:val="center"/>
              <w:rPr>
                <w:rFonts w:hint="eastAsia" w:ascii="宋体" w:hAnsi="宋体" w:eastAsia="宋体" w:cs="宋体"/>
                <w:szCs w:val="21"/>
              </w:rPr>
            </w:pPr>
            <w:r>
              <w:rPr>
                <w:rFonts w:hint="eastAsia" w:ascii="宋体" w:hAnsi="宋体" w:eastAsia="宋体" w:cs="宋体"/>
                <w:szCs w:val="21"/>
              </w:rPr>
              <w:t>银行</w:t>
            </w:r>
          </w:p>
        </w:tc>
        <w:tc>
          <w:tcPr>
            <w:tcW w:w="1691" w:type="dxa"/>
            <w:vAlign w:val="center"/>
          </w:tcPr>
          <w:p w14:paraId="02761D4F">
            <w:pPr>
              <w:spacing w:line="440" w:lineRule="exact"/>
              <w:jc w:val="center"/>
              <w:rPr>
                <w:rFonts w:hint="eastAsia" w:ascii="宋体" w:hAnsi="宋体" w:eastAsia="宋体" w:cs="宋体"/>
                <w:szCs w:val="21"/>
              </w:rPr>
            </w:pPr>
            <w:r>
              <w:rPr>
                <w:rFonts w:hint="eastAsia" w:ascii="宋体" w:hAnsi="宋体" w:eastAsia="宋体" w:cs="宋体"/>
                <w:szCs w:val="21"/>
              </w:rPr>
              <w:t>贷款年利率</w:t>
            </w:r>
          </w:p>
        </w:tc>
        <w:tc>
          <w:tcPr>
            <w:tcW w:w="1830" w:type="dxa"/>
            <w:vAlign w:val="center"/>
          </w:tcPr>
          <w:p w14:paraId="084F0996">
            <w:pPr>
              <w:spacing w:line="440" w:lineRule="exact"/>
              <w:jc w:val="center"/>
              <w:rPr>
                <w:rFonts w:hint="eastAsia" w:ascii="宋体" w:hAnsi="宋体" w:eastAsia="宋体" w:cs="宋体"/>
                <w:szCs w:val="21"/>
              </w:rPr>
            </w:pPr>
            <w:r>
              <w:rPr>
                <w:rFonts w:hint="eastAsia" w:ascii="宋体" w:hAnsi="宋体" w:eastAsia="宋体" w:cs="宋体"/>
                <w:szCs w:val="21"/>
              </w:rPr>
              <w:t>联系人</w:t>
            </w:r>
          </w:p>
        </w:tc>
        <w:tc>
          <w:tcPr>
            <w:tcW w:w="3176" w:type="dxa"/>
            <w:vAlign w:val="center"/>
          </w:tcPr>
          <w:p w14:paraId="5B2F8793">
            <w:pPr>
              <w:spacing w:line="440" w:lineRule="exact"/>
              <w:jc w:val="center"/>
              <w:rPr>
                <w:rFonts w:hint="eastAsia" w:ascii="宋体" w:hAnsi="宋体" w:eastAsia="宋体" w:cs="宋体"/>
                <w:szCs w:val="21"/>
              </w:rPr>
            </w:pPr>
            <w:r>
              <w:rPr>
                <w:rFonts w:hint="eastAsia" w:ascii="宋体" w:hAnsi="宋体" w:eastAsia="宋体" w:cs="宋体"/>
                <w:szCs w:val="21"/>
              </w:rPr>
              <w:t>联系电话</w:t>
            </w:r>
          </w:p>
        </w:tc>
      </w:tr>
      <w:tr w14:paraId="3A1A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E14C5D0">
            <w:pPr>
              <w:spacing w:line="440" w:lineRule="exact"/>
              <w:jc w:val="center"/>
              <w:rPr>
                <w:rFonts w:hint="eastAsia" w:ascii="宋体" w:hAnsi="宋体" w:eastAsia="宋体" w:cs="宋体"/>
                <w:szCs w:val="21"/>
              </w:rPr>
            </w:pPr>
            <w:r>
              <w:rPr>
                <w:rFonts w:hint="eastAsia" w:ascii="宋体" w:hAnsi="宋体" w:eastAsia="宋体" w:cs="宋体"/>
                <w:szCs w:val="21"/>
              </w:rPr>
              <w:t>中国工商银行</w:t>
            </w:r>
          </w:p>
        </w:tc>
        <w:tc>
          <w:tcPr>
            <w:tcW w:w="1691" w:type="dxa"/>
            <w:vAlign w:val="center"/>
          </w:tcPr>
          <w:p w14:paraId="4DF57D73">
            <w:pPr>
              <w:spacing w:line="440" w:lineRule="exact"/>
              <w:jc w:val="center"/>
              <w:rPr>
                <w:rFonts w:hint="eastAsia" w:ascii="宋体" w:hAnsi="宋体" w:eastAsia="宋体" w:cs="宋体"/>
                <w:szCs w:val="21"/>
              </w:rPr>
            </w:pPr>
            <w:r>
              <w:rPr>
                <w:rFonts w:hint="eastAsia" w:ascii="宋体" w:hAnsi="宋体" w:eastAsia="宋体" w:cs="宋体"/>
                <w:szCs w:val="21"/>
              </w:rPr>
              <w:t>3.8%起</w:t>
            </w:r>
          </w:p>
        </w:tc>
        <w:tc>
          <w:tcPr>
            <w:tcW w:w="1830" w:type="dxa"/>
            <w:vAlign w:val="center"/>
          </w:tcPr>
          <w:p w14:paraId="5DDA8A27">
            <w:pPr>
              <w:spacing w:line="440" w:lineRule="exact"/>
              <w:jc w:val="center"/>
              <w:rPr>
                <w:rFonts w:hint="eastAsia" w:ascii="宋体" w:hAnsi="宋体" w:eastAsia="宋体" w:cs="宋体"/>
                <w:szCs w:val="21"/>
              </w:rPr>
            </w:pPr>
            <w:r>
              <w:rPr>
                <w:rFonts w:hint="eastAsia" w:ascii="宋体" w:hAnsi="宋体" w:eastAsia="宋体" w:cs="宋体"/>
                <w:szCs w:val="21"/>
              </w:rPr>
              <w:t>卢嘉诚</w:t>
            </w:r>
          </w:p>
        </w:tc>
        <w:tc>
          <w:tcPr>
            <w:tcW w:w="3176" w:type="dxa"/>
            <w:vAlign w:val="center"/>
          </w:tcPr>
          <w:p w14:paraId="23F2F128">
            <w:pPr>
              <w:spacing w:line="440" w:lineRule="exact"/>
              <w:jc w:val="center"/>
              <w:rPr>
                <w:rFonts w:hint="eastAsia" w:ascii="宋体" w:hAnsi="宋体" w:eastAsia="宋体" w:cs="宋体"/>
                <w:szCs w:val="21"/>
              </w:rPr>
            </w:pPr>
            <w:r>
              <w:rPr>
                <w:rFonts w:hint="eastAsia" w:ascii="宋体" w:hAnsi="宋体" w:eastAsia="宋体" w:cs="宋体"/>
                <w:szCs w:val="21"/>
              </w:rPr>
              <w:t>13867658508</w:t>
            </w:r>
          </w:p>
        </w:tc>
      </w:tr>
      <w:tr w14:paraId="3E5D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E7F63EA">
            <w:pPr>
              <w:spacing w:line="440" w:lineRule="exact"/>
              <w:jc w:val="center"/>
              <w:rPr>
                <w:rFonts w:hint="eastAsia" w:ascii="宋体" w:hAnsi="宋体" w:eastAsia="宋体" w:cs="宋体"/>
                <w:szCs w:val="21"/>
              </w:rPr>
            </w:pPr>
            <w:r>
              <w:rPr>
                <w:rFonts w:hint="eastAsia" w:ascii="宋体" w:hAnsi="宋体" w:eastAsia="宋体" w:cs="宋体"/>
                <w:szCs w:val="21"/>
              </w:rPr>
              <w:t>中国农业银行</w:t>
            </w:r>
          </w:p>
        </w:tc>
        <w:tc>
          <w:tcPr>
            <w:tcW w:w="1691" w:type="dxa"/>
            <w:vAlign w:val="center"/>
          </w:tcPr>
          <w:p w14:paraId="1828CE85">
            <w:pPr>
              <w:spacing w:line="440" w:lineRule="exact"/>
              <w:jc w:val="center"/>
              <w:rPr>
                <w:rFonts w:hint="eastAsia" w:ascii="宋体" w:hAnsi="宋体" w:eastAsia="宋体" w:cs="宋体"/>
                <w:szCs w:val="21"/>
              </w:rPr>
            </w:pPr>
            <w:r>
              <w:rPr>
                <w:rFonts w:hint="eastAsia" w:ascii="宋体" w:hAnsi="宋体" w:eastAsia="宋体" w:cs="宋体"/>
                <w:szCs w:val="21"/>
              </w:rPr>
              <w:t>3.8%起</w:t>
            </w:r>
          </w:p>
        </w:tc>
        <w:tc>
          <w:tcPr>
            <w:tcW w:w="1830" w:type="dxa"/>
            <w:vAlign w:val="center"/>
          </w:tcPr>
          <w:p w14:paraId="708774DE">
            <w:pPr>
              <w:spacing w:line="440" w:lineRule="exact"/>
              <w:jc w:val="center"/>
              <w:rPr>
                <w:rFonts w:hint="eastAsia" w:ascii="宋体" w:hAnsi="宋体" w:eastAsia="宋体" w:cs="宋体"/>
                <w:szCs w:val="21"/>
              </w:rPr>
            </w:pPr>
            <w:r>
              <w:rPr>
                <w:rFonts w:hint="eastAsia" w:ascii="宋体" w:hAnsi="宋体" w:eastAsia="宋体" w:cs="宋体"/>
                <w:szCs w:val="21"/>
              </w:rPr>
              <w:t>龚盛</w:t>
            </w:r>
          </w:p>
        </w:tc>
        <w:tc>
          <w:tcPr>
            <w:tcW w:w="3176" w:type="dxa"/>
            <w:vAlign w:val="center"/>
          </w:tcPr>
          <w:p w14:paraId="179B5D77">
            <w:pPr>
              <w:spacing w:line="440" w:lineRule="exact"/>
              <w:jc w:val="center"/>
              <w:rPr>
                <w:rFonts w:hint="eastAsia" w:ascii="宋体" w:hAnsi="宋体" w:eastAsia="宋体" w:cs="宋体"/>
                <w:szCs w:val="21"/>
              </w:rPr>
            </w:pPr>
            <w:r>
              <w:rPr>
                <w:rFonts w:hint="eastAsia" w:ascii="宋体" w:hAnsi="宋体" w:eastAsia="宋体" w:cs="宋体"/>
                <w:szCs w:val="21"/>
              </w:rPr>
              <w:t>15858682216</w:t>
            </w:r>
          </w:p>
        </w:tc>
      </w:tr>
      <w:tr w14:paraId="2487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E1CD288">
            <w:pPr>
              <w:spacing w:line="440" w:lineRule="exact"/>
              <w:jc w:val="center"/>
              <w:rPr>
                <w:rFonts w:hint="eastAsia" w:ascii="宋体" w:hAnsi="宋体" w:eastAsia="宋体" w:cs="宋体"/>
                <w:szCs w:val="21"/>
              </w:rPr>
            </w:pPr>
            <w:r>
              <w:rPr>
                <w:rFonts w:hint="eastAsia" w:ascii="宋体" w:hAnsi="宋体" w:eastAsia="宋体" w:cs="宋体"/>
                <w:szCs w:val="21"/>
              </w:rPr>
              <w:t>中国建设银行</w:t>
            </w:r>
          </w:p>
        </w:tc>
        <w:tc>
          <w:tcPr>
            <w:tcW w:w="1691" w:type="dxa"/>
            <w:vAlign w:val="center"/>
          </w:tcPr>
          <w:p w14:paraId="52C562ED">
            <w:pPr>
              <w:spacing w:line="440" w:lineRule="exact"/>
              <w:jc w:val="center"/>
              <w:rPr>
                <w:rFonts w:hint="eastAsia" w:ascii="宋体" w:hAnsi="宋体" w:eastAsia="宋体" w:cs="宋体"/>
                <w:szCs w:val="21"/>
              </w:rPr>
            </w:pPr>
            <w:r>
              <w:rPr>
                <w:rFonts w:hint="eastAsia" w:ascii="宋体" w:hAnsi="宋体" w:eastAsia="宋体" w:cs="宋体"/>
                <w:szCs w:val="21"/>
              </w:rPr>
              <w:t>3.8%起</w:t>
            </w:r>
          </w:p>
        </w:tc>
        <w:tc>
          <w:tcPr>
            <w:tcW w:w="1830" w:type="dxa"/>
            <w:vAlign w:val="center"/>
          </w:tcPr>
          <w:p w14:paraId="79710EC9">
            <w:pPr>
              <w:spacing w:line="440" w:lineRule="exact"/>
              <w:jc w:val="center"/>
              <w:rPr>
                <w:rFonts w:hint="eastAsia" w:ascii="宋体" w:hAnsi="宋体" w:eastAsia="宋体" w:cs="宋体"/>
                <w:szCs w:val="21"/>
              </w:rPr>
            </w:pPr>
            <w:r>
              <w:rPr>
                <w:rFonts w:hint="eastAsia" w:ascii="宋体" w:hAnsi="宋体" w:eastAsia="宋体" w:cs="宋体"/>
                <w:szCs w:val="21"/>
              </w:rPr>
              <w:t>梅晶晶</w:t>
            </w:r>
          </w:p>
        </w:tc>
        <w:tc>
          <w:tcPr>
            <w:tcW w:w="3176" w:type="dxa"/>
            <w:vAlign w:val="center"/>
          </w:tcPr>
          <w:p w14:paraId="01513C6B">
            <w:pPr>
              <w:spacing w:line="440" w:lineRule="exact"/>
              <w:jc w:val="center"/>
              <w:rPr>
                <w:rFonts w:hint="eastAsia" w:ascii="宋体" w:hAnsi="宋体" w:eastAsia="宋体" w:cs="宋体"/>
                <w:szCs w:val="21"/>
              </w:rPr>
            </w:pPr>
            <w:r>
              <w:rPr>
                <w:rFonts w:hint="eastAsia" w:ascii="宋体" w:hAnsi="宋体" w:eastAsia="宋体" w:cs="宋体"/>
                <w:szCs w:val="21"/>
              </w:rPr>
              <w:t>88525339、13736585303</w:t>
            </w:r>
          </w:p>
        </w:tc>
      </w:tr>
      <w:tr w14:paraId="2A76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FD40100">
            <w:pPr>
              <w:jc w:val="center"/>
              <w:rPr>
                <w:rFonts w:hint="eastAsia" w:ascii="宋体" w:hAnsi="宋体" w:eastAsia="宋体" w:cs="宋体"/>
                <w:szCs w:val="21"/>
              </w:rPr>
            </w:pPr>
            <w:r>
              <w:rPr>
                <w:rFonts w:hint="eastAsia" w:ascii="宋体" w:hAnsi="宋体" w:cs="宋体"/>
                <w:sz w:val="24"/>
              </w:rPr>
              <w:t>中国银行</w:t>
            </w:r>
          </w:p>
        </w:tc>
        <w:tc>
          <w:tcPr>
            <w:tcW w:w="1691" w:type="dxa"/>
            <w:vAlign w:val="center"/>
          </w:tcPr>
          <w:p w14:paraId="03375693">
            <w:pPr>
              <w:jc w:val="center"/>
              <w:rPr>
                <w:rFonts w:hint="eastAsia" w:ascii="宋体" w:hAnsi="宋体" w:eastAsia="宋体" w:cs="宋体"/>
                <w:szCs w:val="21"/>
              </w:rPr>
            </w:pPr>
            <w:r>
              <w:rPr>
                <w:rFonts w:hint="eastAsia" w:ascii="宋体" w:hAnsi="宋体" w:cs="宋体"/>
                <w:sz w:val="24"/>
              </w:rPr>
              <w:t>3.75%起</w:t>
            </w:r>
          </w:p>
        </w:tc>
        <w:tc>
          <w:tcPr>
            <w:tcW w:w="1830" w:type="dxa"/>
            <w:vAlign w:val="center"/>
          </w:tcPr>
          <w:p w14:paraId="7D01011E">
            <w:pPr>
              <w:jc w:val="center"/>
              <w:rPr>
                <w:rFonts w:hint="eastAsia" w:ascii="宋体" w:hAnsi="宋体" w:eastAsia="宋体" w:cs="宋体"/>
                <w:szCs w:val="21"/>
              </w:rPr>
            </w:pPr>
            <w:r>
              <w:rPr>
                <w:rFonts w:hint="eastAsia" w:ascii="宋体" w:hAnsi="宋体" w:eastAsia="宋体" w:cs="宋体"/>
                <w:sz w:val="24"/>
              </w:rPr>
              <w:t>王海</w:t>
            </w:r>
          </w:p>
        </w:tc>
        <w:tc>
          <w:tcPr>
            <w:tcW w:w="3176" w:type="dxa"/>
            <w:vAlign w:val="center"/>
          </w:tcPr>
          <w:p w14:paraId="2A94D330">
            <w:pPr>
              <w:jc w:val="center"/>
              <w:rPr>
                <w:rFonts w:hint="eastAsia" w:ascii="宋体" w:hAnsi="宋体" w:eastAsia="宋体" w:cs="宋体"/>
                <w:szCs w:val="21"/>
              </w:rPr>
            </w:pPr>
            <w:r>
              <w:rPr>
                <w:rFonts w:hint="eastAsia" w:ascii="宋体" w:hAnsi="宋体" w:eastAsia="宋体" w:cs="宋体"/>
                <w:sz w:val="24"/>
              </w:rPr>
              <w:t>13857677798</w:t>
            </w:r>
          </w:p>
        </w:tc>
      </w:tr>
      <w:tr w14:paraId="3D16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2554AE78">
            <w:pPr>
              <w:spacing w:line="440" w:lineRule="exact"/>
              <w:jc w:val="center"/>
              <w:rPr>
                <w:rFonts w:hint="eastAsia" w:ascii="宋体" w:hAnsi="宋体" w:eastAsia="宋体" w:cs="宋体"/>
                <w:szCs w:val="21"/>
              </w:rPr>
            </w:pPr>
            <w:r>
              <w:rPr>
                <w:rFonts w:hint="eastAsia" w:ascii="宋体" w:hAnsi="宋体" w:eastAsia="宋体" w:cs="宋体"/>
                <w:szCs w:val="21"/>
              </w:rPr>
              <w:t>浦发银行台州分行</w:t>
            </w:r>
          </w:p>
        </w:tc>
        <w:tc>
          <w:tcPr>
            <w:tcW w:w="1691" w:type="dxa"/>
            <w:vAlign w:val="center"/>
          </w:tcPr>
          <w:p w14:paraId="3CB5F64E">
            <w:pPr>
              <w:spacing w:line="440" w:lineRule="exact"/>
              <w:jc w:val="center"/>
              <w:rPr>
                <w:rFonts w:hint="eastAsia" w:ascii="宋体" w:hAnsi="宋体" w:eastAsia="宋体" w:cs="宋体"/>
                <w:szCs w:val="21"/>
              </w:rPr>
            </w:pPr>
            <w:r>
              <w:rPr>
                <w:rFonts w:hint="eastAsia" w:ascii="宋体" w:hAnsi="宋体" w:eastAsia="宋体" w:cs="宋体"/>
                <w:szCs w:val="21"/>
              </w:rPr>
              <w:t>4.05%起</w:t>
            </w:r>
          </w:p>
        </w:tc>
        <w:tc>
          <w:tcPr>
            <w:tcW w:w="1830" w:type="dxa"/>
            <w:vAlign w:val="center"/>
          </w:tcPr>
          <w:p w14:paraId="2BB6D778">
            <w:pPr>
              <w:spacing w:line="440" w:lineRule="exact"/>
              <w:jc w:val="center"/>
              <w:rPr>
                <w:rFonts w:hint="eastAsia" w:ascii="宋体" w:hAnsi="宋体" w:eastAsia="宋体" w:cs="宋体"/>
                <w:szCs w:val="21"/>
              </w:rPr>
            </w:pPr>
            <w:r>
              <w:rPr>
                <w:rFonts w:hint="eastAsia" w:ascii="宋体" w:hAnsi="宋体" w:eastAsia="宋体" w:cs="宋体"/>
                <w:szCs w:val="21"/>
              </w:rPr>
              <w:t>王渊</w:t>
            </w:r>
          </w:p>
        </w:tc>
        <w:tc>
          <w:tcPr>
            <w:tcW w:w="3176" w:type="dxa"/>
            <w:vAlign w:val="center"/>
          </w:tcPr>
          <w:p w14:paraId="2074D4DD">
            <w:pPr>
              <w:spacing w:line="440" w:lineRule="exact"/>
              <w:jc w:val="center"/>
              <w:rPr>
                <w:rFonts w:hint="eastAsia" w:ascii="宋体" w:hAnsi="宋体" w:eastAsia="宋体" w:cs="宋体"/>
                <w:szCs w:val="21"/>
              </w:rPr>
            </w:pPr>
            <w:r>
              <w:rPr>
                <w:rFonts w:hint="eastAsia" w:ascii="宋体" w:hAnsi="宋体" w:eastAsia="宋体" w:cs="宋体"/>
                <w:szCs w:val="21"/>
              </w:rPr>
              <w:t>13616676319</w:t>
            </w:r>
          </w:p>
        </w:tc>
      </w:tr>
      <w:tr w14:paraId="4A72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2FC00F43">
            <w:pPr>
              <w:spacing w:line="440" w:lineRule="exact"/>
              <w:jc w:val="center"/>
              <w:rPr>
                <w:rFonts w:hint="eastAsia" w:ascii="宋体" w:hAnsi="宋体" w:eastAsia="宋体" w:cs="宋体"/>
                <w:szCs w:val="21"/>
              </w:rPr>
            </w:pPr>
            <w:r>
              <w:rPr>
                <w:rFonts w:hint="eastAsia" w:ascii="宋体" w:hAnsi="宋体" w:eastAsia="宋体" w:cs="宋体"/>
                <w:szCs w:val="21"/>
              </w:rPr>
              <w:t>浦发银行椒江分行</w:t>
            </w:r>
          </w:p>
        </w:tc>
        <w:tc>
          <w:tcPr>
            <w:tcW w:w="1691" w:type="dxa"/>
            <w:vAlign w:val="center"/>
          </w:tcPr>
          <w:p w14:paraId="76165B26">
            <w:pPr>
              <w:spacing w:line="440" w:lineRule="exact"/>
              <w:jc w:val="center"/>
              <w:rPr>
                <w:rFonts w:hint="eastAsia" w:ascii="宋体" w:hAnsi="宋体" w:eastAsia="宋体" w:cs="宋体"/>
                <w:szCs w:val="21"/>
              </w:rPr>
            </w:pPr>
            <w:r>
              <w:rPr>
                <w:rFonts w:hint="eastAsia" w:ascii="宋体" w:hAnsi="宋体" w:eastAsia="宋体" w:cs="宋体"/>
                <w:szCs w:val="21"/>
              </w:rPr>
              <w:t>4.05%起</w:t>
            </w:r>
          </w:p>
        </w:tc>
        <w:tc>
          <w:tcPr>
            <w:tcW w:w="1830" w:type="dxa"/>
            <w:vAlign w:val="center"/>
          </w:tcPr>
          <w:p w14:paraId="52B3AA87">
            <w:pPr>
              <w:spacing w:line="440" w:lineRule="exact"/>
              <w:jc w:val="center"/>
              <w:rPr>
                <w:rFonts w:hint="eastAsia" w:ascii="宋体" w:hAnsi="宋体" w:eastAsia="宋体" w:cs="宋体"/>
                <w:szCs w:val="21"/>
              </w:rPr>
            </w:pPr>
            <w:r>
              <w:rPr>
                <w:rFonts w:hint="eastAsia" w:ascii="宋体" w:hAnsi="宋体" w:eastAsia="宋体" w:cs="宋体"/>
                <w:szCs w:val="21"/>
              </w:rPr>
              <w:t>孙瑞华</w:t>
            </w:r>
          </w:p>
        </w:tc>
        <w:tc>
          <w:tcPr>
            <w:tcW w:w="3176" w:type="dxa"/>
            <w:vAlign w:val="center"/>
          </w:tcPr>
          <w:p w14:paraId="51A1E245">
            <w:pPr>
              <w:spacing w:line="440" w:lineRule="exact"/>
              <w:jc w:val="center"/>
              <w:rPr>
                <w:rFonts w:hint="eastAsia" w:ascii="宋体" w:hAnsi="宋体" w:eastAsia="宋体" w:cs="宋体"/>
                <w:szCs w:val="21"/>
              </w:rPr>
            </w:pPr>
            <w:r>
              <w:rPr>
                <w:rFonts w:hint="eastAsia" w:ascii="宋体" w:hAnsi="宋体" w:eastAsia="宋体" w:cs="宋体"/>
                <w:szCs w:val="21"/>
              </w:rPr>
              <w:t>13857688081</w:t>
            </w:r>
          </w:p>
        </w:tc>
      </w:tr>
      <w:tr w14:paraId="72F4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FF7FDB4">
            <w:pPr>
              <w:spacing w:line="440" w:lineRule="exact"/>
              <w:jc w:val="center"/>
              <w:rPr>
                <w:rFonts w:hint="eastAsia" w:ascii="宋体" w:hAnsi="宋体" w:eastAsia="宋体" w:cs="宋体"/>
                <w:szCs w:val="21"/>
              </w:rPr>
            </w:pPr>
            <w:r>
              <w:rPr>
                <w:rFonts w:hint="eastAsia" w:ascii="宋体" w:hAnsi="宋体" w:eastAsia="宋体" w:cs="宋体"/>
                <w:szCs w:val="21"/>
              </w:rPr>
              <w:t>交通银行台州分行</w:t>
            </w:r>
          </w:p>
        </w:tc>
        <w:tc>
          <w:tcPr>
            <w:tcW w:w="1691" w:type="dxa"/>
            <w:vAlign w:val="center"/>
          </w:tcPr>
          <w:p w14:paraId="07CC9CD7">
            <w:pPr>
              <w:spacing w:line="440" w:lineRule="exact"/>
              <w:jc w:val="center"/>
              <w:rPr>
                <w:rFonts w:hint="eastAsia" w:ascii="宋体" w:hAnsi="宋体" w:eastAsia="宋体" w:cs="宋体"/>
                <w:szCs w:val="21"/>
              </w:rPr>
            </w:pPr>
            <w:r>
              <w:rPr>
                <w:rFonts w:hint="eastAsia" w:ascii="宋体" w:hAnsi="宋体" w:eastAsia="宋体" w:cs="宋体"/>
                <w:szCs w:val="21"/>
              </w:rPr>
              <w:t>3.75%起</w:t>
            </w:r>
          </w:p>
        </w:tc>
        <w:tc>
          <w:tcPr>
            <w:tcW w:w="1830" w:type="dxa"/>
            <w:vAlign w:val="center"/>
          </w:tcPr>
          <w:p w14:paraId="4FA98B4B">
            <w:pPr>
              <w:spacing w:line="440" w:lineRule="exact"/>
              <w:jc w:val="center"/>
              <w:rPr>
                <w:rFonts w:hint="eastAsia" w:ascii="宋体" w:hAnsi="宋体" w:eastAsia="宋体" w:cs="宋体"/>
                <w:szCs w:val="21"/>
              </w:rPr>
            </w:pPr>
            <w:r>
              <w:rPr>
                <w:rFonts w:hint="eastAsia" w:ascii="宋体" w:hAnsi="宋体" w:eastAsia="宋体" w:cs="宋体"/>
                <w:szCs w:val="21"/>
              </w:rPr>
              <w:t>周翔宇</w:t>
            </w:r>
          </w:p>
        </w:tc>
        <w:tc>
          <w:tcPr>
            <w:tcW w:w="3176" w:type="dxa"/>
            <w:vAlign w:val="center"/>
          </w:tcPr>
          <w:p w14:paraId="36519603">
            <w:pPr>
              <w:spacing w:line="440" w:lineRule="exact"/>
              <w:jc w:val="center"/>
              <w:rPr>
                <w:rFonts w:hint="eastAsia" w:ascii="宋体" w:hAnsi="宋体" w:eastAsia="宋体" w:cs="宋体"/>
                <w:szCs w:val="21"/>
              </w:rPr>
            </w:pPr>
            <w:r>
              <w:rPr>
                <w:rFonts w:hint="eastAsia" w:ascii="宋体" w:hAnsi="宋体" w:eastAsia="宋体" w:cs="宋体"/>
                <w:szCs w:val="21"/>
              </w:rPr>
              <w:t>13867697018</w:t>
            </w:r>
          </w:p>
        </w:tc>
      </w:tr>
      <w:tr w14:paraId="4A15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31D53842">
            <w:pPr>
              <w:spacing w:line="440" w:lineRule="exact"/>
              <w:jc w:val="center"/>
              <w:rPr>
                <w:rFonts w:hint="eastAsia" w:ascii="宋体" w:hAnsi="宋体" w:eastAsia="宋体" w:cs="宋体"/>
                <w:szCs w:val="21"/>
              </w:rPr>
            </w:pPr>
            <w:r>
              <w:rPr>
                <w:rFonts w:hint="eastAsia" w:ascii="宋体" w:hAnsi="宋体" w:eastAsia="宋体" w:cs="宋体"/>
                <w:szCs w:val="21"/>
              </w:rPr>
              <w:t>招商银行台州分行</w:t>
            </w:r>
          </w:p>
        </w:tc>
        <w:tc>
          <w:tcPr>
            <w:tcW w:w="1691" w:type="dxa"/>
            <w:vAlign w:val="center"/>
          </w:tcPr>
          <w:p w14:paraId="5BDC09D3">
            <w:pPr>
              <w:spacing w:line="440" w:lineRule="exact"/>
              <w:jc w:val="center"/>
              <w:rPr>
                <w:rFonts w:hint="eastAsia" w:ascii="宋体" w:hAnsi="宋体" w:eastAsia="宋体" w:cs="宋体"/>
                <w:szCs w:val="21"/>
              </w:rPr>
            </w:pPr>
            <w:r>
              <w:rPr>
                <w:rFonts w:hint="eastAsia" w:ascii="宋体" w:hAnsi="宋体" w:eastAsia="宋体" w:cs="宋体"/>
                <w:szCs w:val="21"/>
              </w:rPr>
              <w:t>4.32%起</w:t>
            </w:r>
          </w:p>
        </w:tc>
        <w:tc>
          <w:tcPr>
            <w:tcW w:w="1830" w:type="dxa"/>
            <w:vAlign w:val="center"/>
          </w:tcPr>
          <w:p w14:paraId="2371D94B">
            <w:pPr>
              <w:spacing w:line="440" w:lineRule="exact"/>
              <w:jc w:val="center"/>
              <w:rPr>
                <w:rFonts w:hint="eastAsia" w:ascii="宋体" w:hAnsi="宋体" w:eastAsia="宋体" w:cs="宋体"/>
                <w:szCs w:val="21"/>
              </w:rPr>
            </w:pPr>
            <w:r>
              <w:rPr>
                <w:rFonts w:hint="eastAsia" w:ascii="宋体" w:hAnsi="宋体" w:eastAsia="宋体" w:cs="宋体"/>
                <w:szCs w:val="21"/>
              </w:rPr>
              <w:t>王海玲</w:t>
            </w:r>
          </w:p>
        </w:tc>
        <w:tc>
          <w:tcPr>
            <w:tcW w:w="3176" w:type="dxa"/>
            <w:vAlign w:val="center"/>
          </w:tcPr>
          <w:p w14:paraId="61A9CC77">
            <w:pPr>
              <w:spacing w:line="440" w:lineRule="exact"/>
              <w:jc w:val="center"/>
              <w:rPr>
                <w:rFonts w:hint="eastAsia" w:ascii="宋体" w:hAnsi="宋体" w:eastAsia="宋体" w:cs="宋体"/>
                <w:szCs w:val="21"/>
              </w:rPr>
            </w:pPr>
            <w:r>
              <w:rPr>
                <w:rFonts w:hint="eastAsia" w:ascii="宋体" w:hAnsi="宋体" w:eastAsia="宋体" w:cs="宋体"/>
                <w:szCs w:val="21"/>
              </w:rPr>
              <w:t>13566413827</w:t>
            </w:r>
          </w:p>
        </w:tc>
      </w:tr>
      <w:tr w14:paraId="1076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41E29A4A">
            <w:pPr>
              <w:spacing w:line="440" w:lineRule="exact"/>
              <w:jc w:val="center"/>
              <w:rPr>
                <w:rFonts w:hint="eastAsia" w:ascii="宋体" w:hAnsi="宋体" w:eastAsia="宋体" w:cs="宋体"/>
                <w:szCs w:val="21"/>
              </w:rPr>
            </w:pPr>
            <w:r>
              <w:rPr>
                <w:rFonts w:hint="eastAsia" w:ascii="宋体" w:hAnsi="宋体" w:eastAsia="宋体" w:cs="宋体"/>
                <w:szCs w:val="21"/>
              </w:rPr>
              <w:t>浙商银行台州分行</w:t>
            </w:r>
          </w:p>
        </w:tc>
        <w:tc>
          <w:tcPr>
            <w:tcW w:w="1691" w:type="dxa"/>
            <w:vAlign w:val="center"/>
          </w:tcPr>
          <w:p w14:paraId="2D45D277">
            <w:pPr>
              <w:spacing w:line="440" w:lineRule="exact"/>
              <w:jc w:val="center"/>
              <w:rPr>
                <w:rFonts w:hint="eastAsia" w:ascii="宋体" w:hAnsi="宋体" w:eastAsia="宋体" w:cs="宋体"/>
                <w:szCs w:val="21"/>
              </w:rPr>
            </w:pPr>
            <w:r>
              <w:rPr>
                <w:rFonts w:hint="eastAsia" w:ascii="宋体" w:hAnsi="宋体" w:eastAsia="宋体" w:cs="宋体"/>
                <w:szCs w:val="21"/>
              </w:rPr>
              <w:t>5.01%起</w:t>
            </w:r>
          </w:p>
        </w:tc>
        <w:tc>
          <w:tcPr>
            <w:tcW w:w="1830" w:type="dxa"/>
            <w:vAlign w:val="center"/>
          </w:tcPr>
          <w:p w14:paraId="6AA7E0F1">
            <w:pPr>
              <w:spacing w:line="440" w:lineRule="exact"/>
              <w:jc w:val="center"/>
              <w:rPr>
                <w:rFonts w:hint="eastAsia" w:ascii="宋体" w:hAnsi="宋体" w:eastAsia="宋体" w:cs="宋体"/>
                <w:szCs w:val="21"/>
              </w:rPr>
            </w:pPr>
            <w:r>
              <w:rPr>
                <w:rFonts w:hint="eastAsia" w:ascii="宋体" w:hAnsi="宋体" w:eastAsia="宋体" w:cs="宋体"/>
                <w:szCs w:val="21"/>
              </w:rPr>
              <w:t>章涉漪</w:t>
            </w:r>
          </w:p>
        </w:tc>
        <w:tc>
          <w:tcPr>
            <w:tcW w:w="3176" w:type="dxa"/>
            <w:vAlign w:val="center"/>
          </w:tcPr>
          <w:p w14:paraId="456D62DB">
            <w:pPr>
              <w:spacing w:line="440" w:lineRule="exact"/>
              <w:jc w:val="center"/>
              <w:rPr>
                <w:rFonts w:hint="eastAsia" w:ascii="宋体" w:hAnsi="宋体" w:eastAsia="宋体" w:cs="宋体"/>
                <w:szCs w:val="21"/>
              </w:rPr>
            </w:pPr>
            <w:r>
              <w:rPr>
                <w:rFonts w:hint="eastAsia" w:ascii="宋体" w:hAnsi="宋体" w:eastAsia="宋体" w:cs="宋体"/>
                <w:szCs w:val="21"/>
              </w:rPr>
              <w:t>81880185、13606681262</w:t>
            </w:r>
          </w:p>
        </w:tc>
      </w:tr>
      <w:tr w14:paraId="70DC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21E447AA">
            <w:pPr>
              <w:spacing w:line="440" w:lineRule="exact"/>
              <w:jc w:val="center"/>
              <w:rPr>
                <w:rFonts w:hint="eastAsia" w:ascii="宋体" w:hAnsi="宋体" w:eastAsia="宋体" w:cs="宋体"/>
                <w:szCs w:val="21"/>
              </w:rPr>
            </w:pPr>
            <w:r>
              <w:rPr>
                <w:rFonts w:hint="eastAsia" w:ascii="宋体" w:hAnsi="宋体" w:eastAsia="宋体" w:cs="宋体"/>
                <w:szCs w:val="21"/>
              </w:rPr>
              <w:t>中信银行台州分行</w:t>
            </w:r>
          </w:p>
        </w:tc>
        <w:tc>
          <w:tcPr>
            <w:tcW w:w="1691" w:type="dxa"/>
            <w:vAlign w:val="center"/>
          </w:tcPr>
          <w:p w14:paraId="4D9DFF93">
            <w:pPr>
              <w:spacing w:line="440" w:lineRule="exact"/>
              <w:jc w:val="center"/>
              <w:rPr>
                <w:rFonts w:hint="eastAsia" w:ascii="宋体" w:hAnsi="宋体" w:eastAsia="宋体" w:cs="宋体"/>
                <w:szCs w:val="21"/>
              </w:rPr>
            </w:pPr>
            <w:r>
              <w:rPr>
                <w:rFonts w:hint="eastAsia" w:ascii="宋体" w:hAnsi="宋体" w:eastAsia="宋体" w:cs="宋体"/>
                <w:szCs w:val="21"/>
              </w:rPr>
              <w:t>4.15%起</w:t>
            </w:r>
          </w:p>
        </w:tc>
        <w:tc>
          <w:tcPr>
            <w:tcW w:w="1830" w:type="dxa"/>
            <w:vAlign w:val="center"/>
          </w:tcPr>
          <w:p w14:paraId="41629ACC">
            <w:pPr>
              <w:spacing w:line="440" w:lineRule="exact"/>
              <w:jc w:val="center"/>
              <w:rPr>
                <w:rFonts w:hint="eastAsia" w:ascii="宋体" w:hAnsi="宋体" w:eastAsia="宋体" w:cs="宋体"/>
                <w:szCs w:val="21"/>
              </w:rPr>
            </w:pPr>
            <w:r>
              <w:rPr>
                <w:rFonts w:hint="eastAsia" w:ascii="宋体" w:hAnsi="宋体" w:eastAsia="宋体" w:cs="宋体"/>
                <w:szCs w:val="21"/>
              </w:rPr>
              <w:t>陈金园</w:t>
            </w:r>
          </w:p>
        </w:tc>
        <w:tc>
          <w:tcPr>
            <w:tcW w:w="3176" w:type="dxa"/>
            <w:vAlign w:val="center"/>
          </w:tcPr>
          <w:p w14:paraId="7ED94944">
            <w:pPr>
              <w:spacing w:line="440" w:lineRule="exact"/>
              <w:jc w:val="center"/>
              <w:rPr>
                <w:rFonts w:hint="eastAsia" w:ascii="宋体" w:hAnsi="宋体" w:eastAsia="宋体" w:cs="宋体"/>
                <w:szCs w:val="21"/>
              </w:rPr>
            </w:pPr>
            <w:r>
              <w:rPr>
                <w:rFonts w:hint="eastAsia" w:ascii="宋体" w:hAnsi="宋体" w:eastAsia="宋体" w:cs="宋体"/>
                <w:szCs w:val="21"/>
              </w:rPr>
              <w:t>13586052161</w:t>
            </w:r>
          </w:p>
        </w:tc>
      </w:tr>
      <w:tr w14:paraId="7CD0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5C3E8DFE">
            <w:pPr>
              <w:spacing w:line="440" w:lineRule="exact"/>
              <w:jc w:val="center"/>
              <w:rPr>
                <w:rFonts w:hint="eastAsia" w:ascii="宋体" w:hAnsi="宋体" w:eastAsia="宋体" w:cs="宋体"/>
                <w:szCs w:val="21"/>
              </w:rPr>
            </w:pPr>
            <w:r>
              <w:rPr>
                <w:rFonts w:hint="eastAsia" w:ascii="宋体" w:hAnsi="宋体" w:eastAsia="宋体" w:cs="宋体"/>
                <w:szCs w:val="21"/>
              </w:rPr>
              <w:t>华夏银行台州分行</w:t>
            </w:r>
          </w:p>
        </w:tc>
        <w:tc>
          <w:tcPr>
            <w:tcW w:w="1691" w:type="dxa"/>
            <w:vAlign w:val="center"/>
          </w:tcPr>
          <w:p w14:paraId="66DA3132">
            <w:pPr>
              <w:spacing w:line="440" w:lineRule="exact"/>
              <w:jc w:val="center"/>
              <w:rPr>
                <w:rFonts w:hint="eastAsia" w:ascii="宋体" w:hAnsi="宋体" w:eastAsia="宋体" w:cs="宋体"/>
                <w:szCs w:val="21"/>
              </w:rPr>
            </w:pPr>
            <w:r>
              <w:rPr>
                <w:rFonts w:hint="eastAsia" w:ascii="宋体" w:hAnsi="宋体" w:eastAsia="宋体" w:cs="宋体"/>
                <w:szCs w:val="21"/>
              </w:rPr>
              <w:t>4.5%起</w:t>
            </w:r>
          </w:p>
        </w:tc>
        <w:tc>
          <w:tcPr>
            <w:tcW w:w="1830" w:type="dxa"/>
            <w:vAlign w:val="center"/>
          </w:tcPr>
          <w:p w14:paraId="5B9E48E4">
            <w:pPr>
              <w:spacing w:line="440" w:lineRule="exact"/>
              <w:jc w:val="center"/>
              <w:rPr>
                <w:rFonts w:hint="eastAsia" w:ascii="宋体" w:hAnsi="宋体" w:eastAsia="宋体" w:cs="宋体"/>
                <w:szCs w:val="21"/>
              </w:rPr>
            </w:pPr>
            <w:r>
              <w:rPr>
                <w:rFonts w:hint="eastAsia" w:ascii="宋体" w:hAnsi="宋体" w:eastAsia="宋体" w:cs="宋体"/>
                <w:szCs w:val="21"/>
              </w:rPr>
              <w:t>邱明达</w:t>
            </w:r>
          </w:p>
        </w:tc>
        <w:tc>
          <w:tcPr>
            <w:tcW w:w="3176" w:type="dxa"/>
            <w:vAlign w:val="center"/>
          </w:tcPr>
          <w:p w14:paraId="625F4B16">
            <w:pPr>
              <w:spacing w:line="440" w:lineRule="exact"/>
              <w:jc w:val="center"/>
              <w:rPr>
                <w:rFonts w:hint="eastAsia" w:ascii="宋体" w:hAnsi="宋体" w:eastAsia="宋体" w:cs="宋体"/>
                <w:szCs w:val="21"/>
              </w:rPr>
            </w:pPr>
            <w:r>
              <w:rPr>
                <w:rFonts w:hint="eastAsia" w:ascii="宋体" w:hAnsi="宋体" w:eastAsia="宋体" w:cs="宋体"/>
                <w:szCs w:val="21"/>
              </w:rPr>
              <w:t>81871518、13736252233</w:t>
            </w:r>
          </w:p>
        </w:tc>
      </w:tr>
      <w:tr w14:paraId="4A75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64C9CDBE">
            <w:pPr>
              <w:spacing w:line="440" w:lineRule="exact"/>
              <w:jc w:val="center"/>
              <w:rPr>
                <w:rFonts w:hint="eastAsia" w:ascii="宋体" w:hAnsi="宋体" w:eastAsia="宋体" w:cs="宋体"/>
                <w:szCs w:val="21"/>
              </w:rPr>
            </w:pPr>
            <w:r>
              <w:rPr>
                <w:rFonts w:hint="eastAsia" w:ascii="宋体" w:hAnsi="宋体" w:eastAsia="宋体" w:cs="宋体"/>
                <w:szCs w:val="21"/>
              </w:rPr>
              <w:t>泰隆银行开发区支行</w:t>
            </w:r>
          </w:p>
        </w:tc>
        <w:tc>
          <w:tcPr>
            <w:tcW w:w="1691" w:type="dxa"/>
            <w:vAlign w:val="center"/>
          </w:tcPr>
          <w:p w14:paraId="2CE6E557">
            <w:pPr>
              <w:spacing w:line="440" w:lineRule="exact"/>
              <w:jc w:val="center"/>
              <w:rPr>
                <w:rFonts w:hint="eastAsia" w:ascii="宋体" w:hAnsi="宋体" w:eastAsia="宋体" w:cs="宋体"/>
                <w:szCs w:val="21"/>
              </w:rPr>
            </w:pPr>
            <w:r>
              <w:rPr>
                <w:rFonts w:hint="eastAsia" w:ascii="宋体" w:hAnsi="宋体" w:eastAsia="宋体" w:cs="宋体"/>
                <w:szCs w:val="21"/>
              </w:rPr>
              <w:t>5.6%起</w:t>
            </w:r>
          </w:p>
        </w:tc>
        <w:tc>
          <w:tcPr>
            <w:tcW w:w="1830" w:type="dxa"/>
            <w:vAlign w:val="center"/>
          </w:tcPr>
          <w:p w14:paraId="30F902FD">
            <w:pPr>
              <w:spacing w:line="440" w:lineRule="exact"/>
              <w:jc w:val="center"/>
              <w:rPr>
                <w:rFonts w:hint="eastAsia" w:ascii="宋体" w:hAnsi="宋体" w:eastAsia="宋体" w:cs="宋体"/>
                <w:szCs w:val="21"/>
              </w:rPr>
            </w:pPr>
            <w:r>
              <w:rPr>
                <w:rFonts w:hint="eastAsia" w:ascii="宋体" w:hAnsi="宋体" w:eastAsia="宋体" w:cs="宋体"/>
                <w:szCs w:val="21"/>
              </w:rPr>
              <w:t>梁宛莉</w:t>
            </w:r>
          </w:p>
        </w:tc>
        <w:tc>
          <w:tcPr>
            <w:tcW w:w="3176" w:type="dxa"/>
            <w:vAlign w:val="center"/>
          </w:tcPr>
          <w:p w14:paraId="5BF46938">
            <w:pPr>
              <w:spacing w:line="440" w:lineRule="exact"/>
              <w:jc w:val="center"/>
              <w:rPr>
                <w:rFonts w:hint="eastAsia" w:ascii="宋体" w:hAnsi="宋体" w:eastAsia="宋体" w:cs="宋体"/>
                <w:szCs w:val="21"/>
              </w:rPr>
            </w:pPr>
            <w:r>
              <w:rPr>
                <w:rFonts w:hint="eastAsia" w:ascii="宋体" w:hAnsi="宋体" w:eastAsia="宋体" w:cs="宋体"/>
                <w:szCs w:val="21"/>
              </w:rPr>
              <w:t>13306869100</w:t>
            </w:r>
          </w:p>
        </w:tc>
      </w:tr>
      <w:tr w14:paraId="6569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484B296">
            <w:pPr>
              <w:spacing w:line="440" w:lineRule="exact"/>
              <w:jc w:val="center"/>
              <w:rPr>
                <w:rFonts w:hint="eastAsia" w:ascii="宋体" w:hAnsi="宋体" w:eastAsia="宋体" w:cs="宋体"/>
                <w:szCs w:val="21"/>
              </w:rPr>
            </w:pPr>
            <w:r>
              <w:rPr>
                <w:rFonts w:hint="eastAsia" w:ascii="宋体" w:hAnsi="宋体" w:eastAsia="宋体" w:cs="宋体"/>
                <w:szCs w:val="21"/>
              </w:rPr>
              <w:t>民泰银行椒江支行</w:t>
            </w:r>
          </w:p>
        </w:tc>
        <w:tc>
          <w:tcPr>
            <w:tcW w:w="1691" w:type="dxa"/>
            <w:vAlign w:val="center"/>
          </w:tcPr>
          <w:p w14:paraId="41C3D8CB">
            <w:pPr>
              <w:spacing w:line="440" w:lineRule="exact"/>
              <w:jc w:val="center"/>
              <w:rPr>
                <w:rFonts w:hint="eastAsia" w:ascii="宋体" w:hAnsi="宋体" w:eastAsia="宋体" w:cs="宋体"/>
                <w:szCs w:val="21"/>
              </w:rPr>
            </w:pPr>
            <w:r>
              <w:rPr>
                <w:rFonts w:hint="eastAsia" w:ascii="宋体" w:hAnsi="宋体" w:eastAsia="宋体" w:cs="宋体"/>
                <w:szCs w:val="21"/>
              </w:rPr>
              <w:t>5.8%起</w:t>
            </w:r>
          </w:p>
        </w:tc>
        <w:tc>
          <w:tcPr>
            <w:tcW w:w="1830" w:type="dxa"/>
            <w:vAlign w:val="center"/>
          </w:tcPr>
          <w:p w14:paraId="1160B559">
            <w:pPr>
              <w:spacing w:line="440" w:lineRule="exact"/>
              <w:jc w:val="center"/>
              <w:rPr>
                <w:rFonts w:hint="eastAsia" w:ascii="宋体" w:hAnsi="宋体" w:eastAsia="宋体" w:cs="宋体"/>
                <w:szCs w:val="21"/>
              </w:rPr>
            </w:pPr>
            <w:r>
              <w:rPr>
                <w:rFonts w:hint="eastAsia" w:ascii="宋体" w:hAnsi="宋体" w:eastAsia="宋体" w:cs="宋体"/>
                <w:szCs w:val="21"/>
              </w:rPr>
              <w:t>陈慧珠</w:t>
            </w:r>
          </w:p>
        </w:tc>
        <w:tc>
          <w:tcPr>
            <w:tcW w:w="3176" w:type="dxa"/>
            <w:vAlign w:val="center"/>
          </w:tcPr>
          <w:p w14:paraId="4619C364">
            <w:pPr>
              <w:spacing w:line="440" w:lineRule="exact"/>
              <w:jc w:val="center"/>
              <w:rPr>
                <w:rFonts w:hint="eastAsia" w:ascii="宋体" w:hAnsi="宋体" w:eastAsia="宋体" w:cs="宋体"/>
                <w:szCs w:val="21"/>
              </w:rPr>
            </w:pPr>
            <w:r>
              <w:rPr>
                <w:rFonts w:hint="eastAsia" w:ascii="宋体" w:hAnsi="宋体" w:eastAsia="宋体" w:cs="宋体"/>
                <w:szCs w:val="21"/>
              </w:rPr>
              <w:t>13857699669</w:t>
            </w:r>
          </w:p>
        </w:tc>
      </w:tr>
      <w:tr w14:paraId="31A4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2105A93A">
            <w:pPr>
              <w:spacing w:line="440" w:lineRule="exact"/>
              <w:jc w:val="center"/>
              <w:rPr>
                <w:rFonts w:hint="eastAsia" w:ascii="宋体" w:hAnsi="宋体" w:eastAsia="宋体" w:cs="宋体"/>
                <w:szCs w:val="21"/>
              </w:rPr>
            </w:pPr>
            <w:r>
              <w:rPr>
                <w:rFonts w:hint="eastAsia" w:ascii="宋体" w:hAnsi="宋体" w:eastAsia="宋体" w:cs="宋体"/>
                <w:szCs w:val="21"/>
              </w:rPr>
              <w:t>绍兴银行台州分行</w:t>
            </w:r>
          </w:p>
        </w:tc>
        <w:tc>
          <w:tcPr>
            <w:tcW w:w="1691" w:type="dxa"/>
            <w:vAlign w:val="center"/>
          </w:tcPr>
          <w:p w14:paraId="7139E591">
            <w:pPr>
              <w:spacing w:line="440" w:lineRule="exact"/>
              <w:jc w:val="center"/>
              <w:rPr>
                <w:rFonts w:hint="eastAsia" w:ascii="宋体" w:hAnsi="宋体" w:eastAsia="宋体" w:cs="宋体"/>
                <w:szCs w:val="21"/>
              </w:rPr>
            </w:pPr>
            <w:r>
              <w:rPr>
                <w:rFonts w:hint="eastAsia" w:ascii="宋体" w:hAnsi="宋体" w:eastAsia="宋体" w:cs="宋体"/>
                <w:szCs w:val="21"/>
              </w:rPr>
              <w:t>5.1%起</w:t>
            </w:r>
          </w:p>
        </w:tc>
        <w:tc>
          <w:tcPr>
            <w:tcW w:w="1830" w:type="dxa"/>
            <w:vAlign w:val="center"/>
          </w:tcPr>
          <w:p w14:paraId="5528E12A">
            <w:pPr>
              <w:spacing w:line="440" w:lineRule="exact"/>
              <w:jc w:val="center"/>
              <w:rPr>
                <w:rFonts w:hint="eastAsia" w:ascii="宋体" w:hAnsi="宋体" w:eastAsia="宋体" w:cs="宋体"/>
                <w:szCs w:val="21"/>
              </w:rPr>
            </w:pPr>
            <w:r>
              <w:rPr>
                <w:rFonts w:hint="eastAsia" w:ascii="宋体" w:hAnsi="宋体" w:eastAsia="宋体" w:cs="宋体"/>
                <w:szCs w:val="21"/>
              </w:rPr>
              <w:t>郭庭斌</w:t>
            </w:r>
          </w:p>
        </w:tc>
        <w:tc>
          <w:tcPr>
            <w:tcW w:w="3176" w:type="dxa"/>
            <w:vAlign w:val="center"/>
          </w:tcPr>
          <w:p w14:paraId="1C52DAE8">
            <w:pPr>
              <w:spacing w:line="440" w:lineRule="exact"/>
              <w:jc w:val="center"/>
              <w:rPr>
                <w:rFonts w:hint="eastAsia" w:ascii="宋体" w:hAnsi="宋体" w:eastAsia="宋体" w:cs="宋体"/>
                <w:szCs w:val="21"/>
              </w:rPr>
            </w:pPr>
            <w:r>
              <w:rPr>
                <w:rFonts w:hint="eastAsia" w:ascii="宋体" w:hAnsi="宋体" w:eastAsia="宋体" w:cs="宋体"/>
                <w:szCs w:val="21"/>
              </w:rPr>
              <w:t>15958633119</w:t>
            </w:r>
          </w:p>
        </w:tc>
      </w:tr>
      <w:tr w14:paraId="02D7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713D200">
            <w:pPr>
              <w:spacing w:line="440" w:lineRule="exact"/>
              <w:jc w:val="center"/>
              <w:rPr>
                <w:rFonts w:hint="eastAsia" w:ascii="宋体" w:hAnsi="宋体" w:eastAsia="宋体" w:cs="宋体"/>
                <w:szCs w:val="21"/>
              </w:rPr>
            </w:pPr>
            <w:r>
              <w:rPr>
                <w:rFonts w:hint="eastAsia" w:ascii="宋体" w:hAnsi="宋体" w:eastAsia="宋体" w:cs="宋体"/>
                <w:szCs w:val="21"/>
              </w:rPr>
              <w:t>温州银行台州分行</w:t>
            </w:r>
          </w:p>
        </w:tc>
        <w:tc>
          <w:tcPr>
            <w:tcW w:w="1691" w:type="dxa"/>
            <w:vAlign w:val="center"/>
          </w:tcPr>
          <w:p w14:paraId="6E6C1A9F">
            <w:pPr>
              <w:spacing w:line="440" w:lineRule="exact"/>
              <w:jc w:val="center"/>
              <w:rPr>
                <w:rFonts w:hint="eastAsia" w:ascii="宋体" w:hAnsi="宋体" w:eastAsia="宋体" w:cs="宋体"/>
                <w:szCs w:val="21"/>
              </w:rPr>
            </w:pPr>
            <w:r>
              <w:rPr>
                <w:rFonts w:hint="eastAsia" w:ascii="宋体" w:hAnsi="宋体" w:eastAsia="宋体" w:cs="宋体"/>
                <w:szCs w:val="21"/>
              </w:rPr>
              <w:t>4.55%起</w:t>
            </w:r>
          </w:p>
        </w:tc>
        <w:tc>
          <w:tcPr>
            <w:tcW w:w="1830" w:type="dxa"/>
            <w:vAlign w:val="center"/>
          </w:tcPr>
          <w:p w14:paraId="444630AF">
            <w:pPr>
              <w:spacing w:line="440" w:lineRule="exact"/>
              <w:jc w:val="center"/>
              <w:rPr>
                <w:rFonts w:hint="eastAsia" w:ascii="宋体" w:hAnsi="宋体" w:eastAsia="宋体" w:cs="宋体"/>
                <w:szCs w:val="21"/>
              </w:rPr>
            </w:pPr>
            <w:r>
              <w:rPr>
                <w:rFonts w:hint="eastAsia" w:ascii="宋体" w:hAnsi="宋体" w:eastAsia="宋体" w:cs="宋体"/>
                <w:szCs w:val="21"/>
              </w:rPr>
              <w:t>王晓波</w:t>
            </w:r>
          </w:p>
        </w:tc>
        <w:tc>
          <w:tcPr>
            <w:tcW w:w="3176" w:type="dxa"/>
            <w:vAlign w:val="center"/>
          </w:tcPr>
          <w:p w14:paraId="53C68B34">
            <w:pPr>
              <w:spacing w:line="440" w:lineRule="exact"/>
              <w:jc w:val="center"/>
              <w:rPr>
                <w:rFonts w:hint="eastAsia" w:ascii="宋体" w:hAnsi="宋体" w:eastAsia="宋体" w:cs="宋体"/>
                <w:szCs w:val="21"/>
              </w:rPr>
            </w:pPr>
            <w:r>
              <w:rPr>
                <w:rFonts w:hint="eastAsia" w:ascii="宋体" w:hAnsi="宋体" w:eastAsia="宋体" w:cs="宋体"/>
                <w:szCs w:val="21"/>
              </w:rPr>
              <w:t>15824005475</w:t>
            </w:r>
          </w:p>
        </w:tc>
      </w:tr>
      <w:tr w14:paraId="21ED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66801BB">
            <w:pPr>
              <w:spacing w:line="440" w:lineRule="exact"/>
              <w:jc w:val="center"/>
              <w:rPr>
                <w:rFonts w:hint="eastAsia" w:ascii="宋体" w:hAnsi="宋体" w:eastAsia="宋体" w:cs="宋体"/>
                <w:szCs w:val="21"/>
              </w:rPr>
            </w:pPr>
            <w:r>
              <w:rPr>
                <w:rFonts w:hint="eastAsia" w:ascii="宋体" w:hAnsi="宋体" w:eastAsia="宋体" w:cs="宋体"/>
                <w:szCs w:val="21"/>
              </w:rPr>
              <w:t>平安银行台州分行</w:t>
            </w:r>
          </w:p>
        </w:tc>
        <w:tc>
          <w:tcPr>
            <w:tcW w:w="1691" w:type="dxa"/>
            <w:vAlign w:val="center"/>
          </w:tcPr>
          <w:p w14:paraId="2F1731C3">
            <w:pPr>
              <w:spacing w:line="440" w:lineRule="exact"/>
              <w:jc w:val="center"/>
              <w:rPr>
                <w:rFonts w:hint="eastAsia" w:ascii="宋体" w:hAnsi="宋体" w:eastAsia="宋体" w:cs="宋体"/>
                <w:szCs w:val="21"/>
              </w:rPr>
            </w:pPr>
            <w:r>
              <w:rPr>
                <w:rFonts w:hint="eastAsia" w:ascii="宋体" w:hAnsi="宋体" w:eastAsia="宋体" w:cs="宋体"/>
                <w:szCs w:val="21"/>
              </w:rPr>
              <w:t>6.53%起</w:t>
            </w:r>
          </w:p>
        </w:tc>
        <w:tc>
          <w:tcPr>
            <w:tcW w:w="1830" w:type="dxa"/>
            <w:vAlign w:val="center"/>
          </w:tcPr>
          <w:p w14:paraId="27DCD39E">
            <w:pPr>
              <w:spacing w:line="440" w:lineRule="exact"/>
              <w:jc w:val="center"/>
              <w:rPr>
                <w:rFonts w:hint="eastAsia" w:ascii="宋体" w:hAnsi="宋体" w:eastAsia="宋体" w:cs="宋体"/>
                <w:szCs w:val="21"/>
              </w:rPr>
            </w:pPr>
            <w:r>
              <w:rPr>
                <w:rFonts w:hint="eastAsia" w:ascii="宋体" w:hAnsi="宋体" w:eastAsia="宋体" w:cs="宋体"/>
                <w:szCs w:val="21"/>
              </w:rPr>
              <w:t>李俊丽</w:t>
            </w:r>
          </w:p>
        </w:tc>
        <w:tc>
          <w:tcPr>
            <w:tcW w:w="3176" w:type="dxa"/>
            <w:vAlign w:val="center"/>
          </w:tcPr>
          <w:p w14:paraId="5DAF1CB4">
            <w:pPr>
              <w:spacing w:line="440" w:lineRule="exact"/>
              <w:jc w:val="center"/>
              <w:rPr>
                <w:rFonts w:hint="eastAsia" w:ascii="宋体" w:hAnsi="宋体" w:eastAsia="宋体" w:cs="宋体"/>
                <w:szCs w:val="21"/>
              </w:rPr>
            </w:pPr>
            <w:r>
              <w:rPr>
                <w:rFonts w:hint="eastAsia" w:ascii="宋体" w:hAnsi="宋体" w:eastAsia="宋体" w:cs="宋体"/>
                <w:szCs w:val="21"/>
              </w:rPr>
              <w:t>15906861035</w:t>
            </w:r>
          </w:p>
        </w:tc>
      </w:tr>
      <w:tr w14:paraId="483C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DA9195B">
            <w:pPr>
              <w:spacing w:line="440" w:lineRule="exact"/>
              <w:jc w:val="center"/>
              <w:rPr>
                <w:rFonts w:hint="eastAsia" w:ascii="宋体" w:hAnsi="宋体" w:eastAsia="宋体" w:cs="宋体"/>
                <w:szCs w:val="21"/>
              </w:rPr>
            </w:pPr>
            <w:r>
              <w:rPr>
                <w:rFonts w:hint="eastAsia" w:ascii="宋体" w:hAnsi="宋体" w:eastAsia="宋体" w:cs="宋体"/>
                <w:szCs w:val="21"/>
              </w:rPr>
              <w:t>宁波银行台州分行</w:t>
            </w:r>
          </w:p>
        </w:tc>
        <w:tc>
          <w:tcPr>
            <w:tcW w:w="1691" w:type="dxa"/>
            <w:vAlign w:val="center"/>
          </w:tcPr>
          <w:p w14:paraId="7B3E7B57">
            <w:pPr>
              <w:spacing w:line="440" w:lineRule="exact"/>
              <w:jc w:val="center"/>
              <w:rPr>
                <w:rFonts w:hint="eastAsia" w:ascii="宋体" w:hAnsi="宋体" w:eastAsia="宋体" w:cs="宋体"/>
                <w:szCs w:val="21"/>
              </w:rPr>
            </w:pPr>
            <w:r>
              <w:rPr>
                <w:rFonts w:hint="eastAsia" w:ascii="宋体" w:hAnsi="宋体" w:eastAsia="宋体" w:cs="宋体"/>
                <w:szCs w:val="21"/>
              </w:rPr>
              <w:t>4.35%起</w:t>
            </w:r>
          </w:p>
        </w:tc>
        <w:tc>
          <w:tcPr>
            <w:tcW w:w="1830" w:type="dxa"/>
            <w:vAlign w:val="center"/>
          </w:tcPr>
          <w:p w14:paraId="270EBD28">
            <w:pPr>
              <w:spacing w:line="440" w:lineRule="exact"/>
              <w:jc w:val="center"/>
              <w:rPr>
                <w:rFonts w:hint="eastAsia" w:ascii="宋体" w:hAnsi="宋体" w:eastAsia="宋体" w:cs="宋体"/>
                <w:szCs w:val="21"/>
              </w:rPr>
            </w:pPr>
            <w:r>
              <w:rPr>
                <w:rFonts w:hint="eastAsia" w:ascii="宋体" w:hAnsi="宋体" w:eastAsia="宋体" w:cs="宋体"/>
                <w:szCs w:val="21"/>
              </w:rPr>
              <w:t>戴莉丽</w:t>
            </w:r>
          </w:p>
        </w:tc>
        <w:tc>
          <w:tcPr>
            <w:tcW w:w="3176" w:type="dxa"/>
            <w:vAlign w:val="center"/>
          </w:tcPr>
          <w:p w14:paraId="7B7B6771">
            <w:pPr>
              <w:spacing w:line="440" w:lineRule="exact"/>
              <w:jc w:val="center"/>
              <w:rPr>
                <w:rFonts w:hint="eastAsia" w:ascii="宋体" w:hAnsi="宋体" w:eastAsia="宋体" w:cs="宋体"/>
                <w:szCs w:val="21"/>
              </w:rPr>
            </w:pPr>
            <w:r>
              <w:rPr>
                <w:rFonts w:hint="eastAsia" w:ascii="宋体" w:hAnsi="宋体" w:eastAsia="宋体" w:cs="宋体"/>
                <w:szCs w:val="21"/>
              </w:rPr>
              <w:t>13566627207</w:t>
            </w:r>
          </w:p>
        </w:tc>
      </w:tr>
      <w:tr w14:paraId="244F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4E06254B">
            <w:pPr>
              <w:spacing w:line="440" w:lineRule="exact"/>
              <w:jc w:val="center"/>
              <w:rPr>
                <w:rFonts w:hint="eastAsia" w:ascii="宋体" w:hAnsi="宋体" w:eastAsia="宋体" w:cs="宋体"/>
                <w:szCs w:val="21"/>
              </w:rPr>
            </w:pPr>
            <w:r>
              <w:rPr>
                <w:rFonts w:hint="eastAsia" w:ascii="宋体" w:hAnsi="宋体" w:eastAsia="宋体" w:cs="宋体"/>
                <w:szCs w:val="21"/>
              </w:rPr>
              <w:t>金华银行台州分行</w:t>
            </w:r>
          </w:p>
        </w:tc>
        <w:tc>
          <w:tcPr>
            <w:tcW w:w="1691" w:type="dxa"/>
            <w:vAlign w:val="center"/>
          </w:tcPr>
          <w:p w14:paraId="5CD1944C">
            <w:pPr>
              <w:spacing w:line="440" w:lineRule="exact"/>
              <w:jc w:val="center"/>
              <w:rPr>
                <w:rFonts w:hint="eastAsia" w:ascii="宋体" w:hAnsi="宋体" w:eastAsia="宋体" w:cs="宋体"/>
                <w:szCs w:val="21"/>
              </w:rPr>
            </w:pPr>
            <w:r>
              <w:rPr>
                <w:rFonts w:hint="eastAsia" w:ascii="宋体" w:hAnsi="宋体" w:eastAsia="宋体" w:cs="宋体"/>
                <w:szCs w:val="21"/>
              </w:rPr>
              <w:t>4.05%起</w:t>
            </w:r>
          </w:p>
        </w:tc>
        <w:tc>
          <w:tcPr>
            <w:tcW w:w="1830" w:type="dxa"/>
            <w:vAlign w:val="center"/>
          </w:tcPr>
          <w:p w14:paraId="6F331095">
            <w:pPr>
              <w:spacing w:line="440" w:lineRule="exact"/>
              <w:jc w:val="center"/>
              <w:rPr>
                <w:rFonts w:hint="eastAsia" w:ascii="宋体" w:hAnsi="宋体" w:eastAsia="宋体" w:cs="宋体"/>
                <w:szCs w:val="21"/>
              </w:rPr>
            </w:pPr>
            <w:r>
              <w:rPr>
                <w:rFonts w:hint="eastAsia" w:ascii="宋体" w:hAnsi="宋体" w:eastAsia="宋体" w:cs="宋体"/>
                <w:szCs w:val="21"/>
              </w:rPr>
              <w:t>金雪婷</w:t>
            </w:r>
          </w:p>
        </w:tc>
        <w:tc>
          <w:tcPr>
            <w:tcW w:w="3176" w:type="dxa"/>
            <w:vAlign w:val="center"/>
          </w:tcPr>
          <w:p w14:paraId="15101054">
            <w:pPr>
              <w:spacing w:line="440" w:lineRule="exact"/>
              <w:jc w:val="center"/>
              <w:rPr>
                <w:rFonts w:hint="eastAsia" w:ascii="宋体" w:hAnsi="宋体" w:eastAsia="宋体" w:cs="宋体"/>
                <w:szCs w:val="21"/>
              </w:rPr>
            </w:pPr>
            <w:r>
              <w:rPr>
                <w:rFonts w:hint="eastAsia" w:ascii="宋体" w:hAnsi="宋体" w:eastAsia="宋体" w:cs="宋体"/>
                <w:szCs w:val="21"/>
              </w:rPr>
              <w:t>81886670、15968661569</w:t>
            </w:r>
          </w:p>
        </w:tc>
      </w:tr>
      <w:tr w14:paraId="1570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B4E63CF">
            <w:pPr>
              <w:spacing w:line="440" w:lineRule="exact"/>
              <w:jc w:val="center"/>
              <w:rPr>
                <w:rFonts w:hint="eastAsia" w:ascii="宋体" w:hAnsi="宋体" w:eastAsia="宋体" w:cs="宋体"/>
                <w:szCs w:val="21"/>
              </w:rPr>
            </w:pPr>
            <w:r>
              <w:rPr>
                <w:rFonts w:hint="eastAsia" w:ascii="宋体" w:hAnsi="宋体" w:eastAsia="宋体" w:cs="宋体"/>
                <w:szCs w:val="21"/>
              </w:rPr>
              <w:t>台州银行</w:t>
            </w:r>
          </w:p>
        </w:tc>
        <w:tc>
          <w:tcPr>
            <w:tcW w:w="1691" w:type="dxa"/>
            <w:vAlign w:val="center"/>
          </w:tcPr>
          <w:p w14:paraId="5957B31F">
            <w:pPr>
              <w:spacing w:line="440" w:lineRule="exact"/>
              <w:jc w:val="center"/>
              <w:rPr>
                <w:rFonts w:hint="eastAsia" w:ascii="宋体" w:hAnsi="宋体" w:eastAsia="宋体" w:cs="宋体"/>
                <w:szCs w:val="21"/>
              </w:rPr>
            </w:pPr>
            <w:r>
              <w:rPr>
                <w:rFonts w:hint="eastAsia" w:ascii="宋体" w:hAnsi="宋体" w:eastAsia="宋体" w:cs="宋体"/>
                <w:szCs w:val="21"/>
              </w:rPr>
              <w:t>5.6%起</w:t>
            </w:r>
          </w:p>
        </w:tc>
        <w:tc>
          <w:tcPr>
            <w:tcW w:w="1830" w:type="dxa"/>
            <w:vAlign w:val="center"/>
          </w:tcPr>
          <w:p w14:paraId="147F8B93">
            <w:pPr>
              <w:spacing w:line="440" w:lineRule="exact"/>
              <w:jc w:val="center"/>
              <w:rPr>
                <w:rFonts w:hint="eastAsia" w:ascii="宋体" w:hAnsi="宋体" w:eastAsia="宋体" w:cs="宋体"/>
                <w:szCs w:val="21"/>
              </w:rPr>
            </w:pPr>
            <w:r>
              <w:rPr>
                <w:rFonts w:hint="eastAsia" w:ascii="宋体" w:hAnsi="宋体" w:eastAsia="宋体" w:cs="宋体"/>
                <w:szCs w:val="21"/>
              </w:rPr>
              <w:t>洪婷</w:t>
            </w:r>
          </w:p>
        </w:tc>
        <w:tc>
          <w:tcPr>
            <w:tcW w:w="3176" w:type="dxa"/>
            <w:vAlign w:val="center"/>
          </w:tcPr>
          <w:p w14:paraId="7C1A3BAC">
            <w:pPr>
              <w:spacing w:line="440" w:lineRule="exact"/>
              <w:jc w:val="center"/>
              <w:rPr>
                <w:rFonts w:hint="eastAsia" w:ascii="宋体" w:hAnsi="宋体" w:eastAsia="宋体" w:cs="宋体"/>
                <w:szCs w:val="21"/>
              </w:rPr>
            </w:pPr>
            <w:r>
              <w:rPr>
                <w:rFonts w:hint="eastAsia" w:ascii="宋体" w:hAnsi="宋体" w:eastAsia="宋体" w:cs="宋体"/>
                <w:szCs w:val="21"/>
              </w:rPr>
              <w:t>15858624999</w:t>
            </w:r>
          </w:p>
        </w:tc>
      </w:tr>
      <w:tr w14:paraId="0E82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DA00910">
            <w:pPr>
              <w:spacing w:line="440" w:lineRule="exact"/>
              <w:jc w:val="center"/>
              <w:rPr>
                <w:rFonts w:hint="eastAsia" w:ascii="宋体" w:hAnsi="宋体" w:eastAsia="宋体" w:cs="宋体"/>
                <w:szCs w:val="21"/>
              </w:rPr>
            </w:pPr>
            <w:r>
              <w:rPr>
                <w:rFonts w:hint="eastAsia" w:ascii="宋体" w:hAnsi="宋体" w:eastAsia="宋体" w:cs="宋体"/>
                <w:szCs w:val="21"/>
              </w:rPr>
              <w:t>邮储银行台州分行</w:t>
            </w:r>
          </w:p>
        </w:tc>
        <w:tc>
          <w:tcPr>
            <w:tcW w:w="1691" w:type="dxa"/>
            <w:vAlign w:val="center"/>
          </w:tcPr>
          <w:p w14:paraId="4F88699A">
            <w:pPr>
              <w:spacing w:line="440" w:lineRule="exact"/>
              <w:jc w:val="center"/>
              <w:rPr>
                <w:rFonts w:hint="eastAsia" w:ascii="宋体" w:hAnsi="宋体" w:eastAsia="宋体" w:cs="宋体"/>
                <w:szCs w:val="21"/>
              </w:rPr>
            </w:pPr>
            <w:r>
              <w:rPr>
                <w:rFonts w:hint="eastAsia" w:ascii="宋体" w:hAnsi="宋体" w:eastAsia="宋体" w:cs="宋体"/>
                <w:szCs w:val="21"/>
              </w:rPr>
              <w:t>3.85%起</w:t>
            </w:r>
          </w:p>
        </w:tc>
        <w:tc>
          <w:tcPr>
            <w:tcW w:w="1830" w:type="dxa"/>
            <w:vAlign w:val="center"/>
          </w:tcPr>
          <w:p w14:paraId="3F481B07">
            <w:pPr>
              <w:spacing w:line="440" w:lineRule="exact"/>
              <w:jc w:val="center"/>
              <w:rPr>
                <w:rFonts w:hint="eastAsia" w:ascii="宋体" w:hAnsi="宋体" w:eastAsia="宋体" w:cs="宋体"/>
                <w:szCs w:val="21"/>
              </w:rPr>
            </w:pPr>
            <w:r>
              <w:rPr>
                <w:rFonts w:hint="eastAsia" w:ascii="宋体" w:hAnsi="宋体" w:eastAsia="宋体" w:cs="宋体"/>
                <w:szCs w:val="21"/>
              </w:rPr>
              <w:t>董庆</w:t>
            </w:r>
          </w:p>
        </w:tc>
        <w:tc>
          <w:tcPr>
            <w:tcW w:w="3176" w:type="dxa"/>
            <w:vAlign w:val="center"/>
          </w:tcPr>
          <w:p w14:paraId="4C41AC77">
            <w:pPr>
              <w:spacing w:line="440" w:lineRule="exact"/>
              <w:jc w:val="center"/>
              <w:rPr>
                <w:rFonts w:hint="eastAsia" w:ascii="宋体" w:hAnsi="宋体" w:eastAsia="宋体" w:cs="宋体"/>
                <w:szCs w:val="21"/>
              </w:rPr>
            </w:pPr>
            <w:r>
              <w:rPr>
                <w:rFonts w:hint="eastAsia" w:ascii="宋体" w:hAnsi="宋体" w:eastAsia="宋体" w:cs="宋体"/>
                <w:szCs w:val="21"/>
              </w:rPr>
              <w:t>81888982、18957683757</w:t>
            </w:r>
          </w:p>
        </w:tc>
      </w:tr>
    </w:tbl>
    <w:p w14:paraId="33B817D5">
      <w:pPr>
        <w:pStyle w:val="12"/>
        <w:spacing w:before="158" w:beforeLines="50" w:after="158" w:afterLines="50" w:line="440" w:lineRule="exact"/>
        <w:outlineLvl w:val="0"/>
        <w:rPr>
          <w:rFonts w:hint="eastAsia" w:ascii="宋体" w:hAnsi="宋体" w:eastAsia="宋体"/>
        </w:rPr>
      </w:pPr>
    </w:p>
    <w:p w14:paraId="38770E63">
      <w:pPr>
        <w:pStyle w:val="6"/>
        <w:spacing w:line="440" w:lineRule="exact"/>
        <w:ind w:firstLine="422"/>
        <w:jc w:val="center"/>
        <w:rPr>
          <w:rFonts w:hint="eastAsia" w:ascii="宋体" w:hAnsi="宋体" w:cs="宋体"/>
          <w:b/>
          <w:szCs w:val="21"/>
        </w:rPr>
      </w:pPr>
      <w:r>
        <w:rPr>
          <w:rFonts w:hint="eastAsia" w:ascii="宋体" w:hAnsi="宋体" w:cs="宋体"/>
          <w:b/>
          <w:szCs w:val="21"/>
        </w:rPr>
        <w:t>合同履约保函联系方式</w:t>
      </w:r>
    </w:p>
    <w:tbl>
      <w:tblPr>
        <w:tblStyle w:val="25"/>
        <w:tblW w:w="950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3072"/>
        <w:gridCol w:w="1155"/>
        <w:gridCol w:w="1875"/>
      </w:tblGrid>
      <w:tr w14:paraId="6E4B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4A6FB4CB">
            <w:pPr>
              <w:spacing w:line="440" w:lineRule="exact"/>
              <w:jc w:val="center"/>
              <w:rPr>
                <w:rFonts w:hint="eastAsia" w:ascii="宋体" w:hAnsi="宋体" w:eastAsia="宋体" w:cs="宋体"/>
                <w:szCs w:val="21"/>
              </w:rPr>
            </w:pPr>
            <w:r>
              <w:rPr>
                <w:rFonts w:hint="eastAsia" w:ascii="宋体" w:hAnsi="宋体" w:eastAsia="宋体" w:cs="宋体"/>
                <w:szCs w:val="21"/>
              </w:rPr>
              <w:t>保险公司名称</w:t>
            </w:r>
          </w:p>
        </w:tc>
        <w:tc>
          <w:tcPr>
            <w:tcW w:w="3072" w:type="dxa"/>
            <w:vAlign w:val="center"/>
          </w:tcPr>
          <w:p w14:paraId="3A77BEDE">
            <w:pPr>
              <w:spacing w:line="440" w:lineRule="exact"/>
              <w:jc w:val="center"/>
              <w:rPr>
                <w:rFonts w:hint="eastAsia" w:ascii="宋体" w:hAnsi="宋体" w:eastAsia="宋体" w:cs="宋体"/>
                <w:szCs w:val="21"/>
              </w:rPr>
            </w:pPr>
            <w:r>
              <w:rPr>
                <w:rFonts w:hint="eastAsia" w:ascii="宋体" w:hAnsi="宋体" w:eastAsia="宋体" w:cs="宋体"/>
                <w:szCs w:val="21"/>
              </w:rPr>
              <w:t>保费率</w:t>
            </w:r>
          </w:p>
        </w:tc>
        <w:tc>
          <w:tcPr>
            <w:tcW w:w="1155" w:type="dxa"/>
            <w:vAlign w:val="center"/>
          </w:tcPr>
          <w:p w14:paraId="1EE20C70">
            <w:pPr>
              <w:spacing w:line="440" w:lineRule="exact"/>
              <w:jc w:val="center"/>
              <w:rPr>
                <w:rFonts w:hint="eastAsia" w:ascii="宋体" w:hAnsi="宋体" w:eastAsia="宋体" w:cs="宋体"/>
                <w:szCs w:val="21"/>
              </w:rPr>
            </w:pPr>
            <w:r>
              <w:rPr>
                <w:rFonts w:hint="eastAsia" w:ascii="宋体" w:hAnsi="宋体" w:eastAsia="宋体" w:cs="宋体"/>
                <w:szCs w:val="21"/>
              </w:rPr>
              <w:t>联系人</w:t>
            </w:r>
          </w:p>
        </w:tc>
        <w:tc>
          <w:tcPr>
            <w:tcW w:w="1875" w:type="dxa"/>
            <w:vAlign w:val="center"/>
          </w:tcPr>
          <w:p w14:paraId="6103EA98">
            <w:pPr>
              <w:spacing w:line="440" w:lineRule="exact"/>
              <w:jc w:val="center"/>
              <w:rPr>
                <w:rFonts w:hint="eastAsia" w:ascii="宋体" w:hAnsi="宋体" w:eastAsia="宋体" w:cs="宋体"/>
                <w:szCs w:val="21"/>
              </w:rPr>
            </w:pPr>
            <w:r>
              <w:rPr>
                <w:rFonts w:hint="eastAsia" w:ascii="宋体" w:hAnsi="宋体" w:eastAsia="宋体" w:cs="宋体"/>
                <w:szCs w:val="21"/>
              </w:rPr>
              <w:t>联系电话</w:t>
            </w:r>
          </w:p>
        </w:tc>
      </w:tr>
      <w:tr w14:paraId="53E4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697008F4">
            <w:pPr>
              <w:spacing w:line="440" w:lineRule="exact"/>
              <w:jc w:val="center"/>
              <w:rPr>
                <w:rFonts w:hint="eastAsia" w:ascii="宋体" w:hAnsi="宋体" w:eastAsia="宋体" w:cs="宋体"/>
                <w:szCs w:val="21"/>
              </w:rPr>
            </w:pPr>
            <w:r>
              <w:rPr>
                <w:rFonts w:hint="eastAsia" w:ascii="宋体" w:hAnsi="宋体" w:eastAsia="宋体" w:cs="宋体"/>
                <w:szCs w:val="21"/>
              </w:rPr>
              <w:t>中国人寿财产保险股份有限公司台州中心支公司</w:t>
            </w:r>
          </w:p>
        </w:tc>
        <w:tc>
          <w:tcPr>
            <w:tcW w:w="3072" w:type="dxa"/>
            <w:vAlign w:val="center"/>
          </w:tcPr>
          <w:p w14:paraId="0A145661">
            <w:pPr>
              <w:spacing w:line="440" w:lineRule="exact"/>
              <w:jc w:val="center"/>
              <w:rPr>
                <w:rFonts w:hint="eastAsia" w:ascii="宋体" w:hAnsi="宋体" w:eastAsia="宋体" w:cs="宋体"/>
                <w:szCs w:val="21"/>
              </w:rPr>
            </w:pPr>
            <w:r>
              <w:rPr>
                <w:rFonts w:hint="eastAsia" w:ascii="宋体" w:hAnsi="宋体" w:eastAsia="宋体" w:cs="宋体"/>
                <w:szCs w:val="21"/>
              </w:rPr>
              <w:t>年费率1%，最低保费500元</w:t>
            </w:r>
          </w:p>
        </w:tc>
        <w:tc>
          <w:tcPr>
            <w:tcW w:w="1155" w:type="dxa"/>
            <w:vAlign w:val="center"/>
          </w:tcPr>
          <w:p w14:paraId="494283A1">
            <w:pPr>
              <w:spacing w:line="440" w:lineRule="exact"/>
              <w:jc w:val="center"/>
              <w:rPr>
                <w:rFonts w:hint="eastAsia" w:ascii="宋体" w:hAnsi="宋体" w:eastAsia="宋体" w:cs="宋体"/>
                <w:szCs w:val="21"/>
              </w:rPr>
            </w:pPr>
            <w:r>
              <w:rPr>
                <w:rFonts w:hint="eastAsia" w:ascii="宋体" w:hAnsi="宋体" w:eastAsia="宋体" w:cs="宋体"/>
                <w:szCs w:val="21"/>
              </w:rPr>
              <w:t>徐凌</w:t>
            </w:r>
          </w:p>
        </w:tc>
        <w:tc>
          <w:tcPr>
            <w:tcW w:w="1875" w:type="dxa"/>
            <w:vAlign w:val="center"/>
          </w:tcPr>
          <w:p w14:paraId="17C0A0C4">
            <w:pPr>
              <w:spacing w:line="440" w:lineRule="exact"/>
              <w:jc w:val="center"/>
              <w:rPr>
                <w:rFonts w:hint="eastAsia" w:ascii="宋体" w:hAnsi="宋体" w:eastAsia="宋体" w:cs="宋体"/>
                <w:szCs w:val="21"/>
              </w:rPr>
            </w:pPr>
            <w:r>
              <w:rPr>
                <w:rFonts w:hint="eastAsia" w:ascii="宋体" w:hAnsi="宋体" w:eastAsia="宋体" w:cs="宋体"/>
                <w:szCs w:val="21"/>
              </w:rPr>
              <w:t>13905168070</w:t>
            </w:r>
          </w:p>
        </w:tc>
      </w:tr>
      <w:tr w14:paraId="4B98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75A6E14D">
            <w:pPr>
              <w:spacing w:line="440" w:lineRule="exact"/>
              <w:jc w:val="center"/>
              <w:rPr>
                <w:rFonts w:hint="eastAsia" w:ascii="宋体" w:hAnsi="宋体" w:eastAsia="宋体" w:cs="宋体"/>
                <w:szCs w:val="21"/>
              </w:rPr>
            </w:pPr>
            <w:r>
              <w:rPr>
                <w:rFonts w:hint="eastAsia" w:ascii="宋体" w:hAnsi="宋体" w:eastAsia="宋体" w:cs="宋体"/>
                <w:szCs w:val="21"/>
              </w:rPr>
              <w:t>永诚财产保险股份有限公司台州分公司</w:t>
            </w:r>
          </w:p>
        </w:tc>
        <w:tc>
          <w:tcPr>
            <w:tcW w:w="3072" w:type="dxa"/>
            <w:vAlign w:val="center"/>
          </w:tcPr>
          <w:p w14:paraId="1E1E3C03">
            <w:pPr>
              <w:spacing w:line="440" w:lineRule="exact"/>
              <w:jc w:val="center"/>
              <w:rPr>
                <w:rFonts w:hint="eastAsia" w:ascii="宋体" w:hAnsi="宋体" w:eastAsia="宋体" w:cs="宋体"/>
                <w:szCs w:val="21"/>
              </w:rPr>
            </w:pPr>
            <w:r>
              <w:rPr>
                <w:rFonts w:hint="eastAsia" w:ascii="宋体" w:hAnsi="宋体" w:eastAsia="宋体" w:cs="宋体"/>
                <w:szCs w:val="21"/>
              </w:rPr>
              <w:t>年费率1%，最低保费1000元</w:t>
            </w:r>
          </w:p>
        </w:tc>
        <w:tc>
          <w:tcPr>
            <w:tcW w:w="1155" w:type="dxa"/>
            <w:vAlign w:val="center"/>
          </w:tcPr>
          <w:p w14:paraId="08F10E71">
            <w:pPr>
              <w:spacing w:line="440" w:lineRule="exact"/>
              <w:jc w:val="center"/>
              <w:rPr>
                <w:rFonts w:hint="eastAsia" w:ascii="宋体" w:hAnsi="宋体" w:eastAsia="宋体" w:cs="宋体"/>
                <w:szCs w:val="21"/>
              </w:rPr>
            </w:pPr>
            <w:r>
              <w:rPr>
                <w:rFonts w:hint="eastAsia" w:ascii="宋体" w:hAnsi="宋体" w:eastAsia="宋体" w:cs="宋体"/>
                <w:szCs w:val="21"/>
              </w:rPr>
              <w:t>尹刚强</w:t>
            </w:r>
          </w:p>
        </w:tc>
        <w:tc>
          <w:tcPr>
            <w:tcW w:w="1875" w:type="dxa"/>
            <w:vAlign w:val="center"/>
          </w:tcPr>
          <w:p w14:paraId="22C3C63E">
            <w:pPr>
              <w:spacing w:line="440" w:lineRule="exact"/>
              <w:jc w:val="center"/>
              <w:rPr>
                <w:rFonts w:hint="eastAsia" w:ascii="宋体" w:hAnsi="宋体" w:eastAsia="宋体" w:cs="宋体"/>
                <w:szCs w:val="21"/>
              </w:rPr>
            </w:pPr>
            <w:r>
              <w:rPr>
                <w:rFonts w:hint="eastAsia" w:ascii="宋体" w:hAnsi="宋体" w:eastAsia="宋体" w:cs="宋体"/>
                <w:szCs w:val="21"/>
              </w:rPr>
              <w:t>13750668184</w:t>
            </w:r>
          </w:p>
        </w:tc>
      </w:tr>
      <w:tr w14:paraId="04D6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44CACBDC">
            <w:pPr>
              <w:spacing w:line="440" w:lineRule="exact"/>
              <w:jc w:val="center"/>
              <w:rPr>
                <w:rFonts w:hint="eastAsia" w:ascii="宋体" w:hAnsi="宋体" w:eastAsia="宋体" w:cs="宋体"/>
                <w:szCs w:val="21"/>
              </w:rPr>
            </w:pPr>
            <w:r>
              <w:rPr>
                <w:rFonts w:hint="eastAsia" w:ascii="宋体" w:hAnsi="宋体" w:eastAsia="宋体" w:cs="宋体"/>
                <w:szCs w:val="21"/>
              </w:rPr>
              <w:t>华泰财产保险有限公司台州中心支公司</w:t>
            </w:r>
          </w:p>
        </w:tc>
        <w:tc>
          <w:tcPr>
            <w:tcW w:w="3072" w:type="dxa"/>
            <w:vAlign w:val="center"/>
          </w:tcPr>
          <w:p w14:paraId="32FBA358">
            <w:pPr>
              <w:spacing w:line="440" w:lineRule="exact"/>
              <w:jc w:val="center"/>
              <w:rPr>
                <w:rFonts w:hint="eastAsia" w:ascii="宋体" w:hAnsi="宋体" w:eastAsia="宋体" w:cs="宋体"/>
                <w:szCs w:val="21"/>
              </w:rPr>
            </w:pPr>
            <w:r>
              <w:rPr>
                <w:rFonts w:hint="eastAsia" w:ascii="宋体" w:hAnsi="宋体" w:eastAsia="宋体" w:cs="宋体"/>
                <w:szCs w:val="21"/>
              </w:rPr>
              <w:t>年费率0.5%，最低保费1000元</w:t>
            </w:r>
          </w:p>
        </w:tc>
        <w:tc>
          <w:tcPr>
            <w:tcW w:w="1155" w:type="dxa"/>
            <w:vAlign w:val="center"/>
          </w:tcPr>
          <w:p w14:paraId="7AB63A70">
            <w:pPr>
              <w:spacing w:line="440" w:lineRule="exact"/>
              <w:jc w:val="center"/>
              <w:rPr>
                <w:rFonts w:hint="eastAsia" w:ascii="宋体" w:hAnsi="宋体" w:eastAsia="宋体" w:cs="宋体"/>
                <w:szCs w:val="21"/>
              </w:rPr>
            </w:pPr>
            <w:r>
              <w:rPr>
                <w:rFonts w:hint="eastAsia" w:ascii="宋体" w:hAnsi="宋体" w:eastAsia="宋体" w:cs="宋体"/>
                <w:szCs w:val="21"/>
              </w:rPr>
              <w:t>王灵芳</w:t>
            </w:r>
          </w:p>
        </w:tc>
        <w:tc>
          <w:tcPr>
            <w:tcW w:w="1875" w:type="dxa"/>
            <w:vAlign w:val="center"/>
          </w:tcPr>
          <w:p w14:paraId="3BECC1DD">
            <w:pPr>
              <w:spacing w:line="440" w:lineRule="exact"/>
              <w:jc w:val="center"/>
              <w:rPr>
                <w:rFonts w:hint="eastAsia" w:ascii="宋体" w:hAnsi="宋体" w:eastAsia="宋体" w:cs="宋体"/>
                <w:szCs w:val="21"/>
              </w:rPr>
            </w:pPr>
            <w:r>
              <w:rPr>
                <w:rFonts w:hint="eastAsia" w:ascii="宋体" w:hAnsi="宋体" w:eastAsia="宋体" w:cs="宋体"/>
                <w:szCs w:val="21"/>
              </w:rPr>
              <w:t>88869818、13586123199</w:t>
            </w:r>
          </w:p>
        </w:tc>
      </w:tr>
      <w:tr w14:paraId="1395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24A77648">
            <w:pPr>
              <w:spacing w:line="440" w:lineRule="exact"/>
              <w:jc w:val="center"/>
              <w:rPr>
                <w:rFonts w:hint="eastAsia" w:ascii="宋体" w:hAnsi="宋体" w:eastAsia="宋体" w:cs="宋体"/>
                <w:szCs w:val="21"/>
              </w:rPr>
            </w:pPr>
            <w:r>
              <w:rPr>
                <w:rFonts w:hint="eastAsia" w:ascii="宋体" w:hAnsi="宋体" w:eastAsia="宋体" w:cs="宋体"/>
                <w:szCs w:val="21"/>
              </w:rPr>
              <w:t>中国大地财产保险股份有限公司台州中心支公司</w:t>
            </w:r>
          </w:p>
        </w:tc>
        <w:tc>
          <w:tcPr>
            <w:tcW w:w="3072" w:type="dxa"/>
            <w:vAlign w:val="center"/>
          </w:tcPr>
          <w:p w14:paraId="47716838">
            <w:pPr>
              <w:spacing w:line="440" w:lineRule="exact"/>
              <w:jc w:val="center"/>
              <w:rPr>
                <w:rFonts w:hint="eastAsia" w:ascii="宋体" w:hAnsi="宋体" w:eastAsia="宋体" w:cs="宋体"/>
                <w:szCs w:val="21"/>
              </w:rPr>
            </w:pPr>
            <w:r>
              <w:rPr>
                <w:rFonts w:hint="eastAsia" w:ascii="宋体" w:hAnsi="宋体" w:eastAsia="宋体" w:cs="宋体"/>
                <w:szCs w:val="21"/>
              </w:rPr>
              <w:t>年费率1.5%，最低保费1000元</w:t>
            </w:r>
          </w:p>
        </w:tc>
        <w:tc>
          <w:tcPr>
            <w:tcW w:w="1155" w:type="dxa"/>
            <w:vAlign w:val="center"/>
          </w:tcPr>
          <w:p w14:paraId="64B811CB">
            <w:pPr>
              <w:spacing w:line="440" w:lineRule="exact"/>
              <w:jc w:val="center"/>
              <w:rPr>
                <w:rFonts w:hint="eastAsia" w:ascii="宋体" w:hAnsi="宋体" w:eastAsia="宋体" w:cs="宋体"/>
                <w:szCs w:val="21"/>
              </w:rPr>
            </w:pPr>
            <w:r>
              <w:rPr>
                <w:rFonts w:hint="eastAsia" w:ascii="宋体" w:hAnsi="宋体" w:eastAsia="宋体" w:cs="宋体"/>
                <w:szCs w:val="21"/>
              </w:rPr>
              <w:t>徐小明</w:t>
            </w:r>
          </w:p>
        </w:tc>
        <w:tc>
          <w:tcPr>
            <w:tcW w:w="1875" w:type="dxa"/>
            <w:vAlign w:val="center"/>
          </w:tcPr>
          <w:p w14:paraId="048F96B4">
            <w:pPr>
              <w:spacing w:line="440" w:lineRule="exact"/>
              <w:jc w:val="center"/>
              <w:rPr>
                <w:rFonts w:hint="eastAsia" w:ascii="宋体" w:hAnsi="宋体" w:eastAsia="宋体" w:cs="宋体"/>
                <w:szCs w:val="21"/>
              </w:rPr>
            </w:pPr>
            <w:r>
              <w:rPr>
                <w:rFonts w:hint="eastAsia" w:ascii="宋体" w:hAnsi="宋体" w:eastAsia="宋体" w:cs="宋体"/>
                <w:szCs w:val="21"/>
              </w:rPr>
              <w:t>88552788、13968603112</w:t>
            </w:r>
          </w:p>
        </w:tc>
      </w:tr>
      <w:tr w14:paraId="77EE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5E8BA1F2">
            <w:pPr>
              <w:spacing w:line="440" w:lineRule="exact"/>
              <w:jc w:val="center"/>
              <w:rPr>
                <w:rFonts w:hint="eastAsia" w:ascii="宋体" w:hAnsi="宋体" w:eastAsia="宋体" w:cs="宋体"/>
                <w:szCs w:val="21"/>
              </w:rPr>
            </w:pPr>
            <w:r>
              <w:rPr>
                <w:rFonts w:hint="eastAsia" w:ascii="宋体" w:hAnsi="宋体" w:eastAsia="宋体" w:cs="宋体"/>
                <w:szCs w:val="21"/>
              </w:rPr>
              <w:t>阳光保险台州中心支公司</w:t>
            </w:r>
          </w:p>
        </w:tc>
        <w:tc>
          <w:tcPr>
            <w:tcW w:w="3072" w:type="dxa"/>
            <w:vAlign w:val="center"/>
          </w:tcPr>
          <w:p w14:paraId="2DD0AA44">
            <w:pPr>
              <w:spacing w:line="440" w:lineRule="exact"/>
              <w:jc w:val="center"/>
              <w:rPr>
                <w:rFonts w:hint="eastAsia" w:ascii="宋体" w:hAnsi="宋体" w:eastAsia="宋体" w:cs="宋体"/>
                <w:szCs w:val="21"/>
              </w:rPr>
            </w:pPr>
            <w:r>
              <w:rPr>
                <w:rFonts w:hint="eastAsia" w:ascii="宋体" w:hAnsi="宋体" w:eastAsia="宋体" w:cs="宋体"/>
                <w:szCs w:val="21"/>
              </w:rPr>
              <w:t>年费率1%，最低保费500元</w:t>
            </w:r>
          </w:p>
        </w:tc>
        <w:tc>
          <w:tcPr>
            <w:tcW w:w="1155" w:type="dxa"/>
            <w:vAlign w:val="center"/>
          </w:tcPr>
          <w:p w14:paraId="3920B504">
            <w:pPr>
              <w:spacing w:line="440" w:lineRule="exact"/>
              <w:jc w:val="center"/>
              <w:rPr>
                <w:rFonts w:hint="eastAsia" w:ascii="宋体" w:hAnsi="宋体" w:eastAsia="宋体" w:cs="宋体"/>
                <w:szCs w:val="21"/>
              </w:rPr>
            </w:pPr>
            <w:r>
              <w:rPr>
                <w:rFonts w:hint="eastAsia" w:ascii="宋体" w:hAnsi="宋体" w:eastAsia="宋体" w:cs="宋体"/>
                <w:szCs w:val="21"/>
              </w:rPr>
              <w:t>林高明</w:t>
            </w:r>
          </w:p>
        </w:tc>
        <w:tc>
          <w:tcPr>
            <w:tcW w:w="1875" w:type="dxa"/>
            <w:vAlign w:val="center"/>
          </w:tcPr>
          <w:p w14:paraId="36CD2AC7">
            <w:pPr>
              <w:spacing w:line="440" w:lineRule="exact"/>
              <w:jc w:val="center"/>
              <w:rPr>
                <w:rFonts w:hint="eastAsia" w:ascii="宋体" w:hAnsi="宋体" w:eastAsia="宋体" w:cs="宋体"/>
                <w:szCs w:val="21"/>
              </w:rPr>
            </w:pPr>
            <w:r>
              <w:rPr>
                <w:rFonts w:hint="eastAsia" w:ascii="宋体" w:hAnsi="宋体" w:eastAsia="宋体" w:cs="宋体"/>
                <w:szCs w:val="21"/>
              </w:rPr>
              <w:t>15888682693</w:t>
            </w:r>
          </w:p>
        </w:tc>
      </w:tr>
      <w:tr w14:paraId="269E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229472A6">
            <w:pPr>
              <w:spacing w:line="440" w:lineRule="exact"/>
              <w:jc w:val="center"/>
              <w:rPr>
                <w:rFonts w:hint="eastAsia" w:ascii="宋体" w:hAnsi="宋体" w:eastAsia="宋体" w:cs="宋体"/>
                <w:szCs w:val="21"/>
              </w:rPr>
            </w:pPr>
            <w:r>
              <w:rPr>
                <w:rFonts w:hint="eastAsia" w:ascii="宋体" w:hAnsi="宋体" w:eastAsia="宋体" w:cs="宋体"/>
                <w:szCs w:val="21"/>
              </w:rPr>
              <w:t>中华联合财产保险股份有限公司台州中心支公司</w:t>
            </w:r>
          </w:p>
        </w:tc>
        <w:tc>
          <w:tcPr>
            <w:tcW w:w="3072" w:type="dxa"/>
            <w:vAlign w:val="center"/>
          </w:tcPr>
          <w:p w14:paraId="33FF0F77">
            <w:pPr>
              <w:spacing w:line="440" w:lineRule="exact"/>
              <w:jc w:val="center"/>
              <w:rPr>
                <w:rFonts w:hint="eastAsia" w:ascii="宋体" w:hAnsi="宋体" w:eastAsia="宋体" w:cs="宋体"/>
                <w:szCs w:val="21"/>
              </w:rPr>
            </w:pPr>
            <w:r>
              <w:rPr>
                <w:rFonts w:hint="eastAsia" w:ascii="宋体" w:hAnsi="宋体" w:eastAsia="宋体" w:cs="宋体"/>
                <w:szCs w:val="21"/>
              </w:rPr>
              <w:t>年费率2%，最低保费500元</w:t>
            </w:r>
          </w:p>
        </w:tc>
        <w:tc>
          <w:tcPr>
            <w:tcW w:w="1155" w:type="dxa"/>
            <w:vAlign w:val="center"/>
          </w:tcPr>
          <w:p w14:paraId="5B0114CE">
            <w:pPr>
              <w:spacing w:line="440" w:lineRule="exact"/>
              <w:jc w:val="center"/>
              <w:rPr>
                <w:rFonts w:hint="eastAsia" w:ascii="宋体" w:hAnsi="宋体" w:eastAsia="宋体" w:cs="宋体"/>
                <w:szCs w:val="21"/>
              </w:rPr>
            </w:pPr>
            <w:r>
              <w:rPr>
                <w:rFonts w:hint="eastAsia" w:ascii="宋体" w:hAnsi="宋体" w:eastAsia="宋体" w:cs="宋体"/>
                <w:szCs w:val="21"/>
              </w:rPr>
              <w:t>王仙高</w:t>
            </w:r>
          </w:p>
        </w:tc>
        <w:tc>
          <w:tcPr>
            <w:tcW w:w="1875" w:type="dxa"/>
            <w:vAlign w:val="center"/>
          </w:tcPr>
          <w:p w14:paraId="5388151A">
            <w:pPr>
              <w:spacing w:line="440" w:lineRule="exact"/>
              <w:jc w:val="center"/>
              <w:rPr>
                <w:rFonts w:hint="eastAsia" w:ascii="宋体" w:hAnsi="宋体" w:eastAsia="宋体" w:cs="宋体"/>
                <w:szCs w:val="21"/>
              </w:rPr>
            </w:pPr>
            <w:r>
              <w:rPr>
                <w:rFonts w:hint="eastAsia" w:ascii="宋体" w:hAnsi="宋体" w:eastAsia="宋体" w:cs="宋体"/>
                <w:szCs w:val="21"/>
              </w:rPr>
              <w:t>13858600221</w:t>
            </w:r>
          </w:p>
        </w:tc>
      </w:tr>
      <w:tr w14:paraId="2FB4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24E38210">
            <w:pPr>
              <w:spacing w:line="440" w:lineRule="exact"/>
              <w:jc w:val="center"/>
              <w:rPr>
                <w:rFonts w:hint="eastAsia" w:ascii="宋体" w:hAnsi="宋体" w:eastAsia="宋体" w:cs="宋体"/>
                <w:szCs w:val="21"/>
              </w:rPr>
            </w:pPr>
            <w:r>
              <w:rPr>
                <w:rFonts w:hint="eastAsia" w:ascii="宋体" w:hAnsi="宋体" w:eastAsia="宋体" w:cs="宋体"/>
                <w:szCs w:val="21"/>
              </w:rPr>
              <w:t>中国人民财产保险股份有限公司台州中心支公司</w:t>
            </w:r>
          </w:p>
        </w:tc>
        <w:tc>
          <w:tcPr>
            <w:tcW w:w="3072" w:type="dxa"/>
            <w:vAlign w:val="center"/>
          </w:tcPr>
          <w:p w14:paraId="47017515">
            <w:pPr>
              <w:spacing w:line="440" w:lineRule="exact"/>
              <w:jc w:val="center"/>
              <w:rPr>
                <w:rFonts w:hint="eastAsia" w:ascii="宋体" w:hAnsi="宋体" w:eastAsia="宋体" w:cs="宋体"/>
                <w:szCs w:val="21"/>
              </w:rPr>
            </w:pPr>
            <w:r>
              <w:rPr>
                <w:rFonts w:hint="eastAsia" w:ascii="宋体" w:hAnsi="宋体" w:eastAsia="宋体" w:cs="宋体"/>
                <w:szCs w:val="21"/>
              </w:rPr>
              <w:t>年费率0.3%，最低保费1000元</w:t>
            </w:r>
          </w:p>
        </w:tc>
        <w:tc>
          <w:tcPr>
            <w:tcW w:w="1155" w:type="dxa"/>
            <w:vAlign w:val="center"/>
          </w:tcPr>
          <w:p w14:paraId="1DF5753B">
            <w:pPr>
              <w:spacing w:line="440" w:lineRule="exact"/>
              <w:jc w:val="center"/>
              <w:rPr>
                <w:rFonts w:hint="eastAsia" w:ascii="宋体" w:hAnsi="宋体" w:eastAsia="宋体" w:cs="宋体"/>
                <w:szCs w:val="21"/>
              </w:rPr>
            </w:pPr>
            <w:r>
              <w:rPr>
                <w:rFonts w:hint="eastAsia" w:ascii="宋体" w:hAnsi="宋体" w:eastAsia="宋体" w:cs="宋体"/>
                <w:szCs w:val="21"/>
              </w:rPr>
              <w:t>王仙春</w:t>
            </w:r>
          </w:p>
        </w:tc>
        <w:tc>
          <w:tcPr>
            <w:tcW w:w="1875" w:type="dxa"/>
            <w:vAlign w:val="center"/>
          </w:tcPr>
          <w:p w14:paraId="6C9F20A9">
            <w:pPr>
              <w:spacing w:line="440" w:lineRule="exact"/>
              <w:jc w:val="center"/>
              <w:rPr>
                <w:rFonts w:hint="eastAsia" w:ascii="宋体" w:hAnsi="宋体" w:eastAsia="宋体" w:cs="宋体"/>
                <w:szCs w:val="21"/>
              </w:rPr>
            </w:pPr>
            <w:r>
              <w:rPr>
                <w:rFonts w:hint="eastAsia" w:ascii="宋体" w:hAnsi="宋体" w:eastAsia="宋体" w:cs="宋体"/>
                <w:szCs w:val="21"/>
              </w:rPr>
              <w:t>13515769179</w:t>
            </w:r>
          </w:p>
        </w:tc>
      </w:tr>
      <w:tr w14:paraId="112A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4C877F9A">
            <w:pPr>
              <w:spacing w:line="440" w:lineRule="exact"/>
              <w:jc w:val="center"/>
              <w:rPr>
                <w:rFonts w:hint="eastAsia" w:ascii="宋体" w:hAnsi="宋体" w:eastAsia="宋体" w:cs="宋体"/>
                <w:szCs w:val="21"/>
              </w:rPr>
            </w:pPr>
            <w:r>
              <w:rPr>
                <w:rFonts w:hint="eastAsia" w:ascii="宋体" w:hAnsi="宋体" w:eastAsia="宋体" w:cs="宋体"/>
                <w:szCs w:val="21"/>
              </w:rPr>
              <w:t>永安财产保险股份有限公司台州中心支公司</w:t>
            </w:r>
          </w:p>
        </w:tc>
        <w:tc>
          <w:tcPr>
            <w:tcW w:w="3072" w:type="dxa"/>
            <w:vAlign w:val="center"/>
          </w:tcPr>
          <w:p w14:paraId="05372731">
            <w:pPr>
              <w:spacing w:line="440" w:lineRule="exact"/>
              <w:jc w:val="center"/>
              <w:rPr>
                <w:rFonts w:hint="eastAsia" w:ascii="宋体" w:hAnsi="宋体" w:eastAsia="宋体" w:cs="宋体"/>
                <w:szCs w:val="21"/>
              </w:rPr>
            </w:pPr>
            <w:r>
              <w:rPr>
                <w:rFonts w:hint="eastAsia" w:ascii="宋体" w:hAnsi="宋体" w:eastAsia="宋体" w:cs="宋体"/>
                <w:szCs w:val="21"/>
              </w:rPr>
              <w:t>年费率0.3%，最低保费1000</w:t>
            </w:r>
          </w:p>
        </w:tc>
        <w:tc>
          <w:tcPr>
            <w:tcW w:w="1155" w:type="dxa"/>
            <w:vAlign w:val="center"/>
          </w:tcPr>
          <w:p w14:paraId="2FE73A06">
            <w:pPr>
              <w:spacing w:line="440" w:lineRule="exact"/>
              <w:jc w:val="center"/>
              <w:rPr>
                <w:rFonts w:hint="eastAsia" w:ascii="宋体" w:hAnsi="宋体" w:eastAsia="宋体" w:cs="宋体"/>
                <w:szCs w:val="21"/>
              </w:rPr>
            </w:pPr>
            <w:r>
              <w:rPr>
                <w:rFonts w:hint="eastAsia" w:ascii="宋体" w:hAnsi="宋体" w:eastAsia="宋体" w:cs="宋体"/>
                <w:szCs w:val="21"/>
              </w:rPr>
              <w:t>王春宇</w:t>
            </w:r>
          </w:p>
        </w:tc>
        <w:tc>
          <w:tcPr>
            <w:tcW w:w="1875" w:type="dxa"/>
            <w:vAlign w:val="center"/>
          </w:tcPr>
          <w:p w14:paraId="54A9CCFF">
            <w:pPr>
              <w:spacing w:line="440" w:lineRule="exact"/>
              <w:jc w:val="center"/>
              <w:rPr>
                <w:rFonts w:hint="eastAsia" w:ascii="宋体" w:hAnsi="宋体" w:eastAsia="宋体" w:cs="宋体"/>
                <w:szCs w:val="21"/>
              </w:rPr>
            </w:pPr>
            <w:r>
              <w:rPr>
                <w:rFonts w:hint="eastAsia" w:ascii="宋体" w:hAnsi="宋体" w:eastAsia="宋体" w:cs="宋体"/>
                <w:szCs w:val="21"/>
              </w:rPr>
              <w:t>13676675331</w:t>
            </w:r>
          </w:p>
        </w:tc>
      </w:tr>
    </w:tbl>
    <w:p w14:paraId="1D856D21">
      <w:pPr>
        <w:spacing w:line="440" w:lineRule="exact"/>
        <w:ind w:firstLine="738" w:firstLineChars="350"/>
        <w:jc w:val="center"/>
        <w:rPr>
          <w:rFonts w:hint="eastAsia" w:ascii="宋体" w:hAnsi="宋体" w:eastAsia="宋体" w:cs="宋体"/>
          <w:b/>
          <w:szCs w:val="21"/>
        </w:rPr>
      </w:pPr>
    </w:p>
    <w:p w14:paraId="22B8401D">
      <w:pPr>
        <w:spacing w:line="440" w:lineRule="exact"/>
        <w:ind w:firstLine="738" w:firstLineChars="350"/>
        <w:jc w:val="center"/>
        <w:rPr>
          <w:rFonts w:hint="eastAsia" w:ascii="宋体" w:hAnsi="宋体" w:eastAsia="宋体" w:cs="宋体"/>
          <w:b/>
          <w:szCs w:val="21"/>
        </w:rPr>
      </w:pPr>
      <w:r>
        <w:rPr>
          <w:rFonts w:hint="eastAsia" w:ascii="宋体" w:hAnsi="宋体" w:eastAsia="宋体" w:cs="宋体"/>
          <w:b/>
          <w:szCs w:val="21"/>
        </w:rPr>
        <w:t>预付款保函联系方式</w:t>
      </w:r>
    </w:p>
    <w:tbl>
      <w:tblPr>
        <w:tblStyle w:val="25"/>
        <w:tblW w:w="950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5"/>
        <w:gridCol w:w="3075"/>
        <w:gridCol w:w="1125"/>
        <w:gridCol w:w="1890"/>
      </w:tblGrid>
      <w:tr w14:paraId="3478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5" w:type="dxa"/>
            <w:vAlign w:val="center"/>
          </w:tcPr>
          <w:p w14:paraId="11806A0F">
            <w:pPr>
              <w:spacing w:line="440" w:lineRule="exact"/>
              <w:jc w:val="center"/>
              <w:rPr>
                <w:rFonts w:hint="eastAsia" w:ascii="宋体" w:hAnsi="宋体" w:eastAsia="宋体" w:cs="宋体"/>
                <w:szCs w:val="21"/>
              </w:rPr>
            </w:pPr>
            <w:r>
              <w:rPr>
                <w:rFonts w:hint="eastAsia" w:ascii="宋体" w:hAnsi="宋体" w:eastAsia="宋体" w:cs="宋体"/>
                <w:szCs w:val="21"/>
              </w:rPr>
              <w:t>保险公司名称</w:t>
            </w:r>
          </w:p>
        </w:tc>
        <w:tc>
          <w:tcPr>
            <w:tcW w:w="3075" w:type="dxa"/>
            <w:vAlign w:val="center"/>
          </w:tcPr>
          <w:p w14:paraId="06718CE8">
            <w:pPr>
              <w:spacing w:line="440" w:lineRule="exact"/>
              <w:jc w:val="center"/>
              <w:rPr>
                <w:rFonts w:hint="eastAsia" w:ascii="宋体" w:hAnsi="宋体" w:eastAsia="宋体" w:cs="宋体"/>
                <w:szCs w:val="21"/>
              </w:rPr>
            </w:pPr>
            <w:r>
              <w:rPr>
                <w:rFonts w:hint="eastAsia" w:ascii="宋体" w:hAnsi="宋体" w:eastAsia="宋体" w:cs="宋体"/>
                <w:szCs w:val="21"/>
              </w:rPr>
              <w:t>保费率</w:t>
            </w:r>
          </w:p>
        </w:tc>
        <w:tc>
          <w:tcPr>
            <w:tcW w:w="1125" w:type="dxa"/>
            <w:vAlign w:val="center"/>
          </w:tcPr>
          <w:p w14:paraId="4D375062">
            <w:pPr>
              <w:spacing w:line="440" w:lineRule="exact"/>
              <w:jc w:val="center"/>
              <w:rPr>
                <w:rFonts w:hint="eastAsia" w:ascii="宋体" w:hAnsi="宋体" w:eastAsia="宋体" w:cs="宋体"/>
                <w:szCs w:val="21"/>
              </w:rPr>
            </w:pPr>
            <w:r>
              <w:rPr>
                <w:rFonts w:hint="eastAsia" w:ascii="宋体" w:hAnsi="宋体" w:eastAsia="宋体" w:cs="宋体"/>
                <w:szCs w:val="21"/>
              </w:rPr>
              <w:t>联系人</w:t>
            </w:r>
          </w:p>
        </w:tc>
        <w:tc>
          <w:tcPr>
            <w:tcW w:w="1890" w:type="dxa"/>
            <w:vAlign w:val="center"/>
          </w:tcPr>
          <w:p w14:paraId="5E13B0F7">
            <w:pPr>
              <w:spacing w:line="440" w:lineRule="exact"/>
              <w:jc w:val="center"/>
              <w:rPr>
                <w:rFonts w:hint="eastAsia" w:ascii="宋体" w:hAnsi="宋体" w:eastAsia="宋体" w:cs="宋体"/>
                <w:szCs w:val="21"/>
              </w:rPr>
            </w:pPr>
            <w:r>
              <w:rPr>
                <w:rFonts w:hint="eastAsia" w:ascii="宋体" w:hAnsi="宋体" w:eastAsia="宋体" w:cs="宋体"/>
                <w:szCs w:val="21"/>
              </w:rPr>
              <w:t>联系电话</w:t>
            </w:r>
          </w:p>
        </w:tc>
      </w:tr>
      <w:tr w14:paraId="0391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5" w:type="dxa"/>
            <w:vAlign w:val="center"/>
          </w:tcPr>
          <w:p w14:paraId="1E2D5544">
            <w:pPr>
              <w:spacing w:line="440" w:lineRule="exact"/>
              <w:jc w:val="center"/>
              <w:rPr>
                <w:rFonts w:hint="eastAsia" w:ascii="宋体" w:hAnsi="宋体" w:eastAsia="宋体" w:cs="宋体"/>
                <w:szCs w:val="21"/>
              </w:rPr>
            </w:pPr>
            <w:r>
              <w:rPr>
                <w:rFonts w:hint="eastAsia" w:ascii="宋体" w:hAnsi="宋体" w:eastAsia="宋体" w:cs="宋体"/>
                <w:szCs w:val="21"/>
              </w:rPr>
              <w:t>中国人寿财产保险股份有限公司台州中心支公司</w:t>
            </w:r>
          </w:p>
        </w:tc>
        <w:tc>
          <w:tcPr>
            <w:tcW w:w="3075" w:type="dxa"/>
            <w:vAlign w:val="center"/>
          </w:tcPr>
          <w:p w14:paraId="4C2CE27A">
            <w:pPr>
              <w:spacing w:line="440" w:lineRule="exact"/>
              <w:jc w:val="center"/>
              <w:rPr>
                <w:rFonts w:hint="eastAsia" w:ascii="宋体" w:hAnsi="宋体" w:eastAsia="宋体" w:cs="宋体"/>
                <w:szCs w:val="21"/>
              </w:rPr>
            </w:pPr>
            <w:r>
              <w:rPr>
                <w:rFonts w:hint="eastAsia" w:ascii="宋体" w:hAnsi="宋体" w:eastAsia="宋体" w:cs="宋体"/>
                <w:szCs w:val="21"/>
              </w:rPr>
              <w:t>年费率3%，最低保费500元</w:t>
            </w:r>
          </w:p>
        </w:tc>
        <w:tc>
          <w:tcPr>
            <w:tcW w:w="1125" w:type="dxa"/>
            <w:vAlign w:val="center"/>
          </w:tcPr>
          <w:p w14:paraId="70F934D0">
            <w:pPr>
              <w:spacing w:line="440" w:lineRule="exact"/>
              <w:jc w:val="center"/>
              <w:rPr>
                <w:rFonts w:hint="eastAsia" w:ascii="宋体" w:hAnsi="宋体" w:eastAsia="宋体" w:cs="宋体"/>
                <w:szCs w:val="21"/>
              </w:rPr>
            </w:pPr>
            <w:r>
              <w:rPr>
                <w:rFonts w:hint="eastAsia" w:ascii="宋体" w:hAnsi="宋体" w:eastAsia="宋体" w:cs="宋体"/>
                <w:szCs w:val="21"/>
              </w:rPr>
              <w:t>徐凌</w:t>
            </w:r>
          </w:p>
        </w:tc>
        <w:tc>
          <w:tcPr>
            <w:tcW w:w="1890" w:type="dxa"/>
            <w:vAlign w:val="center"/>
          </w:tcPr>
          <w:p w14:paraId="236C0F3E">
            <w:pPr>
              <w:spacing w:line="440" w:lineRule="exact"/>
              <w:jc w:val="center"/>
              <w:rPr>
                <w:rFonts w:hint="eastAsia" w:ascii="宋体" w:hAnsi="宋体" w:eastAsia="宋体" w:cs="宋体"/>
                <w:szCs w:val="21"/>
              </w:rPr>
            </w:pPr>
            <w:r>
              <w:rPr>
                <w:rFonts w:hint="eastAsia" w:ascii="宋体" w:hAnsi="宋体" w:eastAsia="宋体" w:cs="宋体"/>
                <w:szCs w:val="21"/>
              </w:rPr>
              <w:t>13905168070</w:t>
            </w:r>
          </w:p>
        </w:tc>
      </w:tr>
      <w:tr w14:paraId="732B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5" w:type="dxa"/>
            <w:vAlign w:val="center"/>
          </w:tcPr>
          <w:p w14:paraId="009FBC89">
            <w:pPr>
              <w:spacing w:line="440" w:lineRule="exact"/>
              <w:jc w:val="center"/>
              <w:rPr>
                <w:rFonts w:hint="eastAsia" w:ascii="宋体" w:hAnsi="宋体" w:eastAsia="宋体" w:cs="宋体"/>
                <w:szCs w:val="21"/>
              </w:rPr>
            </w:pPr>
            <w:r>
              <w:rPr>
                <w:rFonts w:hint="eastAsia" w:ascii="宋体" w:hAnsi="宋体" w:eastAsia="宋体" w:cs="宋体"/>
                <w:szCs w:val="21"/>
              </w:rPr>
              <w:t>阳光保险台州中心支公司</w:t>
            </w:r>
          </w:p>
        </w:tc>
        <w:tc>
          <w:tcPr>
            <w:tcW w:w="3075" w:type="dxa"/>
            <w:vAlign w:val="center"/>
          </w:tcPr>
          <w:p w14:paraId="0B107903">
            <w:pPr>
              <w:spacing w:line="440" w:lineRule="exact"/>
              <w:jc w:val="center"/>
              <w:rPr>
                <w:rFonts w:hint="eastAsia" w:ascii="宋体" w:hAnsi="宋体" w:eastAsia="宋体" w:cs="宋体"/>
                <w:szCs w:val="21"/>
              </w:rPr>
            </w:pPr>
            <w:r>
              <w:rPr>
                <w:rFonts w:hint="eastAsia" w:ascii="宋体" w:hAnsi="宋体" w:eastAsia="宋体" w:cs="宋体"/>
                <w:szCs w:val="21"/>
              </w:rPr>
              <w:t>年费率1%，最低保费500元</w:t>
            </w:r>
          </w:p>
        </w:tc>
        <w:tc>
          <w:tcPr>
            <w:tcW w:w="1125" w:type="dxa"/>
            <w:vAlign w:val="center"/>
          </w:tcPr>
          <w:p w14:paraId="11FF2623">
            <w:pPr>
              <w:spacing w:line="440" w:lineRule="exact"/>
              <w:jc w:val="center"/>
              <w:rPr>
                <w:rFonts w:hint="eastAsia" w:ascii="宋体" w:hAnsi="宋体" w:eastAsia="宋体" w:cs="宋体"/>
                <w:szCs w:val="21"/>
              </w:rPr>
            </w:pPr>
            <w:r>
              <w:rPr>
                <w:rFonts w:hint="eastAsia" w:ascii="宋体" w:hAnsi="宋体" w:eastAsia="宋体" w:cs="宋体"/>
                <w:szCs w:val="21"/>
              </w:rPr>
              <w:t>林高明</w:t>
            </w:r>
          </w:p>
        </w:tc>
        <w:tc>
          <w:tcPr>
            <w:tcW w:w="1890" w:type="dxa"/>
            <w:vAlign w:val="center"/>
          </w:tcPr>
          <w:p w14:paraId="0466B49E">
            <w:pPr>
              <w:spacing w:line="440" w:lineRule="exact"/>
              <w:jc w:val="center"/>
              <w:rPr>
                <w:rFonts w:hint="eastAsia" w:ascii="宋体" w:hAnsi="宋体" w:eastAsia="宋体" w:cs="宋体"/>
                <w:szCs w:val="21"/>
              </w:rPr>
            </w:pPr>
            <w:r>
              <w:rPr>
                <w:rFonts w:hint="eastAsia" w:ascii="宋体" w:hAnsi="宋体" w:eastAsia="宋体" w:cs="宋体"/>
                <w:szCs w:val="21"/>
              </w:rPr>
              <w:t>15888682693</w:t>
            </w:r>
          </w:p>
        </w:tc>
      </w:tr>
      <w:tr w14:paraId="66A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5" w:type="dxa"/>
            <w:vAlign w:val="center"/>
          </w:tcPr>
          <w:p w14:paraId="7275B83C">
            <w:pPr>
              <w:spacing w:line="440" w:lineRule="exact"/>
              <w:jc w:val="center"/>
              <w:rPr>
                <w:rFonts w:hint="eastAsia" w:ascii="宋体" w:hAnsi="宋体" w:eastAsia="宋体" w:cs="宋体"/>
                <w:szCs w:val="21"/>
              </w:rPr>
            </w:pPr>
            <w:r>
              <w:rPr>
                <w:rFonts w:hint="eastAsia" w:ascii="宋体" w:hAnsi="宋体" w:eastAsia="宋体" w:cs="宋体"/>
                <w:szCs w:val="21"/>
              </w:rPr>
              <w:t>天安财产保险股份有限公司台州中心支公司</w:t>
            </w:r>
          </w:p>
        </w:tc>
        <w:tc>
          <w:tcPr>
            <w:tcW w:w="3075" w:type="dxa"/>
            <w:vAlign w:val="center"/>
          </w:tcPr>
          <w:p w14:paraId="2929DD58">
            <w:pPr>
              <w:spacing w:line="440" w:lineRule="exact"/>
              <w:jc w:val="center"/>
              <w:rPr>
                <w:rFonts w:hint="eastAsia" w:ascii="宋体" w:hAnsi="宋体" w:eastAsia="宋体" w:cs="宋体"/>
                <w:szCs w:val="21"/>
              </w:rPr>
            </w:pPr>
            <w:r>
              <w:rPr>
                <w:rFonts w:hint="eastAsia" w:ascii="宋体" w:hAnsi="宋体" w:eastAsia="宋体" w:cs="宋体"/>
                <w:szCs w:val="21"/>
              </w:rPr>
              <w:t>年费率1%-2%，最低保费500元</w:t>
            </w:r>
          </w:p>
        </w:tc>
        <w:tc>
          <w:tcPr>
            <w:tcW w:w="1125" w:type="dxa"/>
            <w:vAlign w:val="center"/>
          </w:tcPr>
          <w:p w14:paraId="461D4313">
            <w:pPr>
              <w:spacing w:line="440" w:lineRule="exact"/>
              <w:jc w:val="center"/>
              <w:rPr>
                <w:rFonts w:hint="eastAsia" w:ascii="宋体" w:hAnsi="宋体" w:eastAsia="宋体" w:cs="宋体"/>
                <w:szCs w:val="21"/>
              </w:rPr>
            </w:pPr>
            <w:r>
              <w:rPr>
                <w:rFonts w:hint="eastAsia" w:ascii="宋体" w:hAnsi="宋体" w:eastAsia="宋体" w:cs="宋体"/>
                <w:szCs w:val="21"/>
              </w:rPr>
              <w:t>罗赛</w:t>
            </w:r>
          </w:p>
        </w:tc>
        <w:tc>
          <w:tcPr>
            <w:tcW w:w="1890" w:type="dxa"/>
            <w:vAlign w:val="center"/>
          </w:tcPr>
          <w:p w14:paraId="6BA2FC07">
            <w:pPr>
              <w:spacing w:line="440" w:lineRule="exact"/>
              <w:jc w:val="center"/>
              <w:rPr>
                <w:rFonts w:hint="eastAsia" w:ascii="宋体" w:hAnsi="宋体" w:eastAsia="宋体" w:cs="宋体"/>
                <w:szCs w:val="21"/>
              </w:rPr>
            </w:pPr>
            <w:r>
              <w:rPr>
                <w:rFonts w:hint="eastAsia" w:ascii="宋体" w:hAnsi="宋体" w:eastAsia="宋体" w:cs="宋体"/>
                <w:szCs w:val="21"/>
              </w:rPr>
              <w:t>13736605643</w:t>
            </w:r>
          </w:p>
        </w:tc>
      </w:tr>
    </w:tbl>
    <w:p w14:paraId="5D74C723">
      <w:pPr>
        <w:widowControl/>
        <w:shd w:val="clear" w:color="auto" w:fill="FFFFFF"/>
        <w:autoSpaceDN w:val="0"/>
        <w:spacing w:line="440" w:lineRule="exact"/>
        <w:ind w:firstLine="422" w:firstLineChars="200"/>
        <w:rPr>
          <w:rFonts w:hint="eastAsia" w:ascii="宋体" w:hAnsi="宋体" w:eastAsia="宋体" w:cs="宋体"/>
          <w:b/>
        </w:rPr>
      </w:pPr>
    </w:p>
    <w:p w14:paraId="64086713">
      <w:pPr>
        <w:widowControl/>
        <w:shd w:val="clear" w:color="auto" w:fill="FFFFFF"/>
        <w:autoSpaceDN w:val="0"/>
        <w:spacing w:line="440" w:lineRule="exact"/>
        <w:ind w:firstLine="422" w:firstLineChars="200"/>
        <w:rPr>
          <w:rFonts w:hint="eastAsia" w:ascii="宋体" w:hAnsi="宋体" w:eastAsia="宋体" w:cs="宋体"/>
          <w:b/>
        </w:rPr>
      </w:pPr>
      <w:r>
        <w:rPr>
          <w:rFonts w:hint="eastAsia" w:ascii="宋体" w:hAnsi="宋体" w:eastAsia="宋体" w:cs="宋体"/>
          <w:b/>
          <w:szCs w:val="21"/>
          <w:shd w:val="clear" w:color="auto" w:fill="FFFFFF"/>
        </w:rPr>
        <w:t>若对项目采购电子交易系统操作有疑问，可登录政采云（https://www.zcygov.cn/），点击右侧咨询小采，获取采小蜜智能服务管家帮助，或拨打政采云服务热线400-881-7190获取热线服务帮助。</w:t>
      </w:r>
    </w:p>
    <w:p w14:paraId="31672A2E">
      <w:pPr>
        <w:widowControl/>
        <w:shd w:val="clear" w:color="auto" w:fill="FFFFFF"/>
        <w:autoSpaceDN w:val="0"/>
        <w:spacing w:line="440" w:lineRule="exact"/>
        <w:ind w:firstLine="422" w:firstLineChars="200"/>
        <w:rPr>
          <w:rFonts w:hint="eastAsia" w:ascii="宋体" w:hAnsi="宋体" w:eastAsia="宋体" w:cs="宋体"/>
          <w:b/>
        </w:rPr>
      </w:pPr>
      <w:r>
        <w:rPr>
          <w:rFonts w:hint="eastAsia" w:ascii="宋体" w:hAnsi="宋体" w:eastAsia="宋体" w:cs="宋体"/>
          <w:b/>
          <w:szCs w:val="21"/>
          <w:shd w:val="clear" w:color="auto" w:fill="FFFFFF"/>
        </w:rPr>
        <w:t>CA问题联系电话（人工）：汇信CA 400-888-4636；天谷CA 400-087-8198。</w:t>
      </w:r>
    </w:p>
    <w:p w14:paraId="5DC9FE3A">
      <w:pPr>
        <w:autoSpaceDN w:val="0"/>
        <w:spacing w:line="440" w:lineRule="exact"/>
        <w:rPr>
          <w:rFonts w:hint="eastAsia" w:ascii="宋体" w:hAnsi="宋体" w:eastAsia="宋体" w:cs="宋体"/>
          <w:b/>
        </w:rPr>
      </w:pPr>
      <w:r>
        <w:rPr>
          <w:rFonts w:hint="eastAsia" w:ascii="宋体" w:hAnsi="宋体" w:eastAsia="宋体" w:cs="宋体"/>
          <w:b/>
          <w:szCs w:val="21"/>
        </w:rPr>
        <w:t> </w:t>
      </w:r>
    </w:p>
    <w:p w14:paraId="292AD6E8">
      <w:pPr>
        <w:autoSpaceDN w:val="0"/>
        <w:spacing w:line="440" w:lineRule="exact"/>
        <w:rPr>
          <w:rFonts w:hint="eastAsia" w:ascii="宋体" w:hAnsi="宋体" w:eastAsia="宋体" w:cs="宋体"/>
        </w:rPr>
      </w:pPr>
      <w:r>
        <w:rPr>
          <w:rFonts w:hint="eastAsia" w:ascii="宋体" w:hAnsi="宋体" w:eastAsia="宋体" w:cs="宋体"/>
          <w:szCs w:val="21"/>
        </w:rPr>
        <w:t> </w:t>
      </w:r>
    </w:p>
    <w:p w14:paraId="6B8341F8">
      <w:pPr>
        <w:pageBreakBefore/>
        <w:autoSpaceDN w:val="0"/>
        <w:spacing w:line="500" w:lineRule="exact"/>
        <w:jc w:val="center"/>
        <w:outlineLvl w:val="0"/>
        <w:rPr>
          <w:rFonts w:hint="eastAsia" w:ascii="宋体" w:hAnsi="宋体" w:eastAsia="宋体" w:cs="宋体"/>
          <w:b/>
          <w:sz w:val="28"/>
          <w:szCs w:val="28"/>
        </w:rPr>
      </w:pPr>
      <w:bookmarkStart w:id="5" w:name="_Toc15413"/>
      <w:bookmarkStart w:id="6" w:name="_Toc40964229"/>
      <w:r>
        <w:rPr>
          <w:rFonts w:hint="eastAsia" w:ascii="宋体" w:hAnsi="宋体" w:eastAsia="宋体" w:cs="宋体"/>
          <w:b/>
          <w:sz w:val="28"/>
          <w:szCs w:val="28"/>
        </w:rPr>
        <w:t>第二章  磋商须知</w:t>
      </w:r>
      <w:bookmarkEnd w:id="5"/>
      <w:bookmarkEnd w:id="6"/>
    </w:p>
    <w:p w14:paraId="2586B012">
      <w:pPr>
        <w:autoSpaceDN w:val="0"/>
        <w:spacing w:line="360" w:lineRule="auto"/>
        <w:ind w:firstLine="422" w:firstLineChars="200"/>
        <w:rPr>
          <w:rFonts w:hint="eastAsia" w:ascii="宋体" w:hAnsi="宋体" w:eastAsia="宋体" w:cs="宋体"/>
        </w:rPr>
      </w:pPr>
      <w:r>
        <w:rPr>
          <w:rFonts w:hint="eastAsia" w:ascii="宋体" w:hAnsi="宋体" w:eastAsia="宋体" w:cs="宋体"/>
          <w:b/>
          <w:szCs w:val="21"/>
        </w:rPr>
        <w:t>一、适用范围</w:t>
      </w:r>
    </w:p>
    <w:p w14:paraId="3B1D6873">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1、本竞争性磋商文件仅适用于本项目所叙述的服务的磋商、评审、验收、合同履约、付款等（法律、法规另有规定的，从其规定）。</w:t>
      </w:r>
    </w:p>
    <w:p w14:paraId="723CC94F">
      <w:pPr>
        <w:autoSpaceDN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二、定义</w:t>
      </w:r>
    </w:p>
    <w:p w14:paraId="2103CB1F">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1、“采购人”系指台州市椒江区第五中学。</w:t>
      </w:r>
    </w:p>
    <w:p w14:paraId="29941BA3">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2、“代理机构”系指中冠工程管理咨询有限公司。</w:t>
      </w:r>
    </w:p>
    <w:p w14:paraId="31F4F89C">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3、“供应商”系指向采购人提交磋商响应文件的供应商。</w:t>
      </w:r>
    </w:p>
    <w:p w14:paraId="1DF23B96">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4、“货物”系指供应商按竞争性磋商文件规定，须向采购人提供的一切设备、保险、税金、备品备件、工具、手册及其它有关技术资料和材料。</w:t>
      </w:r>
    </w:p>
    <w:p w14:paraId="12266F43">
      <w:pPr>
        <w:widowControl/>
        <w:autoSpaceDN/>
        <w:spacing w:line="360" w:lineRule="auto"/>
        <w:ind w:right="-2" w:firstLine="420" w:firstLineChars="200"/>
        <w:jc w:val="both"/>
        <w:rPr>
          <w:rFonts w:hint="default" w:ascii="宋体" w:hAnsi="宋体" w:cs="宋体" w:eastAsiaTheme="minorEastAsia"/>
          <w:lang w:val="en-US" w:eastAsia="zh-CN"/>
        </w:rPr>
      </w:pPr>
      <w:r>
        <w:rPr>
          <w:rFonts w:hint="eastAsia" w:ascii="宋体" w:hAnsi="宋体" w:eastAsia="宋体" w:cs="宋体"/>
          <w:szCs w:val="21"/>
        </w:rPr>
        <w:t>5、“服务”</w:t>
      </w:r>
      <w:r>
        <w:rPr>
          <w:rFonts w:hint="eastAsia" w:ascii="Times New Roman" w:hAnsi="Times New Roman" w:cs="宋体"/>
          <w:szCs w:val="21"/>
          <w:lang w:bidi="ar"/>
        </w:rPr>
        <w:t>系指本竞争性磋商文件规定供应商须承担的</w:t>
      </w:r>
      <w:r>
        <w:rPr>
          <w:rFonts w:hint="eastAsia" w:ascii="Times New Roman" w:hAnsi="Times New Roman" w:cs="宋体"/>
          <w:szCs w:val="21"/>
          <w:shd w:val="clear" w:color="auto" w:fill="FFFFFF"/>
          <w:lang w:bidi="ar"/>
        </w:rPr>
        <w:t>各项服务</w:t>
      </w:r>
      <w:r>
        <w:rPr>
          <w:rFonts w:hint="eastAsia" w:ascii="Times New Roman" w:hAnsi="Times New Roman" w:cs="宋体"/>
          <w:szCs w:val="21"/>
          <w:lang w:bidi="ar"/>
        </w:rPr>
        <w:t>以及其他类似的义务。</w:t>
      </w:r>
      <w:r>
        <w:rPr>
          <w:rFonts w:hint="eastAsia" w:ascii="Times New Roman" w:hAnsi="Times New Roman" w:cs="宋体"/>
          <w:szCs w:val="21"/>
          <w:lang w:val="en-US" w:eastAsia="zh-CN" w:bidi="ar"/>
        </w:rPr>
        <w:t xml:space="preserve">  </w:t>
      </w:r>
    </w:p>
    <w:p w14:paraId="0E947A31">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6、“同级政府采购监管部门”系指台州市</w:t>
      </w:r>
      <w:r>
        <w:rPr>
          <w:rFonts w:hint="eastAsia" w:ascii="宋体" w:hAnsi="宋体" w:eastAsia="宋体" w:cs="宋体"/>
          <w:szCs w:val="21"/>
          <w:lang w:val="en-US" w:eastAsia="zh-CN"/>
        </w:rPr>
        <w:t>椒江区</w:t>
      </w:r>
      <w:r>
        <w:rPr>
          <w:rFonts w:hint="eastAsia" w:ascii="宋体" w:hAnsi="宋体" w:eastAsia="宋体" w:cs="宋体"/>
          <w:szCs w:val="21"/>
        </w:rPr>
        <w:t>财政局政府采购监管处。</w:t>
      </w:r>
    </w:p>
    <w:p w14:paraId="7120522F">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7、“▲”系指实质性响应条款。</w:t>
      </w:r>
    </w:p>
    <w:p w14:paraId="7FFDD19A">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w:t>
      </w:r>
      <w:r>
        <w:rPr>
          <w:rFonts w:hint="eastAsia" w:ascii="宋体" w:hAnsi="宋体" w:eastAsia="宋体" w:cs="宋体"/>
          <w:b/>
          <w:szCs w:val="21"/>
        </w:rPr>
        <w:t>三、供应商的资格要求</w:t>
      </w:r>
    </w:p>
    <w:p w14:paraId="475EFCF4">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1、详见竞争性磋商公告。</w:t>
      </w:r>
    </w:p>
    <w:p w14:paraId="221AE7CC">
      <w:pPr>
        <w:autoSpaceDN w:val="0"/>
        <w:spacing w:line="360" w:lineRule="auto"/>
        <w:ind w:right="141" w:rightChars="67" w:firstLine="420" w:firstLineChars="200"/>
        <w:jc w:val="left"/>
        <w:rPr>
          <w:rFonts w:hint="eastAsia" w:ascii="宋体" w:hAnsi="宋体" w:eastAsia="宋体" w:cs="宋体"/>
        </w:rPr>
      </w:pPr>
      <w:r>
        <w:rPr>
          <w:rFonts w:hint="eastAsia" w:ascii="宋体" w:hAnsi="宋体" w:eastAsia="宋体" w:cs="宋体"/>
          <w:szCs w:val="21"/>
        </w:rPr>
        <w:t>2、除金融、保险、通讯等特定行业外，法人的分支机构由于不能独立承担民事责任，不能以分支机构的身份参加政府采购，只能法人身份参加。</w:t>
      </w:r>
    </w:p>
    <w:p w14:paraId="7D3B37B3">
      <w:pPr>
        <w:autoSpaceDN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四、磋商费用</w:t>
      </w:r>
    </w:p>
    <w:p w14:paraId="63D4CFE0">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1、不论磋商的结果如何，供应商自行承担其参加本次磋商活动有关的全部费用。</w:t>
      </w:r>
    </w:p>
    <w:p w14:paraId="7637BC55">
      <w:pPr>
        <w:autoSpaceDN w:val="0"/>
        <w:adjustRightInd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五、磋商报价</w:t>
      </w:r>
    </w:p>
    <w:p w14:paraId="534101AA">
      <w:pPr>
        <w:autoSpaceDN w:val="0"/>
        <w:spacing w:line="360" w:lineRule="auto"/>
        <w:ind w:firstLine="420" w:firstLineChars="200"/>
        <w:jc w:val="left"/>
        <w:rPr>
          <w:rFonts w:hint="eastAsia" w:ascii="宋体" w:hAnsi="宋体" w:eastAsia="宋体" w:cs="宋体"/>
          <w:szCs w:val="21"/>
          <w:lang w:val="zh-CN"/>
        </w:rPr>
      </w:pPr>
      <w:r>
        <w:rPr>
          <w:rFonts w:hint="eastAsia" w:ascii="宋体" w:hAnsi="宋体" w:eastAsia="宋体" w:cs="宋体"/>
          <w:szCs w:val="21"/>
        </w:rPr>
        <w:t>1、磋商报价以人民币为结算货币，磋商</w:t>
      </w:r>
      <w:r>
        <w:rPr>
          <w:rFonts w:hint="eastAsia" w:ascii="宋体" w:hAnsi="宋体" w:eastAsia="宋体" w:cs="宋体"/>
          <w:szCs w:val="21"/>
          <w:lang w:val="zh-CN"/>
        </w:rPr>
        <w:t>报价包含完成竞争性磋商文件所确定的招标范围内全部工作内容的价格表现。包括但不限于完成项目内容所需的一切人工费、材料费、机械费、措施费、管理费、利润、规费、税金、施工安全生产责任保险等政策性文件规定及合同明示或暗示的所有风险、责任、义务等各项应有的费用，具体内容详见具体详见采购人提供的工程量清单及编制说明。各投标供应商应根据采购人提供的全套施工图纸、工程量清单，以及本工程实际情况和自身的综合实力，竞报投标报价。</w:t>
      </w:r>
    </w:p>
    <w:p w14:paraId="7FE9A91A">
      <w:pPr>
        <w:autoSpaceDN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六、磋商有效期</w:t>
      </w:r>
    </w:p>
    <w:p w14:paraId="42093C30">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bCs/>
          <w:szCs w:val="21"/>
        </w:rPr>
        <w:t>▲</w:t>
      </w:r>
      <w:r>
        <w:rPr>
          <w:rFonts w:hint="eastAsia" w:ascii="宋体" w:hAnsi="宋体" w:eastAsia="宋体" w:cs="宋体"/>
          <w:szCs w:val="21"/>
        </w:rPr>
        <w:t>1、磋商响应文件从磋商之日起，磋商有效期为90个日历日。磋商有效期不能小于竞争性磋商文件的要求。</w:t>
      </w:r>
    </w:p>
    <w:p w14:paraId="7756CD15">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2、特殊情况下，采购人可与供应商协商延缓磋商响应文件的有效期，这种要求和答复均以书面形式进行。</w:t>
      </w:r>
    </w:p>
    <w:p w14:paraId="5806A20D">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3、供应商可拒绝接受延期要求。同意延长有效期的供应商不能修改磋商响应文件。</w:t>
      </w:r>
    </w:p>
    <w:p w14:paraId="1183BDA5">
      <w:pPr>
        <w:autoSpaceDN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七、磋商响应文件的形式和效力</w:t>
      </w:r>
    </w:p>
    <w:p w14:paraId="060F0C28">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1、磋商响应文件分为电子磋商响应文件（后缀为.jmbs的加密文件）以及备份磋商响应文件（后缀为.bfbs）。</w:t>
      </w:r>
    </w:p>
    <w:p w14:paraId="0A520A44">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2、电子磋商响应文件，按“项目采购-电子招投标操作指南”及本竞争性磋商文件要求制作，并加密。</w:t>
      </w:r>
    </w:p>
    <w:p w14:paraId="08607ADE">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3、</w:t>
      </w:r>
      <w:r>
        <w:rPr>
          <w:rFonts w:hint="eastAsia" w:ascii="宋体" w:hAnsi="宋体" w:eastAsia="宋体" w:cs="宋体"/>
          <w:kern w:val="0"/>
          <w:szCs w:val="21"/>
        </w:rPr>
        <w:t>电子</w:t>
      </w:r>
      <w:r>
        <w:rPr>
          <w:rFonts w:hint="eastAsia" w:ascii="宋体" w:hAnsi="宋体" w:eastAsia="宋体" w:cs="宋体"/>
          <w:szCs w:val="21"/>
        </w:rPr>
        <w:t>备份磋商响应文件，按“项目采购-电子招投标操作指南”制作的电子备份文件。</w:t>
      </w:r>
    </w:p>
    <w:p w14:paraId="785657E8">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4、磋商响应文件填写字迹必须清楚、工整，对不同文字文本磋商响应文件的解释发生异议的，以中文文本为准。</w:t>
      </w:r>
    </w:p>
    <w:p w14:paraId="23776781">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5、磋商响应文件的效力</w:t>
      </w:r>
    </w:p>
    <w:p w14:paraId="36CA7C08">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磋商响应文件的启用，按先后顺位分别为电子磋商响应文件、</w:t>
      </w:r>
      <w:r>
        <w:rPr>
          <w:rFonts w:hint="eastAsia" w:ascii="宋体" w:hAnsi="宋体" w:eastAsia="宋体" w:cs="宋体"/>
          <w:kern w:val="0"/>
          <w:szCs w:val="21"/>
        </w:rPr>
        <w:t>电子</w:t>
      </w:r>
      <w:r>
        <w:rPr>
          <w:rFonts w:hint="eastAsia" w:ascii="宋体" w:hAnsi="宋体" w:eastAsia="宋体" w:cs="宋体"/>
          <w:szCs w:val="21"/>
        </w:rPr>
        <w:t>备份磋商响应文件。在下一顺位的磋商响应文件启用时，前一顺位的磋商响应文件自动失效。</w:t>
      </w:r>
    </w:p>
    <w:p w14:paraId="11051347">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电子磋商响应文件未能按时解密，供应商提供了电子备份磋商响应文件的，以电子备份磋商响应文件作为依据，否则视为磋商响应文件撤回。电子磋商响应文件已按时解密的，电子备份磋商响应文件自动失效。</w:t>
      </w:r>
    </w:p>
    <w:p w14:paraId="0AC15281">
      <w:pPr>
        <w:autoSpaceDN w:val="0"/>
        <w:spacing w:line="360" w:lineRule="auto"/>
        <w:ind w:firstLine="422" w:firstLineChars="200"/>
        <w:rPr>
          <w:rFonts w:hint="eastAsia" w:ascii="宋体" w:hAnsi="宋体" w:eastAsia="宋体" w:cs="宋体"/>
        </w:rPr>
      </w:pPr>
      <w:r>
        <w:rPr>
          <w:rFonts w:hint="eastAsia" w:ascii="宋体" w:hAnsi="宋体" w:eastAsia="宋体" w:cs="宋体"/>
          <w:b/>
          <w:szCs w:val="21"/>
        </w:rPr>
        <w:t>八、磋商响应文件的组成</w:t>
      </w:r>
    </w:p>
    <w:p w14:paraId="3586CBD2">
      <w:pPr>
        <w:autoSpaceDN w:val="0"/>
        <w:snapToGrid w:val="0"/>
        <w:spacing w:line="360" w:lineRule="auto"/>
        <w:ind w:firstLine="413" w:firstLineChars="196"/>
        <w:jc w:val="left"/>
        <w:rPr>
          <w:rFonts w:hint="eastAsia" w:ascii="宋体" w:hAnsi="宋体" w:eastAsia="宋体" w:cs="宋体"/>
        </w:rPr>
      </w:pPr>
      <w:bookmarkStart w:id="7" w:name="_Hlk38989741"/>
      <w:r>
        <w:rPr>
          <w:rFonts w:hint="eastAsia" w:ascii="宋体" w:hAnsi="宋体" w:eastAsia="宋体" w:cs="宋体"/>
          <w:b/>
          <w:szCs w:val="21"/>
        </w:rPr>
        <w:t>A、第一册：资格文件</w:t>
      </w:r>
    </w:p>
    <w:p w14:paraId="0F461088">
      <w:pPr>
        <w:autoSpaceDN w:val="0"/>
        <w:spacing w:line="360" w:lineRule="auto"/>
        <w:ind w:firstLine="420" w:firstLineChars="200"/>
        <w:jc w:val="left"/>
      </w:pPr>
      <w:r>
        <w:rPr>
          <w:rFonts w:hint="eastAsia" w:ascii="Times New Roman" w:hAnsi="宋体" w:cs="宋体"/>
          <w:szCs w:val="21"/>
        </w:rPr>
        <w:t>A1、关于资格的承诺函</w:t>
      </w:r>
      <w:r>
        <w:rPr>
          <w:rFonts w:hint="eastAsia" w:ascii="Times New Roman" w:hAnsi="Times New Roman" w:eastAsia="宋体" w:cs="宋体"/>
          <w:szCs w:val="21"/>
        </w:rPr>
        <w:t>（格式详见附件）</w:t>
      </w:r>
      <w:r>
        <w:rPr>
          <w:rFonts w:hint="eastAsia" w:ascii="Times New Roman" w:hAnsi="宋体" w:cs="宋体"/>
          <w:szCs w:val="21"/>
        </w:rPr>
        <w:t>；</w:t>
      </w:r>
    </w:p>
    <w:p w14:paraId="0DF4F1B3">
      <w:pPr>
        <w:autoSpaceDN w:val="0"/>
        <w:spacing w:line="360" w:lineRule="auto"/>
        <w:ind w:firstLine="420" w:firstLineChars="200"/>
        <w:jc w:val="left"/>
        <w:rPr>
          <w:rFonts w:hint="eastAsia" w:ascii="Times New Roman" w:hAnsi="宋体" w:cs="宋体"/>
          <w:szCs w:val="21"/>
        </w:rPr>
      </w:pPr>
      <w:r>
        <w:rPr>
          <w:rFonts w:ascii="Times New Roman" w:hAnsi="Times New Roman"/>
          <w:szCs w:val="21"/>
        </w:rPr>
        <w:t>A</w:t>
      </w:r>
      <w:r>
        <w:rPr>
          <w:rFonts w:hint="eastAsia" w:ascii="Times New Roman" w:hAnsi="Times New Roman"/>
          <w:szCs w:val="21"/>
        </w:rPr>
        <w:t>2</w:t>
      </w:r>
      <w:r>
        <w:rPr>
          <w:rFonts w:hint="eastAsia" w:ascii="Times New Roman" w:hAnsi="宋体" w:cs="宋体"/>
          <w:szCs w:val="21"/>
        </w:rPr>
        <w:t>、营业执照副本（或事业法人登记证副本或其他登记证明材料）（供应商如果有名称变更的，应提供由行政主管部门出具的变更证明文件扫描件加盖供应商公章）；</w:t>
      </w:r>
    </w:p>
    <w:p w14:paraId="08E90DAA">
      <w:pPr>
        <w:autoSpaceDN w:val="0"/>
        <w:spacing w:line="360" w:lineRule="auto"/>
        <w:ind w:firstLine="420" w:firstLineChars="200"/>
        <w:jc w:val="left"/>
        <w:rPr>
          <w:rFonts w:ascii="Times New Roman" w:hAnsi="Times New Roman"/>
          <w:szCs w:val="21"/>
        </w:rPr>
      </w:pPr>
      <w:r>
        <w:rPr>
          <w:rFonts w:hint="eastAsia" w:ascii="Times New Roman" w:hAnsi="Times New Roman"/>
          <w:szCs w:val="21"/>
        </w:rPr>
        <w:t>A3、有效的建筑装修装饰工程专业承包二级及以上资质扫描件，有效的安全生产许可证扫描件；</w:t>
      </w:r>
    </w:p>
    <w:p w14:paraId="6FBDD79F">
      <w:pPr>
        <w:autoSpaceDN w:val="0"/>
        <w:spacing w:line="360" w:lineRule="auto"/>
        <w:ind w:firstLine="420" w:firstLineChars="200"/>
        <w:jc w:val="left"/>
        <w:rPr>
          <w:rFonts w:ascii="Times New Roman" w:hAnsi="Times New Roman"/>
          <w:szCs w:val="21"/>
        </w:rPr>
      </w:pPr>
      <w:r>
        <w:rPr>
          <w:rFonts w:hint="eastAsia" w:ascii="Times New Roman" w:hAnsi="Times New Roman"/>
          <w:szCs w:val="21"/>
        </w:rPr>
        <w:t>A4、中小企业声明函（格式详见附件）；</w:t>
      </w:r>
    </w:p>
    <w:p w14:paraId="6105D6B0">
      <w:pPr>
        <w:autoSpaceDN w:val="0"/>
        <w:spacing w:line="360" w:lineRule="auto"/>
        <w:ind w:firstLine="420" w:firstLineChars="200"/>
        <w:jc w:val="left"/>
      </w:pPr>
      <w:r>
        <w:rPr>
          <w:rFonts w:hint="eastAsia" w:ascii="Times New Roman" w:hAnsi="Times New Roman"/>
          <w:szCs w:val="21"/>
        </w:rPr>
        <w:t>A5、残疾人福利性单位声明函（格式详见附件）；</w:t>
      </w:r>
    </w:p>
    <w:p w14:paraId="31B3511C">
      <w:pPr>
        <w:autoSpaceDN w:val="0"/>
        <w:spacing w:line="360" w:lineRule="auto"/>
        <w:ind w:firstLine="420" w:firstLineChars="200"/>
        <w:jc w:val="left"/>
        <w:rPr>
          <w:rFonts w:hint="default" w:eastAsiaTheme="minorEastAsia"/>
          <w:lang w:val="en-US" w:eastAsia="zh-CN"/>
        </w:rPr>
      </w:pPr>
      <w:r>
        <w:rPr>
          <w:rFonts w:hint="eastAsia"/>
          <w:lang w:val="en-US" w:eastAsia="zh-CN"/>
        </w:rPr>
        <w:t>A6、监狱企业证明文件；</w:t>
      </w:r>
    </w:p>
    <w:p w14:paraId="3809F561">
      <w:pPr>
        <w:autoSpaceDN w:val="0"/>
        <w:spacing w:line="360" w:lineRule="auto"/>
        <w:jc w:val="left"/>
        <w:rPr>
          <w:rFonts w:ascii="Times New Roman" w:hAnsi="Times New Roman" w:eastAsia="宋体"/>
          <w:szCs w:val="21"/>
        </w:rPr>
      </w:pPr>
      <w:r>
        <w:rPr>
          <w:rFonts w:hint="eastAsia" w:ascii="Times New Roman" w:hAnsi="Times New Roman"/>
          <w:szCs w:val="21"/>
        </w:rPr>
        <w:t xml:space="preserve">    A</w:t>
      </w:r>
      <w:r>
        <w:rPr>
          <w:rFonts w:hint="eastAsia" w:ascii="Times New Roman" w:hAnsi="Times New Roman"/>
          <w:szCs w:val="21"/>
          <w:lang w:val="en-US" w:eastAsia="zh-CN"/>
        </w:rPr>
        <w:t>7</w:t>
      </w:r>
      <w:r>
        <w:rPr>
          <w:rFonts w:hint="eastAsia" w:ascii="Times New Roman" w:hAnsi="Times New Roman"/>
          <w:szCs w:val="21"/>
        </w:rPr>
        <w:t>、</w:t>
      </w:r>
      <w:r>
        <w:rPr>
          <w:rFonts w:hint="eastAsia" w:ascii="Times New Roman" w:hAnsi="Times New Roman" w:eastAsia="宋体" w:cs="Times New Roman"/>
          <w:szCs w:val="21"/>
        </w:rPr>
        <w:t>供应商认为需要的其他资格资料（如有需提供）。</w:t>
      </w:r>
    </w:p>
    <w:p w14:paraId="7117631A">
      <w:pPr>
        <w:autoSpaceDN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B、第二册：商务和技术文件</w:t>
      </w:r>
    </w:p>
    <w:p w14:paraId="2941C69F">
      <w:pPr>
        <w:autoSpaceDN w:val="0"/>
        <w:spacing w:line="360" w:lineRule="auto"/>
        <w:ind w:firstLine="420" w:firstLineChars="200"/>
        <w:jc w:val="left"/>
        <w:rPr>
          <w:rFonts w:hint="eastAsia" w:ascii="宋体" w:hAnsi="宋体" w:eastAsia="宋体" w:cs="宋体"/>
          <w:szCs w:val="21"/>
        </w:rPr>
      </w:pPr>
      <w:bookmarkStart w:id="8" w:name="_Hlk42247632"/>
      <w:r>
        <w:rPr>
          <w:rFonts w:hint="eastAsia" w:ascii="宋体" w:hAnsi="宋体" w:eastAsia="宋体" w:cs="宋体"/>
          <w:szCs w:val="21"/>
        </w:rPr>
        <w:t>B1.商务技术自评表</w:t>
      </w:r>
      <w:r>
        <w:rPr>
          <w:rFonts w:hint="eastAsia" w:ascii="Times New Roman" w:hAnsi="Times New Roman" w:eastAsia="宋体" w:cs="宋体"/>
          <w:szCs w:val="21"/>
        </w:rPr>
        <w:t>（格式详见附件）</w:t>
      </w:r>
      <w:r>
        <w:rPr>
          <w:rFonts w:hint="eastAsia" w:ascii="宋体" w:hAnsi="宋体" w:eastAsia="宋体" w:cs="宋体"/>
          <w:szCs w:val="21"/>
        </w:rPr>
        <w:t>；</w:t>
      </w:r>
    </w:p>
    <w:p w14:paraId="5B6D8412">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B2.磋商函</w:t>
      </w:r>
      <w:r>
        <w:rPr>
          <w:rFonts w:hint="eastAsia" w:ascii="Times New Roman" w:hAnsi="Times New Roman" w:eastAsia="宋体" w:cs="宋体"/>
          <w:szCs w:val="21"/>
        </w:rPr>
        <w:t>（格式详见附件）</w:t>
      </w:r>
      <w:r>
        <w:rPr>
          <w:rFonts w:hint="eastAsia" w:ascii="宋体" w:hAnsi="宋体" w:eastAsia="宋体" w:cs="宋体"/>
          <w:szCs w:val="21"/>
        </w:rPr>
        <w:t>；</w:t>
      </w:r>
    </w:p>
    <w:p w14:paraId="13709D3B">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B3.法定代表人身份证明</w:t>
      </w:r>
      <w:r>
        <w:rPr>
          <w:rFonts w:hint="eastAsia" w:ascii="Times New Roman" w:hAnsi="Times New Roman" w:eastAsia="宋体" w:cs="宋体"/>
          <w:szCs w:val="21"/>
        </w:rPr>
        <w:t>（格式详见附件）</w:t>
      </w:r>
      <w:r>
        <w:rPr>
          <w:rFonts w:hint="eastAsia" w:ascii="宋体" w:hAnsi="宋体" w:eastAsia="宋体" w:cs="宋体"/>
          <w:szCs w:val="21"/>
        </w:rPr>
        <w:t>；</w:t>
      </w:r>
    </w:p>
    <w:p w14:paraId="624C891E">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B4.法定代表人授权书</w:t>
      </w:r>
      <w:r>
        <w:rPr>
          <w:rFonts w:hint="eastAsia" w:ascii="Times New Roman" w:hAnsi="Times New Roman" w:eastAsia="宋体" w:cs="宋体"/>
          <w:szCs w:val="21"/>
        </w:rPr>
        <w:t>（格式详见附件）</w:t>
      </w:r>
      <w:r>
        <w:rPr>
          <w:rFonts w:hint="eastAsia" w:ascii="宋体" w:hAnsi="宋体" w:eastAsia="宋体" w:cs="宋体"/>
          <w:szCs w:val="21"/>
        </w:rPr>
        <w:t>；</w:t>
      </w:r>
    </w:p>
    <w:p w14:paraId="2D3535F1">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B5.商务条款响应表</w:t>
      </w:r>
      <w:r>
        <w:rPr>
          <w:rFonts w:hint="eastAsia" w:ascii="Times New Roman" w:hAnsi="Times New Roman" w:eastAsia="宋体" w:cs="宋体"/>
          <w:szCs w:val="21"/>
        </w:rPr>
        <w:t>（格式详见附件）</w:t>
      </w:r>
      <w:r>
        <w:rPr>
          <w:rFonts w:hint="eastAsia" w:ascii="宋体" w:hAnsi="宋体" w:eastAsia="宋体" w:cs="宋体"/>
          <w:szCs w:val="21"/>
        </w:rPr>
        <w:t>；</w:t>
      </w:r>
    </w:p>
    <w:p w14:paraId="6D63238F">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B6.用户需求书响应表</w:t>
      </w:r>
      <w:r>
        <w:rPr>
          <w:rFonts w:hint="eastAsia" w:ascii="Times New Roman" w:hAnsi="Times New Roman" w:eastAsia="宋体" w:cs="宋体"/>
          <w:szCs w:val="21"/>
        </w:rPr>
        <w:t>（格式详见附件）</w:t>
      </w:r>
      <w:r>
        <w:rPr>
          <w:rFonts w:hint="eastAsia" w:ascii="宋体" w:hAnsi="宋体" w:eastAsia="宋体" w:cs="宋体"/>
          <w:szCs w:val="21"/>
        </w:rPr>
        <w:t>；</w:t>
      </w:r>
    </w:p>
    <w:p w14:paraId="0F5809F5">
      <w:pPr>
        <w:autoSpaceDN w:val="0"/>
        <w:spacing w:line="360" w:lineRule="auto"/>
        <w:ind w:firstLine="420" w:firstLineChars="200"/>
        <w:jc w:val="left"/>
        <w:rPr>
          <w:rFonts w:hint="eastAsia" w:ascii="宋体" w:hAnsi="宋体" w:eastAsia="宋体" w:cs="宋体"/>
        </w:rPr>
      </w:pPr>
      <w:bookmarkStart w:id="9" w:name="_Hlk41038472"/>
      <w:bookmarkStart w:id="10" w:name="_Hlk41494001"/>
      <w:r>
        <w:rPr>
          <w:rFonts w:hint="eastAsia" w:ascii="宋体" w:hAnsi="宋体" w:eastAsia="宋体" w:cs="宋体"/>
          <w:szCs w:val="21"/>
        </w:rPr>
        <w:t>B7.针对本项目拟定的人员配备情况；</w:t>
      </w:r>
    </w:p>
    <w:p w14:paraId="6232641C">
      <w:pPr>
        <w:autoSpaceDN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B8.投标品牌匹配一览表</w:t>
      </w:r>
      <w:r>
        <w:rPr>
          <w:rFonts w:hint="eastAsia" w:ascii="Times New Roman" w:hAnsi="Times New Roman" w:eastAsia="宋体" w:cs="宋体"/>
          <w:szCs w:val="21"/>
        </w:rPr>
        <w:t>（格式详见附件）</w:t>
      </w:r>
      <w:r>
        <w:rPr>
          <w:rFonts w:hint="eastAsia" w:ascii="宋体" w:hAnsi="宋体" w:eastAsia="宋体" w:cs="宋体"/>
          <w:szCs w:val="21"/>
        </w:rPr>
        <w:t>；</w:t>
      </w:r>
    </w:p>
    <w:p w14:paraId="3F82A9C9">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lang w:val="en-US" w:eastAsia="zh-CN"/>
        </w:rPr>
        <w:t>B9.</w:t>
      </w:r>
      <w:r>
        <w:rPr>
          <w:rFonts w:hint="eastAsia" w:ascii="宋体" w:hAnsi="宋体" w:eastAsia="宋体" w:cs="宋体"/>
          <w:szCs w:val="21"/>
        </w:rPr>
        <w:t>针对本项目制定的各项服务方案；</w:t>
      </w:r>
    </w:p>
    <w:p w14:paraId="12B85D30">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B</w:t>
      </w:r>
      <w:r>
        <w:rPr>
          <w:rFonts w:hint="eastAsia" w:ascii="宋体" w:hAnsi="宋体" w:eastAsia="宋体" w:cs="宋体"/>
          <w:szCs w:val="21"/>
          <w:lang w:val="en-US" w:eastAsia="zh-CN"/>
        </w:rPr>
        <w:t>10</w:t>
      </w:r>
      <w:r>
        <w:rPr>
          <w:rFonts w:hint="eastAsia" w:ascii="宋体" w:hAnsi="宋体" w:eastAsia="宋体" w:cs="宋体"/>
          <w:szCs w:val="21"/>
        </w:rPr>
        <w:t>.第三章“评定成交的标准”中“商务技术评分表”要求提供的资料（如有需提供）；</w:t>
      </w:r>
    </w:p>
    <w:bookmarkEnd w:id="8"/>
    <w:bookmarkEnd w:id="9"/>
    <w:bookmarkEnd w:id="10"/>
    <w:p w14:paraId="45DBB3C2">
      <w:pPr>
        <w:autoSpaceDN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B1</w:t>
      </w:r>
      <w:r>
        <w:rPr>
          <w:rFonts w:hint="eastAsia" w:ascii="宋体" w:hAnsi="宋体" w:eastAsia="宋体" w:cs="宋体"/>
          <w:szCs w:val="21"/>
          <w:lang w:val="en-US" w:eastAsia="zh-CN"/>
        </w:rPr>
        <w:t>1</w:t>
      </w:r>
      <w:r>
        <w:rPr>
          <w:rFonts w:hint="eastAsia" w:ascii="宋体" w:hAnsi="宋体" w:eastAsia="宋体" w:cs="宋体"/>
          <w:szCs w:val="21"/>
        </w:rPr>
        <w:t>.供应商认为需要的其他商务技术资料（如有需提供）。</w:t>
      </w:r>
    </w:p>
    <w:p w14:paraId="188BF198">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▲“商务和技术文件”中不得出现涉及报价的内容，否则作无效报价处理。</w:t>
      </w:r>
    </w:p>
    <w:p w14:paraId="4BC01F12">
      <w:pPr>
        <w:autoSpaceDN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C、第三册：报价文件</w:t>
      </w:r>
    </w:p>
    <w:bookmarkEnd w:id="7"/>
    <w:p w14:paraId="2474E0FD">
      <w:pPr>
        <w:autoSpaceDN w:val="0"/>
        <w:spacing w:line="360" w:lineRule="auto"/>
        <w:ind w:firstLine="420" w:firstLineChars="200"/>
        <w:jc w:val="left"/>
        <w:rPr>
          <w:rFonts w:ascii="Times New Roman" w:hAnsi="Times New Roman" w:eastAsia="宋体" w:cs="宋体"/>
          <w:szCs w:val="21"/>
        </w:rPr>
      </w:pPr>
      <w:r>
        <w:rPr>
          <w:rFonts w:ascii="Times New Roman" w:hAnsi="Times New Roman" w:eastAsia="宋体" w:cs="Times New Roman"/>
          <w:szCs w:val="21"/>
        </w:rPr>
        <w:t>C1.</w:t>
      </w:r>
      <w:r>
        <w:rPr>
          <w:rFonts w:hint="eastAsia" w:ascii="Times New Roman" w:hAnsi="Times New Roman" w:eastAsia="宋体" w:cs="宋体"/>
          <w:szCs w:val="21"/>
        </w:rPr>
        <w:t>报价一览表（初次）（格式详见附件）；</w:t>
      </w:r>
    </w:p>
    <w:p w14:paraId="32E80F85">
      <w:pPr>
        <w:autoSpaceDN w:val="0"/>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C2.供应商认为需要的其他报价资料（如有需提供）。</w:t>
      </w:r>
    </w:p>
    <w:p w14:paraId="0BA83158">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2、磋商响应文件的份数：</w:t>
      </w:r>
    </w:p>
    <w:p w14:paraId="4E79B025">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本项目实行网上磋商，供应商应准备以下磋商响应文件：</w:t>
      </w:r>
    </w:p>
    <w:p w14:paraId="2D67579B">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（1）</w:t>
      </w:r>
      <w:r>
        <w:rPr>
          <w:rFonts w:hint="eastAsia" w:ascii="宋体" w:hAnsi="宋体" w:eastAsia="宋体" w:cs="宋体"/>
          <w:kern w:val="0"/>
          <w:szCs w:val="21"/>
        </w:rPr>
        <w:t>上传到政府采购云平台的电子磋商响应文件（含</w:t>
      </w:r>
      <w:r>
        <w:rPr>
          <w:rFonts w:hint="eastAsia" w:ascii="宋体" w:hAnsi="宋体" w:eastAsia="宋体" w:cs="宋体"/>
          <w:szCs w:val="21"/>
        </w:rPr>
        <w:t>资格文件、商务和技术文件、报价文件）</w:t>
      </w:r>
      <w:r>
        <w:rPr>
          <w:rFonts w:hint="eastAsia" w:ascii="宋体" w:hAnsi="宋体" w:eastAsia="宋体" w:cs="宋体"/>
          <w:kern w:val="0"/>
          <w:szCs w:val="21"/>
        </w:rPr>
        <w:t>1份</w:t>
      </w:r>
      <w:r>
        <w:rPr>
          <w:rFonts w:hint="eastAsia" w:ascii="宋体" w:hAnsi="宋体" w:eastAsia="宋体" w:cs="宋体"/>
          <w:szCs w:val="21"/>
        </w:rPr>
        <w:t>。</w:t>
      </w:r>
    </w:p>
    <w:p w14:paraId="709898D1">
      <w:pPr>
        <w:autoSpaceDN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（2）电子备份磋商响应文件（含资格证明文件、技术商务文件、报价文件）1份。备份磋商响应文件是通过政采云电子交易客户端制作投标文件产生的备份文件（bfbs格式），请投标供应商自行妥善保管。</w:t>
      </w:r>
    </w:p>
    <w:p w14:paraId="292B7D04">
      <w:pPr>
        <w:autoSpaceDN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供应商应对磋商响应文件编制目录和评分索引表以方便查询。</w:t>
      </w:r>
    </w:p>
    <w:p w14:paraId="0467DC4C">
      <w:pPr>
        <w:autoSpaceDN w:val="0"/>
        <w:spacing w:line="360" w:lineRule="auto"/>
        <w:ind w:firstLine="422" w:firstLineChars="200"/>
        <w:jc w:val="left"/>
        <w:rPr>
          <w:rFonts w:hint="eastAsia" w:ascii="宋体" w:hAnsi="宋体" w:eastAsia="宋体" w:cs="宋体"/>
        </w:rPr>
      </w:pPr>
      <w:r>
        <w:rPr>
          <w:rFonts w:hint="eastAsia" w:ascii="宋体" w:hAnsi="宋体" w:eastAsia="宋体" w:cs="宋体"/>
          <w:b/>
          <w:bCs/>
          <w:szCs w:val="21"/>
        </w:rPr>
        <w:t>九、磋商响应文件的签署盖章</w:t>
      </w:r>
    </w:p>
    <w:p w14:paraId="1F7AFAEC">
      <w:pPr>
        <w:tabs>
          <w:tab w:val="left" w:pos="900"/>
        </w:tabs>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竞争性磋商文件第七章“附件”中标明加盖公章或签字的，</w:t>
      </w:r>
      <w:r>
        <w:rPr>
          <w:rFonts w:hint="eastAsia" w:ascii="宋体" w:hAnsi="宋体" w:eastAsia="宋体" w:cs="宋体"/>
          <w:bCs/>
          <w:szCs w:val="21"/>
        </w:rPr>
        <w:t>加盖公章部分采用CA签章，</w:t>
      </w:r>
      <w:r>
        <w:rPr>
          <w:rFonts w:hint="eastAsia" w:ascii="宋体" w:hAnsi="宋体" w:eastAsia="宋体" w:cs="宋体"/>
          <w:szCs w:val="21"/>
        </w:rPr>
        <w:t>签字部分</w:t>
      </w:r>
      <w:r>
        <w:rPr>
          <w:rFonts w:hint="eastAsia" w:ascii="宋体" w:hAnsi="宋体" w:eastAsia="宋体" w:cs="宋体"/>
          <w:szCs w:val="21"/>
          <w:lang w:eastAsia="zh-CN"/>
        </w:rPr>
        <w:t>采用法人</w:t>
      </w:r>
      <w:r>
        <w:rPr>
          <w:rFonts w:hint="eastAsia" w:ascii="宋体" w:hAnsi="宋体" w:eastAsia="宋体" w:cs="宋体"/>
          <w:szCs w:val="21"/>
          <w:lang w:val="en-US" w:eastAsia="zh-CN"/>
        </w:rPr>
        <w:t>CA签章，也可</w:t>
      </w:r>
      <w:r>
        <w:rPr>
          <w:rFonts w:hint="eastAsia" w:ascii="宋体" w:hAnsi="宋体" w:eastAsia="宋体" w:cs="宋体"/>
          <w:szCs w:val="21"/>
        </w:rPr>
        <w:t>由法定代表人或授权代表签字后扫描上传。授权代表签字的，</w:t>
      </w:r>
      <w:r>
        <w:rPr>
          <w:rFonts w:hint="eastAsia" w:ascii="宋体" w:hAnsi="宋体" w:eastAsia="宋体" w:cs="宋体"/>
          <w:kern w:val="0"/>
          <w:szCs w:val="21"/>
        </w:rPr>
        <w:t>还</w:t>
      </w:r>
      <w:r>
        <w:rPr>
          <w:rFonts w:hint="eastAsia" w:ascii="宋体" w:hAnsi="宋体" w:eastAsia="宋体" w:cs="宋体"/>
          <w:szCs w:val="21"/>
        </w:rPr>
        <w:t>应附法定代表人签署的法定代表人授权书。</w:t>
      </w:r>
    </w:p>
    <w:p w14:paraId="4BF8E2C3">
      <w:pPr>
        <w:autoSpaceDN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十、磋商响应文件的密封、标记、份数</w:t>
      </w:r>
    </w:p>
    <w:p w14:paraId="26202111">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1、电子磋商响应文件：供应商应根据“项目采购-电子招投标操作指南”及本竞争性磋商文件规定的格式和顺序编制电子磋商响应文件并进行关联定位。</w:t>
      </w:r>
    </w:p>
    <w:p w14:paraId="39A154EE">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2、电子备份磋商响应文件：（含资格证明文件、技术商务文件、报价文件）1份。</w:t>
      </w:r>
    </w:p>
    <w:p w14:paraId="7D43FA6F">
      <w:pPr>
        <w:autoSpaceDN w:val="0"/>
        <w:spacing w:line="360" w:lineRule="auto"/>
        <w:ind w:firstLine="420" w:firstLineChars="200"/>
        <w:jc w:val="left"/>
        <w:rPr>
          <w:rFonts w:hint="eastAsia" w:ascii="宋体" w:hAnsi="宋体" w:eastAsia="宋体" w:cs="宋体"/>
          <w:szCs w:val="21"/>
        </w:rPr>
      </w:pPr>
      <w:bookmarkStart w:id="11" w:name="_Toc237939759"/>
      <w:r>
        <w:rPr>
          <w:rFonts w:hint="eastAsia" w:ascii="宋体" w:hAnsi="宋体" w:eastAsia="宋体" w:cs="宋体"/>
          <w:szCs w:val="21"/>
          <w:lang w:val="en-US" w:eastAsia="zh-CN"/>
        </w:rPr>
        <w:t>3</w:t>
      </w:r>
      <w:r>
        <w:rPr>
          <w:rFonts w:hint="eastAsia" w:ascii="宋体" w:hAnsi="宋体" w:eastAsia="宋体" w:cs="宋体"/>
          <w:szCs w:val="21"/>
        </w:rPr>
        <w:t>、成交供应商中标后需提供纸质投标文件给采购人作为备案存档，纸质投标文件系电子投标文件纸质版，两者内容应一致；数量为：资格证明文件2份；资格及商务技术文件2份；报价文件2份。</w:t>
      </w:r>
    </w:p>
    <w:p w14:paraId="33EB7B92">
      <w:pPr>
        <w:autoSpaceDN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十一、磋商响应文件的递交</w:t>
      </w:r>
      <w:bookmarkEnd w:id="11"/>
    </w:p>
    <w:p w14:paraId="6BF064A1">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1、磋商响应文件递交的具体要求：</w:t>
      </w:r>
    </w:p>
    <w:p w14:paraId="00517778">
      <w:pPr>
        <w:autoSpaceDN w:val="0"/>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szCs w:val="21"/>
        </w:rPr>
        <w:t>▲</w:t>
      </w:r>
      <w:r>
        <w:rPr>
          <w:rFonts w:hint="eastAsia" w:ascii="宋体" w:hAnsi="宋体" w:eastAsia="宋体" w:cs="宋体"/>
          <w:kern w:val="0"/>
          <w:szCs w:val="21"/>
        </w:rPr>
        <w:t>（1）</w:t>
      </w:r>
      <w:r>
        <w:rPr>
          <w:rFonts w:hint="eastAsia" w:ascii="宋体" w:hAnsi="宋体" w:eastAsia="宋体" w:cs="宋体"/>
          <w:b/>
          <w:bCs/>
          <w:kern w:val="0"/>
          <w:szCs w:val="21"/>
        </w:rPr>
        <w:t>电子磋商响应文件：</w:t>
      </w:r>
      <w:r>
        <w:rPr>
          <w:rFonts w:hint="eastAsia" w:ascii="宋体" w:hAnsi="宋体" w:eastAsia="宋体" w:cs="宋体"/>
          <w:kern w:val="0"/>
          <w:szCs w:val="21"/>
        </w:rPr>
        <w:t>供应商应于提交磋商响应文件截止时间前将电子磋商响应文件（含资格文件、商务和技术文件、报价文件）上传到政府采购云平台（</w:t>
      </w:r>
      <w:r>
        <w:rPr>
          <w:rFonts w:hint="eastAsia"/>
        </w:rPr>
        <w:fldChar w:fldCharType="begin"/>
      </w:r>
      <w:r>
        <w:instrText xml:space="preserve"> HYPERLINK "https://www.zcygov.cn/" </w:instrText>
      </w:r>
      <w:r>
        <w:rPr>
          <w:rFonts w:hint="eastAsia"/>
        </w:rPr>
        <w:fldChar w:fldCharType="separate"/>
      </w:r>
      <w:r>
        <w:rPr>
          <w:rStyle w:val="30"/>
          <w:rFonts w:hint="eastAsia" w:ascii="宋体" w:hAnsi="宋体" w:eastAsia="宋体" w:cs="宋体"/>
          <w:color w:val="auto"/>
          <w:kern w:val="0"/>
          <w:szCs w:val="21"/>
        </w:rPr>
        <w:t>https://www.zcygov.cn/</w:t>
      </w:r>
      <w:r>
        <w:rPr>
          <w:rStyle w:val="30"/>
          <w:rFonts w:hint="eastAsia" w:ascii="宋体" w:hAnsi="宋体" w:eastAsia="宋体" w:cs="宋体"/>
          <w:color w:val="auto"/>
          <w:kern w:val="0"/>
          <w:szCs w:val="21"/>
        </w:rPr>
        <w:fldChar w:fldCharType="end"/>
      </w:r>
      <w:r>
        <w:rPr>
          <w:rFonts w:hint="eastAsia" w:ascii="宋体" w:hAnsi="宋体" w:eastAsia="宋体" w:cs="宋体"/>
          <w:kern w:val="0"/>
          <w:szCs w:val="21"/>
        </w:rPr>
        <w:t>）</w:t>
      </w:r>
      <w:r>
        <w:rPr>
          <w:rFonts w:hint="eastAsia" w:ascii="宋体" w:hAnsi="宋体" w:eastAsia="宋体" w:cs="宋体"/>
          <w:kern w:val="0"/>
          <w:szCs w:val="21"/>
          <w:lang w:eastAsia="zh-CN"/>
        </w:rPr>
        <w:t>。</w:t>
      </w:r>
    </w:p>
    <w:p w14:paraId="5060D730">
      <w:pPr>
        <w:pStyle w:val="7"/>
        <w:spacing w:line="444" w:lineRule="exact"/>
        <w:ind w:left="0" w:leftChars="0" w:firstLine="630" w:firstLineChars="300"/>
        <w:jc w:val="left"/>
        <w:rPr>
          <w:rFonts w:hint="eastAsia" w:asciiTheme="minorEastAsia" w:hAnsiTheme="minorEastAsia" w:eastAsiaTheme="minorEastAsia"/>
          <w:szCs w:val="21"/>
        </w:rPr>
      </w:pPr>
      <w:r>
        <w:rPr>
          <w:rFonts w:hint="eastAsia" w:ascii="宋体" w:hAnsi="宋体" w:cs="宋体"/>
          <w:kern w:val="0"/>
          <w:szCs w:val="21"/>
        </w:rPr>
        <w:t>（2）</w:t>
      </w:r>
      <w:r>
        <w:rPr>
          <w:rFonts w:hint="eastAsia" w:ascii="宋体" w:hAnsi="宋体" w:cs="宋体"/>
          <w:b/>
          <w:bCs/>
          <w:kern w:val="0"/>
          <w:szCs w:val="21"/>
        </w:rPr>
        <w:t>电子备份磋商响应文件：</w:t>
      </w:r>
      <w:r>
        <w:rPr>
          <w:rFonts w:hint="eastAsia" w:asciiTheme="minorEastAsia" w:hAnsiTheme="minorEastAsia" w:eastAsiaTheme="minorEastAsia"/>
          <w:szCs w:val="21"/>
        </w:rPr>
        <w:t>（含资格证明文件、技术商务文件、报价文件）1份。</w:t>
      </w:r>
      <w:r>
        <w:rPr>
          <w:rFonts w:hint="eastAsia" w:ascii="宋体" w:hAnsi="宋体" w:cs="宋体"/>
          <w:b/>
          <w:bCs/>
          <w:kern w:val="0"/>
          <w:szCs w:val="21"/>
        </w:rPr>
        <w:t>电子备份磋商响应文件</w:t>
      </w:r>
      <w:r>
        <w:rPr>
          <w:rFonts w:hint="eastAsia" w:asciiTheme="minorEastAsia" w:hAnsiTheme="minorEastAsia" w:eastAsiaTheme="minorEastAsia"/>
          <w:szCs w:val="21"/>
        </w:rPr>
        <w:t>是通过政采云电子交易客户端制作响应文件产生的备份文件（bfbs格式），请各供应商自行妥善保管。</w:t>
      </w:r>
    </w:p>
    <w:p w14:paraId="2E2C26CE">
      <w:pPr>
        <w:pStyle w:val="7"/>
        <w:spacing w:line="444" w:lineRule="exact"/>
        <w:ind w:left="0" w:leftChars="0" w:firstLine="422" w:firstLineChars="200"/>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①使用前提：供应商自行在线解密操作失败无法按时寻求技术人员帮助解密，或者投标供应商寻求技术人员帮助仍无法按时完成解密。</w:t>
      </w:r>
    </w:p>
    <w:p w14:paraId="6ED970F1">
      <w:pPr>
        <w:pStyle w:val="7"/>
        <w:spacing w:line="444" w:lineRule="exact"/>
        <w:ind w:left="0" w:leftChars="0" w:firstLine="422" w:firstLineChars="200"/>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②递交截止时间：同响应截止时间。</w:t>
      </w:r>
    </w:p>
    <w:p w14:paraId="26CED207">
      <w:pPr>
        <w:pStyle w:val="7"/>
        <w:spacing w:line="444" w:lineRule="exact"/>
        <w:ind w:left="0" w:leftChars="0" w:firstLine="422" w:firstLineChars="200"/>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③投递邮箱：</w:t>
      </w:r>
      <w:r>
        <w:fldChar w:fldCharType="begin"/>
      </w:r>
      <w:r>
        <w:instrText xml:space="preserve"> HYPERLINK "mailto:zgtzfgs@163.com" </w:instrText>
      </w:r>
      <w:r>
        <w:fldChar w:fldCharType="separate"/>
      </w:r>
      <w:r>
        <w:rPr>
          <w:rFonts w:hint="eastAsia" w:asciiTheme="minorEastAsia" w:hAnsiTheme="minorEastAsia" w:eastAsiaTheme="minorEastAsia"/>
          <w:b/>
          <w:bCs/>
          <w:szCs w:val="21"/>
        </w:rPr>
        <w:t>zgtzfgs@163.com</w:t>
      </w:r>
      <w:r>
        <w:rPr>
          <w:rFonts w:hint="eastAsia" w:asciiTheme="minorEastAsia" w:hAnsiTheme="minorEastAsia" w:eastAsiaTheme="minorEastAsia"/>
          <w:b/>
          <w:bCs/>
          <w:szCs w:val="21"/>
        </w:rPr>
        <w:fldChar w:fldCharType="end"/>
      </w:r>
      <w:r>
        <w:rPr>
          <w:rFonts w:hint="eastAsia" w:asciiTheme="minorEastAsia" w:hAnsiTheme="minorEastAsia" w:eastAsiaTheme="minorEastAsia"/>
          <w:b/>
          <w:bCs/>
          <w:szCs w:val="21"/>
        </w:rPr>
        <w:t>。</w:t>
      </w:r>
    </w:p>
    <w:p w14:paraId="675C0F69">
      <w:pPr>
        <w:pStyle w:val="7"/>
        <w:spacing w:line="444" w:lineRule="exact"/>
        <w:ind w:left="0" w:leftChars="0" w:firstLine="422" w:firstLineChars="200"/>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④电子备份磋商响应文件不强制要求提交，由供应商自行确定是否提交，但因电子磋商响应文件未能按时解密或解密失败，供应商又未提交电子备份磋商响应文件的，将被视为磋商响应文件撤回，投标无效。</w:t>
      </w:r>
    </w:p>
    <w:p w14:paraId="51C82A2D">
      <w:pPr>
        <w:pStyle w:val="7"/>
        <w:spacing w:line="444" w:lineRule="exact"/>
        <w:ind w:left="0" w:leftChars="0" w:firstLine="422" w:firstLineChars="200"/>
        <w:jc w:val="left"/>
        <w:rPr>
          <w:rFonts w:hint="eastAsia" w:ascii="宋体" w:hAnsi="宋体" w:cs="宋体"/>
          <w:b/>
          <w:bCs/>
        </w:rPr>
      </w:pPr>
      <w:r>
        <w:rPr>
          <w:rFonts w:hint="eastAsia" w:asciiTheme="minorEastAsia" w:hAnsiTheme="minorEastAsia" w:eastAsiaTheme="minorEastAsia"/>
          <w:b/>
          <w:bCs/>
          <w:szCs w:val="21"/>
        </w:rPr>
        <w:t>⑤因电子备份磋商响应文件未加密而造成失密等情况，采购代理机构概不负责。</w:t>
      </w:r>
    </w:p>
    <w:p w14:paraId="0706E3EE">
      <w:pPr>
        <w:autoSpaceDN w:val="0"/>
        <w:spacing w:line="360" w:lineRule="auto"/>
        <w:ind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⑥投标响应截止时间前，供应商仅递交了“电子备份磋商响应文件”而未将“电子加密磋商响应文件”成功上传至“政府采购云平台”的，投标无效。</w:t>
      </w:r>
    </w:p>
    <w:p w14:paraId="2E62E44C">
      <w:pPr>
        <w:autoSpaceDN w:val="0"/>
        <w:spacing w:line="360" w:lineRule="auto"/>
        <w:ind w:firstLine="422" w:firstLineChars="200"/>
        <w:jc w:val="left"/>
        <w:rPr>
          <w:rFonts w:hint="eastAsia" w:ascii="宋体" w:hAnsi="宋体" w:eastAsia="宋体" w:cs="宋体"/>
        </w:rPr>
      </w:pPr>
      <w:r>
        <w:rPr>
          <w:rFonts w:hint="eastAsia" w:ascii="宋体" w:hAnsi="宋体" w:eastAsia="宋体" w:cs="宋体"/>
          <w:b/>
          <w:bCs/>
          <w:szCs w:val="21"/>
        </w:rPr>
        <w:t>2、逾期发送（未在投标响应截止时间前）至投递邮箱的</w:t>
      </w:r>
      <w:r>
        <w:rPr>
          <w:rFonts w:hint="eastAsia" w:cs="Times New Roman" w:asciiTheme="minorEastAsia" w:hAnsiTheme="minorEastAsia"/>
          <w:b/>
          <w:bCs/>
          <w:szCs w:val="21"/>
        </w:rPr>
        <w:t>电子备份磋商响应文件</w:t>
      </w:r>
      <w:r>
        <w:rPr>
          <w:rFonts w:hint="eastAsia" w:ascii="宋体" w:hAnsi="宋体" w:eastAsia="宋体" w:cs="宋体"/>
          <w:b/>
          <w:bCs/>
          <w:szCs w:val="21"/>
        </w:rPr>
        <w:t>，代理机构不予受理。</w:t>
      </w:r>
    </w:p>
    <w:p w14:paraId="22DD125A">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3、磋商响应文件的补充、修改</w:t>
      </w:r>
    </w:p>
    <w:p w14:paraId="1615B8E6">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响应截止时间前，供应商可以对递交的磋商响应文件进行补充、修改，补充、修改电子磋商响应文件的，应当先行撤回原文件，补充、修改后重新上传，电子备份磋商响应文件也应重新制作。在响应截止时间之后，供应商不得对其磋商响应文件进行补充、修改。响应截止时间之后供应商要求撤销磋商响应文件的，应向采购人提交正式文件。</w:t>
      </w:r>
    </w:p>
    <w:p w14:paraId="5A631DDA">
      <w:pPr>
        <w:autoSpaceDN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4、成交供应商中标后需提供纸质磋商响应文件给采购人作为备案存档，纸质磋商响应文件系电子磋商响应文件纸质版，两者内容应一致；数量为：资格证明文件2份；资格及商务技术文件2份；报价文件2份。</w:t>
      </w:r>
    </w:p>
    <w:p w14:paraId="277D2D48">
      <w:pPr>
        <w:autoSpaceDN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十二、竞争性磋商文件的澄清或修改</w:t>
      </w:r>
    </w:p>
    <w:p w14:paraId="083EEB04">
      <w:pPr>
        <w:autoSpaceDN w:val="0"/>
        <w:spacing w:line="360" w:lineRule="auto"/>
        <w:ind w:firstLine="422" w:firstLineChars="200"/>
        <w:rPr>
          <w:rFonts w:hint="eastAsia" w:ascii="宋体" w:hAnsi="宋体" w:eastAsia="宋体" w:cs="宋体"/>
        </w:rPr>
      </w:pPr>
      <w:r>
        <w:rPr>
          <w:rFonts w:hint="eastAsia" w:ascii="宋体" w:hAnsi="宋体" w:eastAsia="宋体" w:cs="宋体"/>
          <w:b/>
          <w:szCs w:val="21"/>
        </w:rPr>
        <w:t>采购人可以对已发出的竞争性磋商文件进行必要的澄清或者修改，将以“更正公告”的形式发布在政采云平台，供应商应及时登录政采云平台，进行浏览并下载，未及时浏览下载的责任自负。</w:t>
      </w:r>
      <w:r>
        <w:rPr>
          <w:rFonts w:hint="eastAsia" w:ascii="宋体" w:hAnsi="宋体" w:eastAsia="宋体" w:cs="宋体"/>
          <w:szCs w:val="21"/>
        </w:rPr>
        <w:t>澄清或者修改的内容可能影响磋商响应文件编制的，采购人应当在</w:t>
      </w:r>
      <w:r>
        <w:rPr>
          <w:rFonts w:hint="eastAsia" w:ascii="宋体" w:hAnsi="宋体" w:eastAsia="宋体" w:cs="宋体"/>
          <w:bCs/>
          <w:iCs/>
          <w:szCs w:val="21"/>
        </w:rPr>
        <w:t>提交磋商响应文件的截止时间</w:t>
      </w:r>
      <w:r>
        <w:rPr>
          <w:rFonts w:hint="eastAsia" w:ascii="宋体" w:hAnsi="宋体" w:eastAsia="宋体" w:cs="宋体"/>
          <w:szCs w:val="21"/>
        </w:rPr>
        <w:t>至少5日前，不足5日的，采购人应当顺延</w:t>
      </w:r>
      <w:r>
        <w:rPr>
          <w:rFonts w:hint="eastAsia" w:ascii="宋体" w:hAnsi="宋体" w:eastAsia="宋体" w:cs="宋体"/>
          <w:bCs/>
          <w:iCs/>
          <w:szCs w:val="21"/>
        </w:rPr>
        <w:t>提交磋商响应文件的截止时间</w:t>
      </w:r>
      <w:r>
        <w:rPr>
          <w:rFonts w:hint="eastAsia" w:ascii="宋体" w:hAnsi="宋体" w:eastAsia="宋体" w:cs="宋体"/>
          <w:szCs w:val="21"/>
        </w:rPr>
        <w:t>；澄清或者修改的内容不影响磋商响应文件编制的，则不受5日的期限限制。澄清或者修改的内容为竞争性磋商文件的组成部分，对所有供应商具有约束力。</w:t>
      </w:r>
    </w:p>
    <w:p w14:paraId="70CAB358">
      <w:pPr>
        <w:autoSpaceDN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十三、质疑</w:t>
      </w:r>
    </w:p>
    <w:p w14:paraId="2B4F2E55">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p>
    <w:p w14:paraId="17B133FF">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2、提出质疑的供应商应当是参与所质疑项目采购活动的供应商。未依法获取竞争性磋商文件的，不得就竞争性磋商文件提出质疑；未提交磋商响应文件的供应商，视为与采购结果没有利害关系，不得就采购响应截止时间后的采购过程、采购结果提出质疑。</w:t>
      </w:r>
    </w:p>
    <w:p w14:paraId="04246B32">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0431216D">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6BDC1847">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5、采购人、采购代理机构接收质疑函的方式：只接收供应商以当面递交、邮寄、传真或电子邮件方式提出的质疑函，以其他方式提出的质疑不予接收。</w:t>
      </w:r>
    </w:p>
    <w:p w14:paraId="759C5925">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采取邮寄方式的，提出质疑的时间为质疑函原件交邮的时间（以邮戳时间或快递收件时间为准）。</w:t>
      </w:r>
    </w:p>
    <w:p w14:paraId="0A14DC4D">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采取传真、电子邮件方式的，供应商应当在传真、电子邮件发出后将质疑函原件邮寄给被质疑人，提出质疑的时间为质疑函原件交邮的时间（以邮戳时间或快递收件时间为准）。</w:t>
      </w:r>
    </w:p>
    <w:p w14:paraId="5D543330">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6、采购人、采购代理机构以实际收到质疑函原件之日作为收到质疑函的日期，将在收到质疑函后7个工作日内作出答复。</w:t>
      </w:r>
    </w:p>
    <w:p w14:paraId="023CA1A4">
      <w:pPr>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7、采购人、采购代理机构接收质疑函的联系人、联系电话和通讯地址等信息详见竞争性磋商公告。</w:t>
      </w:r>
    </w:p>
    <w:p w14:paraId="6B11C4F3">
      <w:pPr>
        <w:autoSpaceDN w:val="0"/>
        <w:adjustRightInd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▲十四、预算价及最高限价</w:t>
      </w:r>
    </w:p>
    <w:p w14:paraId="23BD9D36">
      <w:pPr>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1、本项目设有预算价，预算价为：人民币</w:t>
      </w:r>
      <w:r>
        <w:rPr>
          <w:rFonts w:hint="eastAsia" w:ascii="宋体" w:hAnsi="宋体" w:eastAsia="宋体" w:cs="宋体"/>
          <w:szCs w:val="21"/>
          <w:lang w:eastAsia="zh-CN"/>
        </w:rPr>
        <w:t>3890873</w:t>
      </w:r>
      <w:r>
        <w:rPr>
          <w:rFonts w:hint="eastAsia" w:ascii="宋体" w:hAnsi="宋体" w:eastAsia="宋体" w:cs="宋体"/>
          <w:szCs w:val="21"/>
        </w:rPr>
        <w:t>元。</w:t>
      </w:r>
    </w:p>
    <w:p w14:paraId="3C44DFA2">
      <w:pPr>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2、本项目设有最高限价：</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3890873</w:t>
      </w:r>
      <w:r>
        <w:rPr>
          <w:rFonts w:hint="eastAsia" w:ascii="宋体" w:hAnsi="宋体" w:eastAsia="宋体" w:cs="宋体"/>
          <w:szCs w:val="21"/>
          <w:u w:val="single"/>
        </w:rPr>
        <w:t xml:space="preserve"> </w:t>
      </w:r>
      <w:r>
        <w:rPr>
          <w:rFonts w:hint="eastAsia" w:ascii="宋体" w:hAnsi="宋体" w:eastAsia="宋体" w:cs="宋体"/>
          <w:szCs w:val="21"/>
        </w:rPr>
        <w:t>元，磋商报价（</w:t>
      </w:r>
      <w:r>
        <w:rPr>
          <w:rFonts w:hint="eastAsia" w:ascii="宋体" w:hAnsi="宋体" w:eastAsia="宋体" w:cs="宋体"/>
          <w:szCs w:val="21"/>
          <w:lang w:eastAsia="zh-CN"/>
        </w:rPr>
        <w:t>最终报价</w:t>
      </w:r>
      <w:r>
        <w:rPr>
          <w:rFonts w:hint="eastAsia" w:ascii="宋体" w:hAnsi="宋体" w:eastAsia="宋体" w:cs="宋体"/>
          <w:szCs w:val="21"/>
        </w:rPr>
        <w:t>）超过最高限价的作无效报价处理。</w:t>
      </w:r>
    </w:p>
    <w:p w14:paraId="39441A7A">
      <w:pPr>
        <w:autoSpaceDN w:val="0"/>
        <w:adjustRightInd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十五、评审</w:t>
      </w:r>
    </w:p>
    <w:p w14:paraId="04B87EE2">
      <w:pPr>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1、具体详见第三章“评定成交的标准”。</w:t>
      </w:r>
    </w:p>
    <w:p w14:paraId="34E85F4C">
      <w:pPr>
        <w:autoSpaceDN w:val="0"/>
        <w:adjustRightInd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十六、成交结果通知</w:t>
      </w:r>
    </w:p>
    <w:p w14:paraId="519CAD1E">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1、采购人确认评审结果后，代理机构将在相关媒体上发布成交结果公告，并向确定成交供应商发出确定成交通知书。</w:t>
      </w:r>
    </w:p>
    <w:p w14:paraId="02AA2ED2">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2、确定成交通知书发出后，若确定成交供应商放弃成交，应当承担相应的法律责任，确定成交通知书对采购人和确定成交供应商具有同等法律效力。</w:t>
      </w:r>
    </w:p>
    <w:p w14:paraId="55D2D660">
      <w:pPr>
        <w:autoSpaceDN w:val="0"/>
        <w:adjustRightInd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十七、签订合同</w:t>
      </w:r>
    </w:p>
    <w:p w14:paraId="1477018A">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1、确定成交供应商在确定成交通知书发出后30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3482BB63">
      <w:pPr>
        <w:autoSpaceDN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十八、代理服务费</w:t>
      </w:r>
    </w:p>
    <w:p w14:paraId="165B9DE8">
      <w:pPr>
        <w:tabs>
          <w:tab w:val="left" w:pos="1008"/>
        </w:tabs>
        <w:spacing w:line="360" w:lineRule="auto"/>
        <w:ind w:right="420" w:rightChars="200" w:firstLine="420" w:firstLineChars="200"/>
        <w:contextualSpacing/>
        <w:rPr>
          <w:rFonts w:hint="eastAsia" w:ascii="Times New Roman" w:hAnsi="宋体" w:eastAsia="宋体" w:cs="Times New Roman"/>
          <w:szCs w:val="21"/>
        </w:rPr>
      </w:pPr>
      <w:r>
        <w:rPr>
          <w:rFonts w:hint="eastAsia" w:ascii="宋体" w:hAnsi="宋体" w:eastAsia="宋体" w:cs="宋体"/>
          <w:szCs w:val="21"/>
        </w:rPr>
        <w:t>1、</w:t>
      </w:r>
      <w:r>
        <w:rPr>
          <w:rFonts w:hint="eastAsia" w:ascii="Times New Roman" w:hAnsi="宋体" w:eastAsia="宋体" w:cs="Times New Roman"/>
          <w:szCs w:val="21"/>
        </w:rPr>
        <w:t>本项目参照国家计委计价格【2002】1980号文件、发改价格【2011】534号文件中明确的费率，以（</w:t>
      </w:r>
      <w:r>
        <w:rPr>
          <w:rFonts w:hint="eastAsia" w:ascii="Times New Roman" w:hAnsi="宋体" w:eastAsia="宋体" w:cs="Times New Roman"/>
          <w:szCs w:val="21"/>
        </w:rPr>
        <w:sym w:font="Wingdings 2" w:char="0052"/>
      </w:r>
      <w:r>
        <w:rPr>
          <w:rFonts w:hint="eastAsia" w:ascii="Times New Roman" w:hAnsi="宋体" w:eastAsia="宋体" w:cs="Times New Roman"/>
          <w:szCs w:val="21"/>
        </w:rPr>
        <w:t xml:space="preserve">工程  </w:t>
      </w:r>
      <w:r>
        <w:rPr>
          <w:rFonts w:hint="eastAsia" w:ascii="Times New Roman" w:hAnsi="宋体" w:eastAsia="宋体" w:cs="Times New Roman"/>
          <w:szCs w:val="21"/>
        </w:rPr>
        <w:sym w:font="Wingdings 2" w:char="00A3"/>
      </w:r>
      <w:r>
        <w:rPr>
          <w:rFonts w:hint="eastAsia" w:ascii="Times New Roman" w:hAnsi="宋体" w:eastAsia="宋体" w:cs="Times New Roman"/>
          <w:szCs w:val="21"/>
        </w:rPr>
        <w:t xml:space="preserve">货物  </w:t>
      </w:r>
      <w:r>
        <w:rPr>
          <w:rFonts w:hint="eastAsia" w:ascii="Times New Roman" w:hAnsi="宋体" w:eastAsia="宋体" w:cs="Times New Roman"/>
          <w:szCs w:val="21"/>
        </w:rPr>
        <w:sym w:font="Wingdings 2" w:char="00A3"/>
      </w:r>
      <w:r>
        <w:rPr>
          <w:rFonts w:hint="eastAsia" w:ascii="Times New Roman" w:hAnsi="宋体" w:eastAsia="宋体" w:cs="Times New Roman"/>
          <w:szCs w:val="21"/>
        </w:rPr>
        <w:t>服务）类标准*70%，按照中标通知书确定的中标总金额为计算基数，不足6000元按6000元计，由成交供应商支付。</w:t>
      </w:r>
    </w:p>
    <w:p w14:paraId="53C5980F">
      <w:pPr>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2、成交供应商应在代理机构发出成交通知书5个工作日内向本代理机构支付代理服务费。</w:t>
      </w:r>
    </w:p>
    <w:p w14:paraId="5E675BED">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3、代理服务费只收现金、银行票汇款、电汇款。</w:t>
      </w:r>
    </w:p>
    <w:p w14:paraId="3E3E8331">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账户名称：中冠工程管理咨询有限公司台州分公司</w:t>
      </w:r>
    </w:p>
    <w:p w14:paraId="7F3BBE72">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开户银行：中国农业银行股份有限公司台州经济开发区支行</w:t>
      </w:r>
    </w:p>
    <w:p w14:paraId="32061ED7">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银行账号：19900101040031566</w:t>
      </w:r>
    </w:p>
    <w:p w14:paraId="2FD9E8A9">
      <w:pPr>
        <w:autoSpaceDN w:val="0"/>
        <w:spacing w:line="360" w:lineRule="auto"/>
        <w:ind w:firstLine="422" w:firstLineChars="200"/>
        <w:jc w:val="left"/>
        <w:rPr>
          <w:rFonts w:hint="eastAsia" w:ascii="宋体" w:hAnsi="宋体" w:eastAsia="宋体" w:cs="宋体"/>
        </w:rPr>
      </w:pPr>
      <w:r>
        <w:rPr>
          <w:rFonts w:hint="eastAsia" w:ascii="宋体" w:hAnsi="宋体" w:eastAsia="宋体" w:cs="宋体"/>
          <w:b/>
          <w:szCs w:val="21"/>
        </w:rPr>
        <w:t>十九、特别说明</w:t>
      </w:r>
    </w:p>
    <w:p w14:paraId="55BF6AF8">
      <w:pPr>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1、本项目面向中小企业/小微企业采购。</w:t>
      </w:r>
    </w:p>
    <w:p w14:paraId="2B778230">
      <w:pPr>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2、本项目所属行业：</w:t>
      </w:r>
      <w:r>
        <w:rPr>
          <w:rFonts w:hint="eastAsia" w:eastAsia="宋体" w:asciiTheme="minorEastAsia" w:hAnsiTheme="minorEastAsia"/>
          <w:b/>
          <w:szCs w:val="21"/>
          <w:u w:val="single"/>
        </w:rPr>
        <w:t>建筑业</w:t>
      </w:r>
    </w:p>
    <w:p w14:paraId="22CA39F7">
      <w:pPr>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3、小微企业是指中华人民共和国境内依法设立，依据国务院批准的中小企业划分标准确定的小型企业和微型企业，但与大企业的负责人为同一人，或者与大企业存在直接控股、管理关系的除外。</w:t>
      </w:r>
    </w:p>
    <w:p w14:paraId="431E79FE">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符合中小企业划分标准的个体工商户，在政府采购活动中视同中小企业。</w:t>
      </w:r>
    </w:p>
    <w:p w14:paraId="033AE722">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国务院批准的中小企业划分标准：具体见工信部联企业[2011]300号。</w:t>
      </w:r>
    </w:p>
    <w:p w14:paraId="05C1BF5F">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4、在政府采购活动中，供应商提供的货物、工程或者服务符合下列情形的，可享受小型、微型企业（以下简称小微企业）的价格扣除：</w:t>
      </w:r>
    </w:p>
    <w:p w14:paraId="74D765F2">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（1）在货物采购项目中，货物由小微企业制造，即货物由小微企业生产且使用该小微企业商号或者注册商标；</w:t>
      </w:r>
    </w:p>
    <w:p w14:paraId="066EDBDC">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（2）在工程采购项目中，工程由小微企业承建，即工程施工单位为小微企业；</w:t>
      </w:r>
    </w:p>
    <w:p w14:paraId="65F5414A">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（3）在服务采购项目中，服务由小微企业承接，即提供服务的人员为小微企业依照《中华人民共和国劳动合同法》订立劳动合同的从业人员。</w:t>
      </w:r>
    </w:p>
    <w:p w14:paraId="0CD6A0D5">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以联合体形式参加政府采购活动，联合体各方均为小微企业的，联合体视同小微企业。</w:t>
      </w:r>
    </w:p>
    <w:p w14:paraId="20E4C2E7">
      <w:pPr>
        <w:autoSpaceDN w:val="0"/>
        <w:adjustRightInd w:val="0"/>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注：本次采购为专门面向中小企业，</w:t>
      </w:r>
      <w:r>
        <w:rPr>
          <w:rFonts w:hint="eastAsia" w:asciiTheme="minorEastAsia" w:hAnsiTheme="minorEastAsia"/>
          <w:b/>
          <w:szCs w:val="21"/>
        </w:rPr>
        <w:t>专门面向中小企业采购的项目不再执行价格优惠措施。</w:t>
      </w:r>
    </w:p>
    <w:p w14:paraId="0315E240">
      <w:pPr>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5、在货物采购项目中，供应商提供的货物既有中小企业制造货物，也有大型企业制造货物的，不享受的小微企业价格扣除。</w:t>
      </w:r>
    </w:p>
    <w:p w14:paraId="79956BEA">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6、小微企业应按照磋商文件格式要求提供《中小企业声明函》。</w:t>
      </w:r>
    </w:p>
    <w:p w14:paraId="7459F8D4">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AABC17F">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8、根据《关于促进残疾人就业政府采购政策的通知》（财库[2017]141号）规定，在政府采购活动中，残疾人福利性单位视同小型、微型企业。残疾人福利性单位参加政府采购活动时，提供《残疾人福利性单位声明函》。</w:t>
      </w:r>
    </w:p>
    <w:p w14:paraId="6A2AEEF0">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9、按规定享受扶持政策获得政府采购合同的，小微企业不得将合同分包给大中型企业，中型企业不得将合同分包给大型企业。</w:t>
      </w:r>
    </w:p>
    <w:p w14:paraId="0C1D6A2C">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10、供应商按照《政府采购促进中小企业发展管理办法》（财库﹝2020﹞46号）规定提供声明函内容不实的，属于提供虚假材料谋取中标、成交，依照《中华人民共和国政府采购法》等国家有关规定追究相应责任。</w:t>
      </w:r>
    </w:p>
    <w:p w14:paraId="5F7ECC8F">
      <w:pPr>
        <w:autoSpaceDN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11、本竞争性磋商文件未及事项，在签订合同时供需双方友好商定。</w:t>
      </w:r>
    </w:p>
    <w:p w14:paraId="1E7A7B18">
      <w:pPr>
        <w:autoSpaceDE w:val="0"/>
        <w:autoSpaceDN w:val="0"/>
        <w:adjustRightIn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12、本竞争性磋商文件解释权归采购人。</w:t>
      </w:r>
      <w:bookmarkStart w:id="12" w:name="_Toc26128"/>
    </w:p>
    <w:p w14:paraId="5BD105D5">
      <w:pPr>
        <w:pageBreakBefore/>
        <w:autoSpaceDE w:val="0"/>
        <w:autoSpaceDN w:val="0"/>
        <w:adjustRightInd w:val="0"/>
        <w:spacing w:line="360" w:lineRule="auto"/>
        <w:ind w:firstLine="422" w:firstLineChars="150"/>
        <w:jc w:val="center"/>
        <w:rPr>
          <w:rFonts w:hint="eastAsia" w:ascii="宋体" w:hAnsi="宋体" w:eastAsia="宋体" w:cs="宋体"/>
          <w:b/>
          <w:sz w:val="28"/>
          <w:szCs w:val="28"/>
        </w:rPr>
      </w:pPr>
      <w:r>
        <w:rPr>
          <w:rFonts w:hint="eastAsia" w:ascii="宋体" w:hAnsi="宋体" w:eastAsia="宋体" w:cs="宋体"/>
          <w:b/>
          <w:sz w:val="28"/>
          <w:szCs w:val="28"/>
        </w:rPr>
        <w:t>第三章　</w:t>
      </w:r>
      <w:bookmarkEnd w:id="12"/>
      <w:r>
        <w:rPr>
          <w:rFonts w:hint="eastAsia" w:ascii="宋体" w:hAnsi="宋体" w:eastAsia="宋体" w:cs="宋体"/>
          <w:b/>
          <w:sz w:val="28"/>
          <w:szCs w:val="28"/>
        </w:rPr>
        <w:t>评定成交的标准</w:t>
      </w:r>
    </w:p>
    <w:p w14:paraId="7CD9AC78">
      <w:pPr>
        <w:autoSpaceDE w:val="0"/>
        <w:autoSpaceDN w:val="0"/>
        <w:adjustRightInd w:val="0"/>
        <w:spacing w:line="360" w:lineRule="auto"/>
        <w:ind w:firstLine="422" w:firstLineChars="200"/>
        <w:jc w:val="left"/>
        <w:rPr>
          <w:rFonts w:hint="eastAsia" w:ascii="宋体" w:hAnsi="宋体" w:eastAsia="宋体" w:cs="宋体"/>
        </w:rPr>
      </w:pPr>
      <w:r>
        <w:rPr>
          <w:rFonts w:hint="eastAsia" w:ascii="宋体" w:hAnsi="宋体" w:eastAsia="宋体" w:cs="宋体"/>
          <w:b/>
          <w:kern w:val="0"/>
          <w:szCs w:val="21"/>
        </w:rPr>
        <w:t>一、评审方法</w:t>
      </w:r>
    </w:p>
    <w:p w14:paraId="45BA6D9B">
      <w:pPr>
        <w:autoSpaceDE w:val="0"/>
        <w:autoSpaceDN w:val="0"/>
        <w:adjustRightInd w:val="0"/>
        <w:spacing w:line="360" w:lineRule="auto"/>
        <w:ind w:firstLine="420" w:firstLineChars="200"/>
        <w:jc w:val="left"/>
      </w:pPr>
      <w:bookmarkStart w:id="13" w:name="_Toc462179376"/>
      <w:bookmarkStart w:id="14" w:name="_Toc462213213"/>
      <w:bookmarkStart w:id="15" w:name="_Toc462213330"/>
      <w:bookmarkStart w:id="16" w:name="_Toc462213257"/>
      <w:bookmarkStart w:id="17" w:name="_Toc214700098"/>
      <w:bookmarkStart w:id="18" w:name="_Toc214700230"/>
      <w:bookmarkStart w:id="19" w:name="_Toc237939770"/>
      <w:bookmarkStart w:id="20" w:name="_Toc387409459"/>
      <w:r>
        <w:rPr>
          <w:rFonts w:ascii="Times New Roman" w:hAnsi="Times New Roman" w:cs="宋体"/>
          <w:szCs w:val="21"/>
        </w:rPr>
        <w:t>1</w:t>
      </w:r>
      <w:r>
        <w:rPr>
          <w:rFonts w:hint="eastAsia" w:ascii="Times New Roman" w:hAnsi="宋体" w:cs="宋体"/>
          <w:szCs w:val="21"/>
        </w:rPr>
        <w:t>、本项目采用综合评分法。评审得分满分</w:t>
      </w:r>
      <w:r>
        <w:rPr>
          <w:rFonts w:ascii="Times New Roman" w:hAnsi="Times New Roman" w:cs="宋体"/>
          <w:szCs w:val="21"/>
        </w:rPr>
        <w:t>100</w:t>
      </w:r>
      <w:r>
        <w:rPr>
          <w:rFonts w:hint="eastAsia" w:ascii="Times New Roman" w:hAnsi="宋体" w:cs="宋体"/>
          <w:szCs w:val="21"/>
        </w:rPr>
        <w:t>分，磋商小组按照评审得分由高到低顺序进行排序，推荐3名成交候选供应商。若评审得分相同，则</w:t>
      </w:r>
      <w:r>
        <w:rPr>
          <w:rFonts w:hint="eastAsia" w:ascii="Times New Roman" w:hAnsi="宋体" w:cs="宋体"/>
          <w:szCs w:val="21"/>
          <w:lang w:eastAsia="zh-CN"/>
        </w:rPr>
        <w:t>最终报价</w:t>
      </w:r>
      <w:r>
        <w:rPr>
          <w:rFonts w:hint="eastAsia" w:ascii="Times New Roman" w:hAnsi="宋体" w:cs="宋体"/>
          <w:szCs w:val="21"/>
        </w:rPr>
        <w:t>低者列前；若</w:t>
      </w:r>
      <w:r>
        <w:rPr>
          <w:rFonts w:hint="eastAsia" w:ascii="Times New Roman" w:hAnsi="宋体" w:cs="宋体"/>
          <w:szCs w:val="21"/>
          <w:lang w:eastAsia="zh-CN"/>
        </w:rPr>
        <w:t>最终报价</w:t>
      </w:r>
      <w:r>
        <w:rPr>
          <w:rFonts w:hint="eastAsia" w:ascii="Times New Roman" w:hAnsi="宋体" w:cs="宋体"/>
          <w:szCs w:val="21"/>
        </w:rPr>
        <w:t>也相同，则采取抽签方式确定排序，抽取的第一位列前。</w:t>
      </w:r>
    </w:p>
    <w:p w14:paraId="1C0BB072">
      <w:pPr>
        <w:autoSpaceDE w:val="0"/>
        <w:autoSpaceDN w:val="0"/>
        <w:adjustRightInd w:val="0"/>
        <w:spacing w:line="360" w:lineRule="auto"/>
        <w:ind w:firstLine="420" w:firstLineChars="200"/>
        <w:jc w:val="left"/>
      </w:pPr>
      <w:r>
        <w:rPr>
          <w:rFonts w:ascii="Times New Roman" w:hAnsi="Times New Roman" w:cs="宋体"/>
          <w:szCs w:val="21"/>
        </w:rPr>
        <w:t>2</w:t>
      </w:r>
      <w:r>
        <w:rPr>
          <w:rFonts w:hint="eastAsia" w:ascii="Times New Roman" w:hAnsi="宋体" w:cs="宋体"/>
          <w:szCs w:val="21"/>
        </w:rPr>
        <w:t>、本项目需要落实的政府采购政策：</w:t>
      </w:r>
      <w:bookmarkStart w:id="21" w:name="_Hlk35433721"/>
      <w:r>
        <w:rPr>
          <w:rFonts w:hint="eastAsia" w:ascii="Times New Roman" w:hAnsi="宋体" w:cs="宋体"/>
          <w:szCs w:val="21"/>
        </w:rPr>
        <w:t>《关于促进残疾人就业政府采购政策的通知》（财库</w:t>
      </w:r>
      <w:r>
        <w:rPr>
          <w:rFonts w:ascii="Times New Roman" w:hAnsi="Times New Roman" w:cs="宋体"/>
          <w:szCs w:val="21"/>
        </w:rPr>
        <w:t>[2017]141</w:t>
      </w:r>
      <w:r>
        <w:rPr>
          <w:rFonts w:hint="eastAsia" w:ascii="Times New Roman" w:hAnsi="宋体" w:cs="宋体"/>
          <w:szCs w:val="21"/>
        </w:rPr>
        <w:t>号）、《政府采购促进中小企业发展管理办法》（财库﹝</w:t>
      </w:r>
      <w:r>
        <w:rPr>
          <w:rFonts w:ascii="Times New Roman" w:hAnsi="Times New Roman"/>
          <w:szCs w:val="21"/>
        </w:rPr>
        <w:t>2020</w:t>
      </w:r>
      <w:r>
        <w:rPr>
          <w:rFonts w:hint="eastAsia" w:ascii="Times New Roman" w:hAnsi="宋体" w:cs="宋体"/>
          <w:szCs w:val="21"/>
        </w:rPr>
        <w:t>﹞</w:t>
      </w:r>
      <w:r>
        <w:rPr>
          <w:rFonts w:ascii="Times New Roman" w:hAnsi="Times New Roman"/>
          <w:szCs w:val="21"/>
        </w:rPr>
        <w:t>46</w:t>
      </w:r>
      <w:r>
        <w:rPr>
          <w:rFonts w:hint="eastAsia" w:ascii="Times New Roman" w:hAnsi="宋体" w:cs="宋体"/>
          <w:szCs w:val="21"/>
        </w:rPr>
        <w:t>号）、《关于政府采购支持监狱企业发展有关问题的通知》（财库</w:t>
      </w:r>
      <w:r>
        <w:rPr>
          <w:rFonts w:ascii="Times New Roman" w:hAnsi="Times New Roman" w:cs="宋体"/>
          <w:szCs w:val="21"/>
        </w:rPr>
        <w:t>[2014]68</w:t>
      </w:r>
      <w:r>
        <w:rPr>
          <w:rFonts w:hint="eastAsia" w:ascii="Times New Roman" w:hAnsi="宋体" w:cs="宋体"/>
          <w:szCs w:val="21"/>
        </w:rPr>
        <w:t>号）。</w:t>
      </w:r>
    </w:p>
    <w:bookmarkEnd w:id="21"/>
    <w:p w14:paraId="077CD6CA">
      <w:pPr>
        <w:autoSpaceDN w:val="0"/>
        <w:spacing w:line="360" w:lineRule="auto"/>
        <w:ind w:firstLine="422" w:firstLineChars="200"/>
        <w:rPr>
          <w:b/>
          <w:bCs/>
        </w:rPr>
      </w:pPr>
      <w:r>
        <w:rPr>
          <w:rFonts w:ascii="Times New Roman" w:hAnsi="Times New Roman"/>
          <w:b/>
          <w:bCs/>
          <w:szCs w:val="21"/>
        </w:rPr>
        <w:t>3</w:t>
      </w:r>
      <w:r>
        <w:rPr>
          <w:rFonts w:hint="eastAsia" w:ascii="Times New Roman" w:hAnsi="宋体" w:cs="宋体"/>
          <w:b/>
          <w:bCs/>
          <w:szCs w:val="21"/>
        </w:rPr>
        <w:t>、本次采购为专门面向中小企业，专门面向中小企业采购的项目不再执行价格优惠措施。</w:t>
      </w:r>
    </w:p>
    <w:p w14:paraId="5B48C0E6">
      <w:pPr>
        <w:autoSpaceDE w:val="0"/>
        <w:autoSpaceDN w:val="0"/>
        <w:adjustRightInd w:val="0"/>
        <w:spacing w:line="360" w:lineRule="auto"/>
        <w:ind w:firstLine="420" w:firstLineChars="200"/>
        <w:jc w:val="left"/>
        <w:rPr>
          <w:rFonts w:hint="eastAsia" w:ascii="Times New Roman" w:hAnsi="宋体" w:cs="宋体"/>
          <w:szCs w:val="21"/>
        </w:rPr>
      </w:pPr>
      <w:r>
        <w:rPr>
          <w:rFonts w:ascii="Times New Roman" w:hAnsi="Times New Roman"/>
          <w:szCs w:val="21"/>
        </w:rPr>
        <w:t>4</w:t>
      </w:r>
      <w:r>
        <w:rPr>
          <w:rFonts w:hint="eastAsia" w:ascii="Times New Roman" w:hAnsi="宋体" w:cs="宋体"/>
          <w:szCs w:val="21"/>
        </w:rPr>
        <w:t>、</w:t>
      </w:r>
      <w:r>
        <w:rPr>
          <w:rFonts w:hint="eastAsia" w:ascii="Times New Roman" w:hAnsi="宋体" w:cs="宋体"/>
          <w:kern w:val="0"/>
          <w:szCs w:val="21"/>
        </w:rPr>
        <w:t>磋商小组成员</w:t>
      </w:r>
      <w:r>
        <w:rPr>
          <w:rFonts w:hint="eastAsia" w:ascii="Times New Roman" w:hAnsi="宋体" w:cs="宋体"/>
          <w:szCs w:val="21"/>
        </w:rPr>
        <w:t>对需要共同认定的事项存在争议的，应当按照少数服从多数的原则作出结论。</w:t>
      </w:r>
    </w:p>
    <w:p w14:paraId="111D1644">
      <w:pPr>
        <w:autoSpaceDE w:val="0"/>
        <w:autoSpaceDN w:val="0"/>
        <w:adjustRightInd w:val="0"/>
        <w:spacing w:line="360" w:lineRule="auto"/>
        <w:ind w:firstLine="422" w:firstLineChars="200"/>
        <w:jc w:val="left"/>
        <w:rPr>
          <w:rFonts w:hint="eastAsia" w:ascii="宋体" w:hAnsi="宋体" w:eastAsia="宋体" w:cs="宋体"/>
        </w:rPr>
      </w:pPr>
      <w:r>
        <w:rPr>
          <w:rFonts w:hint="eastAsia" w:ascii="宋体" w:hAnsi="宋体" w:eastAsia="宋体" w:cs="宋体"/>
          <w:b/>
          <w:kern w:val="0"/>
          <w:szCs w:val="21"/>
        </w:rPr>
        <w:t>二、磋商小组</w:t>
      </w:r>
      <w:bookmarkEnd w:id="13"/>
      <w:bookmarkEnd w:id="14"/>
      <w:bookmarkEnd w:id="15"/>
      <w:bookmarkEnd w:id="16"/>
      <w:bookmarkEnd w:id="17"/>
      <w:bookmarkEnd w:id="18"/>
      <w:bookmarkEnd w:id="19"/>
      <w:bookmarkEnd w:id="20"/>
    </w:p>
    <w:p w14:paraId="23EBF8F6">
      <w:pPr>
        <w:autoSpaceDE w:val="0"/>
        <w:autoSpaceDN w:val="0"/>
        <w:adjustRightInd w:val="0"/>
        <w:spacing w:line="360" w:lineRule="auto"/>
        <w:ind w:firstLine="420" w:firstLineChars="200"/>
        <w:jc w:val="left"/>
        <w:rPr>
          <w:rFonts w:hint="eastAsia" w:ascii="宋体" w:hAnsi="宋体" w:eastAsia="宋体" w:cs="宋体"/>
        </w:rPr>
      </w:pPr>
      <w:bookmarkStart w:id="22" w:name="_Toc214700231"/>
      <w:bookmarkStart w:id="23" w:name="_Toc214700099"/>
      <w:r>
        <w:rPr>
          <w:rFonts w:hint="eastAsia" w:ascii="宋体" w:hAnsi="宋体" w:eastAsia="宋体" w:cs="宋体"/>
          <w:kern w:val="0"/>
          <w:szCs w:val="21"/>
        </w:rPr>
        <w:t>1、采购人依法组建磋商小组，磋商小组</w:t>
      </w:r>
      <w:r>
        <w:rPr>
          <w:rFonts w:hint="eastAsia" w:ascii="宋体" w:hAnsi="宋体" w:eastAsia="宋体" w:cs="宋体"/>
          <w:szCs w:val="21"/>
        </w:rPr>
        <w:t>由采购人代表和专家组成，</w:t>
      </w:r>
      <w:r>
        <w:rPr>
          <w:rFonts w:hint="eastAsia" w:ascii="宋体" w:hAnsi="宋体" w:eastAsia="宋体" w:cs="宋体"/>
          <w:kern w:val="0"/>
          <w:szCs w:val="21"/>
        </w:rPr>
        <w:t>负责对磋商响应文件进行评审。</w:t>
      </w:r>
      <w:bookmarkEnd w:id="22"/>
      <w:bookmarkEnd w:id="23"/>
    </w:p>
    <w:p w14:paraId="2EBAA912">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49F4D7C1">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kern w:val="0"/>
          <w:szCs w:val="21"/>
        </w:rPr>
        <w:t>3、磋商小组所有成员应当集中与单一供应商分别进行磋商，并给予所有参加磋商的供应商平等的磋商机会。</w:t>
      </w:r>
    </w:p>
    <w:p w14:paraId="5105D424">
      <w:pPr>
        <w:autoSpaceDE w:val="0"/>
        <w:autoSpaceDN w:val="0"/>
        <w:adjustRightInd w:val="0"/>
        <w:spacing w:line="360" w:lineRule="auto"/>
        <w:ind w:firstLine="422" w:firstLineChars="200"/>
        <w:jc w:val="left"/>
        <w:rPr>
          <w:rFonts w:hint="eastAsia" w:ascii="宋体" w:hAnsi="宋体" w:eastAsia="宋体" w:cs="宋体"/>
        </w:rPr>
      </w:pPr>
      <w:r>
        <w:rPr>
          <w:rFonts w:hint="eastAsia" w:ascii="宋体" w:hAnsi="宋体" w:eastAsia="宋体" w:cs="宋体"/>
          <w:b/>
          <w:kern w:val="0"/>
          <w:szCs w:val="21"/>
        </w:rPr>
        <w:t>三、评审程序</w:t>
      </w:r>
    </w:p>
    <w:p w14:paraId="67A8386D">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1、本项目实行网上磋商，采用电子磋商响应文件。磋商截止时间后，供应商登录政府采购云平台，用“项目采购-开标评标”功能对电子磋商响应文件进行在线解密，在线解密电子磋商响应文件时间为磋商时间后30分钟内。供应商按时在线解密电子磋商响应文件的，以在线解密的电子磋商响应文件作为评审依据，若供应商在规定时间内无法解密或解密失败，则以备份磋商响应文件作为评审依据（若备份磋商响应文件与政采云平台上传的电子磋商响应文件被识别为不一致，仍以备份磋商响应文件作为评审依据）。无论是否启用备份磋商响应文件，备份磋商响应文件均不退还供应商。若供应商在规定时间内无法解密或解密失败且未提供备份磋商响应文件或所提供的备份磋商响应文件无法读取的，视为磋商响应文件撤回。供应商在规定的磋商响应文件递交的截止时间之前提交磋商响应文件。</w:t>
      </w:r>
    </w:p>
    <w:p w14:paraId="3B899526">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2、竞争性磋商不进行公开唱价。磋商小组在磋商开始后对供应商的磋商响应文件进行评审。</w:t>
      </w:r>
    </w:p>
    <w:p w14:paraId="282BADB2">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3、资格文件、商务和技术文件初步审查：包含资格性审查和符合性审查。资格性审查是指资格审查小组根据“资格条件自查表”的要求对磋商响应文件逐一进行评审。符合性审查是指评审小组根据“符合性审查表”的要求对磋商响应文件逐一进行评审。</w:t>
      </w:r>
      <w:r>
        <w:rPr>
          <w:rFonts w:ascii="宋体" w:hAnsi="宋体"/>
          <w:color w:val="auto"/>
          <w:sz w:val="24"/>
          <w:highlight w:val="none"/>
        </w:rPr>
        <w:t>▲</w:t>
      </w:r>
      <w:r>
        <w:rPr>
          <w:rFonts w:hint="eastAsia" w:ascii="宋体" w:hAnsi="宋体" w:eastAsia="宋体" w:cs="宋体"/>
          <w:b/>
          <w:szCs w:val="21"/>
        </w:rPr>
        <w:t>资格性审查和符合性审查中，有任意一项审查结论不合格的，作无效报价处理。</w:t>
      </w:r>
    </w:p>
    <w:p w14:paraId="2EB345CE">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4、</w:t>
      </w:r>
      <w:r>
        <w:rPr>
          <w:rFonts w:hint="eastAsia" w:ascii="宋体" w:hAnsi="宋体" w:eastAsia="宋体" w:cs="宋体"/>
          <w:szCs w:val="21"/>
          <w:lang w:val="zh-CN"/>
        </w:rPr>
        <w:t>比较与评价：</w:t>
      </w:r>
      <w:r>
        <w:rPr>
          <w:rFonts w:hint="eastAsia" w:ascii="宋体" w:hAnsi="宋体" w:eastAsia="宋体" w:cs="宋体"/>
          <w:szCs w:val="21"/>
        </w:rPr>
        <w:t>评审小组根据“附表1商务技术评分表”的要求，</w:t>
      </w:r>
      <w:r>
        <w:rPr>
          <w:rFonts w:hint="eastAsia" w:ascii="宋体" w:hAnsi="宋体" w:eastAsia="宋体" w:cs="宋体"/>
          <w:szCs w:val="21"/>
          <w:lang w:val="zh-CN"/>
        </w:rPr>
        <w:t>对照磋商响应文件的应答进行比较，判定其偏差性质和程度，</w:t>
      </w:r>
      <w:r>
        <w:rPr>
          <w:rFonts w:hint="eastAsia" w:ascii="宋体" w:hAnsi="宋体" w:eastAsia="宋体" w:cs="宋体"/>
          <w:szCs w:val="21"/>
        </w:rPr>
        <w:t>由评审小组成员在分值范围内自行评分。供应商商务技术得分为各评审小组成员有效评分的算术平均值（小数点后保留二位数）。</w:t>
      </w:r>
    </w:p>
    <w:p w14:paraId="2E89B5E5">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5、报价文件初步审查：报价文件初步审查是指评审小组根据“报价审查表”的要求对磋商响应文件逐一进行评审。</w:t>
      </w:r>
      <w:r>
        <w:rPr>
          <w:rFonts w:ascii="宋体" w:hAnsi="宋体"/>
          <w:color w:val="auto"/>
          <w:sz w:val="24"/>
          <w:highlight w:val="none"/>
        </w:rPr>
        <w:t>▲</w:t>
      </w:r>
      <w:r>
        <w:rPr>
          <w:rFonts w:hint="eastAsia" w:ascii="宋体" w:hAnsi="宋体" w:eastAsia="宋体" w:cs="宋体"/>
          <w:b/>
          <w:szCs w:val="21"/>
        </w:rPr>
        <w:t>初步审查中，审查结论不合格的，作无效报价处理。</w:t>
      </w:r>
    </w:p>
    <w:p w14:paraId="7413E5A9">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6、</w:t>
      </w:r>
      <w:r>
        <w:rPr>
          <w:rFonts w:hint="eastAsia" w:ascii="宋体" w:hAnsi="宋体" w:eastAsia="宋体" w:cs="宋体"/>
          <w:kern w:val="0"/>
          <w:szCs w:val="21"/>
        </w:rPr>
        <w:t>磋商小组所有成员与单一供应商分别进行磋商，</w:t>
      </w:r>
      <w:r>
        <w:rPr>
          <w:rFonts w:hint="eastAsia" w:ascii="宋体" w:hAnsi="宋体" w:eastAsia="宋体" w:cs="宋体"/>
          <w:szCs w:val="21"/>
        </w:rPr>
        <w:t>参加磋商的供应商在规定时间内提交</w:t>
      </w:r>
      <w:r>
        <w:rPr>
          <w:rFonts w:hint="eastAsia" w:ascii="宋体" w:hAnsi="宋体" w:eastAsia="宋体" w:cs="宋体"/>
          <w:szCs w:val="21"/>
          <w:lang w:eastAsia="zh-CN"/>
        </w:rPr>
        <w:t>最终报价</w:t>
      </w:r>
      <w:r>
        <w:rPr>
          <w:rFonts w:hint="eastAsia" w:ascii="宋体" w:hAnsi="宋体" w:eastAsia="宋体" w:cs="宋体"/>
          <w:szCs w:val="21"/>
        </w:rPr>
        <w:t>。</w:t>
      </w:r>
      <w:r>
        <w:rPr>
          <w:rFonts w:hint="eastAsia" w:ascii="宋体" w:hAnsi="宋体" w:eastAsia="宋体" w:cs="宋体"/>
          <w:szCs w:val="21"/>
          <w:lang w:eastAsia="zh-CN"/>
        </w:rPr>
        <w:t>最终报价</w:t>
      </w:r>
      <w:r>
        <w:rPr>
          <w:rFonts w:hint="eastAsia" w:ascii="宋体" w:hAnsi="宋体" w:eastAsia="宋体" w:cs="宋体"/>
          <w:szCs w:val="21"/>
        </w:rPr>
        <w:t>须在政采云中完成。</w:t>
      </w:r>
    </w:p>
    <w:p w14:paraId="3A5E6B92">
      <w:pPr>
        <w:autoSpaceDN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7、磋商小组根据“附表1</w:t>
      </w:r>
      <w:r>
        <w:rPr>
          <w:rFonts w:hint="eastAsia" w:ascii="宋体" w:hAnsi="宋体" w:eastAsia="宋体" w:cs="宋体"/>
          <w:kern w:val="0"/>
          <w:szCs w:val="21"/>
        </w:rPr>
        <w:t>评分标准（兼评委打分表）</w:t>
      </w:r>
      <w:r>
        <w:rPr>
          <w:rFonts w:hint="eastAsia" w:ascii="宋体" w:hAnsi="宋体" w:eastAsia="宋体" w:cs="宋体"/>
          <w:szCs w:val="21"/>
        </w:rPr>
        <w:t>”的要求，</w:t>
      </w:r>
      <w:r>
        <w:rPr>
          <w:rFonts w:hint="eastAsia" w:ascii="宋体" w:hAnsi="宋体" w:eastAsia="宋体" w:cs="宋体"/>
          <w:kern w:val="0"/>
          <w:szCs w:val="21"/>
        </w:rPr>
        <w:t>独立对每个有效响应的供应商</w:t>
      </w:r>
      <w:r>
        <w:rPr>
          <w:rFonts w:hint="eastAsia" w:ascii="宋体" w:hAnsi="宋体" w:eastAsia="宋体" w:cs="宋体"/>
          <w:szCs w:val="21"/>
        </w:rPr>
        <w:t>的磋商响应文件在分值范围内进行评分，然后汇总磋商小组各成员有效评分的算术平均值（小数点后保留二位数）即为供应商的评审得分。</w:t>
      </w:r>
    </w:p>
    <w:p w14:paraId="53519E86">
      <w:pPr>
        <w:autoSpaceDE w:val="0"/>
        <w:autoSpaceDN w:val="0"/>
        <w:adjustRightInd w:val="0"/>
        <w:spacing w:line="360" w:lineRule="auto"/>
        <w:ind w:firstLine="420" w:firstLineChars="200"/>
        <w:jc w:val="left"/>
      </w:pPr>
      <w:r>
        <w:rPr>
          <w:rFonts w:hint="eastAsia" w:ascii="宋体" w:hAnsi="宋体" w:eastAsia="宋体" w:cs="宋体"/>
          <w:szCs w:val="21"/>
        </w:rPr>
        <w:t>8、推荐成交候选供应商：磋商小组按照评审得分由高到低顺序进行排序，推荐3名及以上成交候选供应商。若评审得分相同，则</w:t>
      </w:r>
      <w:r>
        <w:rPr>
          <w:rFonts w:hint="eastAsia" w:ascii="宋体" w:hAnsi="宋体" w:eastAsia="宋体" w:cs="宋体"/>
          <w:szCs w:val="21"/>
          <w:lang w:eastAsia="zh-CN"/>
        </w:rPr>
        <w:t>最终报价</w:t>
      </w:r>
      <w:r>
        <w:rPr>
          <w:rFonts w:hint="eastAsia" w:ascii="宋体" w:hAnsi="宋体" w:eastAsia="宋体" w:cs="宋体"/>
          <w:szCs w:val="21"/>
        </w:rPr>
        <w:t>低者列前，若</w:t>
      </w:r>
      <w:r>
        <w:rPr>
          <w:rFonts w:hint="eastAsia" w:ascii="宋体" w:hAnsi="宋体" w:eastAsia="宋体" w:cs="宋体"/>
          <w:szCs w:val="21"/>
          <w:lang w:eastAsia="zh-CN"/>
        </w:rPr>
        <w:t>最终报价</w:t>
      </w:r>
      <w:r>
        <w:rPr>
          <w:rFonts w:hint="eastAsia" w:ascii="宋体" w:hAnsi="宋体" w:eastAsia="宋体" w:cs="宋体"/>
          <w:szCs w:val="21"/>
        </w:rPr>
        <w:t>也相同时，</w:t>
      </w:r>
      <w:r>
        <w:rPr>
          <w:rFonts w:hint="eastAsia" w:ascii="Times New Roman" w:hAnsi="宋体" w:cs="宋体"/>
          <w:szCs w:val="21"/>
        </w:rPr>
        <w:t>则技术得分高者列前；若均相同，则采取抽签方式确定排序。</w:t>
      </w:r>
    </w:p>
    <w:p w14:paraId="7D3B5663">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9、确定成交供应商</w:t>
      </w:r>
    </w:p>
    <w:p w14:paraId="686E20C1">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代理机构应当自评审结束之日起2个工作日内将评审报告送交采购人。采购人应当自收到评审报告之日起5个工作日内在评审报告推荐的成交候选供应商中按顺序确定1名成交供应商。成交供应商因不可抗力或者自身原因不能履行政府采购合同的，采购人可以按照评审报告推荐的下一成交候选供应商为成交供应商或重新开展政府采购活动。</w:t>
      </w:r>
    </w:p>
    <w:p w14:paraId="63EB71A4">
      <w:pPr>
        <w:autoSpaceDE w:val="0"/>
        <w:autoSpaceDN w:val="0"/>
        <w:adjustRightInd w:val="0"/>
        <w:spacing w:line="360" w:lineRule="auto"/>
        <w:ind w:firstLine="422" w:firstLineChars="200"/>
        <w:jc w:val="left"/>
        <w:rPr>
          <w:rFonts w:hint="eastAsia" w:ascii="宋体" w:hAnsi="宋体" w:eastAsia="宋体" w:cs="宋体"/>
        </w:rPr>
      </w:pPr>
      <w:r>
        <w:rPr>
          <w:rFonts w:hint="eastAsia" w:ascii="宋体" w:hAnsi="宋体" w:eastAsia="宋体" w:cs="宋体"/>
          <w:b/>
          <w:kern w:val="0"/>
          <w:szCs w:val="21"/>
        </w:rPr>
        <w:t>四、磋商的澄清</w:t>
      </w:r>
    </w:p>
    <w:p w14:paraId="5A737F23">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r>
        <w:rPr>
          <w:rFonts w:hint="eastAsia" w:ascii="宋体" w:hAnsi="宋体" w:eastAsia="宋体" w:cs="宋体"/>
          <w:szCs w:val="21"/>
          <w:lang w:eastAsia="zh-CN"/>
        </w:rPr>
        <w:t>，</w:t>
      </w:r>
      <w:r>
        <w:rPr>
          <w:rFonts w:hint="eastAsia" w:ascii="宋体" w:hAnsi="宋体" w:eastAsia="宋体" w:cs="宋体"/>
          <w:szCs w:val="21"/>
          <w:lang w:val="en-US" w:eastAsia="zh-CN"/>
        </w:rPr>
        <w:t>否则澄清无效。</w:t>
      </w:r>
    </w:p>
    <w:p w14:paraId="1BE14466">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2、政采云具体操作如下：</w:t>
      </w:r>
    </w:p>
    <w:p w14:paraId="2C09B900">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0C0AF478">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路径：用户中心—项目采购—询标澄清</w:t>
      </w:r>
    </w:p>
    <w:p w14:paraId="1B514D4D">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（1）政采云平台通过待办事项和短信提醒供应商在截止时间前完成澄清。</w:t>
      </w:r>
    </w:p>
    <w:p w14:paraId="190F552C">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（2）供应商在“询标澄清-待办理”标签页下选择状态为“待澄清”的项目，点击操作栏【澄清】。</w:t>
      </w:r>
    </w:p>
    <w:p w14:paraId="7C43366C">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（3）查看函内容，在澄清截止时间前上传澄清文件并对澄清文件进行签章。（注：澄清文件必须以PDF格式上传，文件大小：50M。）</w:t>
      </w:r>
    </w:p>
    <w:p w14:paraId="398BCB57">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（4）签章完成，文件名称处显示“已签章”，供应商可“撤回签章”修改澄清函和“查看文件”。</w:t>
      </w:r>
    </w:p>
    <w:p w14:paraId="4304970E">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2223D4BF">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（6）完成状态：供应商澄清文件提交成功后，在“询标澄清-全部”标签页下显示状态为“已澄清”。</w:t>
      </w:r>
    </w:p>
    <w:p w14:paraId="53A56300">
      <w:pPr>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3、供应商未在截止时间前完成澄清，将被视作自动放弃。</w:t>
      </w:r>
    </w:p>
    <w:p w14:paraId="0AD3D903">
      <w:pPr>
        <w:autoSpaceDE w:val="0"/>
        <w:autoSpaceDN w:val="0"/>
        <w:adjustRightInd w:val="0"/>
        <w:spacing w:line="360" w:lineRule="auto"/>
        <w:ind w:firstLine="422" w:firstLineChars="200"/>
        <w:jc w:val="left"/>
        <w:rPr>
          <w:rFonts w:hint="eastAsia" w:ascii="宋体" w:hAnsi="宋体" w:eastAsia="宋体" w:cs="宋体"/>
        </w:rPr>
      </w:pPr>
      <w:r>
        <w:rPr>
          <w:rFonts w:hint="eastAsia" w:ascii="宋体" w:hAnsi="宋体" w:eastAsia="宋体" w:cs="宋体"/>
          <w:b/>
          <w:kern w:val="0"/>
          <w:szCs w:val="21"/>
        </w:rPr>
        <w:t>五、其他说明</w:t>
      </w:r>
    </w:p>
    <w:p w14:paraId="7C38EBAD">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kern w:val="0"/>
          <w:szCs w:val="21"/>
        </w:rPr>
        <w:t>1、采购人不向未成交供应商解释未成交原因，不退还磋商响应文件。</w:t>
      </w:r>
    </w:p>
    <w:p w14:paraId="2EB656C4">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kern w:val="0"/>
          <w:szCs w:val="21"/>
        </w:rPr>
        <w:t>2、</w:t>
      </w:r>
      <w:r>
        <w:rPr>
          <w:rFonts w:hint="eastAsia" w:ascii="宋体" w:hAnsi="宋体" w:eastAsia="宋体" w:cs="宋体"/>
          <w:szCs w:val="21"/>
        </w:rPr>
        <w:t>价格是评审的重要因素之一，但最低报价不是成交的唯一依据。</w:t>
      </w:r>
    </w:p>
    <w:p w14:paraId="242B6E0E">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3、在评审过程中，发现的价格计算错误按下述原则修正：</w:t>
      </w:r>
    </w:p>
    <w:p w14:paraId="3129C230">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（1）磋商响应文件中报价一览表内容与磋商响应文件中分项报价表内容不一致的，以报价一览表为准；</w:t>
      </w:r>
    </w:p>
    <w:p w14:paraId="2A0B80A2">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（2）磋商响应文件的大写金额和小写金额不一致的，以大写金额为准；</w:t>
      </w:r>
    </w:p>
    <w:p w14:paraId="16528E7C">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（3）单价金额小数点有明显错位的，应以总价为准，并修改单价；</w:t>
      </w:r>
    </w:p>
    <w:p w14:paraId="7830F765">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（4）总价金额与按单价汇总金额不一致的，以单价金额计算结果为准。</w:t>
      </w:r>
    </w:p>
    <w:p w14:paraId="098FE16B">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同时出现两种以上不一致的，按照上述顺序修正。修正后的价格若高于磋商报价，则成交价以磋商报价为准，评审价以修正后的价格为准；修正后的价格若低于磋商报价，则成交价以修正后价格为准，评审价以磋商报价为准。如供应商不接受按以上规则确定的评审价和成交价，则其报价将被拒绝。</w:t>
      </w:r>
    </w:p>
    <w:p w14:paraId="6FC785EF">
      <w:pPr>
        <w:autoSpaceDE w:val="0"/>
        <w:autoSpaceDN w:val="0"/>
        <w:adjustRightInd w:val="0"/>
        <w:spacing w:line="360" w:lineRule="auto"/>
        <w:ind w:firstLine="420" w:firstLineChars="200"/>
        <w:jc w:val="left"/>
        <w:rPr>
          <w:rFonts w:ascii="Times New Roman" w:hAnsi="Times New Roman"/>
        </w:rPr>
      </w:pPr>
      <w:r>
        <w:rPr>
          <w:rFonts w:hint="eastAsia" w:ascii="宋体" w:hAnsi="宋体" w:eastAsia="宋体" w:cs="宋体"/>
          <w:kern w:val="0"/>
          <w:szCs w:val="21"/>
        </w:rPr>
        <w:t>4、</w:t>
      </w:r>
      <w:r>
        <w:rPr>
          <w:rFonts w:hint="eastAsia" w:ascii="Times New Roman" w:hAnsi="Times New Roman" w:eastAsia="宋体" w:cs="宋体"/>
          <w:kern w:val="0"/>
          <w:szCs w:val="21"/>
        </w:rPr>
        <w:t>采用竞争性磋商采购方式采购的政府购买服务项目（含政府和社会资本合作项目），在采购过程中符合要求的供应商（社会资本）只有</w:t>
      </w:r>
      <w:r>
        <w:rPr>
          <w:rFonts w:ascii="Times New Roman" w:hAnsi="Times New Roman" w:eastAsia="宋体" w:cs="Times New Roman"/>
          <w:kern w:val="0"/>
          <w:szCs w:val="21"/>
        </w:rPr>
        <w:t>2</w:t>
      </w:r>
      <w:r>
        <w:rPr>
          <w:rFonts w:hint="eastAsia" w:ascii="Times New Roman" w:hAnsi="Times New Roman" w:eastAsia="宋体" w:cs="宋体"/>
          <w:kern w:val="0"/>
          <w:szCs w:val="21"/>
        </w:rPr>
        <w:t>家的，竞争性磋商采购活动可以继续进行。采购过程中符合要求的供应商（社会资本）只有</w:t>
      </w:r>
      <w:r>
        <w:rPr>
          <w:rFonts w:ascii="Times New Roman" w:hAnsi="Times New Roman" w:eastAsia="宋体" w:cs="Times New Roman"/>
          <w:kern w:val="0"/>
          <w:szCs w:val="21"/>
        </w:rPr>
        <w:t>1</w:t>
      </w:r>
      <w:r>
        <w:rPr>
          <w:rFonts w:hint="eastAsia" w:ascii="Times New Roman" w:hAnsi="Times New Roman" w:eastAsia="宋体" w:cs="宋体"/>
          <w:kern w:val="0"/>
          <w:szCs w:val="21"/>
        </w:rPr>
        <w:t>家的，采购人（项目实施机构）或者采购代理机构应当终止竞争性磋商采购活动，发布项目终止公告并说明原因，重新开展采购活动。</w:t>
      </w:r>
    </w:p>
    <w:p w14:paraId="546A0747">
      <w:pPr>
        <w:autoSpaceDN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szCs w:val="21"/>
        </w:rPr>
        <w:t>5</w:t>
      </w:r>
      <w:r>
        <w:rPr>
          <w:rFonts w:hint="eastAsia" w:ascii="Times New Roman" w:hAnsi="Times New Roman" w:eastAsia="宋体" w:cs="宋体"/>
          <w:szCs w:val="21"/>
        </w:rPr>
        <w:t>、核心产品提供相同品牌产品且通过资格性审查、符合性审查的不同供应商参加同一标项磋商的，按一家供应商计算，评审后评审得分最高的同品牌供应商获得成交候选供应商推荐资格；评审得分相同的，由磋商小组采取随机抽取方式确定，其他同品牌供应商不作为成交候选供应商。</w:t>
      </w:r>
    </w:p>
    <w:p w14:paraId="02A6068A">
      <w:pPr>
        <w:autoSpaceDN w:val="0"/>
        <w:spacing w:line="360" w:lineRule="auto"/>
        <w:ind w:firstLine="420" w:firstLineChars="200"/>
        <w:jc w:val="left"/>
        <w:rPr>
          <w:rFonts w:ascii="Times New Roman" w:hAnsi="Times New Roman" w:eastAsia="宋体" w:cs="Times New Roman"/>
        </w:rPr>
      </w:pPr>
      <w:r>
        <w:rPr>
          <w:rFonts w:hint="eastAsia" w:ascii="Times New Roman" w:hAnsi="Times New Roman" w:eastAsia="宋体" w:cs="宋体"/>
          <w:szCs w:val="21"/>
        </w:rPr>
        <w:t>非单一产品采购项目，多家供应商提供的核心产品品牌相同的，按上述规定处理。</w:t>
      </w:r>
    </w:p>
    <w:p w14:paraId="5BF98566">
      <w:pPr>
        <w:autoSpaceDN/>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szCs w:val="21"/>
        </w:rPr>
        <w:t>6</w:t>
      </w:r>
      <w:r>
        <w:rPr>
          <w:rFonts w:hint="eastAsia" w:ascii="Times New Roman" w:hAnsi="Times New Roman" w:eastAsia="宋体" w:cs="宋体"/>
          <w:szCs w:val="21"/>
        </w:rPr>
        <w:t>、参加采购响应的供应商中，有两家或两家以上供应商的单位负责人为同一人或者存在直接控股、管理关系的，应当按一个供应商认定。评审时，取</w:t>
      </w:r>
      <w:r>
        <w:rPr>
          <w:rFonts w:hint="eastAsia" w:ascii="Times New Roman" w:hAnsi="Times New Roman" w:eastAsia="宋体" w:cs="宋体"/>
          <w:kern w:val="0"/>
          <w:szCs w:val="21"/>
        </w:rPr>
        <w:t>磋商响应文件评审有效</w:t>
      </w:r>
      <w:r>
        <w:rPr>
          <w:rFonts w:hint="eastAsia" w:ascii="Times New Roman" w:hAnsi="Times New Roman" w:eastAsia="宋体" w:cs="宋体"/>
          <w:szCs w:val="21"/>
        </w:rPr>
        <w:t>的报价最低一家为有效供应商；当报价相同时</w:t>
      </w:r>
      <w:r>
        <w:rPr>
          <w:rFonts w:hint="eastAsia" w:ascii="Times New Roman" w:hAnsi="Times New Roman" w:eastAsia="宋体" w:cs="宋体"/>
          <w:szCs w:val="21"/>
          <w:lang w:eastAsia="zh-CN"/>
        </w:rPr>
        <w:t>，</w:t>
      </w:r>
      <w:r>
        <w:rPr>
          <w:rFonts w:hint="eastAsia" w:ascii="Times New Roman" w:hAnsi="Times New Roman" w:eastAsia="宋体" w:cs="宋体"/>
          <w:sz w:val="21"/>
          <w:szCs w:val="21"/>
          <w:lang w:val="zh-CN"/>
        </w:rPr>
        <w:t>则</w:t>
      </w:r>
      <w:r>
        <w:rPr>
          <w:rFonts w:hint="eastAsia" w:ascii="Times New Roman" w:hAnsi="Times New Roman" w:eastAsia="宋体" w:cs="宋体"/>
          <w:sz w:val="21"/>
          <w:szCs w:val="21"/>
          <w:lang w:val="en-US" w:eastAsia="zh-CN"/>
        </w:rPr>
        <w:t>由采购人</w:t>
      </w:r>
      <w:r>
        <w:rPr>
          <w:rFonts w:hint="eastAsia" w:ascii="Times New Roman" w:hAnsi="Times New Roman" w:eastAsia="宋体" w:cs="宋体"/>
          <w:sz w:val="21"/>
          <w:szCs w:val="21"/>
          <w:lang w:val="zh-CN"/>
        </w:rPr>
        <w:t>抽签确定</w:t>
      </w:r>
      <w:r>
        <w:rPr>
          <w:rFonts w:hint="eastAsia" w:ascii="Times New Roman" w:hAnsi="Times New Roman" w:eastAsia="宋体" w:cs="宋体"/>
          <w:sz w:val="21"/>
          <w:szCs w:val="21"/>
        </w:rPr>
        <w:t>顺序推荐。</w:t>
      </w:r>
    </w:p>
    <w:p w14:paraId="09BB5923">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7、特别说明：</w:t>
      </w:r>
      <w:r>
        <w:rPr>
          <w:rFonts w:hint="eastAsia" w:ascii="宋体" w:hAnsi="宋体" w:eastAsia="宋体" w:cs="宋体"/>
          <w:kern w:val="0"/>
          <w:szCs w:val="21"/>
        </w:rPr>
        <w:t>政府采购云平台</w:t>
      </w:r>
      <w:r>
        <w:rPr>
          <w:rFonts w:hint="eastAsia" w:ascii="宋体" w:hAnsi="宋体" w:eastAsia="宋体" w:cs="宋体"/>
          <w:szCs w:val="21"/>
        </w:rPr>
        <w:t>如对电子化磋商及评审程序有调整的，按调整后的程序操作。</w:t>
      </w:r>
    </w:p>
    <w:p w14:paraId="73574816">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本项目原则上采用政采云电子磋商及评审程序，但有下情形之一的，按以下情况处理：</w:t>
      </w:r>
    </w:p>
    <w:p w14:paraId="767572EB">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（1）若供应商在规定时间内无法解密或解密失败，代理机构将开启上述供应商递交的</w:t>
      </w:r>
      <w:r>
        <w:rPr>
          <w:rFonts w:hint="eastAsia" w:ascii="宋体" w:hAnsi="宋体" w:eastAsia="宋体" w:cs="宋体"/>
          <w:kern w:val="0"/>
          <w:szCs w:val="21"/>
        </w:rPr>
        <w:t>以U盘存储的备份磋商响应文件</w:t>
      </w:r>
      <w:r>
        <w:rPr>
          <w:rFonts w:hint="eastAsia" w:ascii="宋体" w:hAnsi="宋体" w:eastAsia="宋体" w:cs="宋体"/>
          <w:szCs w:val="21"/>
        </w:rPr>
        <w:t>，上传至政采云平台项目采购模块，以完成磋商，电子磋商响应文件自动失效。</w:t>
      </w:r>
    </w:p>
    <w:p w14:paraId="12C69630">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（2）采购过程中出现以下情形，导致电子交易平台无法正常运行，或者无法保证电子交易的公平、公正和安全时，采购人（或代理机构）可中止电子交易活动：</w:t>
      </w:r>
    </w:p>
    <w:p w14:paraId="677C69CE">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①电子交易平台发生故障而无法登录访问的；</w:t>
      </w:r>
    </w:p>
    <w:p w14:paraId="2AF3F0C9">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②电子交易平台应用或数据库出现错误，不能进行正常操作的；</w:t>
      </w:r>
    </w:p>
    <w:p w14:paraId="6B69068A">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③电子交易平台发现严重安全漏洞，有潜在泄密危险的；</w:t>
      </w:r>
    </w:p>
    <w:p w14:paraId="372CCCD3">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④病毒发作导致不能进行正常操作的；</w:t>
      </w:r>
    </w:p>
    <w:p w14:paraId="4CBA9BAF">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⑤其他无法保证电子交易的公平、公正和安全的情况。</w:t>
      </w:r>
    </w:p>
    <w:p w14:paraId="2DF36B08">
      <w:pPr>
        <w:autoSpaceDN w:val="0"/>
        <w:spacing w:line="360" w:lineRule="auto"/>
        <w:ind w:firstLine="420" w:firstLineChars="200"/>
        <w:jc w:val="left"/>
        <w:rPr>
          <w:rFonts w:hint="eastAsia" w:ascii="宋体" w:hAnsi="宋体" w:eastAsia="宋体" w:cs="宋体"/>
        </w:rPr>
      </w:pPr>
      <w:r>
        <w:rPr>
          <w:rFonts w:hint="eastAsia" w:ascii="宋体" w:hAnsi="宋体" w:eastAsia="宋体" w:cs="宋体"/>
          <w:szCs w:val="21"/>
        </w:rPr>
        <w:t>出现前款规定情形，不影响采购公平、公正性的，采购人（或代理机构）可以待上述情形消除后继续组织电子交易活动。</w:t>
      </w:r>
    </w:p>
    <w:p w14:paraId="6E5DDF4E">
      <w:pPr>
        <w:autoSpaceDE w:val="0"/>
        <w:autoSpaceDN w:val="0"/>
        <w:adjustRightInd w:val="0"/>
        <w:spacing w:line="360" w:lineRule="auto"/>
        <w:ind w:firstLine="315" w:firstLineChars="150"/>
        <w:jc w:val="left"/>
        <w:rPr>
          <w:rFonts w:hint="eastAsia" w:ascii="宋体" w:hAnsi="宋体" w:eastAsia="宋体" w:cs="宋体"/>
          <w:kern w:val="0"/>
          <w:szCs w:val="21"/>
        </w:rPr>
      </w:pPr>
    </w:p>
    <w:p w14:paraId="224CA587">
      <w:pPr>
        <w:autoSpaceDE w:val="0"/>
        <w:autoSpaceDN w:val="0"/>
        <w:adjustRightInd w:val="0"/>
        <w:spacing w:line="480" w:lineRule="exact"/>
        <w:ind w:firstLine="316" w:firstLineChars="150"/>
        <w:jc w:val="left"/>
        <w:rPr>
          <w:rFonts w:hint="eastAsia" w:ascii="宋体" w:hAnsi="宋体" w:eastAsia="宋体" w:cs="宋体"/>
          <w:kern w:val="0"/>
          <w:szCs w:val="21"/>
        </w:rPr>
      </w:pPr>
      <w:r>
        <w:rPr>
          <w:rFonts w:hint="eastAsia" w:ascii="宋体" w:hAnsi="宋体" w:eastAsia="宋体" w:cs="宋体"/>
          <w:b/>
          <w:szCs w:val="21"/>
        </w:rPr>
        <w:br w:type="page"/>
      </w:r>
    </w:p>
    <w:p w14:paraId="7176FEFC">
      <w:pPr>
        <w:widowControl/>
        <w:autoSpaceDN w:val="0"/>
        <w:snapToGrid w:val="0"/>
        <w:spacing w:line="400" w:lineRule="exact"/>
        <w:jc w:val="center"/>
        <w:rPr>
          <w:rFonts w:ascii="Times New Roman" w:hAnsi="Times New Roman"/>
        </w:rPr>
      </w:pPr>
      <w:r>
        <w:rPr>
          <w:rFonts w:hint="eastAsia" w:cs="宋体" w:asciiTheme="minorEastAsia" w:hAnsiTheme="minorEastAsia"/>
          <w:szCs w:val="21"/>
        </w:rPr>
        <w:t xml:space="preserve">附表1：                         </w:t>
      </w:r>
      <w:r>
        <w:rPr>
          <w:rFonts w:hint="eastAsia" w:ascii="Times New Roman" w:hAnsi="Times New Roman" w:cs="宋体"/>
          <w:b/>
          <w:szCs w:val="21"/>
          <w:lang w:bidi="ar"/>
        </w:rPr>
        <w:t>资格审查表</w:t>
      </w:r>
    </w:p>
    <w:tbl>
      <w:tblPr>
        <w:tblStyle w:val="25"/>
        <w:tblW w:w="976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97"/>
        <w:gridCol w:w="3775"/>
        <w:gridCol w:w="5295"/>
      </w:tblGrid>
      <w:tr w14:paraId="7DE057F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9"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D210CAB">
            <w:pPr>
              <w:autoSpaceDN w:val="0"/>
              <w:spacing w:line="400" w:lineRule="exact"/>
              <w:jc w:val="center"/>
              <w:rPr>
                <w:rFonts w:ascii="Times New Roman" w:hAnsi="Times New Roman"/>
              </w:rPr>
            </w:pPr>
            <w:r>
              <w:rPr>
                <w:rFonts w:hint="eastAsia" w:ascii="Times New Roman" w:hAnsi="Times New Roman" w:cs="宋体"/>
                <w:b/>
                <w:szCs w:val="21"/>
                <w:lang w:bidi="ar"/>
              </w:rPr>
              <w:t>序号</w:t>
            </w:r>
          </w:p>
        </w:tc>
        <w:tc>
          <w:tcPr>
            <w:tcW w:w="3775" w:type="dxa"/>
            <w:tcBorders>
              <w:top w:val="single" w:color="auto" w:sz="4" w:space="0"/>
              <w:left w:val="single" w:color="auto" w:sz="4" w:space="0"/>
              <w:bottom w:val="single" w:color="auto" w:sz="4" w:space="0"/>
              <w:right w:val="single" w:color="auto" w:sz="4" w:space="0"/>
            </w:tcBorders>
            <w:vAlign w:val="center"/>
          </w:tcPr>
          <w:p w14:paraId="77EFF786">
            <w:pPr>
              <w:autoSpaceDN w:val="0"/>
              <w:spacing w:line="400" w:lineRule="exact"/>
              <w:jc w:val="center"/>
              <w:rPr>
                <w:rFonts w:ascii="Times New Roman" w:hAnsi="Times New Roman"/>
              </w:rPr>
            </w:pPr>
            <w:r>
              <w:rPr>
                <w:rFonts w:hint="eastAsia" w:ascii="Times New Roman" w:hAnsi="Times New Roman" w:cs="宋体"/>
                <w:b/>
                <w:szCs w:val="21"/>
                <w:lang w:bidi="ar"/>
              </w:rPr>
              <w:t>要求说明</w:t>
            </w:r>
          </w:p>
        </w:tc>
        <w:tc>
          <w:tcPr>
            <w:tcW w:w="5295" w:type="dxa"/>
            <w:tcBorders>
              <w:top w:val="single" w:color="auto" w:sz="4" w:space="0"/>
              <w:left w:val="single" w:color="auto" w:sz="4" w:space="0"/>
              <w:bottom w:val="single" w:color="auto" w:sz="4" w:space="0"/>
              <w:right w:val="single" w:color="auto" w:sz="4" w:space="0"/>
            </w:tcBorders>
            <w:vAlign w:val="center"/>
          </w:tcPr>
          <w:p w14:paraId="4BF7D62D">
            <w:pPr>
              <w:autoSpaceDN w:val="0"/>
              <w:spacing w:line="400" w:lineRule="exact"/>
              <w:jc w:val="center"/>
              <w:rPr>
                <w:rFonts w:ascii="Times New Roman" w:hAnsi="Times New Roman"/>
              </w:rPr>
            </w:pPr>
            <w:r>
              <w:rPr>
                <w:rFonts w:hint="eastAsia" w:ascii="Times New Roman" w:hAnsi="Times New Roman" w:cs="宋体"/>
                <w:b/>
                <w:szCs w:val="21"/>
                <w:lang w:bidi="ar"/>
              </w:rPr>
              <w:t>审查要求</w:t>
            </w:r>
          </w:p>
        </w:tc>
      </w:tr>
      <w:tr w14:paraId="3A25E5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9"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29C3E02">
            <w:pPr>
              <w:autoSpaceDN w:val="0"/>
              <w:spacing w:line="400" w:lineRule="exact"/>
              <w:jc w:val="center"/>
              <w:rPr>
                <w:rFonts w:ascii="Times New Roman" w:hAnsi="Times New Roman"/>
              </w:rPr>
            </w:pPr>
            <w:r>
              <w:rPr>
                <w:rFonts w:ascii="Times New Roman" w:hAnsi="Times New Roman"/>
                <w:szCs w:val="21"/>
                <w:lang w:bidi="ar"/>
              </w:rPr>
              <w:t>1</w:t>
            </w:r>
          </w:p>
        </w:tc>
        <w:tc>
          <w:tcPr>
            <w:tcW w:w="3775" w:type="dxa"/>
            <w:tcBorders>
              <w:top w:val="single" w:color="auto" w:sz="4" w:space="0"/>
              <w:left w:val="single" w:color="auto" w:sz="4" w:space="0"/>
              <w:bottom w:val="single" w:color="auto" w:sz="4" w:space="0"/>
              <w:right w:val="single" w:color="auto" w:sz="4" w:space="0"/>
            </w:tcBorders>
            <w:vAlign w:val="center"/>
          </w:tcPr>
          <w:p w14:paraId="5F039616">
            <w:pPr>
              <w:autoSpaceDN w:val="0"/>
              <w:spacing w:line="400" w:lineRule="exact"/>
              <w:jc w:val="left"/>
              <w:rPr>
                <w:rFonts w:ascii="Times New Roman" w:hAnsi="Times New Roman"/>
              </w:rPr>
            </w:pPr>
            <w:r>
              <w:rPr>
                <w:rFonts w:hint="eastAsia" w:ascii="Times New Roman" w:hAnsi="Times New Roman" w:cs="仿宋"/>
                <w:szCs w:val="21"/>
                <w:lang w:bidi="ar"/>
              </w:rPr>
              <w:t>满足《中华人民共和国政府采购法》第二十二条规定；未被“信用中国”（</w:t>
            </w:r>
            <w:r>
              <w:rPr>
                <w:rFonts w:ascii="Times New Roman" w:hAnsi="Times New Roman" w:cs="仿宋"/>
                <w:szCs w:val="21"/>
                <w:lang w:bidi="ar"/>
              </w:rPr>
              <w:t>www.creditchina.gov.cn)</w:t>
            </w:r>
            <w:r>
              <w:rPr>
                <w:rFonts w:hint="eastAsia" w:ascii="Times New Roman" w:hAnsi="Times New Roman" w:cs="仿宋"/>
                <w:szCs w:val="21"/>
                <w:lang w:bidi="ar"/>
              </w:rPr>
              <w:t>、中国政府采购网（</w:t>
            </w:r>
            <w:r>
              <w:rPr>
                <w:rFonts w:ascii="Times New Roman" w:hAnsi="Times New Roman" w:cs="仿宋"/>
                <w:szCs w:val="21"/>
                <w:lang w:bidi="ar"/>
              </w:rPr>
              <w:t>www.ccgp.gov.cn</w:t>
            </w:r>
            <w:r>
              <w:rPr>
                <w:rFonts w:hint="eastAsia" w:ascii="Times New Roman" w:hAnsi="Times New Roman" w:cs="仿宋"/>
                <w:szCs w:val="21"/>
                <w:lang w:bidi="ar"/>
              </w:rPr>
              <w:t>）列入失信被执行人、重大税收违法失信主体、政府采购严重违法失信行为记录名单。</w:t>
            </w:r>
          </w:p>
        </w:tc>
        <w:tc>
          <w:tcPr>
            <w:tcW w:w="5295" w:type="dxa"/>
            <w:tcBorders>
              <w:top w:val="single" w:color="auto" w:sz="4" w:space="0"/>
              <w:left w:val="single" w:color="auto" w:sz="4" w:space="0"/>
              <w:bottom w:val="single" w:color="auto" w:sz="4" w:space="0"/>
              <w:right w:val="single" w:color="auto" w:sz="4" w:space="0"/>
            </w:tcBorders>
            <w:vAlign w:val="center"/>
          </w:tcPr>
          <w:p w14:paraId="27A1AF26">
            <w:pPr>
              <w:autoSpaceDN w:val="0"/>
              <w:spacing w:line="400" w:lineRule="exact"/>
              <w:jc w:val="left"/>
              <w:rPr>
                <w:rFonts w:ascii="Times New Roman" w:hAnsi="Times New Roman"/>
              </w:rPr>
            </w:pPr>
            <w:r>
              <w:rPr>
                <w:rFonts w:ascii="Times New Roman" w:hAnsi="Times New Roman"/>
                <w:szCs w:val="21"/>
                <w:lang w:bidi="ar"/>
              </w:rPr>
              <w:t>A1</w:t>
            </w:r>
            <w:r>
              <w:rPr>
                <w:rFonts w:hint="eastAsia" w:ascii="Times New Roman" w:hAnsi="Times New Roman" w:cs="宋体"/>
                <w:szCs w:val="21"/>
                <w:lang w:bidi="ar"/>
              </w:rPr>
              <w:t>、关于资格的承诺函（格式见附件）；</w:t>
            </w:r>
          </w:p>
          <w:p w14:paraId="00C90087">
            <w:pPr>
              <w:autoSpaceDN w:val="0"/>
              <w:spacing w:line="400" w:lineRule="exact"/>
              <w:jc w:val="left"/>
              <w:rPr>
                <w:rFonts w:ascii="Times New Roman" w:hAnsi="Times New Roman"/>
              </w:rPr>
            </w:pPr>
            <w:r>
              <w:rPr>
                <w:rFonts w:ascii="Times New Roman" w:hAnsi="Times New Roman"/>
                <w:szCs w:val="21"/>
                <w:lang w:bidi="ar"/>
              </w:rPr>
              <w:t>A2</w:t>
            </w:r>
            <w:r>
              <w:rPr>
                <w:rFonts w:hint="eastAsia" w:ascii="Times New Roman" w:hAnsi="Times New Roman" w:cs="宋体"/>
                <w:szCs w:val="21"/>
                <w:lang w:bidi="ar"/>
              </w:rPr>
              <w:t>、营业执照副本（或事业法人登记证副本或其他登记证明材料）扫描件加盖供应商公章（供应商如果有名称变更的，应提供由行政主管部门出具的变更证明文件扫描件加盖供应商公章）；</w:t>
            </w:r>
            <w:r>
              <w:rPr>
                <w:rFonts w:ascii="Times New Roman" w:hAnsi="Times New Roman"/>
                <w:szCs w:val="21"/>
                <w:lang w:bidi="ar"/>
              </w:rPr>
              <w:t xml:space="preserve"> </w:t>
            </w:r>
          </w:p>
        </w:tc>
      </w:tr>
      <w:tr w14:paraId="3AB4B8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9"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AE62561">
            <w:pPr>
              <w:autoSpaceDN w:val="0"/>
              <w:spacing w:line="400" w:lineRule="exact"/>
              <w:jc w:val="center"/>
              <w:rPr>
                <w:rFonts w:ascii="Times New Roman" w:hAnsi="Times New Roman"/>
                <w:szCs w:val="21"/>
                <w:lang w:bidi="ar"/>
              </w:rPr>
            </w:pPr>
            <w:r>
              <w:rPr>
                <w:rFonts w:hint="eastAsia" w:ascii="Times New Roman" w:hAnsi="Times New Roman"/>
                <w:szCs w:val="21"/>
                <w:lang w:bidi="ar"/>
              </w:rPr>
              <w:t>2</w:t>
            </w:r>
          </w:p>
        </w:tc>
        <w:tc>
          <w:tcPr>
            <w:tcW w:w="3775" w:type="dxa"/>
            <w:tcBorders>
              <w:top w:val="single" w:color="auto" w:sz="4" w:space="0"/>
              <w:left w:val="single" w:color="auto" w:sz="4" w:space="0"/>
              <w:bottom w:val="single" w:color="auto" w:sz="4" w:space="0"/>
              <w:right w:val="single" w:color="auto" w:sz="4" w:space="0"/>
            </w:tcBorders>
            <w:vAlign w:val="center"/>
          </w:tcPr>
          <w:p w14:paraId="4A34D6C6">
            <w:pPr>
              <w:autoSpaceDN w:val="0"/>
              <w:spacing w:line="400" w:lineRule="exact"/>
              <w:jc w:val="left"/>
              <w:rPr>
                <w:rFonts w:ascii="Times New Roman" w:hAnsi="Times New Roman" w:cs="宋体"/>
                <w:szCs w:val="21"/>
                <w:lang w:bidi="ar"/>
              </w:rPr>
            </w:pPr>
            <w:r>
              <w:rPr>
                <w:rFonts w:hint="eastAsia" w:ascii="宋体" w:hAnsi="宋体" w:eastAsia="宋体" w:cs="宋体"/>
                <w:szCs w:val="21"/>
                <w:shd w:val="clear" w:color="auto" w:fill="FFFFFF"/>
              </w:rPr>
              <w:t>落实政府采购政策需满足的资格要求：本项目专门面向中小企业采购（本项目工程由中小企业承接</w:t>
            </w:r>
          </w:p>
        </w:tc>
        <w:tc>
          <w:tcPr>
            <w:tcW w:w="5295" w:type="dxa"/>
            <w:tcBorders>
              <w:top w:val="single" w:color="auto" w:sz="4" w:space="0"/>
              <w:left w:val="single" w:color="auto" w:sz="4" w:space="0"/>
              <w:bottom w:val="single" w:color="auto" w:sz="4" w:space="0"/>
              <w:right w:val="single" w:color="auto" w:sz="4" w:space="0"/>
            </w:tcBorders>
            <w:vAlign w:val="center"/>
          </w:tcPr>
          <w:p w14:paraId="68205048">
            <w:pPr>
              <w:autoSpaceDN w:val="0"/>
              <w:spacing w:line="360" w:lineRule="auto"/>
              <w:jc w:val="left"/>
              <w:rPr>
                <w:rFonts w:ascii="Times New Roman" w:hAnsi="Times New Roman"/>
                <w:szCs w:val="21"/>
                <w:lang w:bidi="ar"/>
              </w:rPr>
            </w:pPr>
            <w:r>
              <w:rPr>
                <w:rFonts w:hint="eastAsia" w:ascii="Times New Roman" w:hAnsi="Times New Roman"/>
                <w:szCs w:val="21"/>
                <w:lang w:bidi="ar"/>
              </w:rPr>
              <w:t>A3</w:t>
            </w:r>
            <w:r>
              <w:rPr>
                <w:rFonts w:hint="eastAsia" w:ascii="Times New Roman" w:hAnsi="Times New Roman"/>
                <w:szCs w:val="21"/>
                <w:lang w:eastAsia="zh-CN" w:bidi="ar"/>
              </w:rPr>
              <w:t>、</w:t>
            </w:r>
            <w:r>
              <w:rPr>
                <w:rFonts w:hint="eastAsia" w:ascii="Times New Roman" w:hAnsi="Times New Roman"/>
                <w:szCs w:val="21"/>
                <w:lang w:bidi="ar"/>
              </w:rPr>
              <w:t>须在资格证明文件里提供《中小企业声明函》）；监狱企业、残疾人福利性单位视同小型、微型企业（须在资格证明文件里提供相关证明材料）</w:t>
            </w:r>
          </w:p>
        </w:tc>
      </w:tr>
      <w:tr w14:paraId="449B03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9"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21C474A">
            <w:pPr>
              <w:autoSpaceDN w:val="0"/>
              <w:spacing w:line="400" w:lineRule="exact"/>
              <w:jc w:val="center"/>
              <w:rPr>
                <w:rFonts w:ascii="Times New Roman" w:hAnsi="Times New Roman"/>
                <w:szCs w:val="21"/>
                <w:lang w:bidi="ar"/>
              </w:rPr>
            </w:pPr>
            <w:r>
              <w:rPr>
                <w:rFonts w:hint="eastAsia" w:ascii="Times New Roman" w:hAnsi="Times New Roman"/>
                <w:szCs w:val="21"/>
                <w:lang w:bidi="ar"/>
              </w:rPr>
              <w:t>3</w:t>
            </w:r>
          </w:p>
        </w:tc>
        <w:tc>
          <w:tcPr>
            <w:tcW w:w="3775" w:type="dxa"/>
            <w:tcBorders>
              <w:top w:val="single" w:color="auto" w:sz="4" w:space="0"/>
              <w:left w:val="single" w:color="auto" w:sz="4" w:space="0"/>
              <w:bottom w:val="single" w:color="auto" w:sz="4" w:space="0"/>
              <w:right w:val="single" w:color="auto" w:sz="4" w:space="0"/>
            </w:tcBorders>
            <w:vAlign w:val="center"/>
          </w:tcPr>
          <w:p w14:paraId="51E7C84F">
            <w:pPr>
              <w:autoSpaceDN w:val="0"/>
              <w:spacing w:line="400" w:lineRule="exact"/>
              <w:jc w:val="left"/>
              <w:rPr>
                <w:rFonts w:ascii="Times New Roman" w:hAnsi="Times New Roman" w:cs="宋体"/>
                <w:szCs w:val="21"/>
                <w:lang w:bidi="ar"/>
              </w:rPr>
            </w:pPr>
            <w:r>
              <w:rPr>
                <w:rFonts w:hint="eastAsia" w:ascii="Times New Roman" w:hAnsi="Times New Roman" w:cs="宋体"/>
                <w:szCs w:val="21"/>
                <w:lang w:bidi="ar"/>
              </w:rPr>
              <w:t>本项目的特定资格要求：具备有效的建筑装修装饰工程专业承包二级及以上资质并具备有效的安全生产许可证。</w:t>
            </w:r>
          </w:p>
        </w:tc>
        <w:tc>
          <w:tcPr>
            <w:tcW w:w="5295" w:type="dxa"/>
            <w:tcBorders>
              <w:top w:val="single" w:color="auto" w:sz="4" w:space="0"/>
              <w:left w:val="single" w:color="auto" w:sz="4" w:space="0"/>
              <w:bottom w:val="single" w:color="auto" w:sz="4" w:space="0"/>
              <w:right w:val="single" w:color="auto" w:sz="4" w:space="0"/>
            </w:tcBorders>
            <w:vAlign w:val="center"/>
          </w:tcPr>
          <w:p w14:paraId="43FC6427">
            <w:pPr>
              <w:autoSpaceDN w:val="0"/>
              <w:spacing w:line="360" w:lineRule="auto"/>
              <w:jc w:val="left"/>
              <w:rPr>
                <w:rFonts w:ascii="Times New Roman" w:hAnsi="Times New Roman"/>
                <w:szCs w:val="21"/>
                <w:lang w:bidi="ar"/>
              </w:rPr>
            </w:pPr>
            <w:r>
              <w:rPr>
                <w:rFonts w:hint="eastAsia" w:ascii="Times New Roman" w:hAnsi="Times New Roman"/>
                <w:szCs w:val="21"/>
                <w:lang w:bidi="ar"/>
              </w:rPr>
              <w:t>A4、</w:t>
            </w:r>
            <w:r>
              <w:rPr>
                <w:rFonts w:hint="eastAsia" w:ascii="Times New Roman" w:hAnsi="Times New Roman" w:cs="宋体"/>
                <w:szCs w:val="21"/>
                <w:lang w:bidi="ar"/>
              </w:rPr>
              <w:t>建筑装修装饰工程专业承包资质证书及安全生产许可证扫描件。</w:t>
            </w:r>
          </w:p>
        </w:tc>
      </w:tr>
      <w:tr w14:paraId="2CB5C7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9"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9EC1048">
            <w:pPr>
              <w:autoSpaceDN w:val="0"/>
              <w:spacing w:line="400" w:lineRule="exact"/>
              <w:jc w:val="center"/>
              <w:rPr>
                <w:rFonts w:ascii="Times New Roman" w:hAnsi="Times New Roman"/>
              </w:rPr>
            </w:pPr>
            <w:r>
              <w:rPr>
                <w:rFonts w:hint="eastAsia" w:ascii="Times New Roman" w:hAnsi="Times New Roman"/>
                <w:szCs w:val="21"/>
                <w:lang w:bidi="ar"/>
              </w:rPr>
              <w:t>4</w:t>
            </w:r>
          </w:p>
        </w:tc>
        <w:tc>
          <w:tcPr>
            <w:tcW w:w="3775" w:type="dxa"/>
            <w:tcBorders>
              <w:top w:val="single" w:color="auto" w:sz="4" w:space="0"/>
              <w:left w:val="single" w:color="auto" w:sz="4" w:space="0"/>
              <w:bottom w:val="single" w:color="auto" w:sz="4" w:space="0"/>
              <w:right w:val="single" w:color="auto" w:sz="4" w:space="0"/>
            </w:tcBorders>
            <w:vAlign w:val="center"/>
          </w:tcPr>
          <w:p w14:paraId="403955B9">
            <w:pPr>
              <w:autoSpaceDN w:val="0"/>
              <w:spacing w:line="400" w:lineRule="exact"/>
              <w:jc w:val="left"/>
              <w:rPr>
                <w:rFonts w:ascii="Times New Roman" w:hAnsi="Times New Roman"/>
              </w:rPr>
            </w:pPr>
            <w:r>
              <w:rPr>
                <w:rFonts w:ascii="宋体" w:hAnsi="宋体"/>
                <w:color w:val="auto"/>
                <w:sz w:val="24"/>
                <w:highlight w:val="none"/>
              </w:rPr>
              <w:t>▲</w:t>
            </w:r>
            <w:r>
              <w:rPr>
                <w:rFonts w:hint="eastAsia" w:ascii="Times New Roman" w:hAnsi="Times New Roman" w:cs="宋体"/>
                <w:szCs w:val="21"/>
                <w:lang w:bidi="ar"/>
              </w:rPr>
              <w:t>本项目不接受联合体。</w:t>
            </w:r>
          </w:p>
        </w:tc>
        <w:tc>
          <w:tcPr>
            <w:tcW w:w="5295" w:type="dxa"/>
            <w:tcBorders>
              <w:top w:val="single" w:color="auto" w:sz="4" w:space="0"/>
              <w:left w:val="single" w:color="auto" w:sz="4" w:space="0"/>
              <w:bottom w:val="single" w:color="auto" w:sz="4" w:space="0"/>
              <w:right w:val="single" w:color="auto" w:sz="4" w:space="0"/>
            </w:tcBorders>
            <w:vAlign w:val="center"/>
          </w:tcPr>
          <w:p w14:paraId="729A838E">
            <w:pPr>
              <w:autoSpaceDN w:val="0"/>
              <w:spacing w:line="360" w:lineRule="auto"/>
              <w:jc w:val="left"/>
              <w:rPr>
                <w:rFonts w:ascii="Times New Roman" w:hAnsi="Times New Roman"/>
              </w:rPr>
            </w:pPr>
            <w:r>
              <w:rPr>
                <w:rFonts w:ascii="Times New Roman" w:hAnsi="Times New Roman"/>
                <w:szCs w:val="21"/>
                <w:lang w:bidi="ar"/>
              </w:rPr>
              <w:t>/</w:t>
            </w:r>
          </w:p>
        </w:tc>
      </w:tr>
      <w:tr w14:paraId="46F26F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9" w:hRule="atLeast"/>
          <w:jc w:val="center"/>
        </w:trPr>
        <w:tc>
          <w:tcPr>
            <w:tcW w:w="4472" w:type="dxa"/>
            <w:gridSpan w:val="2"/>
            <w:tcBorders>
              <w:top w:val="single" w:color="auto" w:sz="4" w:space="0"/>
              <w:left w:val="single" w:color="auto" w:sz="4" w:space="0"/>
              <w:bottom w:val="single" w:color="auto" w:sz="4" w:space="0"/>
              <w:right w:val="single" w:color="auto" w:sz="4" w:space="0"/>
            </w:tcBorders>
            <w:vAlign w:val="center"/>
          </w:tcPr>
          <w:p w14:paraId="54AA25BD">
            <w:pPr>
              <w:autoSpaceDN w:val="0"/>
              <w:spacing w:line="400" w:lineRule="exact"/>
              <w:jc w:val="center"/>
              <w:rPr>
                <w:rFonts w:ascii="Times New Roman" w:hAnsi="Times New Roman"/>
              </w:rPr>
            </w:pPr>
            <w:r>
              <w:rPr>
                <w:rFonts w:hint="eastAsia" w:ascii="Times New Roman" w:hAnsi="Times New Roman" w:cs="宋体"/>
                <w:b/>
                <w:szCs w:val="21"/>
                <w:lang w:bidi="ar"/>
              </w:rPr>
              <w:t>资格性审查结论</w:t>
            </w:r>
          </w:p>
        </w:tc>
        <w:tc>
          <w:tcPr>
            <w:tcW w:w="5295" w:type="dxa"/>
            <w:tcBorders>
              <w:top w:val="single" w:color="auto" w:sz="4" w:space="0"/>
              <w:left w:val="single" w:color="auto" w:sz="4" w:space="0"/>
              <w:bottom w:val="single" w:color="auto" w:sz="4" w:space="0"/>
              <w:right w:val="single" w:color="auto" w:sz="4" w:space="0"/>
            </w:tcBorders>
            <w:vAlign w:val="center"/>
          </w:tcPr>
          <w:p w14:paraId="1E7699AE">
            <w:pPr>
              <w:autoSpaceDN w:val="0"/>
              <w:spacing w:line="400" w:lineRule="exact"/>
              <w:jc w:val="center"/>
              <w:rPr>
                <w:rFonts w:ascii="Times New Roman" w:hAnsi="Times New Roman"/>
              </w:rPr>
            </w:pPr>
            <w:r>
              <w:rPr>
                <w:rFonts w:ascii="Times New Roman" w:hAnsi="Times New Roman"/>
                <w:szCs w:val="21"/>
                <w:lang w:bidi="ar"/>
              </w:rPr>
              <w:t> </w:t>
            </w:r>
          </w:p>
        </w:tc>
      </w:tr>
    </w:tbl>
    <w:p w14:paraId="5DB69DF3">
      <w:pPr>
        <w:autoSpaceDN w:val="0"/>
        <w:spacing w:line="360" w:lineRule="exact"/>
        <w:rPr>
          <w:rFonts w:ascii="Times New Roman" w:hAnsi="Times New Roman"/>
        </w:rPr>
      </w:pPr>
      <w:r>
        <w:rPr>
          <w:rFonts w:hint="eastAsia" w:ascii="Times New Roman" w:hAnsi="Times New Roman" w:cs="宋体"/>
          <w:b/>
          <w:szCs w:val="21"/>
          <w:lang w:bidi="ar"/>
        </w:rPr>
        <w:t>注：</w:t>
      </w:r>
      <w:r>
        <w:rPr>
          <w:rFonts w:ascii="Times New Roman" w:hAnsi="Times New Roman"/>
          <w:b/>
          <w:szCs w:val="21"/>
          <w:lang w:bidi="ar"/>
        </w:rPr>
        <w:t>1</w:t>
      </w:r>
      <w:r>
        <w:rPr>
          <w:rFonts w:hint="eastAsia" w:ascii="Times New Roman" w:hAnsi="Times New Roman" w:cs="宋体"/>
          <w:b/>
          <w:szCs w:val="21"/>
          <w:lang w:bidi="ar"/>
        </w:rPr>
        <w:t>、上述资料未按磋商文件要求附入磋商响应文件中的，资格审查不合格。</w:t>
      </w:r>
    </w:p>
    <w:p w14:paraId="41D654C2">
      <w:pPr>
        <w:autoSpaceDN w:val="0"/>
        <w:spacing w:line="360" w:lineRule="exact"/>
        <w:ind w:firstLine="422" w:firstLineChars="200"/>
        <w:rPr>
          <w:rFonts w:ascii="Times New Roman" w:hAnsi="Times New Roman"/>
        </w:rPr>
      </w:pPr>
      <w:r>
        <w:rPr>
          <w:rFonts w:ascii="Times New Roman" w:hAnsi="Times New Roman"/>
          <w:b/>
          <w:szCs w:val="21"/>
          <w:lang w:bidi="ar"/>
        </w:rPr>
        <w:t>2</w:t>
      </w:r>
      <w:r>
        <w:rPr>
          <w:rFonts w:hint="eastAsia" w:ascii="Times New Roman" w:hAnsi="Times New Roman" w:cs="宋体"/>
          <w:b/>
          <w:szCs w:val="21"/>
          <w:lang w:bidi="ar"/>
        </w:rPr>
        <w:t>、上述审查项目中，任意一项不符合的，资格审查不合格。</w:t>
      </w:r>
    </w:p>
    <w:p w14:paraId="567E7C61">
      <w:pPr>
        <w:autoSpaceDN w:val="0"/>
        <w:spacing w:line="360" w:lineRule="exact"/>
        <w:ind w:firstLine="413" w:firstLineChars="196"/>
        <w:rPr>
          <w:rFonts w:ascii="Times New Roman" w:hAnsi="Times New Roman"/>
        </w:rPr>
      </w:pPr>
      <w:r>
        <w:rPr>
          <w:rFonts w:ascii="Times New Roman" w:hAnsi="Times New Roman"/>
          <w:b/>
          <w:szCs w:val="21"/>
          <w:lang w:bidi="ar"/>
        </w:rPr>
        <w:t>3</w:t>
      </w:r>
      <w:r>
        <w:rPr>
          <w:rFonts w:hint="eastAsia" w:ascii="Times New Roman" w:hAnsi="Times New Roman" w:cs="宋体"/>
          <w:b/>
          <w:szCs w:val="21"/>
          <w:lang w:bidi="ar"/>
        </w:rPr>
        <w:t>、资格审查小组将于磋商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报价将被认定为无效。若在磋商当天因不可抗力事件导致无法查询且一时无法恢复查询的，可在成交结果公告前对成交候选供应商进行事后查询。成交候选供应商被列入失信被执行人、重大税收违法失信主体、政府采购严重违法失信行为记录名单的，采购人将依法取消其成交资格。</w:t>
      </w:r>
    </w:p>
    <w:p w14:paraId="4D767047">
      <w:pPr>
        <w:pageBreakBefore/>
        <w:spacing w:line="400" w:lineRule="exact"/>
        <w:rPr>
          <w:szCs w:val="21"/>
        </w:rPr>
      </w:pPr>
      <w:r>
        <w:rPr>
          <w:rFonts w:hint="eastAsia"/>
          <w:szCs w:val="21"/>
        </w:rPr>
        <w:t>附表</w:t>
      </w:r>
      <w:r>
        <w:rPr>
          <w:szCs w:val="21"/>
        </w:rPr>
        <w:t>2</w:t>
      </w:r>
      <w:r>
        <w:rPr>
          <w:rFonts w:hint="eastAsia"/>
          <w:szCs w:val="21"/>
        </w:rPr>
        <w:t>：</w:t>
      </w:r>
    </w:p>
    <w:p w14:paraId="53BE21DE">
      <w:pPr>
        <w:widowControl/>
        <w:snapToGrid w:val="0"/>
        <w:spacing w:line="400" w:lineRule="exact"/>
        <w:jc w:val="center"/>
        <w:rPr>
          <w:b/>
          <w:szCs w:val="21"/>
        </w:rPr>
      </w:pPr>
      <w:r>
        <w:rPr>
          <w:rFonts w:hint="eastAsia"/>
          <w:b/>
          <w:szCs w:val="21"/>
        </w:rPr>
        <w:t>符合性审查表</w:t>
      </w:r>
    </w:p>
    <w:tbl>
      <w:tblPr>
        <w:tblStyle w:val="25"/>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091"/>
        <w:gridCol w:w="5236"/>
      </w:tblGrid>
      <w:tr w14:paraId="278F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Pr>
          <w:p w14:paraId="402625D4">
            <w:pPr>
              <w:spacing w:line="400" w:lineRule="exact"/>
              <w:jc w:val="center"/>
              <w:rPr>
                <w:b/>
                <w:szCs w:val="21"/>
              </w:rPr>
            </w:pPr>
            <w:r>
              <w:rPr>
                <w:rFonts w:hint="eastAsia"/>
                <w:b/>
                <w:szCs w:val="21"/>
              </w:rPr>
              <w:t>序号</w:t>
            </w:r>
          </w:p>
        </w:tc>
        <w:tc>
          <w:tcPr>
            <w:tcW w:w="3091" w:type="dxa"/>
          </w:tcPr>
          <w:p w14:paraId="12860A3D">
            <w:pPr>
              <w:spacing w:line="400" w:lineRule="exact"/>
              <w:jc w:val="center"/>
              <w:rPr>
                <w:b/>
                <w:szCs w:val="21"/>
              </w:rPr>
            </w:pPr>
            <w:r>
              <w:rPr>
                <w:rFonts w:hint="eastAsia"/>
                <w:b/>
                <w:szCs w:val="21"/>
              </w:rPr>
              <w:t>审查项目</w:t>
            </w:r>
          </w:p>
        </w:tc>
        <w:tc>
          <w:tcPr>
            <w:tcW w:w="5236" w:type="dxa"/>
          </w:tcPr>
          <w:p w14:paraId="3B437FEE">
            <w:pPr>
              <w:spacing w:line="400" w:lineRule="exact"/>
              <w:jc w:val="center"/>
              <w:rPr>
                <w:b/>
                <w:szCs w:val="21"/>
              </w:rPr>
            </w:pPr>
            <w:r>
              <w:rPr>
                <w:rFonts w:hint="eastAsia"/>
                <w:b/>
                <w:szCs w:val="21"/>
              </w:rPr>
              <w:t>要求</w:t>
            </w:r>
          </w:p>
        </w:tc>
      </w:tr>
      <w:tr w14:paraId="197F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D5423AB">
            <w:pPr>
              <w:spacing w:line="400" w:lineRule="exact"/>
              <w:jc w:val="center"/>
              <w:rPr>
                <w:szCs w:val="21"/>
              </w:rPr>
            </w:pPr>
            <w:r>
              <w:rPr>
                <w:szCs w:val="21"/>
              </w:rPr>
              <w:t>1</w:t>
            </w:r>
          </w:p>
        </w:tc>
        <w:tc>
          <w:tcPr>
            <w:tcW w:w="3091" w:type="dxa"/>
            <w:vAlign w:val="center"/>
          </w:tcPr>
          <w:p w14:paraId="2FE944D1">
            <w:pPr>
              <w:spacing w:line="400" w:lineRule="exact"/>
              <w:rPr>
                <w:szCs w:val="21"/>
              </w:rPr>
            </w:pPr>
            <w:r>
              <w:rPr>
                <w:rFonts w:hint="eastAsia"/>
                <w:szCs w:val="21"/>
              </w:rPr>
              <w:t>磋商有效期：符合第二章第六条的要求。</w:t>
            </w:r>
          </w:p>
        </w:tc>
        <w:tc>
          <w:tcPr>
            <w:tcW w:w="5236" w:type="dxa"/>
            <w:vAlign w:val="center"/>
          </w:tcPr>
          <w:p w14:paraId="2301DCC5">
            <w:pPr>
              <w:spacing w:line="400" w:lineRule="exact"/>
              <w:rPr>
                <w:szCs w:val="21"/>
              </w:rPr>
            </w:pPr>
            <w:r>
              <w:rPr>
                <w:rFonts w:hint="eastAsia"/>
                <w:szCs w:val="21"/>
              </w:rPr>
              <w:t>提供“磋商函”</w:t>
            </w:r>
            <w:r>
              <w:rPr>
                <w:rFonts w:hint="eastAsia" w:cs="宋体"/>
                <w:szCs w:val="21"/>
              </w:rPr>
              <w:t>。</w:t>
            </w:r>
          </w:p>
        </w:tc>
      </w:tr>
      <w:tr w14:paraId="5267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0BC6623">
            <w:pPr>
              <w:spacing w:line="400" w:lineRule="exact"/>
              <w:jc w:val="center"/>
              <w:rPr>
                <w:szCs w:val="21"/>
              </w:rPr>
            </w:pPr>
            <w:r>
              <w:rPr>
                <w:szCs w:val="21"/>
              </w:rPr>
              <w:t>2</w:t>
            </w:r>
          </w:p>
        </w:tc>
        <w:tc>
          <w:tcPr>
            <w:tcW w:w="3091" w:type="dxa"/>
            <w:vAlign w:val="center"/>
          </w:tcPr>
          <w:p w14:paraId="16A73252">
            <w:pPr>
              <w:spacing w:line="400" w:lineRule="exact"/>
              <w:rPr>
                <w:szCs w:val="21"/>
              </w:rPr>
            </w:pPr>
            <w:r>
              <w:rPr>
                <w:rFonts w:hint="eastAsia"/>
                <w:szCs w:val="21"/>
              </w:rPr>
              <w:t>法定代表人身份证明、法定代表人授权书。</w:t>
            </w:r>
          </w:p>
        </w:tc>
        <w:tc>
          <w:tcPr>
            <w:tcW w:w="5236" w:type="dxa"/>
            <w:vAlign w:val="center"/>
          </w:tcPr>
          <w:p w14:paraId="274232F5">
            <w:pPr>
              <w:spacing w:line="400" w:lineRule="exact"/>
              <w:rPr>
                <w:szCs w:val="21"/>
              </w:rPr>
            </w:pPr>
            <w:r>
              <w:rPr>
                <w:rFonts w:hint="eastAsia"/>
                <w:szCs w:val="21"/>
              </w:rPr>
              <w:t>（1）磋商响应文件由法定代表人签字（或盖章）的，提供“法定代表人身份证明”</w:t>
            </w:r>
            <w:r>
              <w:rPr>
                <w:rFonts w:hint="eastAsia" w:cs="宋体"/>
                <w:szCs w:val="21"/>
              </w:rPr>
              <w:t>。</w:t>
            </w:r>
          </w:p>
          <w:p w14:paraId="31A99934">
            <w:pPr>
              <w:spacing w:line="400" w:lineRule="exact"/>
              <w:rPr>
                <w:szCs w:val="21"/>
              </w:rPr>
            </w:pPr>
            <w:r>
              <w:rPr>
                <w:rFonts w:hint="eastAsia"/>
                <w:szCs w:val="21"/>
              </w:rPr>
              <w:t>（2）磋商响应文件由授权代表签字（或盖章）的，提供“法定代表人身份证明”和“法定代表人授权书”</w:t>
            </w:r>
            <w:r>
              <w:rPr>
                <w:rFonts w:hint="eastAsia"/>
                <w:b/>
                <w:szCs w:val="21"/>
              </w:rPr>
              <w:t>。</w:t>
            </w:r>
          </w:p>
        </w:tc>
      </w:tr>
      <w:tr w14:paraId="5829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8B1FF8F">
            <w:pPr>
              <w:spacing w:line="400" w:lineRule="exact"/>
              <w:jc w:val="center"/>
              <w:rPr>
                <w:szCs w:val="21"/>
              </w:rPr>
            </w:pPr>
            <w:r>
              <w:rPr>
                <w:szCs w:val="21"/>
              </w:rPr>
              <w:t>3</w:t>
            </w:r>
          </w:p>
        </w:tc>
        <w:tc>
          <w:tcPr>
            <w:tcW w:w="3091" w:type="dxa"/>
            <w:vAlign w:val="center"/>
          </w:tcPr>
          <w:p w14:paraId="3FA5F6C7">
            <w:pPr>
              <w:spacing w:line="400" w:lineRule="exact"/>
              <w:rPr>
                <w:szCs w:val="21"/>
              </w:rPr>
            </w:pPr>
            <w:r>
              <w:rPr>
                <w:rFonts w:hint="eastAsia"/>
                <w:szCs w:val="21"/>
              </w:rPr>
              <w:t>磋商响应文件的签署盖章</w:t>
            </w:r>
          </w:p>
        </w:tc>
        <w:tc>
          <w:tcPr>
            <w:tcW w:w="5236" w:type="dxa"/>
            <w:vAlign w:val="center"/>
          </w:tcPr>
          <w:p w14:paraId="5CF9045C">
            <w:pPr>
              <w:spacing w:line="400" w:lineRule="exact"/>
              <w:rPr>
                <w:szCs w:val="21"/>
              </w:rPr>
            </w:pPr>
            <w:r>
              <w:rPr>
                <w:rFonts w:hint="eastAsia"/>
                <w:szCs w:val="21"/>
              </w:rPr>
              <w:t>符合第二章“磋商须知”第九、1条的要求</w:t>
            </w:r>
          </w:p>
        </w:tc>
      </w:tr>
      <w:tr w14:paraId="11B5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vAlign w:val="center"/>
          </w:tcPr>
          <w:p w14:paraId="4008C1FD">
            <w:pPr>
              <w:spacing w:line="400" w:lineRule="exact"/>
              <w:jc w:val="center"/>
              <w:rPr>
                <w:szCs w:val="21"/>
              </w:rPr>
            </w:pPr>
            <w:r>
              <w:rPr>
                <w:szCs w:val="21"/>
              </w:rPr>
              <w:t>4</w:t>
            </w:r>
          </w:p>
        </w:tc>
        <w:tc>
          <w:tcPr>
            <w:tcW w:w="3091" w:type="dxa"/>
            <w:vMerge w:val="restart"/>
            <w:vAlign w:val="center"/>
          </w:tcPr>
          <w:p w14:paraId="2B06DEA7">
            <w:pPr>
              <w:spacing w:line="400" w:lineRule="exact"/>
              <w:rPr>
                <w:szCs w:val="21"/>
              </w:rPr>
            </w:pPr>
            <w:r>
              <w:rPr>
                <w:rFonts w:hint="eastAsia"/>
                <w:szCs w:val="21"/>
              </w:rPr>
              <w:t>其他</w:t>
            </w:r>
          </w:p>
        </w:tc>
        <w:tc>
          <w:tcPr>
            <w:tcW w:w="5236" w:type="dxa"/>
            <w:vAlign w:val="center"/>
          </w:tcPr>
          <w:p w14:paraId="41987B0B">
            <w:pPr>
              <w:spacing w:line="400" w:lineRule="exact"/>
              <w:rPr>
                <w:szCs w:val="21"/>
              </w:rPr>
            </w:pPr>
            <w:r>
              <w:rPr>
                <w:rFonts w:ascii="宋体" w:hAnsi="宋体"/>
                <w:color w:val="auto"/>
                <w:sz w:val="24"/>
                <w:highlight w:val="none"/>
              </w:rPr>
              <w:t>▲</w:t>
            </w:r>
            <w:r>
              <w:rPr>
                <w:rFonts w:hint="eastAsia"/>
                <w:szCs w:val="21"/>
              </w:rPr>
              <w:t>对同个标项不允许提供两个磋商方案</w:t>
            </w:r>
          </w:p>
        </w:tc>
      </w:tr>
      <w:tr w14:paraId="4398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vAlign w:val="center"/>
          </w:tcPr>
          <w:p w14:paraId="6ECCD9AC">
            <w:pPr>
              <w:spacing w:line="400" w:lineRule="exact"/>
              <w:jc w:val="center"/>
              <w:rPr>
                <w:szCs w:val="21"/>
              </w:rPr>
            </w:pPr>
          </w:p>
        </w:tc>
        <w:tc>
          <w:tcPr>
            <w:tcW w:w="3091" w:type="dxa"/>
            <w:vMerge w:val="continue"/>
            <w:vAlign w:val="center"/>
          </w:tcPr>
          <w:p w14:paraId="43C77D1E">
            <w:pPr>
              <w:spacing w:line="400" w:lineRule="exact"/>
              <w:rPr>
                <w:szCs w:val="21"/>
              </w:rPr>
            </w:pPr>
          </w:p>
        </w:tc>
        <w:tc>
          <w:tcPr>
            <w:tcW w:w="5236" w:type="dxa"/>
            <w:vAlign w:val="center"/>
          </w:tcPr>
          <w:p w14:paraId="5717B573">
            <w:pPr>
              <w:spacing w:line="400" w:lineRule="exact"/>
              <w:rPr>
                <w:szCs w:val="21"/>
              </w:rPr>
            </w:pPr>
            <w:r>
              <w:rPr>
                <w:rFonts w:hint="eastAsia"/>
                <w:szCs w:val="21"/>
              </w:rPr>
              <w:t>不允许出现与磋商文件有</w:t>
            </w:r>
            <w:r>
              <w:rPr>
                <w:rFonts w:hint="eastAsia"/>
                <w:szCs w:val="21"/>
                <w:lang w:val="en-US" w:eastAsia="zh-CN"/>
              </w:rPr>
              <w:t>实质性</w:t>
            </w:r>
            <w:r>
              <w:rPr>
                <w:rFonts w:hint="eastAsia"/>
                <w:szCs w:val="21"/>
              </w:rPr>
              <w:t>偏离的磋商响应文件</w:t>
            </w:r>
          </w:p>
        </w:tc>
      </w:tr>
      <w:tr w14:paraId="3A94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vAlign w:val="center"/>
          </w:tcPr>
          <w:p w14:paraId="596B5D33">
            <w:pPr>
              <w:spacing w:line="400" w:lineRule="exact"/>
              <w:jc w:val="center"/>
              <w:rPr>
                <w:szCs w:val="21"/>
              </w:rPr>
            </w:pPr>
          </w:p>
        </w:tc>
        <w:tc>
          <w:tcPr>
            <w:tcW w:w="3091" w:type="dxa"/>
            <w:vMerge w:val="continue"/>
            <w:vAlign w:val="center"/>
          </w:tcPr>
          <w:p w14:paraId="06E34B0B">
            <w:pPr>
              <w:spacing w:line="400" w:lineRule="exact"/>
              <w:rPr>
                <w:szCs w:val="21"/>
              </w:rPr>
            </w:pPr>
          </w:p>
        </w:tc>
        <w:tc>
          <w:tcPr>
            <w:tcW w:w="5236" w:type="dxa"/>
            <w:vAlign w:val="center"/>
          </w:tcPr>
          <w:p w14:paraId="58C28C7B">
            <w:pPr>
              <w:spacing w:line="400" w:lineRule="exact"/>
              <w:rPr>
                <w:szCs w:val="21"/>
              </w:rPr>
            </w:pPr>
            <w:r>
              <w:rPr>
                <w:rFonts w:ascii="宋体" w:hAnsi="宋体"/>
                <w:color w:val="auto"/>
                <w:sz w:val="24"/>
                <w:highlight w:val="none"/>
              </w:rPr>
              <w:t>▲</w:t>
            </w:r>
            <w:r>
              <w:rPr>
                <w:szCs w:val="21"/>
              </w:rPr>
              <w:t>供应商</w:t>
            </w:r>
            <w:r>
              <w:rPr>
                <w:rFonts w:hint="eastAsia"/>
                <w:szCs w:val="21"/>
              </w:rPr>
              <w:t>不得</w:t>
            </w:r>
            <w:r>
              <w:rPr>
                <w:szCs w:val="21"/>
              </w:rPr>
              <w:t>在</w:t>
            </w:r>
            <w:r>
              <w:rPr>
                <w:rFonts w:hint="eastAsia"/>
                <w:szCs w:val="21"/>
              </w:rPr>
              <w:t>磋商</w:t>
            </w:r>
            <w:r>
              <w:rPr>
                <w:szCs w:val="21"/>
              </w:rPr>
              <w:t>活动中提供任何虚假材料或从事其他违法活动的</w:t>
            </w:r>
          </w:p>
        </w:tc>
      </w:tr>
      <w:tr w14:paraId="7F3D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vAlign w:val="center"/>
          </w:tcPr>
          <w:p w14:paraId="64746A5F">
            <w:pPr>
              <w:spacing w:line="400" w:lineRule="exact"/>
              <w:jc w:val="center"/>
              <w:rPr>
                <w:szCs w:val="21"/>
              </w:rPr>
            </w:pPr>
          </w:p>
        </w:tc>
        <w:tc>
          <w:tcPr>
            <w:tcW w:w="3091" w:type="dxa"/>
            <w:vMerge w:val="continue"/>
            <w:vAlign w:val="center"/>
          </w:tcPr>
          <w:p w14:paraId="61219D85">
            <w:pPr>
              <w:spacing w:line="400" w:lineRule="exact"/>
              <w:rPr>
                <w:szCs w:val="21"/>
              </w:rPr>
            </w:pPr>
          </w:p>
        </w:tc>
        <w:tc>
          <w:tcPr>
            <w:tcW w:w="5236" w:type="dxa"/>
            <w:vAlign w:val="center"/>
          </w:tcPr>
          <w:p w14:paraId="61A4DD71">
            <w:pPr>
              <w:autoSpaceDN w:val="0"/>
              <w:spacing w:line="312" w:lineRule="auto"/>
              <w:rPr>
                <w:rFonts w:hint="eastAsia" w:ascii="宋体" w:hAnsi="宋体" w:eastAsia="宋体" w:cs="宋体"/>
                <w:b/>
                <w:bCs/>
                <w:szCs w:val="21"/>
              </w:rPr>
            </w:pPr>
            <w:r>
              <w:rPr>
                <w:rFonts w:ascii="宋体" w:hAnsi="宋体"/>
                <w:color w:val="auto"/>
                <w:sz w:val="24"/>
                <w:highlight w:val="none"/>
              </w:rPr>
              <w:t>▲</w:t>
            </w:r>
            <w:r>
              <w:rPr>
                <w:rFonts w:hint="eastAsia" w:ascii="宋体" w:hAnsi="宋体" w:eastAsia="宋体" w:cs="宋体"/>
                <w:b/>
                <w:bCs/>
                <w:szCs w:val="21"/>
              </w:rPr>
              <w:t>参与同一个采购包（标段）的供应商存在下列情形之一且无法合理解释的，其投标（响应）文件无效：</w:t>
            </w:r>
          </w:p>
          <w:p w14:paraId="0CD027FF">
            <w:pPr>
              <w:autoSpaceDN w:val="0"/>
              <w:spacing w:line="312" w:lineRule="auto"/>
              <w:rPr>
                <w:rFonts w:hint="eastAsia" w:ascii="宋体" w:hAnsi="宋体" w:eastAsia="宋体" w:cs="宋体"/>
                <w:szCs w:val="21"/>
              </w:rPr>
            </w:pPr>
            <w:r>
              <w:rPr>
                <w:rFonts w:hint="eastAsia" w:ascii="宋体" w:hAnsi="宋体" w:eastAsia="宋体" w:cs="宋体"/>
                <w:szCs w:val="21"/>
              </w:rPr>
              <w:t>①不同供应商的电子投标（响应）文件上传计算机的网卡MAC地址或硬盘序列号等硬件信息相同的；</w:t>
            </w:r>
          </w:p>
          <w:p w14:paraId="289B235A">
            <w:pPr>
              <w:autoSpaceDN w:val="0"/>
              <w:spacing w:line="312" w:lineRule="auto"/>
              <w:rPr>
                <w:rFonts w:hint="eastAsia" w:ascii="宋体" w:hAnsi="宋体" w:eastAsia="宋体" w:cs="宋体"/>
                <w:szCs w:val="21"/>
              </w:rPr>
            </w:pPr>
            <w:r>
              <w:rPr>
                <w:rFonts w:hint="eastAsia" w:ascii="宋体" w:hAnsi="宋体" w:eastAsia="宋体" w:cs="宋体"/>
                <w:szCs w:val="21"/>
              </w:rPr>
              <w:t>②上传的电子投标（响应）文件若出现使用本项目其他投标（响应）供应商的数字证书加密的，或者加盖本项目其他投标（响应）供应商的电子印章的；</w:t>
            </w:r>
          </w:p>
          <w:p w14:paraId="62A7F2A2">
            <w:pPr>
              <w:autoSpaceDN w:val="0"/>
              <w:spacing w:line="312" w:lineRule="auto"/>
              <w:rPr>
                <w:rFonts w:hint="eastAsia" w:ascii="宋体" w:hAnsi="宋体" w:eastAsia="宋体" w:cs="宋体"/>
                <w:szCs w:val="21"/>
              </w:rPr>
            </w:pPr>
            <w:r>
              <w:rPr>
                <w:rFonts w:hint="eastAsia" w:ascii="宋体" w:hAnsi="宋体" w:eastAsia="宋体" w:cs="宋体"/>
                <w:szCs w:val="21"/>
              </w:rPr>
              <w:t>③不同供应商的投标（响应）文件的内容存在3处（含）以上错误一致的；</w:t>
            </w:r>
          </w:p>
          <w:p w14:paraId="601420DE">
            <w:pPr>
              <w:spacing w:line="400" w:lineRule="exact"/>
              <w:rPr>
                <w:szCs w:val="21"/>
              </w:rPr>
            </w:pPr>
            <w:r>
              <w:rPr>
                <w:rFonts w:hint="eastAsia" w:ascii="宋体" w:hAnsi="宋体" w:eastAsia="宋体" w:cs="宋体"/>
                <w:szCs w:val="21"/>
              </w:rPr>
              <w:t>④不同供应商联系人为同一人或不同联系人的联系电话一致的。</w:t>
            </w:r>
          </w:p>
        </w:tc>
      </w:tr>
      <w:tr w14:paraId="6195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continue"/>
            <w:vAlign w:val="center"/>
          </w:tcPr>
          <w:p w14:paraId="01EF0E7D">
            <w:pPr>
              <w:spacing w:line="400" w:lineRule="exact"/>
              <w:jc w:val="center"/>
              <w:rPr>
                <w:szCs w:val="21"/>
              </w:rPr>
            </w:pPr>
          </w:p>
        </w:tc>
        <w:tc>
          <w:tcPr>
            <w:tcW w:w="3091" w:type="dxa"/>
            <w:vMerge w:val="continue"/>
            <w:vAlign w:val="center"/>
          </w:tcPr>
          <w:p w14:paraId="4B0B7527">
            <w:pPr>
              <w:spacing w:line="400" w:lineRule="exact"/>
              <w:rPr>
                <w:szCs w:val="21"/>
              </w:rPr>
            </w:pPr>
          </w:p>
        </w:tc>
        <w:tc>
          <w:tcPr>
            <w:tcW w:w="5236" w:type="dxa"/>
            <w:vAlign w:val="center"/>
          </w:tcPr>
          <w:p w14:paraId="119A254D">
            <w:pPr>
              <w:spacing w:line="400" w:lineRule="exact"/>
              <w:rPr>
                <w:szCs w:val="21"/>
              </w:rPr>
            </w:pPr>
            <w:r>
              <w:rPr>
                <w:rFonts w:hint="eastAsia"/>
                <w:szCs w:val="21"/>
              </w:rPr>
              <w:t>符合法律、法规和磋商文件中规定的其他实质性要求（</w:t>
            </w:r>
            <w:r>
              <w:rPr>
                <w:rFonts w:hint="eastAsia" w:ascii="宋体" w:hAnsi="宋体" w:eastAsia="宋体" w:cs="宋体"/>
                <w:szCs w:val="21"/>
              </w:rPr>
              <w:t>实质性要求竞争性磋商文件中“</w:t>
            </w:r>
            <w:r>
              <w:rPr>
                <w:rFonts w:hint="eastAsia" w:ascii="宋体" w:hAnsi="宋体" w:eastAsia="宋体" w:cs="宋体"/>
                <w:b/>
                <w:szCs w:val="21"/>
              </w:rPr>
              <w:t>▲</w:t>
            </w:r>
            <w:r>
              <w:rPr>
                <w:rFonts w:hint="eastAsia" w:ascii="宋体" w:hAnsi="宋体" w:eastAsia="宋体" w:cs="宋体"/>
                <w:szCs w:val="21"/>
              </w:rPr>
              <w:t>”标记</w:t>
            </w:r>
            <w:r>
              <w:rPr>
                <w:rFonts w:hint="eastAsia"/>
                <w:szCs w:val="21"/>
              </w:rPr>
              <w:t>）</w:t>
            </w:r>
          </w:p>
        </w:tc>
      </w:tr>
      <w:tr w14:paraId="5287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11" w:type="dxa"/>
            <w:gridSpan w:val="2"/>
            <w:vAlign w:val="center"/>
          </w:tcPr>
          <w:p w14:paraId="4729D9C0">
            <w:pPr>
              <w:spacing w:line="400" w:lineRule="exact"/>
              <w:jc w:val="center"/>
            </w:pPr>
            <w:r>
              <w:rPr>
                <w:rFonts w:hint="eastAsia"/>
                <w:b/>
                <w:szCs w:val="21"/>
              </w:rPr>
              <w:t>符合性审查结论</w:t>
            </w:r>
          </w:p>
        </w:tc>
        <w:tc>
          <w:tcPr>
            <w:tcW w:w="5236" w:type="dxa"/>
            <w:vAlign w:val="center"/>
          </w:tcPr>
          <w:p w14:paraId="2B9371F8">
            <w:pPr>
              <w:spacing w:line="400" w:lineRule="exact"/>
              <w:jc w:val="center"/>
              <w:rPr>
                <w:szCs w:val="21"/>
              </w:rPr>
            </w:pPr>
          </w:p>
        </w:tc>
      </w:tr>
    </w:tbl>
    <w:p w14:paraId="45B71842">
      <w:pPr>
        <w:spacing w:line="360" w:lineRule="exact"/>
        <w:rPr>
          <w:b/>
        </w:rPr>
      </w:pPr>
      <w:r>
        <w:rPr>
          <w:rFonts w:hint="eastAsia"/>
          <w:b/>
        </w:rPr>
        <w:t>注：1、上述审查项目中，任意一项不符合的，</w:t>
      </w:r>
      <w:r>
        <w:rPr>
          <w:rFonts w:hint="eastAsia"/>
          <w:b/>
          <w:szCs w:val="21"/>
        </w:rPr>
        <w:t>符合性审查</w:t>
      </w:r>
      <w:r>
        <w:rPr>
          <w:rFonts w:hint="eastAsia"/>
          <w:b/>
        </w:rPr>
        <w:t>不合格。</w:t>
      </w:r>
    </w:p>
    <w:p w14:paraId="1C2A8374">
      <w:pPr>
        <w:spacing w:line="360" w:lineRule="exact"/>
        <w:ind w:firstLine="422" w:firstLineChars="200"/>
        <w:rPr>
          <w:b/>
        </w:rPr>
      </w:pPr>
      <w:r>
        <w:rPr>
          <w:rFonts w:hint="eastAsia"/>
          <w:b/>
        </w:rPr>
        <w:t>2、上述审查项目中，第3项和第4项，无需在政采云中设置关联点。</w:t>
      </w:r>
    </w:p>
    <w:p w14:paraId="2601CD10">
      <w:pPr>
        <w:rPr>
          <w:rFonts w:ascii="Times New Roman" w:hAnsi="Times New Roman"/>
          <w:szCs w:val="21"/>
          <w:lang w:bidi="ar"/>
        </w:rPr>
      </w:pPr>
      <w:r>
        <w:rPr>
          <w:rFonts w:ascii="Times New Roman" w:hAnsi="Times New Roman"/>
          <w:szCs w:val="21"/>
          <w:lang w:bidi="ar"/>
        </w:rPr>
        <w:br w:type="page"/>
      </w:r>
      <w:r>
        <w:rPr>
          <w:rFonts w:hint="eastAsia" w:ascii="Times New Roman" w:hAnsi="Times New Roman"/>
          <w:szCs w:val="21"/>
          <w:lang w:bidi="ar"/>
        </w:rPr>
        <w:t>附表3：</w:t>
      </w:r>
    </w:p>
    <w:p w14:paraId="2E24A313">
      <w:pPr>
        <w:jc w:val="center"/>
      </w:pPr>
      <w:r>
        <w:rPr>
          <w:rFonts w:hint="eastAsia" w:cs="宋体" w:asciiTheme="minorEastAsia" w:hAnsiTheme="minorEastAsia"/>
          <w:b/>
          <w:szCs w:val="21"/>
        </w:rPr>
        <w:t>商务技术评分表</w:t>
      </w:r>
    </w:p>
    <w:tbl>
      <w:tblPr>
        <w:tblStyle w:val="25"/>
        <w:tblW w:w="10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217"/>
        <w:gridCol w:w="7633"/>
        <w:gridCol w:w="711"/>
        <w:gridCol w:w="711"/>
      </w:tblGrid>
      <w:tr w14:paraId="0B93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07" w:type="dxa"/>
            <w:vAlign w:val="center"/>
          </w:tcPr>
          <w:p w14:paraId="4E90D596">
            <w:pPr>
              <w:rPr>
                <w:b/>
                <w:bCs/>
              </w:rPr>
            </w:pPr>
            <w:r>
              <w:rPr>
                <w:rFonts w:hint="eastAsia"/>
                <w:b/>
                <w:bCs/>
              </w:rPr>
              <w:t>序号</w:t>
            </w:r>
          </w:p>
        </w:tc>
        <w:tc>
          <w:tcPr>
            <w:tcW w:w="8850" w:type="dxa"/>
            <w:gridSpan w:val="2"/>
            <w:vAlign w:val="center"/>
          </w:tcPr>
          <w:p w14:paraId="255EB27C">
            <w:pPr>
              <w:jc w:val="center"/>
              <w:rPr>
                <w:b/>
                <w:bCs/>
              </w:rPr>
            </w:pPr>
            <w:r>
              <w:rPr>
                <w:rFonts w:hint="eastAsia"/>
                <w:b/>
                <w:bCs/>
              </w:rPr>
              <w:t>评分项目</w:t>
            </w:r>
          </w:p>
        </w:tc>
        <w:tc>
          <w:tcPr>
            <w:tcW w:w="711" w:type="dxa"/>
            <w:vAlign w:val="center"/>
          </w:tcPr>
          <w:p w14:paraId="3CF21477">
            <w:pPr>
              <w:rPr>
                <w:b/>
                <w:bCs/>
              </w:rPr>
            </w:pPr>
            <w:r>
              <w:rPr>
                <w:rFonts w:hint="eastAsia"/>
                <w:b/>
                <w:bCs/>
              </w:rPr>
              <w:t>分值</w:t>
            </w:r>
          </w:p>
        </w:tc>
        <w:tc>
          <w:tcPr>
            <w:tcW w:w="711" w:type="dxa"/>
            <w:vAlign w:val="center"/>
          </w:tcPr>
          <w:p w14:paraId="17937F04">
            <w:pPr>
              <w:rPr>
                <w:rFonts w:hint="eastAsia"/>
                <w:b/>
                <w:bCs/>
              </w:rPr>
            </w:pPr>
          </w:p>
        </w:tc>
      </w:tr>
      <w:tr w14:paraId="7A66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607" w:type="dxa"/>
            <w:vMerge w:val="restart"/>
            <w:vAlign w:val="center"/>
          </w:tcPr>
          <w:p w14:paraId="026C468F">
            <w:pPr>
              <w:ind w:firstLine="30"/>
              <w:jc w:val="center"/>
              <w:rPr>
                <w:b/>
              </w:rPr>
            </w:pPr>
            <w:r>
              <w:rPr>
                <w:rFonts w:hint="eastAsia"/>
                <w:b/>
              </w:rPr>
              <w:t>技术商务分</w:t>
            </w:r>
          </w:p>
          <w:p w14:paraId="0EDB9413">
            <w:pPr>
              <w:ind w:firstLine="30"/>
              <w:jc w:val="center"/>
              <w:rPr>
                <w:b/>
              </w:rPr>
            </w:pPr>
            <w:r>
              <w:rPr>
                <w:rFonts w:hint="eastAsia"/>
                <w:b/>
              </w:rPr>
              <w:t>70分</w:t>
            </w:r>
          </w:p>
        </w:tc>
        <w:tc>
          <w:tcPr>
            <w:tcW w:w="1217" w:type="dxa"/>
            <w:vAlign w:val="center"/>
          </w:tcPr>
          <w:p w14:paraId="18CC5242">
            <w:pPr>
              <w:jc w:val="center"/>
              <w:rPr>
                <w:rFonts w:hint="eastAsia" w:cs="楷体_GB2312" w:asciiTheme="minorEastAsia" w:hAnsiTheme="minorEastAsia"/>
                <w:b/>
                <w:szCs w:val="21"/>
              </w:rPr>
            </w:pPr>
            <w:r>
              <w:rPr>
                <w:rFonts w:hint="eastAsia" w:cs="楷体_GB2312" w:asciiTheme="minorEastAsia" w:hAnsiTheme="minorEastAsia"/>
                <w:b/>
                <w:szCs w:val="21"/>
              </w:rPr>
              <w:t>体系</w:t>
            </w:r>
          </w:p>
          <w:p w14:paraId="717C5EAD">
            <w:pPr>
              <w:jc w:val="center"/>
              <w:rPr>
                <w:rFonts w:hint="eastAsia" w:cs="楷体_GB2312" w:asciiTheme="minorEastAsia" w:hAnsiTheme="minorEastAsia"/>
                <w:b/>
                <w:szCs w:val="21"/>
              </w:rPr>
            </w:pPr>
            <w:r>
              <w:rPr>
                <w:rFonts w:hint="eastAsia" w:cs="楷体_GB2312" w:asciiTheme="minorEastAsia" w:hAnsiTheme="minorEastAsia"/>
                <w:b/>
                <w:szCs w:val="21"/>
              </w:rPr>
              <w:t>认证</w:t>
            </w:r>
          </w:p>
          <w:p w14:paraId="4B491599">
            <w:pPr>
              <w:jc w:val="center"/>
              <w:rPr>
                <w:b/>
              </w:rPr>
            </w:pPr>
            <w:r>
              <w:rPr>
                <w:rFonts w:hint="eastAsia" w:cs="楷体_GB2312" w:asciiTheme="minorEastAsia" w:hAnsiTheme="minorEastAsia"/>
                <w:b/>
                <w:szCs w:val="21"/>
              </w:rPr>
              <w:t xml:space="preserve">（6分）  </w:t>
            </w:r>
          </w:p>
        </w:tc>
        <w:tc>
          <w:tcPr>
            <w:tcW w:w="7633" w:type="dxa"/>
            <w:vAlign w:val="center"/>
          </w:tcPr>
          <w:p w14:paraId="4DCE6712">
            <w:pPr>
              <w:spacing w:line="360" w:lineRule="exact"/>
              <w:jc w:val="left"/>
              <w:rPr>
                <w:rFonts w:hint="eastAsia" w:asciiTheme="minorEastAsia" w:hAnsiTheme="minorEastAsia"/>
                <w:bCs/>
                <w:szCs w:val="21"/>
              </w:rPr>
            </w:pPr>
            <w:r>
              <w:rPr>
                <w:rFonts w:hint="eastAsia" w:asciiTheme="minorEastAsia" w:hAnsiTheme="minorEastAsia"/>
                <w:bCs/>
                <w:szCs w:val="21"/>
              </w:rPr>
              <w:t>供应商具有有效的质量管理体系认证证书、环境管理体系认证证书、职业健康安全管理体系认证证书（证书在有效期内），一个得2分，本项最高6分。</w:t>
            </w:r>
          </w:p>
          <w:p w14:paraId="02550B3D">
            <w:pPr>
              <w:spacing w:line="360" w:lineRule="exact"/>
              <w:jc w:val="left"/>
            </w:pPr>
            <w:r>
              <w:rPr>
                <w:rFonts w:hint="eastAsia" w:asciiTheme="minorEastAsia" w:hAnsiTheme="minorEastAsia"/>
                <w:b/>
                <w:szCs w:val="21"/>
              </w:rPr>
              <w:t>（须提供有效期内证书原件扫描件以及在国家认证认可监督管理委员会官方网站（</w:t>
            </w:r>
            <w:r>
              <w:rPr>
                <w:rFonts w:asciiTheme="minorEastAsia" w:hAnsiTheme="minorEastAsia"/>
                <w:b/>
                <w:szCs w:val="21"/>
              </w:rPr>
              <w:t>http://www.cnca.gov.cn/）查询的认证结果截图扫描件并加盖</w:t>
            </w:r>
            <w:r>
              <w:rPr>
                <w:rFonts w:hint="eastAsia" w:asciiTheme="minorEastAsia" w:hAnsiTheme="minorEastAsia"/>
                <w:b/>
                <w:szCs w:val="21"/>
              </w:rPr>
              <w:t>供应商</w:t>
            </w:r>
            <w:r>
              <w:rPr>
                <w:rFonts w:asciiTheme="minorEastAsia" w:hAnsiTheme="minorEastAsia"/>
                <w:b/>
                <w:szCs w:val="21"/>
              </w:rPr>
              <w:t>公章，未提供或缺项不得分）</w:t>
            </w:r>
          </w:p>
        </w:tc>
        <w:tc>
          <w:tcPr>
            <w:tcW w:w="711" w:type="dxa"/>
            <w:vAlign w:val="center"/>
          </w:tcPr>
          <w:p w14:paraId="139CD3A4">
            <w:pPr>
              <w:autoSpaceDE w:val="0"/>
              <w:autoSpaceDN w:val="0"/>
              <w:adjustRightInd w:val="0"/>
              <w:spacing w:line="240" w:lineRule="exact"/>
              <w:ind w:right="-3"/>
              <w:jc w:val="center"/>
            </w:pPr>
            <w:r>
              <w:rPr>
                <w:rFonts w:hint="eastAsia" w:cs="微软雅黑" w:asciiTheme="minorEastAsia" w:hAnsiTheme="minorEastAsia"/>
                <w:b/>
                <w:kern w:val="0"/>
                <w:szCs w:val="21"/>
              </w:rPr>
              <w:t>0-6</w:t>
            </w:r>
          </w:p>
        </w:tc>
        <w:tc>
          <w:tcPr>
            <w:tcW w:w="711" w:type="dxa"/>
            <w:vAlign w:val="center"/>
          </w:tcPr>
          <w:p w14:paraId="6A8F25A3">
            <w:pPr>
              <w:autoSpaceDE w:val="0"/>
              <w:autoSpaceDN w:val="0"/>
              <w:adjustRightInd w:val="0"/>
              <w:spacing w:line="240" w:lineRule="exact"/>
              <w:ind w:right="-3"/>
              <w:jc w:val="center"/>
              <w:rPr>
                <w:rFonts w:hint="eastAsia" w:cs="微软雅黑" w:asciiTheme="minorEastAsia" w:hAnsiTheme="minorEastAsia"/>
                <w:b/>
                <w:kern w:val="0"/>
                <w:szCs w:val="21"/>
              </w:rPr>
            </w:pPr>
          </w:p>
        </w:tc>
      </w:tr>
      <w:tr w14:paraId="56A1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607" w:type="dxa"/>
            <w:vMerge w:val="continue"/>
            <w:vAlign w:val="center"/>
          </w:tcPr>
          <w:p w14:paraId="1E0BF53C">
            <w:pPr>
              <w:ind w:firstLine="30"/>
              <w:rPr>
                <w:b/>
              </w:rPr>
            </w:pPr>
          </w:p>
        </w:tc>
        <w:tc>
          <w:tcPr>
            <w:tcW w:w="1217" w:type="dxa"/>
            <w:vAlign w:val="center"/>
          </w:tcPr>
          <w:p w14:paraId="4BCBB4F9">
            <w:pPr>
              <w:autoSpaceDE w:val="0"/>
              <w:autoSpaceDN w:val="0"/>
              <w:adjustRightInd w:val="0"/>
              <w:spacing w:line="240" w:lineRule="exact"/>
              <w:ind w:right="124"/>
              <w:jc w:val="center"/>
              <w:rPr>
                <w:rFonts w:hint="eastAsia" w:cs="微软雅黑" w:asciiTheme="minorEastAsia" w:hAnsiTheme="minorEastAsia"/>
                <w:b/>
                <w:kern w:val="0"/>
                <w:szCs w:val="21"/>
              </w:rPr>
            </w:pPr>
            <w:r>
              <w:rPr>
                <w:rFonts w:hint="eastAsia" w:cs="微软雅黑" w:asciiTheme="minorEastAsia" w:hAnsiTheme="minorEastAsia"/>
                <w:b/>
                <w:kern w:val="0"/>
                <w:szCs w:val="21"/>
              </w:rPr>
              <w:t>类似</w:t>
            </w:r>
          </w:p>
          <w:p w14:paraId="60EA8B72">
            <w:pPr>
              <w:autoSpaceDE w:val="0"/>
              <w:autoSpaceDN w:val="0"/>
              <w:adjustRightInd w:val="0"/>
              <w:spacing w:line="240" w:lineRule="exact"/>
              <w:ind w:right="124"/>
              <w:jc w:val="center"/>
              <w:rPr>
                <w:rFonts w:hint="eastAsia" w:cs="微软雅黑" w:asciiTheme="minorEastAsia" w:hAnsiTheme="minorEastAsia"/>
                <w:b/>
                <w:kern w:val="0"/>
                <w:szCs w:val="21"/>
              </w:rPr>
            </w:pPr>
            <w:r>
              <w:rPr>
                <w:rFonts w:hint="eastAsia" w:cs="微软雅黑" w:asciiTheme="minorEastAsia" w:hAnsiTheme="minorEastAsia"/>
                <w:b/>
                <w:kern w:val="0"/>
                <w:szCs w:val="21"/>
              </w:rPr>
              <w:t>业绩</w:t>
            </w:r>
          </w:p>
          <w:p w14:paraId="20F49033">
            <w:pPr>
              <w:autoSpaceDE w:val="0"/>
              <w:autoSpaceDN w:val="0"/>
              <w:adjustRightInd w:val="0"/>
              <w:spacing w:line="240" w:lineRule="exact"/>
              <w:ind w:right="124"/>
              <w:jc w:val="center"/>
              <w:rPr>
                <w:b/>
              </w:rPr>
            </w:pPr>
            <w:r>
              <w:rPr>
                <w:rFonts w:hint="eastAsia" w:cs="微软雅黑" w:asciiTheme="minorEastAsia" w:hAnsiTheme="minorEastAsia"/>
                <w:b/>
                <w:kern w:val="0"/>
                <w:szCs w:val="21"/>
              </w:rPr>
              <w:t>（3分）</w:t>
            </w:r>
          </w:p>
        </w:tc>
        <w:tc>
          <w:tcPr>
            <w:tcW w:w="7633" w:type="dxa"/>
            <w:vAlign w:val="center"/>
          </w:tcPr>
          <w:p w14:paraId="614CAAB3">
            <w:pPr>
              <w:spacing w:after="120" w:line="360" w:lineRule="exact"/>
              <w:rPr>
                <w:rFonts w:hint="eastAsia" w:asciiTheme="minorEastAsia" w:hAnsiTheme="minorEastAsia"/>
                <w:bCs/>
                <w:szCs w:val="21"/>
              </w:rPr>
            </w:pPr>
            <w:r>
              <w:rPr>
                <w:rFonts w:hint="eastAsia" w:asciiTheme="minorEastAsia" w:hAnsiTheme="minorEastAsia"/>
                <w:bCs/>
                <w:szCs w:val="21"/>
              </w:rPr>
              <w:t>根据供应商提供的自2022年</w:t>
            </w:r>
            <w:r>
              <w:rPr>
                <w:rFonts w:hint="eastAsia" w:asciiTheme="minorEastAsia" w:hAnsiTheme="minorEastAsia"/>
                <w:bCs/>
                <w:szCs w:val="21"/>
                <w:lang w:val="en-US" w:eastAsia="zh-CN"/>
              </w:rPr>
              <w:t>6</w:t>
            </w:r>
            <w:r>
              <w:rPr>
                <w:rFonts w:hint="eastAsia" w:asciiTheme="minorEastAsia" w:hAnsiTheme="minorEastAsia"/>
                <w:bCs/>
                <w:szCs w:val="21"/>
              </w:rPr>
              <w:t>月1日</w:t>
            </w:r>
            <w:r>
              <w:rPr>
                <w:rFonts w:hint="eastAsia" w:asciiTheme="minorEastAsia" w:hAnsiTheme="minorEastAsia"/>
                <w:bCs/>
                <w:szCs w:val="21"/>
                <w:lang w:eastAsia="zh-CN"/>
              </w:rPr>
              <w:t>（含）</w:t>
            </w:r>
            <w:r>
              <w:rPr>
                <w:rFonts w:hint="eastAsia" w:asciiTheme="minorEastAsia" w:hAnsiTheme="minorEastAsia"/>
                <w:bCs/>
                <w:szCs w:val="21"/>
              </w:rPr>
              <w:t>至今（以合同签订时间为准）的</w:t>
            </w:r>
            <w:r>
              <w:rPr>
                <w:rFonts w:hint="eastAsia" w:asciiTheme="minorEastAsia" w:hAnsiTheme="minorEastAsia"/>
                <w:bCs/>
                <w:color w:val="auto"/>
                <w:szCs w:val="21"/>
                <w:lang w:val="en-US" w:eastAsia="zh-CN"/>
              </w:rPr>
              <w:t>类似</w:t>
            </w:r>
            <w:r>
              <w:rPr>
                <w:rFonts w:hint="eastAsia" w:asciiTheme="minorEastAsia" w:hAnsiTheme="minorEastAsia"/>
                <w:bCs/>
                <w:color w:val="auto"/>
                <w:szCs w:val="21"/>
              </w:rPr>
              <w:t>项目</w:t>
            </w:r>
            <w:r>
              <w:rPr>
                <w:rFonts w:hint="eastAsia" w:asciiTheme="minorEastAsia" w:hAnsiTheme="minorEastAsia"/>
                <w:bCs/>
                <w:color w:val="auto"/>
                <w:szCs w:val="21"/>
                <w:lang w:eastAsia="zh-CN"/>
              </w:rPr>
              <w:t>施工</w:t>
            </w:r>
            <w:r>
              <w:rPr>
                <w:rFonts w:hint="eastAsia" w:asciiTheme="minorEastAsia" w:hAnsiTheme="minorEastAsia"/>
                <w:bCs/>
                <w:color w:val="auto"/>
                <w:szCs w:val="21"/>
                <w:lang w:val="en-US" w:eastAsia="zh-CN"/>
              </w:rPr>
              <w:t>业绩的</w:t>
            </w:r>
            <w:r>
              <w:rPr>
                <w:rFonts w:hint="eastAsia" w:asciiTheme="minorEastAsia" w:hAnsiTheme="minorEastAsia"/>
                <w:bCs/>
                <w:szCs w:val="21"/>
              </w:rPr>
              <w:t>，每提供一个有效业绩得1分，最高得3分。</w:t>
            </w:r>
          </w:p>
          <w:p w14:paraId="553D7B61">
            <w:pPr>
              <w:spacing w:after="120" w:line="360" w:lineRule="exact"/>
              <w:rPr>
                <w:b/>
              </w:rPr>
            </w:pPr>
            <w:r>
              <w:rPr>
                <w:rFonts w:hint="eastAsia" w:asciiTheme="minorEastAsia" w:hAnsiTheme="minorEastAsia"/>
                <w:b/>
                <w:szCs w:val="21"/>
              </w:rPr>
              <w:t>（须同时提</w:t>
            </w:r>
            <w:r>
              <w:rPr>
                <w:rFonts w:hint="eastAsia" w:asciiTheme="minorEastAsia" w:hAnsiTheme="minorEastAsia"/>
                <w:b/>
                <w:color w:val="auto"/>
                <w:szCs w:val="21"/>
              </w:rPr>
              <w:t>供中标</w:t>
            </w:r>
            <w:r>
              <w:rPr>
                <w:rFonts w:hint="eastAsia" w:asciiTheme="minorEastAsia" w:hAnsiTheme="minorEastAsia"/>
                <w:b/>
                <w:color w:val="auto"/>
                <w:szCs w:val="21"/>
                <w:lang w:eastAsia="zh-CN"/>
              </w:rPr>
              <w:t>（</w:t>
            </w:r>
            <w:r>
              <w:rPr>
                <w:rFonts w:hint="eastAsia" w:asciiTheme="minorEastAsia" w:hAnsiTheme="minorEastAsia"/>
                <w:b/>
                <w:color w:val="auto"/>
                <w:szCs w:val="21"/>
                <w:lang w:val="en-US" w:eastAsia="zh-CN"/>
              </w:rPr>
              <w:t>成交</w:t>
            </w:r>
            <w:r>
              <w:rPr>
                <w:rFonts w:hint="eastAsia" w:asciiTheme="minorEastAsia" w:hAnsiTheme="minorEastAsia"/>
                <w:b/>
                <w:color w:val="auto"/>
                <w:szCs w:val="21"/>
                <w:lang w:eastAsia="zh-CN"/>
              </w:rPr>
              <w:t>）</w:t>
            </w:r>
            <w:r>
              <w:rPr>
                <w:rFonts w:hint="eastAsia" w:asciiTheme="minorEastAsia" w:hAnsiTheme="minorEastAsia"/>
                <w:b/>
                <w:color w:val="auto"/>
                <w:szCs w:val="21"/>
              </w:rPr>
              <w:t>通知书、</w:t>
            </w:r>
            <w:r>
              <w:rPr>
                <w:rFonts w:hint="eastAsia" w:asciiTheme="minorEastAsia" w:hAnsiTheme="minorEastAsia"/>
                <w:b/>
                <w:szCs w:val="21"/>
              </w:rPr>
              <w:t>合同扫描件及完工或竣工验收证明材料扫描件</w:t>
            </w:r>
            <w:r>
              <w:rPr>
                <w:rFonts w:hint="eastAsia" w:asciiTheme="minorEastAsia" w:hAnsiTheme="minorEastAsia"/>
                <w:b/>
                <w:bCs/>
                <w:szCs w:val="21"/>
              </w:rPr>
              <w:t>，未提供或提供不全不得分</w:t>
            </w:r>
            <w:r>
              <w:rPr>
                <w:rFonts w:hint="eastAsia" w:asciiTheme="minorEastAsia" w:hAnsiTheme="minorEastAsia"/>
                <w:b/>
                <w:szCs w:val="21"/>
              </w:rPr>
              <w:t>）</w:t>
            </w:r>
          </w:p>
        </w:tc>
        <w:tc>
          <w:tcPr>
            <w:tcW w:w="711" w:type="dxa"/>
            <w:vAlign w:val="center"/>
          </w:tcPr>
          <w:p w14:paraId="32B316B9">
            <w:pPr>
              <w:spacing w:line="360" w:lineRule="exact"/>
              <w:jc w:val="center"/>
            </w:pPr>
            <w:r>
              <w:rPr>
                <w:rFonts w:hint="eastAsia" w:asciiTheme="minorEastAsia" w:hAnsiTheme="minorEastAsia"/>
                <w:b/>
                <w:szCs w:val="21"/>
              </w:rPr>
              <w:t>0-3</w:t>
            </w:r>
          </w:p>
        </w:tc>
        <w:tc>
          <w:tcPr>
            <w:tcW w:w="711" w:type="dxa"/>
            <w:vAlign w:val="center"/>
          </w:tcPr>
          <w:p w14:paraId="725F81FF">
            <w:pPr>
              <w:spacing w:line="360" w:lineRule="exact"/>
              <w:jc w:val="center"/>
              <w:rPr>
                <w:rFonts w:hint="eastAsia" w:asciiTheme="minorEastAsia" w:hAnsiTheme="minorEastAsia"/>
                <w:b/>
                <w:szCs w:val="21"/>
              </w:rPr>
            </w:pPr>
          </w:p>
        </w:tc>
      </w:tr>
      <w:tr w14:paraId="3EC7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Merge w:val="continue"/>
            <w:vAlign w:val="center"/>
          </w:tcPr>
          <w:p w14:paraId="6EC027CC">
            <w:pPr>
              <w:ind w:firstLine="30"/>
              <w:rPr>
                <w:b/>
              </w:rPr>
            </w:pPr>
          </w:p>
        </w:tc>
        <w:tc>
          <w:tcPr>
            <w:tcW w:w="1217" w:type="dxa"/>
            <w:vMerge w:val="restart"/>
            <w:vAlign w:val="center"/>
          </w:tcPr>
          <w:p w14:paraId="5CC3A290">
            <w:pPr>
              <w:autoSpaceDE w:val="0"/>
              <w:autoSpaceDN w:val="0"/>
              <w:adjustRightInd w:val="0"/>
              <w:spacing w:line="240" w:lineRule="exact"/>
              <w:ind w:right="124"/>
              <w:jc w:val="center"/>
              <w:rPr>
                <w:rFonts w:hint="eastAsia" w:cs="微软雅黑" w:asciiTheme="minorEastAsia" w:hAnsiTheme="minorEastAsia"/>
                <w:b/>
                <w:kern w:val="0"/>
                <w:szCs w:val="21"/>
              </w:rPr>
            </w:pPr>
            <w:r>
              <w:rPr>
                <w:rFonts w:hint="eastAsia" w:cs="微软雅黑" w:asciiTheme="minorEastAsia" w:hAnsiTheme="minorEastAsia"/>
                <w:b/>
                <w:kern w:val="0"/>
                <w:szCs w:val="21"/>
              </w:rPr>
              <w:t>项目团队</w:t>
            </w:r>
          </w:p>
          <w:p w14:paraId="5840460D">
            <w:pPr>
              <w:autoSpaceDE w:val="0"/>
              <w:autoSpaceDN w:val="0"/>
              <w:adjustRightInd w:val="0"/>
              <w:spacing w:line="240" w:lineRule="exact"/>
              <w:ind w:right="124"/>
              <w:jc w:val="center"/>
              <w:rPr>
                <w:rFonts w:hint="eastAsia" w:cs="微软雅黑" w:asciiTheme="minorEastAsia" w:hAnsiTheme="minorEastAsia"/>
                <w:b/>
                <w:kern w:val="0"/>
                <w:szCs w:val="21"/>
              </w:rPr>
            </w:pPr>
            <w:r>
              <w:rPr>
                <w:rFonts w:hint="eastAsia" w:cs="微软雅黑" w:asciiTheme="minorEastAsia" w:hAnsiTheme="minorEastAsia"/>
                <w:b/>
                <w:kern w:val="0"/>
                <w:szCs w:val="21"/>
              </w:rPr>
              <w:t>配备</w:t>
            </w:r>
          </w:p>
          <w:p w14:paraId="34CC5576">
            <w:pPr>
              <w:autoSpaceDE w:val="0"/>
              <w:autoSpaceDN w:val="0"/>
              <w:adjustRightInd w:val="0"/>
              <w:spacing w:line="240" w:lineRule="exact"/>
              <w:ind w:right="124"/>
              <w:jc w:val="center"/>
              <w:rPr>
                <w:rFonts w:hint="eastAsia" w:cs="微软雅黑" w:asciiTheme="minorEastAsia" w:hAnsiTheme="minorEastAsia"/>
                <w:b/>
                <w:kern w:val="0"/>
                <w:szCs w:val="21"/>
              </w:rPr>
            </w:pPr>
            <w:r>
              <w:rPr>
                <w:rFonts w:hint="eastAsia" w:cs="微软雅黑" w:asciiTheme="minorEastAsia" w:hAnsiTheme="minorEastAsia"/>
                <w:b/>
                <w:kern w:val="0"/>
                <w:szCs w:val="21"/>
              </w:rPr>
              <w:t>（1</w:t>
            </w:r>
            <w:r>
              <w:rPr>
                <w:rFonts w:hint="eastAsia" w:cs="微软雅黑" w:asciiTheme="minorEastAsia" w:hAnsiTheme="minorEastAsia"/>
                <w:b/>
                <w:kern w:val="0"/>
                <w:szCs w:val="21"/>
                <w:lang w:val="en-US" w:eastAsia="zh-CN"/>
              </w:rPr>
              <w:t>4</w:t>
            </w:r>
            <w:r>
              <w:rPr>
                <w:rFonts w:hint="eastAsia" w:cs="微软雅黑" w:asciiTheme="minorEastAsia" w:hAnsiTheme="minorEastAsia"/>
                <w:b/>
                <w:kern w:val="0"/>
                <w:szCs w:val="21"/>
              </w:rPr>
              <w:t>分）</w:t>
            </w:r>
          </w:p>
        </w:tc>
        <w:tc>
          <w:tcPr>
            <w:tcW w:w="7633" w:type="dxa"/>
            <w:vAlign w:val="center"/>
          </w:tcPr>
          <w:p w14:paraId="1DF7698F">
            <w:pPr>
              <w:autoSpaceDE w:val="0"/>
              <w:autoSpaceDN w:val="0"/>
              <w:spacing w:line="360" w:lineRule="exact"/>
              <w:jc w:val="left"/>
              <w:rPr>
                <w:rFonts w:hint="eastAsia" w:ascii="Times New Roman" w:hAnsi="宋体" w:eastAsia="宋体" w:cs="宋体"/>
                <w:szCs w:val="21"/>
              </w:rPr>
            </w:pPr>
            <w:r>
              <w:rPr>
                <w:rFonts w:hint="eastAsia" w:ascii="Times New Roman" w:hAnsi="宋体" w:eastAsia="宋体" w:cs="宋体"/>
                <w:szCs w:val="21"/>
              </w:rPr>
              <w:t>项目负责人：</w:t>
            </w:r>
          </w:p>
          <w:p w14:paraId="379956AF">
            <w:pPr>
              <w:numPr>
                <w:ilvl w:val="0"/>
                <w:numId w:val="3"/>
              </w:numPr>
              <w:autoSpaceDE w:val="0"/>
              <w:autoSpaceDN w:val="0"/>
              <w:spacing w:line="360" w:lineRule="exact"/>
              <w:jc w:val="left"/>
              <w:rPr>
                <w:rFonts w:hint="eastAsia" w:ascii="Times New Roman" w:hAnsi="宋体" w:eastAsia="宋体" w:cs="宋体"/>
                <w:szCs w:val="21"/>
              </w:rPr>
            </w:pPr>
            <w:r>
              <w:rPr>
                <w:rFonts w:hint="eastAsia" w:ascii="Times New Roman" w:hAnsi="宋体" w:eastAsia="宋体" w:cs="宋体"/>
                <w:szCs w:val="21"/>
              </w:rPr>
              <w:t>具有工程类中级及以上职称证书的得1分</w:t>
            </w:r>
            <w:r>
              <w:rPr>
                <w:rFonts w:hint="eastAsia" w:ascii="Times New Roman" w:hAnsi="宋体" w:eastAsia="宋体" w:cs="宋体"/>
                <w:szCs w:val="21"/>
                <w:lang w:eastAsia="zh-CN"/>
              </w:rPr>
              <w:t>；</w:t>
            </w:r>
            <w:r>
              <w:rPr>
                <w:rFonts w:hint="eastAsia" w:ascii="Times New Roman" w:hAnsi="宋体" w:eastAsia="宋体" w:cs="宋体"/>
                <w:szCs w:val="21"/>
              </w:rPr>
              <w:t>具有</w:t>
            </w:r>
            <w:r>
              <w:rPr>
                <w:rFonts w:hint="eastAsia" w:ascii="Times New Roman" w:hAnsi="宋体" w:eastAsia="宋体" w:cs="宋体"/>
                <w:szCs w:val="21"/>
                <w:lang w:val="en-US" w:eastAsia="zh-CN"/>
              </w:rPr>
              <w:t>建筑工程专业</w:t>
            </w:r>
            <w:r>
              <w:rPr>
                <w:rFonts w:hint="eastAsia" w:ascii="Times New Roman" w:hAnsi="宋体" w:eastAsia="宋体" w:cs="宋体"/>
                <w:szCs w:val="21"/>
              </w:rPr>
              <w:t>二级注册建造师证书的得1分、一级注册建造师证书的得2分。（建造师临时执业证书无效，建造师按最高等级计分）</w:t>
            </w:r>
          </w:p>
          <w:p w14:paraId="109F5936">
            <w:pPr>
              <w:autoSpaceDE w:val="0"/>
              <w:autoSpaceDN w:val="0"/>
              <w:spacing w:line="360" w:lineRule="exact"/>
              <w:jc w:val="left"/>
              <w:rPr>
                <w:rFonts w:hint="eastAsia" w:ascii="Times New Roman" w:hAnsi="宋体" w:eastAsia="宋体" w:cs="宋体"/>
                <w:b/>
                <w:bCs/>
                <w:szCs w:val="21"/>
              </w:rPr>
            </w:pPr>
            <w:r>
              <w:rPr>
                <w:rFonts w:hint="eastAsia" w:ascii="Times New Roman" w:hAnsi="宋体" w:eastAsia="宋体" w:cs="宋体"/>
                <w:b/>
                <w:bCs/>
                <w:szCs w:val="21"/>
              </w:rPr>
              <w:t>（须提供职称证书</w:t>
            </w:r>
            <w:r>
              <w:rPr>
                <w:rFonts w:hint="eastAsia" w:ascii="Times New Roman" w:hAnsi="宋体" w:eastAsia="宋体" w:cs="宋体"/>
                <w:b/>
                <w:bCs/>
                <w:szCs w:val="21"/>
                <w:lang w:val="en-US" w:eastAsia="zh-CN"/>
              </w:rPr>
              <w:t>或执业资格证书的</w:t>
            </w:r>
            <w:r>
              <w:rPr>
                <w:rFonts w:hint="eastAsia" w:ascii="Times New Roman" w:hAnsi="宋体" w:eastAsia="宋体" w:cs="宋体"/>
                <w:b/>
                <w:bCs/>
                <w:szCs w:val="21"/>
              </w:rPr>
              <w:t>扫描件及近三个月来任意一个月供应商为其缴纳的社保证明材料原件扫描件，未提供或缺项不得分）</w:t>
            </w:r>
          </w:p>
          <w:p w14:paraId="4C2E13BB">
            <w:pPr>
              <w:numPr>
                <w:ilvl w:val="0"/>
                <w:numId w:val="3"/>
              </w:numPr>
              <w:spacing w:line="360" w:lineRule="exact"/>
              <w:rPr>
                <w:rFonts w:hint="eastAsia" w:ascii="Times New Roman" w:hAnsi="宋体" w:eastAsia="宋体" w:cs="宋体"/>
                <w:szCs w:val="21"/>
              </w:rPr>
            </w:pPr>
            <w:r>
              <w:rPr>
                <w:rFonts w:hint="eastAsia" w:ascii="Times New Roman" w:hAnsi="宋体" w:eastAsia="宋体" w:cs="宋体"/>
                <w:szCs w:val="21"/>
              </w:rPr>
              <w:t>项目负责人自2022年</w:t>
            </w:r>
            <w:r>
              <w:rPr>
                <w:rFonts w:hint="eastAsia" w:ascii="Times New Roman" w:hAnsi="宋体" w:eastAsia="宋体" w:cs="宋体"/>
                <w:szCs w:val="21"/>
                <w:lang w:val="en-US" w:eastAsia="zh-CN"/>
              </w:rPr>
              <w:t>6</w:t>
            </w:r>
            <w:r>
              <w:rPr>
                <w:rFonts w:hint="eastAsia" w:ascii="Times New Roman" w:hAnsi="宋体" w:eastAsia="宋体" w:cs="宋体"/>
                <w:szCs w:val="21"/>
              </w:rPr>
              <w:t>月1日</w:t>
            </w:r>
            <w:r>
              <w:rPr>
                <w:rFonts w:hint="eastAsia" w:ascii="Times New Roman" w:hAnsi="宋体" w:eastAsia="宋体" w:cs="宋体"/>
                <w:szCs w:val="21"/>
                <w:lang w:eastAsia="zh-CN"/>
              </w:rPr>
              <w:t>（含）至今</w:t>
            </w:r>
            <w:r>
              <w:rPr>
                <w:rFonts w:hint="eastAsia" w:asciiTheme="minorEastAsia" w:hAnsiTheme="minorEastAsia"/>
                <w:bCs/>
                <w:szCs w:val="21"/>
              </w:rPr>
              <w:t>（以合同签订时间为准）</w:t>
            </w:r>
            <w:r>
              <w:rPr>
                <w:rFonts w:hint="eastAsia" w:ascii="Times New Roman" w:hAnsi="宋体" w:eastAsia="宋体" w:cs="宋体"/>
                <w:szCs w:val="21"/>
              </w:rPr>
              <w:t>具有类似项目</w:t>
            </w:r>
            <w:r>
              <w:rPr>
                <w:rFonts w:hint="eastAsia" w:ascii="Times New Roman" w:hAnsi="宋体" w:eastAsia="宋体" w:cs="宋体"/>
                <w:szCs w:val="21"/>
                <w:lang w:eastAsia="zh-CN"/>
              </w:rPr>
              <w:t>施工业绩</w:t>
            </w:r>
            <w:r>
              <w:rPr>
                <w:rFonts w:hint="eastAsia" w:ascii="Times New Roman" w:hAnsi="宋体" w:eastAsia="宋体" w:cs="宋体"/>
                <w:szCs w:val="21"/>
              </w:rPr>
              <w:t>的，得1分。</w:t>
            </w:r>
          </w:p>
          <w:p w14:paraId="1EB7BFBB">
            <w:pPr>
              <w:spacing w:line="360" w:lineRule="exact"/>
              <w:rPr>
                <w:rFonts w:hint="eastAsia" w:asciiTheme="minorEastAsia" w:hAnsiTheme="minorEastAsia"/>
                <w:b/>
                <w:szCs w:val="21"/>
              </w:rPr>
            </w:pPr>
            <w:r>
              <w:rPr>
                <w:rFonts w:hint="eastAsia" w:ascii="Times New Roman" w:hAnsi="宋体" w:eastAsia="宋体" w:cs="宋体"/>
                <w:b/>
                <w:bCs/>
                <w:szCs w:val="21"/>
              </w:rPr>
              <w:t>（提供清晰可辨的施工合同扫描件及验收证明资料（验收报告或验收记录表扫描件</w:t>
            </w:r>
            <w:bookmarkStart w:id="592" w:name="_GoBack"/>
            <w:bookmarkEnd w:id="592"/>
            <w:r>
              <w:rPr>
                <w:rFonts w:hint="eastAsia" w:ascii="Times New Roman" w:hAnsi="宋体" w:eastAsia="宋体" w:cs="宋体"/>
                <w:b/>
                <w:bCs/>
                <w:szCs w:val="21"/>
              </w:rPr>
              <w:t>，如不能体现项目</w:t>
            </w:r>
            <w:r>
              <w:rPr>
                <w:rFonts w:hint="eastAsia" w:ascii="Times New Roman" w:hAnsi="宋体" w:eastAsia="宋体" w:cs="宋体"/>
                <w:b/>
                <w:bCs/>
                <w:szCs w:val="21"/>
                <w:lang w:eastAsia="zh-CN"/>
              </w:rPr>
              <w:t>负责人</w:t>
            </w:r>
            <w:r>
              <w:rPr>
                <w:rFonts w:hint="eastAsia" w:ascii="Times New Roman" w:hAnsi="宋体" w:eastAsia="宋体" w:cs="宋体"/>
                <w:b/>
                <w:bCs/>
                <w:szCs w:val="21"/>
              </w:rPr>
              <w:t>姓名的，可提供该</w:t>
            </w:r>
            <w:r>
              <w:rPr>
                <w:rFonts w:hint="eastAsia" w:ascii="Times New Roman" w:hAnsi="宋体" w:eastAsia="宋体" w:cs="宋体"/>
                <w:b/>
                <w:bCs/>
                <w:szCs w:val="21"/>
                <w:lang w:eastAsia="zh-CN"/>
              </w:rPr>
              <w:t>项目</w:t>
            </w:r>
            <w:r>
              <w:rPr>
                <w:rFonts w:hint="eastAsia" w:ascii="Times New Roman" w:hAnsi="宋体" w:eastAsia="宋体" w:cs="宋体"/>
                <w:b/>
                <w:bCs/>
                <w:szCs w:val="21"/>
              </w:rPr>
              <w:t>业主加盖公章的证明材料，未提供或缺项不得分）</w:t>
            </w:r>
          </w:p>
        </w:tc>
        <w:tc>
          <w:tcPr>
            <w:tcW w:w="711" w:type="dxa"/>
            <w:vAlign w:val="center"/>
          </w:tcPr>
          <w:p w14:paraId="0A4337C3">
            <w:pPr>
              <w:spacing w:line="360" w:lineRule="exact"/>
              <w:jc w:val="center"/>
              <w:rPr>
                <w:rFonts w:hint="eastAsia" w:asciiTheme="minorEastAsia" w:hAnsiTheme="minorEastAsia"/>
                <w:b/>
                <w:szCs w:val="21"/>
              </w:rPr>
            </w:pPr>
            <w:r>
              <w:rPr>
                <w:rFonts w:hint="eastAsia" w:asciiTheme="minorEastAsia" w:hAnsiTheme="minorEastAsia"/>
                <w:b/>
                <w:szCs w:val="21"/>
              </w:rPr>
              <w:t>0-4</w:t>
            </w:r>
          </w:p>
        </w:tc>
        <w:tc>
          <w:tcPr>
            <w:tcW w:w="711" w:type="dxa"/>
            <w:vAlign w:val="center"/>
          </w:tcPr>
          <w:p w14:paraId="42808374">
            <w:pPr>
              <w:spacing w:line="360" w:lineRule="exact"/>
              <w:jc w:val="center"/>
              <w:rPr>
                <w:rFonts w:hint="eastAsia" w:asciiTheme="minorEastAsia" w:hAnsiTheme="minorEastAsia"/>
                <w:b/>
                <w:szCs w:val="21"/>
              </w:rPr>
            </w:pPr>
          </w:p>
        </w:tc>
      </w:tr>
      <w:tr w14:paraId="2F84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Merge w:val="continue"/>
            <w:vAlign w:val="center"/>
          </w:tcPr>
          <w:p w14:paraId="6A3B5A68">
            <w:pPr>
              <w:ind w:firstLine="30"/>
              <w:rPr>
                <w:b/>
              </w:rPr>
            </w:pPr>
          </w:p>
        </w:tc>
        <w:tc>
          <w:tcPr>
            <w:tcW w:w="1217" w:type="dxa"/>
            <w:vMerge w:val="continue"/>
            <w:vAlign w:val="center"/>
          </w:tcPr>
          <w:p w14:paraId="02082BAA">
            <w:pPr>
              <w:autoSpaceDE w:val="0"/>
              <w:autoSpaceDN w:val="0"/>
              <w:adjustRightInd w:val="0"/>
              <w:spacing w:line="240" w:lineRule="exact"/>
              <w:ind w:right="124"/>
              <w:jc w:val="center"/>
              <w:rPr>
                <w:rFonts w:hint="eastAsia" w:cs="微软雅黑" w:asciiTheme="minorEastAsia" w:hAnsiTheme="minorEastAsia"/>
                <w:b/>
                <w:kern w:val="0"/>
                <w:szCs w:val="21"/>
              </w:rPr>
            </w:pPr>
          </w:p>
        </w:tc>
        <w:tc>
          <w:tcPr>
            <w:tcW w:w="7633" w:type="dxa"/>
            <w:vAlign w:val="center"/>
          </w:tcPr>
          <w:p w14:paraId="0E7FD11B">
            <w:pPr>
              <w:spacing w:line="360" w:lineRule="exact"/>
              <w:rPr>
                <w:szCs w:val="21"/>
              </w:rPr>
            </w:pPr>
            <w:r>
              <w:rPr>
                <w:rFonts w:hint="eastAsia" w:ascii="宋体" w:hAnsi="宋体"/>
                <w:bCs/>
                <w:sz w:val="24"/>
                <w:szCs w:val="24"/>
              </w:rPr>
              <w:t>1</w:t>
            </w:r>
            <w:r>
              <w:rPr>
                <w:rFonts w:hint="eastAsia" w:ascii="宋体" w:hAnsi="宋体"/>
                <w:bCs/>
                <w:szCs w:val="21"/>
              </w:rPr>
              <w:t>、项目团队成员中</w:t>
            </w:r>
            <w:r>
              <w:rPr>
                <w:rFonts w:hint="eastAsia" w:ascii="宋体" w:hAnsi="宋体"/>
                <w:b/>
                <w:szCs w:val="21"/>
              </w:rPr>
              <w:t>（项目负责人除外）</w:t>
            </w:r>
            <w:r>
              <w:rPr>
                <w:rFonts w:hint="eastAsia" w:ascii="宋体" w:hAnsi="宋体"/>
                <w:bCs/>
                <w:szCs w:val="21"/>
              </w:rPr>
              <w:t>具有</w:t>
            </w:r>
            <w:r>
              <w:rPr>
                <w:rFonts w:hint="eastAsia"/>
                <w:lang w:val="en-US" w:eastAsia="zh-CN"/>
              </w:rPr>
              <w:t>建筑工程专业</w:t>
            </w:r>
            <w:r>
              <w:rPr>
                <w:rFonts w:hint="eastAsia" w:ascii="Calibri" w:hAnsi="Calibri" w:eastAsia="宋体" w:cs="宋体"/>
                <w:szCs w:val="21"/>
              </w:rPr>
              <w:t>二级注册建造师</w:t>
            </w:r>
            <w:r>
              <w:rPr>
                <w:rFonts w:hint="eastAsia" w:cs="宋体"/>
                <w:szCs w:val="21"/>
              </w:rPr>
              <w:t>证</w:t>
            </w:r>
            <w:r>
              <w:rPr>
                <w:rFonts w:hint="eastAsia" w:ascii="Calibri" w:hAnsi="Calibri" w:eastAsia="宋体" w:cs="宋体"/>
                <w:szCs w:val="21"/>
              </w:rPr>
              <w:t>书</w:t>
            </w:r>
            <w:r>
              <w:rPr>
                <w:rFonts w:hint="eastAsia" w:ascii="宋体" w:hAnsi="宋体"/>
                <w:bCs/>
                <w:szCs w:val="21"/>
              </w:rPr>
              <w:t>（建造师临时执业证书无效）的每提供一人得1分</w:t>
            </w:r>
            <w:r>
              <w:rPr>
                <w:rFonts w:hint="eastAsia"/>
                <w:szCs w:val="21"/>
              </w:rPr>
              <w:t>、一</w:t>
            </w:r>
            <w:r>
              <w:rPr>
                <w:rFonts w:hint="eastAsia" w:ascii="Calibri" w:hAnsi="Calibri" w:eastAsia="宋体" w:cs="宋体"/>
                <w:szCs w:val="21"/>
              </w:rPr>
              <w:t>级注册建造师</w:t>
            </w:r>
            <w:r>
              <w:rPr>
                <w:rFonts w:hint="eastAsia" w:cs="宋体"/>
                <w:szCs w:val="21"/>
              </w:rPr>
              <w:t>证</w:t>
            </w:r>
            <w:r>
              <w:rPr>
                <w:rFonts w:hint="eastAsia" w:ascii="Calibri" w:hAnsi="Calibri" w:eastAsia="宋体" w:cs="宋体"/>
                <w:szCs w:val="21"/>
              </w:rPr>
              <w:t>书</w:t>
            </w:r>
            <w:r>
              <w:rPr>
                <w:rFonts w:hint="eastAsia"/>
                <w:szCs w:val="21"/>
              </w:rPr>
              <w:t>的</w:t>
            </w:r>
            <w:r>
              <w:rPr>
                <w:rFonts w:hint="eastAsia" w:ascii="宋体" w:hAnsi="宋体"/>
                <w:bCs/>
                <w:szCs w:val="21"/>
              </w:rPr>
              <w:t>每提供一人</w:t>
            </w:r>
            <w:r>
              <w:rPr>
                <w:rFonts w:hint="eastAsia"/>
                <w:szCs w:val="21"/>
              </w:rPr>
              <w:t>得2分。</w:t>
            </w:r>
            <w:r>
              <w:rPr>
                <w:rFonts w:hint="eastAsia" w:ascii="Times New Roman" w:hAnsi="宋体" w:eastAsia="宋体" w:cs="宋体"/>
                <w:szCs w:val="21"/>
              </w:rPr>
              <w:t>具有工程类中级及以上职称证书的每提供一人得1分</w:t>
            </w:r>
            <w:r>
              <w:rPr>
                <w:rFonts w:hint="eastAsia"/>
                <w:szCs w:val="21"/>
              </w:rPr>
              <w:t>。本项最高得5分。</w:t>
            </w:r>
          </w:p>
          <w:p w14:paraId="6737512E">
            <w:pPr>
              <w:pStyle w:val="3"/>
              <w:rPr>
                <w:rFonts w:hint="eastAsia" w:eastAsia="宋体"/>
                <w:szCs w:val="21"/>
              </w:rPr>
            </w:pPr>
            <w:r>
              <w:rPr>
                <w:rFonts w:hint="eastAsia"/>
                <w:sz w:val="21"/>
                <w:szCs w:val="21"/>
              </w:rPr>
              <w:t>注：</w:t>
            </w:r>
            <w:r>
              <w:rPr>
                <w:rFonts w:hint="eastAsia"/>
                <w:sz w:val="21"/>
                <w:szCs w:val="21"/>
                <w:lang w:eastAsia="zh-CN"/>
              </w:rPr>
              <w:t>同一人建造师证书按最高等级计分。</w:t>
            </w:r>
            <w:r>
              <w:rPr>
                <w:rFonts w:hint="eastAsia"/>
                <w:sz w:val="21"/>
                <w:szCs w:val="21"/>
              </w:rPr>
              <w:t>须同时提供上述人员所持证书原件扫描件及</w:t>
            </w:r>
            <w:r>
              <w:rPr>
                <w:rFonts w:hint="eastAsia" w:ascii="Times New Roman" w:eastAsia="宋体" w:cs="宋体"/>
                <w:bCs/>
                <w:sz w:val="21"/>
                <w:szCs w:val="21"/>
              </w:rPr>
              <w:t>近三个月来任意一个月供应商为其缴纳的社保证明材料</w:t>
            </w:r>
            <w:r>
              <w:rPr>
                <w:rFonts w:hint="eastAsia"/>
                <w:sz w:val="21"/>
                <w:szCs w:val="21"/>
              </w:rPr>
              <w:t>及下面任一网站的证书查询截图：全国建筑市场监管公共服务平台https://jzsc.mohurd.gov.cn、（全国建筑业注册证书信息查询）、国家职业资格证书全国查询系统https://zs.cpta.com.cn、全国人力资源和社会保障政务服务平台http://www.12333.gov.cn（全国职称信息查询）、住房城乡建设行业证书全国联网查询https://rcgz.mohurd.gov.cn（岗位证书查询）。如无法提供上述网站证书查询截图的，需提供该发证单位有权颁发上述证书的相关文件资料或上述人员报名、考试、评审上述证书的相关资料，供评标委员会在评审时判断证书的合规性，如未提供上述任何资料造成评标委员会在评审时做出对供应商不利的评审由供应商自行承担。未按上述规定提供资料的不得分。</w:t>
            </w:r>
          </w:p>
          <w:p w14:paraId="5885C310">
            <w:pPr>
              <w:spacing w:line="360" w:lineRule="exact"/>
              <w:rPr>
                <w:szCs w:val="21"/>
              </w:rPr>
            </w:pPr>
            <w:r>
              <w:rPr>
                <w:rFonts w:hint="eastAsia"/>
                <w:szCs w:val="21"/>
              </w:rPr>
              <w:t>2、项目管理班子的人员配备情况：施工员、质量员、材料员、安全员。每提供一本证书的得1分，最高得5分。</w:t>
            </w:r>
          </w:p>
          <w:p w14:paraId="28C8CA17">
            <w:pPr>
              <w:spacing w:line="360" w:lineRule="exact"/>
              <w:rPr>
                <w:rFonts w:hint="eastAsia" w:ascii="宋体" w:hAnsi="宋体"/>
                <w:b/>
                <w:szCs w:val="21"/>
              </w:rPr>
            </w:pPr>
            <w:r>
              <w:rPr>
                <w:rFonts w:hint="eastAsia" w:ascii="宋体" w:hAnsi="宋体"/>
                <w:b/>
                <w:szCs w:val="21"/>
              </w:rPr>
              <w:t>注：</w:t>
            </w:r>
            <w:r>
              <w:rPr>
                <w:rFonts w:hint="eastAsia" w:ascii="宋体" w:hAnsi="宋体"/>
                <w:b/>
                <w:szCs w:val="21"/>
                <w:lang w:val="en-US" w:eastAsia="zh-CN"/>
              </w:rPr>
              <w:t>同一人持有多本证书的不重复计分。</w:t>
            </w:r>
            <w:r>
              <w:rPr>
                <w:rFonts w:hint="eastAsia" w:ascii="宋体" w:hAnsi="宋体"/>
                <w:b/>
                <w:szCs w:val="21"/>
              </w:rPr>
              <w:t>须同时提供上述人员所持证书原件扫描件及</w:t>
            </w:r>
            <w:r>
              <w:rPr>
                <w:rFonts w:hint="eastAsia" w:ascii="Times New Roman" w:hAnsi="宋体" w:eastAsia="宋体" w:cs="宋体"/>
                <w:b/>
                <w:bCs/>
                <w:szCs w:val="21"/>
              </w:rPr>
              <w:t>近三个月来任意一个月供应商为其缴纳的社保证明材料</w:t>
            </w:r>
            <w:r>
              <w:rPr>
                <w:rFonts w:hint="eastAsia" w:ascii="宋体" w:hAnsi="宋体"/>
                <w:b/>
                <w:szCs w:val="21"/>
              </w:rPr>
              <w:t>及下面任一网站的证书查询截图：全国建筑市场监管公共服务平台https://jzsc.mohurd.gov.cn、（全国建筑业注册证书信息查询）、国家职业资格证书全国查询系统https://zs.cpta.com.cn、全国人力资源和社会保障政务服务平台http://www.12333.gov.cn（全国职称信息查询）、住房城乡建设行业证书全国联网查询https://rcgz.mohurd.gov.cn（岗位证书查询）。如无法提供上述网站证书查询截图的，需提供该发证单位有权颁发上述证书的相关文件资料或上述人员报名、考试、评审上述证书的相关资料，供评标委员会在评审时判断证书的合规性，如未提供上述任何资料造成评标委员会在评审时做出对</w:t>
            </w:r>
          </w:p>
          <w:p w14:paraId="569C5BAF">
            <w:pPr>
              <w:spacing w:line="360" w:lineRule="exact"/>
              <w:rPr>
                <w:rFonts w:hint="eastAsia" w:ascii="宋体" w:hAnsi="宋体"/>
                <w:b/>
                <w:szCs w:val="21"/>
              </w:rPr>
            </w:pPr>
            <w:r>
              <w:rPr>
                <w:rFonts w:hint="eastAsia" w:ascii="宋体" w:hAnsi="宋体"/>
                <w:b/>
                <w:szCs w:val="21"/>
              </w:rPr>
              <w:t>供应商不利的评审由供应商自行承担。未按上述规定提供资料的不得分。</w:t>
            </w:r>
          </w:p>
        </w:tc>
        <w:tc>
          <w:tcPr>
            <w:tcW w:w="711" w:type="dxa"/>
            <w:vAlign w:val="center"/>
          </w:tcPr>
          <w:p w14:paraId="7581EE3F">
            <w:pPr>
              <w:spacing w:line="360" w:lineRule="exact"/>
              <w:jc w:val="center"/>
              <w:rPr>
                <w:rFonts w:hint="eastAsia" w:asciiTheme="minorEastAsia" w:hAnsiTheme="minorEastAsia"/>
                <w:b/>
                <w:szCs w:val="21"/>
              </w:rPr>
            </w:pPr>
            <w:r>
              <w:rPr>
                <w:rFonts w:hint="eastAsia" w:asciiTheme="minorEastAsia" w:hAnsiTheme="minorEastAsia"/>
                <w:b/>
                <w:szCs w:val="21"/>
              </w:rPr>
              <w:t>0-10</w:t>
            </w:r>
          </w:p>
        </w:tc>
        <w:tc>
          <w:tcPr>
            <w:tcW w:w="711" w:type="dxa"/>
            <w:vAlign w:val="center"/>
          </w:tcPr>
          <w:p w14:paraId="10E5A677">
            <w:pPr>
              <w:spacing w:line="360" w:lineRule="exact"/>
              <w:jc w:val="center"/>
              <w:rPr>
                <w:rFonts w:hint="eastAsia" w:asciiTheme="minorEastAsia" w:hAnsiTheme="minorEastAsia"/>
                <w:b/>
                <w:szCs w:val="21"/>
              </w:rPr>
            </w:pPr>
          </w:p>
        </w:tc>
      </w:tr>
      <w:tr w14:paraId="12CD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vMerge w:val="continue"/>
            <w:vAlign w:val="center"/>
          </w:tcPr>
          <w:p w14:paraId="06EB43CC">
            <w:pPr>
              <w:ind w:firstLine="30"/>
              <w:rPr>
                <w:rFonts w:hint="eastAsia" w:asciiTheme="majorEastAsia" w:hAnsiTheme="majorEastAsia" w:eastAsiaTheme="majorEastAsia" w:cstheme="majorEastAsia"/>
                <w:b/>
                <w:szCs w:val="21"/>
              </w:rPr>
            </w:pPr>
          </w:p>
        </w:tc>
        <w:tc>
          <w:tcPr>
            <w:tcW w:w="1217" w:type="dxa"/>
            <w:vAlign w:val="center"/>
          </w:tcPr>
          <w:p w14:paraId="0A94AA4D">
            <w:pPr>
              <w:widowControl/>
              <w:spacing w:line="360" w:lineRule="exact"/>
              <w:jc w:val="center"/>
              <w:rPr>
                <w:rFonts w:hint="eastAsia" w:asciiTheme="majorEastAsia" w:hAnsiTheme="majorEastAsia" w:eastAsiaTheme="majorEastAsia" w:cstheme="majorEastAsia"/>
                <w:b/>
                <w:kern w:val="0"/>
                <w:szCs w:val="21"/>
              </w:rPr>
            </w:pPr>
            <w:r>
              <w:rPr>
                <w:rFonts w:hint="eastAsia" w:ascii="Calibri" w:hAnsi="Calibri"/>
                <w:b/>
                <w:szCs w:val="21"/>
              </w:rPr>
              <w:t>针对项目重点、难点的分析情况</w:t>
            </w:r>
            <w:r>
              <w:rPr>
                <w:rFonts w:hint="eastAsia" w:ascii="宋体" w:hAnsi="宋体" w:cs="宋体"/>
                <w:b/>
                <w:szCs w:val="21"/>
              </w:rPr>
              <w:t>(9分)</w:t>
            </w:r>
          </w:p>
        </w:tc>
        <w:tc>
          <w:tcPr>
            <w:tcW w:w="7633" w:type="dxa"/>
            <w:vAlign w:val="center"/>
          </w:tcPr>
          <w:p w14:paraId="04560080">
            <w:pPr>
              <w:autoSpaceDE w:val="0"/>
              <w:autoSpaceDN w:val="0"/>
              <w:adjustRightInd w:val="0"/>
              <w:spacing w:line="360" w:lineRule="exact"/>
              <w:rPr>
                <w:rFonts w:hint="eastAsia" w:ascii="宋体" w:hAnsi="宋体" w:cs="宋体"/>
                <w:b/>
                <w:bCs/>
                <w:kern w:val="0"/>
                <w:szCs w:val="21"/>
              </w:rPr>
            </w:pPr>
            <w:r>
              <w:rPr>
                <w:rFonts w:hint="eastAsia" w:ascii="宋体" w:hAnsi="宋体" w:cs="宋体"/>
                <w:b/>
                <w:bCs/>
                <w:kern w:val="0"/>
                <w:szCs w:val="21"/>
              </w:rPr>
              <w:t>投保供应商针对本工程的特点，阐述本工程的重点和难点：</w:t>
            </w:r>
          </w:p>
          <w:p w14:paraId="725DEEA3">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1、</w:t>
            </w:r>
            <w:r>
              <w:rPr>
                <w:rFonts w:hint="eastAsia" w:asciiTheme="minorEastAsia" w:hAnsiTheme="minorEastAsia"/>
                <w:szCs w:val="21"/>
              </w:rPr>
              <w:t>提供了详实可行的分析情况，</w:t>
            </w:r>
            <w:r>
              <w:rPr>
                <w:rFonts w:hint="eastAsia" w:ascii="宋体" w:hAnsi="宋体" w:cs="宋体"/>
                <w:kern w:val="0"/>
                <w:szCs w:val="21"/>
              </w:rPr>
              <w:t>针对性强、科学合理，且完全符合本项目实际情况的得9分；</w:t>
            </w:r>
          </w:p>
          <w:p w14:paraId="1898CFA4">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2、</w:t>
            </w:r>
            <w:r>
              <w:rPr>
                <w:rFonts w:hint="eastAsia" w:asciiTheme="minorEastAsia" w:hAnsiTheme="minorEastAsia"/>
                <w:szCs w:val="21"/>
              </w:rPr>
              <w:t>提供了内容基本完善可行的分析情况，</w:t>
            </w:r>
            <w:r>
              <w:rPr>
                <w:rFonts w:hint="eastAsia" w:ascii="宋体" w:hAnsi="宋体" w:cs="宋体"/>
                <w:kern w:val="0"/>
                <w:szCs w:val="21"/>
              </w:rPr>
              <w:t>针对性较强、较合理完全符合本项目实际情况的6.8分；</w:t>
            </w:r>
          </w:p>
          <w:p w14:paraId="396273C3">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3、提供的分析情况内容不够完善，针对性一般基本符合本项目实际情况的得4.6分；</w:t>
            </w:r>
          </w:p>
          <w:p w14:paraId="10FFC7A0">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 xml:space="preserve">4、提供的分析情况内容片面、针对性较差少部分符合本项目实际情况的得2.4分； </w:t>
            </w:r>
          </w:p>
          <w:p w14:paraId="3F99F90D">
            <w:pPr>
              <w:autoSpaceDE w:val="0"/>
              <w:autoSpaceDN w:val="0"/>
              <w:adjustRightInd w:val="0"/>
              <w:spacing w:line="360" w:lineRule="exact"/>
              <w:rPr>
                <w:rFonts w:hint="eastAsia" w:ascii="Times New Roman" w:hAnsi="宋体" w:eastAsia="宋体" w:cs="宋体"/>
              </w:rPr>
            </w:pPr>
            <w:r>
              <w:rPr>
                <w:rFonts w:hint="eastAsia" w:ascii="宋体" w:hAnsi="宋体" w:cs="宋体"/>
                <w:kern w:val="0"/>
                <w:szCs w:val="21"/>
              </w:rPr>
              <w:t>5、</w:t>
            </w:r>
            <w:r>
              <w:rPr>
                <w:rFonts w:hint="eastAsia" w:asciiTheme="minorEastAsia" w:hAnsiTheme="minorEastAsia"/>
                <w:szCs w:val="21"/>
              </w:rPr>
              <w:t>未提供相关内容或提供的方案内容完全不符合、不满足本项目需求的不得分</w:t>
            </w:r>
            <w:r>
              <w:rPr>
                <w:rFonts w:hint="eastAsia" w:ascii="宋体" w:hAnsi="宋体" w:cs="宋体"/>
                <w:kern w:val="0"/>
                <w:szCs w:val="21"/>
                <w:lang w:val="zh-CN"/>
              </w:rPr>
              <w:t>。</w:t>
            </w:r>
          </w:p>
        </w:tc>
        <w:tc>
          <w:tcPr>
            <w:tcW w:w="711" w:type="dxa"/>
            <w:vAlign w:val="center"/>
          </w:tcPr>
          <w:p w14:paraId="10F43CD8">
            <w:pPr>
              <w:spacing w:line="360" w:lineRule="exact"/>
              <w:jc w:val="center"/>
              <w:rPr>
                <w:rFonts w:eastAsiaTheme="majorEastAsia"/>
              </w:rPr>
            </w:pPr>
            <w:r>
              <w:rPr>
                <w:rFonts w:hint="eastAsia" w:ascii="宋体" w:hAnsi="宋体" w:cs="宋体"/>
                <w:b/>
                <w:kern w:val="0"/>
                <w:szCs w:val="21"/>
              </w:rPr>
              <w:t>9分</w:t>
            </w:r>
          </w:p>
        </w:tc>
        <w:tc>
          <w:tcPr>
            <w:tcW w:w="711" w:type="dxa"/>
            <w:vAlign w:val="center"/>
          </w:tcPr>
          <w:p w14:paraId="074307B7">
            <w:pPr>
              <w:spacing w:line="360" w:lineRule="exact"/>
              <w:jc w:val="center"/>
              <w:rPr>
                <w:rFonts w:hint="eastAsia" w:ascii="宋体" w:hAnsi="宋体" w:cs="宋体"/>
                <w:b/>
                <w:kern w:val="0"/>
                <w:szCs w:val="21"/>
              </w:rPr>
            </w:pPr>
          </w:p>
        </w:tc>
      </w:tr>
      <w:tr w14:paraId="66A7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7" w:type="dxa"/>
            <w:vMerge w:val="continue"/>
            <w:vAlign w:val="center"/>
          </w:tcPr>
          <w:p w14:paraId="111F47D4">
            <w:pPr>
              <w:ind w:firstLine="30"/>
              <w:rPr>
                <w:rFonts w:hint="eastAsia" w:asciiTheme="majorEastAsia" w:hAnsiTheme="majorEastAsia" w:eastAsiaTheme="majorEastAsia" w:cstheme="majorEastAsia"/>
                <w:b/>
                <w:szCs w:val="21"/>
              </w:rPr>
            </w:pPr>
          </w:p>
        </w:tc>
        <w:tc>
          <w:tcPr>
            <w:tcW w:w="1217" w:type="dxa"/>
            <w:vAlign w:val="center"/>
          </w:tcPr>
          <w:p w14:paraId="781346A3">
            <w:pPr>
              <w:widowControl/>
              <w:spacing w:line="400" w:lineRule="exact"/>
              <w:jc w:val="center"/>
              <w:rPr>
                <w:rFonts w:ascii="Calibri" w:hAnsi="Calibri"/>
                <w:b/>
                <w:szCs w:val="21"/>
              </w:rPr>
            </w:pPr>
            <w:r>
              <w:rPr>
                <w:rFonts w:hint="eastAsia" w:ascii="Calibri" w:hAnsi="Calibri"/>
                <w:b/>
                <w:szCs w:val="21"/>
              </w:rPr>
              <w:t>施工组织设计</w:t>
            </w:r>
          </w:p>
          <w:p w14:paraId="1689C504">
            <w:pPr>
              <w:widowControl/>
              <w:spacing w:line="400" w:lineRule="exact"/>
              <w:jc w:val="center"/>
              <w:rPr>
                <w:rFonts w:hint="eastAsia" w:asciiTheme="majorEastAsia" w:hAnsiTheme="majorEastAsia" w:eastAsiaTheme="majorEastAsia" w:cstheme="majorEastAsia"/>
                <w:b/>
                <w:kern w:val="0"/>
                <w:szCs w:val="21"/>
              </w:rPr>
            </w:pPr>
            <w:r>
              <w:rPr>
                <w:rFonts w:hint="eastAsia" w:ascii="宋体" w:hAnsi="宋体" w:cs="宋体"/>
                <w:b/>
                <w:szCs w:val="21"/>
              </w:rPr>
              <w:t>(6分)</w:t>
            </w:r>
          </w:p>
        </w:tc>
        <w:tc>
          <w:tcPr>
            <w:tcW w:w="7633" w:type="dxa"/>
            <w:vAlign w:val="center"/>
          </w:tcPr>
          <w:p w14:paraId="3E57F036">
            <w:pPr>
              <w:autoSpaceDE w:val="0"/>
              <w:autoSpaceDN w:val="0"/>
              <w:adjustRightInd w:val="0"/>
              <w:spacing w:line="360" w:lineRule="exact"/>
              <w:rPr>
                <w:rFonts w:hint="eastAsia" w:ascii="宋体" w:hAnsi="宋体" w:cs="宋体"/>
                <w:b/>
                <w:bCs/>
                <w:kern w:val="0"/>
                <w:szCs w:val="21"/>
              </w:rPr>
            </w:pPr>
            <w:r>
              <w:rPr>
                <w:rFonts w:hint="eastAsia" w:ascii="宋体" w:hAnsi="宋体" w:cs="宋体"/>
                <w:b/>
                <w:bCs/>
                <w:kern w:val="0"/>
                <w:szCs w:val="21"/>
              </w:rPr>
              <w:t>根据施工部署、现场平面布置及管理、劳动力安排计划、材料供应计划、施工机械进出场和施工机械使用计划进行综合打分：</w:t>
            </w:r>
          </w:p>
          <w:p w14:paraId="4EA72594">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1、施工组织方案完善具体、</w:t>
            </w:r>
            <w:r>
              <w:rPr>
                <w:rFonts w:ascii="宋体" w:hAnsi="宋体" w:cs="宋体"/>
                <w:kern w:val="0"/>
                <w:szCs w:val="21"/>
              </w:rPr>
              <w:t>以上范围内容全部涵盖且</w:t>
            </w:r>
            <w:r>
              <w:rPr>
                <w:rFonts w:hint="eastAsia" w:ascii="宋体" w:hAnsi="宋体" w:cs="宋体"/>
                <w:kern w:val="0"/>
                <w:szCs w:val="21"/>
              </w:rPr>
              <w:t>有合理性的得6分；</w:t>
            </w:r>
          </w:p>
          <w:p w14:paraId="7D59700F">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2、完善合理但需进一步细化，</w:t>
            </w:r>
            <w:r>
              <w:rPr>
                <w:rFonts w:ascii="宋体" w:hAnsi="宋体" w:cs="宋体"/>
                <w:kern w:val="0"/>
                <w:szCs w:val="21"/>
              </w:rPr>
              <w:t>以上范围内容大多数涵盖</w:t>
            </w:r>
            <w:r>
              <w:rPr>
                <w:rFonts w:hint="eastAsia" w:ascii="宋体" w:hAnsi="宋体" w:cs="宋体"/>
                <w:kern w:val="0"/>
                <w:szCs w:val="21"/>
              </w:rPr>
              <w:t>的得4.5分；</w:t>
            </w:r>
          </w:p>
          <w:p w14:paraId="6B2CF2B9">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3、不够详尽、无针对性，</w:t>
            </w:r>
            <w:r>
              <w:rPr>
                <w:rFonts w:ascii="宋体" w:hAnsi="宋体" w:cs="宋体"/>
                <w:kern w:val="0"/>
                <w:szCs w:val="21"/>
              </w:rPr>
              <w:t>以上范围内容</w:t>
            </w:r>
            <w:r>
              <w:rPr>
                <w:rFonts w:hint="eastAsia" w:ascii="宋体" w:hAnsi="宋体" w:cs="宋体"/>
                <w:kern w:val="0"/>
                <w:szCs w:val="21"/>
              </w:rPr>
              <w:t>少数</w:t>
            </w:r>
            <w:r>
              <w:rPr>
                <w:rFonts w:ascii="宋体" w:hAnsi="宋体" w:cs="宋体"/>
                <w:kern w:val="0"/>
                <w:szCs w:val="21"/>
              </w:rPr>
              <w:t>涵盖</w:t>
            </w:r>
            <w:r>
              <w:rPr>
                <w:rFonts w:hint="eastAsia" w:ascii="宋体" w:hAnsi="宋体" w:cs="宋体"/>
                <w:kern w:val="0"/>
                <w:szCs w:val="21"/>
              </w:rPr>
              <w:t>的得3分；</w:t>
            </w:r>
          </w:p>
          <w:p w14:paraId="3668860A">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4、不够详尽、欠缺合理性的得1.5分；</w:t>
            </w:r>
          </w:p>
          <w:p w14:paraId="62EAF796">
            <w:pPr>
              <w:autoSpaceDE w:val="0"/>
              <w:autoSpaceDN w:val="0"/>
              <w:adjustRightInd w:val="0"/>
              <w:spacing w:line="360" w:lineRule="exact"/>
              <w:rPr>
                <w:rFonts w:hint="eastAsia" w:ascii="Times New Roman" w:hAnsi="宋体" w:eastAsia="宋体" w:cs="宋体"/>
              </w:rPr>
            </w:pPr>
            <w:r>
              <w:rPr>
                <w:rFonts w:hint="eastAsia" w:ascii="宋体" w:hAnsi="宋体" w:cs="宋体"/>
                <w:kern w:val="0"/>
                <w:szCs w:val="21"/>
              </w:rPr>
              <w:t>5、</w:t>
            </w:r>
            <w:r>
              <w:rPr>
                <w:rFonts w:hint="eastAsia" w:asciiTheme="minorEastAsia" w:hAnsiTheme="minorEastAsia"/>
                <w:szCs w:val="21"/>
              </w:rPr>
              <w:t>未提供相关内容或提供的内容完全不符合本项目需求的不得分</w:t>
            </w:r>
            <w:r>
              <w:rPr>
                <w:rFonts w:hint="eastAsia" w:ascii="宋体" w:hAnsi="宋体" w:cs="宋体"/>
                <w:kern w:val="0"/>
                <w:szCs w:val="21"/>
                <w:lang w:val="zh-CN"/>
              </w:rPr>
              <w:t>。</w:t>
            </w:r>
          </w:p>
        </w:tc>
        <w:tc>
          <w:tcPr>
            <w:tcW w:w="711" w:type="dxa"/>
            <w:vAlign w:val="center"/>
          </w:tcPr>
          <w:p w14:paraId="6B291A0B">
            <w:pPr>
              <w:spacing w:line="400" w:lineRule="exact"/>
              <w:jc w:val="center"/>
              <w:rPr>
                <w:rFonts w:eastAsiaTheme="majorEastAsia"/>
              </w:rPr>
            </w:pPr>
            <w:r>
              <w:rPr>
                <w:rFonts w:hint="eastAsia" w:ascii="宋体" w:hAnsi="宋体" w:cs="宋体"/>
                <w:b/>
                <w:kern w:val="0"/>
                <w:szCs w:val="21"/>
              </w:rPr>
              <w:t>6分</w:t>
            </w:r>
          </w:p>
        </w:tc>
        <w:tc>
          <w:tcPr>
            <w:tcW w:w="711" w:type="dxa"/>
            <w:vAlign w:val="center"/>
          </w:tcPr>
          <w:p w14:paraId="7BD4E777">
            <w:pPr>
              <w:spacing w:line="400" w:lineRule="exact"/>
              <w:jc w:val="center"/>
              <w:rPr>
                <w:rFonts w:hint="eastAsia" w:ascii="宋体" w:hAnsi="宋体" w:cs="宋体"/>
                <w:b/>
                <w:kern w:val="0"/>
                <w:szCs w:val="21"/>
              </w:rPr>
            </w:pPr>
          </w:p>
        </w:tc>
      </w:tr>
      <w:tr w14:paraId="7EF8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7" w:type="dxa"/>
            <w:vMerge w:val="continue"/>
            <w:vAlign w:val="center"/>
          </w:tcPr>
          <w:p w14:paraId="7C237E0C">
            <w:pPr>
              <w:ind w:firstLine="30"/>
              <w:rPr>
                <w:rFonts w:hint="eastAsia" w:asciiTheme="majorEastAsia" w:hAnsiTheme="majorEastAsia" w:eastAsiaTheme="majorEastAsia" w:cstheme="majorEastAsia"/>
                <w:b/>
                <w:szCs w:val="21"/>
              </w:rPr>
            </w:pPr>
          </w:p>
        </w:tc>
        <w:tc>
          <w:tcPr>
            <w:tcW w:w="1217" w:type="dxa"/>
            <w:vAlign w:val="center"/>
          </w:tcPr>
          <w:p w14:paraId="78A79D20">
            <w:pPr>
              <w:widowControl/>
              <w:spacing w:line="400" w:lineRule="exact"/>
              <w:jc w:val="center"/>
              <w:rPr>
                <w:rFonts w:ascii="Calibri" w:hAnsi="Calibri"/>
                <w:b/>
                <w:szCs w:val="21"/>
              </w:rPr>
            </w:pPr>
            <w:r>
              <w:rPr>
                <w:rFonts w:hint="eastAsia" w:ascii="Calibri" w:hAnsi="Calibri"/>
                <w:b/>
                <w:szCs w:val="21"/>
              </w:rPr>
              <w:t>安全文明措施</w:t>
            </w:r>
          </w:p>
          <w:p w14:paraId="5143BDC0">
            <w:pPr>
              <w:widowControl/>
              <w:spacing w:line="400" w:lineRule="exact"/>
              <w:jc w:val="center"/>
              <w:rPr>
                <w:rFonts w:hint="eastAsia" w:asciiTheme="majorEastAsia" w:hAnsiTheme="majorEastAsia" w:eastAsiaTheme="majorEastAsia" w:cstheme="majorEastAsia"/>
                <w:b/>
                <w:kern w:val="0"/>
                <w:szCs w:val="21"/>
              </w:rPr>
            </w:pPr>
            <w:r>
              <w:rPr>
                <w:rFonts w:hint="eastAsia" w:ascii="宋体" w:hAnsi="宋体" w:cs="宋体"/>
                <w:b/>
                <w:szCs w:val="21"/>
              </w:rPr>
              <w:t>（6分)</w:t>
            </w:r>
          </w:p>
        </w:tc>
        <w:tc>
          <w:tcPr>
            <w:tcW w:w="7633" w:type="dxa"/>
            <w:vAlign w:val="center"/>
          </w:tcPr>
          <w:p w14:paraId="2ED34299">
            <w:pPr>
              <w:widowControl/>
              <w:spacing w:line="360" w:lineRule="exact"/>
              <w:jc w:val="left"/>
              <w:rPr>
                <w:rFonts w:hint="eastAsia" w:ascii="宋体" w:hAnsi="宋体" w:cs="宋体"/>
                <w:b/>
                <w:bCs/>
                <w:kern w:val="0"/>
                <w:szCs w:val="21"/>
              </w:rPr>
            </w:pPr>
            <w:r>
              <w:rPr>
                <w:rFonts w:hint="eastAsia" w:ascii="宋体" w:hAnsi="宋体" w:cs="宋体"/>
                <w:b/>
                <w:bCs/>
                <w:kern w:val="0"/>
                <w:szCs w:val="21"/>
              </w:rPr>
              <w:t>根据安全生产、文明施工、环境保护保证措施、交通组织措施、雨季、施工保证措施进行综合评审：</w:t>
            </w:r>
          </w:p>
          <w:p w14:paraId="79AEA4DF">
            <w:pPr>
              <w:widowControl/>
              <w:spacing w:line="360" w:lineRule="exact"/>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以上范围内容全部涵盖且内容非常详细、十分合理、条理非常清晰</w:t>
            </w:r>
            <w:r>
              <w:rPr>
                <w:rFonts w:hint="eastAsia" w:ascii="宋体" w:hAnsi="宋体" w:cs="宋体"/>
                <w:kern w:val="0"/>
                <w:szCs w:val="21"/>
              </w:rPr>
              <w:t>、措施非常到位完全符合本项目实际需求</w:t>
            </w:r>
            <w:r>
              <w:rPr>
                <w:rFonts w:ascii="宋体" w:hAnsi="宋体" w:cs="宋体"/>
                <w:kern w:val="0"/>
                <w:szCs w:val="21"/>
              </w:rPr>
              <w:t>的得</w:t>
            </w:r>
            <w:r>
              <w:rPr>
                <w:rFonts w:hint="eastAsia" w:ascii="宋体" w:hAnsi="宋体" w:cs="宋体"/>
                <w:kern w:val="0"/>
                <w:szCs w:val="21"/>
              </w:rPr>
              <w:t>6</w:t>
            </w:r>
            <w:r>
              <w:rPr>
                <w:rFonts w:ascii="宋体" w:hAnsi="宋体" w:cs="宋体"/>
                <w:kern w:val="0"/>
                <w:szCs w:val="21"/>
              </w:rPr>
              <w:t>分；</w:t>
            </w:r>
          </w:p>
          <w:p w14:paraId="3BF7EF2E">
            <w:pPr>
              <w:widowControl/>
              <w:spacing w:line="360" w:lineRule="exact"/>
              <w:jc w:val="left"/>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以上范围内容大多数涵盖且内容较详细、较合理、条理较清晰</w:t>
            </w:r>
            <w:r>
              <w:rPr>
                <w:rFonts w:hint="eastAsia" w:ascii="宋体" w:hAnsi="宋体" w:cs="宋体"/>
                <w:kern w:val="0"/>
                <w:szCs w:val="21"/>
              </w:rPr>
              <w:t>、措施到位基本符合本项目实际需求</w:t>
            </w:r>
            <w:r>
              <w:rPr>
                <w:rFonts w:ascii="宋体" w:hAnsi="宋体" w:cs="宋体"/>
                <w:kern w:val="0"/>
                <w:szCs w:val="21"/>
              </w:rPr>
              <w:t>的得</w:t>
            </w:r>
            <w:r>
              <w:rPr>
                <w:rFonts w:hint="eastAsia" w:ascii="宋体" w:hAnsi="宋体" w:cs="宋体"/>
                <w:kern w:val="0"/>
                <w:szCs w:val="21"/>
              </w:rPr>
              <w:t>4.5</w:t>
            </w:r>
            <w:r>
              <w:rPr>
                <w:rFonts w:ascii="宋体" w:hAnsi="宋体" w:cs="宋体"/>
                <w:kern w:val="0"/>
                <w:szCs w:val="21"/>
              </w:rPr>
              <w:t>分</w:t>
            </w:r>
            <w:r>
              <w:rPr>
                <w:rFonts w:hint="eastAsia" w:ascii="宋体" w:hAnsi="宋体" w:cs="宋体"/>
                <w:kern w:val="0"/>
                <w:szCs w:val="21"/>
              </w:rPr>
              <w:t>；</w:t>
            </w:r>
          </w:p>
          <w:p w14:paraId="319F8E67">
            <w:pPr>
              <w:widowControl/>
              <w:spacing w:line="360" w:lineRule="exact"/>
              <w:jc w:val="left"/>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以上范围内容大多数涵盖且内容较详细简单或存在缺陷</w:t>
            </w:r>
            <w:r>
              <w:rPr>
                <w:rFonts w:hint="eastAsia" w:ascii="宋体" w:hAnsi="宋体" w:cs="宋体"/>
                <w:kern w:val="0"/>
                <w:szCs w:val="21"/>
              </w:rPr>
              <w:t>、措施不够到位</w:t>
            </w:r>
            <w:r>
              <w:rPr>
                <w:rFonts w:ascii="宋体" w:hAnsi="宋体" w:cs="宋体"/>
                <w:kern w:val="0"/>
                <w:szCs w:val="21"/>
              </w:rPr>
              <w:t>的得</w:t>
            </w:r>
            <w:r>
              <w:rPr>
                <w:rFonts w:hint="eastAsia" w:ascii="宋体" w:hAnsi="宋体" w:cs="宋体"/>
                <w:kern w:val="0"/>
                <w:szCs w:val="21"/>
              </w:rPr>
              <w:t>3</w:t>
            </w:r>
            <w:r>
              <w:rPr>
                <w:rFonts w:ascii="宋体" w:hAnsi="宋体" w:cs="宋体"/>
                <w:kern w:val="0"/>
                <w:szCs w:val="21"/>
              </w:rPr>
              <w:t>分</w:t>
            </w:r>
            <w:r>
              <w:rPr>
                <w:rFonts w:hint="eastAsia" w:ascii="宋体" w:hAnsi="宋体" w:cs="宋体"/>
                <w:kern w:val="0"/>
                <w:szCs w:val="21"/>
              </w:rPr>
              <w:t>；</w:t>
            </w:r>
          </w:p>
          <w:p w14:paraId="5126E553">
            <w:pPr>
              <w:widowControl/>
              <w:spacing w:line="360" w:lineRule="exact"/>
              <w:jc w:val="left"/>
            </w:pPr>
            <w:r>
              <w:rPr>
                <w:rFonts w:hint="eastAsia" w:ascii="宋体" w:hAnsi="宋体" w:cs="宋体"/>
                <w:kern w:val="0"/>
                <w:szCs w:val="21"/>
              </w:rPr>
              <w:t>4、</w:t>
            </w:r>
            <w:r>
              <w:rPr>
                <w:rFonts w:ascii="宋体" w:hAnsi="宋体" w:cs="宋体"/>
                <w:kern w:val="0"/>
                <w:szCs w:val="21"/>
              </w:rPr>
              <w:t>以上范围内容</w:t>
            </w:r>
            <w:r>
              <w:rPr>
                <w:rFonts w:hint="eastAsia" w:ascii="宋体" w:hAnsi="宋体" w:cs="宋体"/>
                <w:kern w:val="0"/>
                <w:szCs w:val="21"/>
              </w:rPr>
              <w:t>只有少部分</w:t>
            </w:r>
            <w:r>
              <w:rPr>
                <w:rFonts w:ascii="宋体" w:hAnsi="宋体" w:cs="宋体"/>
                <w:kern w:val="0"/>
                <w:szCs w:val="21"/>
              </w:rPr>
              <w:t>涵盖且内容较详细简单或存在缺陷</w:t>
            </w:r>
            <w:r>
              <w:rPr>
                <w:rFonts w:hint="eastAsia" w:ascii="宋体" w:hAnsi="宋体" w:cs="宋体"/>
                <w:kern w:val="0"/>
                <w:szCs w:val="21"/>
              </w:rPr>
              <w:t>、措施不够到位</w:t>
            </w:r>
            <w:r>
              <w:rPr>
                <w:rFonts w:ascii="宋体" w:hAnsi="宋体" w:cs="宋体"/>
                <w:kern w:val="0"/>
                <w:szCs w:val="21"/>
              </w:rPr>
              <w:t>的得</w:t>
            </w:r>
            <w:r>
              <w:rPr>
                <w:rFonts w:hint="eastAsia" w:ascii="宋体" w:hAnsi="宋体" w:cs="宋体"/>
                <w:kern w:val="0"/>
                <w:szCs w:val="21"/>
              </w:rPr>
              <w:t>1.5</w:t>
            </w:r>
            <w:r>
              <w:rPr>
                <w:rFonts w:ascii="宋体" w:hAnsi="宋体" w:cs="宋体"/>
                <w:kern w:val="0"/>
                <w:szCs w:val="21"/>
              </w:rPr>
              <w:t>分</w:t>
            </w:r>
            <w:r>
              <w:rPr>
                <w:rFonts w:hint="eastAsia" w:ascii="宋体" w:hAnsi="宋体" w:cs="宋体"/>
                <w:kern w:val="0"/>
                <w:szCs w:val="21"/>
              </w:rPr>
              <w:t>；</w:t>
            </w:r>
          </w:p>
          <w:p w14:paraId="5C388E2C">
            <w:pPr>
              <w:widowControl/>
              <w:spacing w:line="360" w:lineRule="exact"/>
              <w:jc w:val="left"/>
              <w:rPr>
                <w:rFonts w:hint="eastAsia" w:ascii="Times New Roman" w:hAnsi="宋体" w:eastAsia="宋体" w:cs="宋体"/>
              </w:rPr>
            </w:pPr>
            <w:r>
              <w:rPr>
                <w:rFonts w:hint="eastAsia" w:ascii="宋体" w:hAnsi="宋体" w:cs="宋体"/>
                <w:kern w:val="0"/>
                <w:szCs w:val="21"/>
              </w:rPr>
              <w:t>5、</w:t>
            </w:r>
            <w:r>
              <w:rPr>
                <w:rFonts w:hint="eastAsia" w:asciiTheme="minorEastAsia" w:hAnsiTheme="minorEastAsia"/>
                <w:szCs w:val="21"/>
              </w:rPr>
              <w:t>未提供相关内容或提供的方案内容完全不符合、不满足本项目需求的不得分</w:t>
            </w:r>
            <w:r>
              <w:rPr>
                <w:rFonts w:hint="eastAsia" w:ascii="宋体" w:hAnsi="宋体" w:cs="宋体"/>
                <w:kern w:val="0"/>
                <w:szCs w:val="21"/>
                <w:lang w:val="zh-CN"/>
              </w:rPr>
              <w:t>。</w:t>
            </w:r>
          </w:p>
        </w:tc>
        <w:tc>
          <w:tcPr>
            <w:tcW w:w="711" w:type="dxa"/>
            <w:vAlign w:val="center"/>
          </w:tcPr>
          <w:p w14:paraId="00B312D8">
            <w:pPr>
              <w:spacing w:line="400" w:lineRule="exact"/>
              <w:jc w:val="center"/>
              <w:rPr>
                <w:rFonts w:eastAsiaTheme="majorEastAsia"/>
              </w:rPr>
            </w:pPr>
            <w:r>
              <w:rPr>
                <w:rFonts w:hint="eastAsia" w:ascii="宋体" w:hAnsi="宋体" w:cs="宋体"/>
                <w:b/>
                <w:kern w:val="0"/>
                <w:szCs w:val="21"/>
              </w:rPr>
              <w:t>6分</w:t>
            </w:r>
          </w:p>
        </w:tc>
        <w:tc>
          <w:tcPr>
            <w:tcW w:w="711" w:type="dxa"/>
            <w:vAlign w:val="center"/>
          </w:tcPr>
          <w:p w14:paraId="480644B7">
            <w:pPr>
              <w:spacing w:line="400" w:lineRule="exact"/>
              <w:jc w:val="center"/>
              <w:rPr>
                <w:rFonts w:hint="eastAsia" w:ascii="宋体" w:hAnsi="宋体" w:cs="宋体"/>
                <w:b/>
                <w:kern w:val="0"/>
                <w:szCs w:val="21"/>
              </w:rPr>
            </w:pPr>
          </w:p>
        </w:tc>
      </w:tr>
      <w:tr w14:paraId="071F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7" w:type="dxa"/>
            <w:vMerge w:val="continue"/>
            <w:vAlign w:val="center"/>
          </w:tcPr>
          <w:p w14:paraId="57084678">
            <w:pPr>
              <w:ind w:firstLine="30"/>
              <w:rPr>
                <w:rFonts w:hint="eastAsia" w:asciiTheme="majorEastAsia" w:hAnsiTheme="majorEastAsia" w:eastAsiaTheme="majorEastAsia" w:cstheme="majorEastAsia"/>
                <w:b/>
                <w:szCs w:val="21"/>
              </w:rPr>
            </w:pPr>
          </w:p>
        </w:tc>
        <w:tc>
          <w:tcPr>
            <w:tcW w:w="1217" w:type="dxa"/>
            <w:vAlign w:val="center"/>
          </w:tcPr>
          <w:p w14:paraId="73845410">
            <w:pPr>
              <w:widowControl/>
              <w:spacing w:line="400" w:lineRule="exact"/>
              <w:jc w:val="center"/>
              <w:rPr>
                <w:rFonts w:hint="eastAsia" w:asciiTheme="majorEastAsia" w:hAnsiTheme="majorEastAsia" w:eastAsiaTheme="majorEastAsia" w:cstheme="majorEastAsia"/>
                <w:b/>
                <w:kern w:val="0"/>
                <w:szCs w:val="21"/>
              </w:rPr>
            </w:pPr>
            <w:r>
              <w:rPr>
                <w:rFonts w:hint="eastAsia" w:ascii="Calibri" w:hAnsi="Calibri"/>
                <w:b/>
                <w:szCs w:val="21"/>
              </w:rPr>
              <w:t>进度计划保证措施</w:t>
            </w:r>
            <w:r>
              <w:rPr>
                <w:rFonts w:hint="eastAsia" w:ascii="宋体" w:hAnsi="宋体" w:cs="宋体"/>
                <w:b/>
                <w:szCs w:val="21"/>
              </w:rPr>
              <w:t>(6分)</w:t>
            </w:r>
          </w:p>
        </w:tc>
        <w:tc>
          <w:tcPr>
            <w:tcW w:w="7633" w:type="dxa"/>
            <w:vAlign w:val="center"/>
          </w:tcPr>
          <w:p w14:paraId="3699EE49">
            <w:pPr>
              <w:widowControl/>
              <w:spacing w:line="360" w:lineRule="exact"/>
              <w:jc w:val="left"/>
              <w:rPr>
                <w:rFonts w:hint="eastAsia" w:ascii="宋体" w:hAnsi="宋体" w:cs="宋体"/>
                <w:b/>
                <w:bCs/>
                <w:kern w:val="0"/>
                <w:szCs w:val="21"/>
              </w:rPr>
            </w:pPr>
            <w:r>
              <w:rPr>
                <w:rFonts w:hint="eastAsia" w:ascii="宋体" w:hAnsi="宋体" w:cs="宋体"/>
                <w:b/>
                <w:bCs/>
                <w:kern w:val="0"/>
                <w:szCs w:val="21"/>
              </w:rPr>
              <w:t>根据项目整体工作阶段及任务划分、进度控制是否合理、关键时间节点把握是否科学准确进行评审：</w:t>
            </w:r>
          </w:p>
          <w:p w14:paraId="4A5745C1">
            <w:pPr>
              <w:widowControl/>
              <w:spacing w:line="360" w:lineRule="exact"/>
              <w:jc w:val="left"/>
              <w:rPr>
                <w:rFonts w:hint="eastAsia" w:ascii="宋体" w:hAnsi="宋体" w:cs="宋体"/>
                <w:kern w:val="0"/>
                <w:szCs w:val="21"/>
              </w:rPr>
            </w:pPr>
            <w:r>
              <w:rPr>
                <w:rFonts w:hint="eastAsia" w:ascii="宋体" w:hAnsi="宋体" w:cs="宋体"/>
                <w:kern w:val="0"/>
                <w:szCs w:val="21"/>
              </w:rPr>
              <w:t>1、进度控制合理节点把握科学准确且完全符合本项目实际需求的得6分；</w:t>
            </w:r>
          </w:p>
          <w:p w14:paraId="111BD1C9">
            <w:pPr>
              <w:widowControl/>
              <w:spacing w:line="360" w:lineRule="exact"/>
              <w:jc w:val="left"/>
              <w:rPr>
                <w:rFonts w:hint="eastAsia" w:ascii="宋体" w:hAnsi="宋体" w:cs="宋体"/>
                <w:kern w:val="0"/>
                <w:szCs w:val="21"/>
              </w:rPr>
            </w:pPr>
            <w:r>
              <w:rPr>
                <w:rFonts w:hint="eastAsia" w:ascii="宋体" w:hAnsi="宋体" w:cs="宋体"/>
                <w:kern w:val="0"/>
                <w:szCs w:val="21"/>
              </w:rPr>
              <w:t>2、进度控制节点把握不够详细准确基本符合本项目实际需求得4.5分；</w:t>
            </w:r>
          </w:p>
          <w:p w14:paraId="734BC93C">
            <w:pPr>
              <w:widowControl/>
              <w:spacing w:line="360" w:lineRule="exact"/>
              <w:jc w:val="left"/>
              <w:rPr>
                <w:rFonts w:hint="eastAsia" w:ascii="宋体" w:hAnsi="宋体" w:cs="宋体"/>
                <w:kern w:val="0"/>
                <w:szCs w:val="21"/>
              </w:rPr>
            </w:pPr>
            <w:r>
              <w:rPr>
                <w:rFonts w:hint="eastAsia" w:ascii="宋体" w:hAnsi="宋体" w:cs="宋体"/>
                <w:kern w:val="0"/>
                <w:szCs w:val="21"/>
              </w:rPr>
              <w:t>3、进度控制节点把握一般大部分符合本项目实际需求的得3分；</w:t>
            </w:r>
          </w:p>
          <w:p w14:paraId="3D73EBFF">
            <w:pPr>
              <w:widowControl/>
              <w:spacing w:line="360" w:lineRule="exact"/>
              <w:jc w:val="left"/>
              <w:rPr>
                <w:rFonts w:hint="eastAsia" w:ascii="宋体" w:hAnsi="宋体" w:cs="宋体"/>
                <w:kern w:val="0"/>
                <w:szCs w:val="21"/>
              </w:rPr>
            </w:pPr>
            <w:r>
              <w:rPr>
                <w:rFonts w:hint="eastAsia" w:ascii="宋体" w:hAnsi="宋体" w:cs="宋体"/>
                <w:kern w:val="0"/>
                <w:szCs w:val="21"/>
              </w:rPr>
              <w:t>4、进度控制节点把握较差只有少部分符合本项目实际需求的得1.5分；</w:t>
            </w:r>
          </w:p>
          <w:p w14:paraId="23317061">
            <w:pPr>
              <w:widowControl/>
              <w:spacing w:line="360" w:lineRule="exact"/>
              <w:jc w:val="left"/>
            </w:pPr>
            <w:r>
              <w:rPr>
                <w:rFonts w:hint="eastAsia" w:ascii="宋体" w:hAnsi="宋体" w:cs="宋体"/>
                <w:kern w:val="0"/>
                <w:szCs w:val="21"/>
              </w:rPr>
              <w:t>5、未提供相关内容或提供的方案内容完全不符合、不满足本项目需求的不得分</w:t>
            </w:r>
            <w:r>
              <w:rPr>
                <w:rFonts w:hint="eastAsia" w:ascii="宋体" w:hAnsi="宋体" w:cs="宋体"/>
                <w:kern w:val="0"/>
                <w:szCs w:val="21"/>
                <w:lang w:val="zh-CN"/>
              </w:rPr>
              <w:t>。</w:t>
            </w:r>
          </w:p>
        </w:tc>
        <w:tc>
          <w:tcPr>
            <w:tcW w:w="711" w:type="dxa"/>
            <w:vAlign w:val="center"/>
          </w:tcPr>
          <w:p w14:paraId="3AB0EB71">
            <w:pPr>
              <w:spacing w:line="400" w:lineRule="exact"/>
              <w:jc w:val="center"/>
              <w:rPr>
                <w:rFonts w:eastAsiaTheme="majorEastAsia"/>
              </w:rPr>
            </w:pPr>
            <w:r>
              <w:rPr>
                <w:rFonts w:ascii="宋体" w:hAnsi="宋体" w:cs="宋体"/>
                <w:b/>
                <w:kern w:val="0"/>
                <w:szCs w:val="21"/>
              </w:rPr>
              <w:t>6</w:t>
            </w:r>
            <w:r>
              <w:rPr>
                <w:rFonts w:hint="eastAsia" w:ascii="宋体" w:hAnsi="宋体" w:cs="宋体"/>
                <w:b/>
                <w:kern w:val="0"/>
                <w:szCs w:val="21"/>
              </w:rPr>
              <w:t>分</w:t>
            </w:r>
          </w:p>
        </w:tc>
        <w:tc>
          <w:tcPr>
            <w:tcW w:w="711" w:type="dxa"/>
            <w:vAlign w:val="center"/>
          </w:tcPr>
          <w:p w14:paraId="42D5103B">
            <w:pPr>
              <w:spacing w:line="400" w:lineRule="exact"/>
              <w:jc w:val="center"/>
              <w:rPr>
                <w:rFonts w:ascii="宋体" w:hAnsi="宋体" w:cs="宋体"/>
                <w:b/>
                <w:kern w:val="0"/>
                <w:szCs w:val="21"/>
              </w:rPr>
            </w:pPr>
          </w:p>
        </w:tc>
      </w:tr>
      <w:tr w14:paraId="0AF0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7" w:type="dxa"/>
            <w:vMerge w:val="continue"/>
            <w:vAlign w:val="center"/>
          </w:tcPr>
          <w:p w14:paraId="665D7B6A">
            <w:pPr>
              <w:ind w:firstLine="30"/>
              <w:rPr>
                <w:rFonts w:hint="eastAsia" w:asciiTheme="majorEastAsia" w:hAnsiTheme="majorEastAsia" w:eastAsiaTheme="majorEastAsia" w:cstheme="majorEastAsia"/>
                <w:b/>
                <w:szCs w:val="21"/>
              </w:rPr>
            </w:pPr>
          </w:p>
        </w:tc>
        <w:tc>
          <w:tcPr>
            <w:tcW w:w="1217" w:type="dxa"/>
            <w:vAlign w:val="center"/>
          </w:tcPr>
          <w:p w14:paraId="2B547FBB">
            <w:pPr>
              <w:widowControl/>
              <w:spacing w:line="400" w:lineRule="exact"/>
              <w:jc w:val="center"/>
              <w:rPr>
                <w:rFonts w:ascii="Calibri" w:hAnsi="Calibri"/>
                <w:b/>
                <w:szCs w:val="21"/>
              </w:rPr>
            </w:pPr>
            <w:r>
              <w:rPr>
                <w:rFonts w:hint="eastAsia" w:ascii="Calibri" w:hAnsi="Calibri"/>
                <w:b/>
                <w:szCs w:val="21"/>
              </w:rPr>
              <w:t>质量保证措施</w:t>
            </w:r>
          </w:p>
          <w:p w14:paraId="63B4E3D3">
            <w:pPr>
              <w:widowControl/>
              <w:spacing w:line="400" w:lineRule="exact"/>
              <w:jc w:val="center"/>
              <w:rPr>
                <w:rFonts w:hint="eastAsia" w:asciiTheme="majorEastAsia" w:hAnsiTheme="majorEastAsia" w:eastAsiaTheme="majorEastAsia" w:cstheme="majorEastAsia"/>
                <w:b/>
                <w:kern w:val="0"/>
                <w:szCs w:val="21"/>
              </w:rPr>
            </w:pPr>
            <w:r>
              <w:rPr>
                <w:rFonts w:hint="eastAsia" w:ascii="宋体" w:hAnsi="宋体" w:cs="宋体"/>
                <w:b/>
                <w:szCs w:val="21"/>
              </w:rPr>
              <w:t>(6分)</w:t>
            </w:r>
          </w:p>
        </w:tc>
        <w:tc>
          <w:tcPr>
            <w:tcW w:w="7633" w:type="dxa"/>
            <w:vAlign w:val="center"/>
          </w:tcPr>
          <w:p w14:paraId="2D950D04">
            <w:pPr>
              <w:widowControl/>
              <w:spacing w:line="360" w:lineRule="exact"/>
              <w:jc w:val="left"/>
              <w:rPr>
                <w:rFonts w:hint="eastAsia" w:ascii="宋体" w:hAnsi="宋体" w:cs="宋体"/>
                <w:b/>
                <w:bCs/>
                <w:kern w:val="0"/>
                <w:szCs w:val="21"/>
              </w:rPr>
            </w:pPr>
            <w:r>
              <w:rPr>
                <w:rFonts w:hint="eastAsia" w:ascii="宋体" w:hAnsi="宋体" w:cs="宋体"/>
                <w:b/>
                <w:bCs/>
                <w:kern w:val="0"/>
                <w:szCs w:val="21"/>
              </w:rPr>
              <w:t>项目质量保障措施，施工过程质量应对措施：</w:t>
            </w:r>
          </w:p>
          <w:p w14:paraId="4A21137E">
            <w:pPr>
              <w:widowControl/>
              <w:spacing w:line="360" w:lineRule="exact"/>
              <w:jc w:val="left"/>
              <w:rPr>
                <w:rFonts w:hint="eastAsia" w:ascii="宋体" w:hAnsi="宋体" w:cs="宋体"/>
                <w:kern w:val="0"/>
                <w:szCs w:val="21"/>
              </w:rPr>
            </w:pPr>
            <w:r>
              <w:rPr>
                <w:rFonts w:hint="eastAsia" w:ascii="宋体" w:hAnsi="宋体" w:cs="宋体"/>
                <w:kern w:val="0"/>
                <w:szCs w:val="21"/>
              </w:rPr>
              <w:t>1、质量保证保障措施完备周全，应对措施科学合理且完全符合本项目实际需求的得6分；</w:t>
            </w:r>
          </w:p>
          <w:p w14:paraId="71F595B9">
            <w:pPr>
              <w:widowControl/>
              <w:spacing w:line="360" w:lineRule="exact"/>
              <w:jc w:val="left"/>
              <w:rPr>
                <w:rFonts w:hint="eastAsia" w:ascii="宋体" w:hAnsi="宋体" w:cs="宋体"/>
                <w:kern w:val="0"/>
                <w:szCs w:val="21"/>
              </w:rPr>
            </w:pPr>
            <w:r>
              <w:rPr>
                <w:rFonts w:hint="eastAsia" w:ascii="宋体" w:hAnsi="宋体" w:cs="宋体"/>
                <w:kern w:val="0"/>
                <w:szCs w:val="21"/>
              </w:rPr>
              <w:t>2、质量保证措施完整，应对措施较为完善基本符合本项目实际需求得4.5分；</w:t>
            </w:r>
          </w:p>
          <w:p w14:paraId="757DC8F3">
            <w:pPr>
              <w:widowControl/>
              <w:spacing w:line="360" w:lineRule="exact"/>
              <w:jc w:val="left"/>
              <w:rPr>
                <w:rFonts w:hint="eastAsia" w:ascii="宋体" w:hAnsi="宋体" w:cs="宋体"/>
                <w:kern w:val="0"/>
                <w:szCs w:val="21"/>
              </w:rPr>
            </w:pPr>
            <w:r>
              <w:rPr>
                <w:rFonts w:hint="eastAsia" w:ascii="宋体" w:hAnsi="宋体" w:cs="宋体"/>
                <w:kern w:val="0"/>
                <w:szCs w:val="21"/>
              </w:rPr>
              <w:t>3、质量保证措施一般，应对措施不够完整大部分符合本项目实际需求的得3分；</w:t>
            </w:r>
          </w:p>
          <w:p w14:paraId="7592FE19">
            <w:pPr>
              <w:widowControl/>
              <w:spacing w:line="360" w:lineRule="exact"/>
              <w:jc w:val="left"/>
              <w:rPr>
                <w:rFonts w:hint="eastAsia" w:ascii="宋体" w:hAnsi="宋体" w:cs="宋体"/>
                <w:kern w:val="0"/>
                <w:szCs w:val="21"/>
              </w:rPr>
            </w:pPr>
            <w:r>
              <w:rPr>
                <w:rFonts w:hint="eastAsia" w:ascii="宋体" w:hAnsi="宋体" w:cs="宋体"/>
                <w:kern w:val="0"/>
                <w:szCs w:val="21"/>
              </w:rPr>
              <w:t>4、质量保证措施不完整，应对措施不完整只有少部分符合本项目实际需求的得1.5分；</w:t>
            </w:r>
          </w:p>
          <w:p w14:paraId="232AED9C">
            <w:pPr>
              <w:widowControl/>
              <w:spacing w:line="360" w:lineRule="exact"/>
              <w:jc w:val="left"/>
              <w:rPr>
                <w:rFonts w:hint="eastAsia" w:ascii="Times New Roman" w:hAnsi="宋体" w:eastAsia="宋体" w:cs="宋体"/>
              </w:rPr>
            </w:pPr>
            <w:r>
              <w:rPr>
                <w:rFonts w:hint="eastAsia" w:ascii="宋体" w:hAnsi="宋体" w:cs="宋体"/>
                <w:kern w:val="0"/>
                <w:szCs w:val="21"/>
              </w:rPr>
              <w:t>5、未提供相关内容或提供的方案内容完全不符合、不满足本项目需求的不得分</w:t>
            </w:r>
            <w:r>
              <w:rPr>
                <w:rFonts w:hint="eastAsia" w:ascii="宋体" w:hAnsi="宋体" w:cs="宋体"/>
                <w:kern w:val="0"/>
                <w:szCs w:val="21"/>
                <w:lang w:val="zh-CN"/>
              </w:rPr>
              <w:t>。</w:t>
            </w:r>
          </w:p>
        </w:tc>
        <w:tc>
          <w:tcPr>
            <w:tcW w:w="711" w:type="dxa"/>
            <w:vAlign w:val="center"/>
          </w:tcPr>
          <w:p w14:paraId="40EA3C22">
            <w:pPr>
              <w:spacing w:line="400" w:lineRule="exact"/>
              <w:jc w:val="center"/>
              <w:rPr>
                <w:rFonts w:eastAsiaTheme="majorEastAsia"/>
              </w:rPr>
            </w:pPr>
            <w:r>
              <w:rPr>
                <w:rFonts w:hint="eastAsia" w:ascii="宋体" w:hAnsi="宋体" w:cs="宋体"/>
                <w:b/>
                <w:kern w:val="0"/>
                <w:szCs w:val="21"/>
              </w:rPr>
              <w:t>6分</w:t>
            </w:r>
          </w:p>
        </w:tc>
        <w:tc>
          <w:tcPr>
            <w:tcW w:w="711" w:type="dxa"/>
            <w:vAlign w:val="center"/>
          </w:tcPr>
          <w:p w14:paraId="0D443C91">
            <w:pPr>
              <w:spacing w:line="400" w:lineRule="exact"/>
              <w:jc w:val="center"/>
              <w:rPr>
                <w:rFonts w:hint="eastAsia" w:ascii="宋体" w:hAnsi="宋体" w:cs="宋体"/>
                <w:b/>
                <w:kern w:val="0"/>
                <w:szCs w:val="21"/>
              </w:rPr>
            </w:pPr>
          </w:p>
        </w:tc>
      </w:tr>
      <w:tr w14:paraId="49F5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7" w:type="dxa"/>
            <w:vMerge w:val="continue"/>
            <w:vAlign w:val="center"/>
          </w:tcPr>
          <w:p w14:paraId="4563C7D8">
            <w:pPr>
              <w:ind w:firstLine="30"/>
              <w:rPr>
                <w:rFonts w:hint="eastAsia" w:asciiTheme="majorEastAsia" w:hAnsiTheme="majorEastAsia" w:eastAsiaTheme="majorEastAsia" w:cstheme="majorEastAsia"/>
                <w:b/>
                <w:szCs w:val="21"/>
              </w:rPr>
            </w:pPr>
          </w:p>
        </w:tc>
        <w:tc>
          <w:tcPr>
            <w:tcW w:w="1217" w:type="dxa"/>
            <w:vAlign w:val="center"/>
          </w:tcPr>
          <w:p w14:paraId="1FF675F9">
            <w:pPr>
              <w:widowControl/>
              <w:spacing w:line="400" w:lineRule="exact"/>
              <w:jc w:val="center"/>
              <w:rPr>
                <w:rFonts w:ascii="Calibri" w:hAnsi="Calibri"/>
                <w:b/>
                <w:szCs w:val="21"/>
              </w:rPr>
            </w:pPr>
            <w:r>
              <w:rPr>
                <w:rFonts w:hint="eastAsia" w:ascii="Calibri" w:hAnsi="Calibri"/>
                <w:b/>
                <w:szCs w:val="21"/>
              </w:rPr>
              <w:t xml:space="preserve">应急处置方案及服务保障措施 </w:t>
            </w:r>
          </w:p>
          <w:p w14:paraId="4D189664">
            <w:pPr>
              <w:widowControl/>
              <w:spacing w:line="400" w:lineRule="exact"/>
              <w:jc w:val="center"/>
              <w:rPr>
                <w:rFonts w:hint="eastAsia" w:asciiTheme="majorEastAsia" w:hAnsiTheme="majorEastAsia" w:eastAsiaTheme="majorEastAsia" w:cstheme="majorEastAsia"/>
                <w:b/>
                <w:kern w:val="0"/>
                <w:szCs w:val="21"/>
              </w:rPr>
            </w:pPr>
            <w:r>
              <w:rPr>
                <w:rFonts w:hint="eastAsia" w:ascii="Calibri" w:hAnsi="Calibri"/>
                <w:b/>
                <w:szCs w:val="21"/>
              </w:rPr>
              <w:t xml:space="preserve"> （5分）</w:t>
            </w:r>
          </w:p>
        </w:tc>
        <w:tc>
          <w:tcPr>
            <w:tcW w:w="7633" w:type="dxa"/>
          </w:tcPr>
          <w:p w14:paraId="434E585D">
            <w:pPr>
              <w:widowControl/>
              <w:spacing w:line="360" w:lineRule="exact"/>
              <w:jc w:val="left"/>
              <w:rPr>
                <w:rFonts w:hint="eastAsia" w:ascii="宋体" w:hAnsi="宋体" w:cs="宋体"/>
                <w:kern w:val="0"/>
                <w:szCs w:val="21"/>
              </w:rPr>
            </w:pPr>
            <w:r>
              <w:rPr>
                <w:rFonts w:ascii="宋体" w:hAnsi="宋体" w:cs="宋体"/>
                <w:kern w:val="0"/>
                <w:szCs w:val="21"/>
              </w:rPr>
              <w:t>提供应急预案，并承诺紧急的响应时间。针对后续实际项目实施中可能遇到的紧急事件、异常处理等应急预案、疫情防控预案和对应的解决措施情况进行打分。根据</w:t>
            </w:r>
            <w:r>
              <w:rPr>
                <w:rFonts w:hint="eastAsia" w:ascii="宋体" w:hAnsi="宋体" w:cs="宋体"/>
                <w:kern w:val="0"/>
                <w:szCs w:val="21"/>
              </w:rPr>
              <w:t>供应商</w:t>
            </w:r>
            <w:r>
              <w:rPr>
                <w:rFonts w:ascii="宋体" w:hAnsi="宋体" w:cs="宋体"/>
                <w:kern w:val="0"/>
                <w:szCs w:val="21"/>
              </w:rPr>
              <w:t>的服务承诺，方案等方面进行打分。</w:t>
            </w:r>
          </w:p>
          <w:p w14:paraId="2FA0C00D">
            <w:pPr>
              <w:widowControl/>
              <w:spacing w:line="360" w:lineRule="exact"/>
              <w:jc w:val="left"/>
              <w:rPr>
                <w:rFonts w:hint="eastAsia" w:ascii="Times New Roman" w:hAnsi="宋体" w:eastAsia="宋体" w:cs="宋体"/>
              </w:rPr>
            </w:pPr>
            <w:r>
              <w:rPr>
                <w:rFonts w:hint="eastAsia" w:ascii="Times New Roman" w:hAnsi="宋体" w:eastAsia="宋体" w:cs="宋体"/>
              </w:rPr>
              <w:t>1、应急处理方案十分详细，能有效应对突发性事件，对应解决措施十分完善且完全符合本项目实际情况的得5分；</w:t>
            </w:r>
          </w:p>
          <w:p w14:paraId="44F48B83">
            <w:pPr>
              <w:widowControl/>
              <w:spacing w:line="360" w:lineRule="exact"/>
              <w:jc w:val="left"/>
              <w:rPr>
                <w:rFonts w:hint="eastAsia" w:ascii="Times New Roman" w:hAnsi="宋体" w:eastAsia="宋体" w:cs="宋体"/>
              </w:rPr>
            </w:pPr>
            <w:r>
              <w:rPr>
                <w:rFonts w:hint="eastAsia" w:ascii="Times New Roman" w:hAnsi="宋体" w:eastAsia="宋体" w:cs="宋体"/>
              </w:rPr>
              <w:t>2、应急处理方案基本详细，能有效应对突发性事件，对应解决措施基本完善基本符合本项目实际情况的得3.2分；</w:t>
            </w:r>
          </w:p>
          <w:p w14:paraId="749903CB">
            <w:pPr>
              <w:widowControl/>
              <w:spacing w:line="360" w:lineRule="exact"/>
              <w:jc w:val="left"/>
              <w:rPr>
                <w:rFonts w:hint="eastAsia" w:ascii="Times New Roman" w:hAnsi="宋体" w:eastAsia="宋体" w:cs="宋体"/>
              </w:rPr>
            </w:pPr>
            <w:r>
              <w:rPr>
                <w:rFonts w:hint="eastAsia" w:ascii="Times New Roman" w:hAnsi="宋体" w:eastAsia="宋体" w:cs="宋体"/>
              </w:rPr>
              <w:t>3、应急处理方案不够详细，对应解决措施不够完善，只有部分符合本项目实际情况的得 1.6 分；</w:t>
            </w:r>
          </w:p>
          <w:p w14:paraId="2D336F78">
            <w:pPr>
              <w:widowControl/>
              <w:spacing w:line="360" w:lineRule="exact"/>
              <w:jc w:val="left"/>
              <w:rPr>
                <w:rFonts w:hint="eastAsia" w:ascii="Times New Roman" w:hAnsi="宋体" w:eastAsia="宋体" w:cs="宋体"/>
              </w:rPr>
            </w:pPr>
            <w:r>
              <w:rPr>
                <w:rFonts w:hint="eastAsia" w:ascii="Times New Roman" w:hAnsi="宋体" w:eastAsia="宋体" w:cs="宋体"/>
              </w:rPr>
              <w:t>4、</w:t>
            </w:r>
            <w:r>
              <w:rPr>
                <w:rFonts w:hint="eastAsia" w:ascii="宋体" w:hAnsi="宋体" w:cs="宋体"/>
                <w:kern w:val="0"/>
                <w:szCs w:val="21"/>
              </w:rPr>
              <w:t>未提供相关内容或提供的方案内容完全不符合、不满足本项目需求的不得分。</w:t>
            </w:r>
          </w:p>
        </w:tc>
        <w:tc>
          <w:tcPr>
            <w:tcW w:w="711" w:type="dxa"/>
            <w:vAlign w:val="center"/>
          </w:tcPr>
          <w:p w14:paraId="294817A7">
            <w:pPr>
              <w:spacing w:line="400" w:lineRule="exact"/>
              <w:jc w:val="center"/>
              <w:rPr>
                <w:rFonts w:eastAsiaTheme="majorEastAsia"/>
              </w:rPr>
            </w:pPr>
            <w:r>
              <w:rPr>
                <w:rFonts w:hint="eastAsia" w:ascii="宋体" w:hAnsi="宋体" w:cs="宋体"/>
                <w:b/>
                <w:kern w:val="0"/>
                <w:szCs w:val="21"/>
              </w:rPr>
              <w:t>5分</w:t>
            </w:r>
          </w:p>
        </w:tc>
        <w:tc>
          <w:tcPr>
            <w:tcW w:w="711" w:type="dxa"/>
            <w:vAlign w:val="center"/>
          </w:tcPr>
          <w:p w14:paraId="607C58A5">
            <w:pPr>
              <w:spacing w:line="400" w:lineRule="exact"/>
              <w:jc w:val="center"/>
              <w:rPr>
                <w:rFonts w:hint="eastAsia" w:ascii="宋体" w:hAnsi="宋体" w:cs="宋体"/>
                <w:b/>
                <w:kern w:val="0"/>
                <w:szCs w:val="21"/>
              </w:rPr>
            </w:pPr>
          </w:p>
        </w:tc>
      </w:tr>
      <w:tr w14:paraId="2B79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7" w:type="dxa"/>
            <w:vMerge w:val="continue"/>
            <w:vAlign w:val="center"/>
          </w:tcPr>
          <w:p w14:paraId="5D8A9784">
            <w:pPr>
              <w:ind w:firstLine="30"/>
              <w:rPr>
                <w:rFonts w:hint="eastAsia" w:asciiTheme="majorEastAsia" w:hAnsiTheme="majorEastAsia" w:eastAsiaTheme="majorEastAsia" w:cstheme="majorEastAsia"/>
                <w:b/>
                <w:szCs w:val="21"/>
              </w:rPr>
            </w:pPr>
          </w:p>
        </w:tc>
        <w:tc>
          <w:tcPr>
            <w:tcW w:w="1217" w:type="dxa"/>
            <w:vAlign w:val="center"/>
          </w:tcPr>
          <w:p w14:paraId="28E3905A">
            <w:pPr>
              <w:widowControl/>
              <w:spacing w:line="360" w:lineRule="exact"/>
              <w:jc w:val="center"/>
              <w:rPr>
                <w:rFonts w:ascii="Calibri" w:hAnsi="Calibri"/>
                <w:b/>
                <w:szCs w:val="21"/>
              </w:rPr>
            </w:pPr>
            <w:r>
              <w:rPr>
                <w:rFonts w:hint="eastAsia" w:ascii="Calibri" w:hAnsi="Calibri"/>
                <w:b/>
                <w:szCs w:val="21"/>
              </w:rPr>
              <w:t>质保期</w:t>
            </w:r>
          </w:p>
          <w:p w14:paraId="3D2587AA">
            <w:pPr>
              <w:widowControl/>
              <w:spacing w:line="360" w:lineRule="exact"/>
              <w:jc w:val="center"/>
              <w:rPr>
                <w:rFonts w:ascii="Calibri" w:hAnsi="Calibri"/>
                <w:b/>
                <w:szCs w:val="21"/>
              </w:rPr>
            </w:pPr>
            <w:r>
              <w:rPr>
                <w:rFonts w:hint="eastAsia" w:ascii="Calibri" w:hAnsi="Calibri"/>
                <w:b/>
                <w:szCs w:val="21"/>
              </w:rPr>
              <w:t>承诺</w:t>
            </w:r>
          </w:p>
          <w:p w14:paraId="63D25CB9">
            <w:pPr>
              <w:widowControl/>
              <w:spacing w:line="360" w:lineRule="exact"/>
              <w:jc w:val="center"/>
              <w:rPr>
                <w:rFonts w:ascii="Calibri" w:hAnsi="Calibri"/>
                <w:b/>
                <w:szCs w:val="21"/>
              </w:rPr>
            </w:pPr>
            <w:r>
              <w:rPr>
                <w:rFonts w:hint="eastAsia" w:ascii="Calibri" w:hAnsi="Calibri"/>
                <w:b/>
                <w:szCs w:val="21"/>
              </w:rPr>
              <w:t>（6分）</w:t>
            </w:r>
          </w:p>
          <w:p w14:paraId="183C087D">
            <w:pPr>
              <w:spacing w:line="360" w:lineRule="auto"/>
              <w:jc w:val="center"/>
              <w:rPr>
                <w:rFonts w:hint="eastAsia" w:asciiTheme="majorEastAsia" w:hAnsiTheme="majorEastAsia" w:eastAsiaTheme="majorEastAsia" w:cstheme="majorEastAsia"/>
                <w:b/>
                <w:kern w:val="0"/>
                <w:szCs w:val="21"/>
              </w:rPr>
            </w:pPr>
          </w:p>
        </w:tc>
        <w:tc>
          <w:tcPr>
            <w:tcW w:w="7633" w:type="dxa"/>
            <w:vAlign w:val="center"/>
          </w:tcPr>
          <w:p w14:paraId="521E70BC">
            <w:pPr>
              <w:spacing w:line="360" w:lineRule="exact"/>
              <w:rPr>
                <w:rFonts w:hint="eastAsia" w:ascii="宋体" w:hAnsi="宋体" w:cs="宋体"/>
                <w:b/>
                <w:bCs/>
                <w:kern w:val="0"/>
                <w:szCs w:val="21"/>
                <w:lang w:val="zh-CN"/>
              </w:rPr>
            </w:pPr>
            <w:r>
              <w:rPr>
                <w:rFonts w:hint="eastAsia" w:ascii="宋体" w:hAnsi="宋体" w:cs="宋体"/>
                <w:b/>
                <w:bCs/>
                <w:kern w:val="0"/>
                <w:szCs w:val="21"/>
                <w:lang w:val="zh-CN"/>
              </w:rPr>
              <w:t>投标供应商根据工程交付使用后的维护需求拟定保修服务方案，提供后期免费维修承诺，根据维修方案是否及时、完整合理、长效可行进行综合评审：</w:t>
            </w:r>
          </w:p>
          <w:p w14:paraId="74D7C784">
            <w:pPr>
              <w:spacing w:line="360" w:lineRule="exact"/>
              <w:rPr>
                <w:rFonts w:hint="eastAsia" w:ascii="宋体" w:hAnsi="宋体" w:cs="宋体"/>
                <w:kern w:val="0"/>
                <w:szCs w:val="21"/>
                <w:lang w:val="zh-CN"/>
              </w:rPr>
            </w:pPr>
            <w:r>
              <w:rPr>
                <w:rFonts w:hint="eastAsia" w:ascii="宋体" w:hAnsi="宋体" w:cs="宋体"/>
                <w:kern w:val="0"/>
                <w:szCs w:val="21"/>
              </w:rPr>
              <w:t>1、</w:t>
            </w:r>
            <w:r>
              <w:rPr>
                <w:rFonts w:hint="eastAsia" w:ascii="宋体" w:hAnsi="宋体" w:cs="宋体"/>
                <w:kern w:val="0"/>
                <w:szCs w:val="21"/>
                <w:lang w:val="zh-CN"/>
              </w:rPr>
              <w:t>维修响应时间≤1.5小时，质保服务方案长效可行的得</w:t>
            </w:r>
            <w:r>
              <w:rPr>
                <w:rFonts w:hint="eastAsia" w:ascii="宋体" w:hAnsi="宋体" w:cs="宋体"/>
                <w:kern w:val="0"/>
                <w:szCs w:val="21"/>
              </w:rPr>
              <w:t>6</w:t>
            </w:r>
            <w:r>
              <w:rPr>
                <w:rFonts w:hint="eastAsia" w:ascii="宋体" w:hAnsi="宋体" w:cs="宋体"/>
                <w:kern w:val="0"/>
                <w:szCs w:val="21"/>
                <w:lang w:val="zh-CN"/>
              </w:rPr>
              <w:t>分；</w:t>
            </w:r>
          </w:p>
          <w:p w14:paraId="150E1063">
            <w:pPr>
              <w:spacing w:line="360" w:lineRule="exact"/>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维修响应时间≤1.5小时、质保服务方案长效可行但承诺不够具体的得</w:t>
            </w:r>
            <w:r>
              <w:rPr>
                <w:rFonts w:hint="eastAsia" w:ascii="宋体" w:hAnsi="宋体" w:cs="宋体"/>
                <w:kern w:val="0"/>
                <w:szCs w:val="21"/>
              </w:rPr>
              <w:t>4.5</w:t>
            </w:r>
            <w:r>
              <w:rPr>
                <w:rFonts w:hint="eastAsia" w:ascii="宋体" w:hAnsi="宋体" w:cs="宋体"/>
                <w:kern w:val="0"/>
                <w:szCs w:val="21"/>
                <w:lang w:val="zh-CN"/>
              </w:rPr>
              <w:t>分；</w:t>
            </w:r>
          </w:p>
          <w:p w14:paraId="57975C23">
            <w:pPr>
              <w:spacing w:line="360" w:lineRule="exact"/>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维修响应时间＞1.5小时、质保服务方案合理有可操作性的得</w:t>
            </w:r>
            <w:r>
              <w:rPr>
                <w:rFonts w:hint="eastAsia" w:ascii="宋体" w:hAnsi="宋体" w:cs="宋体"/>
                <w:kern w:val="0"/>
                <w:szCs w:val="21"/>
              </w:rPr>
              <w:t>2</w:t>
            </w:r>
            <w:r>
              <w:rPr>
                <w:rFonts w:hint="eastAsia" w:ascii="宋体" w:hAnsi="宋体" w:cs="宋体"/>
                <w:kern w:val="0"/>
                <w:szCs w:val="21"/>
                <w:lang w:val="zh-CN"/>
              </w:rPr>
              <w:t>分，</w:t>
            </w:r>
          </w:p>
          <w:p w14:paraId="64B69111">
            <w:pPr>
              <w:autoSpaceDE w:val="0"/>
              <w:autoSpaceDN w:val="0"/>
              <w:adjustRightInd w:val="0"/>
              <w:spacing w:line="360" w:lineRule="exact"/>
              <w:rPr>
                <w:rFonts w:hint="eastAsia" w:ascii="宋体" w:hAnsi="宋体" w:cs="宋体"/>
                <w:kern w:val="0"/>
                <w:szCs w:val="21"/>
                <w:lang w:val="zh-CN"/>
              </w:rPr>
            </w:pPr>
            <w:r>
              <w:rPr>
                <w:rFonts w:hint="eastAsia" w:ascii="宋体" w:hAnsi="宋体" w:cs="宋体"/>
                <w:kern w:val="0"/>
                <w:szCs w:val="21"/>
              </w:rPr>
              <w:t>4、</w:t>
            </w:r>
            <w:r>
              <w:rPr>
                <w:rFonts w:hint="eastAsia" w:ascii="宋体" w:hAnsi="宋体" w:cs="宋体"/>
                <w:kern w:val="0"/>
                <w:szCs w:val="21"/>
                <w:lang w:val="zh-CN"/>
              </w:rPr>
              <w:t>维修响应时间＞1.5小时、质保服务方案操作性较低且无实质性承诺的得</w:t>
            </w:r>
            <w:r>
              <w:rPr>
                <w:rFonts w:hint="eastAsia" w:ascii="宋体" w:hAnsi="宋体" w:cs="宋体"/>
                <w:kern w:val="0"/>
                <w:szCs w:val="21"/>
              </w:rPr>
              <w:t>1.5</w:t>
            </w:r>
            <w:r>
              <w:rPr>
                <w:rFonts w:hint="eastAsia" w:ascii="宋体" w:hAnsi="宋体" w:cs="宋体"/>
                <w:kern w:val="0"/>
                <w:szCs w:val="21"/>
                <w:lang w:val="zh-CN"/>
              </w:rPr>
              <w:t xml:space="preserve">分。      </w:t>
            </w:r>
          </w:p>
          <w:p w14:paraId="4AE817A9">
            <w:pPr>
              <w:autoSpaceDE w:val="0"/>
              <w:autoSpaceDN w:val="0"/>
              <w:adjustRightInd w:val="0"/>
              <w:spacing w:line="360" w:lineRule="exact"/>
              <w:rPr>
                <w:rFonts w:hint="eastAsia" w:ascii="宋体" w:hAnsi="宋体" w:cs="宋体"/>
                <w:kern w:val="0"/>
                <w:szCs w:val="21"/>
              </w:rPr>
            </w:pPr>
            <w:r>
              <w:rPr>
                <w:rFonts w:hint="eastAsia" w:ascii="宋体" w:hAnsi="宋体" w:cs="宋体"/>
                <w:kern w:val="0"/>
                <w:szCs w:val="21"/>
              </w:rPr>
              <w:t>5、</w:t>
            </w:r>
            <w:r>
              <w:rPr>
                <w:rFonts w:hint="eastAsia" w:ascii="宋体" w:hAnsi="宋体" w:cs="宋体"/>
                <w:kern w:val="0"/>
                <w:szCs w:val="21"/>
                <w:lang w:val="zh-CN"/>
              </w:rPr>
              <w:t>未提供不得分。</w:t>
            </w:r>
          </w:p>
        </w:tc>
        <w:tc>
          <w:tcPr>
            <w:tcW w:w="711" w:type="dxa"/>
            <w:vAlign w:val="center"/>
          </w:tcPr>
          <w:p w14:paraId="44E08A1B">
            <w:pPr>
              <w:spacing w:line="400" w:lineRule="exact"/>
              <w:jc w:val="center"/>
              <w:rPr>
                <w:rFonts w:hint="eastAsia" w:ascii="宋体" w:hAnsi="宋体" w:cs="宋体"/>
                <w:b/>
                <w:kern w:val="0"/>
                <w:szCs w:val="21"/>
              </w:rPr>
            </w:pPr>
            <w:r>
              <w:rPr>
                <w:rFonts w:hint="eastAsia" w:ascii="宋体" w:hAnsi="宋体" w:cs="宋体"/>
                <w:b/>
                <w:kern w:val="0"/>
                <w:szCs w:val="21"/>
              </w:rPr>
              <w:t>6分</w:t>
            </w:r>
          </w:p>
        </w:tc>
        <w:tc>
          <w:tcPr>
            <w:tcW w:w="711" w:type="dxa"/>
            <w:vAlign w:val="center"/>
          </w:tcPr>
          <w:p w14:paraId="7377704D">
            <w:pPr>
              <w:spacing w:line="400" w:lineRule="exact"/>
              <w:jc w:val="center"/>
              <w:rPr>
                <w:rFonts w:hint="eastAsia" w:ascii="宋体" w:hAnsi="宋体" w:cs="宋体"/>
                <w:b/>
                <w:kern w:val="0"/>
                <w:szCs w:val="21"/>
              </w:rPr>
            </w:pPr>
          </w:p>
        </w:tc>
      </w:tr>
      <w:tr w14:paraId="5C5A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7" w:type="dxa"/>
            <w:vMerge w:val="continue"/>
            <w:vAlign w:val="center"/>
          </w:tcPr>
          <w:p w14:paraId="44582740">
            <w:pPr>
              <w:ind w:firstLine="30"/>
              <w:rPr>
                <w:rFonts w:hint="eastAsia" w:asciiTheme="majorEastAsia" w:hAnsiTheme="majorEastAsia" w:eastAsiaTheme="majorEastAsia" w:cstheme="majorEastAsia"/>
                <w:b/>
                <w:szCs w:val="21"/>
              </w:rPr>
            </w:pPr>
          </w:p>
        </w:tc>
        <w:tc>
          <w:tcPr>
            <w:tcW w:w="1217" w:type="dxa"/>
            <w:vAlign w:val="center"/>
          </w:tcPr>
          <w:p w14:paraId="04E699FF">
            <w:pPr>
              <w:widowControl/>
              <w:spacing w:line="360" w:lineRule="exact"/>
              <w:jc w:val="center"/>
              <w:rPr>
                <w:rFonts w:ascii="Calibri" w:hAnsi="Calibri"/>
                <w:b/>
                <w:szCs w:val="21"/>
              </w:rPr>
            </w:pPr>
            <w:r>
              <w:rPr>
                <w:rFonts w:hint="eastAsia" w:ascii="Calibri" w:hAnsi="Calibri"/>
                <w:b/>
                <w:szCs w:val="21"/>
              </w:rPr>
              <w:t>售后服务</w:t>
            </w:r>
          </w:p>
          <w:p w14:paraId="1DAE73A7">
            <w:pPr>
              <w:widowControl/>
              <w:spacing w:line="360" w:lineRule="exact"/>
              <w:jc w:val="center"/>
              <w:rPr>
                <w:rFonts w:ascii="Calibri" w:hAnsi="Calibri"/>
                <w:b/>
                <w:szCs w:val="21"/>
              </w:rPr>
            </w:pPr>
            <w:r>
              <w:rPr>
                <w:rFonts w:hint="eastAsia" w:ascii="Calibri" w:hAnsi="Calibri"/>
                <w:b/>
                <w:szCs w:val="21"/>
              </w:rPr>
              <w:t>（3分）</w:t>
            </w:r>
          </w:p>
          <w:p w14:paraId="489780FE">
            <w:pPr>
              <w:autoSpaceDE w:val="0"/>
              <w:autoSpaceDN w:val="0"/>
              <w:adjustRightInd w:val="0"/>
              <w:jc w:val="center"/>
              <w:rPr>
                <w:rFonts w:hint="eastAsia" w:asciiTheme="majorEastAsia" w:hAnsiTheme="majorEastAsia" w:eastAsiaTheme="majorEastAsia" w:cstheme="majorEastAsia"/>
                <w:b/>
                <w:kern w:val="0"/>
                <w:szCs w:val="21"/>
              </w:rPr>
            </w:pPr>
          </w:p>
        </w:tc>
        <w:tc>
          <w:tcPr>
            <w:tcW w:w="7633" w:type="dxa"/>
            <w:vAlign w:val="center"/>
          </w:tcPr>
          <w:p w14:paraId="773C7A5E">
            <w:pPr>
              <w:widowControl/>
              <w:tabs>
                <w:tab w:val="right" w:pos="4937"/>
              </w:tabs>
              <w:spacing w:line="360" w:lineRule="exact"/>
              <w:jc w:val="left"/>
              <w:textAlignment w:val="baseline"/>
              <w:rPr>
                <w:rFonts w:hint="eastAsia" w:ascii="宋体" w:hAnsi="宋体" w:cs="宋体"/>
                <w:szCs w:val="21"/>
              </w:rPr>
            </w:pPr>
            <w:r>
              <w:rPr>
                <w:rFonts w:hint="eastAsia" w:ascii="宋体" w:hAnsi="宋体" w:cs="宋体"/>
                <w:szCs w:val="21"/>
              </w:rPr>
              <w:t>根据投标人承诺提供的售后服务方案（服务能力、服务措施、保修服务承诺等方面）情况，包括服务承诺的可行性、完整性以及后续的技术实施保障措施等进行打分。</w:t>
            </w:r>
          </w:p>
          <w:p w14:paraId="662F7024">
            <w:pPr>
              <w:widowControl/>
              <w:tabs>
                <w:tab w:val="right" w:pos="4937"/>
              </w:tabs>
              <w:spacing w:line="360" w:lineRule="exact"/>
              <w:jc w:val="left"/>
              <w:textAlignment w:val="baseline"/>
              <w:rPr>
                <w:rFonts w:hint="eastAsia" w:ascii="宋体" w:hAnsi="宋体" w:cs="宋体"/>
                <w:szCs w:val="21"/>
              </w:rPr>
            </w:pPr>
            <w:r>
              <w:rPr>
                <w:rFonts w:hint="eastAsia" w:ascii="宋体" w:hAnsi="宋体" w:cs="宋体"/>
                <w:szCs w:val="21"/>
              </w:rPr>
              <w:t>1、服务方案全面、后续技术保障措施可行性强的得3分；</w:t>
            </w:r>
          </w:p>
          <w:p w14:paraId="44EE08FE">
            <w:pPr>
              <w:widowControl/>
              <w:tabs>
                <w:tab w:val="right" w:pos="4937"/>
              </w:tabs>
              <w:spacing w:line="360" w:lineRule="exact"/>
              <w:jc w:val="left"/>
              <w:textAlignment w:val="baseline"/>
              <w:rPr>
                <w:rFonts w:hint="eastAsia" w:ascii="宋体" w:hAnsi="宋体" w:cs="宋体"/>
                <w:szCs w:val="21"/>
              </w:rPr>
            </w:pPr>
            <w:r>
              <w:rPr>
                <w:rFonts w:hint="eastAsia" w:ascii="宋体" w:hAnsi="宋体" w:cs="宋体"/>
                <w:szCs w:val="21"/>
              </w:rPr>
              <w:t>2、服务方案阐述较详尽，后续技术保障措施可行性一般的得2分；</w:t>
            </w:r>
          </w:p>
          <w:p w14:paraId="7ADBD209">
            <w:pPr>
              <w:widowControl/>
              <w:tabs>
                <w:tab w:val="right" w:pos="4937"/>
              </w:tabs>
              <w:spacing w:line="360" w:lineRule="exact"/>
              <w:jc w:val="left"/>
              <w:textAlignment w:val="baseline"/>
              <w:rPr>
                <w:rFonts w:hint="eastAsia" w:ascii="宋体" w:hAnsi="宋体" w:cs="宋体"/>
                <w:szCs w:val="21"/>
              </w:rPr>
            </w:pPr>
            <w:r>
              <w:rPr>
                <w:rFonts w:hint="eastAsia" w:ascii="宋体" w:hAnsi="宋体" w:cs="宋体"/>
                <w:szCs w:val="21"/>
              </w:rPr>
              <w:t>3、服务方案阐述较详尽，后续技术保障措施可行性差的得1分；</w:t>
            </w:r>
          </w:p>
          <w:p w14:paraId="5E159456">
            <w:pPr>
              <w:widowControl/>
              <w:tabs>
                <w:tab w:val="right" w:pos="4937"/>
              </w:tabs>
              <w:spacing w:line="360" w:lineRule="exact"/>
              <w:jc w:val="left"/>
              <w:textAlignment w:val="baseline"/>
              <w:rPr>
                <w:rFonts w:hint="eastAsia" w:ascii="Times New Roman" w:hAnsi="宋体" w:eastAsia="宋体" w:cs="宋体"/>
              </w:rPr>
            </w:pPr>
            <w:r>
              <w:rPr>
                <w:rFonts w:hint="eastAsia" w:ascii="宋体" w:hAnsi="宋体" w:cs="宋体"/>
                <w:kern w:val="0"/>
                <w:szCs w:val="21"/>
              </w:rPr>
              <w:t>4、未提供相关内容或提供的方案内容完全不符合、不满足本项目需求的不得分。</w:t>
            </w:r>
          </w:p>
        </w:tc>
        <w:tc>
          <w:tcPr>
            <w:tcW w:w="711" w:type="dxa"/>
            <w:vAlign w:val="center"/>
          </w:tcPr>
          <w:p w14:paraId="7CE884D3">
            <w:pPr>
              <w:spacing w:line="360" w:lineRule="auto"/>
              <w:jc w:val="center"/>
              <w:rPr>
                <w:rFonts w:eastAsiaTheme="majorEastAsia"/>
              </w:rPr>
            </w:pPr>
            <w:r>
              <w:rPr>
                <w:rFonts w:hint="eastAsia" w:asciiTheme="majorEastAsia" w:hAnsiTheme="majorEastAsia" w:eastAsiaTheme="majorEastAsia" w:cstheme="majorEastAsia"/>
                <w:b/>
                <w:szCs w:val="21"/>
              </w:rPr>
              <w:t>0-3</w:t>
            </w:r>
          </w:p>
        </w:tc>
        <w:tc>
          <w:tcPr>
            <w:tcW w:w="711" w:type="dxa"/>
            <w:vAlign w:val="center"/>
          </w:tcPr>
          <w:p w14:paraId="1C8F5155">
            <w:pPr>
              <w:spacing w:line="360" w:lineRule="auto"/>
              <w:jc w:val="center"/>
              <w:rPr>
                <w:rFonts w:hint="eastAsia" w:asciiTheme="majorEastAsia" w:hAnsiTheme="majorEastAsia" w:eastAsiaTheme="majorEastAsia" w:cstheme="majorEastAsia"/>
                <w:b/>
                <w:szCs w:val="21"/>
              </w:rPr>
            </w:pPr>
          </w:p>
        </w:tc>
      </w:tr>
    </w:tbl>
    <w:p w14:paraId="511A15E5">
      <w:pPr>
        <w:ind w:firstLine="30"/>
      </w:pPr>
      <w:r>
        <w:rPr>
          <w:rFonts w:hint="eastAsia"/>
          <w:b/>
        </w:rPr>
        <w:t>注：</w:t>
      </w:r>
      <w:r>
        <w:rPr>
          <w:rFonts w:hint="eastAsia"/>
        </w:rPr>
        <w:t>1、各磋商小组成员自行按以上参考分值评分。</w:t>
      </w:r>
    </w:p>
    <w:p w14:paraId="70C6D339">
      <w:r>
        <w:rPr>
          <w:rFonts w:hint="eastAsia"/>
        </w:rPr>
        <w:t>磋商小组成员签名：</w:t>
      </w:r>
    </w:p>
    <w:p w14:paraId="16A2142A">
      <w:pPr>
        <w:jc w:val="right"/>
      </w:pPr>
      <w:r>
        <w:rPr>
          <w:rFonts w:hint="eastAsia"/>
        </w:rPr>
        <w:t>年  月  日</w:t>
      </w:r>
    </w:p>
    <w:p w14:paraId="62EC5CCF">
      <w:pPr>
        <w:pageBreakBefore/>
        <w:autoSpaceDN w:val="0"/>
        <w:spacing w:line="440" w:lineRule="exact"/>
        <w:rPr>
          <w:rFonts w:hint="eastAsia" w:ascii="宋体" w:hAnsi="宋体" w:eastAsia="宋体" w:cs="宋体"/>
        </w:rPr>
      </w:pPr>
      <w:r>
        <w:rPr>
          <w:rFonts w:hint="eastAsia" w:ascii="宋体" w:hAnsi="宋体" w:eastAsia="宋体" w:cs="宋体"/>
          <w:szCs w:val="21"/>
        </w:rPr>
        <w:t>附表4</w:t>
      </w:r>
    </w:p>
    <w:p w14:paraId="20B14AF7">
      <w:pPr>
        <w:widowControl/>
        <w:autoSpaceDN w:val="0"/>
        <w:snapToGrid w:val="0"/>
        <w:spacing w:line="560" w:lineRule="exact"/>
        <w:jc w:val="center"/>
        <w:rPr>
          <w:rFonts w:hint="eastAsia" w:ascii="宋体" w:hAnsi="宋体" w:eastAsia="宋体" w:cs="宋体"/>
        </w:rPr>
      </w:pPr>
      <w:r>
        <w:rPr>
          <w:rFonts w:hint="eastAsia" w:ascii="宋体" w:hAnsi="宋体" w:eastAsia="宋体" w:cs="宋体"/>
          <w:b/>
          <w:szCs w:val="21"/>
        </w:rPr>
        <w:t>报价审查表</w:t>
      </w:r>
    </w:p>
    <w:tbl>
      <w:tblPr>
        <w:tblStyle w:val="25"/>
        <w:tblW w:w="88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0"/>
        <w:gridCol w:w="5859"/>
        <w:gridCol w:w="2296"/>
      </w:tblGrid>
      <w:tr w14:paraId="75E2C0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4C95B06F">
            <w:pPr>
              <w:autoSpaceDN w:val="0"/>
              <w:spacing w:line="400" w:lineRule="exact"/>
              <w:jc w:val="center"/>
              <w:rPr>
                <w:rFonts w:hint="eastAsia" w:ascii="宋体" w:hAnsi="宋体" w:eastAsia="宋体" w:cs="宋体"/>
              </w:rPr>
            </w:pPr>
            <w:r>
              <w:rPr>
                <w:rFonts w:hint="eastAsia" w:ascii="宋体" w:hAnsi="宋体" w:eastAsia="宋体" w:cs="宋体"/>
                <w:b/>
                <w:szCs w:val="21"/>
              </w:rPr>
              <w:t>序号</w:t>
            </w:r>
          </w:p>
        </w:tc>
        <w:tc>
          <w:tcPr>
            <w:tcW w:w="5859" w:type="dxa"/>
            <w:tcBorders>
              <w:top w:val="single" w:color="auto" w:sz="4" w:space="0"/>
              <w:left w:val="single" w:color="auto" w:sz="4" w:space="0"/>
              <w:bottom w:val="single" w:color="auto" w:sz="4" w:space="0"/>
              <w:right w:val="single" w:color="auto" w:sz="4" w:space="0"/>
            </w:tcBorders>
            <w:vAlign w:val="center"/>
          </w:tcPr>
          <w:p w14:paraId="259E6FD6">
            <w:pPr>
              <w:autoSpaceDN w:val="0"/>
              <w:spacing w:line="360" w:lineRule="exact"/>
              <w:jc w:val="center"/>
              <w:rPr>
                <w:rFonts w:hint="eastAsia" w:ascii="宋体" w:hAnsi="宋体" w:eastAsia="宋体" w:cs="宋体"/>
              </w:rPr>
            </w:pPr>
            <w:r>
              <w:rPr>
                <w:rFonts w:hint="eastAsia" w:ascii="宋体" w:hAnsi="宋体" w:eastAsia="宋体" w:cs="宋体"/>
                <w:b/>
                <w:szCs w:val="21"/>
              </w:rPr>
              <w:t>要求说明</w:t>
            </w:r>
          </w:p>
        </w:tc>
        <w:tc>
          <w:tcPr>
            <w:tcW w:w="2296" w:type="dxa"/>
            <w:tcBorders>
              <w:top w:val="single" w:color="auto" w:sz="4" w:space="0"/>
              <w:left w:val="single" w:color="auto" w:sz="4" w:space="0"/>
              <w:bottom w:val="single" w:color="auto" w:sz="4" w:space="0"/>
              <w:right w:val="single" w:color="auto" w:sz="4" w:space="0"/>
            </w:tcBorders>
            <w:vAlign w:val="center"/>
          </w:tcPr>
          <w:p w14:paraId="4A353298">
            <w:pPr>
              <w:autoSpaceDN w:val="0"/>
              <w:spacing w:line="360" w:lineRule="exact"/>
              <w:jc w:val="center"/>
              <w:rPr>
                <w:rFonts w:hint="eastAsia" w:ascii="宋体" w:hAnsi="宋体" w:eastAsia="宋体" w:cs="宋体"/>
              </w:rPr>
            </w:pPr>
            <w:r>
              <w:rPr>
                <w:rFonts w:hint="eastAsia" w:ascii="宋体" w:hAnsi="宋体" w:eastAsia="宋体" w:cs="宋体"/>
                <w:b/>
                <w:szCs w:val="21"/>
              </w:rPr>
              <w:t>审查要求</w:t>
            </w:r>
          </w:p>
        </w:tc>
      </w:tr>
      <w:tr w14:paraId="373EE9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6FF825C">
            <w:pPr>
              <w:autoSpaceDN w:val="0"/>
              <w:spacing w:line="400" w:lineRule="exact"/>
              <w:jc w:val="center"/>
              <w:rPr>
                <w:rFonts w:hint="eastAsia" w:ascii="宋体" w:hAnsi="宋体" w:eastAsia="宋体" w:cs="宋体"/>
              </w:rPr>
            </w:pPr>
            <w:r>
              <w:rPr>
                <w:rFonts w:hint="eastAsia" w:ascii="宋体" w:hAnsi="宋体" w:eastAsia="宋体" w:cs="宋体"/>
                <w:szCs w:val="21"/>
              </w:rPr>
              <w:t>1</w:t>
            </w:r>
          </w:p>
        </w:tc>
        <w:tc>
          <w:tcPr>
            <w:tcW w:w="5859" w:type="dxa"/>
            <w:tcBorders>
              <w:top w:val="single" w:color="auto" w:sz="4" w:space="0"/>
              <w:left w:val="single" w:color="auto" w:sz="4" w:space="0"/>
              <w:bottom w:val="single" w:color="auto" w:sz="4" w:space="0"/>
              <w:right w:val="single" w:color="auto" w:sz="4" w:space="0"/>
            </w:tcBorders>
          </w:tcPr>
          <w:p w14:paraId="6338BC24">
            <w:pPr>
              <w:autoSpaceDN w:val="0"/>
              <w:spacing w:line="400" w:lineRule="exact"/>
              <w:jc w:val="left"/>
              <w:rPr>
                <w:rFonts w:hint="eastAsia" w:ascii="宋体" w:hAnsi="宋体" w:eastAsia="宋体" w:cs="宋体"/>
              </w:rPr>
            </w:pPr>
            <w:r>
              <w:rPr>
                <w:rFonts w:hint="eastAsia" w:ascii="宋体" w:hAnsi="宋体" w:eastAsia="宋体" w:cs="宋体"/>
                <w:b/>
                <w:szCs w:val="21"/>
              </w:rPr>
              <w:t>▲</w:t>
            </w:r>
            <w:r>
              <w:rPr>
                <w:rFonts w:hint="eastAsia" w:ascii="宋体" w:hAnsi="宋体" w:eastAsia="宋体" w:cs="宋体"/>
                <w:szCs w:val="21"/>
              </w:rPr>
              <w:t>本项目最高限价为</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3890873</w:t>
            </w:r>
            <w:r>
              <w:rPr>
                <w:rFonts w:hint="eastAsia" w:ascii="宋体" w:hAnsi="宋体" w:eastAsia="宋体" w:cs="宋体"/>
                <w:szCs w:val="21"/>
                <w:u w:val="single"/>
              </w:rPr>
              <w:t xml:space="preserve">    元</w:t>
            </w:r>
            <w:r>
              <w:rPr>
                <w:rFonts w:hint="eastAsia" w:ascii="宋体" w:hAnsi="宋体" w:eastAsia="宋体" w:cs="宋体"/>
                <w:szCs w:val="21"/>
              </w:rPr>
              <w:t>，磋商报价（</w:t>
            </w:r>
            <w:r>
              <w:rPr>
                <w:rFonts w:hint="eastAsia" w:ascii="宋体" w:hAnsi="宋体" w:eastAsia="宋体" w:cs="宋体"/>
                <w:szCs w:val="21"/>
                <w:lang w:eastAsia="zh-CN"/>
              </w:rPr>
              <w:t>最终报价</w:t>
            </w:r>
            <w:r>
              <w:rPr>
                <w:rFonts w:hint="eastAsia" w:ascii="宋体" w:hAnsi="宋体" w:eastAsia="宋体" w:cs="宋体"/>
                <w:szCs w:val="21"/>
              </w:rPr>
              <w:t>）超过最高限价的作无效报价处理。</w:t>
            </w:r>
          </w:p>
        </w:tc>
        <w:tc>
          <w:tcPr>
            <w:tcW w:w="2296" w:type="dxa"/>
            <w:tcBorders>
              <w:top w:val="single" w:color="auto" w:sz="4" w:space="0"/>
              <w:left w:val="single" w:color="auto" w:sz="4" w:space="0"/>
              <w:bottom w:val="single" w:color="auto" w:sz="4" w:space="0"/>
              <w:right w:val="single" w:color="auto" w:sz="4" w:space="0"/>
            </w:tcBorders>
            <w:vAlign w:val="center"/>
          </w:tcPr>
          <w:p w14:paraId="12969E2D">
            <w:pPr>
              <w:autoSpaceDN w:val="0"/>
              <w:spacing w:line="400" w:lineRule="exact"/>
              <w:rPr>
                <w:rFonts w:hint="eastAsia" w:ascii="宋体" w:hAnsi="宋体" w:eastAsia="宋体" w:cs="宋体"/>
              </w:rPr>
            </w:pPr>
            <w:r>
              <w:rPr>
                <w:rFonts w:hint="eastAsia" w:ascii="宋体" w:hAnsi="宋体" w:eastAsia="宋体" w:cs="宋体"/>
                <w:szCs w:val="21"/>
              </w:rPr>
              <w:t>提供“报价一览表”。</w:t>
            </w:r>
          </w:p>
        </w:tc>
      </w:tr>
      <w:tr w14:paraId="66224F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39C6C4A">
            <w:pPr>
              <w:autoSpaceDN w:val="0"/>
              <w:spacing w:line="400" w:lineRule="exact"/>
              <w:jc w:val="center"/>
              <w:rPr>
                <w:rFonts w:hint="eastAsia" w:ascii="宋体" w:hAnsi="宋体" w:eastAsia="宋体" w:cs="宋体"/>
              </w:rPr>
            </w:pPr>
            <w:r>
              <w:rPr>
                <w:rFonts w:hint="eastAsia" w:ascii="宋体" w:hAnsi="宋体" w:eastAsia="宋体" w:cs="宋体"/>
                <w:szCs w:val="21"/>
              </w:rPr>
              <w:t>2</w:t>
            </w:r>
          </w:p>
        </w:tc>
        <w:tc>
          <w:tcPr>
            <w:tcW w:w="5859" w:type="dxa"/>
            <w:tcBorders>
              <w:top w:val="single" w:color="auto" w:sz="4" w:space="0"/>
              <w:left w:val="single" w:color="auto" w:sz="4" w:space="0"/>
              <w:bottom w:val="single" w:color="auto" w:sz="4" w:space="0"/>
              <w:right w:val="single" w:color="auto" w:sz="4" w:space="0"/>
            </w:tcBorders>
            <w:vAlign w:val="center"/>
          </w:tcPr>
          <w:p w14:paraId="22F30E4E">
            <w:pPr>
              <w:autoSpaceDN w:val="0"/>
              <w:spacing w:line="400" w:lineRule="exact"/>
              <w:rPr>
                <w:rFonts w:hint="eastAsia" w:ascii="宋体" w:hAnsi="宋体" w:eastAsia="宋体" w:cs="宋体"/>
              </w:rPr>
            </w:pPr>
            <w:r>
              <w:rPr>
                <w:rFonts w:hint="eastAsia" w:ascii="宋体" w:hAnsi="宋体" w:eastAsia="宋体" w:cs="宋体"/>
                <w:szCs w:val="21"/>
              </w:rPr>
              <w:t>磋商响应文件的签署盖章。</w:t>
            </w:r>
          </w:p>
        </w:tc>
        <w:tc>
          <w:tcPr>
            <w:tcW w:w="2296" w:type="dxa"/>
            <w:tcBorders>
              <w:top w:val="single" w:color="auto" w:sz="4" w:space="0"/>
              <w:left w:val="single" w:color="auto" w:sz="4" w:space="0"/>
              <w:bottom w:val="single" w:color="auto" w:sz="4" w:space="0"/>
              <w:right w:val="single" w:color="auto" w:sz="4" w:space="0"/>
            </w:tcBorders>
            <w:vAlign w:val="center"/>
          </w:tcPr>
          <w:p w14:paraId="61787B62">
            <w:pPr>
              <w:autoSpaceDN w:val="0"/>
              <w:spacing w:line="400" w:lineRule="exact"/>
              <w:rPr>
                <w:rFonts w:hint="eastAsia" w:ascii="宋体" w:hAnsi="宋体" w:eastAsia="宋体" w:cs="宋体"/>
              </w:rPr>
            </w:pPr>
            <w:r>
              <w:rPr>
                <w:rFonts w:hint="eastAsia" w:ascii="宋体" w:hAnsi="宋体" w:eastAsia="宋体" w:cs="宋体"/>
                <w:szCs w:val="21"/>
              </w:rPr>
              <w:t>符合第二章“磋商须知”第九条的要求。</w:t>
            </w:r>
          </w:p>
        </w:tc>
      </w:tr>
      <w:tr w14:paraId="1F1CF79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D5170E4">
            <w:pPr>
              <w:autoSpaceDN w:val="0"/>
              <w:spacing w:line="400" w:lineRule="exact"/>
              <w:jc w:val="center"/>
              <w:rPr>
                <w:rFonts w:hint="eastAsia" w:ascii="宋体" w:hAnsi="宋体" w:eastAsia="宋体" w:cs="宋体"/>
              </w:rPr>
            </w:pPr>
            <w:r>
              <w:rPr>
                <w:rFonts w:hint="eastAsia" w:ascii="宋体" w:hAnsi="宋体" w:eastAsia="宋体" w:cs="宋体"/>
                <w:szCs w:val="21"/>
              </w:rPr>
              <w:t>3</w:t>
            </w:r>
          </w:p>
        </w:tc>
        <w:tc>
          <w:tcPr>
            <w:tcW w:w="5859" w:type="dxa"/>
            <w:tcBorders>
              <w:top w:val="single" w:color="auto" w:sz="4" w:space="0"/>
              <w:left w:val="single" w:color="auto" w:sz="4" w:space="0"/>
              <w:bottom w:val="single" w:color="auto" w:sz="4" w:space="0"/>
              <w:right w:val="single" w:color="auto" w:sz="4" w:space="0"/>
            </w:tcBorders>
            <w:vAlign w:val="center"/>
          </w:tcPr>
          <w:p w14:paraId="4864B0EC">
            <w:pPr>
              <w:autoSpaceDN w:val="0"/>
              <w:spacing w:line="400" w:lineRule="exact"/>
              <w:rPr>
                <w:rFonts w:hint="eastAsia" w:ascii="宋体" w:hAnsi="宋体" w:eastAsia="宋体" w:cs="宋体"/>
              </w:rPr>
            </w:pPr>
            <w:r>
              <w:rPr>
                <w:rFonts w:hint="eastAsia" w:ascii="宋体" w:hAnsi="宋体" w:eastAsia="宋体" w:cs="宋体"/>
                <w:szCs w:val="21"/>
              </w:rPr>
              <w:t>评审小组认为供应商的报价明显低于其他通过第一阶段评审供应商的报价，有可能影响产品质量或者不能诚信履约的，应当要求其在评审现场合理的时间内提供书面说明，必要时提交相关证明材料；供应商不能证明其报价合理性的，评审小组应当将其作为无效报价处理。</w:t>
            </w:r>
          </w:p>
        </w:tc>
        <w:tc>
          <w:tcPr>
            <w:tcW w:w="2296" w:type="dxa"/>
            <w:tcBorders>
              <w:top w:val="single" w:color="auto" w:sz="4" w:space="0"/>
              <w:left w:val="single" w:color="auto" w:sz="4" w:space="0"/>
              <w:bottom w:val="single" w:color="auto" w:sz="4" w:space="0"/>
              <w:right w:val="single" w:color="auto" w:sz="4" w:space="0"/>
            </w:tcBorders>
            <w:vAlign w:val="center"/>
          </w:tcPr>
          <w:p w14:paraId="59E41C42">
            <w:pPr>
              <w:autoSpaceDN w:val="0"/>
              <w:spacing w:line="400" w:lineRule="exact"/>
              <w:rPr>
                <w:rFonts w:hint="eastAsia" w:ascii="宋体" w:hAnsi="宋体" w:eastAsia="宋体" w:cs="宋体"/>
              </w:rPr>
            </w:pPr>
            <w:r>
              <w:rPr>
                <w:rFonts w:hint="eastAsia" w:ascii="宋体" w:hAnsi="宋体" w:eastAsia="宋体" w:cs="宋体"/>
                <w:szCs w:val="21"/>
              </w:rPr>
              <w:t>符合所述要求。</w:t>
            </w:r>
          </w:p>
        </w:tc>
      </w:tr>
      <w:tr w14:paraId="273D15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553B0CD">
            <w:pPr>
              <w:autoSpaceDN w:val="0"/>
              <w:spacing w:line="400" w:lineRule="exact"/>
              <w:jc w:val="center"/>
              <w:rPr>
                <w:rFonts w:hint="eastAsia" w:ascii="宋体" w:hAnsi="宋体" w:eastAsia="宋体" w:cs="宋体"/>
              </w:rPr>
            </w:pPr>
            <w:r>
              <w:rPr>
                <w:rFonts w:hint="eastAsia" w:ascii="宋体" w:hAnsi="宋体" w:eastAsia="宋体" w:cs="宋体"/>
                <w:szCs w:val="21"/>
              </w:rPr>
              <w:t>4</w:t>
            </w:r>
          </w:p>
        </w:tc>
        <w:tc>
          <w:tcPr>
            <w:tcW w:w="5859" w:type="dxa"/>
            <w:tcBorders>
              <w:top w:val="single" w:color="auto" w:sz="4" w:space="0"/>
              <w:left w:val="single" w:color="auto" w:sz="4" w:space="0"/>
              <w:bottom w:val="single" w:color="auto" w:sz="4" w:space="0"/>
              <w:right w:val="single" w:color="auto" w:sz="4" w:space="0"/>
            </w:tcBorders>
            <w:vAlign w:val="center"/>
          </w:tcPr>
          <w:p w14:paraId="66B28ADA">
            <w:pPr>
              <w:autoSpaceDN w:val="0"/>
              <w:spacing w:line="400" w:lineRule="exact"/>
              <w:rPr>
                <w:rFonts w:hint="eastAsia" w:ascii="宋体" w:hAnsi="宋体" w:eastAsia="宋体" w:cs="宋体"/>
              </w:rPr>
            </w:pPr>
            <w:r>
              <w:rPr>
                <w:rFonts w:hint="eastAsia" w:ascii="宋体" w:hAnsi="宋体" w:eastAsia="宋体" w:cs="宋体"/>
                <w:szCs w:val="21"/>
              </w:rPr>
              <w:t>符合法律、法规和竞争性磋商文件中规定的其他实质性要求（实质性要求竞争性磋商文件中“</w:t>
            </w:r>
            <w:r>
              <w:rPr>
                <w:rFonts w:hint="eastAsia" w:ascii="宋体" w:hAnsi="宋体" w:eastAsia="宋体" w:cs="宋体"/>
                <w:b/>
                <w:szCs w:val="21"/>
              </w:rPr>
              <w:t>▲</w:t>
            </w:r>
            <w:r>
              <w:rPr>
                <w:rFonts w:hint="eastAsia" w:ascii="宋体" w:hAnsi="宋体" w:eastAsia="宋体" w:cs="宋体"/>
                <w:szCs w:val="21"/>
              </w:rPr>
              <w:t>”标记）</w:t>
            </w:r>
          </w:p>
        </w:tc>
        <w:tc>
          <w:tcPr>
            <w:tcW w:w="2296" w:type="dxa"/>
            <w:tcBorders>
              <w:top w:val="single" w:color="auto" w:sz="4" w:space="0"/>
              <w:left w:val="single" w:color="auto" w:sz="4" w:space="0"/>
              <w:bottom w:val="single" w:color="auto" w:sz="4" w:space="0"/>
              <w:right w:val="single" w:color="auto" w:sz="4" w:space="0"/>
            </w:tcBorders>
            <w:vAlign w:val="center"/>
          </w:tcPr>
          <w:p w14:paraId="6A85B9FD">
            <w:pPr>
              <w:autoSpaceDN w:val="0"/>
              <w:spacing w:line="400" w:lineRule="exact"/>
              <w:rPr>
                <w:rFonts w:hint="eastAsia" w:ascii="宋体" w:hAnsi="宋体" w:eastAsia="宋体" w:cs="宋体"/>
              </w:rPr>
            </w:pPr>
            <w:r>
              <w:rPr>
                <w:rFonts w:hint="eastAsia" w:ascii="宋体" w:hAnsi="宋体" w:eastAsia="宋体" w:cs="宋体"/>
                <w:szCs w:val="21"/>
              </w:rPr>
              <w:t>符合所述要求。</w:t>
            </w:r>
          </w:p>
        </w:tc>
      </w:tr>
      <w:tr w14:paraId="283B24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6579" w:type="dxa"/>
            <w:gridSpan w:val="2"/>
            <w:tcBorders>
              <w:top w:val="single" w:color="auto" w:sz="4" w:space="0"/>
              <w:left w:val="single" w:color="auto" w:sz="4" w:space="0"/>
              <w:bottom w:val="single" w:color="auto" w:sz="4" w:space="0"/>
              <w:right w:val="single" w:color="auto" w:sz="4" w:space="0"/>
            </w:tcBorders>
            <w:vAlign w:val="center"/>
          </w:tcPr>
          <w:p w14:paraId="6D63FE47">
            <w:pPr>
              <w:autoSpaceDN w:val="0"/>
              <w:spacing w:line="400" w:lineRule="exact"/>
              <w:jc w:val="center"/>
              <w:rPr>
                <w:rFonts w:hint="eastAsia" w:ascii="宋体" w:hAnsi="宋体" w:eastAsia="宋体" w:cs="宋体"/>
              </w:rPr>
            </w:pPr>
            <w:r>
              <w:rPr>
                <w:rFonts w:hint="eastAsia" w:ascii="宋体" w:hAnsi="宋体" w:eastAsia="宋体" w:cs="宋体"/>
                <w:b/>
                <w:szCs w:val="21"/>
              </w:rPr>
              <w:t>报价审查结论</w:t>
            </w:r>
          </w:p>
        </w:tc>
        <w:tc>
          <w:tcPr>
            <w:tcW w:w="2296" w:type="dxa"/>
            <w:tcBorders>
              <w:top w:val="single" w:color="auto" w:sz="4" w:space="0"/>
              <w:left w:val="single" w:color="auto" w:sz="4" w:space="0"/>
              <w:bottom w:val="single" w:color="auto" w:sz="4" w:space="0"/>
              <w:right w:val="single" w:color="auto" w:sz="4" w:space="0"/>
            </w:tcBorders>
            <w:vAlign w:val="center"/>
          </w:tcPr>
          <w:p w14:paraId="301ECA14">
            <w:pPr>
              <w:autoSpaceDN w:val="0"/>
              <w:spacing w:line="400" w:lineRule="exact"/>
              <w:jc w:val="center"/>
              <w:rPr>
                <w:rFonts w:hint="eastAsia" w:ascii="宋体" w:hAnsi="宋体" w:eastAsia="宋体" w:cs="宋体"/>
              </w:rPr>
            </w:pPr>
            <w:r>
              <w:rPr>
                <w:rFonts w:hint="eastAsia" w:ascii="宋体" w:hAnsi="宋体" w:eastAsia="宋体" w:cs="宋体"/>
                <w:szCs w:val="21"/>
              </w:rPr>
              <w:t> </w:t>
            </w:r>
          </w:p>
        </w:tc>
      </w:tr>
    </w:tbl>
    <w:p w14:paraId="7FF33389">
      <w:pPr>
        <w:autoSpaceDN w:val="0"/>
        <w:spacing w:line="400" w:lineRule="exact"/>
        <w:rPr>
          <w:rFonts w:hint="eastAsia" w:ascii="宋体" w:hAnsi="宋体" w:eastAsia="宋体" w:cs="宋体"/>
        </w:rPr>
      </w:pPr>
      <w:r>
        <w:rPr>
          <w:rFonts w:hint="eastAsia" w:ascii="宋体" w:hAnsi="宋体" w:eastAsia="宋体" w:cs="宋体"/>
          <w:b/>
          <w:szCs w:val="21"/>
        </w:rPr>
        <w:t>注：1、上述审查项目中，任意一项不符合的，报价审查不合格。</w:t>
      </w:r>
    </w:p>
    <w:p w14:paraId="300CF918">
      <w:pPr>
        <w:autoSpaceDN w:val="0"/>
        <w:spacing w:line="360" w:lineRule="exact"/>
        <w:ind w:firstLine="422" w:firstLineChars="200"/>
        <w:rPr>
          <w:rFonts w:hint="eastAsia" w:ascii="宋体" w:hAnsi="宋体" w:eastAsia="宋体" w:cs="宋体"/>
        </w:rPr>
      </w:pPr>
      <w:r>
        <w:rPr>
          <w:rFonts w:hint="eastAsia" w:ascii="宋体" w:hAnsi="宋体" w:eastAsia="宋体" w:cs="宋体"/>
          <w:b/>
          <w:szCs w:val="21"/>
        </w:rPr>
        <w:t>2、上述审查项目中的第2项至第4项，无需在政采云中设置关联点。</w:t>
      </w:r>
    </w:p>
    <w:p w14:paraId="7CBCDDF7">
      <w:pPr>
        <w:autoSpaceDN w:val="0"/>
        <w:spacing w:line="400" w:lineRule="exact"/>
        <w:rPr>
          <w:rFonts w:hint="eastAsia" w:ascii="宋体" w:hAnsi="宋体" w:eastAsia="宋体" w:cs="宋体"/>
        </w:rPr>
      </w:pPr>
      <w:r>
        <w:rPr>
          <w:rFonts w:hint="eastAsia" w:ascii="宋体" w:hAnsi="宋体" w:eastAsia="宋体" w:cs="宋体"/>
          <w:szCs w:val="21"/>
        </w:rPr>
        <w:t> </w:t>
      </w:r>
    </w:p>
    <w:p w14:paraId="749C3B2C">
      <w:pPr>
        <w:autoSpaceDN w:val="0"/>
        <w:rPr>
          <w:rFonts w:hint="eastAsia" w:ascii="宋体" w:hAnsi="宋体" w:eastAsia="宋体" w:cs="宋体"/>
        </w:rPr>
      </w:pPr>
      <w:r>
        <w:rPr>
          <w:rFonts w:hint="eastAsia" w:ascii="宋体" w:hAnsi="宋体" w:eastAsia="宋体" w:cs="宋体"/>
          <w:szCs w:val="21"/>
        </w:rPr>
        <w:t> </w:t>
      </w:r>
    </w:p>
    <w:p w14:paraId="2896FD4C">
      <w:pPr>
        <w:autoSpaceDE w:val="0"/>
        <w:autoSpaceDN w:val="0"/>
        <w:adjustRightInd w:val="0"/>
        <w:spacing w:line="360" w:lineRule="auto"/>
        <w:ind w:firstLine="315" w:firstLineChars="150"/>
        <w:jc w:val="left"/>
        <w:rPr>
          <w:rFonts w:hint="eastAsia" w:ascii="宋体" w:hAnsi="宋体" w:eastAsia="宋体" w:cs="宋体"/>
          <w:kern w:val="0"/>
          <w:szCs w:val="21"/>
        </w:rPr>
      </w:pPr>
    </w:p>
    <w:p w14:paraId="43801F41">
      <w:pPr>
        <w:autoSpaceDE w:val="0"/>
        <w:autoSpaceDN w:val="0"/>
        <w:adjustRightInd w:val="0"/>
        <w:spacing w:line="360" w:lineRule="auto"/>
        <w:ind w:firstLine="315" w:firstLineChars="150"/>
        <w:jc w:val="left"/>
        <w:rPr>
          <w:rFonts w:hint="eastAsia" w:ascii="宋体" w:hAnsi="宋体" w:eastAsia="宋体" w:cs="宋体"/>
          <w:kern w:val="0"/>
          <w:szCs w:val="21"/>
        </w:rPr>
      </w:pPr>
    </w:p>
    <w:p w14:paraId="253BE7DE">
      <w:pPr>
        <w:pageBreakBefore/>
        <w:autoSpaceDN w:val="0"/>
        <w:rPr>
          <w:rFonts w:hint="eastAsia" w:ascii="宋体" w:hAnsi="宋体" w:eastAsia="宋体" w:cs="宋体"/>
        </w:rPr>
      </w:pPr>
      <w:r>
        <w:rPr>
          <w:rFonts w:hint="eastAsia" w:ascii="宋体" w:hAnsi="宋体" w:eastAsia="宋体" w:cs="宋体"/>
          <w:szCs w:val="21"/>
        </w:rPr>
        <w:t>附表5</w:t>
      </w:r>
    </w:p>
    <w:p w14:paraId="063AEEAB">
      <w:pPr>
        <w:widowControl/>
        <w:autoSpaceDN w:val="0"/>
        <w:snapToGrid w:val="0"/>
        <w:spacing w:line="560" w:lineRule="exact"/>
        <w:jc w:val="center"/>
        <w:rPr>
          <w:rFonts w:hint="eastAsia" w:ascii="宋体" w:hAnsi="宋体" w:eastAsia="宋体" w:cs="宋体"/>
        </w:rPr>
      </w:pPr>
      <w:r>
        <w:rPr>
          <w:rFonts w:hint="eastAsia" w:ascii="宋体" w:hAnsi="宋体" w:eastAsia="宋体" w:cs="宋体"/>
          <w:b/>
          <w:szCs w:val="21"/>
        </w:rPr>
        <w:t>价格评分表</w:t>
      </w:r>
    </w:p>
    <w:p w14:paraId="1DE2C062">
      <w:pPr>
        <w:autoSpaceDN w:val="0"/>
        <w:spacing w:line="320" w:lineRule="exact"/>
        <w:rPr>
          <w:rFonts w:hint="eastAsia" w:ascii="宋体" w:hAnsi="宋体" w:eastAsia="宋体" w:cs="宋体"/>
        </w:rPr>
      </w:pPr>
      <w:r>
        <w:rPr>
          <w:rFonts w:hint="eastAsia" w:ascii="宋体" w:hAnsi="宋体" w:eastAsia="宋体" w:cs="宋体"/>
          <w:b/>
          <w:szCs w:val="21"/>
        </w:rPr>
        <w:t>项目编号：ZGTZZB2025-0410</w:t>
      </w:r>
    </w:p>
    <w:tbl>
      <w:tblPr>
        <w:tblStyle w:val="25"/>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75"/>
        <w:gridCol w:w="8280"/>
      </w:tblGrid>
      <w:tr w14:paraId="588B2A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91" w:hRule="atLeast"/>
          <w:jc w:val="center"/>
        </w:trPr>
        <w:tc>
          <w:tcPr>
            <w:tcW w:w="8955" w:type="dxa"/>
            <w:gridSpan w:val="2"/>
            <w:tcBorders>
              <w:top w:val="single" w:color="auto" w:sz="4" w:space="0"/>
              <w:left w:val="single" w:color="auto" w:sz="4" w:space="0"/>
              <w:bottom w:val="single" w:color="auto" w:sz="4" w:space="0"/>
              <w:right w:val="single" w:color="auto" w:sz="4" w:space="0"/>
              <w:tl2br w:val="single" w:color="000000" w:sz="4" w:space="0"/>
            </w:tcBorders>
          </w:tcPr>
          <w:p w14:paraId="1EFB342A">
            <w:pPr>
              <w:autoSpaceDN w:val="0"/>
              <w:spacing w:line="360" w:lineRule="auto"/>
              <w:ind w:right="420" w:firstLine="4410" w:firstLineChars="2100"/>
            </w:pPr>
            <w:r>
              <w:rPr>
                <w:rFonts w:hint="eastAsia" w:ascii="Times New Roman" w:hAnsi="宋体" w:cs="宋体"/>
                <w:szCs w:val="21"/>
              </w:rPr>
              <w:t>供应商</w:t>
            </w:r>
          </w:p>
          <w:p w14:paraId="260CEA74">
            <w:pPr>
              <w:autoSpaceDN w:val="0"/>
              <w:spacing w:line="360" w:lineRule="auto"/>
              <w:ind w:firstLine="945" w:firstLineChars="450"/>
            </w:pPr>
            <w:r>
              <w:rPr>
                <w:rFonts w:hint="eastAsia" w:ascii="Times New Roman" w:hAnsi="宋体" w:cs="宋体"/>
                <w:szCs w:val="21"/>
              </w:rPr>
              <w:t>分值</w:t>
            </w:r>
          </w:p>
        </w:tc>
      </w:tr>
      <w:tr w14:paraId="26D149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41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DEFF938">
            <w:pPr>
              <w:autoSpaceDN w:val="0"/>
              <w:spacing w:line="340" w:lineRule="exact"/>
              <w:jc w:val="center"/>
              <w:rPr>
                <w:rFonts w:hint="eastAsia" w:ascii="Times New Roman" w:hAnsi="宋体" w:cs="宋体"/>
                <w:szCs w:val="21"/>
              </w:rPr>
            </w:pPr>
            <w:r>
              <w:rPr>
                <w:rFonts w:hint="eastAsia" w:ascii="Times New Roman" w:hAnsi="宋体" w:cs="宋体"/>
                <w:szCs w:val="21"/>
              </w:rPr>
              <w:t>价格分</w:t>
            </w:r>
          </w:p>
          <w:p w14:paraId="2A38CE29">
            <w:pPr>
              <w:autoSpaceDN w:val="0"/>
              <w:spacing w:line="340" w:lineRule="exact"/>
              <w:jc w:val="center"/>
            </w:pPr>
            <w:r>
              <w:rPr>
                <w:rFonts w:hint="eastAsia" w:ascii="Times New Roman" w:hAnsi="Times New Roman"/>
                <w:szCs w:val="21"/>
              </w:rPr>
              <w:t>30</w:t>
            </w:r>
            <w:r>
              <w:rPr>
                <w:rFonts w:hint="eastAsia" w:ascii="Times New Roman" w:hAnsi="宋体" w:cs="宋体"/>
                <w:szCs w:val="21"/>
              </w:rPr>
              <w:t>分</w:t>
            </w:r>
          </w:p>
        </w:tc>
        <w:tc>
          <w:tcPr>
            <w:tcW w:w="8280" w:type="dxa"/>
            <w:tcBorders>
              <w:top w:val="single" w:color="auto" w:sz="4" w:space="0"/>
              <w:left w:val="single" w:color="auto" w:sz="4" w:space="0"/>
              <w:bottom w:val="single" w:color="auto" w:sz="4" w:space="0"/>
              <w:right w:val="single" w:color="auto" w:sz="4" w:space="0"/>
            </w:tcBorders>
            <w:vAlign w:val="center"/>
          </w:tcPr>
          <w:p w14:paraId="6049B543">
            <w:pPr>
              <w:spacing w:line="360" w:lineRule="exact"/>
              <w:rPr>
                <w:rFonts w:ascii="Times New Roman" w:hAnsi="Times New Roman" w:eastAsia="宋体" w:cs="Times New Roman"/>
                <w:bCs/>
                <w:szCs w:val="21"/>
              </w:rPr>
            </w:pPr>
            <w:r>
              <w:rPr>
                <w:rFonts w:hint="eastAsia" w:ascii="Times New Roman" w:hAnsi="Times New Roman" w:eastAsia="宋体" w:cs="Times New Roman"/>
                <w:bCs/>
                <w:szCs w:val="21"/>
              </w:rPr>
              <w:t>参与评审的价格=有效供应商最终报价</w:t>
            </w:r>
          </w:p>
          <w:p w14:paraId="06BBB84A">
            <w:pPr>
              <w:spacing w:line="360" w:lineRule="exact"/>
              <w:rPr>
                <w:rFonts w:ascii="Times New Roman" w:hAnsi="Times New Roman" w:eastAsia="宋体" w:cs="Times New Roman"/>
                <w:bCs/>
                <w:szCs w:val="21"/>
              </w:rPr>
            </w:pPr>
            <w:r>
              <w:rPr>
                <w:rFonts w:hint="eastAsia" w:ascii="Times New Roman" w:hAnsi="Times New Roman" w:eastAsia="宋体" w:cs="Times New Roman"/>
                <w:bCs/>
                <w:szCs w:val="21"/>
              </w:rPr>
              <w:t>基准价=满足竞争性磋商文件要求且“参与评审的价格”中最低的价格为基准价</w:t>
            </w:r>
          </w:p>
          <w:p w14:paraId="6A99A667">
            <w:pPr>
              <w:spacing w:line="360" w:lineRule="exact"/>
              <w:rPr>
                <w:rFonts w:ascii="Times New Roman" w:hAnsi="Times New Roman" w:eastAsia="宋体" w:cs="Times New Roman"/>
                <w:bCs/>
                <w:szCs w:val="21"/>
              </w:rPr>
            </w:pPr>
            <w:r>
              <w:rPr>
                <w:rFonts w:hint="eastAsia" w:ascii="Times New Roman" w:hAnsi="Times New Roman" w:eastAsia="宋体" w:cs="Times New Roman"/>
                <w:bCs/>
                <w:szCs w:val="21"/>
              </w:rPr>
              <w:t>基准价得分为满分</w:t>
            </w:r>
            <w:r>
              <w:rPr>
                <w:rFonts w:hint="eastAsia" w:ascii="Times New Roman" w:hAnsi="Times New Roman" w:eastAsia="宋体"/>
                <w:bCs/>
                <w:szCs w:val="21"/>
              </w:rPr>
              <w:t>30</w:t>
            </w:r>
            <w:r>
              <w:rPr>
                <w:rFonts w:hint="eastAsia" w:ascii="Times New Roman" w:hAnsi="Times New Roman" w:eastAsia="宋体" w:cs="Times New Roman"/>
                <w:bCs/>
                <w:szCs w:val="21"/>
              </w:rPr>
              <w:t>分，其他供应商价格分计算公式如下：</w:t>
            </w:r>
          </w:p>
          <w:p w14:paraId="2391AE1D">
            <w:pPr>
              <w:autoSpaceDN w:val="0"/>
              <w:spacing w:line="360" w:lineRule="auto"/>
              <w:rPr>
                <w:rFonts w:ascii="Times New Roman" w:hAnsi="Times New Roman" w:eastAsia="宋体" w:cs="Times New Roman"/>
                <w:bCs/>
                <w:szCs w:val="21"/>
              </w:rPr>
            </w:pPr>
            <w:r>
              <w:rPr>
                <w:rFonts w:hint="eastAsia" w:ascii="Times New Roman" w:hAnsi="Times New Roman" w:eastAsia="宋体" w:cs="Times New Roman"/>
                <w:bCs/>
                <w:szCs w:val="21"/>
              </w:rPr>
              <w:t>其他供应商价格分=（基准价/参与评审的价格）×</w:t>
            </w:r>
            <w:r>
              <w:rPr>
                <w:rFonts w:hint="eastAsia" w:ascii="Times New Roman" w:hAnsi="Times New Roman" w:eastAsia="宋体"/>
                <w:bCs/>
                <w:szCs w:val="21"/>
              </w:rPr>
              <w:t>30</w:t>
            </w:r>
            <w:r>
              <w:rPr>
                <w:rFonts w:hint="eastAsia" w:ascii="Times New Roman" w:hAnsi="Times New Roman" w:eastAsia="宋体" w:cs="Times New Roman"/>
                <w:bCs/>
                <w:szCs w:val="21"/>
              </w:rPr>
              <w:t>%×100（小数点后保留两位小数）</w:t>
            </w:r>
          </w:p>
        </w:tc>
      </w:tr>
      <w:tr w14:paraId="77824D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8955" w:type="dxa"/>
            <w:gridSpan w:val="2"/>
            <w:tcBorders>
              <w:top w:val="single" w:color="auto" w:sz="4" w:space="0"/>
              <w:left w:val="single" w:color="auto" w:sz="4" w:space="0"/>
              <w:bottom w:val="single" w:color="auto" w:sz="4" w:space="0"/>
              <w:right w:val="single" w:color="auto" w:sz="4" w:space="0"/>
            </w:tcBorders>
            <w:vAlign w:val="center"/>
          </w:tcPr>
          <w:p w14:paraId="45F23259">
            <w:pPr>
              <w:autoSpaceDN w:val="0"/>
              <w:spacing w:line="360" w:lineRule="auto"/>
              <w:jc w:val="center"/>
            </w:pPr>
            <w:r>
              <w:rPr>
                <w:rFonts w:hint="eastAsia" w:ascii="Times New Roman" w:hAnsi="宋体" w:cs="宋体"/>
                <w:b/>
                <w:szCs w:val="21"/>
              </w:rPr>
              <w:t>报价得分（</w:t>
            </w:r>
            <w:r>
              <w:rPr>
                <w:rFonts w:hint="eastAsia" w:ascii="Times New Roman" w:hAnsi="Times New Roman"/>
                <w:b/>
                <w:szCs w:val="21"/>
              </w:rPr>
              <w:t>30</w:t>
            </w:r>
            <w:r>
              <w:rPr>
                <w:rFonts w:hint="eastAsia" w:ascii="Times New Roman" w:hAnsi="宋体" w:cs="宋体"/>
                <w:b/>
                <w:szCs w:val="21"/>
              </w:rPr>
              <w:t>分）</w:t>
            </w:r>
          </w:p>
        </w:tc>
      </w:tr>
    </w:tbl>
    <w:p w14:paraId="5CECF11F">
      <w:pPr>
        <w:autoSpaceDN w:val="0"/>
        <w:spacing w:line="360" w:lineRule="exact"/>
        <w:rPr>
          <w:rFonts w:hint="eastAsia" w:ascii="宋体" w:hAnsi="宋体" w:eastAsia="宋体" w:cs="宋体"/>
        </w:rPr>
      </w:pPr>
      <w:r>
        <w:rPr>
          <w:rFonts w:hint="eastAsia" w:ascii="宋体" w:hAnsi="宋体" w:eastAsia="宋体" w:cs="宋体"/>
          <w:b/>
          <w:bCs/>
          <w:szCs w:val="21"/>
        </w:rPr>
        <w:t> </w:t>
      </w:r>
    </w:p>
    <w:p w14:paraId="08EB2B93">
      <w:pPr>
        <w:pageBreakBefore/>
        <w:tabs>
          <w:tab w:val="left" w:pos="8280"/>
        </w:tabs>
        <w:autoSpaceDE w:val="0"/>
        <w:autoSpaceDN w:val="0"/>
        <w:adjustRightInd w:val="0"/>
        <w:spacing w:line="360" w:lineRule="auto"/>
        <w:ind w:right="23" w:firstLine="562" w:firstLineChars="200"/>
        <w:jc w:val="center"/>
        <w:rPr>
          <w:rFonts w:hint="eastAsia" w:ascii="宋体" w:hAnsi="宋体" w:eastAsia="宋体" w:cs="宋体"/>
          <w:b/>
          <w:sz w:val="28"/>
          <w:szCs w:val="28"/>
        </w:rPr>
      </w:pPr>
      <w:bookmarkStart w:id="24" w:name="_Toc40964241"/>
      <w:r>
        <w:rPr>
          <w:rFonts w:hint="eastAsia" w:ascii="宋体" w:hAnsi="宋体" w:eastAsia="宋体" w:cs="宋体"/>
          <w:b/>
          <w:sz w:val="28"/>
          <w:szCs w:val="28"/>
        </w:rPr>
        <w:t>第四章 用户需求书</w:t>
      </w:r>
      <w:bookmarkEnd w:id="24"/>
    </w:p>
    <w:p w14:paraId="40F35CCD">
      <w:pPr>
        <w:snapToGrid w:val="0"/>
        <w:spacing w:line="360" w:lineRule="auto"/>
        <w:ind w:firstLine="482" w:firstLineChars="200"/>
        <w:rPr>
          <w:rFonts w:hint="eastAsia" w:ascii="宋体" w:hAnsi="宋体" w:eastAsia="宋体" w:cs="楷体_GB2312"/>
          <w:b/>
          <w:sz w:val="24"/>
        </w:rPr>
      </w:pPr>
      <w:bookmarkStart w:id="25" w:name="_Toc12020285"/>
      <w:bookmarkStart w:id="26" w:name="_Toc40964242"/>
      <w:r>
        <w:rPr>
          <w:rFonts w:hint="eastAsia" w:ascii="宋体" w:hAnsi="宋体" w:cs="楷体_GB2312"/>
          <w:b/>
          <w:sz w:val="24"/>
        </w:rPr>
        <w:t>一、项目概况</w:t>
      </w:r>
    </w:p>
    <w:p w14:paraId="533BF95E">
      <w:pPr>
        <w:spacing w:line="360" w:lineRule="auto"/>
        <w:ind w:firstLine="422" w:firstLineChars="201"/>
        <w:rPr>
          <w:rFonts w:hint="eastAsia" w:ascii="宋体" w:hAnsi="宋体"/>
          <w:szCs w:val="21"/>
        </w:rPr>
      </w:pPr>
      <w:r>
        <w:rPr>
          <w:rFonts w:hint="eastAsia" w:ascii="宋体" w:hAnsi="宋体" w:eastAsia="宋体" w:cs="宋体"/>
          <w:szCs w:val="21"/>
        </w:rPr>
        <w:t>简要规格描述：本项目为</w:t>
      </w:r>
      <w:r>
        <w:rPr>
          <w:rFonts w:hint="eastAsia" w:ascii="宋体" w:hAnsi="宋体" w:cs="宋体"/>
          <w:szCs w:val="21"/>
        </w:rPr>
        <w:t>椒江区第五中学体育馆提升及室外配套工程</w:t>
      </w:r>
      <w:r>
        <w:rPr>
          <w:rFonts w:hint="eastAsia" w:ascii="宋体" w:hAnsi="宋体"/>
          <w:szCs w:val="21"/>
        </w:rPr>
        <w:t>。</w:t>
      </w:r>
    </w:p>
    <w:p w14:paraId="3EDA5D45">
      <w:pPr>
        <w:spacing w:line="360" w:lineRule="auto"/>
        <w:ind w:firstLine="420" w:firstLineChars="200"/>
        <w:rPr>
          <w:rFonts w:hint="eastAsia" w:ascii="宋体" w:hAnsi="宋体" w:eastAsia="宋体"/>
          <w:szCs w:val="21"/>
        </w:rPr>
      </w:pPr>
      <w:r>
        <w:rPr>
          <w:rFonts w:hint="eastAsia" w:ascii="宋体" w:hAnsi="宋体" w:cs="宋体"/>
          <w:szCs w:val="21"/>
        </w:rPr>
        <w:t>椒江区第五中学体育馆提升及室外配套工程</w:t>
      </w:r>
      <w:r>
        <w:rPr>
          <w:rFonts w:hint="eastAsia" w:ascii="宋体" w:hAnsi="宋体" w:eastAsia="宋体" w:cs="宋体"/>
          <w:szCs w:val="21"/>
        </w:rPr>
        <w:t>主要包括</w:t>
      </w:r>
      <w:r>
        <w:rPr>
          <w:rFonts w:hint="eastAsia" w:ascii="宋体" w:hAnsi="宋体" w:cs="宋体"/>
          <w:szCs w:val="21"/>
        </w:rPr>
        <w:t>体育馆总建筑面积2760m2的装修工程（含顶面、墙面、地面装饰）屋面工程、篮球架、电气工程、室外配套</w:t>
      </w:r>
      <w:r>
        <w:rPr>
          <w:rFonts w:hint="eastAsia" w:ascii="宋体" w:hAnsi="宋体" w:eastAsia="宋体" w:cs="宋体"/>
          <w:szCs w:val="21"/>
        </w:rPr>
        <w:t>等</w:t>
      </w:r>
      <w:r>
        <w:rPr>
          <w:rFonts w:hint="eastAsia" w:ascii="宋体" w:hAnsi="宋体" w:eastAsia="宋体" w:cs="宋体"/>
          <w:szCs w:val="21"/>
          <w:lang w:eastAsia="zh-CN"/>
        </w:rPr>
        <w:t>，</w:t>
      </w:r>
      <w:r>
        <w:rPr>
          <w:rFonts w:hint="eastAsia" w:ascii="宋体" w:hAnsi="宋体"/>
          <w:szCs w:val="21"/>
        </w:rPr>
        <w:t>建设内容具体以招标人提供的预算书和施工图纸为准，现场具体情况由供应商自行前往勘察，其他详见招标文件。</w:t>
      </w:r>
    </w:p>
    <w:p w14:paraId="5A38FCE7">
      <w:pPr>
        <w:spacing w:line="360" w:lineRule="auto"/>
        <w:ind w:firstLine="422" w:firstLineChars="201"/>
        <w:rPr>
          <w:rFonts w:hint="eastAsia" w:ascii="宋体" w:hAnsi="宋体" w:eastAsia="宋体" w:cs="Times New Roman"/>
          <w:szCs w:val="21"/>
        </w:rPr>
      </w:pPr>
      <w:r>
        <w:rPr>
          <w:rFonts w:hint="eastAsia" w:ascii="宋体" w:hAnsi="宋体"/>
          <w:szCs w:val="21"/>
        </w:rPr>
        <w:t>工期</w:t>
      </w:r>
      <w:r>
        <w:rPr>
          <w:rFonts w:ascii="宋体" w:hAnsi="宋体"/>
          <w:szCs w:val="21"/>
        </w:rPr>
        <w:t>：</w:t>
      </w:r>
      <w:r>
        <w:rPr>
          <w:rFonts w:hint="eastAsia" w:ascii="宋体" w:hAnsi="宋体"/>
          <w:szCs w:val="21"/>
        </w:rPr>
        <w:t xml:space="preserve">下达开工令后 </w:t>
      </w:r>
      <w:r>
        <w:rPr>
          <w:rFonts w:hint="eastAsia" w:ascii="宋体" w:hAnsi="宋体"/>
          <w:szCs w:val="21"/>
          <w:u w:val="single"/>
        </w:rPr>
        <w:t xml:space="preserve"> 90</w:t>
      </w:r>
      <w:r>
        <w:rPr>
          <w:rFonts w:hint="eastAsia" w:ascii="宋体" w:hAnsi="宋体"/>
          <w:szCs w:val="21"/>
        </w:rPr>
        <w:t xml:space="preserve">天内完成施工图示和工程量清单包含的所有内容并提请采购人验收。  </w:t>
      </w:r>
    </w:p>
    <w:bookmarkEnd w:id="25"/>
    <w:p w14:paraId="574B05C7">
      <w:pPr>
        <w:tabs>
          <w:tab w:val="left" w:pos="8280"/>
        </w:tabs>
        <w:autoSpaceDE w:val="0"/>
        <w:autoSpaceDN w:val="0"/>
        <w:adjustRightInd w:val="0"/>
        <w:spacing w:line="360" w:lineRule="auto"/>
        <w:ind w:right="25" w:firstLine="422" w:firstLineChars="200"/>
        <w:jc w:val="left"/>
        <w:rPr>
          <w:rFonts w:hint="eastAsia" w:ascii="宋体" w:hAnsi="宋体" w:cs="楷体_GB2312"/>
          <w:b/>
          <w:szCs w:val="21"/>
        </w:rPr>
      </w:pPr>
      <w:r>
        <w:rPr>
          <w:rFonts w:hint="eastAsia" w:ascii="宋体" w:hAnsi="宋体" w:cs="楷体_GB2312"/>
          <w:b/>
          <w:szCs w:val="21"/>
        </w:rPr>
        <w:t>二、</w:t>
      </w:r>
      <w:r>
        <w:rPr>
          <w:rFonts w:ascii="宋体" w:hAnsi="宋体" w:cs="楷体_GB2312"/>
          <w:b/>
          <w:szCs w:val="21"/>
        </w:rPr>
        <w:t>投标报价上限</w:t>
      </w:r>
    </w:p>
    <w:p w14:paraId="742997A7">
      <w:pPr>
        <w:snapToGrid w:val="0"/>
        <w:spacing w:before="158" w:beforeLines="50" w:after="158" w:afterLines="50" w:line="360" w:lineRule="auto"/>
        <w:ind w:firstLine="422" w:firstLineChars="200"/>
        <w:rPr>
          <w:b/>
          <w:szCs w:val="21"/>
          <w:highlight w:val="none"/>
        </w:rPr>
      </w:pPr>
      <w:r>
        <w:rPr>
          <w:rFonts w:hint="eastAsia"/>
          <w:b/>
          <w:szCs w:val="21"/>
          <w:highlight w:val="none"/>
        </w:rPr>
        <w:t>预算金额（招标控制价）（元）：</w:t>
      </w:r>
      <w:r>
        <w:rPr>
          <w:rFonts w:hint="eastAsia"/>
          <w:b/>
          <w:szCs w:val="21"/>
          <w:highlight w:val="none"/>
          <w:lang w:eastAsia="zh-CN"/>
        </w:rPr>
        <w:t>3890873</w:t>
      </w:r>
      <w:r>
        <w:rPr>
          <w:rFonts w:hint="eastAsia"/>
          <w:b/>
          <w:szCs w:val="21"/>
          <w:highlight w:val="none"/>
        </w:rPr>
        <w:t>元。</w:t>
      </w:r>
    </w:p>
    <w:p w14:paraId="7AABE53D">
      <w:pPr>
        <w:snapToGrid w:val="0"/>
        <w:spacing w:before="158" w:beforeLines="50" w:after="158" w:afterLines="50" w:line="360" w:lineRule="auto"/>
        <w:ind w:firstLine="422" w:firstLineChars="200"/>
        <w:rPr>
          <w:b/>
          <w:szCs w:val="21"/>
          <w:highlight w:val="none"/>
        </w:rPr>
      </w:pPr>
      <w:r>
        <w:rPr>
          <w:rFonts w:hint="eastAsia"/>
          <w:b/>
          <w:szCs w:val="21"/>
          <w:highlight w:val="none"/>
        </w:rPr>
        <w:t>本工程的结算率一次性包死，结算率=投标报价÷招标控制价×100%=投标报价÷（</w:t>
      </w:r>
      <w:r>
        <w:rPr>
          <w:rFonts w:hint="eastAsia"/>
          <w:b/>
          <w:szCs w:val="21"/>
          <w:highlight w:val="none"/>
          <w:lang w:eastAsia="zh-CN"/>
        </w:rPr>
        <w:t>3890873</w:t>
      </w:r>
      <w:r>
        <w:rPr>
          <w:rFonts w:hint="eastAsia"/>
          <w:b/>
          <w:szCs w:val="21"/>
          <w:highlight w:val="none"/>
        </w:rPr>
        <w:t>元）×100%；结算审定金额不得超过合同价的，若超过合同价的，以合同价作为最高结算价。其他具体详见专用条款。</w:t>
      </w:r>
    </w:p>
    <w:p w14:paraId="2F8653DD">
      <w:pPr>
        <w:snapToGrid w:val="0"/>
        <w:spacing w:before="158" w:beforeLines="50" w:after="158" w:afterLines="50" w:line="360" w:lineRule="auto"/>
        <w:ind w:firstLine="422" w:firstLineChars="200"/>
        <w:rPr>
          <w:b/>
          <w:szCs w:val="21"/>
        </w:rPr>
      </w:pPr>
      <w:r>
        <w:rPr>
          <w:b/>
          <w:szCs w:val="21"/>
        </w:rPr>
        <w:t>本项目投标报价上限为</w:t>
      </w:r>
      <w:r>
        <w:rPr>
          <w:rFonts w:hint="eastAsia"/>
          <w:b/>
          <w:szCs w:val="21"/>
          <w:u w:val="single"/>
        </w:rPr>
        <w:t xml:space="preserve"> 3890873   </w:t>
      </w:r>
      <w:r>
        <w:rPr>
          <w:b/>
          <w:szCs w:val="21"/>
        </w:rPr>
        <w:t>元。</w:t>
      </w:r>
      <w:r>
        <w:rPr>
          <w:rFonts w:hint="eastAsia" w:ascii="宋体"/>
          <w:bCs/>
          <w:color w:val="auto"/>
          <w:kern w:val="0"/>
          <w:sz w:val="24"/>
          <w:highlight w:val="none"/>
          <w:lang w:val="en-US" w:eastAsia="zh-CN"/>
        </w:rPr>
        <w:t>▲</w:t>
      </w:r>
      <w:r>
        <w:rPr>
          <w:b/>
          <w:szCs w:val="21"/>
        </w:rPr>
        <w:t>超过该上限价的，作无效标处理。</w:t>
      </w:r>
    </w:p>
    <w:p w14:paraId="4F4C251E">
      <w:pPr>
        <w:spacing w:line="400" w:lineRule="exact"/>
        <w:ind w:firstLine="422" w:firstLineChars="200"/>
        <w:rPr>
          <w:rFonts w:hint="eastAsia" w:asciiTheme="minorEastAsia" w:hAnsiTheme="minorEastAsia"/>
          <w:b/>
          <w:kern w:val="0"/>
          <w:szCs w:val="21"/>
        </w:rPr>
      </w:pPr>
      <w:r>
        <w:rPr>
          <w:rFonts w:hint="eastAsia" w:asciiTheme="minorEastAsia" w:hAnsiTheme="minorEastAsia"/>
          <w:b/>
          <w:kern w:val="0"/>
          <w:szCs w:val="21"/>
        </w:rPr>
        <w:t>三、技术规范及标准</w:t>
      </w:r>
    </w:p>
    <w:p w14:paraId="3738D5F4">
      <w:pPr>
        <w:pStyle w:val="12"/>
        <w:adjustRightInd w:val="0"/>
        <w:spacing w:line="360" w:lineRule="auto"/>
        <w:ind w:firstLine="420" w:firstLineChars="200"/>
        <w:jc w:val="left"/>
        <w:rPr>
          <w:rFonts w:hint="eastAsia" w:cs="Times New Roman" w:asciiTheme="minorEastAsia" w:hAnsiTheme="minorEastAsia" w:eastAsiaTheme="minorEastAsia"/>
          <w:bCs/>
          <w:kern w:val="0"/>
        </w:rPr>
      </w:pPr>
      <w:r>
        <w:rPr>
          <w:rFonts w:hint="eastAsia" w:cs="Times New Roman" w:asciiTheme="minorEastAsia" w:hAnsiTheme="minorEastAsia" w:eastAsiaTheme="minorEastAsia"/>
          <w:bCs/>
          <w:kern w:val="0"/>
        </w:rPr>
        <w:t>依据设计施工图纸和技术文件要求，本工程项目的材料、设备、施工必须达到以下现行中华人民共和国及省、市、行业的一切有关法规、规范的要求，如下述标准及规范要求有出入则以较严格者为准。</w:t>
      </w:r>
    </w:p>
    <w:p w14:paraId="1A74B441">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《建筑装饰装修工程验收规范》（GB50210）</w:t>
      </w:r>
    </w:p>
    <w:p w14:paraId="0A33E773">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《建筑涂饰工程施工及验收规程》（JGJ/T 29）</w:t>
      </w:r>
    </w:p>
    <w:p w14:paraId="0442E559">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《民用建筑工程室内环境污染控制规范》（GB50325）</w:t>
      </w:r>
    </w:p>
    <w:p w14:paraId="15652E26">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《建筑工程施工质量验收统一标准》（GB50300）</w:t>
      </w:r>
    </w:p>
    <w:p w14:paraId="65A81EBA">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《建筑工程质量检验评定标准》 （GBJ301）</w:t>
      </w:r>
    </w:p>
    <w:p w14:paraId="7DAFA4E0">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《木结构工程施工质量验收规范》（GB50206）</w:t>
      </w:r>
    </w:p>
    <w:p w14:paraId="56552760">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《建筑内部装修设计防火规范》（GB-50222-95）</w:t>
      </w:r>
    </w:p>
    <w:p w14:paraId="1BD46D69">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《建筑装饰工程施工及验收规范》（JGJ 73-91）</w:t>
      </w:r>
    </w:p>
    <w:p w14:paraId="3F761F53">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《室内装饰装修材料 人造板及其制品中甲醛释放限量》（GB 18580-2001）</w:t>
      </w:r>
    </w:p>
    <w:p w14:paraId="319C8640">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《室内装饰装修材料 溶剂型木器涂料中有害物质限量》（GB 18581-2001）</w:t>
      </w:r>
    </w:p>
    <w:p w14:paraId="5CD70995">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《室内装饰装修材料 内墙涂料中有害物质限量》（GB 18582-2001）</w:t>
      </w:r>
    </w:p>
    <w:p w14:paraId="40978C25">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《室内装饰装修材料 胶粘剂中有害物质限量》（GB 18583-2001）</w:t>
      </w:r>
    </w:p>
    <w:p w14:paraId="10E83A51">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《室内装饰装修材料 木家具中有害物质限量》（GB 18584-2001）</w:t>
      </w:r>
    </w:p>
    <w:p w14:paraId="3811E4DB">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《室内装饰装修材料 壁纸中有害物质限量》（GB 18585-2001）</w:t>
      </w:r>
    </w:p>
    <w:p w14:paraId="21857E93">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《室内装饰装修材料 聚氯乙烯卷材中有害物质限量》（GB 18586-2001）</w:t>
      </w:r>
    </w:p>
    <w:p w14:paraId="19559F27">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《建筑材料放射性核素限量》（GB 6566-2001）</w:t>
      </w:r>
    </w:p>
    <w:p w14:paraId="04C7552B">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《中华人民共和国工程建设标准强制性条文（房屋建筑部分）》</w:t>
      </w:r>
    </w:p>
    <w:p w14:paraId="6E1AF65C">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《建筑内部装修防火施工及验收规范》（GB 50354-2005）</w:t>
      </w:r>
    </w:p>
    <w:p w14:paraId="1B6A19EA">
      <w:pPr>
        <w:pStyle w:val="12"/>
        <w:adjustRightInd w:val="0"/>
        <w:spacing w:line="360" w:lineRule="auto"/>
        <w:ind w:firstLine="420" w:firstLineChars="200"/>
        <w:jc w:val="left"/>
        <w:rPr>
          <w:rFonts w:hint="eastAsia" w:cs="Times New Roman" w:asciiTheme="minorEastAsia" w:hAnsiTheme="minorEastAsia" w:eastAsiaTheme="minorEastAsia"/>
          <w:bCs/>
          <w:kern w:val="0"/>
        </w:rPr>
      </w:pPr>
      <w:r>
        <w:rPr>
          <w:rFonts w:hint="eastAsia" w:cs="Times New Roman" w:asciiTheme="minorEastAsia" w:hAnsiTheme="minorEastAsia" w:eastAsiaTheme="minorEastAsia"/>
          <w:bCs/>
          <w:kern w:val="0"/>
        </w:rPr>
        <w:t>《给水排水管道工程施工及</w:t>
      </w:r>
      <w:r>
        <w:fldChar w:fldCharType="begin"/>
      </w:r>
      <w:r>
        <w:instrText xml:space="preserve"> HYPERLINK "http://www.so.com/s?q=%E9%AA%8C%E6%94%B6%E8%A7%84%E8%8C%83&amp;ie=utf-8&amp;src=wenda_link" </w:instrText>
      </w:r>
      <w:r>
        <w:fldChar w:fldCharType="separate"/>
      </w:r>
      <w:r>
        <w:rPr>
          <w:rFonts w:hint="eastAsia" w:cs="Times New Roman" w:asciiTheme="minorEastAsia" w:hAnsiTheme="minorEastAsia" w:eastAsiaTheme="minorEastAsia"/>
          <w:bCs/>
          <w:kern w:val="0"/>
        </w:rPr>
        <w:t>验收规范</w:t>
      </w:r>
      <w:r>
        <w:rPr>
          <w:rFonts w:hint="eastAsia" w:cs="Times New Roman" w:asciiTheme="minorEastAsia" w:hAnsiTheme="minorEastAsia" w:eastAsiaTheme="minorEastAsia"/>
          <w:bCs/>
          <w:kern w:val="0"/>
        </w:rPr>
        <w:fldChar w:fldCharType="end"/>
      </w:r>
      <w:r>
        <w:rPr>
          <w:rFonts w:hint="eastAsia" w:cs="Times New Roman" w:asciiTheme="minorEastAsia" w:hAnsiTheme="minorEastAsia" w:eastAsiaTheme="minorEastAsia"/>
          <w:bCs/>
          <w:kern w:val="0"/>
        </w:rPr>
        <w:t>》GB50268-2008</w:t>
      </w:r>
    </w:p>
    <w:p w14:paraId="5070EE76">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《屋面工程技术规范》GB50345-2012</w:t>
      </w:r>
    </w:p>
    <w:p w14:paraId="17791783">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 xml:space="preserve">《钢结构焊接及验收规程》JGJ81-2003     </w:t>
      </w:r>
    </w:p>
    <w:p w14:paraId="1B87AC9F">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《冷弯薄壁型钢结构技术规范》GB50018-2016</w:t>
      </w:r>
    </w:p>
    <w:p w14:paraId="3EF613CC">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 xml:space="preserve">《钢结构高强度螺栓连接的设施工及验收规程》JGJ82-91  </w:t>
      </w:r>
    </w:p>
    <w:p w14:paraId="01625041">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 xml:space="preserve">《涂装前钢材表面锈蚀等级和除锈等级》GB8923  </w:t>
      </w:r>
    </w:p>
    <w:p w14:paraId="33AD8A9B">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《施工现场临时用电安全技术规范》JGJ46-2005</w:t>
      </w:r>
    </w:p>
    <w:p w14:paraId="23AB309B">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《建筑施工高处作业安全技术规范》JGJ80-2016</w:t>
      </w:r>
    </w:p>
    <w:p w14:paraId="7974768C">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《建筑机械使用安全技术规范》JGJ33-2012</w:t>
      </w:r>
    </w:p>
    <w:p w14:paraId="03F4BEF4">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《建筑电气工程施工质量验收规范》GB50303-2015</w:t>
      </w:r>
    </w:p>
    <w:p w14:paraId="5F4E49AA">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《通风与空调工程施工质量验收规范》GB50243-2016</w:t>
      </w:r>
    </w:p>
    <w:p w14:paraId="596CF358">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《建筑玻璃应用技术规程》JGJ113-2009</w:t>
      </w:r>
    </w:p>
    <w:p w14:paraId="478C3CF8">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《建筑安全玻璃管理规定》发改运行[2003]2116号</w:t>
      </w:r>
    </w:p>
    <w:p w14:paraId="6A0BD6F9">
      <w:pPr>
        <w:spacing w:line="360" w:lineRule="auto"/>
        <w:ind w:firstLine="420" w:firstLineChars="200"/>
        <w:jc w:val="left"/>
        <w:rPr>
          <w:rFonts w:hint="eastAsia" w:asciiTheme="minorEastAsia" w:hAnsiTheme="minorEastAsia"/>
          <w:bCs/>
          <w:kern w:val="0"/>
          <w:szCs w:val="21"/>
        </w:rPr>
      </w:pPr>
      <w:r>
        <w:rPr>
          <w:rFonts w:hint="eastAsia" w:asciiTheme="minorEastAsia" w:hAnsiTheme="minorEastAsia"/>
          <w:bCs/>
          <w:kern w:val="0"/>
          <w:szCs w:val="21"/>
        </w:rPr>
        <w:t>《建筑外窗气密性能分级及检测方法》GB/T 7106</w:t>
      </w:r>
      <w:r>
        <w:rPr>
          <w:rFonts w:asciiTheme="minorEastAsia" w:hAnsiTheme="minorEastAsia"/>
          <w:bCs/>
          <w:kern w:val="0"/>
          <w:szCs w:val="21"/>
        </w:rPr>
        <w:t>—</w:t>
      </w:r>
      <w:r>
        <w:rPr>
          <w:rFonts w:hint="eastAsia" w:asciiTheme="minorEastAsia" w:hAnsiTheme="minorEastAsia"/>
          <w:bCs/>
          <w:kern w:val="0"/>
          <w:szCs w:val="21"/>
        </w:rPr>
        <w:t>2008</w:t>
      </w:r>
    </w:p>
    <w:p w14:paraId="63430956">
      <w:pPr>
        <w:pStyle w:val="12"/>
        <w:adjustRightInd w:val="0"/>
        <w:spacing w:line="360" w:lineRule="auto"/>
        <w:ind w:firstLine="735" w:firstLineChars="350"/>
        <w:jc w:val="left"/>
        <w:rPr>
          <w:rFonts w:hint="eastAsia" w:cs="Times New Roman" w:asciiTheme="minorEastAsia" w:hAnsiTheme="minorEastAsia" w:eastAsiaTheme="minorEastAsia"/>
          <w:bCs/>
          <w:kern w:val="0"/>
        </w:rPr>
      </w:pPr>
      <w:r>
        <w:rPr>
          <w:rFonts w:hint="eastAsia" w:cs="Times New Roman" w:asciiTheme="minorEastAsia" w:hAnsiTheme="minorEastAsia" w:eastAsiaTheme="minorEastAsia"/>
          <w:bCs/>
          <w:kern w:val="0"/>
        </w:rPr>
        <w:t>……</w:t>
      </w:r>
    </w:p>
    <w:p w14:paraId="1DCA2440">
      <w:pPr>
        <w:pStyle w:val="12"/>
        <w:adjustRightInd w:val="0"/>
        <w:spacing w:line="360" w:lineRule="auto"/>
        <w:ind w:firstLine="525" w:firstLineChars="250"/>
        <w:jc w:val="left"/>
        <w:rPr>
          <w:rFonts w:hint="eastAsia" w:cs="Times New Roman" w:asciiTheme="minorEastAsia" w:hAnsiTheme="minorEastAsia" w:eastAsiaTheme="minorEastAsia"/>
          <w:bCs/>
          <w:kern w:val="0"/>
        </w:rPr>
      </w:pPr>
      <w:r>
        <w:rPr>
          <w:rFonts w:hint="eastAsia" w:cs="Times New Roman" w:asciiTheme="minorEastAsia" w:hAnsiTheme="minorEastAsia" w:eastAsiaTheme="minorEastAsia"/>
          <w:bCs/>
          <w:kern w:val="0"/>
        </w:rPr>
        <w:t>以上技术规范由成交供应商自备，如有不足之处或未能达到国家最新标准时，成交供应商应使施工及选用的设备和材料符合最新版本的国家标准、规范。</w:t>
      </w:r>
    </w:p>
    <w:p w14:paraId="6EDD7653">
      <w:pPr>
        <w:spacing w:line="400" w:lineRule="exact"/>
        <w:ind w:firstLine="422" w:firstLineChars="200"/>
        <w:jc w:val="left"/>
        <w:rPr>
          <w:rFonts w:hint="eastAsia" w:asciiTheme="minorEastAsia" w:hAnsiTheme="minorEastAsia"/>
          <w:b/>
          <w:kern w:val="0"/>
          <w:szCs w:val="21"/>
        </w:rPr>
      </w:pPr>
      <w:r>
        <w:rPr>
          <w:rFonts w:hint="eastAsia" w:asciiTheme="minorEastAsia" w:hAnsiTheme="minorEastAsia"/>
          <w:b/>
          <w:kern w:val="0"/>
          <w:szCs w:val="21"/>
        </w:rPr>
        <w:t>四、工程管理的要求</w:t>
      </w:r>
    </w:p>
    <w:p w14:paraId="41114E81">
      <w:pPr>
        <w:spacing w:line="400" w:lineRule="exact"/>
        <w:rPr>
          <w:rFonts w:hint="eastAsia" w:asciiTheme="minorEastAsia" w:hAnsiTheme="minorEastAsia"/>
          <w:bCs/>
          <w:kern w:val="0"/>
          <w:szCs w:val="21"/>
        </w:rPr>
      </w:pPr>
      <w:r>
        <w:rPr>
          <w:rFonts w:hint="eastAsia" w:ascii="宋体"/>
          <w:bCs/>
          <w:color w:val="auto"/>
          <w:kern w:val="0"/>
          <w:sz w:val="24"/>
          <w:highlight w:val="none"/>
          <w:lang w:val="en-US" w:eastAsia="zh-CN"/>
        </w:rPr>
        <w:t>▲</w:t>
      </w:r>
      <w:r>
        <w:rPr>
          <w:rFonts w:hint="eastAsia" w:asciiTheme="minorEastAsia" w:hAnsiTheme="minorEastAsia"/>
          <w:bCs/>
          <w:kern w:val="0"/>
          <w:szCs w:val="21"/>
        </w:rPr>
        <w:t>1、本工程发包范围内的工程项目，一律不得分包。一经发现立即取消承包资格，作违约处理没收履约保证金并承担由此引起的一切经济损失。</w:t>
      </w:r>
    </w:p>
    <w:p w14:paraId="4FFD8A8C">
      <w:pPr>
        <w:spacing w:line="400" w:lineRule="exact"/>
        <w:rPr>
          <w:rFonts w:hint="eastAsia" w:asciiTheme="minorEastAsia" w:hAnsiTheme="minorEastAsia"/>
          <w:bCs/>
          <w:kern w:val="0"/>
          <w:szCs w:val="21"/>
        </w:rPr>
      </w:pPr>
      <w:r>
        <w:rPr>
          <w:rFonts w:hint="eastAsia" w:asciiTheme="minorEastAsia" w:hAnsiTheme="minorEastAsia"/>
          <w:bCs/>
          <w:kern w:val="0"/>
          <w:szCs w:val="21"/>
        </w:rPr>
        <w:t>2、承包人应严格按已确认设计图纸和施工技术方案组织施工，并无条件地接受采购人委托的监理单位对施工质量的监督和管理。</w:t>
      </w:r>
    </w:p>
    <w:p w14:paraId="4CB8F4F9">
      <w:pPr>
        <w:spacing w:line="400" w:lineRule="exact"/>
        <w:ind w:firstLine="422" w:firstLineChars="200"/>
        <w:rPr>
          <w:rFonts w:hint="eastAsia" w:asciiTheme="minorEastAsia" w:hAnsiTheme="minorEastAsia"/>
          <w:b/>
          <w:kern w:val="0"/>
          <w:szCs w:val="21"/>
        </w:rPr>
      </w:pPr>
      <w:r>
        <w:rPr>
          <w:rFonts w:hint="eastAsia" w:asciiTheme="minorEastAsia" w:hAnsiTheme="minorEastAsia"/>
          <w:b/>
          <w:kern w:val="0"/>
          <w:szCs w:val="21"/>
        </w:rPr>
        <w:t>五、材料质量的要求：</w:t>
      </w:r>
    </w:p>
    <w:p w14:paraId="6E9AE5AC">
      <w:pPr>
        <w:spacing w:line="400" w:lineRule="exact"/>
        <w:rPr>
          <w:rFonts w:hint="eastAsia" w:asciiTheme="minorEastAsia" w:hAnsiTheme="minorEastAsia"/>
          <w:kern w:val="0"/>
          <w:szCs w:val="21"/>
        </w:rPr>
      </w:pPr>
      <w:r>
        <w:rPr>
          <w:rFonts w:hint="eastAsia" w:asciiTheme="minorEastAsia" w:hAnsiTheme="minorEastAsia"/>
          <w:kern w:val="0"/>
          <w:szCs w:val="21"/>
        </w:rPr>
        <w:t>（</w:t>
      </w:r>
      <w:r>
        <w:rPr>
          <w:rFonts w:asciiTheme="minorEastAsia" w:hAnsiTheme="minorEastAsia"/>
          <w:kern w:val="0"/>
          <w:szCs w:val="21"/>
        </w:rPr>
        <w:t>1）在免费保修期内，</w:t>
      </w:r>
      <w:r>
        <w:rPr>
          <w:rFonts w:hint="eastAsia" w:asciiTheme="minorEastAsia" w:hAnsiTheme="minorEastAsia"/>
          <w:kern w:val="0"/>
          <w:szCs w:val="21"/>
        </w:rPr>
        <w:t>成交供应商</w:t>
      </w:r>
      <w:r>
        <w:rPr>
          <w:rFonts w:asciiTheme="minorEastAsia" w:hAnsiTheme="minorEastAsia"/>
          <w:kern w:val="0"/>
          <w:szCs w:val="21"/>
        </w:rPr>
        <w:t>对有缺陷的部位必须无偿地给予修理与更换，并承担一切由此引起的对</w:t>
      </w:r>
      <w:r>
        <w:rPr>
          <w:rFonts w:hint="eastAsia" w:asciiTheme="minorEastAsia" w:hAnsiTheme="minorEastAsia"/>
          <w:kern w:val="0"/>
          <w:szCs w:val="21"/>
        </w:rPr>
        <w:t>采购人</w:t>
      </w:r>
      <w:r>
        <w:rPr>
          <w:rFonts w:asciiTheme="minorEastAsia" w:hAnsiTheme="minorEastAsia"/>
          <w:kern w:val="0"/>
          <w:szCs w:val="21"/>
        </w:rPr>
        <w:t>或第三者的直接损失，除非该缺陷是由于人为破坏或合同规定的不可抗因素造成的损坏。</w:t>
      </w:r>
    </w:p>
    <w:p w14:paraId="4769E2EE">
      <w:pPr>
        <w:spacing w:line="400" w:lineRule="exact"/>
        <w:rPr>
          <w:rFonts w:hint="eastAsia" w:asciiTheme="minorEastAsia" w:hAnsiTheme="minorEastAsia"/>
          <w:kern w:val="0"/>
          <w:szCs w:val="21"/>
        </w:rPr>
      </w:pPr>
      <w:r>
        <w:rPr>
          <w:rFonts w:hint="eastAsia" w:asciiTheme="minorEastAsia" w:hAnsiTheme="minorEastAsia"/>
          <w:kern w:val="0"/>
          <w:szCs w:val="21"/>
        </w:rPr>
        <w:t>（</w:t>
      </w:r>
      <w:r>
        <w:rPr>
          <w:rFonts w:asciiTheme="minorEastAsia" w:hAnsiTheme="minorEastAsia"/>
          <w:kern w:val="0"/>
          <w:szCs w:val="21"/>
        </w:rPr>
        <w:t>2）</w:t>
      </w:r>
      <w:r>
        <w:rPr>
          <w:rFonts w:hint="eastAsia" w:asciiTheme="minorEastAsia" w:hAnsiTheme="minorEastAsia"/>
          <w:kern w:val="0"/>
          <w:szCs w:val="21"/>
        </w:rPr>
        <w:t>成交供应商</w:t>
      </w:r>
      <w:r>
        <w:rPr>
          <w:rFonts w:asciiTheme="minorEastAsia" w:hAnsiTheme="minorEastAsia"/>
          <w:kern w:val="0"/>
          <w:szCs w:val="21"/>
        </w:rPr>
        <w:t>必须对所承包的工程的质量负全部责任。</w:t>
      </w:r>
    </w:p>
    <w:p w14:paraId="4433B095">
      <w:pPr>
        <w:spacing w:line="400" w:lineRule="exact"/>
        <w:rPr>
          <w:rFonts w:asciiTheme="minorEastAsia" w:hAnsiTheme="minorEastAsia"/>
          <w:kern w:val="0"/>
          <w:szCs w:val="21"/>
        </w:rPr>
      </w:pPr>
      <w:r>
        <w:rPr>
          <w:rFonts w:hint="eastAsia" w:asciiTheme="minorEastAsia" w:hAnsiTheme="minorEastAsia"/>
          <w:kern w:val="0"/>
          <w:szCs w:val="21"/>
        </w:rPr>
        <w:t>（</w:t>
      </w:r>
      <w:r>
        <w:rPr>
          <w:rFonts w:asciiTheme="minorEastAsia" w:hAnsiTheme="minorEastAsia"/>
          <w:kern w:val="0"/>
          <w:szCs w:val="21"/>
        </w:rPr>
        <w:t>3）材料检验结果证明其有害物质含量指标超标的产品不得在工程上使用。</w:t>
      </w:r>
    </w:p>
    <w:p w14:paraId="5475267C">
      <w:pPr>
        <w:spacing w:line="400" w:lineRule="exact"/>
        <w:ind w:firstLine="422" w:firstLineChars="200"/>
        <w:rPr>
          <w:rFonts w:hint="eastAsia" w:asciiTheme="minorEastAsia" w:hAnsiTheme="minorEastAsia"/>
          <w:b/>
          <w:kern w:val="0"/>
          <w:szCs w:val="21"/>
        </w:rPr>
      </w:pPr>
      <w:r>
        <w:rPr>
          <w:rFonts w:hint="eastAsia" w:asciiTheme="minorEastAsia" w:hAnsiTheme="minorEastAsia"/>
          <w:b/>
          <w:kern w:val="0"/>
          <w:szCs w:val="21"/>
          <w:lang w:eastAsia="zh-CN"/>
        </w:rPr>
        <w:t>六、</w:t>
      </w:r>
      <w:r>
        <w:rPr>
          <w:rFonts w:hint="eastAsia" w:asciiTheme="minorEastAsia" w:hAnsiTheme="minorEastAsia"/>
          <w:b/>
          <w:kern w:val="0"/>
          <w:szCs w:val="21"/>
        </w:rPr>
        <w:t>主要设备材料备选品牌推荐表：</w:t>
      </w:r>
    </w:p>
    <w:tbl>
      <w:tblPr>
        <w:tblStyle w:val="2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828"/>
        <w:gridCol w:w="4001"/>
        <w:gridCol w:w="1701"/>
        <w:gridCol w:w="1102"/>
      </w:tblGrid>
      <w:tr w14:paraId="6C58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shd w:val="clear" w:color="000000" w:fill="FFFFFF"/>
            <w:vAlign w:val="center"/>
          </w:tcPr>
          <w:p w14:paraId="2D5251DE">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1828" w:type="dxa"/>
            <w:shd w:val="clear" w:color="000000" w:fill="FFFFFF"/>
            <w:vAlign w:val="center"/>
          </w:tcPr>
          <w:p w14:paraId="4A1B7DED">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项目名称</w:t>
            </w:r>
          </w:p>
        </w:tc>
        <w:tc>
          <w:tcPr>
            <w:tcW w:w="4001" w:type="dxa"/>
            <w:shd w:val="clear" w:color="000000" w:fill="FFFFFF"/>
            <w:vAlign w:val="center"/>
          </w:tcPr>
          <w:p w14:paraId="1BBAC37E">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材料品牌</w:t>
            </w:r>
          </w:p>
        </w:tc>
        <w:tc>
          <w:tcPr>
            <w:tcW w:w="1701" w:type="dxa"/>
            <w:shd w:val="clear" w:color="000000" w:fill="FFFFFF"/>
            <w:vAlign w:val="center"/>
          </w:tcPr>
          <w:p w14:paraId="66EA7CCE">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型号及规格</w:t>
            </w:r>
          </w:p>
        </w:tc>
        <w:tc>
          <w:tcPr>
            <w:tcW w:w="1102" w:type="dxa"/>
            <w:shd w:val="clear" w:color="000000" w:fill="FFFFFF"/>
            <w:vAlign w:val="center"/>
          </w:tcPr>
          <w:p w14:paraId="4CC2E857">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14:paraId="1C94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36" w:type="dxa"/>
            <w:shd w:val="clear" w:color="000000" w:fill="FFFFFF"/>
            <w:vAlign w:val="center"/>
          </w:tcPr>
          <w:p w14:paraId="72C0F7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28" w:type="dxa"/>
            <w:shd w:val="clear" w:color="auto" w:fill="auto"/>
            <w:vAlign w:val="center"/>
          </w:tcPr>
          <w:p w14:paraId="5A3936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石膏板</w:t>
            </w:r>
          </w:p>
        </w:tc>
        <w:tc>
          <w:tcPr>
            <w:tcW w:w="4001" w:type="dxa"/>
            <w:shd w:val="clear" w:color="auto" w:fill="auto"/>
            <w:vAlign w:val="center"/>
          </w:tcPr>
          <w:p w14:paraId="169BD01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千年舟、泰山、龙牌、兔宝宝或相当于</w:t>
            </w:r>
          </w:p>
        </w:tc>
        <w:tc>
          <w:tcPr>
            <w:tcW w:w="1701" w:type="dxa"/>
            <w:shd w:val="clear" w:color="auto" w:fill="auto"/>
            <w:vAlign w:val="center"/>
          </w:tcPr>
          <w:p w14:paraId="4D122277">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0E488B56">
            <w:pPr>
              <w:widowControl/>
              <w:spacing w:line="360" w:lineRule="auto"/>
              <w:jc w:val="center"/>
              <w:rPr>
                <w:rFonts w:hint="eastAsia" w:ascii="宋体" w:hAnsi="宋体" w:cs="宋体"/>
                <w:color w:val="auto"/>
                <w:kern w:val="0"/>
                <w:sz w:val="24"/>
              </w:rPr>
            </w:pPr>
          </w:p>
        </w:tc>
      </w:tr>
      <w:tr w14:paraId="4044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36" w:type="dxa"/>
            <w:shd w:val="clear" w:color="000000" w:fill="FFFFFF"/>
            <w:vAlign w:val="center"/>
          </w:tcPr>
          <w:p w14:paraId="3EDE24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828" w:type="dxa"/>
            <w:shd w:val="clear" w:color="auto" w:fill="auto"/>
            <w:vAlign w:val="center"/>
          </w:tcPr>
          <w:p w14:paraId="3064FE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阻燃板</w:t>
            </w:r>
          </w:p>
        </w:tc>
        <w:tc>
          <w:tcPr>
            <w:tcW w:w="4001" w:type="dxa"/>
            <w:shd w:val="clear" w:color="auto" w:fill="auto"/>
            <w:vAlign w:val="center"/>
          </w:tcPr>
          <w:p w14:paraId="21FF7B2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千年舟、莫干山、兔宝宝或相当于</w:t>
            </w:r>
          </w:p>
        </w:tc>
        <w:tc>
          <w:tcPr>
            <w:tcW w:w="1701" w:type="dxa"/>
            <w:shd w:val="clear" w:color="auto" w:fill="auto"/>
            <w:vAlign w:val="center"/>
          </w:tcPr>
          <w:p w14:paraId="7051F492">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0971BE6B">
            <w:pPr>
              <w:widowControl/>
              <w:spacing w:line="360" w:lineRule="auto"/>
              <w:jc w:val="center"/>
              <w:rPr>
                <w:rFonts w:hint="eastAsia" w:ascii="宋体" w:hAnsi="宋体" w:cs="宋体"/>
                <w:color w:val="auto"/>
                <w:kern w:val="0"/>
                <w:sz w:val="24"/>
              </w:rPr>
            </w:pPr>
          </w:p>
        </w:tc>
      </w:tr>
      <w:tr w14:paraId="29C3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36" w:type="dxa"/>
            <w:shd w:val="clear" w:color="000000" w:fill="FFFFFF"/>
            <w:vAlign w:val="center"/>
          </w:tcPr>
          <w:p w14:paraId="178CCB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28" w:type="dxa"/>
            <w:shd w:val="clear" w:color="auto" w:fill="auto"/>
            <w:vAlign w:val="center"/>
          </w:tcPr>
          <w:p w14:paraId="0CD45A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石膏基高性能纤维板</w:t>
            </w:r>
          </w:p>
        </w:tc>
        <w:tc>
          <w:tcPr>
            <w:tcW w:w="4001" w:type="dxa"/>
            <w:shd w:val="clear" w:color="auto" w:fill="auto"/>
            <w:vAlign w:val="center"/>
          </w:tcPr>
          <w:p w14:paraId="7081DA9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龙牌、泰山、千年舟、兔宝宝或相当于</w:t>
            </w:r>
          </w:p>
        </w:tc>
        <w:tc>
          <w:tcPr>
            <w:tcW w:w="1701" w:type="dxa"/>
            <w:shd w:val="clear" w:color="auto" w:fill="auto"/>
            <w:vAlign w:val="center"/>
          </w:tcPr>
          <w:p w14:paraId="5ADF4CF4">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213A956F">
            <w:pPr>
              <w:widowControl/>
              <w:spacing w:line="360" w:lineRule="auto"/>
              <w:jc w:val="center"/>
              <w:rPr>
                <w:rFonts w:hint="eastAsia" w:ascii="宋体" w:hAnsi="宋体" w:cs="宋体"/>
                <w:color w:val="auto"/>
                <w:kern w:val="0"/>
                <w:sz w:val="24"/>
              </w:rPr>
            </w:pPr>
          </w:p>
        </w:tc>
      </w:tr>
      <w:tr w14:paraId="3537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36" w:type="dxa"/>
            <w:shd w:val="clear" w:color="000000" w:fill="FFFFFF"/>
            <w:vAlign w:val="center"/>
          </w:tcPr>
          <w:p w14:paraId="0A4355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28" w:type="dxa"/>
            <w:shd w:val="clear" w:color="auto" w:fill="auto"/>
            <w:vAlign w:val="center"/>
          </w:tcPr>
          <w:p w14:paraId="7129EC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地砖</w:t>
            </w:r>
          </w:p>
        </w:tc>
        <w:tc>
          <w:tcPr>
            <w:tcW w:w="4001" w:type="dxa"/>
            <w:shd w:val="clear" w:color="auto" w:fill="auto"/>
            <w:vAlign w:val="center"/>
          </w:tcPr>
          <w:p w14:paraId="6278364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诺贝尔、格莱斯、金雅陶或相当于</w:t>
            </w:r>
          </w:p>
        </w:tc>
        <w:tc>
          <w:tcPr>
            <w:tcW w:w="1701" w:type="dxa"/>
            <w:shd w:val="clear" w:color="auto" w:fill="auto"/>
            <w:vAlign w:val="center"/>
          </w:tcPr>
          <w:p w14:paraId="733449A6">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013DA2BB">
            <w:pPr>
              <w:widowControl/>
              <w:spacing w:line="360" w:lineRule="auto"/>
              <w:jc w:val="center"/>
              <w:rPr>
                <w:rFonts w:hint="eastAsia" w:ascii="宋体" w:hAnsi="宋体" w:cs="宋体"/>
                <w:color w:val="auto"/>
                <w:kern w:val="0"/>
                <w:sz w:val="24"/>
              </w:rPr>
            </w:pPr>
          </w:p>
        </w:tc>
      </w:tr>
      <w:tr w14:paraId="3892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36" w:type="dxa"/>
            <w:shd w:val="clear" w:color="000000" w:fill="FFFFFF"/>
            <w:vAlign w:val="center"/>
          </w:tcPr>
          <w:p w14:paraId="656333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28" w:type="dxa"/>
            <w:shd w:val="clear" w:color="auto" w:fill="auto"/>
            <w:vAlign w:val="center"/>
          </w:tcPr>
          <w:p w14:paraId="4CF422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22mm枫木运动地板（A）级</w:t>
            </w:r>
          </w:p>
        </w:tc>
        <w:tc>
          <w:tcPr>
            <w:tcW w:w="4001" w:type="dxa"/>
            <w:shd w:val="clear" w:color="auto" w:fill="auto"/>
            <w:vAlign w:val="center"/>
          </w:tcPr>
          <w:p w14:paraId="7A370F4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金陵、 欧氏 、圣象或相当于</w:t>
            </w:r>
          </w:p>
        </w:tc>
        <w:tc>
          <w:tcPr>
            <w:tcW w:w="1701" w:type="dxa"/>
            <w:shd w:val="clear" w:color="auto" w:fill="auto"/>
            <w:vAlign w:val="center"/>
          </w:tcPr>
          <w:p w14:paraId="260A8ADE">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2F221FE4">
            <w:pPr>
              <w:widowControl/>
              <w:spacing w:line="360" w:lineRule="auto"/>
              <w:jc w:val="center"/>
              <w:rPr>
                <w:rFonts w:hint="eastAsia" w:ascii="宋体" w:hAnsi="宋体" w:cs="宋体"/>
                <w:color w:val="auto"/>
                <w:kern w:val="0"/>
                <w:sz w:val="24"/>
              </w:rPr>
            </w:pPr>
          </w:p>
        </w:tc>
      </w:tr>
      <w:tr w14:paraId="7C1C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36" w:type="dxa"/>
            <w:shd w:val="clear" w:color="000000" w:fill="FFFFFF"/>
            <w:vAlign w:val="center"/>
          </w:tcPr>
          <w:p w14:paraId="012941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28" w:type="dxa"/>
            <w:shd w:val="clear" w:color="auto" w:fill="auto"/>
            <w:vAlign w:val="center"/>
          </w:tcPr>
          <w:p w14:paraId="6A67A4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25mm舞台专用地板（枫木运动地板、A级）</w:t>
            </w:r>
          </w:p>
        </w:tc>
        <w:tc>
          <w:tcPr>
            <w:tcW w:w="4001" w:type="dxa"/>
            <w:shd w:val="clear" w:color="auto" w:fill="auto"/>
            <w:vAlign w:val="center"/>
          </w:tcPr>
          <w:p w14:paraId="590B96C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金陵 、欧氏、 圣象或相当于</w:t>
            </w:r>
          </w:p>
        </w:tc>
        <w:tc>
          <w:tcPr>
            <w:tcW w:w="1701" w:type="dxa"/>
            <w:shd w:val="clear" w:color="auto" w:fill="auto"/>
            <w:vAlign w:val="center"/>
          </w:tcPr>
          <w:p w14:paraId="558453DF">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3D35CC5E">
            <w:pPr>
              <w:widowControl/>
              <w:spacing w:line="360" w:lineRule="auto"/>
              <w:jc w:val="center"/>
              <w:rPr>
                <w:rFonts w:hint="eastAsia" w:ascii="宋体" w:hAnsi="宋体" w:cs="宋体"/>
                <w:color w:val="auto"/>
                <w:kern w:val="0"/>
                <w:sz w:val="24"/>
              </w:rPr>
            </w:pPr>
          </w:p>
        </w:tc>
      </w:tr>
      <w:tr w14:paraId="0567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36" w:type="dxa"/>
            <w:shd w:val="clear" w:color="000000" w:fill="FFFFFF"/>
            <w:vAlign w:val="center"/>
          </w:tcPr>
          <w:p w14:paraId="552194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28" w:type="dxa"/>
            <w:shd w:val="clear" w:color="auto" w:fill="auto"/>
            <w:vAlign w:val="center"/>
          </w:tcPr>
          <w:p w14:paraId="509F3B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15mm原木色免漆板</w:t>
            </w:r>
          </w:p>
        </w:tc>
        <w:tc>
          <w:tcPr>
            <w:tcW w:w="4001" w:type="dxa"/>
            <w:shd w:val="clear" w:color="auto" w:fill="auto"/>
            <w:vAlign w:val="center"/>
          </w:tcPr>
          <w:p w14:paraId="0AD4250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千年舟、莫干山、 伟业、兔宝宝或相当于</w:t>
            </w:r>
          </w:p>
        </w:tc>
        <w:tc>
          <w:tcPr>
            <w:tcW w:w="1701" w:type="dxa"/>
            <w:shd w:val="clear" w:color="auto" w:fill="auto"/>
            <w:vAlign w:val="center"/>
          </w:tcPr>
          <w:p w14:paraId="1672103E">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33A3519D">
            <w:pPr>
              <w:widowControl/>
              <w:spacing w:line="360" w:lineRule="auto"/>
              <w:jc w:val="center"/>
              <w:rPr>
                <w:rFonts w:hint="eastAsia" w:ascii="宋体" w:hAnsi="宋体" w:cs="宋体"/>
                <w:color w:val="auto"/>
                <w:kern w:val="0"/>
                <w:sz w:val="24"/>
              </w:rPr>
            </w:pPr>
          </w:p>
        </w:tc>
      </w:tr>
      <w:tr w14:paraId="3837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36" w:type="dxa"/>
            <w:shd w:val="clear" w:color="000000" w:fill="FFFFFF"/>
            <w:vAlign w:val="center"/>
          </w:tcPr>
          <w:p w14:paraId="7553AD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28" w:type="dxa"/>
            <w:shd w:val="clear" w:color="auto" w:fill="auto"/>
            <w:vAlign w:val="center"/>
          </w:tcPr>
          <w:p w14:paraId="67FEC7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铝扣板</w:t>
            </w:r>
          </w:p>
        </w:tc>
        <w:tc>
          <w:tcPr>
            <w:tcW w:w="4001" w:type="dxa"/>
            <w:shd w:val="clear" w:color="auto" w:fill="auto"/>
            <w:vAlign w:val="center"/>
          </w:tcPr>
          <w:p w14:paraId="7FF148D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铝晟 、宇丰、 润创或相当于</w:t>
            </w:r>
          </w:p>
        </w:tc>
        <w:tc>
          <w:tcPr>
            <w:tcW w:w="1701" w:type="dxa"/>
            <w:shd w:val="clear" w:color="auto" w:fill="auto"/>
            <w:vAlign w:val="center"/>
          </w:tcPr>
          <w:p w14:paraId="3B54037C">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5A02A7F3">
            <w:pPr>
              <w:widowControl/>
              <w:spacing w:line="360" w:lineRule="auto"/>
              <w:jc w:val="center"/>
              <w:rPr>
                <w:rFonts w:hint="eastAsia" w:ascii="宋体" w:hAnsi="宋体" w:cs="宋体"/>
                <w:color w:val="auto"/>
                <w:kern w:val="0"/>
                <w:sz w:val="24"/>
              </w:rPr>
            </w:pPr>
          </w:p>
        </w:tc>
      </w:tr>
      <w:tr w14:paraId="503A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36" w:type="dxa"/>
            <w:shd w:val="clear" w:color="000000" w:fill="FFFFFF"/>
            <w:vAlign w:val="center"/>
          </w:tcPr>
          <w:p w14:paraId="25BFCC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28" w:type="dxa"/>
            <w:shd w:val="clear" w:color="auto" w:fill="auto"/>
            <w:vAlign w:val="center"/>
          </w:tcPr>
          <w:p w14:paraId="6FF307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轻型龙骨</w:t>
            </w:r>
          </w:p>
        </w:tc>
        <w:tc>
          <w:tcPr>
            <w:tcW w:w="4001" w:type="dxa"/>
            <w:shd w:val="clear" w:color="auto" w:fill="auto"/>
            <w:vAlign w:val="center"/>
          </w:tcPr>
          <w:p w14:paraId="597758B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千年舟、 得地 、龙牌、兔宝宝或相当于</w:t>
            </w:r>
          </w:p>
        </w:tc>
        <w:tc>
          <w:tcPr>
            <w:tcW w:w="1701" w:type="dxa"/>
            <w:shd w:val="clear" w:color="auto" w:fill="auto"/>
            <w:vAlign w:val="center"/>
          </w:tcPr>
          <w:p w14:paraId="5293401E">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760F9E5B">
            <w:pPr>
              <w:widowControl/>
              <w:spacing w:line="360" w:lineRule="auto"/>
              <w:jc w:val="center"/>
              <w:rPr>
                <w:rFonts w:hint="eastAsia" w:ascii="宋体" w:hAnsi="宋体" w:cs="宋体"/>
                <w:color w:val="auto"/>
                <w:kern w:val="0"/>
                <w:sz w:val="24"/>
              </w:rPr>
            </w:pPr>
          </w:p>
        </w:tc>
      </w:tr>
      <w:tr w14:paraId="620F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6" w:type="dxa"/>
            <w:shd w:val="clear" w:color="000000" w:fill="FFFFFF"/>
            <w:vAlign w:val="center"/>
          </w:tcPr>
          <w:p w14:paraId="007B08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28" w:type="dxa"/>
            <w:shd w:val="clear" w:color="auto" w:fill="auto"/>
            <w:vAlign w:val="center"/>
          </w:tcPr>
          <w:p w14:paraId="0AF43E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3mm灰色PVC地胶板</w:t>
            </w:r>
          </w:p>
        </w:tc>
        <w:tc>
          <w:tcPr>
            <w:tcW w:w="4001" w:type="dxa"/>
            <w:shd w:val="clear" w:color="auto" w:fill="auto"/>
            <w:vAlign w:val="center"/>
          </w:tcPr>
          <w:p w14:paraId="57098E9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阿姆斯壮 、丽杰 、欧保或相当于</w:t>
            </w:r>
          </w:p>
        </w:tc>
        <w:tc>
          <w:tcPr>
            <w:tcW w:w="1701" w:type="dxa"/>
            <w:shd w:val="clear" w:color="auto" w:fill="auto"/>
            <w:vAlign w:val="center"/>
          </w:tcPr>
          <w:p w14:paraId="24AF1DAB">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6D11E1C4">
            <w:pPr>
              <w:widowControl/>
              <w:spacing w:line="360" w:lineRule="auto"/>
              <w:jc w:val="center"/>
              <w:rPr>
                <w:rFonts w:hint="eastAsia" w:ascii="宋体" w:hAnsi="宋体" w:cs="宋体"/>
                <w:color w:val="auto"/>
                <w:kern w:val="0"/>
                <w:sz w:val="24"/>
              </w:rPr>
            </w:pPr>
          </w:p>
        </w:tc>
      </w:tr>
      <w:tr w14:paraId="2732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36" w:type="dxa"/>
            <w:shd w:val="clear" w:color="000000" w:fill="FFFFFF"/>
            <w:vAlign w:val="center"/>
          </w:tcPr>
          <w:p w14:paraId="74D940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28" w:type="dxa"/>
            <w:shd w:val="clear" w:color="auto" w:fill="auto"/>
            <w:vAlign w:val="center"/>
          </w:tcPr>
          <w:p w14:paraId="4D8D90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6.5mm运动地胶板</w:t>
            </w:r>
          </w:p>
        </w:tc>
        <w:tc>
          <w:tcPr>
            <w:tcW w:w="4001" w:type="dxa"/>
            <w:shd w:val="clear" w:color="auto" w:fill="auto"/>
            <w:vAlign w:val="center"/>
          </w:tcPr>
          <w:p w14:paraId="4AEB6D1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阿姆斯壮、丽杰、欧保或相当于</w:t>
            </w:r>
          </w:p>
        </w:tc>
        <w:tc>
          <w:tcPr>
            <w:tcW w:w="1701" w:type="dxa"/>
            <w:shd w:val="clear" w:color="auto" w:fill="auto"/>
            <w:vAlign w:val="center"/>
          </w:tcPr>
          <w:p w14:paraId="44C5A323">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6D1058FE">
            <w:pPr>
              <w:widowControl/>
              <w:spacing w:line="360" w:lineRule="auto"/>
              <w:jc w:val="center"/>
              <w:rPr>
                <w:rFonts w:hint="eastAsia" w:ascii="宋体" w:hAnsi="宋体" w:cs="宋体"/>
                <w:color w:val="auto"/>
                <w:kern w:val="0"/>
                <w:sz w:val="24"/>
              </w:rPr>
            </w:pPr>
          </w:p>
        </w:tc>
      </w:tr>
      <w:tr w14:paraId="4B8A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36" w:type="dxa"/>
            <w:shd w:val="clear" w:color="000000" w:fill="FFFFFF"/>
            <w:vAlign w:val="center"/>
          </w:tcPr>
          <w:p w14:paraId="69F8F7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28" w:type="dxa"/>
            <w:shd w:val="clear" w:color="auto" w:fill="auto"/>
            <w:vAlign w:val="center"/>
          </w:tcPr>
          <w:p w14:paraId="0F3F32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8mm白色FC穿孔吸音板</w:t>
            </w:r>
          </w:p>
        </w:tc>
        <w:tc>
          <w:tcPr>
            <w:tcW w:w="4001" w:type="dxa"/>
            <w:shd w:val="clear" w:color="auto" w:fill="auto"/>
            <w:vAlign w:val="center"/>
          </w:tcPr>
          <w:p w14:paraId="069164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明源、 丽音、诺威娜或相当于</w:t>
            </w:r>
          </w:p>
        </w:tc>
        <w:tc>
          <w:tcPr>
            <w:tcW w:w="1701" w:type="dxa"/>
            <w:shd w:val="clear" w:color="auto" w:fill="auto"/>
            <w:vAlign w:val="center"/>
          </w:tcPr>
          <w:p w14:paraId="12BAD1AE">
            <w:pPr>
              <w:spacing w:line="360" w:lineRule="auto"/>
              <w:jc w:val="center"/>
              <w:rPr>
                <w:rFonts w:hint="eastAsia" w:ascii="宋体" w:hAnsi="宋体" w:cs="宋体"/>
                <w:color w:val="auto"/>
                <w:kern w:val="0"/>
                <w:sz w:val="24"/>
              </w:rPr>
            </w:pPr>
          </w:p>
        </w:tc>
        <w:tc>
          <w:tcPr>
            <w:tcW w:w="1102" w:type="dxa"/>
            <w:shd w:val="clear" w:color="000000" w:fill="FFFFFF"/>
            <w:vAlign w:val="center"/>
          </w:tcPr>
          <w:p w14:paraId="240AC094">
            <w:pPr>
              <w:widowControl/>
              <w:spacing w:line="360" w:lineRule="auto"/>
              <w:jc w:val="center"/>
              <w:rPr>
                <w:rFonts w:hint="eastAsia" w:ascii="宋体" w:hAnsi="宋体" w:cs="宋体"/>
                <w:color w:val="auto"/>
                <w:kern w:val="0"/>
                <w:sz w:val="24"/>
              </w:rPr>
            </w:pPr>
          </w:p>
        </w:tc>
      </w:tr>
      <w:tr w14:paraId="0112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36" w:type="dxa"/>
            <w:shd w:val="clear" w:color="000000" w:fill="FFFFFF"/>
            <w:vAlign w:val="center"/>
          </w:tcPr>
          <w:p w14:paraId="2083B7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28" w:type="dxa"/>
            <w:shd w:val="clear" w:color="auto" w:fill="auto"/>
            <w:vAlign w:val="center"/>
          </w:tcPr>
          <w:p w14:paraId="781A20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喷砂矿棉板300*1200*19</w:t>
            </w:r>
          </w:p>
        </w:tc>
        <w:tc>
          <w:tcPr>
            <w:tcW w:w="4001" w:type="dxa"/>
            <w:shd w:val="clear" w:color="auto" w:fill="auto"/>
            <w:vAlign w:val="center"/>
          </w:tcPr>
          <w:p w14:paraId="1D6D84D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莫干山、台铭、联亿、  或相当于</w:t>
            </w:r>
          </w:p>
        </w:tc>
        <w:tc>
          <w:tcPr>
            <w:tcW w:w="1701" w:type="dxa"/>
            <w:shd w:val="clear" w:color="auto" w:fill="auto"/>
            <w:vAlign w:val="center"/>
          </w:tcPr>
          <w:p w14:paraId="0D8E82EE">
            <w:pPr>
              <w:spacing w:line="360" w:lineRule="auto"/>
              <w:jc w:val="center"/>
              <w:rPr>
                <w:rFonts w:hint="eastAsia" w:ascii="宋体" w:hAnsi="宋体" w:cs="宋体"/>
                <w:color w:val="auto"/>
                <w:kern w:val="0"/>
                <w:sz w:val="24"/>
              </w:rPr>
            </w:pPr>
          </w:p>
        </w:tc>
        <w:tc>
          <w:tcPr>
            <w:tcW w:w="1102" w:type="dxa"/>
            <w:shd w:val="clear" w:color="000000" w:fill="FFFFFF"/>
            <w:vAlign w:val="center"/>
          </w:tcPr>
          <w:p w14:paraId="2F418EDF">
            <w:pPr>
              <w:widowControl/>
              <w:spacing w:line="360" w:lineRule="auto"/>
              <w:jc w:val="center"/>
              <w:rPr>
                <w:rFonts w:hint="eastAsia" w:ascii="宋体" w:hAnsi="宋体" w:cs="宋体"/>
                <w:color w:val="auto"/>
                <w:kern w:val="0"/>
                <w:sz w:val="24"/>
              </w:rPr>
            </w:pPr>
          </w:p>
        </w:tc>
      </w:tr>
      <w:tr w14:paraId="6DBD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6" w:type="dxa"/>
            <w:shd w:val="clear" w:color="000000" w:fill="FFFFFF"/>
            <w:vAlign w:val="center"/>
          </w:tcPr>
          <w:p w14:paraId="4A48FB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28" w:type="dxa"/>
            <w:shd w:val="clear" w:color="000000" w:fill="FFFFFF"/>
            <w:vAlign w:val="center"/>
          </w:tcPr>
          <w:p w14:paraId="234A6A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玻纤吸音板吊顶1200*600*30</w:t>
            </w:r>
          </w:p>
        </w:tc>
        <w:tc>
          <w:tcPr>
            <w:tcW w:w="4001" w:type="dxa"/>
            <w:shd w:val="clear" w:color="000000" w:fill="FFFFFF"/>
            <w:vAlign w:val="center"/>
          </w:tcPr>
          <w:p w14:paraId="3E3186B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铝晟、润创、乐思龙或相当于</w:t>
            </w:r>
          </w:p>
        </w:tc>
        <w:tc>
          <w:tcPr>
            <w:tcW w:w="1701" w:type="dxa"/>
            <w:shd w:val="clear" w:color="000000" w:fill="FFFFFF"/>
            <w:vAlign w:val="center"/>
          </w:tcPr>
          <w:p w14:paraId="18720ADF">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4A8EA80D">
            <w:pPr>
              <w:widowControl/>
              <w:spacing w:line="360" w:lineRule="auto"/>
              <w:jc w:val="center"/>
              <w:rPr>
                <w:rFonts w:hint="eastAsia" w:ascii="宋体" w:hAnsi="宋体" w:cs="宋体"/>
                <w:color w:val="auto"/>
                <w:kern w:val="0"/>
                <w:sz w:val="24"/>
              </w:rPr>
            </w:pPr>
          </w:p>
        </w:tc>
      </w:tr>
      <w:tr w14:paraId="25D1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6" w:type="dxa"/>
            <w:shd w:val="clear" w:color="000000" w:fill="FFFFFF"/>
            <w:vAlign w:val="center"/>
          </w:tcPr>
          <w:p w14:paraId="208A3E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28" w:type="dxa"/>
            <w:shd w:val="clear" w:color="000000" w:fill="FFFFFF"/>
            <w:vAlign w:val="center"/>
          </w:tcPr>
          <w:p w14:paraId="6B4CF0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8mm木纹FC穿孔吸音板</w:t>
            </w:r>
          </w:p>
        </w:tc>
        <w:tc>
          <w:tcPr>
            <w:tcW w:w="4001" w:type="dxa"/>
            <w:shd w:val="clear" w:color="000000" w:fill="FFFFFF"/>
            <w:vAlign w:val="center"/>
          </w:tcPr>
          <w:p w14:paraId="336309F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明源、 丽音、  诺威娜或相当于</w:t>
            </w:r>
          </w:p>
        </w:tc>
        <w:tc>
          <w:tcPr>
            <w:tcW w:w="1701" w:type="dxa"/>
            <w:shd w:val="clear" w:color="000000" w:fill="FFFFFF"/>
            <w:vAlign w:val="center"/>
          </w:tcPr>
          <w:p w14:paraId="73C4E714">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035329E5">
            <w:pPr>
              <w:widowControl/>
              <w:spacing w:line="360" w:lineRule="auto"/>
              <w:jc w:val="center"/>
              <w:rPr>
                <w:rFonts w:hint="eastAsia" w:ascii="宋体" w:hAnsi="宋体" w:cs="宋体"/>
                <w:color w:val="auto"/>
                <w:kern w:val="0"/>
                <w:sz w:val="24"/>
              </w:rPr>
            </w:pPr>
          </w:p>
        </w:tc>
      </w:tr>
      <w:tr w14:paraId="0758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6" w:type="dxa"/>
            <w:shd w:val="clear" w:color="000000" w:fill="FFFFFF"/>
            <w:vAlign w:val="center"/>
          </w:tcPr>
          <w:p w14:paraId="775380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28" w:type="dxa"/>
            <w:shd w:val="clear" w:color="000000" w:fill="FFFFFF"/>
            <w:vAlign w:val="center"/>
          </w:tcPr>
          <w:p w14:paraId="4612FB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30mm厚木纹铝边框吸音模块</w:t>
            </w:r>
          </w:p>
        </w:tc>
        <w:tc>
          <w:tcPr>
            <w:tcW w:w="4001" w:type="dxa"/>
            <w:shd w:val="clear" w:color="000000" w:fill="FFFFFF"/>
            <w:vAlign w:val="center"/>
          </w:tcPr>
          <w:p w14:paraId="5660798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铝晟 、 润创、  吉祥或相当于</w:t>
            </w:r>
          </w:p>
        </w:tc>
        <w:tc>
          <w:tcPr>
            <w:tcW w:w="1701" w:type="dxa"/>
            <w:shd w:val="clear" w:color="000000" w:fill="FFFFFF"/>
            <w:vAlign w:val="center"/>
          </w:tcPr>
          <w:p w14:paraId="01FC21B4">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2F517E16">
            <w:pPr>
              <w:widowControl/>
              <w:spacing w:line="360" w:lineRule="auto"/>
              <w:jc w:val="center"/>
              <w:rPr>
                <w:rFonts w:hint="eastAsia" w:ascii="宋体" w:hAnsi="宋体" w:cs="宋体"/>
                <w:color w:val="auto"/>
                <w:kern w:val="0"/>
                <w:sz w:val="24"/>
              </w:rPr>
            </w:pPr>
          </w:p>
        </w:tc>
      </w:tr>
      <w:tr w14:paraId="63F9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6" w:type="dxa"/>
            <w:shd w:val="clear" w:color="000000" w:fill="FFFFFF"/>
            <w:vAlign w:val="center"/>
          </w:tcPr>
          <w:p w14:paraId="16679E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28" w:type="dxa"/>
            <w:shd w:val="clear" w:color="000000" w:fill="FFFFFF"/>
            <w:vAlign w:val="center"/>
          </w:tcPr>
          <w:p w14:paraId="2CF06F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1mm厚木纹微孔金属低频吸音板</w:t>
            </w:r>
          </w:p>
        </w:tc>
        <w:tc>
          <w:tcPr>
            <w:tcW w:w="4001" w:type="dxa"/>
            <w:shd w:val="clear" w:color="000000" w:fill="FFFFFF"/>
            <w:vAlign w:val="center"/>
          </w:tcPr>
          <w:p w14:paraId="765DA6B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铝晟  、润创 、 吉祥或相当于</w:t>
            </w:r>
          </w:p>
        </w:tc>
        <w:tc>
          <w:tcPr>
            <w:tcW w:w="1701" w:type="dxa"/>
            <w:shd w:val="clear" w:color="000000" w:fill="FFFFFF"/>
            <w:vAlign w:val="center"/>
          </w:tcPr>
          <w:p w14:paraId="2FB787D8">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4DC79F4E">
            <w:pPr>
              <w:widowControl/>
              <w:spacing w:line="360" w:lineRule="auto"/>
              <w:jc w:val="center"/>
              <w:rPr>
                <w:rFonts w:hint="eastAsia" w:ascii="宋体" w:hAnsi="宋体" w:cs="宋体"/>
                <w:color w:val="auto"/>
                <w:kern w:val="0"/>
                <w:sz w:val="24"/>
              </w:rPr>
            </w:pPr>
          </w:p>
        </w:tc>
      </w:tr>
      <w:tr w14:paraId="2E79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6" w:type="dxa"/>
            <w:shd w:val="clear" w:color="000000" w:fill="FFFFFF"/>
            <w:vAlign w:val="center"/>
          </w:tcPr>
          <w:p w14:paraId="23C96A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28" w:type="dxa"/>
            <w:shd w:val="clear" w:color="000000" w:fill="FFFFFF"/>
            <w:vAlign w:val="center"/>
          </w:tcPr>
          <w:p w14:paraId="68D356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8mm石英纤维装饰板</w:t>
            </w:r>
          </w:p>
        </w:tc>
        <w:tc>
          <w:tcPr>
            <w:tcW w:w="4001" w:type="dxa"/>
            <w:shd w:val="clear" w:color="000000" w:fill="FFFFFF"/>
            <w:vAlign w:val="center"/>
          </w:tcPr>
          <w:p w14:paraId="715767A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德耐姆 、 洁声、  誉静或相当于</w:t>
            </w:r>
          </w:p>
        </w:tc>
        <w:tc>
          <w:tcPr>
            <w:tcW w:w="1701" w:type="dxa"/>
            <w:shd w:val="clear" w:color="000000" w:fill="FFFFFF"/>
            <w:vAlign w:val="center"/>
          </w:tcPr>
          <w:p w14:paraId="43B629AA">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02002A7A">
            <w:pPr>
              <w:widowControl/>
              <w:spacing w:line="360" w:lineRule="auto"/>
              <w:jc w:val="center"/>
              <w:rPr>
                <w:rFonts w:hint="eastAsia" w:ascii="宋体" w:hAnsi="宋体" w:cs="宋体"/>
                <w:color w:val="auto"/>
                <w:kern w:val="0"/>
                <w:sz w:val="24"/>
              </w:rPr>
            </w:pPr>
          </w:p>
        </w:tc>
      </w:tr>
      <w:tr w14:paraId="5CCE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6" w:type="dxa"/>
            <w:shd w:val="clear" w:color="000000" w:fill="FFFFFF"/>
            <w:vAlign w:val="center"/>
          </w:tcPr>
          <w:p w14:paraId="0B922A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28" w:type="dxa"/>
            <w:shd w:val="clear" w:color="000000" w:fill="FFFFFF"/>
            <w:vAlign w:val="center"/>
          </w:tcPr>
          <w:p w14:paraId="796DA0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人工草坪50mm</w:t>
            </w:r>
          </w:p>
        </w:tc>
        <w:tc>
          <w:tcPr>
            <w:tcW w:w="4001" w:type="dxa"/>
            <w:shd w:val="clear" w:color="000000" w:fill="FFFFFF"/>
            <w:vAlign w:val="center"/>
          </w:tcPr>
          <w:p w14:paraId="0D29CC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绿成、清雅、涌进或相当于</w:t>
            </w:r>
          </w:p>
        </w:tc>
        <w:tc>
          <w:tcPr>
            <w:tcW w:w="1701" w:type="dxa"/>
            <w:shd w:val="clear" w:color="000000" w:fill="FFFFFF"/>
            <w:vAlign w:val="center"/>
          </w:tcPr>
          <w:p w14:paraId="1E9C5C8A">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06C56025">
            <w:pPr>
              <w:widowControl/>
              <w:spacing w:line="360" w:lineRule="auto"/>
              <w:jc w:val="center"/>
              <w:rPr>
                <w:rFonts w:hint="eastAsia" w:ascii="宋体" w:hAnsi="宋体" w:cs="宋体"/>
                <w:color w:val="auto"/>
                <w:kern w:val="0"/>
                <w:sz w:val="24"/>
              </w:rPr>
            </w:pPr>
          </w:p>
        </w:tc>
      </w:tr>
      <w:tr w14:paraId="6E25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6" w:type="dxa"/>
            <w:shd w:val="clear" w:color="000000" w:fill="FFFFFF"/>
            <w:vAlign w:val="center"/>
          </w:tcPr>
          <w:p w14:paraId="14B238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28" w:type="dxa"/>
            <w:shd w:val="clear" w:color="000000" w:fill="FFFFFF"/>
            <w:vAlign w:val="center"/>
          </w:tcPr>
          <w:p w14:paraId="54DA18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无机涂料</w:t>
            </w:r>
          </w:p>
        </w:tc>
        <w:tc>
          <w:tcPr>
            <w:tcW w:w="4001" w:type="dxa"/>
            <w:shd w:val="clear" w:color="000000" w:fill="FFFFFF"/>
            <w:vAlign w:val="center"/>
          </w:tcPr>
          <w:p w14:paraId="11425C5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立邦、  多乐士、嘉宝莉或相当于</w:t>
            </w:r>
          </w:p>
        </w:tc>
        <w:tc>
          <w:tcPr>
            <w:tcW w:w="1701" w:type="dxa"/>
            <w:shd w:val="clear" w:color="000000" w:fill="FFFFFF"/>
            <w:vAlign w:val="center"/>
          </w:tcPr>
          <w:p w14:paraId="61E0FA00">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5DE06FAD">
            <w:pPr>
              <w:widowControl/>
              <w:spacing w:line="360" w:lineRule="auto"/>
              <w:jc w:val="center"/>
              <w:rPr>
                <w:rFonts w:hint="eastAsia" w:ascii="宋体" w:hAnsi="宋体" w:cs="宋体"/>
                <w:color w:val="auto"/>
                <w:kern w:val="0"/>
                <w:sz w:val="24"/>
              </w:rPr>
            </w:pPr>
          </w:p>
        </w:tc>
      </w:tr>
      <w:tr w14:paraId="4CB1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6" w:type="dxa"/>
            <w:shd w:val="clear" w:color="000000" w:fill="FFFFFF"/>
            <w:vAlign w:val="center"/>
          </w:tcPr>
          <w:p w14:paraId="415ABF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28" w:type="dxa"/>
            <w:shd w:val="clear" w:color="000000" w:fill="FFFFFF"/>
            <w:vAlign w:val="center"/>
          </w:tcPr>
          <w:p w14:paraId="6CE6CA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灯具</w:t>
            </w:r>
          </w:p>
        </w:tc>
        <w:tc>
          <w:tcPr>
            <w:tcW w:w="4001" w:type="dxa"/>
            <w:shd w:val="clear" w:color="000000" w:fill="FFFFFF"/>
            <w:vAlign w:val="center"/>
          </w:tcPr>
          <w:p w14:paraId="6CFD297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欧普 </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 xml:space="preserve"> 公牛</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 xml:space="preserve"> 西蒙</w:t>
            </w:r>
            <w:r>
              <w:rPr>
                <w:rFonts w:hint="eastAsia" w:ascii="宋体" w:hAnsi="宋体" w:eastAsia="宋体" w:cs="宋体"/>
                <w:i w:val="0"/>
                <w:iCs w:val="0"/>
                <w:color w:val="000000"/>
                <w:kern w:val="0"/>
                <w:sz w:val="21"/>
                <w:szCs w:val="21"/>
                <w:u w:val="none"/>
                <w:lang w:val="en-US" w:eastAsia="zh-CN" w:bidi="ar"/>
              </w:rPr>
              <w:t>或相当于</w:t>
            </w:r>
          </w:p>
        </w:tc>
        <w:tc>
          <w:tcPr>
            <w:tcW w:w="1701" w:type="dxa"/>
            <w:shd w:val="clear" w:color="000000" w:fill="FFFFFF"/>
            <w:vAlign w:val="center"/>
          </w:tcPr>
          <w:p w14:paraId="472C0ACD">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7FA73535">
            <w:pPr>
              <w:widowControl/>
              <w:spacing w:line="360" w:lineRule="auto"/>
              <w:jc w:val="center"/>
              <w:rPr>
                <w:rFonts w:hint="eastAsia" w:ascii="宋体" w:hAnsi="宋体" w:cs="宋体"/>
                <w:color w:val="auto"/>
                <w:kern w:val="0"/>
                <w:sz w:val="24"/>
              </w:rPr>
            </w:pPr>
          </w:p>
        </w:tc>
      </w:tr>
      <w:tr w14:paraId="679E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6" w:type="dxa"/>
            <w:shd w:val="clear" w:color="000000" w:fill="FFFFFF"/>
            <w:vAlign w:val="center"/>
          </w:tcPr>
          <w:p w14:paraId="44B8A6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28" w:type="dxa"/>
            <w:shd w:val="clear" w:color="000000" w:fill="FFFFFF"/>
            <w:vAlign w:val="center"/>
          </w:tcPr>
          <w:p w14:paraId="7AD943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元器件</w:t>
            </w:r>
          </w:p>
        </w:tc>
        <w:tc>
          <w:tcPr>
            <w:tcW w:w="4001" w:type="dxa"/>
            <w:shd w:val="clear" w:color="000000" w:fill="FFFFFF"/>
            <w:vAlign w:val="center"/>
          </w:tcPr>
          <w:p w14:paraId="7BF9203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正泰</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 xml:space="preserve">人民电气 </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公牛</w:t>
            </w:r>
            <w:r>
              <w:rPr>
                <w:rFonts w:hint="eastAsia" w:ascii="宋体" w:hAnsi="宋体" w:eastAsia="宋体" w:cs="宋体"/>
                <w:i w:val="0"/>
                <w:iCs w:val="0"/>
                <w:color w:val="000000"/>
                <w:kern w:val="0"/>
                <w:sz w:val="21"/>
                <w:szCs w:val="21"/>
                <w:u w:val="none"/>
                <w:lang w:val="en-US" w:eastAsia="zh-CN" w:bidi="ar"/>
              </w:rPr>
              <w:t>或相当于</w:t>
            </w:r>
          </w:p>
        </w:tc>
        <w:tc>
          <w:tcPr>
            <w:tcW w:w="1701" w:type="dxa"/>
            <w:shd w:val="clear" w:color="000000" w:fill="FFFFFF"/>
            <w:vAlign w:val="center"/>
          </w:tcPr>
          <w:p w14:paraId="1F55E66D">
            <w:pPr>
              <w:widowControl/>
              <w:spacing w:line="360" w:lineRule="auto"/>
              <w:jc w:val="center"/>
              <w:rPr>
                <w:rFonts w:hint="eastAsia" w:ascii="宋体" w:hAnsi="宋体" w:cs="宋体"/>
                <w:color w:val="auto"/>
                <w:kern w:val="0"/>
                <w:sz w:val="24"/>
              </w:rPr>
            </w:pPr>
          </w:p>
        </w:tc>
        <w:tc>
          <w:tcPr>
            <w:tcW w:w="1102" w:type="dxa"/>
            <w:shd w:val="clear" w:color="000000" w:fill="FFFFFF"/>
            <w:vAlign w:val="center"/>
          </w:tcPr>
          <w:p w14:paraId="3D75B498">
            <w:pPr>
              <w:widowControl/>
              <w:spacing w:line="360" w:lineRule="auto"/>
              <w:jc w:val="center"/>
              <w:rPr>
                <w:rFonts w:hint="eastAsia" w:ascii="宋体" w:hAnsi="宋体" w:cs="宋体"/>
                <w:color w:val="auto"/>
                <w:kern w:val="0"/>
                <w:sz w:val="24"/>
              </w:rPr>
            </w:pPr>
          </w:p>
        </w:tc>
      </w:tr>
    </w:tbl>
    <w:p w14:paraId="43E925A5">
      <w:pPr>
        <w:spacing w:line="360" w:lineRule="auto"/>
        <w:ind w:firstLine="422" w:firstLineChars="200"/>
        <w:jc w:val="left"/>
        <w:rPr>
          <w:rFonts w:hint="eastAsia" w:asciiTheme="minorEastAsia" w:hAnsiTheme="minorEastAsia"/>
          <w:b/>
          <w:bCs w:val="0"/>
          <w:kern w:val="0"/>
          <w:szCs w:val="21"/>
        </w:rPr>
      </w:pPr>
      <w:r>
        <w:rPr>
          <w:rFonts w:hint="eastAsia" w:asciiTheme="minorEastAsia" w:hAnsiTheme="minorEastAsia"/>
          <w:b/>
          <w:bCs w:val="0"/>
          <w:kern w:val="0"/>
          <w:szCs w:val="21"/>
        </w:rPr>
        <w:t>注：1、</w:t>
      </w:r>
      <w:r>
        <w:rPr>
          <w:rFonts w:hint="eastAsia" w:asciiTheme="minorEastAsia" w:hAnsiTheme="minorEastAsia"/>
          <w:b/>
          <w:bCs w:val="0"/>
          <w:kern w:val="0"/>
          <w:szCs w:val="21"/>
          <w:lang w:eastAsia="zh-CN"/>
        </w:rPr>
        <w:t>供应商</w:t>
      </w:r>
      <w:r>
        <w:rPr>
          <w:rFonts w:hint="eastAsia" w:asciiTheme="minorEastAsia" w:hAnsiTheme="minorEastAsia"/>
          <w:b/>
          <w:bCs w:val="0"/>
          <w:kern w:val="0"/>
          <w:szCs w:val="21"/>
        </w:rPr>
        <w:t>在投标</w:t>
      </w:r>
      <w:r>
        <w:rPr>
          <w:rFonts w:hint="eastAsia" w:asciiTheme="minorEastAsia" w:hAnsiTheme="minorEastAsia"/>
          <w:b/>
          <w:bCs w:val="0"/>
          <w:kern w:val="0"/>
          <w:szCs w:val="21"/>
          <w:lang w:eastAsia="zh-CN"/>
        </w:rPr>
        <w:t>响应</w:t>
      </w:r>
      <w:r>
        <w:rPr>
          <w:rFonts w:hint="eastAsia" w:asciiTheme="minorEastAsia" w:hAnsiTheme="minorEastAsia"/>
          <w:b/>
          <w:bCs w:val="0"/>
          <w:kern w:val="0"/>
          <w:szCs w:val="21"/>
        </w:rPr>
        <w:t>时应优先采用以上推荐品牌的品牌（明确其中一个），若选用推荐品牌以外的，替代产品品质不得低于推荐品牌产品档次，在评标过程中的设备选型及材料采用以评标委员会评定结果为准。</w:t>
      </w:r>
    </w:p>
    <w:p w14:paraId="4CCF3F1C">
      <w:pPr>
        <w:spacing w:line="360" w:lineRule="auto"/>
        <w:ind w:firstLine="422" w:firstLineChars="200"/>
        <w:jc w:val="left"/>
        <w:rPr>
          <w:rFonts w:hint="eastAsia" w:asciiTheme="minorEastAsia" w:hAnsiTheme="minorEastAsia"/>
          <w:b/>
          <w:bCs w:val="0"/>
          <w:color w:val="auto"/>
          <w:kern w:val="0"/>
          <w:szCs w:val="21"/>
        </w:rPr>
      </w:pPr>
      <w:r>
        <w:rPr>
          <w:rFonts w:hint="eastAsia" w:asciiTheme="minorEastAsia" w:hAnsiTheme="minorEastAsia"/>
          <w:b/>
          <w:bCs w:val="0"/>
          <w:color w:val="auto"/>
          <w:kern w:val="0"/>
          <w:szCs w:val="21"/>
        </w:rPr>
        <w:t>在投标过程中，当某设备材料的品牌名称与生产厂家名称出现相同时，以品牌名称为准进行认定。</w:t>
      </w:r>
    </w:p>
    <w:p w14:paraId="1644DDE3">
      <w:pPr>
        <w:spacing w:line="360" w:lineRule="auto"/>
        <w:ind w:firstLine="422" w:firstLineChars="200"/>
        <w:jc w:val="left"/>
        <w:rPr>
          <w:rFonts w:hint="eastAsia" w:asciiTheme="minorEastAsia" w:hAnsiTheme="minorEastAsia"/>
          <w:b/>
          <w:bCs w:val="0"/>
          <w:color w:val="auto"/>
          <w:kern w:val="0"/>
          <w:szCs w:val="21"/>
        </w:rPr>
      </w:pPr>
      <w:r>
        <w:rPr>
          <w:rFonts w:hint="eastAsia" w:asciiTheme="minorEastAsia" w:hAnsiTheme="minorEastAsia"/>
          <w:b/>
          <w:bCs w:val="0"/>
          <w:color w:val="auto"/>
          <w:kern w:val="0"/>
          <w:szCs w:val="21"/>
        </w:rPr>
        <w:t>3、同一种材料/设备原则上选用同一品牌；材料/设备需要选用两个及以上推荐品牌的，采购前要经采购人同意。</w:t>
      </w:r>
    </w:p>
    <w:p w14:paraId="6B010895">
      <w:pPr>
        <w:spacing w:line="360" w:lineRule="auto"/>
        <w:ind w:firstLine="422" w:firstLineChars="200"/>
        <w:jc w:val="left"/>
        <w:rPr>
          <w:rFonts w:hint="eastAsia" w:asciiTheme="minorEastAsia" w:hAnsiTheme="minorEastAsia"/>
          <w:b/>
          <w:bCs w:val="0"/>
          <w:color w:val="auto"/>
          <w:kern w:val="0"/>
          <w:szCs w:val="21"/>
        </w:rPr>
      </w:pPr>
      <w:r>
        <w:rPr>
          <w:rFonts w:hint="eastAsia" w:asciiTheme="minorEastAsia" w:hAnsiTheme="minorEastAsia"/>
          <w:b/>
          <w:bCs w:val="0"/>
          <w:color w:val="auto"/>
          <w:kern w:val="0"/>
          <w:szCs w:val="21"/>
        </w:rPr>
        <w:t xml:space="preserve">4、施工期间有下列特殊情况发生的，经采购人同意后，中标人可以选择与推荐品牌相同档次或以上的其它品牌，若同等档次的其他品牌价格更低，则调整为该产品实际价格，若更高，则不作调整： </w:t>
      </w:r>
    </w:p>
    <w:p w14:paraId="21B32209">
      <w:pPr>
        <w:spacing w:line="360" w:lineRule="auto"/>
        <w:ind w:firstLine="422" w:firstLineChars="200"/>
        <w:jc w:val="left"/>
        <w:rPr>
          <w:rFonts w:hint="eastAsia" w:asciiTheme="minorEastAsia" w:hAnsiTheme="minorEastAsia"/>
          <w:b/>
          <w:bCs w:val="0"/>
          <w:kern w:val="0"/>
          <w:szCs w:val="21"/>
        </w:rPr>
      </w:pPr>
      <w:r>
        <w:rPr>
          <w:rFonts w:hint="eastAsia" w:asciiTheme="minorEastAsia" w:hAnsiTheme="minorEastAsia"/>
          <w:b/>
          <w:bCs w:val="0"/>
          <w:kern w:val="0"/>
          <w:szCs w:val="21"/>
        </w:rPr>
        <w:fldChar w:fldCharType="begin"/>
      </w:r>
      <w:r>
        <w:rPr>
          <w:rFonts w:hint="eastAsia" w:asciiTheme="minorEastAsia" w:hAnsiTheme="minorEastAsia"/>
          <w:b/>
          <w:bCs w:val="0"/>
          <w:kern w:val="0"/>
          <w:szCs w:val="21"/>
        </w:rPr>
        <w:instrText xml:space="preserve">= 1 \* GB3</w:instrText>
      </w:r>
      <w:r>
        <w:rPr>
          <w:rFonts w:hint="eastAsia" w:asciiTheme="minorEastAsia" w:hAnsiTheme="minorEastAsia"/>
          <w:b/>
          <w:bCs w:val="0"/>
          <w:kern w:val="0"/>
          <w:szCs w:val="21"/>
        </w:rPr>
        <w:fldChar w:fldCharType="separate"/>
      </w:r>
      <w:r>
        <w:rPr>
          <w:rFonts w:hint="eastAsia" w:asciiTheme="minorEastAsia" w:hAnsiTheme="minorEastAsia"/>
          <w:b/>
          <w:bCs w:val="0"/>
          <w:kern w:val="0"/>
          <w:szCs w:val="21"/>
        </w:rPr>
        <w:t>①</w:t>
      </w:r>
      <w:r>
        <w:rPr>
          <w:rFonts w:hint="eastAsia" w:asciiTheme="minorEastAsia" w:hAnsiTheme="minorEastAsia"/>
          <w:b/>
          <w:bCs w:val="0"/>
          <w:kern w:val="0"/>
          <w:szCs w:val="21"/>
        </w:rPr>
        <w:fldChar w:fldCharType="end"/>
      </w:r>
      <w:r>
        <w:rPr>
          <w:rFonts w:hint="eastAsia" w:asciiTheme="minorEastAsia" w:hAnsiTheme="minorEastAsia"/>
          <w:b/>
          <w:bCs w:val="0"/>
          <w:kern w:val="0"/>
          <w:szCs w:val="21"/>
        </w:rPr>
        <w:t>中标人发现材料/设备中有特殊规格，采购人推荐的品牌厂家均不生产的。</w:t>
      </w:r>
    </w:p>
    <w:p w14:paraId="702D67F1">
      <w:pPr>
        <w:spacing w:line="360" w:lineRule="auto"/>
        <w:ind w:firstLine="422" w:firstLineChars="200"/>
        <w:jc w:val="left"/>
        <w:rPr>
          <w:rFonts w:hint="eastAsia" w:asciiTheme="minorEastAsia" w:hAnsiTheme="minorEastAsia"/>
          <w:b/>
          <w:bCs w:val="0"/>
          <w:kern w:val="0"/>
          <w:szCs w:val="21"/>
        </w:rPr>
      </w:pPr>
      <w:r>
        <w:rPr>
          <w:rFonts w:hint="eastAsia" w:asciiTheme="minorEastAsia" w:hAnsiTheme="minorEastAsia"/>
          <w:b/>
          <w:bCs w:val="0"/>
          <w:kern w:val="0"/>
          <w:szCs w:val="21"/>
        </w:rPr>
        <w:fldChar w:fldCharType="begin"/>
      </w:r>
      <w:r>
        <w:rPr>
          <w:rFonts w:hint="eastAsia" w:asciiTheme="minorEastAsia" w:hAnsiTheme="minorEastAsia"/>
          <w:b/>
          <w:bCs w:val="0"/>
          <w:kern w:val="0"/>
          <w:szCs w:val="21"/>
        </w:rPr>
        <w:instrText xml:space="preserve">= 2 \* GB3</w:instrText>
      </w:r>
      <w:r>
        <w:rPr>
          <w:rFonts w:hint="eastAsia" w:asciiTheme="minorEastAsia" w:hAnsiTheme="minorEastAsia"/>
          <w:b/>
          <w:bCs w:val="0"/>
          <w:kern w:val="0"/>
          <w:szCs w:val="21"/>
        </w:rPr>
        <w:fldChar w:fldCharType="separate"/>
      </w:r>
      <w:r>
        <w:rPr>
          <w:rFonts w:hint="eastAsia" w:asciiTheme="minorEastAsia" w:hAnsiTheme="minorEastAsia"/>
          <w:b/>
          <w:bCs w:val="0"/>
          <w:kern w:val="0"/>
          <w:szCs w:val="21"/>
        </w:rPr>
        <w:t>②</w:t>
      </w:r>
      <w:r>
        <w:rPr>
          <w:rFonts w:hint="eastAsia" w:asciiTheme="minorEastAsia" w:hAnsiTheme="minorEastAsia"/>
          <w:b/>
          <w:bCs w:val="0"/>
          <w:kern w:val="0"/>
          <w:szCs w:val="21"/>
        </w:rPr>
        <w:fldChar w:fldCharType="end"/>
      </w:r>
      <w:r>
        <w:rPr>
          <w:rFonts w:hint="eastAsia" w:asciiTheme="minorEastAsia" w:hAnsiTheme="minorEastAsia"/>
          <w:b/>
          <w:bCs w:val="0"/>
          <w:kern w:val="0"/>
          <w:szCs w:val="21"/>
        </w:rPr>
        <w:t>中标人发现采购人推荐品牌的材料/设备市场供应不足，均无法满足工程施工进度要求的。</w:t>
      </w:r>
    </w:p>
    <w:p w14:paraId="1051F239">
      <w:pPr>
        <w:spacing w:line="400" w:lineRule="exact"/>
        <w:rPr>
          <w:rFonts w:hint="eastAsia" w:asciiTheme="minorEastAsia" w:hAnsiTheme="minorEastAsia" w:eastAsiaTheme="minorEastAsia"/>
          <w:kern w:val="0"/>
          <w:szCs w:val="21"/>
          <w:lang w:eastAsia="zh-CN"/>
        </w:rPr>
      </w:pPr>
    </w:p>
    <w:p w14:paraId="0E0A2218">
      <w:pPr>
        <w:pStyle w:val="53"/>
        <w:pageBreakBefore/>
        <w:ind w:firstLine="0" w:firstLineChars="0"/>
        <w:contextualSpacing/>
        <w:jc w:val="center"/>
        <w:outlineLvl w:val="1"/>
        <w:rPr>
          <w:rFonts w:ascii="Calibri" w:hAnsi="Calibri" w:eastAsia="宋体" w:cs="Times New Roman"/>
          <w:b/>
          <w:sz w:val="32"/>
          <w:szCs w:val="32"/>
        </w:rPr>
      </w:pPr>
      <w:r>
        <w:rPr>
          <w:rFonts w:hint="eastAsia" w:ascii="宋体" w:hAnsi="宋体" w:eastAsia="宋体" w:cs="宋体"/>
          <w:b/>
          <w:sz w:val="28"/>
          <w:szCs w:val="28"/>
        </w:rPr>
        <w:t>第五章  商务条款</w:t>
      </w:r>
      <w:bookmarkEnd w:id="26"/>
    </w:p>
    <w:tbl>
      <w:tblPr>
        <w:tblStyle w:val="25"/>
        <w:tblW w:w="8958" w:type="dxa"/>
        <w:jc w:val="center"/>
        <w:tblLayout w:type="fixed"/>
        <w:tblCellMar>
          <w:top w:w="0" w:type="dxa"/>
          <w:left w:w="108" w:type="dxa"/>
          <w:bottom w:w="0" w:type="dxa"/>
          <w:right w:w="108" w:type="dxa"/>
        </w:tblCellMar>
      </w:tblPr>
      <w:tblGrid>
        <w:gridCol w:w="850"/>
        <w:gridCol w:w="8108"/>
      </w:tblGrid>
      <w:tr w14:paraId="0C96CC99">
        <w:tblPrEx>
          <w:tblCellMar>
            <w:top w:w="0" w:type="dxa"/>
            <w:left w:w="108" w:type="dxa"/>
            <w:bottom w:w="0" w:type="dxa"/>
            <w:right w:w="108" w:type="dxa"/>
          </w:tblCellMar>
        </w:tblPrEx>
        <w:trPr>
          <w:trHeight w:val="454" w:hRule="atLeast"/>
          <w:tblHeader/>
          <w:jc w:val="center"/>
        </w:trPr>
        <w:tc>
          <w:tcPr>
            <w:tcW w:w="850" w:type="dxa"/>
            <w:tcBorders>
              <w:top w:val="single" w:color="auto" w:sz="4" w:space="0"/>
              <w:left w:val="single" w:color="auto" w:sz="4" w:space="0"/>
              <w:bottom w:val="single" w:color="000000" w:sz="6" w:space="0"/>
              <w:right w:val="single" w:color="000000" w:sz="6" w:space="0"/>
            </w:tcBorders>
            <w:vAlign w:val="center"/>
          </w:tcPr>
          <w:p w14:paraId="35CA9DA7">
            <w:pPr>
              <w:autoSpaceDE w:val="0"/>
              <w:autoSpaceDN w:val="0"/>
              <w:adjustRightInd w:val="0"/>
              <w:spacing w:line="360" w:lineRule="exact"/>
              <w:contextualSpacing/>
              <w:jc w:val="center"/>
              <w:rPr>
                <w:rFonts w:ascii="Calibri" w:hAnsi="Calibri" w:eastAsia="宋体" w:cs="Times New Roman"/>
                <w:b/>
                <w:bCs/>
                <w:szCs w:val="21"/>
              </w:rPr>
            </w:pPr>
            <w:r>
              <w:rPr>
                <w:rFonts w:hint="eastAsia" w:ascii="Calibri" w:hAnsi="Calibri" w:eastAsia="宋体" w:cs="Times New Roman"/>
                <w:b/>
                <w:bCs/>
                <w:szCs w:val="21"/>
              </w:rPr>
              <w:t>序号</w:t>
            </w:r>
          </w:p>
        </w:tc>
        <w:tc>
          <w:tcPr>
            <w:tcW w:w="8108" w:type="dxa"/>
            <w:tcBorders>
              <w:top w:val="single" w:color="auto" w:sz="4" w:space="0"/>
              <w:left w:val="single" w:color="000000" w:sz="6" w:space="0"/>
              <w:bottom w:val="single" w:color="000000" w:sz="6" w:space="0"/>
              <w:right w:val="single" w:color="auto" w:sz="4" w:space="0"/>
            </w:tcBorders>
            <w:vAlign w:val="center"/>
          </w:tcPr>
          <w:p w14:paraId="390EEC94">
            <w:pPr>
              <w:autoSpaceDE w:val="0"/>
              <w:autoSpaceDN w:val="0"/>
              <w:adjustRightInd w:val="0"/>
              <w:spacing w:line="360" w:lineRule="exact"/>
              <w:contextualSpacing/>
              <w:jc w:val="center"/>
              <w:rPr>
                <w:rFonts w:ascii="Calibri" w:hAnsi="Calibri" w:eastAsia="宋体" w:cs="Times New Roman"/>
                <w:b/>
                <w:bCs/>
                <w:szCs w:val="21"/>
              </w:rPr>
            </w:pPr>
            <w:r>
              <w:rPr>
                <w:rFonts w:hint="eastAsia" w:ascii="Calibri" w:hAnsi="Calibri" w:eastAsia="宋体" w:cs="Times New Roman"/>
                <w:b/>
                <w:bCs/>
                <w:szCs w:val="21"/>
              </w:rPr>
              <w:t>内容</w:t>
            </w:r>
          </w:p>
        </w:tc>
      </w:tr>
      <w:tr w14:paraId="6676BDF5">
        <w:tblPrEx>
          <w:tblCellMar>
            <w:top w:w="0" w:type="dxa"/>
            <w:left w:w="108" w:type="dxa"/>
            <w:bottom w:w="0" w:type="dxa"/>
            <w:right w:w="108" w:type="dxa"/>
          </w:tblCellMar>
        </w:tblPrEx>
        <w:trPr>
          <w:trHeight w:val="454" w:hRule="atLeast"/>
          <w:jc w:val="center"/>
        </w:trPr>
        <w:tc>
          <w:tcPr>
            <w:tcW w:w="850" w:type="dxa"/>
            <w:tcBorders>
              <w:top w:val="single" w:color="000000" w:sz="6" w:space="0"/>
              <w:left w:val="single" w:color="auto" w:sz="4" w:space="0"/>
              <w:bottom w:val="single" w:color="000000" w:sz="6" w:space="0"/>
              <w:right w:val="single" w:color="000000" w:sz="6" w:space="0"/>
            </w:tcBorders>
            <w:vAlign w:val="center"/>
          </w:tcPr>
          <w:p w14:paraId="1033D377">
            <w:pPr>
              <w:spacing w:line="360" w:lineRule="exact"/>
              <w:contextualSpacing/>
              <w:jc w:val="center"/>
              <w:rPr>
                <w:rFonts w:ascii="Calibri" w:hAnsi="Calibri" w:eastAsia="宋体" w:cs="Times New Roman"/>
              </w:rPr>
            </w:pPr>
            <w:r>
              <w:rPr>
                <w:rFonts w:hint="eastAsia" w:ascii="Calibri" w:hAnsi="Calibri" w:eastAsia="宋体" w:cs="Times New Roman"/>
              </w:rPr>
              <w:t>1</w:t>
            </w:r>
          </w:p>
        </w:tc>
        <w:tc>
          <w:tcPr>
            <w:tcW w:w="8108" w:type="dxa"/>
            <w:tcBorders>
              <w:top w:val="single" w:color="000000" w:sz="6" w:space="0"/>
              <w:left w:val="single" w:color="000000" w:sz="6" w:space="0"/>
              <w:bottom w:val="single" w:color="000000" w:sz="6" w:space="0"/>
              <w:right w:val="single" w:color="auto" w:sz="4" w:space="0"/>
            </w:tcBorders>
            <w:vAlign w:val="center"/>
          </w:tcPr>
          <w:p w14:paraId="2F443374">
            <w:pPr>
              <w:autoSpaceDE w:val="0"/>
              <w:autoSpaceDN w:val="0"/>
              <w:adjustRightInd w:val="0"/>
              <w:spacing w:line="440" w:lineRule="exact"/>
              <w:contextualSpacing/>
              <w:rPr>
                <w:rFonts w:ascii="Calibri" w:hAnsi="Calibri" w:eastAsia="宋体" w:cs="宋体"/>
                <w:szCs w:val="21"/>
              </w:rPr>
            </w:pPr>
            <w:r>
              <w:rPr>
                <w:rFonts w:hint="eastAsia" w:ascii="Calibri" w:hAnsi="Calibri" w:eastAsia="宋体" w:cs="宋体"/>
                <w:szCs w:val="21"/>
              </w:rPr>
              <w:t>工期：</w:t>
            </w:r>
            <w:r>
              <w:rPr>
                <w:rFonts w:hint="eastAsia" w:ascii="宋体" w:hAnsi="宋体" w:cs="宋体"/>
                <w:szCs w:val="21"/>
              </w:rPr>
              <w:t>下达开工令后</w:t>
            </w:r>
            <w:r>
              <w:rPr>
                <w:rFonts w:hint="eastAsia" w:ascii="宋体" w:hAnsi="宋体" w:cs="宋体"/>
                <w:szCs w:val="21"/>
                <w:u w:val="single"/>
              </w:rPr>
              <w:t xml:space="preserve">  90  </w:t>
            </w:r>
            <w:r>
              <w:rPr>
                <w:rFonts w:hint="eastAsia" w:ascii="宋体" w:hAnsi="宋体" w:cs="宋体"/>
                <w:szCs w:val="21"/>
              </w:rPr>
              <w:t xml:space="preserve">天内完成施工图示和工程量清单包含的所有内容并提请采购人验收。 </w:t>
            </w:r>
          </w:p>
        </w:tc>
      </w:tr>
      <w:tr w14:paraId="3ABB2511">
        <w:tblPrEx>
          <w:tblCellMar>
            <w:top w:w="0" w:type="dxa"/>
            <w:left w:w="108" w:type="dxa"/>
            <w:bottom w:w="0" w:type="dxa"/>
            <w:right w:w="108" w:type="dxa"/>
          </w:tblCellMar>
        </w:tblPrEx>
        <w:trPr>
          <w:trHeight w:val="454" w:hRule="atLeast"/>
          <w:jc w:val="center"/>
        </w:trPr>
        <w:tc>
          <w:tcPr>
            <w:tcW w:w="850" w:type="dxa"/>
            <w:tcBorders>
              <w:top w:val="single" w:color="000000" w:sz="6" w:space="0"/>
              <w:left w:val="single" w:color="auto" w:sz="4" w:space="0"/>
              <w:bottom w:val="single" w:color="000000" w:sz="6" w:space="0"/>
              <w:right w:val="single" w:color="000000" w:sz="6" w:space="0"/>
            </w:tcBorders>
            <w:vAlign w:val="center"/>
          </w:tcPr>
          <w:p w14:paraId="74625184">
            <w:pPr>
              <w:spacing w:line="360" w:lineRule="exact"/>
              <w:contextualSpacing/>
              <w:jc w:val="center"/>
              <w:rPr>
                <w:rFonts w:ascii="Calibri" w:hAnsi="Calibri" w:eastAsia="宋体" w:cs="Times New Roman"/>
              </w:rPr>
            </w:pPr>
            <w:r>
              <w:rPr>
                <w:rFonts w:hint="eastAsia" w:ascii="Calibri" w:hAnsi="Calibri" w:eastAsia="宋体" w:cs="Times New Roman"/>
              </w:rPr>
              <w:t>2</w:t>
            </w:r>
          </w:p>
        </w:tc>
        <w:tc>
          <w:tcPr>
            <w:tcW w:w="8108" w:type="dxa"/>
            <w:tcBorders>
              <w:top w:val="single" w:color="000000" w:sz="6" w:space="0"/>
              <w:left w:val="single" w:color="000000" w:sz="6" w:space="0"/>
              <w:bottom w:val="single" w:color="000000" w:sz="6" w:space="0"/>
              <w:right w:val="single" w:color="auto" w:sz="4" w:space="0"/>
            </w:tcBorders>
            <w:vAlign w:val="center"/>
          </w:tcPr>
          <w:p w14:paraId="7ADE3C45">
            <w:pPr>
              <w:autoSpaceDE w:val="0"/>
              <w:autoSpaceDN w:val="0"/>
              <w:adjustRightInd w:val="0"/>
              <w:spacing w:line="440" w:lineRule="exact"/>
              <w:contextualSpacing/>
              <w:rPr>
                <w:rFonts w:ascii="Calibri" w:hAnsi="Calibri" w:eastAsia="宋体" w:cs="宋体"/>
                <w:szCs w:val="21"/>
              </w:rPr>
            </w:pPr>
            <w:r>
              <w:rPr>
                <w:rFonts w:hint="eastAsia" w:cs="宋体"/>
                <w:szCs w:val="21"/>
              </w:rPr>
              <w:t>服务地点</w:t>
            </w:r>
            <w:r>
              <w:rPr>
                <w:rFonts w:hint="eastAsia" w:ascii="Calibri" w:hAnsi="Calibri" w:eastAsia="宋体" w:cs="宋体"/>
                <w:szCs w:val="21"/>
              </w:rPr>
              <w:t>：</w:t>
            </w:r>
            <w:r>
              <w:rPr>
                <w:rFonts w:hint="eastAsia" w:cs="宋体"/>
                <w:szCs w:val="21"/>
              </w:rPr>
              <w:t>采购人指定地点</w:t>
            </w:r>
            <w:r>
              <w:rPr>
                <w:rFonts w:hint="eastAsia" w:ascii="Calibri" w:hAnsi="Calibri" w:eastAsia="宋体" w:cs="宋体"/>
                <w:szCs w:val="21"/>
              </w:rPr>
              <w:t>。</w:t>
            </w:r>
          </w:p>
        </w:tc>
      </w:tr>
      <w:tr w14:paraId="3AAFC2B5">
        <w:tblPrEx>
          <w:tblCellMar>
            <w:top w:w="0" w:type="dxa"/>
            <w:left w:w="108" w:type="dxa"/>
            <w:bottom w:w="0" w:type="dxa"/>
            <w:right w:w="108" w:type="dxa"/>
          </w:tblCellMar>
        </w:tblPrEx>
        <w:trPr>
          <w:trHeight w:val="454" w:hRule="atLeast"/>
          <w:jc w:val="center"/>
        </w:trPr>
        <w:tc>
          <w:tcPr>
            <w:tcW w:w="850" w:type="dxa"/>
            <w:tcBorders>
              <w:top w:val="single" w:color="000000" w:sz="6" w:space="0"/>
              <w:left w:val="single" w:color="auto" w:sz="4" w:space="0"/>
              <w:bottom w:val="single" w:color="000000" w:sz="6" w:space="0"/>
              <w:right w:val="single" w:color="000000" w:sz="6" w:space="0"/>
            </w:tcBorders>
            <w:vAlign w:val="center"/>
          </w:tcPr>
          <w:p w14:paraId="3889DCB6">
            <w:pPr>
              <w:spacing w:line="360" w:lineRule="exact"/>
              <w:contextualSpacing/>
              <w:jc w:val="center"/>
            </w:pPr>
            <w:r>
              <w:rPr>
                <w:rFonts w:hint="eastAsia"/>
              </w:rPr>
              <w:t>3</w:t>
            </w:r>
          </w:p>
        </w:tc>
        <w:tc>
          <w:tcPr>
            <w:tcW w:w="8108" w:type="dxa"/>
            <w:tcBorders>
              <w:top w:val="single" w:color="000000" w:sz="6" w:space="0"/>
              <w:left w:val="single" w:color="000000" w:sz="6" w:space="0"/>
              <w:bottom w:val="single" w:color="000000" w:sz="6" w:space="0"/>
              <w:right w:val="single" w:color="auto" w:sz="4" w:space="0"/>
            </w:tcBorders>
            <w:vAlign w:val="center"/>
          </w:tcPr>
          <w:p w14:paraId="1BE4FC4C">
            <w:pPr>
              <w:spacing w:line="440" w:lineRule="exact"/>
              <w:contextualSpacing/>
              <w:rPr>
                <w:szCs w:val="21"/>
              </w:rPr>
            </w:pPr>
            <w:r>
              <w:rPr>
                <w:rFonts w:hint="eastAsia" w:ascii="Calibri" w:hAnsi="Calibri" w:eastAsia="宋体" w:cs="Times New Roman"/>
                <w:szCs w:val="21"/>
              </w:rPr>
              <w:t>履约保证金的收取及退还: 合同履约保证金为成交价的1%，履约保证金可以银行、保险公司等担保机构出具的保函等非现金形式交至采购人处。工期结束后【5】个工作日内，经验收且扣除违约产生的金额（如有）后，无息退还履约保证金剩余部分，履约保函的有效期应保持至验收合格后【30】日。</w:t>
            </w:r>
          </w:p>
        </w:tc>
      </w:tr>
      <w:tr w14:paraId="1F395387">
        <w:tblPrEx>
          <w:tblCellMar>
            <w:top w:w="0" w:type="dxa"/>
            <w:left w:w="108" w:type="dxa"/>
            <w:bottom w:w="0" w:type="dxa"/>
            <w:right w:w="108" w:type="dxa"/>
          </w:tblCellMar>
        </w:tblPrEx>
        <w:trPr>
          <w:trHeight w:val="1245" w:hRule="atLeast"/>
          <w:jc w:val="center"/>
        </w:trPr>
        <w:tc>
          <w:tcPr>
            <w:tcW w:w="850" w:type="dxa"/>
            <w:tcBorders>
              <w:top w:val="single" w:color="000000" w:sz="6" w:space="0"/>
              <w:left w:val="single" w:color="auto" w:sz="4" w:space="0"/>
              <w:bottom w:val="single" w:color="000000" w:sz="6" w:space="0"/>
              <w:right w:val="single" w:color="000000" w:sz="6" w:space="0"/>
            </w:tcBorders>
            <w:vAlign w:val="center"/>
          </w:tcPr>
          <w:p w14:paraId="03CD5E18">
            <w:pPr>
              <w:spacing w:line="360" w:lineRule="exact"/>
              <w:contextualSpacing/>
              <w:jc w:val="center"/>
              <w:rPr>
                <w:rFonts w:ascii="Calibri" w:hAnsi="Calibri" w:eastAsia="宋体" w:cs="Times New Roman"/>
              </w:rPr>
            </w:pPr>
            <w:r>
              <w:rPr>
                <w:rFonts w:hint="eastAsia"/>
              </w:rPr>
              <w:t>4</w:t>
            </w:r>
          </w:p>
        </w:tc>
        <w:tc>
          <w:tcPr>
            <w:tcW w:w="8108" w:type="dxa"/>
            <w:tcBorders>
              <w:top w:val="single" w:color="000000" w:sz="6" w:space="0"/>
              <w:left w:val="single" w:color="000000" w:sz="6" w:space="0"/>
              <w:bottom w:val="single" w:color="000000" w:sz="6" w:space="0"/>
              <w:right w:val="single" w:color="auto" w:sz="4" w:space="0"/>
            </w:tcBorders>
            <w:vAlign w:val="center"/>
          </w:tcPr>
          <w:p w14:paraId="7E0AAA8E">
            <w:pPr>
              <w:spacing w:line="360" w:lineRule="auto"/>
              <w:ind w:firstLine="0" w:firstLineChars="0"/>
              <w:contextualSpacing w:val="0"/>
              <w:rPr>
                <w:rFonts w:ascii="Calibri" w:hAnsi="Calibri" w:eastAsia="宋体" w:cs="Times New Roman"/>
                <w:szCs w:val="21"/>
              </w:rPr>
            </w:pPr>
            <w:r>
              <w:rPr>
                <w:rFonts w:ascii="Calibri" w:hAnsi="Calibri" w:eastAsia="宋体" w:cs="Times New Roman"/>
                <w:szCs w:val="21"/>
              </w:rPr>
              <w:t>付款</w:t>
            </w:r>
            <w:r>
              <w:rPr>
                <w:rFonts w:hint="eastAsia" w:ascii="Calibri" w:hAnsi="Calibri" w:eastAsia="宋体" w:cs="Times New Roman"/>
                <w:szCs w:val="21"/>
              </w:rPr>
              <w:t>方式</w:t>
            </w:r>
            <w:r>
              <w:rPr>
                <w:rFonts w:ascii="Calibri" w:hAnsi="Calibri" w:eastAsia="宋体" w:cs="Times New Roman"/>
                <w:szCs w:val="21"/>
              </w:rPr>
              <w:t>：</w:t>
            </w:r>
          </w:p>
          <w:p w14:paraId="72463EC3">
            <w:pPr>
              <w:spacing w:line="360" w:lineRule="auto"/>
              <w:ind w:firstLine="0" w:firstLineChars="0"/>
              <w:contextualSpacing w:val="0"/>
              <w:rPr>
                <w:rFonts w:hint="eastAsia" w:ascii="宋体" w:hAnsi="宋体" w:cs="宋体"/>
                <w:szCs w:val="21"/>
                <w:u w:val="none"/>
              </w:rPr>
            </w:pPr>
            <w:r>
              <w:rPr>
                <w:rFonts w:hint="eastAsia" w:ascii="宋体" w:hAnsi="宋体" w:cs="宋体"/>
                <w:szCs w:val="21"/>
                <w:u w:val="none"/>
              </w:rPr>
              <w:t>合同签订且人员、机械设备进场后</w:t>
            </w:r>
            <w:r>
              <w:rPr>
                <w:rFonts w:hint="eastAsia" w:ascii="宋体" w:hAnsi="宋体" w:cs="宋体"/>
                <w:szCs w:val="21"/>
                <w:u w:val="none"/>
                <w:lang w:eastAsia="zh-CN"/>
              </w:rPr>
              <w:t>并收到成交供应商开具的等额正规税务发票后</w:t>
            </w:r>
            <w:r>
              <w:rPr>
                <w:rFonts w:hint="eastAsia" w:ascii="宋体" w:hAnsi="宋体" w:cs="宋体"/>
                <w:szCs w:val="21"/>
                <w:u w:val="none"/>
              </w:rPr>
              <w:t>7</w:t>
            </w:r>
            <w:r>
              <w:rPr>
                <w:rFonts w:ascii="宋体" w:hAnsi="宋体" w:cs="宋体"/>
                <w:szCs w:val="21"/>
                <w:u w:val="none"/>
              </w:rPr>
              <w:t>个工作日内支付合同总价的</w:t>
            </w:r>
            <w:r>
              <w:rPr>
                <w:rFonts w:hint="eastAsia" w:ascii="宋体" w:hAnsi="宋体" w:cs="宋体"/>
                <w:szCs w:val="21"/>
                <w:u w:val="none"/>
                <w:lang w:val="en-US" w:eastAsia="zh-CN"/>
              </w:rPr>
              <w:t>4</w:t>
            </w:r>
            <w:r>
              <w:rPr>
                <w:rFonts w:hint="eastAsia" w:ascii="宋体" w:hAnsi="宋体" w:cs="宋体"/>
                <w:szCs w:val="21"/>
                <w:u w:val="none"/>
              </w:rPr>
              <w:t>0</w:t>
            </w:r>
            <w:r>
              <w:rPr>
                <w:rFonts w:ascii="宋体" w:hAnsi="宋体" w:cs="宋体"/>
                <w:szCs w:val="21"/>
                <w:u w:val="none"/>
              </w:rPr>
              <w:t>%作为预付款；</w:t>
            </w:r>
            <w:r>
              <w:rPr>
                <w:rFonts w:hint="eastAsia" w:ascii="宋体" w:hAnsi="宋体" w:cs="宋体"/>
                <w:szCs w:val="21"/>
                <w:u w:val="none"/>
              </w:rPr>
              <w:t>合同范围内施工内容施工完成且工程验收并签署工程质量合格文件后，收到</w:t>
            </w:r>
            <w:r>
              <w:rPr>
                <w:rFonts w:hint="eastAsia" w:ascii="宋体" w:hAnsi="宋体" w:cs="宋体"/>
                <w:szCs w:val="21"/>
                <w:u w:val="none"/>
                <w:lang w:eastAsia="zh-CN"/>
              </w:rPr>
              <w:t>成交供应商</w:t>
            </w:r>
            <w:r>
              <w:rPr>
                <w:rFonts w:hint="eastAsia" w:ascii="宋体" w:hAnsi="宋体" w:cs="宋体"/>
                <w:szCs w:val="21"/>
                <w:u w:val="none"/>
              </w:rPr>
              <w:t>开具的正式发票后7</w:t>
            </w:r>
            <w:r>
              <w:rPr>
                <w:rFonts w:ascii="宋体" w:hAnsi="宋体" w:cs="宋体"/>
                <w:szCs w:val="21"/>
                <w:u w:val="none"/>
              </w:rPr>
              <w:t>个工作日内</w:t>
            </w:r>
            <w:r>
              <w:rPr>
                <w:rFonts w:hint="eastAsia" w:ascii="宋体" w:hAnsi="宋体" w:cs="宋体"/>
                <w:szCs w:val="21"/>
                <w:u w:val="none"/>
              </w:rPr>
              <w:t>支付至合同价格的85%，经有关部门结算审核后且收到</w:t>
            </w:r>
            <w:r>
              <w:rPr>
                <w:rFonts w:hint="eastAsia" w:ascii="宋体" w:hAnsi="宋体" w:cs="宋体"/>
                <w:szCs w:val="21"/>
                <w:u w:val="none"/>
                <w:lang w:eastAsia="zh-CN"/>
              </w:rPr>
              <w:t>成交供应商</w:t>
            </w:r>
            <w:r>
              <w:rPr>
                <w:rFonts w:hint="eastAsia" w:ascii="宋体" w:hAnsi="宋体" w:cs="宋体"/>
                <w:szCs w:val="21"/>
                <w:u w:val="none"/>
              </w:rPr>
              <w:t>递交的工程质量保证金保函（（保证金额为1.5%的工程结算审定价））</w:t>
            </w:r>
            <w:r>
              <w:rPr>
                <w:rFonts w:hint="eastAsia" w:ascii="宋体" w:hAnsi="宋体" w:cs="宋体"/>
                <w:szCs w:val="21"/>
                <w:u w:val="none"/>
                <w:lang w:eastAsia="zh-CN"/>
              </w:rPr>
              <w:t>及等额正规税务发票后</w:t>
            </w:r>
            <w:r>
              <w:rPr>
                <w:rFonts w:hint="eastAsia" w:ascii="宋体" w:hAnsi="宋体" w:cs="宋体"/>
                <w:szCs w:val="21"/>
                <w:u w:val="none"/>
                <w:lang w:val="en-US" w:eastAsia="zh-CN"/>
              </w:rPr>
              <w:t>7个工作日内</w:t>
            </w:r>
            <w:r>
              <w:rPr>
                <w:rFonts w:hint="eastAsia" w:ascii="宋体" w:hAnsi="宋体" w:cs="宋体"/>
                <w:szCs w:val="21"/>
                <w:u w:val="none"/>
              </w:rPr>
              <w:t>支付至结算价款的100%。</w:t>
            </w:r>
          </w:p>
          <w:p w14:paraId="4069F621">
            <w:pPr>
              <w:spacing w:line="360" w:lineRule="auto"/>
              <w:ind w:firstLine="0" w:firstLineChars="0"/>
              <w:contextualSpacing w:val="0"/>
              <w:rPr>
                <w:rFonts w:hint="eastAsia" w:ascii="Calibri" w:hAnsi="Calibri" w:eastAsia="宋体" w:cs="Times New Roman"/>
                <w:sz w:val="21"/>
                <w:szCs w:val="21"/>
              </w:rPr>
            </w:pPr>
            <w:r>
              <w:rPr>
                <w:rFonts w:hint="eastAsia" w:ascii="Calibri" w:hAnsi="Calibri" w:eastAsia="宋体" w:cs="Times New Roman"/>
                <w:sz w:val="21"/>
                <w:szCs w:val="21"/>
              </w:rPr>
              <w:t>注：在签订合同时，</w:t>
            </w:r>
            <w:r>
              <w:rPr>
                <w:rFonts w:hint="eastAsia" w:ascii="宋体" w:hAnsi="宋体" w:cs="宋体"/>
                <w:szCs w:val="21"/>
                <w:u w:val="none"/>
                <w:lang w:eastAsia="zh-CN"/>
              </w:rPr>
              <w:t>成交供应商</w:t>
            </w:r>
            <w:r>
              <w:rPr>
                <w:rFonts w:hint="eastAsia" w:ascii="Calibri" w:hAnsi="Calibri" w:eastAsia="宋体" w:cs="Times New Roman"/>
                <w:sz w:val="21"/>
                <w:szCs w:val="21"/>
              </w:rPr>
              <w:t>明确表示无需预付款或者主动要求降低预付款比例的，采购合同可不适用前述规定。采购人在向</w:t>
            </w:r>
            <w:r>
              <w:rPr>
                <w:rFonts w:hint="eastAsia" w:ascii="Calibri" w:hAnsi="Calibri" w:eastAsia="宋体" w:cs="Times New Roman"/>
                <w:sz w:val="21"/>
                <w:szCs w:val="21"/>
                <w:lang w:eastAsia="zh-CN"/>
              </w:rPr>
              <w:t>成交</w:t>
            </w:r>
            <w:r>
              <w:rPr>
                <w:rFonts w:hint="eastAsia" w:ascii="Calibri" w:hAnsi="Calibri" w:eastAsia="宋体" w:cs="Times New Roman"/>
                <w:sz w:val="21"/>
                <w:szCs w:val="21"/>
              </w:rPr>
              <w:t>供应商支付预付款之前，有权要求</w:t>
            </w:r>
            <w:r>
              <w:rPr>
                <w:rFonts w:hint="eastAsia" w:ascii="Calibri" w:hAnsi="Calibri" w:eastAsia="宋体" w:cs="Times New Roman"/>
                <w:sz w:val="21"/>
                <w:szCs w:val="21"/>
                <w:lang w:eastAsia="zh-CN"/>
              </w:rPr>
              <w:t>成交</w:t>
            </w:r>
            <w:r>
              <w:rPr>
                <w:rFonts w:hint="eastAsia" w:ascii="Calibri" w:hAnsi="Calibri" w:eastAsia="宋体" w:cs="Times New Roman"/>
                <w:sz w:val="21"/>
                <w:szCs w:val="21"/>
              </w:rPr>
              <w:t>供应商向采购人提供与预付款金额相对应的担保措施，担保措施可以是银行、保险公司等金融机构出具的预付款保函或其他担保措施。</w:t>
            </w:r>
          </w:p>
        </w:tc>
      </w:tr>
      <w:tr w14:paraId="40F73482">
        <w:tblPrEx>
          <w:tblCellMar>
            <w:top w:w="0" w:type="dxa"/>
            <w:left w:w="108" w:type="dxa"/>
            <w:bottom w:w="0" w:type="dxa"/>
            <w:right w:w="108" w:type="dxa"/>
          </w:tblCellMar>
        </w:tblPrEx>
        <w:trPr>
          <w:trHeight w:val="454" w:hRule="atLeast"/>
          <w:jc w:val="center"/>
        </w:trPr>
        <w:tc>
          <w:tcPr>
            <w:tcW w:w="850" w:type="dxa"/>
            <w:tcBorders>
              <w:top w:val="single" w:color="000000" w:sz="6" w:space="0"/>
              <w:left w:val="single" w:color="auto" w:sz="4" w:space="0"/>
              <w:bottom w:val="single" w:color="000000" w:sz="6" w:space="0"/>
              <w:right w:val="single" w:color="000000" w:sz="6" w:space="0"/>
            </w:tcBorders>
            <w:vAlign w:val="center"/>
          </w:tcPr>
          <w:p w14:paraId="754622A1">
            <w:pPr>
              <w:spacing w:line="360" w:lineRule="exact"/>
              <w:contextualSpacing/>
              <w:jc w:val="center"/>
            </w:pPr>
            <w:r>
              <w:rPr>
                <w:rFonts w:hint="eastAsia"/>
              </w:rPr>
              <w:t>5</w:t>
            </w:r>
          </w:p>
        </w:tc>
        <w:tc>
          <w:tcPr>
            <w:tcW w:w="8108" w:type="dxa"/>
            <w:tcBorders>
              <w:top w:val="single" w:color="000000" w:sz="6" w:space="0"/>
              <w:left w:val="single" w:color="000000" w:sz="6" w:space="0"/>
              <w:bottom w:val="single" w:color="000000" w:sz="6" w:space="0"/>
              <w:right w:val="single" w:color="auto" w:sz="4" w:space="0"/>
            </w:tcBorders>
            <w:vAlign w:val="center"/>
          </w:tcPr>
          <w:p w14:paraId="1EAB6A5C">
            <w:pPr>
              <w:spacing w:line="440" w:lineRule="exact"/>
              <w:contextualSpacing/>
              <w:rPr>
                <w:rFonts w:ascii="Calibri" w:hAnsi="Calibri" w:eastAsia="宋体" w:cs="宋体"/>
              </w:rPr>
            </w:pPr>
            <w:r>
              <w:rPr>
                <w:rFonts w:hint="eastAsia" w:ascii="Calibri" w:hAnsi="Calibri" w:eastAsia="宋体" w:cs="宋体"/>
              </w:rPr>
              <w:t>报价：</w:t>
            </w:r>
          </w:p>
          <w:p w14:paraId="311C063E">
            <w:pPr>
              <w:spacing w:line="440" w:lineRule="exact"/>
              <w:contextualSpacing/>
              <w:rPr>
                <w:rFonts w:ascii="Calibri" w:hAnsi="Calibri" w:eastAsia="宋体" w:cs="Times New Roman"/>
                <w:szCs w:val="21"/>
              </w:rPr>
            </w:pPr>
            <w:r>
              <w:rPr>
                <w:rFonts w:hint="eastAsia" w:ascii="宋体"/>
                <w:bCs/>
                <w:color w:val="auto"/>
                <w:kern w:val="0"/>
                <w:sz w:val="24"/>
                <w:highlight w:val="none"/>
                <w:lang w:val="en-US" w:eastAsia="zh-CN"/>
              </w:rPr>
              <w:t>▲</w:t>
            </w:r>
            <w:r>
              <w:rPr>
                <w:rFonts w:hint="eastAsia" w:ascii="Calibri" w:hAnsi="Calibri" w:eastAsia="宋体" w:cs="Times New Roman"/>
                <w:szCs w:val="21"/>
              </w:rPr>
              <w:t>1、最高限价：本项目设置总价最高限价人民币</w:t>
            </w:r>
            <w:r>
              <w:rPr>
                <w:rFonts w:hint="eastAsia" w:ascii="Calibri" w:hAnsi="Calibri" w:eastAsia="宋体" w:cs="Times New Roman"/>
                <w:szCs w:val="21"/>
                <w:u w:val="single"/>
              </w:rPr>
              <w:t>（ 3890873  ）</w:t>
            </w:r>
            <w:r>
              <w:rPr>
                <w:rFonts w:hint="eastAsia" w:ascii="Calibri" w:hAnsi="Calibri" w:eastAsia="宋体" w:cs="Times New Roman"/>
                <w:szCs w:val="21"/>
              </w:rPr>
              <w:t>元整，供应商报价超过最高限价的，均作无效投标处理。</w:t>
            </w:r>
          </w:p>
          <w:p w14:paraId="1B28428E">
            <w:pPr>
              <w:autoSpaceDN w:val="0"/>
              <w:snapToGrid w:val="0"/>
              <w:spacing w:line="440" w:lineRule="exact"/>
              <w:rPr>
                <w:rFonts w:ascii="Calibri" w:hAnsi="Calibri" w:eastAsia="宋体" w:cs="Times New Roman"/>
                <w:szCs w:val="21"/>
              </w:rPr>
            </w:pPr>
            <w:r>
              <w:rPr>
                <w:rFonts w:hint="eastAsia" w:ascii="Calibri" w:hAnsi="Calibri" w:eastAsia="宋体" w:cs="Times New Roman"/>
                <w:szCs w:val="21"/>
              </w:rPr>
              <w:t>2、投标报价包含完成竞争性磋商文件所确定的招标范围内全部工作内容的价格表现。包括但不限于完成项目内容所需的一切人工费、材料费、机械费、措施费、管理费、利润、规费、税金、施工安全生产责任保险等政策性文件规定及合同明示或暗示的所有风险、责任、义务等各项应有的费用，具体内容详见具体详见采购人提供的工程量清单及编制说明。各投标供应商应根据采购人提供的全套施工图纸、工程量清单，以及本工程实际情况和自身的综合实力，竞报投标报价。</w:t>
            </w:r>
          </w:p>
          <w:p w14:paraId="728E06BE">
            <w:pPr>
              <w:autoSpaceDN w:val="0"/>
              <w:snapToGrid w:val="0"/>
              <w:spacing w:line="440" w:lineRule="exact"/>
              <w:rPr>
                <w:rFonts w:ascii="Calibri" w:hAnsi="Calibri" w:eastAsia="宋体" w:cs="Times New Roman"/>
                <w:szCs w:val="21"/>
              </w:rPr>
            </w:pPr>
            <w:r>
              <w:rPr>
                <w:rFonts w:hint="eastAsia" w:ascii="Calibri" w:hAnsi="Calibri" w:eastAsia="宋体" w:cs="Times New Roman"/>
                <w:szCs w:val="21"/>
              </w:rPr>
              <w:t>3、本工程采用固定结算率方式结算【结算率：中标价/招标控制价*100%】。</w:t>
            </w:r>
          </w:p>
          <w:p w14:paraId="4DA599F7">
            <w:pPr>
              <w:spacing w:line="400" w:lineRule="exact"/>
              <w:rPr>
                <w:rFonts w:hint="eastAsia" w:asciiTheme="minorEastAsia" w:hAnsiTheme="minorEastAsia"/>
                <w:bCs/>
                <w:kern w:val="0"/>
                <w:szCs w:val="21"/>
              </w:rPr>
            </w:pPr>
            <w:r>
              <w:rPr>
                <w:rFonts w:hint="eastAsia" w:ascii="Calibri" w:hAnsi="Calibri" w:eastAsia="宋体" w:cs="Times New Roman"/>
                <w:szCs w:val="21"/>
              </w:rPr>
              <w:t>4、</w:t>
            </w:r>
            <w:r>
              <w:rPr>
                <w:rFonts w:hint="eastAsia" w:asciiTheme="minorEastAsia" w:hAnsiTheme="minorEastAsia"/>
                <w:bCs/>
                <w:kern w:val="0"/>
                <w:szCs w:val="21"/>
              </w:rPr>
              <w:t>投标供应商自行踏勘现场，采购人按现场地交付，施工过程中用水、电由</w:t>
            </w:r>
            <w:r>
              <w:rPr>
                <w:rFonts w:hint="eastAsia" w:ascii="宋体" w:hAnsi="宋体" w:cs="宋体"/>
                <w:szCs w:val="21"/>
              </w:rPr>
              <w:t>投标供应商</w:t>
            </w:r>
            <w:r>
              <w:rPr>
                <w:rFonts w:hint="eastAsia" w:asciiTheme="minorEastAsia" w:hAnsiTheme="minorEastAsia"/>
                <w:bCs/>
                <w:kern w:val="0"/>
                <w:szCs w:val="21"/>
              </w:rPr>
              <w:t>自行协商解决，在报价时综合考虑，实际发生时不再另行计费。</w:t>
            </w:r>
          </w:p>
          <w:p w14:paraId="651064C8">
            <w:pPr>
              <w:autoSpaceDN w:val="0"/>
              <w:snapToGrid w:val="0"/>
              <w:spacing w:line="440" w:lineRule="exact"/>
              <w:rPr>
                <w:szCs w:val="21"/>
              </w:rPr>
            </w:pPr>
            <w:r>
              <w:rPr>
                <w:rFonts w:hint="eastAsia" w:ascii="Calibri" w:hAnsi="Calibri" w:eastAsia="宋体" w:cs="Times New Roman"/>
                <w:szCs w:val="21"/>
              </w:rPr>
              <w:t>5、不论投标结果如何，供应商均应自行承担所有与投标有关的全部费用。</w:t>
            </w:r>
          </w:p>
        </w:tc>
      </w:tr>
      <w:tr w14:paraId="487FC9FF">
        <w:tblPrEx>
          <w:tblCellMar>
            <w:top w:w="0" w:type="dxa"/>
            <w:left w:w="108" w:type="dxa"/>
            <w:bottom w:w="0" w:type="dxa"/>
            <w:right w:w="108" w:type="dxa"/>
          </w:tblCellMar>
        </w:tblPrEx>
        <w:trPr>
          <w:trHeight w:val="454" w:hRule="atLeast"/>
          <w:jc w:val="center"/>
        </w:trPr>
        <w:tc>
          <w:tcPr>
            <w:tcW w:w="850" w:type="dxa"/>
            <w:tcBorders>
              <w:top w:val="single" w:color="000000" w:sz="6" w:space="0"/>
              <w:left w:val="single" w:color="auto" w:sz="4" w:space="0"/>
              <w:bottom w:val="single" w:color="000000" w:sz="6" w:space="0"/>
              <w:right w:val="single" w:color="000000" w:sz="6" w:space="0"/>
            </w:tcBorders>
            <w:vAlign w:val="center"/>
          </w:tcPr>
          <w:p w14:paraId="66A62F9F">
            <w:pPr>
              <w:spacing w:line="360" w:lineRule="exact"/>
              <w:contextualSpacing/>
              <w:jc w:val="center"/>
            </w:pPr>
            <w:r>
              <w:rPr>
                <w:rFonts w:hint="eastAsia"/>
              </w:rPr>
              <w:t>6</w:t>
            </w:r>
          </w:p>
        </w:tc>
        <w:tc>
          <w:tcPr>
            <w:tcW w:w="8108" w:type="dxa"/>
            <w:tcBorders>
              <w:top w:val="single" w:color="000000" w:sz="6" w:space="0"/>
              <w:left w:val="single" w:color="000000" w:sz="6" w:space="0"/>
              <w:bottom w:val="single" w:color="000000" w:sz="6" w:space="0"/>
              <w:right w:val="single" w:color="auto" w:sz="4" w:space="0"/>
            </w:tcBorders>
            <w:vAlign w:val="center"/>
          </w:tcPr>
          <w:p w14:paraId="107DE325">
            <w:pPr>
              <w:spacing w:line="440" w:lineRule="exact"/>
              <w:contextualSpacing/>
              <w:rPr>
                <w:rFonts w:ascii="Calibri" w:hAnsi="Calibri" w:eastAsia="宋体" w:cs="Times New Roman"/>
                <w:szCs w:val="21"/>
              </w:rPr>
            </w:pPr>
            <w:r>
              <w:rPr>
                <w:rFonts w:hint="eastAsia" w:ascii="宋体"/>
                <w:bCs/>
                <w:color w:val="auto"/>
                <w:kern w:val="0"/>
                <w:sz w:val="24"/>
                <w:highlight w:val="none"/>
                <w:lang w:val="en-US" w:eastAsia="zh-CN"/>
              </w:rPr>
              <w:t>▲</w:t>
            </w:r>
            <w:r>
              <w:rPr>
                <w:rFonts w:hint="eastAsia" w:ascii="Calibri" w:hAnsi="Calibri" w:eastAsia="宋体" w:cs="Times New Roman"/>
                <w:szCs w:val="21"/>
              </w:rPr>
              <w:t>转包与分包：不允许。</w:t>
            </w:r>
          </w:p>
        </w:tc>
      </w:tr>
      <w:tr w14:paraId="60F7FE90">
        <w:tblPrEx>
          <w:tblCellMar>
            <w:top w:w="0" w:type="dxa"/>
            <w:left w:w="108" w:type="dxa"/>
            <w:bottom w:w="0" w:type="dxa"/>
            <w:right w:w="108" w:type="dxa"/>
          </w:tblCellMar>
        </w:tblPrEx>
        <w:trPr>
          <w:trHeight w:val="454" w:hRule="atLeast"/>
          <w:jc w:val="center"/>
        </w:trPr>
        <w:tc>
          <w:tcPr>
            <w:tcW w:w="850" w:type="dxa"/>
            <w:tcBorders>
              <w:top w:val="single" w:color="000000" w:sz="6" w:space="0"/>
              <w:left w:val="single" w:color="auto" w:sz="4" w:space="0"/>
              <w:bottom w:val="single" w:color="000000" w:sz="6" w:space="0"/>
              <w:right w:val="single" w:color="000000" w:sz="6" w:space="0"/>
            </w:tcBorders>
            <w:vAlign w:val="center"/>
          </w:tcPr>
          <w:p w14:paraId="69752762">
            <w:pPr>
              <w:spacing w:line="360" w:lineRule="exact"/>
              <w:contextualSpacing/>
              <w:jc w:val="center"/>
              <w:rPr>
                <w:rFonts w:ascii="Calibri" w:hAnsi="Calibri" w:eastAsia="宋体" w:cs="Times New Roman"/>
              </w:rPr>
            </w:pPr>
            <w:r>
              <w:rPr>
                <w:rFonts w:hint="eastAsia" w:eastAsia="宋体"/>
              </w:rPr>
              <w:t>7</w:t>
            </w:r>
          </w:p>
        </w:tc>
        <w:tc>
          <w:tcPr>
            <w:tcW w:w="8108" w:type="dxa"/>
            <w:tcBorders>
              <w:top w:val="single" w:color="000000" w:sz="6" w:space="0"/>
              <w:left w:val="single" w:color="000000" w:sz="6" w:space="0"/>
              <w:bottom w:val="single" w:color="000000" w:sz="6" w:space="0"/>
              <w:right w:val="single" w:color="auto" w:sz="4" w:space="0"/>
            </w:tcBorders>
            <w:vAlign w:val="center"/>
          </w:tcPr>
          <w:p w14:paraId="4E74BC15">
            <w:pPr>
              <w:autoSpaceDE w:val="0"/>
              <w:autoSpaceDN w:val="0"/>
              <w:adjustRightInd w:val="0"/>
              <w:spacing w:line="440" w:lineRule="exact"/>
              <w:contextualSpacing/>
              <w:rPr>
                <w:rFonts w:ascii="Calibri" w:hAnsi="Calibri" w:eastAsia="宋体" w:cs="Times New Roman"/>
                <w:szCs w:val="21"/>
                <w:lang w:val="zh-CN"/>
              </w:rPr>
            </w:pPr>
            <w:r>
              <w:rPr>
                <w:rFonts w:hint="eastAsia" w:ascii="Calibri" w:hAnsi="Calibri" w:eastAsia="宋体" w:cs="Times New Roman"/>
                <w:szCs w:val="21"/>
                <w:lang w:val="zh-CN"/>
              </w:rPr>
              <w:t>授予合同：</w:t>
            </w:r>
          </w:p>
          <w:p w14:paraId="6F605787">
            <w:pPr>
              <w:autoSpaceDE w:val="0"/>
              <w:autoSpaceDN w:val="0"/>
              <w:adjustRightInd w:val="0"/>
              <w:spacing w:line="440" w:lineRule="exact"/>
              <w:contextualSpacing/>
              <w:rPr>
                <w:rFonts w:ascii="Calibri" w:hAnsi="Calibri" w:eastAsia="宋体" w:cs="Times New Roman"/>
                <w:szCs w:val="21"/>
                <w:lang w:val="zh-CN"/>
              </w:rPr>
            </w:pPr>
            <w:r>
              <w:rPr>
                <w:rFonts w:hint="eastAsia" w:ascii="Calibri" w:hAnsi="Calibri" w:eastAsia="宋体" w:cs="Times New Roman"/>
                <w:szCs w:val="21"/>
                <w:lang w:val="zh-CN"/>
              </w:rPr>
              <w:t>1、成交通知书发出之日起30天内，成交供应商应按照竞争性磋商文件的规定、成交供应商的磋商响应及成交通知书确定的金额签订合同。</w:t>
            </w:r>
          </w:p>
          <w:p w14:paraId="5E0AD771">
            <w:pPr>
              <w:autoSpaceDE w:val="0"/>
              <w:autoSpaceDN w:val="0"/>
              <w:adjustRightInd w:val="0"/>
              <w:spacing w:line="440" w:lineRule="exact"/>
              <w:contextualSpacing/>
              <w:rPr>
                <w:rFonts w:ascii="Calibri" w:hAnsi="Calibri" w:eastAsia="宋体" w:cs="Times New Roman"/>
                <w:szCs w:val="21"/>
              </w:rPr>
            </w:pPr>
            <w:r>
              <w:rPr>
                <w:rFonts w:hint="eastAsia" w:ascii="Calibri" w:hAnsi="Calibri" w:eastAsia="宋体" w:cs="Times New Roman"/>
                <w:szCs w:val="21"/>
                <w:lang w:val="zh-CN"/>
              </w:rPr>
              <w:t>2、成交供应商如不遵守竞争性磋商文件或磋商响应文件各项条款的邀约与要约，或在接到成交通知书后借故拖延，拒签合同的，采购人将按《浙江省政府采购供应商注册及诚信管理暂行办法》的规定上报诚信状况。给采购人造成的损失的还应当予以赔偿。</w:t>
            </w:r>
          </w:p>
        </w:tc>
      </w:tr>
    </w:tbl>
    <w:p w14:paraId="24EDC576">
      <w:pPr>
        <w:pageBreakBefore/>
        <w:autoSpaceDN w:val="0"/>
        <w:spacing w:line="500" w:lineRule="exact"/>
        <w:jc w:val="center"/>
        <w:outlineLvl w:val="0"/>
        <w:rPr>
          <w:rFonts w:hint="eastAsia" w:ascii="宋体" w:hAnsi="宋体" w:eastAsia="宋体" w:cs="宋体"/>
          <w:b/>
          <w:sz w:val="28"/>
          <w:szCs w:val="28"/>
        </w:rPr>
      </w:pPr>
      <w:bookmarkStart w:id="27" w:name="_Toc40964239"/>
      <w:bookmarkStart w:id="28" w:name="_Toc462179380"/>
      <w:r>
        <w:rPr>
          <w:rFonts w:hint="eastAsia" w:ascii="宋体" w:hAnsi="宋体" w:eastAsia="宋体" w:cs="宋体"/>
          <w:b/>
          <w:sz w:val="28"/>
          <w:szCs w:val="28"/>
        </w:rPr>
        <w:t>第六章    合同</w:t>
      </w:r>
      <w:bookmarkEnd w:id="27"/>
      <w:bookmarkEnd w:id="28"/>
      <w:r>
        <w:rPr>
          <w:rFonts w:hint="eastAsia" w:ascii="宋体" w:hAnsi="宋体" w:eastAsia="宋体" w:cs="宋体"/>
          <w:b/>
          <w:sz w:val="28"/>
          <w:szCs w:val="28"/>
        </w:rPr>
        <w:t>草案</w:t>
      </w:r>
    </w:p>
    <w:p w14:paraId="50BD0FF7">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合同文本采用《建设工程施工合同（示范文本）》（</w:t>
      </w:r>
      <w:r>
        <w:rPr>
          <w:rFonts w:ascii="Times New Roman" w:hAnsi="Times New Roman" w:eastAsia="宋体" w:cs="Times New Roman"/>
          <w:szCs w:val="24"/>
        </w:rPr>
        <w:t>GF-201</w:t>
      </w:r>
      <w:r>
        <w:rPr>
          <w:rFonts w:hint="eastAsia" w:ascii="宋体" w:hAnsi="宋体" w:eastAsia="宋体" w:cs="Times New Roman"/>
          <w:szCs w:val="24"/>
        </w:rPr>
        <w:t>7</w:t>
      </w:r>
      <w:r>
        <w:rPr>
          <w:rFonts w:ascii="Times New Roman" w:hAnsi="Times New Roman" w:eastAsia="宋体" w:cs="Times New Roman"/>
          <w:szCs w:val="24"/>
        </w:rPr>
        <w:t>-0201</w:t>
      </w:r>
      <w:r>
        <w:rPr>
          <w:rFonts w:ascii="宋体" w:hAnsi="宋体" w:eastAsia="宋体" w:cs="Times New Roman"/>
          <w:szCs w:val="24"/>
        </w:rPr>
        <w:t>）。</w:t>
      </w:r>
    </w:p>
    <w:p w14:paraId="001A573E">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合同通用条款采用《建设工程施工合同（示范文本）》的通用条款（</w:t>
      </w:r>
      <w:r>
        <w:rPr>
          <w:rFonts w:ascii="Times New Roman" w:hAnsi="Times New Roman" w:eastAsia="宋体" w:cs="Times New Roman"/>
          <w:szCs w:val="24"/>
        </w:rPr>
        <w:t>GF-201</w:t>
      </w:r>
      <w:r>
        <w:rPr>
          <w:rFonts w:hint="eastAsia" w:ascii="宋体" w:hAnsi="宋体" w:eastAsia="宋体" w:cs="Times New Roman"/>
          <w:szCs w:val="24"/>
        </w:rPr>
        <w:t>7</w:t>
      </w:r>
      <w:r>
        <w:rPr>
          <w:rFonts w:ascii="Times New Roman" w:hAnsi="Times New Roman" w:eastAsia="宋体" w:cs="Times New Roman"/>
          <w:szCs w:val="24"/>
        </w:rPr>
        <w:t>-0201</w:t>
      </w:r>
      <w:r>
        <w:rPr>
          <w:rFonts w:ascii="宋体" w:hAnsi="宋体" w:eastAsia="宋体" w:cs="Times New Roman"/>
          <w:szCs w:val="24"/>
        </w:rPr>
        <w:t>）。</w:t>
      </w:r>
    </w:p>
    <w:p w14:paraId="0D919734">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合同专用条款中的主要条款将由招标人</w:t>
      </w:r>
      <w:r>
        <w:rPr>
          <w:rFonts w:ascii="Times New Roman" w:hAnsi="Times New Roman" w:eastAsia="宋体" w:cs="Times New Roman"/>
          <w:szCs w:val="24"/>
        </w:rPr>
        <w:t>(</w:t>
      </w:r>
      <w:r>
        <w:rPr>
          <w:rFonts w:ascii="宋体" w:hAnsi="宋体" w:eastAsia="宋体" w:cs="Times New Roman"/>
          <w:szCs w:val="24"/>
        </w:rPr>
        <w:t>发包人</w:t>
      </w:r>
      <w:r>
        <w:rPr>
          <w:rFonts w:ascii="Times New Roman" w:hAnsi="Times New Roman" w:eastAsia="宋体" w:cs="Times New Roman"/>
          <w:szCs w:val="24"/>
        </w:rPr>
        <w:t>)</w:t>
      </w:r>
      <w:r>
        <w:rPr>
          <w:rFonts w:ascii="宋体" w:hAnsi="宋体" w:eastAsia="宋体" w:cs="Times New Roman"/>
          <w:szCs w:val="24"/>
        </w:rPr>
        <w:t>与</w:t>
      </w:r>
      <w:r>
        <w:rPr>
          <w:rFonts w:hint="eastAsia" w:ascii="宋体" w:hAnsi="宋体" w:eastAsia="宋体" w:cs="Times New Roman"/>
          <w:szCs w:val="24"/>
        </w:rPr>
        <w:t>成交供应商</w:t>
      </w:r>
      <w:r>
        <w:rPr>
          <w:rFonts w:ascii="Times New Roman" w:hAnsi="Times New Roman" w:eastAsia="宋体" w:cs="Times New Roman"/>
          <w:szCs w:val="24"/>
        </w:rPr>
        <w:t>(</w:t>
      </w:r>
      <w:r>
        <w:rPr>
          <w:rFonts w:ascii="宋体" w:hAnsi="宋体" w:eastAsia="宋体" w:cs="Times New Roman"/>
          <w:szCs w:val="24"/>
        </w:rPr>
        <w:t>承包人</w:t>
      </w:r>
      <w:r>
        <w:rPr>
          <w:rFonts w:ascii="Times New Roman" w:hAnsi="Times New Roman" w:eastAsia="宋体" w:cs="Times New Roman"/>
          <w:szCs w:val="24"/>
        </w:rPr>
        <w:t>)</w:t>
      </w:r>
      <w:r>
        <w:rPr>
          <w:rFonts w:ascii="宋体" w:hAnsi="宋体" w:eastAsia="宋体" w:cs="Times New Roman"/>
          <w:szCs w:val="24"/>
        </w:rPr>
        <w:t>根据投标文件签订。</w:t>
      </w:r>
    </w:p>
    <w:p w14:paraId="256269C7">
      <w:pPr>
        <w:widowControl/>
        <w:jc w:val="left"/>
        <w:rPr>
          <w:rFonts w:eastAsia="宋体"/>
          <w:szCs w:val="24"/>
        </w:rPr>
        <w:sectPr>
          <w:footerReference r:id="rId4" w:type="default"/>
          <w:pgSz w:w="11905" w:h="16838"/>
          <w:pgMar w:top="1440" w:right="1797" w:bottom="1440" w:left="1797" w:header="850" w:footer="992" w:gutter="0"/>
          <w:cols w:space="720" w:num="1"/>
          <w:docGrid w:type="lines" w:linePitch="317" w:charSpace="0"/>
        </w:sectPr>
      </w:pPr>
    </w:p>
    <w:p w14:paraId="4B80CEDD">
      <w:pPr>
        <w:keepNext/>
        <w:keepLines/>
        <w:spacing w:before="100" w:line="400" w:lineRule="exact"/>
        <w:jc w:val="center"/>
        <w:rPr>
          <w:rFonts w:hint="eastAsia" w:asciiTheme="minorEastAsia" w:hAnsiTheme="minorEastAsia" w:cstheme="minorEastAsia"/>
          <w:szCs w:val="21"/>
        </w:rPr>
      </w:pPr>
      <w:bookmarkStart w:id="29" w:name="_Toc152042557"/>
      <w:r>
        <w:rPr>
          <w:rFonts w:hint="eastAsia" w:asciiTheme="minorEastAsia" w:hAnsiTheme="minorEastAsia" w:cstheme="minorEastAsia"/>
          <w:szCs w:val="21"/>
        </w:rPr>
        <w:t>第一部分  合同协议书</w:t>
      </w:r>
      <w:bookmarkEnd w:id="29"/>
    </w:p>
    <w:p w14:paraId="278CE2F5">
      <w:pPr>
        <w:spacing w:line="36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发包人（采购人）：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p>
    <w:p w14:paraId="62EB8F58">
      <w:pPr>
        <w:spacing w:line="36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承包人（成交供应商）：</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p>
    <w:p w14:paraId="01E7019B">
      <w:pPr>
        <w:spacing w:line="36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根据《中华人民共和国民法典》、《中华人民共和国建筑法》及有关法律规定，遵循平等、自愿、公平和诚实信用的原则，双方就</w:t>
      </w:r>
      <w:r>
        <w:rPr>
          <w:rFonts w:hint="eastAsia" w:asciiTheme="minorEastAsia" w:hAnsiTheme="minorEastAsia" w:cstheme="minorEastAsia"/>
          <w:bCs/>
          <w:szCs w:val="21"/>
          <w:u w:val="single"/>
        </w:rPr>
        <w:t xml:space="preserve">椒江区第五中学体育馆提升及室外配套工程 </w:t>
      </w:r>
      <w:r>
        <w:rPr>
          <w:rFonts w:hint="eastAsia" w:asciiTheme="minorEastAsia" w:hAnsiTheme="minorEastAsia" w:cstheme="minorEastAsia"/>
          <w:szCs w:val="21"/>
        </w:rPr>
        <w:t>施工及有关事项协商一致，共同达成如下协议：</w:t>
      </w:r>
    </w:p>
    <w:p w14:paraId="16355A99">
      <w:pPr>
        <w:keepNext/>
        <w:keepLines/>
        <w:spacing w:line="360" w:lineRule="exact"/>
        <w:rPr>
          <w:rFonts w:hint="eastAsia" w:asciiTheme="minorEastAsia" w:hAnsiTheme="minorEastAsia" w:cstheme="minorEastAsia"/>
          <w:b/>
          <w:bCs/>
          <w:szCs w:val="21"/>
        </w:rPr>
      </w:pPr>
      <w:r>
        <w:rPr>
          <w:rFonts w:hint="eastAsia" w:asciiTheme="minorEastAsia" w:hAnsiTheme="minorEastAsia" w:cstheme="minorEastAsia"/>
          <w:b/>
          <w:bCs/>
          <w:szCs w:val="21"/>
        </w:rPr>
        <w:t xml:space="preserve">   </w:t>
      </w:r>
      <w:bookmarkStart w:id="30" w:name="_Toc351203481"/>
      <w:bookmarkEnd w:id="30"/>
      <w:r>
        <w:rPr>
          <w:rFonts w:hint="eastAsia" w:asciiTheme="minorEastAsia" w:hAnsiTheme="minorEastAsia" w:cstheme="minorEastAsia"/>
          <w:b/>
          <w:bCs/>
          <w:szCs w:val="21"/>
        </w:rPr>
        <w:t xml:space="preserve"> </w:t>
      </w:r>
      <w:r>
        <w:rPr>
          <w:rFonts w:hint="eastAsia" w:asciiTheme="minorEastAsia" w:hAnsiTheme="minorEastAsia" w:cstheme="minorEastAsia"/>
          <w:szCs w:val="21"/>
        </w:rPr>
        <w:t>一、工程概况</w:t>
      </w:r>
    </w:p>
    <w:p w14:paraId="17E15769">
      <w:pPr>
        <w:spacing w:line="360" w:lineRule="exact"/>
        <w:ind w:firstLine="411" w:firstLineChars="196"/>
        <w:rPr>
          <w:rFonts w:hint="eastAsia" w:asciiTheme="minorEastAsia" w:hAnsiTheme="minorEastAsia" w:cstheme="minorEastAsia"/>
          <w:szCs w:val="21"/>
          <w:u w:val="single"/>
        </w:rPr>
      </w:pPr>
      <w:r>
        <w:rPr>
          <w:rFonts w:hint="eastAsia" w:asciiTheme="minorEastAsia" w:hAnsiTheme="minorEastAsia" w:cstheme="minorEastAsia"/>
          <w:szCs w:val="21"/>
        </w:rPr>
        <w:t>1．工程名称：</w:t>
      </w:r>
      <w:r>
        <w:rPr>
          <w:rFonts w:hint="eastAsia" w:asciiTheme="minorEastAsia" w:hAnsiTheme="minorEastAsia" w:cstheme="minorEastAsia"/>
          <w:bCs/>
          <w:szCs w:val="21"/>
          <w:u w:val="single"/>
        </w:rPr>
        <w:t xml:space="preserve">椒江区第五中学体育馆提升及室外配套工程 </w:t>
      </w:r>
      <w:r>
        <w:rPr>
          <w:rFonts w:hint="eastAsia" w:asciiTheme="minorEastAsia" w:hAnsiTheme="minorEastAsia" w:cstheme="minorEastAsia"/>
          <w:szCs w:val="21"/>
        </w:rPr>
        <w:t>。</w:t>
      </w:r>
    </w:p>
    <w:p w14:paraId="3AE307A0">
      <w:pPr>
        <w:spacing w:line="360" w:lineRule="exact"/>
        <w:ind w:firstLine="411" w:firstLineChars="196"/>
        <w:rPr>
          <w:rFonts w:hint="eastAsia" w:asciiTheme="minorEastAsia" w:hAnsiTheme="minorEastAsia" w:cstheme="minorEastAsia"/>
          <w:szCs w:val="21"/>
        </w:rPr>
      </w:pPr>
      <w:r>
        <w:rPr>
          <w:rFonts w:hint="eastAsia" w:asciiTheme="minorEastAsia" w:hAnsiTheme="minorEastAsia" w:cstheme="minorEastAsia"/>
          <w:szCs w:val="21"/>
        </w:rPr>
        <w:t>2．工程地点：</w:t>
      </w:r>
      <w:r>
        <w:rPr>
          <w:rFonts w:hint="eastAsia" w:asciiTheme="minorEastAsia" w:hAnsiTheme="minorEastAsia" w:cstheme="minorEastAsia"/>
          <w:bCs/>
          <w:szCs w:val="21"/>
          <w:u w:val="single"/>
        </w:rPr>
        <w:t>椒江区第五中学</w:t>
      </w:r>
    </w:p>
    <w:p w14:paraId="32A84C9C">
      <w:pPr>
        <w:spacing w:line="360" w:lineRule="exact"/>
        <w:ind w:firstLine="411" w:firstLineChars="196"/>
        <w:rPr>
          <w:rFonts w:hint="eastAsia" w:asciiTheme="minorEastAsia" w:hAnsiTheme="minorEastAsia" w:cstheme="minorEastAsia"/>
          <w:szCs w:val="21"/>
        </w:rPr>
      </w:pPr>
      <w:r>
        <w:rPr>
          <w:rFonts w:hint="eastAsia" w:asciiTheme="minorEastAsia" w:hAnsiTheme="minorEastAsia" w:cstheme="minorEastAsia"/>
          <w:szCs w:val="21"/>
        </w:rPr>
        <w:t>3．工程立项批准文号：</w:t>
      </w:r>
      <w:r>
        <w:rPr>
          <w:rFonts w:hint="eastAsia" w:asciiTheme="minorEastAsia" w:hAnsiTheme="minorEastAsia" w:cstheme="minorEastAsia"/>
          <w:szCs w:val="21"/>
          <w:u w:val="single"/>
        </w:rPr>
        <w:t xml:space="preserve">        /          </w:t>
      </w:r>
      <w:r>
        <w:rPr>
          <w:rFonts w:hint="eastAsia" w:asciiTheme="minorEastAsia" w:hAnsiTheme="minorEastAsia" w:cstheme="minorEastAsia"/>
          <w:szCs w:val="21"/>
        </w:rPr>
        <w:t>。</w:t>
      </w:r>
    </w:p>
    <w:p w14:paraId="7D8FBB15">
      <w:pPr>
        <w:spacing w:line="360" w:lineRule="exact"/>
        <w:ind w:firstLine="411" w:firstLineChars="196"/>
        <w:rPr>
          <w:rFonts w:hint="eastAsia" w:asciiTheme="minorEastAsia" w:hAnsiTheme="minorEastAsia" w:cstheme="minorEastAsia"/>
          <w:szCs w:val="21"/>
        </w:rPr>
      </w:pPr>
      <w:r>
        <w:rPr>
          <w:rFonts w:hint="eastAsia" w:asciiTheme="minorEastAsia" w:hAnsiTheme="minorEastAsia" w:cstheme="minorEastAsia"/>
          <w:szCs w:val="21"/>
        </w:rPr>
        <w:t>4．资金来源：</w:t>
      </w:r>
      <w:r>
        <w:rPr>
          <w:rFonts w:hint="eastAsia" w:asciiTheme="minorEastAsia" w:hAnsiTheme="minorEastAsia" w:cstheme="minorEastAsia"/>
          <w:szCs w:val="21"/>
          <w:u w:val="single"/>
        </w:rPr>
        <w:t xml:space="preserve">   财政100%                  </w:t>
      </w:r>
      <w:r>
        <w:rPr>
          <w:rFonts w:hint="eastAsia" w:asciiTheme="minorEastAsia" w:hAnsiTheme="minorEastAsia" w:cstheme="minorEastAsia"/>
          <w:szCs w:val="21"/>
        </w:rPr>
        <w:t>。</w:t>
      </w:r>
    </w:p>
    <w:p w14:paraId="0E092099">
      <w:pPr>
        <w:spacing w:line="360" w:lineRule="exact"/>
        <w:ind w:firstLine="411" w:firstLineChars="196"/>
        <w:rPr>
          <w:rFonts w:hint="eastAsia" w:asciiTheme="minorEastAsia" w:hAnsiTheme="minorEastAsia" w:cstheme="minorEastAsia"/>
          <w:szCs w:val="21"/>
        </w:rPr>
      </w:pPr>
      <w:r>
        <w:rPr>
          <w:rFonts w:hint="eastAsia" w:asciiTheme="minorEastAsia" w:hAnsiTheme="minorEastAsia" w:cstheme="minorEastAsia"/>
          <w:szCs w:val="21"/>
        </w:rPr>
        <w:t>5．工程内容：</w:t>
      </w:r>
      <w:r>
        <w:rPr>
          <w:rFonts w:hint="eastAsia" w:asciiTheme="minorEastAsia" w:hAnsiTheme="minorEastAsia" w:cstheme="minorEastAsia"/>
          <w:szCs w:val="21"/>
          <w:u w:val="single"/>
        </w:rPr>
        <w:t xml:space="preserve">                                      </w:t>
      </w:r>
      <w:r>
        <w:rPr>
          <w:rFonts w:hint="eastAsia" w:asciiTheme="minorEastAsia" w:hAnsiTheme="minorEastAsia" w:cstheme="minorEastAsia"/>
          <w:bCs/>
          <w:szCs w:val="21"/>
        </w:rPr>
        <w:t>。</w:t>
      </w:r>
    </w:p>
    <w:p w14:paraId="0F344CC0">
      <w:pPr>
        <w:spacing w:line="360" w:lineRule="exact"/>
        <w:ind w:firstLine="420" w:firstLineChars="200"/>
        <w:rPr>
          <w:rFonts w:hint="eastAsia" w:asciiTheme="minorEastAsia" w:hAnsiTheme="minorEastAsia" w:cstheme="minorEastAsia"/>
          <w:bCs/>
          <w:szCs w:val="21"/>
          <w:u w:val="single"/>
        </w:rPr>
      </w:pPr>
      <w:r>
        <w:rPr>
          <w:rFonts w:hint="eastAsia" w:asciiTheme="minorEastAsia" w:hAnsiTheme="minorEastAsia" w:cstheme="minorEastAsia"/>
          <w:szCs w:val="21"/>
        </w:rPr>
        <w:t>6．工程承包范围：</w:t>
      </w:r>
      <w:r>
        <w:rPr>
          <w:rFonts w:hint="eastAsia" w:asciiTheme="minorEastAsia" w:hAnsiTheme="minorEastAsia" w:cstheme="minorEastAsia"/>
          <w:szCs w:val="21"/>
          <w:u w:val="single"/>
        </w:rPr>
        <w:t xml:space="preserve">                                                     </w:t>
      </w:r>
      <w:r>
        <w:rPr>
          <w:rFonts w:hint="eastAsia" w:asciiTheme="minorEastAsia" w:hAnsiTheme="minorEastAsia" w:cstheme="minorEastAsia"/>
          <w:bCs/>
          <w:szCs w:val="21"/>
          <w:u w:val="single"/>
        </w:rPr>
        <w:t>。</w:t>
      </w:r>
    </w:p>
    <w:p w14:paraId="647119F2">
      <w:pPr>
        <w:spacing w:line="360" w:lineRule="exact"/>
        <w:ind w:firstLine="420" w:firstLineChars="200"/>
        <w:jc w:val="left"/>
        <w:rPr>
          <w:rFonts w:hint="eastAsia" w:asciiTheme="minorEastAsia" w:hAnsiTheme="minorEastAsia" w:cstheme="minorEastAsia"/>
          <w:szCs w:val="21"/>
        </w:rPr>
      </w:pPr>
      <w:r>
        <w:rPr>
          <w:rFonts w:hint="eastAsia" w:asciiTheme="minorEastAsia" w:hAnsiTheme="minorEastAsia" w:cstheme="minorEastAsia"/>
          <w:bCs/>
          <w:szCs w:val="21"/>
          <w:u w:val="single"/>
        </w:rPr>
        <w:t>现场具体情况已经由承包人在投标前自行前往勘察，发包人不为此承担任何责任。</w:t>
      </w:r>
    </w:p>
    <w:p w14:paraId="61FD3B98">
      <w:pPr>
        <w:keepNext/>
        <w:keepLines/>
        <w:spacing w:line="360" w:lineRule="exact"/>
        <w:rPr>
          <w:rFonts w:hint="eastAsia" w:asciiTheme="minorEastAsia" w:hAnsiTheme="minorEastAsia" w:cstheme="minorEastAsia"/>
          <w:szCs w:val="21"/>
        </w:rPr>
      </w:pPr>
      <w:r>
        <w:rPr>
          <w:rFonts w:hint="eastAsia" w:asciiTheme="minorEastAsia" w:hAnsiTheme="minorEastAsia" w:cstheme="minorEastAsia"/>
          <w:szCs w:val="21"/>
        </w:rPr>
        <w:t xml:space="preserve">   </w:t>
      </w:r>
      <w:bookmarkStart w:id="31" w:name="_Toc351203482"/>
      <w:bookmarkEnd w:id="31"/>
      <w:r>
        <w:rPr>
          <w:rFonts w:hint="eastAsia" w:asciiTheme="minorEastAsia" w:hAnsiTheme="minorEastAsia" w:cstheme="minorEastAsia"/>
          <w:szCs w:val="21"/>
        </w:rPr>
        <w:t xml:space="preserve"> 二、合同工期</w:t>
      </w:r>
    </w:p>
    <w:p w14:paraId="4AE41886">
      <w:pPr>
        <w:spacing w:line="36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计划开工日期：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日。（具体以开工令为准）</w:t>
      </w:r>
    </w:p>
    <w:p w14:paraId="2B8DB282">
      <w:pPr>
        <w:spacing w:line="36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计划竣工日期：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年</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月</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日。（具体以提交竣工报告为准）</w:t>
      </w:r>
    </w:p>
    <w:p w14:paraId="7605F94B">
      <w:pPr>
        <w:spacing w:line="36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工期总日历天数：</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天。工期总日历天数与根据前述计划开、竣工日期计算的工期天数不一致的，以工期总日历天数为准。</w:t>
      </w:r>
    </w:p>
    <w:p w14:paraId="5E39AACE">
      <w:pPr>
        <w:spacing w:line="360" w:lineRule="exact"/>
        <w:ind w:firstLine="420" w:firstLineChars="200"/>
        <w:rPr>
          <w:rFonts w:hint="eastAsia" w:asciiTheme="minorEastAsia" w:hAnsiTheme="minorEastAsia" w:cstheme="minorEastAsia"/>
          <w:szCs w:val="21"/>
          <w:u w:val="single"/>
        </w:rPr>
      </w:pPr>
      <w:r>
        <w:rPr>
          <w:rFonts w:hint="eastAsia" w:asciiTheme="minorEastAsia" w:hAnsiTheme="minorEastAsia" w:cstheme="minorEastAsia"/>
          <w:szCs w:val="21"/>
        </w:rPr>
        <w:t xml:space="preserve">中间形象进度工期要求：  </w:t>
      </w:r>
      <w:r>
        <w:rPr>
          <w:rFonts w:hint="eastAsia" w:asciiTheme="minorEastAsia" w:hAnsiTheme="minorEastAsia" w:cstheme="minorEastAsia"/>
          <w:szCs w:val="21"/>
          <w:u w:val="single"/>
        </w:rPr>
        <w:t xml:space="preserve">          /            。</w:t>
      </w:r>
    </w:p>
    <w:p w14:paraId="655A84B7">
      <w:pPr>
        <w:keepNext/>
        <w:keepLines/>
        <w:spacing w:line="360" w:lineRule="exact"/>
        <w:rPr>
          <w:rFonts w:hint="eastAsia" w:asciiTheme="minorEastAsia" w:hAnsiTheme="minorEastAsia" w:cstheme="minorEastAsia"/>
          <w:b/>
          <w:bCs/>
          <w:szCs w:val="21"/>
        </w:rPr>
      </w:pPr>
      <w:r>
        <w:rPr>
          <w:rFonts w:hint="eastAsia" w:asciiTheme="minorEastAsia" w:hAnsiTheme="minorEastAsia" w:cstheme="minorEastAsia"/>
          <w:b/>
          <w:bCs/>
          <w:szCs w:val="21"/>
        </w:rPr>
        <w:t xml:space="preserve">    </w:t>
      </w:r>
      <w:bookmarkStart w:id="32" w:name="_Toc351203483"/>
      <w:bookmarkEnd w:id="32"/>
      <w:r>
        <w:rPr>
          <w:rFonts w:hint="eastAsia" w:asciiTheme="minorEastAsia" w:hAnsiTheme="minorEastAsia" w:cstheme="minorEastAsia"/>
          <w:szCs w:val="21"/>
        </w:rPr>
        <w:t>三、质量标准</w:t>
      </w:r>
    </w:p>
    <w:p w14:paraId="5CA23F30">
      <w:pPr>
        <w:spacing w:line="360" w:lineRule="exact"/>
        <w:ind w:firstLine="459"/>
        <w:rPr>
          <w:rFonts w:hint="eastAsia" w:asciiTheme="minorEastAsia" w:hAnsiTheme="minorEastAsia" w:cstheme="minorEastAsia"/>
          <w:szCs w:val="21"/>
        </w:rPr>
      </w:pPr>
      <w:r>
        <w:rPr>
          <w:rFonts w:hint="eastAsia" w:asciiTheme="minorEastAsia" w:hAnsiTheme="minorEastAsia" w:cstheme="minorEastAsia"/>
          <w:szCs w:val="21"/>
        </w:rPr>
        <w:t>工程质量符合</w:t>
      </w:r>
      <w:r>
        <w:rPr>
          <w:rFonts w:hint="eastAsia" w:asciiTheme="minorEastAsia" w:hAnsiTheme="minorEastAsia" w:cstheme="minorEastAsia"/>
          <w:szCs w:val="21"/>
          <w:u w:val="single"/>
        </w:rPr>
        <w:t xml:space="preserve">   合格      </w:t>
      </w:r>
      <w:r>
        <w:rPr>
          <w:rFonts w:hint="eastAsia" w:asciiTheme="minorEastAsia" w:hAnsiTheme="minorEastAsia" w:cstheme="minorEastAsia"/>
          <w:szCs w:val="21"/>
        </w:rPr>
        <w:t>标准。</w:t>
      </w:r>
    </w:p>
    <w:p w14:paraId="575F050E">
      <w:pPr>
        <w:snapToGrid w:val="0"/>
        <w:spacing w:line="360" w:lineRule="auto"/>
        <w:outlineLvl w:val="3"/>
        <w:rPr>
          <w:rFonts w:hint="eastAsia" w:asciiTheme="minorEastAsia" w:hAnsiTheme="minorEastAsia" w:cstheme="minorEastAsia"/>
          <w:b/>
          <w:szCs w:val="21"/>
        </w:rPr>
      </w:pPr>
      <w:r>
        <w:rPr>
          <w:rFonts w:hint="eastAsia" w:asciiTheme="minorEastAsia" w:hAnsiTheme="minorEastAsia" w:cstheme="minorEastAsia"/>
          <w:b/>
          <w:bCs/>
          <w:szCs w:val="21"/>
        </w:rPr>
        <w:t xml:space="preserve">    </w:t>
      </w:r>
      <w:bookmarkStart w:id="33" w:name="_Toc351203484"/>
      <w:r>
        <w:rPr>
          <w:rFonts w:hint="eastAsia" w:asciiTheme="minorEastAsia" w:hAnsiTheme="minorEastAsia" w:cstheme="minorEastAsia"/>
          <w:b/>
          <w:szCs w:val="21"/>
        </w:rPr>
        <w:t>四、签约合同价与合同价格形式</w:t>
      </w:r>
      <w:bookmarkEnd w:id="33"/>
    </w:p>
    <w:p w14:paraId="7351C426">
      <w:pPr>
        <w:snapToGri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1．签约合同价为：</w:t>
      </w:r>
    </w:p>
    <w:p w14:paraId="22DECC62">
      <w:pPr>
        <w:snapToGri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人民币（大写）</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元）；</w:t>
      </w:r>
    </w:p>
    <w:p w14:paraId="585398B4">
      <w:pPr>
        <w:snapToGri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2．合同价格形式：</w:t>
      </w:r>
      <w:r>
        <w:rPr>
          <w:rFonts w:hint="eastAsia" w:asciiTheme="minorEastAsia" w:hAnsiTheme="minorEastAsia" w:cstheme="minorEastAsia"/>
          <w:szCs w:val="21"/>
          <w:u w:val="single"/>
        </w:rPr>
        <w:t>单价合同</w:t>
      </w:r>
      <w:r>
        <w:rPr>
          <w:rFonts w:hint="eastAsia" w:asciiTheme="minorEastAsia" w:hAnsiTheme="minorEastAsia" w:cstheme="minorEastAsia"/>
          <w:szCs w:val="21"/>
        </w:rPr>
        <w:t>。</w:t>
      </w:r>
    </w:p>
    <w:p w14:paraId="1A1607B6">
      <w:pPr>
        <w:snapToGri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3．发包人向承包人支付工程价款及其他应当支付的款项均须汇入承包人合同协议书中的银行账户。</w:t>
      </w:r>
    </w:p>
    <w:p w14:paraId="5A328E2F">
      <w:pPr>
        <w:snapToGrid w:val="0"/>
        <w:spacing w:line="360" w:lineRule="auto"/>
        <w:ind w:firstLine="352" w:firstLineChars="168"/>
        <w:rPr>
          <w:rFonts w:hint="eastAsia" w:asciiTheme="minorEastAsia" w:hAnsiTheme="minorEastAsia" w:cstheme="minorEastAsia"/>
          <w:szCs w:val="21"/>
        </w:rPr>
      </w:pPr>
      <w:r>
        <w:rPr>
          <w:rFonts w:hint="eastAsia" w:asciiTheme="minorEastAsia" w:hAnsiTheme="minorEastAsia" w:cstheme="minorEastAsia"/>
          <w:szCs w:val="21"/>
          <w:shd w:val="clear" w:color="auto" w:fill="FFFFFF"/>
        </w:rPr>
        <w:t>承包人完成本合同项下应税行为的计税方式按</w:t>
      </w:r>
      <w:r>
        <w:rPr>
          <w:rFonts w:hint="eastAsia" w:asciiTheme="minorEastAsia" w:hAnsiTheme="minorEastAsia" w:cstheme="minorEastAsia"/>
          <w:szCs w:val="21"/>
        </w:rPr>
        <w:t>以下第</w:t>
      </w:r>
      <w:r>
        <w:rPr>
          <w:rFonts w:hint="eastAsia" w:asciiTheme="minorEastAsia" w:hAnsiTheme="minorEastAsia" w:cstheme="minorEastAsia"/>
          <w:szCs w:val="21"/>
          <w:u w:val="single"/>
          <w:shd w:val="clear" w:color="auto" w:fill="FFFFFF"/>
        </w:rPr>
        <w:t xml:space="preserve">   （1）   </w:t>
      </w:r>
      <w:r>
        <w:rPr>
          <w:rFonts w:hint="eastAsia" w:asciiTheme="minorEastAsia" w:hAnsiTheme="minorEastAsia" w:cstheme="minorEastAsia"/>
          <w:szCs w:val="21"/>
          <w:shd w:val="clear" w:color="auto" w:fill="FFFFFF"/>
        </w:rPr>
        <w:t>种方法，并与</w:t>
      </w:r>
      <w:r>
        <w:rPr>
          <w:rFonts w:hint="eastAsia" w:asciiTheme="minorEastAsia" w:hAnsiTheme="minorEastAsia" w:cstheme="minorEastAsia"/>
          <w:szCs w:val="21"/>
        </w:rPr>
        <w:t>工程计价时采用的计税方法一致。</w:t>
      </w:r>
    </w:p>
    <w:p w14:paraId="60857C56">
      <w:pPr>
        <w:snapToGrid w:val="0"/>
        <w:spacing w:line="360" w:lineRule="auto"/>
        <w:ind w:firstLine="352" w:firstLineChars="168"/>
        <w:rPr>
          <w:rFonts w:hint="eastAsia" w:asciiTheme="minorEastAsia" w:hAnsiTheme="minorEastAsia" w:cstheme="minorEastAsia"/>
          <w:szCs w:val="21"/>
        </w:rPr>
      </w:pPr>
      <w:r>
        <w:rPr>
          <w:rFonts w:hint="eastAsia" w:asciiTheme="minorEastAsia" w:hAnsiTheme="minorEastAsia" w:cstheme="minorEastAsia"/>
          <w:szCs w:val="21"/>
          <w:shd w:val="clear" w:color="auto" w:fill="FFFFFF"/>
        </w:rPr>
        <w:t>（1）一般计税方法。</w:t>
      </w:r>
    </w:p>
    <w:p w14:paraId="7BFFD238">
      <w:pPr>
        <w:snapToGrid w:val="0"/>
        <w:spacing w:line="360" w:lineRule="auto"/>
        <w:ind w:firstLine="352" w:firstLineChars="168"/>
        <w:rPr>
          <w:rFonts w:hint="eastAsia" w:asciiTheme="minorEastAsia" w:hAnsiTheme="minorEastAsia" w:cstheme="minorEastAsia"/>
          <w:szCs w:val="21"/>
        </w:rPr>
      </w:pPr>
      <w:r>
        <w:rPr>
          <w:rFonts w:hint="eastAsia" w:asciiTheme="minorEastAsia" w:hAnsiTheme="minorEastAsia" w:cstheme="minorEastAsia"/>
          <w:szCs w:val="21"/>
        </w:rPr>
        <w:t>（2）</w:t>
      </w:r>
      <w:r>
        <w:rPr>
          <w:rFonts w:hint="eastAsia" w:asciiTheme="minorEastAsia" w:hAnsiTheme="minorEastAsia" w:cstheme="minorEastAsia"/>
          <w:szCs w:val="21"/>
          <w:shd w:val="clear" w:color="auto" w:fill="FFFFFF"/>
        </w:rPr>
        <w:t>简易计税方法。</w:t>
      </w:r>
    </w:p>
    <w:p w14:paraId="2030AC86">
      <w:pPr>
        <w:keepNext/>
        <w:keepLines/>
        <w:spacing w:line="360" w:lineRule="exact"/>
        <w:rPr>
          <w:rFonts w:hint="eastAsia" w:asciiTheme="minorEastAsia" w:hAnsiTheme="minorEastAsia" w:cstheme="minorEastAsia"/>
          <w:szCs w:val="21"/>
        </w:rPr>
      </w:pPr>
      <w:r>
        <w:rPr>
          <w:rFonts w:hint="eastAsia" w:asciiTheme="minorEastAsia" w:hAnsiTheme="minorEastAsia" w:cstheme="minorEastAsia"/>
          <w:b/>
          <w:bCs/>
          <w:szCs w:val="21"/>
        </w:rPr>
        <w:t xml:space="preserve">     </w:t>
      </w:r>
      <w:bookmarkStart w:id="34" w:name="_Toc351203485"/>
      <w:bookmarkEnd w:id="34"/>
      <w:r>
        <w:rPr>
          <w:rFonts w:hint="eastAsia" w:asciiTheme="minorEastAsia" w:hAnsiTheme="minorEastAsia" w:cstheme="minorEastAsia"/>
          <w:szCs w:val="21"/>
        </w:rPr>
        <w:t>五、项目经理</w:t>
      </w:r>
    </w:p>
    <w:p w14:paraId="06576607">
      <w:pPr>
        <w:spacing w:line="36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承包人项目经理：</w:t>
      </w:r>
      <w:r>
        <w:rPr>
          <w:rFonts w:hint="eastAsia" w:asciiTheme="minorEastAsia" w:hAnsiTheme="minorEastAsia" w:cstheme="minorEastAsia"/>
          <w:szCs w:val="21"/>
          <w:u w:val="single"/>
        </w:rPr>
        <w:t xml:space="preserve">   以承包人投标时拟派人员为准    </w:t>
      </w:r>
      <w:r>
        <w:rPr>
          <w:rFonts w:hint="eastAsia" w:asciiTheme="minorEastAsia" w:hAnsiTheme="minorEastAsia" w:cstheme="minorEastAsia"/>
          <w:szCs w:val="21"/>
        </w:rPr>
        <w:t>。</w:t>
      </w:r>
    </w:p>
    <w:p w14:paraId="61F1C9BF">
      <w:pPr>
        <w:snapToGrid w:val="0"/>
        <w:spacing w:line="360" w:lineRule="auto"/>
        <w:outlineLvl w:val="3"/>
        <w:rPr>
          <w:rFonts w:hint="eastAsia" w:ascii="宋体" w:hAnsi="宋体" w:eastAsia="宋体" w:cs="宋体"/>
          <w:b/>
          <w:szCs w:val="21"/>
        </w:rPr>
      </w:pPr>
      <w:r>
        <w:rPr>
          <w:rFonts w:hint="eastAsia" w:asciiTheme="minorEastAsia" w:hAnsiTheme="minorEastAsia" w:cstheme="minorEastAsia"/>
          <w:b/>
          <w:bCs/>
          <w:szCs w:val="21"/>
        </w:rPr>
        <w:t xml:space="preserve">   </w:t>
      </w:r>
      <w:r>
        <w:rPr>
          <w:rFonts w:hint="eastAsia" w:ascii="宋体" w:hAnsi="宋体" w:eastAsia="宋体" w:cs="宋体"/>
          <w:b/>
          <w:szCs w:val="21"/>
        </w:rPr>
        <w:t xml:space="preserve"> </w:t>
      </w:r>
      <w:bookmarkStart w:id="35" w:name="_Toc351203486"/>
      <w:r>
        <w:rPr>
          <w:rFonts w:hint="eastAsia" w:ascii="宋体" w:hAnsi="宋体" w:eastAsia="宋体" w:cs="宋体"/>
          <w:b/>
          <w:szCs w:val="21"/>
        </w:rPr>
        <w:t xml:space="preserve"> 六、合同文件构成</w:t>
      </w:r>
      <w:bookmarkEnd w:id="35"/>
    </w:p>
    <w:p w14:paraId="13D58EDD">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本协议书与下列文件一起构成合同文件：</w:t>
      </w:r>
    </w:p>
    <w:p w14:paraId="02D66C09">
      <w:p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（1）中标通知书（如果有）；</w:t>
      </w:r>
    </w:p>
    <w:p w14:paraId="76FB4E23">
      <w:p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（2）投标函及其附录（如果有）；</w:t>
      </w:r>
    </w:p>
    <w:p w14:paraId="21F18FC0">
      <w:p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（3）专用合同条款及其附件；</w:t>
      </w:r>
    </w:p>
    <w:p w14:paraId="4B248D0B">
      <w:p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（4）通用合同条款；</w:t>
      </w:r>
    </w:p>
    <w:p w14:paraId="5443C619">
      <w:p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（5）技术标准和要求；</w:t>
      </w:r>
    </w:p>
    <w:p w14:paraId="47138486">
      <w:p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（6）图纸；</w:t>
      </w:r>
    </w:p>
    <w:p w14:paraId="52CFE18B">
      <w:p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（7）已标价工程量清单或预算书；</w:t>
      </w:r>
    </w:p>
    <w:p w14:paraId="0C0C7BAC">
      <w:p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（8）其他合同文件。</w:t>
      </w:r>
    </w:p>
    <w:p w14:paraId="55F137B8">
      <w:p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在合同订立及履行过程中形成的与合同有关的文件均构成合同文件组成部分。</w:t>
      </w:r>
    </w:p>
    <w:p w14:paraId="21F37D90">
      <w:p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上述各项合同文件包括合同当事人就该项合同文件所作出的补充和修改，属于同一类内容的文件，应以最新签署的为准。专用合同条款及其附件须经合同当事人签字或盖章。</w:t>
      </w:r>
    </w:p>
    <w:p w14:paraId="1524D07C">
      <w:pPr>
        <w:autoSpaceDE w:val="0"/>
        <w:autoSpaceDN w:val="0"/>
        <w:adjustRightInd w:val="0"/>
        <w:snapToGrid w:val="0"/>
        <w:spacing w:line="360" w:lineRule="auto"/>
        <w:ind w:firstLine="630" w:firstLineChars="300"/>
        <w:rPr>
          <w:rFonts w:hint="eastAsia" w:ascii="宋体" w:hAnsi="宋体" w:eastAsia="宋体" w:cs="宋体"/>
          <w:szCs w:val="21"/>
          <w:u w:val="single"/>
        </w:rPr>
      </w:pPr>
      <w:r>
        <w:rPr>
          <w:rFonts w:hint="eastAsia" w:ascii="宋体" w:hAnsi="宋体" w:eastAsia="宋体" w:cs="宋体"/>
          <w:bCs/>
          <w:szCs w:val="21"/>
        </w:rPr>
        <w:t>七、创优目标</w:t>
      </w:r>
    </w:p>
    <w:p w14:paraId="405EF05A">
      <w:pPr>
        <w:autoSpaceDE w:val="0"/>
        <w:autoSpaceDN w:val="0"/>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无。</w:t>
      </w:r>
    </w:p>
    <w:p w14:paraId="1537753B">
      <w:pPr>
        <w:snapToGrid w:val="0"/>
        <w:spacing w:line="360" w:lineRule="auto"/>
        <w:ind w:firstLine="632" w:firstLineChars="300"/>
        <w:outlineLvl w:val="3"/>
        <w:rPr>
          <w:rFonts w:hint="eastAsia" w:ascii="宋体" w:hAnsi="宋体" w:eastAsia="宋体" w:cs="宋体"/>
          <w:b/>
          <w:szCs w:val="21"/>
        </w:rPr>
      </w:pPr>
      <w:bookmarkStart w:id="36" w:name="_Toc351203487"/>
      <w:r>
        <w:rPr>
          <w:rFonts w:hint="eastAsia" w:ascii="宋体" w:hAnsi="宋体" w:eastAsia="宋体" w:cs="宋体"/>
          <w:b/>
          <w:szCs w:val="21"/>
        </w:rPr>
        <w:t>八、承诺</w:t>
      </w:r>
      <w:bookmarkEnd w:id="36"/>
    </w:p>
    <w:p w14:paraId="0B990552">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1．发包人承诺按照法律规定履行项目审批手续、筹集工程建设资金并按照合同约定的期限和方式支付合同价款。</w:t>
      </w:r>
    </w:p>
    <w:p w14:paraId="086DC6B3">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2．承包人承诺按照法律规定及合同约定组织完成工程施工，确保工程质量和安全，不进行转包及违法分包，并在缺陷责任期及保修期内承担相应的工程维修责任。</w:t>
      </w:r>
    </w:p>
    <w:p w14:paraId="766C856F">
      <w:pPr>
        <w:tabs>
          <w:tab w:val="left" w:pos="0"/>
        </w:tabs>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bCs/>
          <w:szCs w:val="21"/>
        </w:rPr>
        <w:t xml:space="preserve">3. </w:t>
      </w:r>
      <w:r>
        <w:rPr>
          <w:rFonts w:hint="eastAsia" w:ascii="宋体" w:hAnsi="宋体" w:eastAsia="宋体" w:cs="宋体"/>
          <w:kern w:val="0"/>
          <w:szCs w:val="21"/>
        </w:rPr>
        <w:t>承包人</w:t>
      </w:r>
      <w:r>
        <w:rPr>
          <w:rFonts w:hint="eastAsia" w:ascii="宋体" w:hAnsi="宋体" w:eastAsia="宋体" w:cs="宋体"/>
          <w:bCs/>
          <w:szCs w:val="21"/>
        </w:rPr>
        <w:t>承诺</w:t>
      </w:r>
      <w:r>
        <w:rPr>
          <w:rFonts w:hint="eastAsia" w:ascii="宋体" w:hAnsi="宋体" w:eastAsia="宋体" w:cs="宋体"/>
          <w:kern w:val="0"/>
          <w:szCs w:val="21"/>
        </w:rPr>
        <w:t>不拖欠工人工资，因拖欠工资造成的一切后果，均由承包人承担，发包人有权将应拔付的工程款，先代付工人工资。</w:t>
      </w:r>
    </w:p>
    <w:p w14:paraId="3C47ED4F">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4．发包人和承包人通过招投标形式签订合同的，双方理解并承诺不再就同一工程另行签订与合同实质性内容相背离的协议。</w:t>
      </w:r>
    </w:p>
    <w:p w14:paraId="2E67BE73">
      <w:pPr>
        <w:snapToGrid w:val="0"/>
        <w:spacing w:line="360" w:lineRule="auto"/>
        <w:outlineLvl w:val="2"/>
        <w:rPr>
          <w:rFonts w:hint="eastAsia" w:ascii="宋体" w:hAnsi="宋体" w:eastAsia="宋体" w:cs="宋体"/>
          <w:b/>
          <w:bCs/>
          <w:szCs w:val="21"/>
        </w:rPr>
      </w:pPr>
      <w:bookmarkStart w:id="37" w:name="_Toc351203488"/>
      <w:r>
        <w:rPr>
          <w:rFonts w:hint="eastAsia" w:ascii="宋体" w:hAnsi="宋体" w:eastAsia="宋体" w:cs="宋体"/>
          <w:b/>
          <w:bCs/>
          <w:szCs w:val="21"/>
        </w:rPr>
        <w:t xml:space="preserve">     九、词语含义</w:t>
      </w:r>
      <w:bookmarkEnd w:id="37"/>
    </w:p>
    <w:p w14:paraId="5D0217F2">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本协议书中词语含义与第二部分通用合同条款中赋予的含义相同。</w:t>
      </w:r>
    </w:p>
    <w:p w14:paraId="345D7469">
      <w:pPr>
        <w:snapToGrid w:val="0"/>
        <w:spacing w:line="360" w:lineRule="auto"/>
        <w:outlineLvl w:val="3"/>
        <w:rPr>
          <w:rFonts w:hint="eastAsia" w:ascii="宋体" w:hAnsi="宋体" w:eastAsia="宋体" w:cs="宋体"/>
          <w:b/>
          <w:szCs w:val="21"/>
        </w:rPr>
      </w:pPr>
      <w:r>
        <w:rPr>
          <w:rFonts w:hint="eastAsia" w:ascii="宋体" w:hAnsi="宋体" w:eastAsia="宋体" w:cs="宋体"/>
          <w:b/>
          <w:szCs w:val="21"/>
        </w:rPr>
        <w:t xml:space="preserve">  </w:t>
      </w:r>
      <w:r>
        <w:rPr>
          <w:rFonts w:hint="eastAsia" w:ascii="宋体" w:hAnsi="宋体" w:eastAsia="宋体" w:cs="宋体"/>
          <w:bCs/>
          <w:szCs w:val="21"/>
        </w:rPr>
        <w:t xml:space="preserve"> </w:t>
      </w:r>
      <w:r>
        <w:rPr>
          <w:rFonts w:hint="eastAsia" w:ascii="宋体" w:hAnsi="宋体" w:eastAsia="宋体" w:cs="宋体"/>
          <w:b/>
          <w:szCs w:val="21"/>
        </w:rPr>
        <w:t xml:space="preserve"> </w:t>
      </w:r>
      <w:bookmarkStart w:id="38" w:name="_Toc351203489"/>
      <w:r>
        <w:rPr>
          <w:rFonts w:hint="eastAsia" w:ascii="宋体" w:hAnsi="宋体" w:eastAsia="宋体" w:cs="宋体"/>
          <w:b/>
          <w:szCs w:val="21"/>
        </w:rPr>
        <w:t xml:space="preserve"> 十、签订时间</w:t>
      </w:r>
      <w:bookmarkEnd w:id="38"/>
    </w:p>
    <w:p w14:paraId="00479D4A">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本合同于</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日签订。</w:t>
      </w:r>
    </w:p>
    <w:p w14:paraId="5669DBC0">
      <w:pPr>
        <w:snapToGrid w:val="0"/>
        <w:spacing w:line="360" w:lineRule="auto"/>
        <w:outlineLvl w:val="3"/>
        <w:rPr>
          <w:rFonts w:hint="eastAsia" w:ascii="宋体" w:hAnsi="宋体" w:eastAsia="宋体" w:cs="宋体"/>
          <w:b/>
          <w:szCs w:val="21"/>
        </w:rPr>
      </w:pPr>
      <w:r>
        <w:rPr>
          <w:rFonts w:hint="eastAsia" w:ascii="宋体" w:hAnsi="宋体" w:eastAsia="宋体" w:cs="宋体"/>
          <w:b/>
          <w:szCs w:val="21"/>
        </w:rPr>
        <w:t xml:space="preserve">    </w:t>
      </w:r>
      <w:bookmarkStart w:id="39" w:name="_Toc351203490"/>
      <w:r>
        <w:rPr>
          <w:rFonts w:hint="eastAsia" w:ascii="宋体" w:hAnsi="宋体" w:eastAsia="宋体" w:cs="宋体"/>
          <w:b/>
          <w:szCs w:val="21"/>
        </w:rPr>
        <w:t xml:space="preserve"> 十一、签订地点</w:t>
      </w:r>
      <w:bookmarkEnd w:id="39"/>
    </w:p>
    <w:p w14:paraId="3620339D">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本合同在</w:t>
      </w:r>
      <w:r>
        <w:rPr>
          <w:rFonts w:hint="eastAsia" w:ascii="宋体" w:hAnsi="宋体" w:eastAsia="宋体" w:cs="宋体"/>
          <w:bCs/>
          <w:szCs w:val="21"/>
          <w:u w:val="single"/>
        </w:rPr>
        <w:t xml:space="preserve">                                    </w:t>
      </w:r>
      <w:r>
        <w:rPr>
          <w:rFonts w:hint="eastAsia" w:ascii="宋体" w:hAnsi="宋体" w:eastAsia="宋体" w:cs="宋体"/>
          <w:bCs/>
          <w:szCs w:val="21"/>
        </w:rPr>
        <w:t>签订。</w:t>
      </w:r>
    </w:p>
    <w:p w14:paraId="0C68CE41">
      <w:pPr>
        <w:snapToGrid w:val="0"/>
        <w:spacing w:line="360" w:lineRule="auto"/>
        <w:outlineLvl w:val="3"/>
        <w:rPr>
          <w:rFonts w:hint="eastAsia" w:ascii="宋体" w:hAnsi="宋体" w:eastAsia="宋体" w:cs="宋体"/>
          <w:b/>
          <w:szCs w:val="21"/>
        </w:rPr>
      </w:pPr>
      <w:r>
        <w:rPr>
          <w:rFonts w:hint="eastAsia" w:ascii="宋体" w:hAnsi="宋体" w:eastAsia="宋体" w:cs="宋体"/>
          <w:b/>
          <w:szCs w:val="21"/>
        </w:rPr>
        <w:t xml:space="preserve">     </w:t>
      </w:r>
      <w:bookmarkStart w:id="40" w:name="_Toc351203491"/>
      <w:r>
        <w:rPr>
          <w:rFonts w:hint="eastAsia" w:ascii="宋体" w:hAnsi="宋体" w:eastAsia="宋体" w:cs="宋体"/>
          <w:b/>
          <w:szCs w:val="21"/>
        </w:rPr>
        <w:t>十二、补充协议</w:t>
      </w:r>
      <w:bookmarkEnd w:id="40"/>
    </w:p>
    <w:p w14:paraId="2BBD3A47">
      <w:pPr>
        <w:snapToGrid w:val="0"/>
        <w:spacing w:line="360" w:lineRule="auto"/>
        <w:ind w:firstLine="420" w:firstLineChars="200"/>
        <w:rPr>
          <w:rFonts w:hint="eastAsia" w:ascii="宋体" w:hAnsi="宋体" w:eastAsia="宋体" w:cs="宋体"/>
          <w:b/>
          <w:bCs/>
          <w:szCs w:val="21"/>
        </w:rPr>
      </w:pPr>
      <w:r>
        <w:rPr>
          <w:rFonts w:hint="eastAsia" w:ascii="宋体" w:hAnsi="宋体" w:eastAsia="宋体" w:cs="宋体"/>
          <w:bCs/>
          <w:szCs w:val="21"/>
        </w:rPr>
        <w:t>合同未尽事宜，合同当事人另行签订补充协议，补充协议是合同的组成部分。</w:t>
      </w:r>
    </w:p>
    <w:p w14:paraId="15718525">
      <w:pPr>
        <w:snapToGrid w:val="0"/>
        <w:spacing w:line="360" w:lineRule="auto"/>
        <w:outlineLvl w:val="3"/>
        <w:rPr>
          <w:rFonts w:hint="eastAsia" w:ascii="宋体" w:hAnsi="宋体" w:eastAsia="宋体" w:cs="宋体"/>
          <w:b/>
          <w:szCs w:val="21"/>
        </w:rPr>
      </w:pPr>
      <w:r>
        <w:rPr>
          <w:rFonts w:hint="eastAsia" w:ascii="宋体" w:hAnsi="宋体" w:eastAsia="宋体" w:cs="宋体"/>
          <w:b/>
          <w:szCs w:val="21"/>
        </w:rPr>
        <w:t xml:space="preserve">    </w:t>
      </w:r>
      <w:bookmarkStart w:id="41" w:name="_Toc351203492"/>
      <w:r>
        <w:rPr>
          <w:rFonts w:hint="eastAsia" w:ascii="宋体" w:hAnsi="宋体" w:eastAsia="宋体" w:cs="宋体"/>
          <w:b/>
          <w:szCs w:val="21"/>
        </w:rPr>
        <w:t xml:space="preserve"> 十三、合同生效</w:t>
      </w:r>
      <w:bookmarkEnd w:id="41"/>
    </w:p>
    <w:p w14:paraId="3F0D9DA1">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本合同自</w:t>
      </w:r>
      <w:r>
        <w:rPr>
          <w:rFonts w:hint="eastAsia" w:ascii="宋体" w:hAnsi="宋体" w:eastAsia="宋体" w:cs="宋体"/>
          <w:bCs/>
          <w:szCs w:val="21"/>
          <w:u w:val="single"/>
        </w:rPr>
        <w:t>双方法定代表人或委托代理人签字并加盖公章后</w:t>
      </w:r>
      <w:r>
        <w:rPr>
          <w:rFonts w:hint="eastAsia" w:ascii="宋体" w:hAnsi="宋体" w:eastAsia="宋体" w:cs="宋体"/>
          <w:bCs/>
          <w:szCs w:val="21"/>
        </w:rPr>
        <w:t>生效。</w:t>
      </w:r>
    </w:p>
    <w:p w14:paraId="08650461">
      <w:pPr>
        <w:snapToGrid w:val="0"/>
        <w:spacing w:line="360" w:lineRule="auto"/>
        <w:outlineLvl w:val="3"/>
        <w:rPr>
          <w:rFonts w:hint="eastAsia" w:ascii="宋体" w:hAnsi="宋体" w:eastAsia="宋体" w:cs="宋体"/>
          <w:b/>
          <w:szCs w:val="21"/>
        </w:rPr>
      </w:pPr>
      <w:r>
        <w:rPr>
          <w:rFonts w:hint="eastAsia" w:ascii="宋体" w:hAnsi="宋体" w:eastAsia="宋体" w:cs="宋体"/>
          <w:b/>
          <w:szCs w:val="21"/>
        </w:rPr>
        <w:t xml:space="preserve">    </w:t>
      </w:r>
      <w:bookmarkStart w:id="42" w:name="_Toc351203493"/>
      <w:r>
        <w:rPr>
          <w:rFonts w:hint="eastAsia" w:ascii="宋体" w:hAnsi="宋体" w:eastAsia="宋体" w:cs="宋体"/>
          <w:b/>
          <w:szCs w:val="21"/>
        </w:rPr>
        <w:t xml:space="preserve"> 十四、合同份数</w:t>
      </w:r>
      <w:bookmarkEnd w:id="42"/>
    </w:p>
    <w:p w14:paraId="2665BD61">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本合同一式</w:t>
      </w:r>
      <w:r>
        <w:rPr>
          <w:rFonts w:hint="eastAsia" w:ascii="宋体" w:hAnsi="宋体" w:eastAsia="宋体" w:cs="宋体"/>
          <w:bCs/>
          <w:szCs w:val="21"/>
          <w:u w:val="single"/>
        </w:rPr>
        <w:t xml:space="preserve">    </w:t>
      </w:r>
      <w:r>
        <w:rPr>
          <w:rFonts w:hint="eastAsia" w:ascii="宋体" w:hAnsi="宋体" w:eastAsia="宋体" w:cs="宋体"/>
          <w:bCs/>
          <w:szCs w:val="21"/>
        </w:rPr>
        <w:t>份，均具有同等法律效力，发包人执</w:t>
      </w:r>
      <w:r>
        <w:rPr>
          <w:rFonts w:hint="eastAsia" w:ascii="宋体" w:hAnsi="宋体" w:eastAsia="宋体" w:cs="宋体"/>
          <w:bCs/>
          <w:szCs w:val="21"/>
          <w:u w:val="single"/>
        </w:rPr>
        <w:t xml:space="preserve">    </w:t>
      </w:r>
      <w:r>
        <w:rPr>
          <w:rFonts w:hint="eastAsia" w:ascii="宋体" w:hAnsi="宋体" w:eastAsia="宋体" w:cs="宋体"/>
          <w:bCs/>
          <w:szCs w:val="21"/>
        </w:rPr>
        <w:t>份，承包人执</w:t>
      </w:r>
      <w:r>
        <w:rPr>
          <w:rFonts w:hint="eastAsia" w:ascii="宋体" w:hAnsi="宋体" w:eastAsia="宋体" w:cs="宋体"/>
          <w:bCs/>
          <w:szCs w:val="21"/>
          <w:u w:val="single"/>
        </w:rPr>
        <w:t xml:space="preserve">    </w:t>
      </w:r>
      <w:r>
        <w:rPr>
          <w:rFonts w:hint="eastAsia" w:ascii="宋体" w:hAnsi="宋体" w:eastAsia="宋体" w:cs="宋体"/>
          <w:bCs/>
          <w:szCs w:val="21"/>
        </w:rPr>
        <w:t>份。</w:t>
      </w:r>
    </w:p>
    <w:p w14:paraId="281EF84C">
      <w:pPr>
        <w:snapToGrid w:val="0"/>
        <w:spacing w:line="360" w:lineRule="auto"/>
        <w:rPr>
          <w:rFonts w:hint="eastAsia" w:ascii="宋体" w:hAnsi="宋体" w:eastAsia="宋体" w:cs="宋体"/>
          <w:bCs/>
          <w:szCs w:val="21"/>
        </w:rPr>
      </w:pPr>
    </w:p>
    <w:p w14:paraId="47284F14">
      <w:pPr>
        <w:snapToGrid w:val="0"/>
        <w:spacing w:line="360" w:lineRule="auto"/>
        <w:rPr>
          <w:rFonts w:hint="eastAsia" w:ascii="宋体" w:hAnsi="宋体" w:eastAsia="宋体" w:cs="宋体"/>
          <w:bCs/>
          <w:szCs w:val="21"/>
        </w:rPr>
      </w:pPr>
    </w:p>
    <w:p w14:paraId="706E9970">
      <w:pPr>
        <w:snapToGrid w:val="0"/>
        <w:spacing w:line="360" w:lineRule="auto"/>
        <w:rPr>
          <w:rFonts w:hint="eastAsia" w:ascii="宋体" w:hAnsi="宋体" w:eastAsia="宋体" w:cs="宋体"/>
          <w:bCs/>
          <w:szCs w:val="21"/>
        </w:rPr>
      </w:pPr>
    </w:p>
    <w:p w14:paraId="5E016275">
      <w:pPr>
        <w:snapToGrid w:val="0"/>
        <w:spacing w:line="360" w:lineRule="auto"/>
        <w:rPr>
          <w:rFonts w:hint="eastAsia" w:ascii="宋体" w:hAnsi="宋体" w:eastAsia="宋体" w:cs="宋体"/>
          <w:szCs w:val="21"/>
        </w:rPr>
      </w:pPr>
      <w:r>
        <w:rPr>
          <w:rFonts w:hint="eastAsia" w:ascii="宋体" w:hAnsi="宋体" w:eastAsia="宋体" w:cs="宋体"/>
          <w:szCs w:val="21"/>
        </w:rPr>
        <w:t>发包人：  （公章）                 承包人：  （公章）</w:t>
      </w:r>
    </w:p>
    <w:p w14:paraId="762B1D9C">
      <w:pPr>
        <w:snapToGrid w:val="0"/>
        <w:spacing w:line="360" w:lineRule="auto"/>
        <w:rPr>
          <w:rFonts w:hint="eastAsia" w:ascii="宋体" w:hAnsi="宋体" w:eastAsia="宋体" w:cs="宋体"/>
          <w:szCs w:val="21"/>
          <w:u w:val="single"/>
        </w:rPr>
      </w:pPr>
    </w:p>
    <w:p w14:paraId="6F1BD438">
      <w:pPr>
        <w:snapToGrid w:val="0"/>
        <w:spacing w:line="360" w:lineRule="auto"/>
        <w:rPr>
          <w:rFonts w:hint="eastAsia" w:ascii="宋体" w:hAnsi="宋体" w:eastAsia="宋体" w:cs="宋体"/>
          <w:szCs w:val="21"/>
          <w:u w:val="single"/>
        </w:rPr>
      </w:pPr>
    </w:p>
    <w:p w14:paraId="19A94D93">
      <w:pPr>
        <w:snapToGrid w:val="0"/>
        <w:spacing w:line="360" w:lineRule="auto"/>
        <w:rPr>
          <w:rFonts w:hint="eastAsia" w:ascii="宋体" w:hAnsi="宋体" w:eastAsia="宋体" w:cs="宋体"/>
          <w:szCs w:val="21"/>
        </w:rPr>
      </w:pPr>
      <w:r>
        <w:rPr>
          <w:rFonts w:hint="eastAsia" w:ascii="宋体" w:hAnsi="宋体" w:eastAsia="宋体" w:cs="宋体"/>
          <w:szCs w:val="21"/>
        </w:rPr>
        <w:t>法定代表人或其委托代理人：    法定代表人或其委托代理人：</w:t>
      </w:r>
    </w:p>
    <w:p w14:paraId="0F11C32B">
      <w:pPr>
        <w:snapToGrid w:val="0"/>
        <w:spacing w:line="360" w:lineRule="auto"/>
        <w:rPr>
          <w:rFonts w:hint="eastAsia" w:ascii="宋体" w:hAnsi="宋体" w:eastAsia="宋体" w:cs="宋体"/>
          <w:szCs w:val="21"/>
        </w:rPr>
      </w:pPr>
      <w:r>
        <w:rPr>
          <w:rFonts w:hint="eastAsia" w:ascii="宋体" w:hAnsi="宋体" w:eastAsia="宋体" w:cs="宋体"/>
          <w:szCs w:val="21"/>
        </w:rPr>
        <w:t>（签字）                      （签字）</w:t>
      </w:r>
    </w:p>
    <w:p w14:paraId="3778F607">
      <w:pPr>
        <w:tabs>
          <w:tab w:val="left" w:pos="4410"/>
        </w:tabs>
        <w:snapToGrid w:val="0"/>
        <w:spacing w:line="360" w:lineRule="auto"/>
        <w:rPr>
          <w:rFonts w:hint="eastAsia" w:ascii="宋体" w:hAnsi="宋体" w:eastAsia="宋体" w:cs="宋体"/>
          <w:szCs w:val="21"/>
        </w:rPr>
      </w:pPr>
      <w:r>
        <w:rPr>
          <w:rFonts w:hint="eastAsia" w:ascii="宋体" w:hAnsi="宋体" w:eastAsia="宋体" w:cs="宋体"/>
          <w:szCs w:val="21"/>
        </w:rPr>
        <w:t>统一社会信用代码：</w:t>
      </w:r>
      <w:r>
        <w:rPr>
          <w:rFonts w:hint="eastAsia" w:ascii="宋体" w:hAnsi="宋体" w:eastAsia="宋体" w:cs="宋体"/>
          <w:szCs w:val="21"/>
          <w:u w:val="single"/>
        </w:rPr>
        <w:t xml:space="preserve">          </w:t>
      </w:r>
      <w:r>
        <w:rPr>
          <w:rFonts w:hint="eastAsia" w:ascii="宋体" w:hAnsi="宋体" w:eastAsia="宋体" w:cs="宋体"/>
          <w:szCs w:val="21"/>
        </w:rPr>
        <w:t xml:space="preserve">   统一社会信用代码：</w:t>
      </w:r>
      <w:r>
        <w:rPr>
          <w:rFonts w:hint="eastAsia" w:ascii="宋体" w:hAnsi="宋体" w:eastAsia="宋体" w:cs="宋体"/>
          <w:szCs w:val="21"/>
          <w:u w:val="single"/>
        </w:rPr>
        <w:t xml:space="preserve">          </w:t>
      </w:r>
    </w:p>
    <w:p w14:paraId="3683473B">
      <w:pPr>
        <w:snapToGrid w:val="0"/>
        <w:spacing w:line="360" w:lineRule="auto"/>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rPr>
        <w:t xml:space="preserve">   地  址：</w:t>
      </w:r>
      <w:r>
        <w:rPr>
          <w:rFonts w:hint="eastAsia" w:ascii="宋体" w:hAnsi="宋体" w:eastAsia="宋体" w:cs="宋体"/>
          <w:szCs w:val="21"/>
          <w:u w:val="single"/>
        </w:rPr>
        <w:t xml:space="preserve">                    </w:t>
      </w:r>
    </w:p>
    <w:p w14:paraId="6550705B">
      <w:pPr>
        <w:snapToGrid w:val="0"/>
        <w:spacing w:line="360" w:lineRule="auto"/>
        <w:rPr>
          <w:rFonts w:hint="eastAsia"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 xml:space="preserve">                  </w:t>
      </w:r>
      <w:r>
        <w:rPr>
          <w:rFonts w:hint="eastAsia" w:ascii="宋体" w:hAnsi="宋体" w:eastAsia="宋体" w:cs="宋体"/>
          <w:szCs w:val="21"/>
        </w:rPr>
        <w:t xml:space="preserve">   邮政编码：</w:t>
      </w:r>
      <w:r>
        <w:rPr>
          <w:rFonts w:hint="eastAsia" w:ascii="宋体" w:hAnsi="宋体" w:eastAsia="宋体" w:cs="宋体"/>
          <w:szCs w:val="21"/>
          <w:u w:val="single"/>
        </w:rPr>
        <w:t xml:space="preserve">                  </w:t>
      </w:r>
    </w:p>
    <w:p w14:paraId="59F34FAA">
      <w:pPr>
        <w:snapToGrid w:val="0"/>
        <w:spacing w:line="360" w:lineRule="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 xml:space="preserve">   法定代表人：</w:t>
      </w:r>
      <w:r>
        <w:rPr>
          <w:rFonts w:hint="eastAsia" w:ascii="宋体" w:hAnsi="宋体" w:eastAsia="宋体" w:cs="宋体"/>
          <w:szCs w:val="21"/>
          <w:u w:val="single"/>
        </w:rPr>
        <w:t xml:space="preserve">                </w:t>
      </w:r>
    </w:p>
    <w:p w14:paraId="66440938">
      <w:pPr>
        <w:snapToGrid w:val="0"/>
        <w:spacing w:line="360" w:lineRule="auto"/>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   委托代理人：</w:t>
      </w:r>
      <w:r>
        <w:rPr>
          <w:rFonts w:hint="eastAsia" w:ascii="宋体" w:hAnsi="宋体" w:eastAsia="宋体" w:cs="宋体"/>
          <w:szCs w:val="21"/>
          <w:u w:val="single"/>
        </w:rPr>
        <w:t xml:space="preserve">                </w:t>
      </w:r>
    </w:p>
    <w:p w14:paraId="5B2288BA">
      <w:pPr>
        <w:snapToGrid w:val="0"/>
        <w:spacing w:line="360" w:lineRule="auto"/>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rPr>
        <w:t xml:space="preserve">   电  话：</w:t>
      </w:r>
      <w:r>
        <w:rPr>
          <w:rFonts w:hint="eastAsia" w:ascii="宋体" w:hAnsi="宋体" w:eastAsia="宋体" w:cs="宋体"/>
          <w:szCs w:val="21"/>
          <w:u w:val="single"/>
        </w:rPr>
        <w:t xml:space="preserve">                    </w:t>
      </w:r>
    </w:p>
    <w:p w14:paraId="56E42A2D">
      <w:pPr>
        <w:snapToGrid w:val="0"/>
        <w:spacing w:line="360" w:lineRule="auto"/>
        <w:rPr>
          <w:rFonts w:hint="eastAsia" w:ascii="宋体" w:hAnsi="宋体" w:eastAsia="宋体" w:cs="宋体"/>
          <w:szCs w:val="21"/>
        </w:rPr>
      </w:pPr>
      <w:r>
        <w:rPr>
          <w:rFonts w:hint="eastAsia" w:ascii="宋体" w:hAnsi="宋体" w:eastAsia="宋体" w:cs="宋体"/>
          <w:szCs w:val="21"/>
        </w:rPr>
        <w:t>传  真：</w:t>
      </w:r>
      <w:r>
        <w:rPr>
          <w:rFonts w:hint="eastAsia" w:ascii="宋体" w:hAnsi="宋体" w:eastAsia="宋体" w:cs="宋体"/>
          <w:szCs w:val="21"/>
          <w:u w:val="single"/>
        </w:rPr>
        <w:t xml:space="preserve">                    </w:t>
      </w:r>
      <w:r>
        <w:rPr>
          <w:rFonts w:hint="eastAsia" w:ascii="宋体" w:hAnsi="宋体" w:eastAsia="宋体" w:cs="宋体"/>
          <w:szCs w:val="21"/>
        </w:rPr>
        <w:t xml:space="preserve">   传  真：</w:t>
      </w:r>
      <w:r>
        <w:rPr>
          <w:rFonts w:hint="eastAsia" w:ascii="宋体" w:hAnsi="宋体" w:eastAsia="宋体" w:cs="宋体"/>
          <w:szCs w:val="21"/>
          <w:u w:val="single"/>
        </w:rPr>
        <w:t xml:space="preserve">                    </w:t>
      </w:r>
    </w:p>
    <w:p w14:paraId="0A32DBB0">
      <w:pPr>
        <w:snapToGrid w:val="0"/>
        <w:spacing w:line="360" w:lineRule="auto"/>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 xml:space="preserve">   电子信箱：</w:t>
      </w:r>
      <w:r>
        <w:rPr>
          <w:rFonts w:hint="eastAsia" w:ascii="宋体" w:hAnsi="宋体" w:eastAsia="宋体" w:cs="宋体"/>
          <w:szCs w:val="21"/>
          <w:u w:val="single"/>
        </w:rPr>
        <w:t xml:space="preserve">                  </w:t>
      </w:r>
    </w:p>
    <w:p w14:paraId="5C22B285">
      <w:pPr>
        <w:snapToGrid w:val="0"/>
        <w:spacing w:line="360" w:lineRule="auto"/>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hint="eastAsia" w:ascii="宋体" w:hAnsi="宋体" w:eastAsia="宋体" w:cs="宋体"/>
          <w:szCs w:val="21"/>
        </w:rPr>
        <w:t xml:space="preserve">   开户银行：</w:t>
      </w:r>
      <w:r>
        <w:rPr>
          <w:rFonts w:hint="eastAsia" w:ascii="宋体" w:hAnsi="宋体" w:eastAsia="宋体" w:cs="宋体"/>
          <w:szCs w:val="21"/>
          <w:u w:val="single"/>
        </w:rPr>
        <w:t xml:space="preserve">                  </w:t>
      </w:r>
    </w:p>
    <w:p w14:paraId="3A279260">
      <w:pPr>
        <w:snapToGrid w:val="0"/>
        <w:spacing w:line="360" w:lineRule="auto"/>
        <w:rPr>
          <w:rFonts w:hint="eastAsia" w:ascii="宋体" w:hAnsi="宋体" w:eastAsia="宋体" w:cs="宋体"/>
          <w:b/>
          <w:szCs w:val="21"/>
        </w:rPr>
      </w:pPr>
      <w:r>
        <w:rPr>
          <w:rFonts w:hint="eastAsia" w:ascii="宋体" w:hAnsi="宋体" w:eastAsia="宋体" w:cs="宋体"/>
          <w:szCs w:val="21"/>
        </w:rPr>
        <w:t>账  号：</w:t>
      </w:r>
      <w:r>
        <w:rPr>
          <w:rFonts w:hint="eastAsia" w:ascii="宋体" w:hAnsi="宋体" w:eastAsia="宋体" w:cs="宋体"/>
          <w:szCs w:val="21"/>
          <w:u w:val="single"/>
        </w:rPr>
        <w:t xml:space="preserve">                    </w:t>
      </w:r>
      <w:r>
        <w:rPr>
          <w:rFonts w:hint="eastAsia" w:ascii="宋体" w:hAnsi="宋体" w:eastAsia="宋体" w:cs="宋体"/>
          <w:szCs w:val="21"/>
        </w:rPr>
        <w:t xml:space="preserve">   账  号：</w:t>
      </w:r>
      <w:r>
        <w:rPr>
          <w:rFonts w:hint="eastAsia" w:ascii="宋体" w:hAnsi="宋体" w:eastAsia="宋体" w:cs="宋体"/>
          <w:szCs w:val="21"/>
          <w:u w:val="single"/>
        </w:rPr>
        <w:t xml:space="preserve">                    </w:t>
      </w:r>
    </w:p>
    <w:p w14:paraId="1B274298">
      <w:pPr>
        <w:adjustRightInd w:val="0"/>
        <w:snapToGrid w:val="0"/>
        <w:spacing w:line="360" w:lineRule="auto"/>
        <w:textAlignment w:val="baseline"/>
        <w:rPr>
          <w:rFonts w:ascii="Arial" w:hAnsi="Arial" w:eastAsia="宋体" w:cs="Times New Roman"/>
          <w:b/>
          <w:kern w:val="0"/>
          <w:sz w:val="32"/>
          <w:szCs w:val="20"/>
        </w:rPr>
      </w:pPr>
    </w:p>
    <w:p w14:paraId="4C329344">
      <w:pPr>
        <w:adjustRightInd w:val="0"/>
        <w:snapToGrid w:val="0"/>
        <w:spacing w:line="360" w:lineRule="auto"/>
        <w:textAlignment w:val="baseline"/>
        <w:rPr>
          <w:rFonts w:ascii="Arial" w:hAnsi="Arial" w:eastAsia="宋体" w:cs="Times New Roman"/>
          <w:b/>
          <w:kern w:val="0"/>
          <w:sz w:val="32"/>
          <w:szCs w:val="20"/>
        </w:rPr>
      </w:pPr>
    </w:p>
    <w:p w14:paraId="4B486D92">
      <w:pPr>
        <w:keepNext/>
        <w:keepLines/>
        <w:spacing w:before="100" w:line="400" w:lineRule="exact"/>
        <w:jc w:val="center"/>
        <w:rPr>
          <w:rFonts w:ascii="Times New Roman" w:hAnsi="Times New Roman" w:eastAsia="黑体" w:cs="宋体"/>
          <w:sz w:val="32"/>
          <w:szCs w:val="32"/>
        </w:rPr>
      </w:pPr>
      <w:r>
        <w:rPr>
          <w:rFonts w:hint="eastAsia" w:ascii="Arial" w:hAnsi="Arial" w:eastAsia="宋体" w:cs="Times New Roman"/>
          <w:b/>
          <w:kern w:val="0"/>
          <w:sz w:val="32"/>
          <w:szCs w:val="20"/>
        </w:rPr>
        <w:br w:type="page"/>
      </w:r>
      <w:r>
        <w:rPr>
          <w:rFonts w:hint="eastAsia" w:ascii="Times New Roman" w:hAnsi="Times New Roman" w:eastAsia="黑体" w:cs="宋体"/>
          <w:sz w:val="32"/>
          <w:szCs w:val="32"/>
        </w:rPr>
        <w:t xml:space="preserve"> </w:t>
      </w:r>
    </w:p>
    <w:p w14:paraId="34A05A06">
      <w:pPr>
        <w:keepNext/>
        <w:keepLines/>
        <w:spacing w:before="100" w:line="400" w:lineRule="exact"/>
        <w:jc w:val="center"/>
        <w:rPr>
          <w:rFonts w:ascii="Times New Roman" w:hAnsi="Times New Roman" w:eastAsia="黑体" w:cs="宋体"/>
          <w:sz w:val="32"/>
          <w:szCs w:val="32"/>
        </w:rPr>
      </w:pPr>
      <w:r>
        <w:rPr>
          <w:rFonts w:hint="eastAsia" w:ascii="黑体" w:hAnsi="黑体" w:eastAsia="黑体" w:cs="宋体"/>
          <w:sz w:val="32"/>
          <w:szCs w:val="32"/>
        </w:rPr>
        <w:t>第二部分</w:t>
      </w:r>
      <w:r>
        <w:rPr>
          <w:rFonts w:hint="eastAsia" w:ascii="Times New Roman" w:hAnsi="Times New Roman" w:eastAsia="黑体" w:cs="宋体"/>
          <w:sz w:val="32"/>
          <w:szCs w:val="32"/>
        </w:rPr>
        <w:t xml:space="preserve">   </w:t>
      </w:r>
      <w:r>
        <w:rPr>
          <w:rFonts w:hint="eastAsia" w:ascii="黑体" w:hAnsi="黑体" w:eastAsia="黑体" w:cs="宋体"/>
          <w:sz w:val="32"/>
          <w:szCs w:val="32"/>
        </w:rPr>
        <w:t>通用合同条款（略）</w:t>
      </w:r>
    </w:p>
    <w:p w14:paraId="06AA65CF">
      <w:pPr>
        <w:spacing w:line="360" w:lineRule="exact"/>
        <w:rPr>
          <w:rFonts w:ascii="Times New Roman" w:hAnsi="Times New Roman" w:eastAsia="宋体" w:cs="Times New Roman"/>
          <w:szCs w:val="24"/>
        </w:rPr>
      </w:pPr>
      <w:r>
        <w:rPr>
          <w:rFonts w:ascii="Times New Roman" w:hAnsi="Times New Roman" w:eastAsia="宋体" w:cs="Times New Roman"/>
          <w:szCs w:val="24"/>
        </w:rPr>
        <w:br w:type="page"/>
      </w:r>
    </w:p>
    <w:p w14:paraId="52107091">
      <w:pPr>
        <w:keepNext/>
        <w:keepLines/>
        <w:spacing w:line="578" w:lineRule="auto"/>
        <w:jc w:val="center"/>
        <w:rPr>
          <w:rFonts w:hint="eastAsia" w:ascii="黑体" w:hAnsi="黑体" w:eastAsia="黑体" w:cs="Times New Roman"/>
          <w:b/>
          <w:bCs/>
          <w:kern w:val="44"/>
          <w:sz w:val="32"/>
          <w:szCs w:val="32"/>
        </w:rPr>
      </w:pPr>
      <w:bookmarkStart w:id="43" w:name="_Toc267919286"/>
      <w:bookmarkEnd w:id="43"/>
      <w:bookmarkStart w:id="44" w:name="_Toc394573947"/>
      <w:bookmarkEnd w:id="44"/>
      <w:bookmarkStart w:id="45" w:name="_Toc278377207"/>
      <w:bookmarkEnd w:id="45"/>
      <w:bookmarkStart w:id="46" w:name="_Toc531162033"/>
      <w:bookmarkEnd w:id="46"/>
      <w:bookmarkStart w:id="47" w:name="_Toc351203652"/>
      <w:r>
        <w:rPr>
          <w:rFonts w:hint="eastAsia" w:ascii="黑体" w:hAnsi="黑体" w:eastAsia="黑体" w:cs="Times New Roman"/>
          <w:b/>
          <w:bCs/>
          <w:kern w:val="44"/>
          <w:sz w:val="32"/>
          <w:szCs w:val="32"/>
        </w:rPr>
        <w:t>第三部分  专用合同条款</w:t>
      </w:r>
      <w:bookmarkEnd w:id="47"/>
    </w:p>
    <w:p w14:paraId="5BBB579F">
      <w:pPr>
        <w:keepNext/>
        <w:keepLines/>
        <w:spacing w:line="360" w:lineRule="exact"/>
        <w:rPr>
          <w:rFonts w:ascii="Times New Roman" w:hAnsi="Times New Roman" w:eastAsia="黑体" w:cs="Times New Roman"/>
          <w:szCs w:val="21"/>
        </w:rPr>
      </w:pPr>
      <w:bookmarkStart w:id="48" w:name="_Toc351203633"/>
      <w:bookmarkEnd w:id="48"/>
      <w:r>
        <w:rPr>
          <w:rFonts w:ascii="Times New Roman" w:hAnsi="Times New Roman" w:eastAsia="黑体" w:cs="Times New Roman"/>
          <w:szCs w:val="21"/>
        </w:rPr>
        <w:t>1</w:t>
      </w:r>
      <w:bookmarkStart w:id="49" w:name="_Toc296891196"/>
      <w:bookmarkEnd w:id="49"/>
      <w:bookmarkStart w:id="50" w:name="_Toc296347155"/>
      <w:bookmarkEnd w:id="50"/>
      <w:bookmarkStart w:id="51" w:name="_Toc296890984"/>
      <w:bookmarkEnd w:id="51"/>
      <w:bookmarkStart w:id="52" w:name="_Toc297120456"/>
      <w:bookmarkEnd w:id="52"/>
      <w:bookmarkStart w:id="53" w:name="_Toc297048342"/>
      <w:bookmarkEnd w:id="53"/>
      <w:bookmarkStart w:id="54" w:name="_Toc296503156"/>
      <w:bookmarkEnd w:id="54"/>
      <w:bookmarkStart w:id="55" w:name="_Toc292559361"/>
      <w:bookmarkEnd w:id="55"/>
      <w:bookmarkStart w:id="56" w:name="_Toc296346657"/>
      <w:bookmarkEnd w:id="56"/>
      <w:bookmarkStart w:id="57" w:name="_Toc292559866"/>
      <w:bookmarkEnd w:id="57"/>
      <w:bookmarkStart w:id="58" w:name="_Toc296944495"/>
      <w:r>
        <w:rPr>
          <w:rFonts w:ascii="Times New Roman" w:hAnsi="Times New Roman" w:eastAsia="黑体" w:cs="Times New Roman"/>
          <w:szCs w:val="21"/>
        </w:rPr>
        <w:t xml:space="preserve">. </w:t>
      </w:r>
      <w:r>
        <w:rPr>
          <w:rFonts w:ascii="黑体" w:hAnsi="黑体" w:eastAsia="黑体" w:cs="Times New Roman"/>
          <w:szCs w:val="21"/>
        </w:rPr>
        <w:t>一般约定</w:t>
      </w:r>
      <w:bookmarkEnd w:id="58"/>
    </w:p>
    <w:p w14:paraId="3D1D4CA6">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1.1 </w:t>
      </w:r>
      <w:r>
        <w:rPr>
          <w:rFonts w:ascii="黑体" w:hAnsi="黑体" w:eastAsia="黑体" w:cs="Times New Roman"/>
          <w:szCs w:val="24"/>
        </w:rPr>
        <w:t>词语定义</w:t>
      </w:r>
    </w:p>
    <w:p w14:paraId="281246A3">
      <w:pPr>
        <w:spacing w:line="360" w:lineRule="exact"/>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1.1.1</w:t>
      </w:r>
      <w:r>
        <w:rPr>
          <w:rFonts w:ascii="宋体" w:hAnsi="宋体" w:eastAsia="宋体" w:cs="Times New Roman"/>
          <w:kern w:val="0"/>
          <w:szCs w:val="24"/>
        </w:rPr>
        <w:t>合同</w:t>
      </w:r>
    </w:p>
    <w:p w14:paraId="602C95E2">
      <w:pPr>
        <w:spacing w:line="360" w:lineRule="exact"/>
        <w:ind w:firstLine="420" w:firstLineChars="200"/>
        <w:rPr>
          <w:rFonts w:hint="eastAsia" w:ascii="宋体" w:hAnsi="宋体" w:eastAsia="宋体" w:cs="宋体"/>
          <w:kern w:val="0"/>
          <w:szCs w:val="21"/>
          <w:u w:val="single"/>
        </w:rPr>
      </w:pPr>
      <w:r>
        <w:rPr>
          <w:rFonts w:ascii="Times New Roman" w:hAnsi="Times New Roman" w:eastAsia="宋体" w:cs="Times New Roman"/>
          <w:kern w:val="0"/>
          <w:szCs w:val="24"/>
        </w:rPr>
        <w:t>1.1.1.10</w:t>
      </w:r>
      <w:r>
        <w:rPr>
          <w:rFonts w:ascii="宋体" w:hAnsi="宋体" w:eastAsia="宋体" w:cs="Times New Roman"/>
          <w:kern w:val="0"/>
          <w:szCs w:val="24"/>
        </w:rPr>
        <w:t>其他合同文件包括</w:t>
      </w:r>
      <w:r>
        <w:rPr>
          <w:rFonts w:hint="eastAsia" w:ascii="宋体" w:hAnsi="宋体" w:eastAsia="宋体" w:cs="Times New Roman"/>
          <w:kern w:val="0"/>
          <w:szCs w:val="24"/>
        </w:rPr>
        <w:t>：</w:t>
      </w:r>
      <w:r>
        <w:rPr>
          <w:rFonts w:hint="eastAsia" w:ascii="宋体" w:hAnsi="宋体" w:eastAsia="宋体" w:cs="宋体"/>
          <w:kern w:val="0"/>
          <w:szCs w:val="21"/>
          <w:u w:val="single"/>
        </w:rPr>
        <w:t>工程招标文件、椒江区《椒江区政府投资项目投资控制和资金管理暂行规定》（椒政办发〔2009〕151号）、除投标函及其附录和已标价工程量清单或预算书外的其它投标文件、经批准的施工组织设计、专项施工方案。</w:t>
      </w:r>
    </w:p>
    <w:p w14:paraId="297EE18F">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1.1.2 </w:t>
      </w:r>
      <w:r>
        <w:rPr>
          <w:rFonts w:ascii="宋体" w:hAnsi="宋体" w:eastAsia="宋体" w:cs="Times New Roman"/>
          <w:szCs w:val="24"/>
        </w:rPr>
        <w:t>合同当事人及其他相关方</w:t>
      </w:r>
    </w:p>
    <w:p w14:paraId="039FF85B">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1.1.2.4</w:t>
      </w:r>
      <w:r>
        <w:rPr>
          <w:rFonts w:ascii="宋体" w:hAnsi="宋体" w:eastAsia="宋体" w:cs="Times New Roman"/>
          <w:szCs w:val="24"/>
        </w:rPr>
        <w:t>监理人：</w:t>
      </w:r>
    </w:p>
    <w:p w14:paraId="2B076086">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名</w:t>
      </w:r>
      <w:r>
        <w:rPr>
          <w:rFonts w:ascii="Times New Roman" w:hAnsi="Times New Roman" w:eastAsia="宋体" w:cs="Times New Roman"/>
          <w:szCs w:val="24"/>
        </w:rPr>
        <w:t xml:space="preserve">    </w:t>
      </w:r>
      <w:r>
        <w:rPr>
          <w:rFonts w:ascii="宋体" w:hAnsi="宋体" w:eastAsia="宋体" w:cs="Times New Roman"/>
          <w:szCs w:val="24"/>
        </w:rPr>
        <w:t>称：</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550EC7A0">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资质类别和等级：</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330D21E3">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联系电话：</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19D9D65C">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电子信箱：</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5501598B">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通信地址：</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2FD50655">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1.1.2.5 </w:t>
      </w:r>
      <w:r>
        <w:rPr>
          <w:rFonts w:ascii="宋体" w:hAnsi="宋体" w:eastAsia="宋体" w:cs="Times New Roman"/>
          <w:szCs w:val="24"/>
        </w:rPr>
        <w:t>设计人：</w:t>
      </w:r>
    </w:p>
    <w:p w14:paraId="1A60C6BE">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名</w:t>
      </w:r>
      <w:r>
        <w:rPr>
          <w:rFonts w:ascii="Times New Roman" w:hAnsi="Times New Roman" w:eastAsia="宋体" w:cs="Times New Roman"/>
          <w:szCs w:val="24"/>
        </w:rPr>
        <w:t xml:space="preserve">    </w:t>
      </w:r>
      <w:r>
        <w:rPr>
          <w:rFonts w:ascii="宋体" w:hAnsi="宋体" w:eastAsia="宋体" w:cs="Times New Roman"/>
          <w:szCs w:val="24"/>
        </w:rPr>
        <w:t>称：</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0DB53507">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资质类别和等级：</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7BC00463">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联系电话：</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107548AC">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电子信箱：</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ascii="宋体" w:hAnsi="宋体" w:eastAsia="宋体" w:cs="Times New Roman"/>
          <w:szCs w:val="24"/>
        </w:rPr>
        <w:t>；</w:t>
      </w:r>
    </w:p>
    <w:p w14:paraId="7E71A7F3">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通信地址：</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694521B1">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1.1.3 </w:t>
      </w:r>
      <w:r>
        <w:rPr>
          <w:rFonts w:ascii="宋体" w:hAnsi="宋体" w:eastAsia="宋体" w:cs="Times New Roman"/>
          <w:szCs w:val="24"/>
        </w:rPr>
        <w:t>工程和设备</w:t>
      </w:r>
    </w:p>
    <w:p w14:paraId="1C2A6C6D">
      <w:pPr>
        <w:spacing w:line="360" w:lineRule="exact"/>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 xml:space="preserve">1.1.3.7 </w:t>
      </w:r>
      <w:r>
        <w:rPr>
          <w:rFonts w:ascii="宋体" w:hAnsi="宋体" w:eastAsia="宋体" w:cs="Times New Roman"/>
          <w:szCs w:val="24"/>
        </w:rPr>
        <w:t>作为施工现场组成部分的其他场所包括：</w:t>
      </w:r>
      <w:r>
        <w:rPr>
          <w:rFonts w:hint="eastAsia" w:ascii="宋体" w:hAnsi="宋体" w:eastAsia="宋体" w:cs="Times New Roman"/>
          <w:szCs w:val="24"/>
          <w:u w:val="single"/>
        </w:rPr>
        <w:t xml:space="preserve">             </w:t>
      </w:r>
    </w:p>
    <w:p w14:paraId="228E655F">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1.1.3.9 </w:t>
      </w:r>
      <w:r>
        <w:rPr>
          <w:rFonts w:ascii="宋体" w:hAnsi="宋体" w:eastAsia="宋体" w:cs="Times New Roman"/>
          <w:szCs w:val="24"/>
        </w:rPr>
        <w:t>永久占地包括：</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p>
    <w:p w14:paraId="4BD3A3D6">
      <w:pPr>
        <w:spacing w:line="360" w:lineRule="exact"/>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 xml:space="preserve">1.1.3.10 </w:t>
      </w:r>
      <w:r>
        <w:rPr>
          <w:rFonts w:ascii="宋体" w:hAnsi="宋体" w:eastAsia="宋体" w:cs="Times New Roman"/>
          <w:szCs w:val="24"/>
        </w:rPr>
        <w:t>临时占地包括：</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p>
    <w:p w14:paraId="114116AC">
      <w:pPr>
        <w:spacing w:line="360" w:lineRule="exact"/>
        <w:ind w:firstLine="420" w:firstLineChars="200"/>
        <w:rPr>
          <w:rFonts w:hint="eastAsia" w:ascii="宋体" w:hAnsi="宋体" w:eastAsia="宋体" w:cs="宋体"/>
          <w:szCs w:val="24"/>
        </w:rPr>
      </w:pPr>
      <w:r>
        <w:rPr>
          <w:rFonts w:hint="eastAsia" w:ascii="宋体" w:hAnsi="宋体" w:eastAsia="宋体" w:cs="宋体"/>
          <w:szCs w:val="24"/>
        </w:rPr>
        <w:t>1.3法律</w:t>
      </w:r>
    </w:p>
    <w:p w14:paraId="090F745E">
      <w:pPr>
        <w:autoSpaceDE w:val="0"/>
        <w:autoSpaceDN w:val="0"/>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适用于合同的其他规范性文件：</w:t>
      </w:r>
      <w:r>
        <w:rPr>
          <w:rFonts w:hint="eastAsia" w:ascii="宋体" w:hAnsi="宋体" w:eastAsia="宋体" w:cs="宋体"/>
          <w:szCs w:val="21"/>
          <w:u w:val="single"/>
        </w:rPr>
        <w:t>《建设工程工程量清单计价规范》(GB 50500-2013)、《浙江省市政工程预算定额》（2018）、《浙江省房屋建筑与装饰工程预算定额》（2018）、《浙江省建设工程计价规则》（2018）、《浙江省施工机械台班费用参考单价》（2018版）、《浙江省建设工程工程量清单计价指引》及浙江省有关补充规定、关于印发《浙江省建设工程计价依据（2018版）》勘误的公告浙建站定﹝2019﹞10号、《台州造价信息》、《浙江造价信息》等工程所在地现行的有关规定</w:t>
      </w:r>
      <w:r>
        <w:rPr>
          <w:rFonts w:hint="eastAsia" w:ascii="宋体" w:hAnsi="宋体" w:eastAsia="宋体" w:cs="宋体"/>
        </w:rPr>
        <w:t>。</w:t>
      </w:r>
    </w:p>
    <w:p w14:paraId="30EFF03F">
      <w:pPr>
        <w:autoSpaceDE w:val="0"/>
        <w:autoSpaceDN w:val="0"/>
        <w:adjustRightInd w:val="0"/>
        <w:spacing w:line="360" w:lineRule="exact"/>
        <w:ind w:firstLine="420" w:firstLineChars="200"/>
        <w:rPr>
          <w:rFonts w:hint="eastAsia" w:ascii="宋体" w:hAnsi="宋体" w:eastAsia="宋体" w:cs="宋体"/>
          <w:szCs w:val="24"/>
        </w:rPr>
      </w:pPr>
      <w:r>
        <w:rPr>
          <w:rFonts w:hint="eastAsia" w:ascii="宋体" w:hAnsi="宋体" w:eastAsia="宋体" w:cs="宋体"/>
          <w:szCs w:val="24"/>
        </w:rPr>
        <w:t>1.4 标准和规范</w:t>
      </w:r>
    </w:p>
    <w:p w14:paraId="7FE08044">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1.4.1</w:t>
      </w:r>
      <w:r>
        <w:rPr>
          <w:rFonts w:ascii="宋体" w:hAnsi="宋体" w:eastAsia="宋体" w:cs="Times New Roman"/>
          <w:szCs w:val="24"/>
        </w:rPr>
        <w:t>适用于工程的标准规范包括：</w:t>
      </w:r>
      <w:r>
        <w:rPr>
          <w:rFonts w:hint="eastAsia" w:ascii="宋体" w:hAnsi="宋体" w:eastAsia="宋体" w:cs="Times New Roman"/>
          <w:szCs w:val="24"/>
          <w:u w:val="single"/>
        </w:rPr>
        <w:t>按现行的国家、省、市施工验收规范、质量评定标准及有关规定。合同工期内的标准、规范，招标文件中的技术要求等</w:t>
      </w:r>
      <w:r>
        <w:rPr>
          <w:rFonts w:ascii="宋体" w:hAnsi="宋体" w:eastAsia="宋体" w:cs="Times New Roman"/>
          <w:szCs w:val="24"/>
        </w:rPr>
        <w:t>。</w:t>
      </w:r>
    </w:p>
    <w:p w14:paraId="62A5B9AC">
      <w:pPr>
        <w:spacing w:line="360" w:lineRule="exact"/>
        <w:ind w:firstLine="420" w:firstLineChars="200"/>
        <w:rPr>
          <w:rFonts w:ascii="Times New Roman" w:hAnsi="Times New Roman" w:eastAsia="宋体" w:cs="Times New Roman"/>
          <w:kern w:val="0"/>
          <w:szCs w:val="24"/>
          <w:u w:val="single"/>
        </w:rPr>
      </w:pPr>
      <w:r>
        <w:rPr>
          <w:rFonts w:ascii="Times New Roman" w:hAnsi="Times New Roman" w:eastAsia="宋体" w:cs="Times New Roman"/>
          <w:kern w:val="0"/>
          <w:szCs w:val="24"/>
        </w:rPr>
        <w:t xml:space="preserve">1.4.2 </w:t>
      </w:r>
      <w:r>
        <w:rPr>
          <w:rFonts w:ascii="宋体" w:hAnsi="宋体" w:eastAsia="宋体" w:cs="Times New Roman"/>
          <w:kern w:val="0"/>
          <w:szCs w:val="24"/>
        </w:rPr>
        <w:t>发包人提供国外标准、规范的名称：</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rPr>
        <w:t>；</w:t>
      </w:r>
    </w:p>
    <w:p w14:paraId="0AD0D6D3">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发包人提供国外标准、规范的份数：</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ascii="宋体" w:hAnsi="宋体" w:eastAsia="宋体" w:cs="Times New Roman"/>
          <w:kern w:val="0"/>
          <w:szCs w:val="24"/>
        </w:rPr>
        <w:t>；</w:t>
      </w:r>
    </w:p>
    <w:p w14:paraId="08CE203E">
      <w:pPr>
        <w:spacing w:line="360" w:lineRule="exact"/>
        <w:ind w:firstLine="420" w:firstLineChars="200"/>
        <w:rPr>
          <w:rFonts w:ascii="Times New Roman" w:hAnsi="Times New Roman" w:eastAsia="宋体" w:cs="Times New Roman"/>
          <w:szCs w:val="24"/>
        </w:rPr>
      </w:pPr>
      <w:r>
        <w:rPr>
          <w:rFonts w:ascii="宋体" w:hAnsi="宋体" w:eastAsia="宋体" w:cs="Times New Roman"/>
          <w:kern w:val="0"/>
          <w:szCs w:val="24"/>
        </w:rPr>
        <w:t>发包人提供国外标准、规范的名称：</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ascii="宋体" w:hAnsi="宋体" w:eastAsia="宋体" w:cs="Times New Roman"/>
          <w:kern w:val="0"/>
          <w:szCs w:val="24"/>
        </w:rPr>
        <w:t>。</w:t>
      </w:r>
    </w:p>
    <w:p w14:paraId="66B797DA">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1.4.3</w:t>
      </w:r>
      <w:r>
        <w:rPr>
          <w:rFonts w:ascii="宋体" w:hAnsi="宋体" w:eastAsia="宋体" w:cs="Times New Roman"/>
          <w:szCs w:val="24"/>
        </w:rPr>
        <w:t>发包人对工程的技术标准和功能要求的特殊要求：</w:t>
      </w:r>
      <w:r>
        <w:rPr>
          <w:rFonts w:hint="eastAsia" w:ascii="宋体" w:hAnsi="宋体" w:eastAsia="宋体" w:cs="Times New Roman"/>
          <w:szCs w:val="24"/>
          <w:u w:val="single"/>
        </w:rPr>
        <w:t xml:space="preserve"> 按照国家相应标准执行 </w:t>
      </w:r>
      <w:r>
        <w:rPr>
          <w:rFonts w:hint="eastAsia" w:ascii="宋体" w:hAnsi="宋体" w:eastAsia="宋体" w:cs="Times New Roman"/>
          <w:szCs w:val="24"/>
        </w:rPr>
        <w:t>。</w:t>
      </w:r>
    </w:p>
    <w:p w14:paraId="2C498247">
      <w:pPr>
        <w:spacing w:line="360" w:lineRule="exact"/>
        <w:rPr>
          <w:rFonts w:ascii="Times New Roman" w:hAnsi="Times New Roman" w:eastAsia="宋体" w:cs="Times New Roman"/>
          <w:szCs w:val="24"/>
        </w:rPr>
      </w:pPr>
      <w:r>
        <w:rPr>
          <w:rFonts w:hint="eastAsia" w:ascii="宋体" w:hAnsi="宋体" w:eastAsia="宋体" w:cs="Times New Roman"/>
          <w:szCs w:val="24"/>
          <w:u w:val="single"/>
        </w:rPr>
        <w:t>（国家没有相应标准、规范且不使用国外标准、规范时，按发包人和承包人商定的方案施工）</w:t>
      </w:r>
      <w:r>
        <w:rPr>
          <w:rFonts w:ascii="宋体" w:hAnsi="宋体" w:eastAsia="宋体" w:cs="Times New Roman"/>
          <w:szCs w:val="24"/>
        </w:rPr>
        <w:t>。</w:t>
      </w:r>
    </w:p>
    <w:p w14:paraId="1B17AFD8">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1.5 </w:t>
      </w:r>
      <w:r>
        <w:rPr>
          <w:rFonts w:ascii="黑体" w:hAnsi="黑体" w:eastAsia="黑体" w:cs="Times New Roman"/>
          <w:szCs w:val="24"/>
        </w:rPr>
        <w:t>合同文件的优先顺序</w:t>
      </w:r>
    </w:p>
    <w:p w14:paraId="76C1A0F8">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合同文件组成及优先顺序为：</w:t>
      </w:r>
      <w:r>
        <w:rPr>
          <w:rFonts w:hint="eastAsia" w:ascii="宋体" w:hAnsi="宋体" w:eastAsia="宋体" w:cs="Times New Roman"/>
          <w:szCs w:val="24"/>
          <w:u w:val="single"/>
        </w:rPr>
        <w:t>按合同通用条款。</w:t>
      </w:r>
    </w:p>
    <w:p w14:paraId="7D495070">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1.6 </w:t>
      </w:r>
      <w:r>
        <w:rPr>
          <w:rFonts w:ascii="黑体" w:hAnsi="黑体" w:eastAsia="黑体" w:cs="Times New Roman"/>
          <w:szCs w:val="24"/>
        </w:rPr>
        <w:t>图纸和承包人文件</w:t>
      </w:r>
      <w:r>
        <w:rPr>
          <w:rFonts w:ascii="Times New Roman" w:hAnsi="Times New Roman" w:eastAsia="黑体" w:cs="Times New Roman"/>
          <w:szCs w:val="24"/>
        </w:rPr>
        <w:tab/>
      </w:r>
    </w:p>
    <w:p w14:paraId="009FCCC1">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1.6.1 </w:t>
      </w:r>
      <w:r>
        <w:rPr>
          <w:rFonts w:ascii="宋体" w:hAnsi="宋体" w:eastAsia="宋体" w:cs="Times New Roman"/>
          <w:szCs w:val="24"/>
        </w:rPr>
        <w:t>图纸的提供</w:t>
      </w:r>
    </w:p>
    <w:p w14:paraId="0D7EC987">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发包人向承包人提供图纸的期限：</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开工日期14天前</w:t>
      </w:r>
      <w:r>
        <w:rPr>
          <w:rFonts w:ascii="宋体" w:hAnsi="宋体" w:eastAsia="宋体" w:cs="Times New Roman"/>
          <w:szCs w:val="24"/>
        </w:rPr>
        <w:t>；</w:t>
      </w:r>
    </w:p>
    <w:p w14:paraId="54060979">
      <w:pPr>
        <w:spacing w:line="360" w:lineRule="exact"/>
        <w:rPr>
          <w:rFonts w:ascii="Times New Roman" w:hAnsi="Times New Roman" w:eastAsia="宋体" w:cs="Times New Roman"/>
          <w:szCs w:val="24"/>
        </w:rPr>
      </w:pPr>
      <w:r>
        <w:rPr>
          <w:rFonts w:ascii="宋体" w:hAnsi="宋体" w:eastAsia="宋体" w:cs="Times New Roman"/>
          <w:szCs w:val="24"/>
        </w:rPr>
        <w:t>发包人向承包人提供图纸的数量：</w:t>
      </w:r>
      <w:r>
        <w:rPr>
          <w:rFonts w:hint="eastAsia" w:ascii="宋体" w:hAnsi="宋体" w:eastAsia="宋体" w:cs="Times New Roman"/>
          <w:szCs w:val="24"/>
          <w:u w:val="single"/>
        </w:rPr>
        <w:t>纸质施工图〔</w:t>
      </w:r>
      <w:r>
        <w:rPr>
          <w:rFonts w:hint="eastAsia" w:ascii="仿宋_GB2312" w:hAnsi="宋体" w:eastAsia="宋体" w:cs="Times New Roman"/>
          <w:szCs w:val="24"/>
          <w:u w:val="single"/>
        </w:rPr>
        <w:t>1</w:t>
      </w:r>
      <w:r>
        <w:rPr>
          <w:rFonts w:hint="eastAsia" w:ascii="宋体" w:hAnsi="宋体" w:eastAsia="宋体" w:cs="Times New Roman"/>
          <w:szCs w:val="24"/>
          <w:u w:val="single"/>
        </w:rPr>
        <w:t>〕套并附目录清单及与其一致的电子版施工图。</w:t>
      </w:r>
    </w:p>
    <w:p w14:paraId="06A64C9A">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发包人向承包人提供图纸的内容：</w:t>
      </w:r>
      <w:r>
        <w:rPr>
          <w:rFonts w:hint="eastAsia" w:ascii="宋体" w:hAnsi="宋体" w:eastAsia="宋体" w:cs="Times New Roman"/>
          <w:szCs w:val="24"/>
          <w:u w:val="single"/>
        </w:rPr>
        <w:t>以发包人在招标时提供的图纸为准</w:t>
      </w:r>
      <w:r>
        <w:rPr>
          <w:rFonts w:ascii="宋体" w:hAnsi="宋体" w:eastAsia="宋体" w:cs="Times New Roman"/>
          <w:szCs w:val="24"/>
        </w:rPr>
        <w:t>。</w:t>
      </w:r>
    </w:p>
    <w:p w14:paraId="34D55F73">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1.6.4 </w:t>
      </w:r>
      <w:r>
        <w:rPr>
          <w:rFonts w:ascii="宋体" w:hAnsi="宋体" w:eastAsia="宋体" w:cs="Times New Roman"/>
          <w:szCs w:val="24"/>
        </w:rPr>
        <w:t>承包人文件</w:t>
      </w:r>
    </w:p>
    <w:p w14:paraId="78BB9EC2">
      <w:pPr>
        <w:spacing w:line="360" w:lineRule="exact"/>
        <w:ind w:firstLine="420" w:firstLineChars="200"/>
        <w:rPr>
          <w:rFonts w:ascii="仿宋_GB2312" w:hAnsi="Times New Roman" w:eastAsia="仿宋_GB2312" w:cs="Times New Roman"/>
          <w:szCs w:val="24"/>
          <w:u w:val="single"/>
        </w:rPr>
      </w:pPr>
      <w:r>
        <w:rPr>
          <w:rFonts w:ascii="宋体" w:hAnsi="宋体" w:eastAsia="宋体" w:cs="Times New Roman"/>
          <w:szCs w:val="24"/>
        </w:rPr>
        <w:t>需要由承包人提供的文件，包括：</w:t>
      </w:r>
      <w:r>
        <w:rPr>
          <w:rFonts w:hint="eastAsia" w:ascii="宋体" w:hAnsi="宋体" w:eastAsia="宋体" w:cs="Times New Roman"/>
          <w:szCs w:val="24"/>
          <w:u w:val="single"/>
        </w:rPr>
        <w:t>施工组织设计、专项施工方案</w:t>
      </w:r>
      <w:r>
        <w:rPr>
          <w:rFonts w:hint="eastAsia" w:ascii="仿宋_GB2312" w:hAnsi="宋体" w:eastAsia="宋体" w:cs="Times New Roman"/>
          <w:szCs w:val="24"/>
          <w:u w:val="single"/>
        </w:rPr>
        <w:t>(</w:t>
      </w:r>
      <w:r>
        <w:rPr>
          <w:rFonts w:hint="eastAsia" w:ascii="宋体" w:hAnsi="宋体" w:eastAsia="宋体" w:cs="Times New Roman"/>
          <w:szCs w:val="24"/>
          <w:u w:val="single"/>
        </w:rPr>
        <w:t>含危大工程</w:t>
      </w:r>
      <w:r>
        <w:rPr>
          <w:rFonts w:hint="eastAsia" w:ascii="仿宋_GB2312" w:hAnsi="宋体" w:eastAsia="仿宋_GB2312" w:cs="Times New Roman"/>
          <w:szCs w:val="24"/>
          <w:u w:val="single"/>
        </w:rPr>
        <w:t>,</w:t>
      </w:r>
      <w:r>
        <w:rPr>
          <w:rFonts w:hint="eastAsia" w:ascii="宋体" w:hAnsi="宋体" w:eastAsia="宋体" w:cs="Times New Roman"/>
          <w:szCs w:val="24"/>
          <w:u w:val="single"/>
        </w:rPr>
        <w:t>下同</w:t>
      </w:r>
      <w:r>
        <w:rPr>
          <w:rFonts w:hint="eastAsia" w:ascii="仿宋_GB2312" w:hAnsi="宋体" w:eastAsia="仿宋_GB2312" w:cs="Times New Roman"/>
          <w:szCs w:val="24"/>
          <w:u w:val="single"/>
        </w:rPr>
        <w:t>)</w:t>
      </w:r>
      <w:r>
        <w:rPr>
          <w:rFonts w:hint="eastAsia" w:ascii="宋体" w:hAnsi="宋体" w:eastAsia="宋体" w:cs="Times New Roman"/>
          <w:szCs w:val="24"/>
          <w:u w:val="single"/>
        </w:rPr>
        <w:t>、工程总进度计划、工程月进度计划表等</w:t>
      </w:r>
      <w:r>
        <w:rPr>
          <w:rFonts w:hint="eastAsia" w:ascii="宋体" w:hAnsi="宋体" w:eastAsia="宋体" w:cs="Times New Roman"/>
          <w:szCs w:val="24"/>
        </w:rPr>
        <w:t>；</w:t>
      </w:r>
      <w:r>
        <w:rPr>
          <w:rFonts w:hint="eastAsia" w:ascii="宋体" w:hAnsi="宋体" w:eastAsia="宋体" w:cs="Times New Roman"/>
          <w:szCs w:val="24"/>
          <w:u w:val="single"/>
        </w:rPr>
        <w:t>承包人提交修正后的施工组织设计、专项施工方案等的技术标准不低于投标承诺或原承诺标准，且修改或优化</w:t>
      </w:r>
      <w:r>
        <w:rPr>
          <w:rFonts w:hint="eastAsia" w:ascii="宋体" w:hAnsi="宋体" w:eastAsia="宋体" w:cs="仿宋"/>
          <w:szCs w:val="24"/>
          <w:u w:val="single"/>
        </w:rPr>
        <w:t>后的施工组织设计、专项施工方案须报监理人</w:t>
      </w:r>
      <w:r>
        <w:rPr>
          <w:rFonts w:hint="eastAsia" w:ascii="宋体" w:hAnsi="宋体" w:eastAsia="宋体" w:cs="Times New Roman"/>
          <w:szCs w:val="24"/>
          <w:u w:val="single"/>
        </w:rPr>
        <w:t>、发包人批准。</w:t>
      </w:r>
    </w:p>
    <w:p w14:paraId="50C66C77">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承包人提供的文件的期限为：</w:t>
      </w:r>
      <w:r>
        <w:rPr>
          <w:rFonts w:hint="eastAsia" w:ascii="宋体" w:hAnsi="宋体" w:eastAsia="宋体" w:cs="Times New Roman"/>
          <w:szCs w:val="24"/>
          <w:u w:val="single"/>
        </w:rPr>
        <w:t>施工组织设计、进度计划在接到开工通知（或确定开工日期）后</w:t>
      </w:r>
      <w:r>
        <w:rPr>
          <w:rFonts w:hint="eastAsia" w:ascii="仿宋_GB2312" w:hAnsi="宋体" w:eastAsia="宋体" w:cs="Times New Roman"/>
          <w:szCs w:val="24"/>
          <w:u w:val="single"/>
        </w:rPr>
        <w:t>7</w:t>
      </w:r>
      <w:r>
        <w:rPr>
          <w:rFonts w:hint="eastAsia" w:ascii="宋体" w:hAnsi="宋体" w:eastAsia="宋体" w:cs="Times New Roman"/>
          <w:szCs w:val="24"/>
          <w:u w:val="single"/>
        </w:rPr>
        <w:t>天内，专项施工方案在相应部位施工前</w:t>
      </w:r>
      <w:r>
        <w:rPr>
          <w:rFonts w:hint="eastAsia" w:ascii="仿宋_GB2312" w:hAnsi="宋体" w:eastAsia="仿宋_GB2312" w:cs="Times New Roman"/>
          <w:szCs w:val="24"/>
          <w:u w:val="single"/>
        </w:rPr>
        <w:t>7</w:t>
      </w:r>
      <w:r>
        <w:rPr>
          <w:rFonts w:hint="eastAsia" w:ascii="宋体" w:hAnsi="宋体" w:eastAsia="宋体" w:cs="Times New Roman"/>
          <w:szCs w:val="24"/>
          <w:u w:val="single"/>
        </w:rPr>
        <w:t>天；发包人对承包人的施工组织设计（或方案）和进度计划提出质疑和合理修正时，承包人应</w:t>
      </w:r>
      <w:r>
        <w:rPr>
          <w:rFonts w:hint="eastAsia" w:ascii="仿宋_GB2312" w:hAnsi="宋体" w:eastAsia="宋体" w:cs="Times New Roman"/>
          <w:szCs w:val="24"/>
          <w:u w:val="single"/>
        </w:rPr>
        <w:t>7</w:t>
      </w:r>
      <w:r>
        <w:rPr>
          <w:rFonts w:hint="eastAsia" w:ascii="宋体" w:hAnsi="宋体" w:eastAsia="宋体" w:cs="Times New Roman"/>
          <w:szCs w:val="24"/>
          <w:u w:val="single"/>
        </w:rPr>
        <w:t>天内提供修正完成并重新提交；每月</w:t>
      </w:r>
      <w:r>
        <w:rPr>
          <w:rFonts w:hint="eastAsia" w:ascii="仿宋_GB2312" w:hAnsi="宋体" w:eastAsia="仿宋_GB2312" w:cs="Times New Roman"/>
          <w:szCs w:val="24"/>
          <w:u w:val="single"/>
        </w:rPr>
        <w:t>20</w:t>
      </w:r>
      <w:r>
        <w:rPr>
          <w:rFonts w:hint="eastAsia" w:ascii="宋体" w:hAnsi="宋体" w:eastAsia="宋体" w:cs="Times New Roman"/>
          <w:szCs w:val="24"/>
          <w:u w:val="single"/>
        </w:rPr>
        <w:t>日前向发包方提交下一月进度计划和施工方案</w:t>
      </w:r>
      <w:r>
        <w:rPr>
          <w:rFonts w:ascii="宋体" w:hAnsi="宋体" w:eastAsia="宋体" w:cs="Times New Roman"/>
          <w:szCs w:val="24"/>
        </w:rPr>
        <w:t>；</w:t>
      </w:r>
    </w:p>
    <w:p w14:paraId="673BF1F6">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承包人提供的文件的数量为：</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按发包人要求</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01BE5751">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承包人提供的文件的形式为：</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纸质及电子版本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7E2875F2">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发包人</w:t>
      </w:r>
      <w:r>
        <w:rPr>
          <w:rFonts w:hint="eastAsia" w:ascii="宋体" w:hAnsi="宋体" w:eastAsia="宋体" w:cs="Times New Roman"/>
          <w:szCs w:val="24"/>
        </w:rPr>
        <w:t>审批</w:t>
      </w:r>
      <w:r>
        <w:rPr>
          <w:rFonts w:ascii="宋体" w:hAnsi="宋体" w:eastAsia="宋体" w:cs="Times New Roman"/>
          <w:szCs w:val="24"/>
        </w:rPr>
        <w:t>承包人文件的期限：</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收到相应文件后7天内</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7141B59B">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1.6.5 </w:t>
      </w:r>
      <w:r>
        <w:rPr>
          <w:rFonts w:ascii="宋体" w:hAnsi="宋体" w:eastAsia="宋体" w:cs="Times New Roman"/>
          <w:szCs w:val="24"/>
        </w:rPr>
        <w:t>现场图纸准备</w:t>
      </w:r>
    </w:p>
    <w:p w14:paraId="00E0F36C">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关于现场图纸准备的约定：</w:t>
      </w:r>
      <w:r>
        <w:rPr>
          <w:rFonts w:hint="eastAsia" w:ascii="宋体" w:hAnsi="宋体" w:eastAsia="宋体" w:cs="Times New Roman"/>
          <w:szCs w:val="24"/>
          <w:u w:val="single"/>
        </w:rPr>
        <w:t xml:space="preserve">由监理人在现场保管一套完整施工图，供发包人、监理人及有关人员进行工程检查等活动时使用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50E7304E">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1.7 </w:t>
      </w:r>
      <w:r>
        <w:rPr>
          <w:rFonts w:ascii="黑体" w:hAnsi="黑体" w:eastAsia="黑体" w:cs="Times New Roman"/>
          <w:szCs w:val="24"/>
        </w:rPr>
        <w:t>联络</w:t>
      </w:r>
    </w:p>
    <w:p w14:paraId="5034F169">
      <w:pPr>
        <w:spacing w:line="360" w:lineRule="exact"/>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1.7.1</w:t>
      </w:r>
      <w:r>
        <w:rPr>
          <w:rFonts w:ascii="宋体" w:hAnsi="宋体" w:eastAsia="宋体" w:cs="Times New Roman"/>
          <w:kern w:val="0"/>
          <w:szCs w:val="24"/>
        </w:rPr>
        <w:t>发包人和承包人应当在</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7</w:t>
      </w:r>
      <w:r>
        <w:rPr>
          <w:rFonts w:ascii="Times New Roman" w:hAnsi="Times New Roman" w:eastAsia="宋体" w:cs="Times New Roman"/>
          <w:szCs w:val="24"/>
          <w:u w:val="single"/>
        </w:rPr>
        <w:t xml:space="preserve">  </w:t>
      </w:r>
      <w:r>
        <w:rPr>
          <w:rFonts w:ascii="宋体" w:hAnsi="宋体" w:eastAsia="宋体" w:cs="Times New Roman"/>
          <w:kern w:val="0"/>
          <w:szCs w:val="24"/>
        </w:rPr>
        <w:t>天内将与合同有关的通知、批准、证明、证书、指示、指令、要求、请求、同意、意见、确定和决定等书面函件送达对方当事人</w:t>
      </w:r>
      <w:r>
        <w:rPr>
          <w:rFonts w:hint="eastAsia" w:ascii="宋体" w:hAnsi="宋体" w:eastAsia="宋体" w:cs="Times New Roman"/>
          <w:kern w:val="0"/>
          <w:szCs w:val="24"/>
        </w:rPr>
        <w:t>。</w:t>
      </w:r>
    </w:p>
    <w:p w14:paraId="1A1E1C9E">
      <w:pPr>
        <w:spacing w:line="360" w:lineRule="exact"/>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 xml:space="preserve">1.7.2 </w:t>
      </w:r>
      <w:r>
        <w:rPr>
          <w:rFonts w:ascii="宋体" w:hAnsi="宋体" w:eastAsia="宋体" w:cs="Times New Roman"/>
          <w:kern w:val="0"/>
          <w:szCs w:val="24"/>
        </w:rPr>
        <w:t>发包人接收文件的地点：</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kern w:val="0"/>
          <w:szCs w:val="24"/>
        </w:rPr>
        <w:t>；</w:t>
      </w:r>
    </w:p>
    <w:p w14:paraId="103C9A37">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发包人指定的接收人为：</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（2人以上及联系电话）</w:t>
      </w:r>
      <w:r>
        <w:rPr>
          <w:rFonts w:hint="eastAsia" w:ascii="MingLiU_HKSCS" w:hAnsi="MingLiU_HKSCS" w:eastAsia="MingLiU_HKSCS" w:cs="MingLiU_HKSCS"/>
          <w:szCs w:val="24"/>
          <w:u w:val="single"/>
        </w:rPr>
        <w:t xml:space="preserve">   </w:t>
      </w:r>
      <w:r>
        <w:rPr>
          <w:rFonts w:ascii="宋体" w:hAnsi="宋体" w:eastAsia="宋体" w:cs="Times New Roman"/>
          <w:kern w:val="0"/>
          <w:szCs w:val="24"/>
        </w:rPr>
        <w:t>。</w:t>
      </w:r>
    </w:p>
    <w:p w14:paraId="7FF4E806">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承包人接收文件的地点：</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kern w:val="0"/>
          <w:szCs w:val="24"/>
        </w:rPr>
        <w:t>；</w:t>
      </w:r>
    </w:p>
    <w:p w14:paraId="71762949">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承包人指定的接收人为：</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（2人以上及联系电话）</w:t>
      </w:r>
      <w:r>
        <w:rPr>
          <w:rFonts w:hint="eastAsia" w:ascii="MingLiU_HKSCS" w:hAnsi="MingLiU_HKSCS" w:eastAsia="MingLiU_HKSCS" w:cs="MingLiU_HKSCS"/>
          <w:szCs w:val="24"/>
          <w:u w:val="single"/>
        </w:rPr>
        <w:t xml:space="preserve">      </w:t>
      </w:r>
      <w:r>
        <w:rPr>
          <w:rFonts w:ascii="宋体" w:hAnsi="宋体" w:eastAsia="宋体" w:cs="Times New Roman"/>
          <w:kern w:val="0"/>
          <w:szCs w:val="24"/>
        </w:rPr>
        <w:t>。</w:t>
      </w:r>
    </w:p>
    <w:p w14:paraId="5D1AC024">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监理人接收文件的地点：</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kern w:val="0"/>
          <w:szCs w:val="24"/>
        </w:rPr>
        <w:t>；</w:t>
      </w:r>
    </w:p>
    <w:p w14:paraId="664A1133">
      <w:pPr>
        <w:spacing w:line="360" w:lineRule="exact"/>
        <w:ind w:firstLine="420" w:firstLineChars="200"/>
        <w:rPr>
          <w:rFonts w:hint="eastAsia" w:ascii="宋体" w:hAnsi="宋体" w:eastAsia="宋体" w:cs="Times New Roman"/>
          <w:kern w:val="0"/>
          <w:szCs w:val="24"/>
        </w:rPr>
      </w:pPr>
      <w:r>
        <w:rPr>
          <w:rFonts w:ascii="宋体" w:hAnsi="宋体" w:eastAsia="宋体" w:cs="Times New Roman"/>
          <w:kern w:val="0"/>
          <w:szCs w:val="24"/>
        </w:rPr>
        <w:t>监理人指定的接收人为：</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（2人以上及联系电话） </w:t>
      </w:r>
      <w:r>
        <w:rPr>
          <w:rFonts w:hint="eastAsia" w:ascii="MingLiU_HKSCS" w:hAnsi="MingLiU_HKSCS" w:eastAsia="MingLiU_HKSCS" w:cs="MingLiU_HKSCS"/>
          <w:szCs w:val="24"/>
          <w:u w:val="single"/>
        </w:rPr>
        <w:t xml:space="preserve">   </w:t>
      </w:r>
      <w:r>
        <w:rPr>
          <w:rFonts w:ascii="宋体" w:hAnsi="宋体" w:eastAsia="宋体" w:cs="Times New Roman"/>
          <w:kern w:val="0"/>
          <w:szCs w:val="24"/>
        </w:rPr>
        <w:t>。</w:t>
      </w:r>
    </w:p>
    <w:p w14:paraId="4282AF7D">
      <w:pPr>
        <w:spacing w:line="360" w:lineRule="exact"/>
        <w:ind w:firstLine="420" w:firstLineChars="200"/>
        <w:rPr>
          <w:rFonts w:hint="eastAsia" w:ascii="宋体" w:hAnsi="宋体" w:eastAsia="宋体" w:cs="宋体"/>
          <w:kern w:val="0"/>
          <w:szCs w:val="24"/>
          <w:u w:val="single"/>
        </w:rPr>
      </w:pPr>
      <w:r>
        <w:rPr>
          <w:rFonts w:hint="eastAsia" w:ascii="宋体" w:hAnsi="宋体" w:eastAsia="宋体" w:cs="宋体"/>
          <w:kern w:val="0"/>
          <w:szCs w:val="24"/>
          <w:u w:val="single"/>
        </w:rPr>
        <w:t>发包人、承包人、监理人的文件接收地址、接收人（含联系电话）发生变动的，应提前3天通知各方。</w:t>
      </w:r>
    </w:p>
    <w:p w14:paraId="2A931FB6">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1.10 </w:t>
      </w:r>
      <w:r>
        <w:rPr>
          <w:rFonts w:ascii="黑体" w:hAnsi="黑体" w:eastAsia="黑体" w:cs="Times New Roman"/>
          <w:szCs w:val="24"/>
        </w:rPr>
        <w:t>交通运输</w:t>
      </w:r>
    </w:p>
    <w:p w14:paraId="69343FAA">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1</w:t>
      </w:r>
      <w:bookmarkStart w:id="59" w:name="_Toc318581155"/>
      <w:bookmarkEnd w:id="59"/>
      <w:bookmarkStart w:id="60" w:name="_Toc312677986"/>
      <w:bookmarkEnd w:id="60"/>
      <w:bookmarkStart w:id="61" w:name="_Toc300934943"/>
      <w:bookmarkEnd w:id="61"/>
      <w:bookmarkStart w:id="62" w:name="_Toc303539100"/>
      <w:bookmarkEnd w:id="62"/>
      <w:bookmarkStart w:id="63" w:name="_Toc304295521"/>
      <w:r>
        <w:rPr>
          <w:rFonts w:ascii="Times New Roman" w:hAnsi="Times New Roman" w:eastAsia="宋体" w:cs="Times New Roman"/>
          <w:szCs w:val="24"/>
        </w:rPr>
        <w:t xml:space="preserve">.10.1 </w:t>
      </w:r>
      <w:r>
        <w:rPr>
          <w:rFonts w:ascii="宋体" w:hAnsi="宋体" w:eastAsia="宋体" w:cs="Times New Roman"/>
          <w:szCs w:val="24"/>
        </w:rPr>
        <w:t>出入现场的权利</w:t>
      </w:r>
      <w:bookmarkEnd w:id="63"/>
    </w:p>
    <w:p w14:paraId="147B3F97">
      <w:pPr>
        <w:spacing w:line="360" w:lineRule="exact"/>
        <w:ind w:firstLine="420" w:firstLineChars="200"/>
        <w:rPr>
          <w:rFonts w:ascii="Times New Roman" w:hAnsi="Times New Roman" w:eastAsia="宋体" w:cs="Times New Roman"/>
          <w:szCs w:val="24"/>
          <w:u w:val="single"/>
        </w:rPr>
      </w:pPr>
      <w:r>
        <w:rPr>
          <w:rFonts w:ascii="宋体" w:hAnsi="宋体" w:eastAsia="宋体" w:cs="Times New Roman"/>
          <w:szCs w:val="24"/>
        </w:rPr>
        <w:t>关于出入现场的权利的约定：</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按合同通用条款，可视工程实际双方再补充约定</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57434DBC">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1</w:t>
      </w:r>
      <w:bookmarkStart w:id="64" w:name="_Toc312677987"/>
      <w:bookmarkEnd w:id="64"/>
      <w:bookmarkStart w:id="65" w:name="_Toc318581156"/>
      <w:bookmarkEnd w:id="65"/>
      <w:bookmarkStart w:id="66" w:name="_Toc300934944"/>
      <w:bookmarkEnd w:id="66"/>
      <w:bookmarkStart w:id="67" w:name="_Toc303539101"/>
      <w:bookmarkEnd w:id="67"/>
      <w:bookmarkStart w:id="68" w:name="_Toc304295522"/>
      <w:r>
        <w:rPr>
          <w:rFonts w:ascii="Times New Roman" w:hAnsi="Times New Roman" w:eastAsia="宋体" w:cs="Times New Roman"/>
          <w:szCs w:val="24"/>
        </w:rPr>
        <w:t xml:space="preserve">.10.3 </w:t>
      </w:r>
      <w:r>
        <w:rPr>
          <w:rFonts w:ascii="宋体" w:hAnsi="宋体" w:eastAsia="宋体" w:cs="Times New Roman"/>
          <w:szCs w:val="24"/>
        </w:rPr>
        <w:t>场内交通</w:t>
      </w:r>
      <w:bookmarkEnd w:id="68"/>
    </w:p>
    <w:p w14:paraId="4C0A02E2">
      <w:pPr>
        <w:spacing w:line="360" w:lineRule="exact"/>
        <w:ind w:firstLine="420" w:firstLineChars="200"/>
        <w:rPr>
          <w:rFonts w:hint="eastAsia" w:ascii="宋体" w:hAnsi="宋体" w:eastAsia="宋体" w:cs="Times New Roman"/>
          <w:szCs w:val="24"/>
          <w:u w:val="single"/>
        </w:rPr>
      </w:pPr>
      <w:r>
        <w:rPr>
          <w:rFonts w:ascii="宋体" w:hAnsi="宋体" w:eastAsia="宋体" w:cs="Times New Roman"/>
          <w:kern w:val="0"/>
          <w:szCs w:val="24"/>
        </w:rPr>
        <w:t>关于场外交通和场内交通的边界的约定：</w:t>
      </w:r>
      <w:r>
        <w:rPr>
          <w:rFonts w:hint="eastAsia" w:ascii="宋体" w:hAnsi="宋体" w:eastAsia="宋体" w:cs="Times New Roman"/>
          <w:szCs w:val="24"/>
          <w:u w:val="single"/>
        </w:rPr>
        <w:t>以本项目用地边界为限。</w:t>
      </w:r>
    </w:p>
    <w:p w14:paraId="371D6CEC">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关</w:t>
      </w:r>
      <w:r>
        <w:rPr>
          <w:rFonts w:ascii="宋体" w:hAnsi="宋体" w:eastAsia="宋体" w:cs="Times New Roman"/>
          <w:szCs w:val="24"/>
        </w:rPr>
        <w:t>于发包人向承包人免费提供满足工程施工需要的场内道路和交通设施的约定：</w:t>
      </w:r>
      <w:r>
        <w:rPr>
          <w:rFonts w:hint="eastAsia" w:ascii="MingLiU_HKSCS" w:hAnsi="MingLiU_HKSCS" w:eastAsia="MingLiU_HKSCS" w:cs="MingLiU_HKSCS"/>
          <w:szCs w:val="24"/>
          <w:u w:val="single"/>
        </w:rPr>
        <w:t xml:space="preserve">   </w:t>
      </w:r>
      <w:r>
        <w:rPr>
          <w:rFonts w:hint="eastAsia" w:ascii="宋体" w:hAnsi="宋体" w:eastAsia="宋体" w:cs="Times New Roman"/>
          <w:kern w:val="0"/>
          <w:szCs w:val="24"/>
          <w:u w:val="single"/>
        </w:rPr>
        <w:t>发包人提供的场内交通条件为现状，承包人自行组织现场踏勘</w:t>
      </w:r>
      <w:r>
        <w:rPr>
          <w:rFonts w:hint="eastAsia" w:ascii="宋体" w:hAnsi="宋体" w:eastAsia="宋体" w:cs="Times New Roman"/>
          <w:szCs w:val="24"/>
        </w:rPr>
        <w:t>。</w:t>
      </w:r>
      <w:bookmarkStart w:id="69" w:name="_Toc318581157"/>
      <w:bookmarkEnd w:id="69"/>
    </w:p>
    <w:p w14:paraId="7EE864E2">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1.10.4</w:t>
      </w:r>
      <w:r>
        <w:rPr>
          <w:rFonts w:ascii="宋体" w:hAnsi="宋体" w:eastAsia="宋体" w:cs="Times New Roman"/>
          <w:szCs w:val="24"/>
        </w:rPr>
        <w:t>超大件和超重件的运输</w:t>
      </w:r>
    </w:p>
    <w:p w14:paraId="3473396C">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运输超大件或超重件所需的道路和桥梁临时加固改造费用和其他有关费用由</w:t>
      </w:r>
      <w:r>
        <w:rPr>
          <w:rFonts w:hint="eastAsia" w:ascii="宋体" w:hAnsi="宋体" w:eastAsia="宋体" w:cs="Times New Roman"/>
          <w:szCs w:val="24"/>
          <w:u w:val="single"/>
        </w:rPr>
        <w:t>承包人在报价中综合考虑，并承担相应费用。</w:t>
      </w:r>
    </w:p>
    <w:p w14:paraId="436EBFDF">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1.11 </w:t>
      </w:r>
      <w:r>
        <w:rPr>
          <w:rFonts w:ascii="黑体" w:hAnsi="黑体" w:eastAsia="黑体" w:cs="Times New Roman"/>
          <w:szCs w:val="24"/>
        </w:rPr>
        <w:t>知识产权</w:t>
      </w:r>
    </w:p>
    <w:p w14:paraId="0AC3AD79">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1.11.1</w:t>
      </w:r>
      <w:r>
        <w:rPr>
          <w:rFonts w:ascii="宋体" w:hAnsi="宋体" w:eastAsia="宋体" w:cs="Times New Roman"/>
          <w:szCs w:val="24"/>
        </w:rPr>
        <w:t>关于发包人提供给承包人的图纸、发包人为实施工程自行编制或委托编制的技术规范以及反映发包人关于合同要求或其他类似性质的文件的著作权的归属：</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按合同通用条款</w:t>
      </w:r>
      <w:r>
        <w:rPr>
          <w:rFonts w:ascii="Times New Roman" w:hAnsi="Times New Roman" w:eastAsia="宋体" w:cs="Times New Roman"/>
          <w:szCs w:val="24"/>
          <w:u w:val="single"/>
        </w:rPr>
        <w:t xml:space="preserve">  </w:t>
      </w:r>
      <w:r>
        <w:rPr>
          <w:rFonts w:ascii="宋体" w:hAnsi="宋体" w:eastAsia="宋体" w:cs="Times New Roman"/>
          <w:szCs w:val="24"/>
        </w:rPr>
        <w:t>。</w:t>
      </w:r>
    </w:p>
    <w:p w14:paraId="0FE2BE2C">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关于发包人提供的上述文件的使用限制的要求：</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按合同通用条款</w:t>
      </w:r>
      <w:r>
        <w:rPr>
          <w:rFonts w:ascii="宋体" w:hAnsi="宋体" w:eastAsia="宋体" w:cs="Times New Roman"/>
          <w:szCs w:val="24"/>
        </w:rPr>
        <w:t>。</w:t>
      </w:r>
    </w:p>
    <w:p w14:paraId="08A64ED7">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1.11.2 </w:t>
      </w:r>
      <w:r>
        <w:rPr>
          <w:rFonts w:ascii="宋体" w:hAnsi="宋体" w:eastAsia="宋体" w:cs="Times New Roman"/>
          <w:szCs w:val="24"/>
        </w:rPr>
        <w:t>关于承包人为实施工程所编制文件的著作权的归属：</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发包人</w:t>
      </w:r>
      <w:r>
        <w:rPr>
          <w:rFonts w:ascii="宋体" w:hAnsi="宋体" w:eastAsia="宋体" w:cs="Times New Roman"/>
          <w:szCs w:val="24"/>
        </w:rPr>
        <w:t>。</w:t>
      </w:r>
    </w:p>
    <w:p w14:paraId="6F2B5210">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关于承包人提供的上述文件的使用限制的要求：</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按合同通用条款</w:t>
      </w:r>
      <w:r>
        <w:rPr>
          <w:rFonts w:ascii="宋体" w:hAnsi="宋体" w:eastAsia="宋体" w:cs="Times New Roman"/>
          <w:szCs w:val="24"/>
        </w:rPr>
        <w:t>。</w:t>
      </w:r>
    </w:p>
    <w:p w14:paraId="6BF82659">
      <w:pPr>
        <w:spacing w:line="360" w:lineRule="exact"/>
        <w:ind w:firstLine="420" w:firstLineChars="200"/>
        <w:rPr>
          <w:rFonts w:ascii="Times New Roman" w:hAnsi="Times New Roman" w:eastAsia="宋体" w:cs="Times New Roman"/>
          <w:kern w:val="0"/>
          <w:szCs w:val="24"/>
        </w:rPr>
      </w:pPr>
      <w:r>
        <w:rPr>
          <w:rFonts w:ascii="Times New Roman" w:hAnsi="Times New Roman" w:eastAsia="宋体" w:cs="Times New Roman"/>
          <w:szCs w:val="24"/>
        </w:rPr>
        <w:t xml:space="preserve">1.11.4 </w:t>
      </w:r>
      <w:r>
        <w:rPr>
          <w:rFonts w:ascii="宋体" w:hAnsi="宋体" w:eastAsia="宋体" w:cs="Times New Roman"/>
          <w:szCs w:val="24"/>
        </w:rPr>
        <w:t>承包人在施工过程中所采用的专利、专有技术、技术秘密的使用费的承担方式：</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包含在签约合同价内</w:t>
      </w:r>
      <w:r>
        <w:rPr>
          <w:rFonts w:ascii="宋体" w:hAnsi="宋体" w:eastAsia="宋体" w:cs="Times New Roman"/>
          <w:kern w:val="0"/>
          <w:szCs w:val="24"/>
        </w:rPr>
        <w:t>。</w:t>
      </w:r>
    </w:p>
    <w:p w14:paraId="29E40BF6">
      <w:pPr>
        <w:spacing w:line="360" w:lineRule="exact"/>
        <w:ind w:firstLine="420" w:firstLineChars="200"/>
        <w:rPr>
          <w:rFonts w:hint="eastAsia" w:ascii="宋体" w:hAnsi="宋体" w:eastAsia="宋体" w:cs="宋体"/>
          <w:szCs w:val="24"/>
        </w:rPr>
      </w:pPr>
      <w:bookmarkStart w:id="70" w:name="_Toc351203634"/>
      <w:bookmarkEnd w:id="70"/>
      <w:r>
        <w:rPr>
          <w:rFonts w:hint="eastAsia" w:ascii="宋体" w:hAnsi="宋体" w:eastAsia="宋体" w:cs="宋体"/>
          <w:szCs w:val="24"/>
        </w:rPr>
        <w:t>1.13 工程量清单错误的修正</w:t>
      </w:r>
    </w:p>
    <w:p w14:paraId="2CAB97F0">
      <w:pPr>
        <w:spacing w:line="360" w:lineRule="exact"/>
        <w:ind w:firstLine="420" w:firstLineChars="200"/>
        <w:rPr>
          <w:rFonts w:hint="eastAsia" w:ascii="宋体" w:hAnsi="宋体" w:eastAsia="宋体" w:cs="宋体"/>
          <w:szCs w:val="24"/>
        </w:rPr>
      </w:pPr>
      <w:r>
        <w:rPr>
          <w:rFonts w:hint="eastAsia" w:ascii="宋体" w:hAnsi="宋体" w:eastAsia="宋体" w:cs="宋体"/>
          <w:szCs w:val="24"/>
        </w:rPr>
        <w:t>出现工程量清单错误时，是否调整合同价格：</w:t>
      </w:r>
      <w:r>
        <w:rPr>
          <w:rFonts w:hint="eastAsia" w:ascii="宋体" w:hAnsi="宋体" w:eastAsia="宋体" w:cs="宋体"/>
          <w:szCs w:val="24"/>
          <w:u w:val="single"/>
        </w:rPr>
        <w:t xml:space="preserve">工程量清单特征描述不符引起造价变化的子目及工程量清单漏项子目按专用条款10.4.1（2）（3）（4）条约定调整合同价格 </w:t>
      </w:r>
      <w:r>
        <w:rPr>
          <w:rFonts w:hint="eastAsia" w:ascii="宋体" w:hAnsi="宋体" w:eastAsia="宋体" w:cs="宋体"/>
          <w:kern w:val="0"/>
          <w:szCs w:val="24"/>
        </w:rPr>
        <w:t>。</w:t>
      </w:r>
    </w:p>
    <w:p w14:paraId="4DF0952C">
      <w:pPr>
        <w:autoSpaceDE w:val="0"/>
        <w:autoSpaceDN w:val="0"/>
        <w:spacing w:line="360" w:lineRule="exact"/>
        <w:ind w:firstLine="420" w:firstLineChars="200"/>
        <w:rPr>
          <w:rFonts w:hint="eastAsia" w:ascii="宋体" w:hAnsi="宋体" w:eastAsia="宋体" w:cs="宋体"/>
          <w:szCs w:val="24"/>
          <w:u w:val="single"/>
          <w:lang w:val="zh-CN"/>
        </w:rPr>
      </w:pPr>
      <w:r>
        <w:rPr>
          <w:rFonts w:hint="eastAsia" w:ascii="宋体" w:hAnsi="宋体" w:eastAsia="宋体" w:cs="宋体"/>
          <w:szCs w:val="24"/>
        </w:rPr>
        <w:t>允许调整合同价格的工程量偏差范围：</w:t>
      </w:r>
      <w:r>
        <w:rPr>
          <w:rFonts w:hint="eastAsia" w:ascii="宋体" w:hAnsi="宋体" w:eastAsia="宋体" w:cs="宋体"/>
          <w:szCs w:val="24"/>
          <w:u w:val="single"/>
        </w:rPr>
        <w:t>因招标工程量清单中的工程量</w:t>
      </w:r>
      <w:r>
        <w:rPr>
          <w:rFonts w:hint="eastAsia" w:ascii="宋体" w:hAnsi="宋体" w:eastAsia="宋体" w:cs="宋体"/>
          <w:szCs w:val="24"/>
          <w:u w:val="single"/>
          <w:lang w:val="zh-CN"/>
        </w:rPr>
        <w:t>计算偏差或工程变更等引起的</w:t>
      </w:r>
      <w:r>
        <w:rPr>
          <w:rFonts w:hint="eastAsia" w:ascii="宋体" w:hAnsi="宋体" w:eastAsia="宋体" w:cs="宋体"/>
          <w:szCs w:val="24"/>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14:paraId="2197A1A9">
      <w:pPr>
        <w:keepNext/>
        <w:keepLines/>
        <w:spacing w:line="360" w:lineRule="exact"/>
        <w:rPr>
          <w:rFonts w:ascii="Times New Roman" w:hAnsi="Times New Roman" w:eastAsia="黑体" w:cs="Times New Roman"/>
          <w:szCs w:val="21"/>
        </w:rPr>
      </w:pPr>
      <w:r>
        <w:rPr>
          <w:rFonts w:ascii="Times New Roman" w:hAnsi="Times New Roman" w:eastAsia="黑体" w:cs="Times New Roman"/>
          <w:szCs w:val="21"/>
        </w:rPr>
        <w:t>2</w:t>
      </w:r>
      <w:bookmarkStart w:id="71" w:name="_Toc292559362"/>
      <w:bookmarkEnd w:id="71"/>
      <w:bookmarkStart w:id="72" w:name="_Toc296944496"/>
      <w:bookmarkEnd w:id="72"/>
      <w:bookmarkStart w:id="73" w:name="_Toc296891197"/>
      <w:bookmarkEnd w:id="73"/>
      <w:bookmarkStart w:id="74" w:name="_Toc297120457"/>
      <w:bookmarkEnd w:id="74"/>
      <w:bookmarkStart w:id="75" w:name="_Toc296346658"/>
      <w:bookmarkEnd w:id="75"/>
      <w:bookmarkStart w:id="76" w:name="_Toc292559867"/>
      <w:bookmarkEnd w:id="76"/>
      <w:bookmarkStart w:id="77" w:name="_Toc296890985"/>
      <w:bookmarkEnd w:id="77"/>
      <w:bookmarkStart w:id="78" w:name="_Toc296347156"/>
      <w:bookmarkEnd w:id="78"/>
      <w:bookmarkStart w:id="79" w:name="_Toc296503157"/>
      <w:bookmarkEnd w:id="79"/>
      <w:bookmarkStart w:id="80" w:name="_Toc297048343"/>
      <w:r>
        <w:rPr>
          <w:rFonts w:ascii="Times New Roman" w:hAnsi="Times New Roman" w:eastAsia="黑体" w:cs="Times New Roman"/>
          <w:szCs w:val="21"/>
        </w:rPr>
        <w:t xml:space="preserve">. </w:t>
      </w:r>
      <w:r>
        <w:rPr>
          <w:rFonts w:ascii="黑体" w:hAnsi="黑体" w:eastAsia="黑体" w:cs="Times New Roman"/>
          <w:szCs w:val="21"/>
        </w:rPr>
        <w:t>发包人</w:t>
      </w:r>
      <w:bookmarkEnd w:id="80"/>
    </w:p>
    <w:p w14:paraId="5121A0B8">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2.2 </w:t>
      </w:r>
      <w:r>
        <w:rPr>
          <w:rFonts w:ascii="黑体" w:hAnsi="黑体" w:eastAsia="黑体" w:cs="Times New Roman"/>
          <w:szCs w:val="24"/>
        </w:rPr>
        <w:t>发包人代表</w:t>
      </w:r>
    </w:p>
    <w:p w14:paraId="121F81E5">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发包人代表：</w:t>
      </w:r>
    </w:p>
    <w:p w14:paraId="5DC6F9DE">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姓</w:t>
      </w:r>
      <w:r>
        <w:rPr>
          <w:rFonts w:ascii="Times New Roman" w:hAnsi="Times New Roman" w:eastAsia="宋体" w:cs="Times New Roman"/>
          <w:szCs w:val="24"/>
        </w:rPr>
        <w:t xml:space="preserve">    </w:t>
      </w:r>
      <w:r>
        <w:rPr>
          <w:rFonts w:ascii="宋体" w:hAnsi="宋体" w:eastAsia="宋体" w:cs="Times New Roman"/>
          <w:szCs w:val="24"/>
        </w:rPr>
        <w:t>名：</w:t>
      </w:r>
      <w:r>
        <w:rPr>
          <w:rFonts w:hint="eastAsia" w:ascii="MingLiU_HKSCS" w:hAnsi="MingLiU_HKSCS" w:eastAsia="MingLiU_HKSCS" w:cs="MingLiU_HKSCS"/>
          <w:szCs w:val="24"/>
          <w:u w:val="single"/>
        </w:rPr>
        <w:t xml:space="preserve">     </w:t>
      </w:r>
      <w:r>
        <w:rPr>
          <w:rFonts w:hint="eastAsia" w:ascii="MingLiU_HKSCS" w:hAnsi="MingLiU_HKSCS" w:eastAsia="宋体" w:cs="MingLiU_HKSCS"/>
          <w:szCs w:val="24"/>
          <w:u w:val="single"/>
        </w:rPr>
        <w:t>以发包人书面通知为准</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356CA506">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身份证号：</w:t>
      </w:r>
      <w:r>
        <w:rPr>
          <w:rFonts w:hint="eastAsia" w:ascii="MingLiU_HKSCS" w:hAnsi="MingLiU_HKSCS" w:eastAsia="MingLiU_HKSCS" w:cs="MingLiU_HKSCS"/>
          <w:szCs w:val="24"/>
          <w:u w:val="single"/>
        </w:rPr>
        <w:t xml:space="preserve">     </w:t>
      </w:r>
      <w:r>
        <w:rPr>
          <w:rFonts w:hint="eastAsia" w:ascii="MingLiU_HKSCS" w:hAnsi="MingLiU_HKSCS" w:eastAsia="宋体" w:cs="MingLiU_HKSCS"/>
          <w:szCs w:val="24"/>
          <w:u w:val="single"/>
        </w:rPr>
        <w:t>以发包人书面通知为准</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240395D2">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职</w:t>
      </w:r>
      <w:r>
        <w:rPr>
          <w:rFonts w:ascii="Times New Roman" w:hAnsi="Times New Roman" w:eastAsia="宋体" w:cs="Times New Roman"/>
          <w:szCs w:val="24"/>
        </w:rPr>
        <w:t xml:space="preserve">    </w:t>
      </w:r>
      <w:r>
        <w:rPr>
          <w:rFonts w:ascii="宋体" w:hAnsi="宋体" w:eastAsia="宋体" w:cs="Times New Roman"/>
          <w:szCs w:val="24"/>
        </w:rPr>
        <w:t>务：</w:t>
      </w:r>
      <w:r>
        <w:rPr>
          <w:rFonts w:hint="eastAsia" w:ascii="MingLiU_HKSCS" w:hAnsi="MingLiU_HKSCS" w:eastAsia="MingLiU_HKSCS" w:cs="MingLiU_HKSCS"/>
          <w:szCs w:val="24"/>
          <w:u w:val="single"/>
        </w:rPr>
        <w:t xml:space="preserve">     </w:t>
      </w:r>
      <w:r>
        <w:rPr>
          <w:rFonts w:hint="eastAsia" w:ascii="MingLiU_HKSCS" w:hAnsi="MingLiU_HKSCS" w:eastAsia="宋体" w:cs="MingLiU_HKSCS"/>
          <w:szCs w:val="24"/>
          <w:u w:val="single"/>
        </w:rPr>
        <w:t>以发包人书面通知为准</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38976D6F">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联系电话：</w:t>
      </w:r>
      <w:r>
        <w:rPr>
          <w:rFonts w:hint="eastAsia" w:ascii="MingLiU_HKSCS" w:hAnsi="MingLiU_HKSCS" w:eastAsia="MingLiU_HKSCS" w:cs="MingLiU_HKSCS"/>
          <w:szCs w:val="24"/>
          <w:u w:val="single"/>
        </w:rPr>
        <w:t xml:space="preserve">     </w:t>
      </w:r>
      <w:r>
        <w:rPr>
          <w:rFonts w:hint="eastAsia" w:ascii="MingLiU_HKSCS" w:hAnsi="MingLiU_HKSCS" w:eastAsia="宋体" w:cs="MingLiU_HKSCS"/>
          <w:szCs w:val="24"/>
          <w:u w:val="single"/>
        </w:rPr>
        <w:t>以发包人书面通知为准</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244E147E">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电子信箱：</w:t>
      </w:r>
      <w:r>
        <w:rPr>
          <w:rFonts w:hint="eastAsia" w:ascii="MingLiU_HKSCS" w:hAnsi="MingLiU_HKSCS" w:eastAsia="MingLiU_HKSCS" w:cs="MingLiU_HKSCS"/>
          <w:szCs w:val="24"/>
          <w:u w:val="single"/>
        </w:rPr>
        <w:t xml:space="preserve">     </w:t>
      </w:r>
      <w:r>
        <w:rPr>
          <w:rFonts w:hint="eastAsia" w:ascii="MingLiU_HKSCS" w:hAnsi="MingLiU_HKSCS" w:eastAsia="宋体" w:cs="MingLiU_HKSCS"/>
          <w:szCs w:val="24"/>
          <w:u w:val="single"/>
        </w:rPr>
        <w:t>以发包人书面通知为准</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6274DF18">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通信地址：</w:t>
      </w:r>
      <w:r>
        <w:rPr>
          <w:rFonts w:hint="eastAsia" w:ascii="MingLiU_HKSCS" w:hAnsi="MingLiU_HKSCS" w:eastAsia="MingLiU_HKSCS" w:cs="MingLiU_HKSCS"/>
          <w:szCs w:val="24"/>
          <w:u w:val="single"/>
        </w:rPr>
        <w:t xml:space="preserve">     </w:t>
      </w:r>
      <w:r>
        <w:rPr>
          <w:rFonts w:hint="eastAsia" w:ascii="MingLiU_HKSCS" w:hAnsi="MingLiU_HKSCS" w:eastAsia="宋体" w:cs="MingLiU_HKSCS"/>
          <w:szCs w:val="24"/>
          <w:u w:val="single"/>
        </w:rPr>
        <w:t>以发包人书面通知为准</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389F73D6">
      <w:pPr>
        <w:spacing w:line="360" w:lineRule="exact"/>
        <w:ind w:firstLine="420" w:firstLineChars="200"/>
        <w:rPr>
          <w:rFonts w:hint="eastAsia" w:ascii="宋体" w:hAnsi="宋体" w:eastAsia="宋体" w:cs="Times New Roman"/>
          <w:szCs w:val="24"/>
          <w:u w:val="single"/>
        </w:rPr>
      </w:pPr>
      <w:r>
        <w:rPr>
          <w:rFonts w:ascii="宋体" w:hAnsi="宋体" w:eastAsia="宋体" w:cs="Times New Roman"/>
          <w:szCs w:val="24"/>
        </w:rPr>
        <w:t>发包人对发包人代表的授权范围如下</w:t>
      </w:r>
      <w:r>
        <w:rPr>
          <w:rFonts w:hint="eastAsia" w:ascii="宋体" w:hAnsi="宋体" w:eastAsia="宋体" w:cs="Times New Roman"/>
          <w:szCs w:val="24"/>
        </w:rPr>
        <w:t>：</w:t>
      </w:r>
      <w:r>
        <w:rPr>
          <w:rFonts w:hint="eastAsia" w:ascii="MingLiU_HKSCS" w:hAnsi="MingLiU_HKSCS" w:eastAsia="MingLiU_HKSCS" w:cs="MingLiU_HKSCS"/>
          <w:szCs w:val="24"/>
          <w:u w:val="single"/>
        </w:rPr>
        <w:t xml:space="preserve">     </w:t>
      </w:r>
      <w:r>
        <w:rPr>
          <w:rFonts w:hint="eastAsia" w:ascii="MingLiU_HKSCS" w:hAnsi="MingLiU_HKSCS" w:eastAsia="宋体" w:cs="MingLiU_HKSCS"/>
          <w:szCs w:val="24"/>
          <w:u w:val="single"/>
        </w:rPr>
        <w:t>以发包人书面通知为准</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582BA398">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2.4 </w:t>
      </w:r>
      <w:r>
        <w:rPr>
          <w:rFonts w:ascii="黑体" w:hAnsi="黑体" w:eastAsia="黑体" w:cs="Times New Roman"/>
          <w:szCs w:val="24"/>
        </w:rPr>
        <w:t>施工现场、施工条件和基础资料的提供</w:t>
      </w:r>
    </w:p>
    <w:p w14:paraId="1D2FE9AB">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2.4.1 </w:t>
      </w:r>
      <w:r>
        <w:rPr>
          <w:rFonts w:ascii="宋体" w:hAnsi="宋体" w:eastAsia="宋体" w:cs="Times New Roman"/>
          <w:szCs w:val="24"/>
        </w:rPr>
        <w:t>提供施工现场</w:t>
      </w:r>
    </w:p>
    <w:p w14:paraId="52240ABB">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关于发包人移交施工现场的期限要求：</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开工日期14天前</w:t>
      </w:r>
      <w:r>
        <w:rPr>
          <w:rFonts w:ascii="Times New Roman" w:hAnsi="Times New Roman" w:eastAsia="宋体" w:cs="Times New Roman"/>
          <w:szCs w:val="24"/>
          <w:u w:val="single"/>
        </w:rPr>
        <w:t xml:space="preserve">  </w:t>
      </w:r>
      <w:r>
        <w:rPr>
          <w:rFonts w:ascii="宋体" w:hAnsi="宋体" w:eastAsia="宋体" w:cs="Times New Roman"/>
          <w:szCs w:val="24"/>
        </w:rPr>
        <w:t>。</w:t>
      </w:r>
    </w:p>
    <w:p w14:paraId="4BBC77F5">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2.4.2 </w:t>
      </w:r>
      <w:r>
        <w:rPr>
          <w:rFonts w:ascii="宋体" w:hAnsi="宋体" w:eastAsia="宋体" w:cs="Times New Roman"/>
          <w:szCs w:val="24"/>
        </w:rPr>
        <w:t>提供施工条件</w:t>
      </w:r>
    </w:p>
    <w:p w14:paraId="1852CB8C">
      <w:pPr>
        <w:spacing w:line="360" w:lineRule="exact"/>
        <w:ind w:firstLine="420" w:firstLineChars="200"/>
        <w:rPr>
          <w:rFonts w:ascii="Times New Roman" w:hAnsi="Times New Roman" w:eastAsia="宋体" w:cs="Times New Roman"/>
          <w:szCs w:val="24"/>
          <w:u w:val="single"/>
        </w:rPr>
      </w:pPr>
      <w:r>
        <w:rPr>
          <w:rFonts w:ascii="宋体" w:hAnsi="宋体" w:eastAsia="宋体" w:cs="Times New Roman"/>
          <w:szCs w:val="24"/>
        </w:rPr>
        <w:t>关于发包人应负责提供施工</w:t>
      </w:r>
      <w:r>
        <w:rPr>
          <w:rFonts w:hint="eastAsia" w:ascii="宋体" w:hAnsi="宋体" w:eastAsia="宋体" w:cs="Times New Roman"/>
          <w:szCs w:val="24"/>
        </w:rPr>
        <w:t>所需要的条件，</w:t>
      </w:r>
      <w:r>
        <w:rPr>
          <w:rFonts w:ascii="宋体" w:hAnsi="宋体" w:eastAsia="宋体" w:cs="Times New Roman"/>
          <w:szCs w:val="24"/>
        </w:rPr>
        <w:t>包括：</w:t>
      </w:r>
      <w:r>
        <w:rPr>
          <w:rFonts w:hint="eastAsia" w:ascii="宋体" w:hAnsi="宋体" w:eastAsia="宋体" w:cs="Times New Roman"/>
          <w:szCs w:val="24"/>
          <w:u w:val="single"/>
        </w:rPr>
        <w:t xml:space="preserve">  发包人提供的条件为施工现场现状 </w:t>
      </w:r>
      <w:r>
        <w:rPr>
          <w:rFonts w:ascii="Times New Roman" w:hAnsi="Times New Roman" w:eastAsia="宋体" w:cs="Times New Roman"/>
          <w:szCs w:val="24"/>
          <w:u w:val="single"/>
        </w:rPr>
        <w:t xml:space="preserve"> </w:t>
      </w:r>
      <w:r>
        <w:rPr>
          <w:rFonts w:ascii="宋体" w:hAnsi="宋体" w:eastAsia="宋体" w:cs="Times New Roman"/>
          <w:szCs w:val="24"/>
        </w:rPr>
        <w:t>。</w:t>
      </w:r>
    </w:p>
    <w:p w14:paraId="3B576FA9">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2.5 </w:t>
      </w:r>
      <w:r>
        <w:rPr>
          <w:rFonts w:ascii="黑体" w:hAnsi="黑体" w:eastAsia="黑体" w:cs="Times New Roman"/>
          <w:szCs w:val="24"/>
        </w:rPr>
        <w:t>资金来源证明及支付担保</w:t>
      </w:r>
    </w:p>
    <w:p w14:paraId="246369E8">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发包人提供资金来源证明的期限要求：</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无 </w:t>
      </w:r>
      <w:r>
        <w:rPr>
          <w:rFonts w:ascii="Times New Roman" w:hAnsi="Times New Roman" w:eastAsia="宋体" w:cs="Times New Roman"/>
          <w:szCs w:val="24"/>
          <w:u w:val="single"/>
        </w:rPr>
        <w:t xml:space="preserve">  </w:t>
      </w:r>
      <w:r>
        <w:rPr>
          <w:rFonts w:ascii="宋体" w:hAnsi="宋体" w:eastAsia="宋体" w:cs="Times New Roman"/>
          <w:szCs w:val="24"/>
        </w:rPr>
        <w:t>。</w:t>
      </w:r>
    </w:p>
    <w:p w14:paraId="14E2B603">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发包人是否提供支付担保：</w:t>
      </w:r>
      <w:r>
        <w:rPr>
          <w:rFonts w:hint="eastAsia" w:ascii="宋体" w:hAnsi="宋体" w:eastAsia="宋体" w:cs="Times New Roman"/>
          <w:szCs w:val="24"/>
          <w:u w:val="single"/>
        </w:rPr>
        <w:t xml:space="preserve">    无 </w:t>
      </w:r>
      <w:r>
        <w:rPr>
          <w:rFonts w:ascii="Times New Roman" w:hAnsi="Times New Roman" w:eastAsia="宋体" w:cs="Times New Roman"/>
          <w:szCs w:val="24"/>
          <w:u w:val="single"/>
        </w:rPr>
        <w:t xml:space="preserve">   </w:t>
      </w:r>
      <w:r>
        <w:rPr>
          <w:rFonts w:ascii="宋体" w:hAnsi="宋体" w:eastAsia="宋体" w:cs="Times New Roman"/>
          <w:szCs w:val="24"/>
        </w:rPr>
        <w:t>。</w:t>
      </w:r>
    </w:p>
    <w:p w14:paraId="586D4490">
      <w:pPr>
        <w:spacing w:line="360" w:lineRule="exact"/>
        <w:ind w:firstLine="420" w:firstLineChars="200"/>
        <w:rPr>
          <w:rFonts w:hint="eastAsia" w:ascii="宋体" w:hAnsi="宋体" w:eastAsia="宋体" w:cs="Times New Roman"/>
          <w:szCs w:val="24"/>
        </w:rPr>
      </w:pPr>
      <w:r>
        <w:rPr>
          <w:rFonts w:ascii="宋体" w:hAnsi="宋体" w:eastAsia="宋体" w:cs="Times New Roman"/>
          <w:szCs w:val="24"/>
        </w:rPr>
        <w:t>发包人提供支付担保的形式：</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无</w:t>
      </w:r>
      <w:r>
        <w:rPr>
          <w:rFonts w:ascii="Times New Roman" w:hAnsi="Times New Roman" w:eastAsia="宋体" w:cs="Times New Roman"/>
          <w:szCs w:val="24"/>
          <w:u w:val="single"/>
        </w:rPr>
        <w:t xml:space="preserve">  </w:t>
      </w:r>
      <w:r>
        <w:rPr>
          <w:rFonts w:hint="eastAsia" w:ascii="宋体" w:hAnsi="宋体" w:eastAsia="宋体" w:cs="Times New Roman"/>
          <w:szCs w:val="24"/>
        </w:rPr>
        <w:t>。</w:t>
      </w:r>
    </w:p>
    <w:p w14:paraId="72EC4058">
      <w:pPr>
        <w:spacing w:line="360" w:lineRule="exact"/>
        <w:ind w:firstLine="420" w:firstLineChars="200"/>
        <w:rPr>
          <w:rFonts w:hint="eastAsia" w:ascii="宋体" w:hAnsi="宋体" w:eastAsia="宋体" w:cs="宋体"/>
          <w:szCs w:val="24"/>
        </w:rPr>
      </w:pPr>
      <w:r>
        <w:rPr>
          <w:rFonts w:hint="eastAsia" w:ascii="宋体" w:hAnsi="宋体" w:eastAsia="宋体" w:cs="宋体"/>
          <w:szCs w:val="24"/>
        </w:rPr>
        <w:t>2.6 支付合同价款</w:t>
      </w:r>
    </w:p>
    <w:p w14:paraId="6C6D6FB8">
      <w:pPr>
        <w:spacing w:line="360" w:lineRule="exact"/>
        <w:ind w:firstLine="420" w:firstLineChars="200"/>
        <w:rPr>
          <w:rFonts w:hint="eastAsia" w:ascii="宋体" w:hAnsi="宋体" w:eastAsia="宋体" w:cs="宋体"/>
          <w:szCs w:val="24"/>
        </w:rPr>
      </w:pPr>
      <w:r>
        <w:rPr>
          <w:rFonts w:hint="eastAsia" w:ascii="宋体" w:hAnsi="宋体" w:eastAsia="宋体" w:cs="宋体"/>
          <w:szCs w:val="24"/>
        </w:rPr>
        <w:t>发包人应按合同约定向承包人及时支付合同价款。</w:t>
      </w:r>
    </w:p>
    <w:p w14:paraId="3D63DA82">
      <w:pPr>
        <w:spacing w:line="360" w:lineRule="exact"/>
        <w:ind w:firstLine="420" w:firstLineChars="200"/>
        <w:rPr>
          <w:rFonts w:hint="eastAsia" w:ascii="宋体" w:hAnsi="宋体" w:eastAsia="宋体" w:cs="宋体"/>
          <w:szCs w:val="24"/>
        </w:rPr>
      </w:pPr>
      <w:r>
        <w:rPr>
          <w:rFonts w:hint="eastAsia" w:ascii="宋体" w:hAnsi="宋体" w:eastAsia="宋体" w:cs="宋体"/>
          <w:szCs w:val="24"/>
        </w:rPr>
        <w:t>2.7 组织竣工验收</w:t>
      </w:r>
    </w:p>
    <w:p w14:paraId="3AC28006">
      <w:pPr>
        <w:spacing w:line="360" w:lineRule="exact"/>
        <w:ind w:firstLine="420" w:firstLineChars="200"/>
        <w:rPr>
          <w:rFonts w:hint="eastAsia" w:ascii="宋体" w:hAnsi="宋体" w:eastAsia="宋体" w:cs="宋体"/>
          <w:szCs w:val="24"/>
        </w:rPr>
      </w:pPr>
      <w:r>
        <w:rPr>
          <w:rFonts w:hint="eastAsia" w:ascii="宋体" w:hAnsi="宋体" w:eastAsia="宋体" w:cs="宋体"/>
          <w:szCs w:val="24"/>
        </w:rPr>
        <w:t>发包人应按合同约定及时组织竣工验收。</w:t>
      </w:r>
    </w:p>
    <w:p w14:paraId="52B63501">
      <w:pPr>
        <w:spacing w:line="360" w:lineRule="exact"/>
        <w:ind w:firstLine="420" w:firstLineChars="200"/>
        <w:rPr>
          <w:rFonts w:hint="eastAsia" w:ascii="宋体" w:hAnsi="宋体" w:eastAsia="宋体" w:cs="宋体"/>
          <w:szCs w:val="24"/>
          <w:u w:val="single"/>
        </w:rPr>
      </w:pPr>
      <w:r>
        <w:rPr>
          <w:rFonts w:hint="eastAsia" w:ascii="宋体" w:hAnsi="宋体" w:eastAsia="宋体" w:cs="宋体"/>
          <w:szCs w:val="24"/>
          <w:u w:val="single"/>
        </w:rPr>
        <w:t>承包人完成合同范围内工程内容，发包人应根据施工图纸、现行施工验收规范和质量验收标准及时组织工程质量验收。</w:t>
      </w:r>
    </w:p>
    <w:p w14:paraId="331C4480">
      <w:pPr>
        <w:keepNext/>
        <w:keepLines/>
        <w:spacing w:line="360" w:lineRule="exact"/>
        <w:rPr>
          <w:rFonts w:ascii="Times New Roman" w:hAnsi="Times New Roman" w:eastAsia="黑体" w:cs="Times New Roman"/>
          <w:szCs w:val="21"/>
        </w:rPr>
      </w:pPr>
      <w:bookmarkStart w:id="81" w:name="_Toc351203635"/>
      <w:bookmarkEnd w:id="81"/>
      <w:r>
        <w:rPr>
          <w:rFonts w:ascii="Times New Roman" w:hAnsi="Times New Roman" w:eastAsia="黑体" w:cs="Times New Roman"/>
          <w:szCs w:val="21"/>
        </w:rPr>
        <w:t>3</w:t>
      </w:r>
      <w:bookmarkStart w:id="82" w:name="_Toc296503158"/>
      <w:bookmarkEnd w:id="82"/>
      <w:bookmarkStart w:id="83" w:name="_Toc296891198"/>
      <w:bookmarkEnd w:id="83"/>
      <w:bookmarkStart w:id="84" w:name="_Toc296890986"/>
      <w:bookmarkEnd w:id="84"/>
      <w:bookmarkStart w:id="85" w:name="_Toc297120458"/>
      <w:bookmarkEnd w:id="85"/>
      <w:bookmarkStart w:id="86" w:name="_Toc292559363"/>
      <w:bookmarkEnd w:id="86"/>
      <w:bookmarkStart w:id="87" w:name="_Toc296944497"/>
      <w:bookmarkEnd w:id="87"/>
      <w:bookmarkStart w:id="88" w:name="_Toc292559868"/>
      <w:bookmarkEnd w:id="88"/>
      <w:bookmarkStart w:id="89" w:name="_Toc296347157"/>
      <w:bookmarkEnd w:id="89"/>
      <w:bookmarkStart w:id="90" w:name="_Toc297048344"/>
      <w:bookmarkEnd w:id="90"/>
      <w:bookmarkStart w:id="91" w:name="_Toc296346659"/>
      <w:r>
        <w:rPr>
          <w:rFonts w:ascii="Times New Roman" w:hAnsi="Times New Roman" w:eastAsia="黑体" w:cs="Times New Roman"/>
          <w:szCs w:val="21"/>
        </w:rPr>
        <w:t xml:space="preserve">. </w:t>
      </w:r>
      <w:r>
        <w:rPr>
          <w:rFonts w:ascii="黑体" w:hAnsi="黑体" w:eastAsia="黑体" w:cs="Times New Roman"/>
          <w:szCs w:val="21"/>
        </w:rPr>
        <w:t>承包人</w:t>
      </w:r>
      <w:bookmarkEnd w:id="91"/>
    </w:p>
    <w:p w14:paraId="5E7CB3DF">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3.1 </w:t>
      </w:r>
      <w:r>
        <w:rPr>
          <w:rFonts w:ascii="黑体" w:hAnsi="黑体" w:eastAsia="黑体" w:cs="Times New Roman"/>
          <w:szCs w:val="24"/>
        </w:rPr>
        <w:t>承包人的一般义务</w:t>
      </w:r>
    </w:p>
    <w:p w14:paraId="710D55E3">
      <w:pPr>
        <w:spacing w:line="360" w:lineRule="exact"/>
        <w:ind w:firstLine="420" w:firstLineChars="200"/>
        <w:rPr>
          <w:rFonts w:ascii="Times New Roman" w:hAnsi="Times New Roman" w:eastAsia="宋体" w:cs="Times New Roman"/>
          <w:szCs w:val="24"/>
        </w:rPr>
      </w:pPr>
      <w:r>
        <w:rPr>
          <w:rFonts w:ascii="宋体" w:hAnsi="宋体" w:eastAsia="宋体" w:cs="Times New Roman"/>
          <w:kern w:val="0"/>
          <w:szCs w:val="24"/>
        </w:rPr>
        <w:t>（</w:t>
      </w:r>
      <w:r>
        <w:rPr>
          <w:rFonts w:hint="eastAsia" w:ascii="宋体" w:hAnsi="宋体" w:eastAsia="宋体" w:cs="Times New Roman"/>
          <w:kern w:val="0"/>
          <w:szCs w:val="24"/>
        </w:rPr>
        <w:t>9</w:t>
      </w:r>
      <w:r>
        <w:rPr>
          <w:rFonts w:ascii="宋体" w:hAnsi="宋体" w:eastAsia="宋体" w:cs="Times New Roman"/>
          <w:kern w:val="0"/>
          <w:szCs w:val="24"/>
        </w:rPr>
        <w:t>）</w:t>
      </w:r>
      <w:r>
        <w:rPr>
          <w:rFonts w:ascii="宋体" w:hAnsi="宋体" w:eastAsia="宋体" w:cs="Times New Roman"/>
          <w:szCs w:val="24"/>
        </w:rPr>
        <w:t>承包人提交的竣工资料的内容：</w:t>
      </w:r>
      <w:r>
        <w:rPr>
          <w:rFonts w:hint="eastAsia" w:ascii="宋体" w:hAnsi="宋体" w:eastAsia="宋体" w:cs="Times New Roman"/>
          <w:szCs w:val="24"/>
          <w:u w:val="single"/>
        </w:rPr>
        <w:t>向发包人提交按规范规定应由承包人编制部分的竣工资料并符合建设工程资料存档要求</w:t>
      </w:r>
      <w:r>
        <w:rPr>
          <w:rFonts w:ascii="宋体" w:hAnsi="宋体" w:eastAsia="宋体" w:cs="Times New Roman"/>
          <w:szCs w:val="24"/>
        </w:rPr>
        <w:t>。</w:t>
      </w:r>
    </w:p>
    <w:p w14:paraId="27A4EA8A">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承包人需要提交的竣工资料套数：</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两套</w:t>
      </w:r>
      <w:r>
        <w:rPr>
          <w:rFonts w:ascii="Times New Roman" w:hAnsi="Times New Roman" w:eastAsia="宋体" w:cs="Times New Roman"/>
          <w:szCs w:val="24"/>
          <w:u w:val="single"/>
        </w:rPr>
        <w:t xml:space="preserve">   </w:t>
      </w:r>
      <w:r>
        <w:rPr>
          <w:rFonts w:ascii="宋体" w:hAnsi="宋体" w:eastAsia="宋体" w:cs="Times New Roman"/>
          <w:szCs w:val="24"/>
        </w:rPr>
        <w:t>。</w:t>
      </w:r>
    </w:p>
    <w:p w14:paraId="7CC67A62">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承包人提交的竣工资料的费用承担：</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由承包人承担 </w:t>
      </w:r>
      <w:r>
        <w:rPr>
          <w:rFonts w:ascii="Times New Roman" w:hAnsi="Times New Roman" w:eastAsia="宋体" w:cs="Times New Roman"/>
          <w:szCs w:val="24"/>
          <w:u w:val="single"/>
        </w:rPr>
        <w:t xml:space="preserve">    </w:t>
      </w:r>
      <w:r>
        <w:rPr>
          <w:rFonts w:ascii="宋体" w:hAnsi="宋体" w:eastAsia="宋体" w:cs="Times New Roman"/>
          <w:szCs w:val="24"/>
        </w:rPr>
        <w:t>。</w:t>
      </w:r>
    </w:p>
    <w:p w14:paraId="65520207">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承包人提交的竣工资料移交时间：</w:t>
      </w:r>
      <w:r>
        <w:rPr>
          <w:rFonts w:hint="eastAsia" w:ascii="宋体" w:hAnsi="宋体" w:eastAsia="宋体" w:cs="Times New Roman"/>
          <w:szCs w:val="24"/>
          <w:u w:val="single"/>
        </w:rPr>
        <w:t>工程竣工验收合格后7天内</w:t>
      </w:r>
      <w:r>
        <w:rPr>
          <w:rFonts w:ascii="宋体" w:hAnsi="宋体" w:eastAsia="宋体" w:cs="Times New Roman"/>
          <w:szCs w:val="24"/>
        </w:rPr>
        <w:t>。</w:t>
      </w:r>
    </w:p>
    <w:p w14:paraId="1624AD46">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承包人提交的竣工资料形式要求：</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纸质及相关电子数据</w:t>
      </w:r>
      <w:r>
        <w:rPr>
          <w:rFonts w:ascii="Times New Roman" w:hAnsi="Times New Roman" w:eastAsia="宋体" w:cs="Times New Roman"/>
          <w:szCs w:val="24"/>
          <w:u w:val="single"/>
        </w:rPr>
        <w:t xml:space="preserve">  </w:t>
      </w:r>
      <w:r>
        <w:rPr>
          <w:rFonts w:ascii="宋体" w:hAnsi="宋体" w:eastAsia="宋体" w:cs="Times New Roman"/>
          <w:szCs w:val="24"/>
        </w:rPr>
        <w:t>。</w:t>
      </w:r>
    </w:p>
    <w:p w14:paraId="18180B08">
      <w:pPr>
        <w:spacing w:line="360" w:lineRule="exact"/>
        <w:ind w:firstLine="420" w:firstLineChars="200"/>
        <w:rPr>
          <w:rFonts w:ascii="Times New Roman" w:hAnsi="Times New Roman" w:eastAsia="宋体" w:cs="Times New Roman"/>
          <w:szCs w:val="24"/>
          <w:u w:val="single"/>
        </w:rPr>
      </w:pPr>
      <w:r>
        <w:rPr>
          <w:rFonts w:ascii="宋体" w:hAnsi="宋体" w:eastAsia="宋体" w:cs="Times New Roman"/>
          <w:kern w:val="0"/>
          <w:szCs w:val="24"/>
        </w:rPr>
        <w:t>（</w:t>
      </w:r>
      <w:r>
        <w:rPr>
          <w:rFonts w:hint="eastAsia" w:ascii="宋体" w:hAnsi="宋体" w:eastAsia="宋体" w:cs="Times New Roman"/>
          <w:kern w:val="0"/>
          <w:szCs w:val="24"/>
        </w:rPr>
        <w:t>10</w:t>
      </w:r>
      <w:r>
        <w:rPr>
          <w:rFonts w:ascii="宋体" w:hAnsi="宋体" w:eastAsia="宋体" w:cs="Times New Roman"/>
          <w:kern w:val="0"/>
          <w:szCs w:val="24"/>
        </w:rPr>
        <w:t>）承包人应履行的其他义务：</w:t>
      </w:r>
    </w:p>
    <w:p w14:paraId="6D6BF903">
      <w:pPr>
        <w:spacing w:line="360" w:lineRule="exact"/>
        <w:ind w:firstLine="525" w:firstLineChars="250"/>
        <w:rPr>
          <w:rFonts w:ascii="Times New Roman" w:hAnsi="Times New Roman" w:eastAsia="宋体" w:cs="Times New Roman"/>
          <w:szCs w:val="24"/>
          <w:u w:val="single"/>
        </w:rPr>
      </w:pPr>
      <w:r>
        <w:rPr>
          <w:rFonts w:hint="eastAsia" w:ascii="Times New Roman" w:hAnsi="Times New Roman" w:eastAsia="宋体" w:cs="Times New Roman"/>
          <w:szCs w:val="24"/>
          <w:u w:val="single"/>
        </w:rPr>
        <w:t>a</w:t>
      </w:r>
      <w:r>
        <w:rPr>
          <w:rFonts w:ascii="Times New Roman" w:hAnsi="Times New Roman" w:eastAsia="宋体" w:cs="Times New Roman"/>
          <w:szCs w:val="24"/>
          <w:u w:val="single"/>
        </w:rPr>
        <w:t>.</w:t>
      </w:r>
      <w:r>
        <w:rPr>
          <w:rFonts w:ascii="宋体" w:hAnsi="宋体" w:eastAsia="宋体" w:cs="Times New Roman"/>
          <w:szCs w:val="24"/>
          <w:u w:val="single"/>
        </w:rPr>
        <w:t>在施工中必须严格按照规范操作，并针对邻近建筑物实际情况，采取相应防护措施，对不按规范要求施工或未采取防护措施的，造成的损失由承包人承担。</w:t>
      </w:r>
    </w:p>
    <w:p w14:paraId="623CD063">
      <w:pPr>
        <w:spacing w:line="360" w:lineRule="exact"/>
        <w:ind w:firstLine="525" w:firstLineChars="250"/>
        <w:rPr>
          <w:rFonts w:ascii="Times New Roman" w:hAnsi="Times New Roman" w:eastAsia="宋体" w:cs="Times New Roman"/>
          <w:szCs w:val="24"/>
          <w:u w:val="single"/>
        </w:rPr>
      </w:pPr>
      <w:r>
        <w:rPr>
          <w:rFonts w:hint="eastAsia" w:ascii="Times New Roman" w:hAnsi="Times New Roman" w:eastAsia="宋体" w:cs="Times New Roman"/>
          <w:szCs w:val="24"/>
          <w:u w:val="single"/>
        </w:rPr>
        <w:t>b</w:t>
      </w:r>
      <w:r>
        <w:rPr>
          <w:rFonts w:ascii="Times New Roman" w:hAnsi="Times New Roman" w:eastAsia="宋体" w:cs="Times New Roman"/>
          <w:szCs w:val="24"/>
          <w:u w:val="single"/>
        </w:rPr>
        <w:t>.</w:t>
      </w:r>
      <w:r>
        <w:rPr>
          <w:rFonts w:ascii="宋体" w:hAnsi="宋体" w:eastAsia="宋体" w:cs="Times New Roman"/>
          <w:szCs w:val="24"/>
          <w:u w:val="single"/>
        </w:rPr>
        <w:t>本项目施工安全由承包人负总责。</w:t>
      </w:r>
    </w:p>
    <w:p w14:paraId="5213602C">
      <w:pPr>
        <w:spacing w:line="360" w:lineRule="exact"/>
        <w:ind w:firstLine="531" w:firstLineChars="253"/>
        <w:rPr>
          <w:rFonts w:ascii="Times New Roman" w:hAnsi="Times New Roman" w:eastAsia="宋体" w:cs="Times New Roman"/>
          <w:kern w:val="0"/>
          <w:szCs w:val="24"/>
          <w:u w:val="single"/>
        </w:rPr>
      </w:pPr>
      <w:r>
        <w:rPr>
          <w:rFonts w:hint="eastAsia" w:ascii="Times New Roman" w:hAnsi="Times New Roman" w:eastAsia="宋体" w:cs="Times New Roman"/>
          <w:szCs w:val="24"/>
          <w:u w:val="single"/>
        </w:rPr>
        <w:t>c</w:t>
      </w:r>
      <w:r>
        <w:rPr>
          <w:rFonts w:ascii="Times New Roman" w:hAnsi="Times New Roman" w:eastAsia="宋体" w:cs="Times New Roman"/>
          <w:szCs w:val="24"/>
          <w:u w:val="single"/>
        </w:rPr>
        <w:t>.</w:t>
      </w:r>
      <w:r>
        <w:rPr>
          <w:rFonts w:ascii="宋体" w:hAnsi="宋体" w:eastAsia="宋体" w:cs="Times New Roman"/>
          <w:szCs w:val="24"/>
          <w:u w:val="single"/>
        </w:rPr>
        <w:t>按当地有关部门要求</w:t>
      </w:r>
      <w:r>
        <w:rPr>
          <w:rFonts w:hint="eastAsia" w:ascii="宋体" w:hAnsi="宋体" w:eastAsia="宋体" w:cs="Times New Roman"/>
          <w:szCs w:val="24"/>
          <w:u w:val="single"/>
        </w:rPr>
        <w:t>，</w:t>
      </w:r>
      <w:r>
        <w:rPr>
          <w:rFonts w:ascii="宋体" w:hAnsi="宋体" w:eastAsia="宋体" w:cs="Times New Roman"/>
          <w:kern w:val="0"/>
          <w:szCs w:val="24"/>
          <w:u w:val="single"/>
        </w:rPr>
        <w:t>由承包人办理的有关施工场地交通、环卫和施工噪音管理等手续。</w:t>
      </w:r>
    </w:p>
    <w:p w14:paraId="4C5D5BA3">
      <w:pPr>
        <w:spacing w:line="360" w:lineRule="exact"/>
        <w:ind w:firstLine="531" w:firstLineChars="253"/>
        <w:rPr>
          <w:rFonts w:hint="eastAsia" w:ascii="宋体" w:hAnsi="宋体" w:eastAsia="宋体" w:cs="宋体"/>
          <w:kern w:val="0"/>
          <w:szCs w:val="24"/>
          <w:u w:val="single"/>
        </w:rPr>
      </w:pPr>
      <w:r>
        <w:rPr>
          <w:rFonts w:hint="eastAsia" w:ascii="宋体" w:hAnsi="宋体" w:eastAsia="宋体" w:cs="宋体"/>
          <w:kern w:val="0"/>
          <w:szCs w:val="24"/>
        </w:rPr>
        <w:t>（11）承包人诚实信用的承诺：</w:t>
      </w:r>
      <w:r>
        <w:rPr>
          <w:rFonts w:hint="eastAsia" w:ascii="宋体" w:hAnsi="宋体" w:eastAsia="宋体" w:cs="宋体"/>
          <w:kern w:val="0"/>
          <w:szCs w:val="24"/>
          <w:u w:val="single"/>
        </w:rPr>
        <w:t xml:space="preserve">   /   。</w:t>
      </w:r>
    </w:p>
    <w:p w14:paraId="34916C62">
      <w:pPr>
        <w:spacing w:line="360" w:lineRule="exact"/>
        <w:ind w:firstLine="531" w:firstLineChars="253"/>
        <w:rPr>
          <w:rFonts w:hint="eastAsia" w:ascii="宋体" w:hAnsi="宋体" w:eastAsia="宋体" w:cs="宋体"/>
          <w:szCs w:val="24"/>
          <w:u w:val="single"/>
        </w:rPr>
      </w:pPr>
      <w:r>
        <w:rPr>
          <w:rFonts w:hint="eastAsia" w:ascii="宋体" w:hAnsi="宋体" w:eastAsia="宋体" w:cs="宋体"/>
          <w:kern w:val="0"/>
          <w:szCs w:val="24"/>
        </w:rPr>
        <w:t>（12）承包人使用新技术、工法、工艺的承诺</w:t>
      </w:r>
      <w:r>
        <w:rPr>
          <w:rFonts w:hint="eastAsia" w:ascii="宋体" w:hAnsi="宋体" w:eastAsia="宋体" w:cs="宋体"/>
          <w:kern w:val="0"/>
          <w:szCs w:val="24"/>
          <w:u w:val="single"/>
        </w:rPr>
        <w:t>：  /   。</w:t>
      </w:r>
    </w:p>
    <w:p w14:paraId="49F7C238">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3.2 </w:t>
      </w:r>
      <w:r>
        <w:rPr>
          <w:rFonts w:ascii="黑体" w:hAnsi="黑体" w:eastAsia="黑体" w:cs="Times New Roman"/>
          <w:szCs w:val="24"/>
        </w:rPr>
        <w:t>项目经理</w:t>
      </w:r>
    </w:p>
    <w:p w14:paraId="40E2B749">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kern w:val="0"/>
          <w:szCs w:val="24"/>
        </w:rPr>
        <w:t xml:space="preserve">3.2.1 </w:t>
      </w:r>
      <w:r>
        <w:rPr>
          <w:rFonts w:ascii="宋体" w:hAnsi="宋体" w:eastAsia="宋体" w:cs="Times New Roman"/>
          <w:szCs w:val="24"/>
        </w:rPr>
        <w:t>项目经理：</w:t>
      </w:r>
    </w:p>
    <w:p w14:paraId="549E364C">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姓</w:t>
      </w:r>
      <w:r>
        <w:rPr>
          <w:rFonts w:ascii="Times New Roman" w:hAnsi="Times New Roman" w:eastAsia="宋体" w:cs="Times New Roman"/>
          <w:szCs w:val="24"/>
        </w:rPr>
        <w:t xml:space="preserve">    </w:t>
      </w:r>
      <w:r>
        <w:rPr>
          <w:rFonts w:ascii="宋体" w:hAnsi="宋体" w:eastAsia="宋体" w:cs="Times New Roman"/>
          <w:szCs w:val="24"/>
        </w:rPr>
        <w:t>名：</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5495E616">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身份证号：</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15A8CA16">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建造师执业资格等级：</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075D7DA5">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建造师注册证书号：</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28A9D9A4">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建造师执业印章号：</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170F32FC">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安全生产考核合格证书号：</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3D23AF2F">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联系电话：</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1D047C69">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电子信箱：</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502595EB">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通信地址：</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4CF5470A">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承包人对项目经理的授权范围如下：</w:t>
      </w:r>
      <w:r>
        <w:rPr>
          <w:rFonts w:hint="eastAsia" w:ascii="宋体" w:hAnsi="宋体" w:eastAsia="宋体" w:cs="Times New Roman"/>
          <w:szCs w:val="24"/>
        </w:rPr>
        <w:t xml:space="preserve">  </w:t>
      </w:r>
      <w:r>
        <w:rPr>
          <w:rFonts w:hint="eastAsia" w:ascii="宋体" w:hAnsi="宋体" w:eastAsia="宋体" w:cs="Times New Roman"/>
          <w:szCs w:val="24"/>
          <w:u w:val="single"/>
        </w:rPr>
        <w:t xml:space="preserve">                   </w:t>
      </w:r>
      <w:r>
        <w:rPr>
          <w:rFonts w:ascii="宋体" w:hAnsi="宋体" w:eastAsia="宋体" w:cs="Times New Roman"/>
          <w:szCs w:val="24"/>
        </w:rPr>
        <w:t>。</w:t>
      </w:r>
    </w:p>
    <w:p w14:paraId="78B32F55">
      <w:pPr>
        <w:spacing w:line="360" w:lineRule="exact"/>
        <w:ind w:firstLine="420" w:firstLineChars="200"/>
        <w:rPr>
          <w:rFonts w:hint="eastAsia" w:ascii="宋体" w:hAnsi="宋体" w:eastAsia="宋体" w:cs="Times New Roman"/>
          <w:kern w:val="0"/>
          <w:szCs w:val="24"/>
          <w:u w:val="single"/>
        </w:rPr>
      </w:pPr>
      <w:r>
        <w:rPr>
          <w:rFonts w:ascii="宋体" w:hAnsi="宋体" w:eastAsia="宋体" w:cs="Times New Roman"/>
          <w:kern w:val="0"/>
          <w:szCs w:val="24"/>
        </w:rPr>
        <w:t>关于项目经理每月在施工现场的时间要求：</w:t>
      </w:r>
      <w:r>
        <w:rPr>
          <w:rFonts w:hint="eastAsia" w:ascii="宋体" w:hAnsi="宋体" w:eastAsia="宋体" w:cs="Times New Roman"/>
          <w:kern w:val="0"/>
          <w:szCs w:val="24"/>
          <w:u w:val="single"/>
        </w:rPr>
        <w:t>月到岗须不少于24天；</w:t>
      </w:r>
    </w:p>
    <w:p w14:paraId="0D2BD4E1">
      <w:pPr>
        <w:spacing w:line="360" w:lineRule="exact"/>
        <w:ind w:firstLine="420" w:firstLineChars="200"/>
        <w:rPr>
          <w:rFonts w:ascii="Times New Roman" w:hAnsi="Times New Roman" w:eastAsia="宋体" w:cs="Times New Roman"/>
          <w:kern w:val="0"/>
          <w:szCs w:val="24"/>
        </w:rPr>
      </w:pPr>
      <w:r>
        <w:rPr>
          <w:rFonts w:hint="eastAsia" w:ascii="宋体" w:hAnsi="宋体" w:eastAsia="宋体" w:cs="Times New Roman"/>
          <w:kern w:val="0"/>
          <w:szCs w:val="24"/>
          <w:u w:val="single"/>
        </w:rPr>
        <w:t>月到岗达不到约定天数，按相关行业主管部发布的规定处理；遇有工程检查、验收或参观等活动时，无特殊原因不得离开施工现场</w:t>
      </w:r>
      <w:r>
        <w:rPr>
          <w:rFonts w:ascii="宋体" w:hAnsi="宋体" w:eastAsia="宋体" w:cs="Times New Roman"/>
          <w:szCs w:val="24"/>
        </w:rPr>
        <w:t>。</w:t>
      </w:r>
    </w:p>
    <w:p w14:paraId="65927F19">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承包人未提交劳动合同，以及没有为项目经理缴纳社会保险证明的违约责任：</w:t>
      </w:r>
      <w:r>
        <w:rPr>
          <w:rFonts w:hint="eastAsia" w:ascii="宋体" w:hAnsi="宋体" w:eastAsia="宋体" w:cs="Times New Roman"/>
          <w:kern w:val="0"/>
          <w:szCs w:val="24"/>
          <w:u w:val="single"/>
        </w:rPr>
        <w:t>按通用合同条款。</w:t>
      </w:r>
    </w:p>
    <w:p w14:paraId="4022C73C">
      <w:pPr>
        <w:spacing w:line="360" w:lineRule="exact"/>
        <w:ind w:firstLine="420" w:firstLineChars="200"/>
        <w:rPr>
          <w:rFonts w:ascii="Times New Roman" w:hAnsi="Times New Roman" w:eastAsia="宋体" w:cs="Times New Roman"/>
          <w:szCs w:val="24"/>
        </w:rPr>
      </w:pPr>
      <w:r>
        <w:rPr>
          <w:rFonts w:ascii="宋体" w:hAnsi="宋体" w:eastAsia="宋体" w:cs="Times New Roman"/>
          <w:kern w:val="0"/>
          <w:szCs w:val="24"/>
        </w:rPr>
        <w:t>项目经理未经批准，擅自离开施工现场的违约责任：</w:t>
      </w:r>
      <w:r>
        <w:rPr>
          <w:rFonts w:hint="eastAsia" w:ascii="宋体" w:hAnsi="宋体" w:eastAsia="宋体" w:cs="Times New Roman"/>
          <w:szCs w:val="24"/>
          <w:u w:val="single"/>
        </w:rPr>
        <w:t>月到岗须达到</w:t>
      </w:r>
      <w:r>
        <w:rPr>
          <w:rFonts w:hint="eastAsia" w:ascii="仿宋_GB2312" w:hAnsi="宋体" w:eastAsia="宋体" w:cs="Times New Roman"/>
          <w:szCs w:val="24"/>
          <w:u w:val="single"/>
        </w:rPr>
        <w:t>24</w:t>
      </w:r>
      <w:r>
        <w:rPr>
          <w:rFonts w:hint="eastAsia" w:ascii="宋体" w:hAnsi="宋体" w:eastAsia="宋体" w:cs="Times New Roman"/>
          <w:szCs w:val="24"/>
          <w:u w:val="single"/>
        </w:rPr>
        <w:t>天</w:t>
      </w:r>
      <w:r>
        <w:rPr>
          <w:rFonts w:ascii="宋体" w:hAnsi="宋体" w:eastAsia="宋体" w:cs="Times New Roman"/>
          <w:szCs w:val="24"/>
          <w:u w:val="single"/>
        </w:rPr>
        <w:t>，不足天数，每天扣除</w:t>
      </w:r>
      <w:r>
        <w:rPr>
          <w:rFonts w:hint="eastAsia" w:ascii="宋体" w:hAnsi="宋体" w:eastAsia="宋体" w:cs="Times New Roman"/>
          <w:szCs w:val="24"/>
          <w:u w:val="single"/>
        </w:rPr>
        <w:t>1000元</w:t>
      </w:r>
      <w:r>
        <w:rPr>
          <w:rFonts w:ascii="宋体" w:hAnsi="宋体" w:eastAsia="宋体" w:cs="Times New Roman"/>
          <w:szCs w:val="24"/>
          <w:u w:val="single"/>
        </w:rPr>
        <w:t>，在</w:t>
      </w:r>
      <w:r>
        <w:rPr>
          <w:rFonts w:hint="eastAsia" w:ascii="宋体" w:hAnsi="宋体" w:eastAsia="宋体" w:cs="Times New Roman"/>
          <w:szCs w:val="24"/>
          <w:u w:val="single"/>
        </w:rPr>
        <w:t>结算时</w:t>
      </w:r>
      <w:r>
        <w:rPr>
          <w:rFonts w:ascii="宋体" w:hAnsi="宋体" w:eastAsia="宋体" w:cs="Times New Roman"/>
          <w:szCs w:val="24"/>
          <w:u w:val="single"/>
        </w:rPr>
        <w:t>扣除；另遇有工程检查、验收或参观等活动时，无特殊原因不得</w:t>
      </w:r>
      <w:r>
        <w:rPr>
          <w:rFonts w:ascii="宋体" w:hAnsi="宋体" w:eastAsia="宋体" w:cs="Times New Roman"/>
          <w:kern w:val="0"/>
          <w:szCs w:val="24"/>
          <w:u w:val="single"/>
        </w:rPr>
        <w:t>离开施工现场。</w:t>
      </w:r>
    </w:p>
    <w:p w14:paraId="11422AE2">
      <w:pPr>
        <w:autoSpaceDE w:val="0"/>
        <w:autoSpaceDN w:val="0"/>
        <w:spacing w:line="360" w:lineRule="exact"/>
        <w:ind w:firstLine="420" w:firstLineChars="200"/>
        <w:rPr>
          <w:rFonts w:hint="eastAsia" w:ascii="宋体" w:hAnsi="宋体" w:eastAsia="宋体" w:cs="Times New Roman"/>
          <w:szCs w:val="24"/>
          <w:u w:val="single"/>
        </w:rPr>
      </w:pPr>
      <w:r>
        <w:rPr>
          <w:rFonts w:ascii="Times New Roman" w:hAnsi="Times New Roman" w:eastAsia="宋体" w:cs="Times New Roman"/>
          <w:szCs w:val="24"/>
        </w:rPr>
        <w:t xml:space="preserve">3.2.3 </w:t>
      </w:r>
      <w:r>
        <w:rPr>
          <w:rFonts w:ascii="宋体" w:hAnsi="宋体" w:eastAsia="宋体" w:cs="Times New Roman"/>
          <w:szCs w:val="24"/>
        </w:rPr>
        <w:t>承包人擅自更换项目经理的违约责任：</w:t>
      </w:r>
      <w:r>
        <w:rPr>
          <w:rFonts w:hint="eastAsia" w:ascii="宋体" w:hAnsi="宋体" w:eastAsia="宋体" w:cs="Times New Roman"/>
          <w:szCs w:val="24"/>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w:t>
      </w:r>
      <w:r>
        <w:rPr>
          <w:rFonts w:ascii="宋体" w:hAnsi="宋体" w:eastAsia="宋体" w:cs="Times New Roman"/>
          <w:szCs w:val="24"/>
          <w:u w:val="single"/>
        </w:rPr>
        <w:t>承包人擅自更换</w:t>
      </w:r>
      <w:r>
        <w:rPr>
          <w:rFonts w:hint="eastAsia" w:ascii="宋体" w:hAnsi="宋体" w:eastAsia="宋体" w:cs="Times New Roman"/>
          <w:szCs w:val="24"/>
          <w:u w:val="single"/>
        </w:rPr>
        <w:t>，按每更换一人次扣除5000元；及至发包人可通知承包人全部解除合同，并要求承包人赔偿发包人损失。</w:t>
      </w:r>
    </w:p>
    <w:p w14:paraId="3273CAA9">
      <w:pPr>
        <w:spacing w:line="360" w:lineRule="exact"/>
        <w:ind w:firstLine="420" w:firstLineChars="200"/>
        <w:rPr>
          <w:rFonts w:ascii="仿宋_GB2312" w:hAnsi="Times New Roman" w:eastAsia="仿宋_GB2312" w:cs="Times New Roman"/>
          <w:szCs w:val="24"/>
        </w:rPr>
      </w:pPr>
      <w:r>
        <w:rPr>
          <w:rFonts w:ascii="Times New Roman" w:hAnsi="Times New Roman" w:eastAsia="宋体" w:cs="Times New Roman"/>
          <w:szCs w:val="24"/>
        </w:rPr>
        <w:t xml:space="preserve">3.2.4 </w:t>
      </w:r>
      <w:r>
        <w:rPr>
          <w:rFonts w:ascii="宋体" w:hAnsi="宋体" w:eastAsia="宋体" w:cs="Times New Roman"/>
          <w:szCs w:val="24"/>
        </w:rPr>
        <w:t>承包人无正当理由拒绝更换项目经理的违约责任：</w:t>
      </w:r>
      <w:r>
        <w:rPr>
          <w:rFonts w:hint="eastAsia" w:ascii="宋体" w:hAnsi="宋体" w:eastAsia="宋体" w:cs="Times New Roman"/>
          <w:szCs w:val="24"/>
          <w:u w:val="single"/>
        </w:rPr>
        <w:t>发包人可通知承包人全部解除合同，并要求承包人赔偿发包人损失。</w:t>
      </w:r>
    </w:p>
    <w:p w14:paraId="1F3295D4">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3.3 </w:t>
      </w:r>
      <w:r>
        <w:rPr>
          <w:rFonts w:ascii="黑体" w:hAnsi="黑体" w:eastAsia="黑体" w:cs="Times New Roman"/>
          <w:szCs w:val="24"/>
        </w:rPr>
        <w:t>承包人人员</w:t>
      </w:r>
    </w:p>
    <w:p w14:paraId="72AAB716">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3.3.1 </w:t>
      </w:r>
      <w:r>
        <w:rPr>
          <w:rFonts w:ascii="宋体" w:hAnsi="宋体" w:eastAsia="宋体" w:cs="Times New Roman"/>
          <w:szCs w:val="24"/>
        </w:rPr>
        <w:t>承包人提交项目管理机构及施工现场管理人员安排报告的期限：</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接到开工通知（或确定开工日期）后7天内 </w:t>
      </w:r>
      <w:r>
        <w:rPr>
          <w:rFonts w:ascii="宋体" w:hAnsi="宋体" w:eastAsia="宋体" w:cs="Times New Roman"/>
          <w:szCs w:val="24"/>
        </w:rPr>
        <w:t>。</w:t>
      </w:r>
    </w:p>
    <w:p w14:paraId="1A3EB55D">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3.3.3 </w:t>
      </w:r>
      <w:r>
        <w:rPr>
          <w:rFonts w:ascii="宋体" w:hAnsi="宋体" w:eastAsia="宋体" w:cs="Times New Roman"/>
          <w:szCs w:val="24"/>
        </w:rPr>
        <w:t>承包人无正当理由拒绝撤换主要施工管理人员的违约责任：</w:t>
      </w:r>
      <w:r>
        <w:rPr>
          <w:rFonts w:hint="eastAsia" w:ascii="宋体" w:hAnsi="宋体" w:eastAsia="宋体" w:cs="Times New Roman"/>
          <w:szCs w:val="24"/>
          <w:u w:val="single"/>
        </w:rPr>
        <w:t>发包人可通知承包人全部解除合同，并要求承包人赔偿发包人损失。</w:t>
      </w:r>
    </w:p>
    <w:p w14:paraId="72C079B0">
      <w:pPr>
        <w:spacing w:line="360" w:lineRule="exact"/>
        <w:ind w:firstLine="357" w:firstLineChars="170"/>
        <w:rPr>
          <w:rFonts w:ascii="Times New Roman" w:hAnsi="Times New Roman" w:eastAsia="宋体" w:cs="Times New Roman"/>
          <w:szCs w:val="24"/>
          <w:u w:val="single"/>
        </w:rPr>
      </w:pPr>
      <w:r>
        <w:rPr>
          <w:rFonts w:ascii="Times New Roman" w:hAnsi="Times New Roman" w:eastAsia="宋体" w:cs="Times New Roman"/>
          <w:szCs w:val="24"/>
        </w:rPr>
        <w:t xml:space="preserve">3.3.4 </w:t>
      </w:r>
      <w:r>
        <w:rPr>
          <w:rFonts w:ascii="宋体" w:hAnsi="宋体" w:eastAsia="宋体" w:cs="Times New Roman"/>
          <w:szCs w:val="24"/>
        </w:rPr>
        <w:t>承包人主要施工管理人员离开施工现场的批准要求：</w:t>
      </w:r>
      <w:r>
        <w:rPr>
          <w:rFonts w:hint="eastAsia" w:ascii="宋体" w:hAnsi="宋体" w:eastAsia="宋体" w:cs="Times New Roman"/>
          <w:szCs w:val="24"/>
          <w:u w:val="single"/>
        </w:rPr>
        <w:t>按通用条款执行；另遇有工程检查、验收或参观等活动时，无特殊原因不得请假</w:t>
      </w:r>
      <w:r>
        <w:rPr>
          <w:rFonts w:ascii="宋体" w:hAnsi="宋体" w:eastAsia="宋体" w:cs="Times New Roman"/>
          <w:szCs w:val="24"/>
        </w:rPr>
        <w:t>。</w:t>
      </w:r>
    </w:p>
    <w:p w14:paraId="5D094B06">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3.3.5</w:t>
      </w:r>
      <w:r>
        <w:rPr>
          <w:rFonts w:ascii="宋体" w:hAnsi="宋体" w:eastAsia="宋体" w:cs="Times New Roman"/>
          <w:szCs w:val="24"/>
        </w:rPr>
        <w:t>承包人擅自更换主要施工管理人员的违约责任：</w:t>
      </w:r>
      <w:r>
        <w:rPr>
          <w:rFonts w:hint="eastAsia" w:ascii="宋体" w:hAnsi="宋体" w:eastAsia="宋体" w:cs="Times New Roman"/>
          <w:szCs w:val="24"/>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应不低于原技术负责人；如承包人擅自更换，按技术负责人每更换一人次扣除5000元；其他关键岗位人员每更换一人次扣除3000元。</w:t>
      </w:r>
    </w:p>
    <w:p w14:paraId="48900935">
      <w:pPr>
        <w:spacing w:line="360" w:lineRule="exact"/>
        <w:ind w:firstLine="420" w:firstLineChars="200"/>
        <w:rPr>
          <w:rFonts w:ascii="Times New Roman" w:hAnsi="Times New Roman" w:eastAsia="宋体" w:cs="Times New Roman"/>
          <w:szCs w:val="24"/>
          <w:u w:val="single"/>
        </w:rPr>
      </w:pPr>
      <w:r>
        <w:rPr>
          <w:rFonts w:ascii="宋体" w:hAnsi="宋体" w:eastAsia="宋体" w:cs="Times New Roman"/>
          <w:szCs w:val="24"/>
        </w:rPr>
        <w:t>承包人主要施工管理人员擅自离开施工现场的违约责任：</w:t>
      </w:r>
      <w:r>
        <w:rPr>
          <w:rFonts w:hint="eastAsia" w:ascii="宋体" w:hAnsi="宋体" w:eastAsia="宋体" w:cs="Times New Roman"/>
          <w:szCs w:val="24"/>
          <w:u w:val="single"/>
        </w:rPr>
        <w:t>关键岗位人员到岗达不到24天的，</w:t>
      </w:r>
      <w:r>
        <w:rPr>
          <w:rFonts w:ascii="宋体" w:hAnsi="宋体" w:eastAsia="宋体" w:cs="Times New Roman"/>
          <w:szCs w:val="24"/>
          <w:u w:val="single"/>
        </w:rPr>
        <w:t>不足天数每人次每天扣除</w:t>
      </w:r>
      <w:r>
        <w:rPr>
          <w:rFonts w:hint="eastAsia" w:ascii="宋体" w:hAnsi="宋体" w:eastAsia="宋体" w:cs="Times New Roman"/>
          <w:szCs w:val="24"/>
          <w:u w:val="single"/>
        </w:rPr>
        <w:t>1000元。</w:t>
      </w:r>
    </w:p>
    <w:p w14:paraId="58BE22E6">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3</w:t>
      </w:r>
      <w:bookmarkStart w:id="92" w:name="_Toc312677988"/>
      <w:bookmarkEnd w:id="92"/>
      <w:bookmarkStart w:id="93" w:name="_Toc297216151"/>
      <w:bookmarkEnd w:id="93"/>
      <w:bookmarkStart w:id="94" w:name="_Toc296503159"/>
      <w:bookmarkEnd w:id="94"/>
      <w:bookmarkStart w:id="95" w:name="_Toc297123492"/>
      <w:bookmarkEnd w:id="95"/>
      <w:bookmarkStart w:id="96" w:name="_Toc303539102"/>
      <w:bookmarkEnd w:id="96"/>
      <w:bookmarkStart w:id="97" w:name="_Toc292559364"/>
      <w:bookmarkEnd w:id="97"/>
      <w:bookmarkStart w:id="98" w:name="_Toc292559869"/>
      <w:bookmarkEnd w:id="98"/>
      <w:bookmarkStart w:id="99" w:name="_Toc297120459"/>
      <w:bookmarkEnd w:id="99"/>
      <w:bookmarkStart w:id="100" w:name="_Toc297048345"/>
      <w:bookmarkEnd w:id="100"/>
      <w:bookmarkStart w:id="101" w:name="_Toc296347158"/>
      <w:bookmarkEnd w:id="101"/>
      <w:bookmarkStart w:id="102" w:name="_Toc304295523"/>
      <w:bookmarkEnd w:id="102"/>
      <w:bookmarkStart w:id="103" w:name="_Toc296891199"/>
      <w:bookmarkEnd w:id="103"/>
      <w:bookmarkStart w:id="104" w:name="_Toc296944498"/>
      <w:bookmarkEnd w:id="104"/>
      <w:bookmarkStart w:id="105" w:name="_Toc296890987"/>
      <w:bookmarkEnd w:id="105"/>
      <w:bookmarkStart w:id="106" w:name="_Toc296346660"/>
      <w:bookmarkEnd w:id="106"/>
      <w:bookmarkStart w:id="107" w:name="_Toc300934945"/>
      <w:r>
        <w:rPr>
          <w:rFonts w:ascii="Times New Roman" w:hAnsi="Times New Roman" w:eastAsia="黑体" w:cs="Times New Roman"/>
          <w:szCs w:val="24"/>
        </w:rPr>
        <w:t xml:space="preserve">.5 </w:t>
      </w:r>
      <w:r>
        <w:rPr>
          <w:rFonts w:ascii="黑体" w:hAnsi="黑体" w:eastAsia="黑体" w:cs="Times New Roman"/>
          <w:szCs w:val="24"/>
        </w:rPr>
        <w:t>分包</w:t>
      </w:r>
      <w:bookmarkEnd w:id="107"/>
    </w:p>
    <w:p w14:paraId="114DB9EF">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3</w:t>
      </w:r>
      <w:bookmarkStart w:id="108" w:name="_Toc300934946"/>
      <w:bookmarkEnd w:id="108"/>
      <w:bookmarkStart w:id="109" w:name="_Toc296346661"/>
      <w:bookmarkEnd w:id="109"/>
      <w:bookmarkStart w:id="110" w:name="_Toc312677989"/>
      <w:bookmarkEnd w:id="110"/>
      <w:bookmarkStart w:id="111" w:name="_Toc303539103"/>
      <w:bookmarkEnd w:id="111"/>
      <w:bookmarkStart w:id="112" w:name="_Toc296503160"/>
      <w:bookmarkEnd w:id="112"/>
      <w:bookmarkStart w:id="113" w:name="_Toc296891200"/>
      <w:bookmarkEnd w:id="113"/>
      <w:bookmarkStart w:id="114" w:name="_Toc297123493"/>
      <w:bookmarkEnd w:id="114"/>
      <w:bookmarkStart w:id="115" w:name="_Toc296347159"/>
      <w:bookmarkEnd w:id="115"/>
      <w:bookmarkStart w:id="116" w:name="_Toc297216152"/>
      <w:bookmarkEnd w:id="116"/>
      <w:bookmarkStart w:id="117" w:name="_Toc297048346"/>
      <w:bookmarkEnd w:id="117"/>
      <w:bookmarkStart w:id="118" w:name="_Toc304295524"/>
      <w:bookmarkEnd w:id="118"/>
      <w:bookmarkStart w:id="119" w:name="_Toc292559365"/>
      <w:bookmarkEnd w:id="119"/>
      <w:bookmarkStart w:id="120" w:name="_Toc292559870"/>
      <w:bookmarkEnd w:id="120"/>
      <w:bookmarkStart w:id="121" w:name="_Toc318581158"/>
      <w:bookmarkEnd w:id="121"/>
      <w:bookmarkStart w:id="122" w:name="_Toc296944499"/>
      <w:bookmarkEnd w:id="122"/>
      <w:bookmarkStart w:id="123" w:name="_Toc296890988"/>
      <w:bookmarkEnd w:id="123"/>
      <w:bookmarkStart w:id="124" w:name="_Toc297120460"/>
      <w:r>
        <w:rPr>
          <w:rFonts w:ascii="Times New Roman" w:hAnsi="Times New Roman" w:eastAsia="宋体" w:cs="Times New Roman"/>
          <w:szCs w:val="24"/>
        </w:rPr>
        <w:t xml:space="preserve">.5.1 </w:t>
      </w:r>
      <w:r>
        <w:rPr>
          <w:rFonts w:ascii="宋体" w:hAnsi="宋体" w:eastAsia="宋体" w:cs="Times New Roman"/>
          <w:szCs w:val="24"/>
        </w:rPr>
        <w:t>分包的一般约定</w:t>
      </w:r>
      <w:bookmarkEnd w:id="124"/>
    </w:p>
    <w:p w14:paraId="6DE2BA46">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不允许分包</w:t>
      </w:r>
      <w:r>
        <w:rPr>
          <w:rFonts w:ascii="宋体" w:hAnsi="宋体" w:eastAsia="宋体" w:cs="Times New Roman"/>
          <w:szCs w:val="24"/>
        </w:rPr>
        <w:t>。</w:t>
      </w:r>
    </w:p>
    <w:p w14:paraId="2E10EEF7">
      <w:pPr>
        <w:spacing w:line="360" w:lineRule="exact"/>
        <w:ind w:firstLine="420" w:firstLineChars="200"/>
        <w:rPr>
          <w:rFonts w:ascii="Times New Roman" w:hAnsi="Times New Roman" w:eastAsia="宋体" w:cs="Times New Roman"/>
          <w:szCs w:val="24"/>
          <w:u w:val="single"/>
        </w:rPr>
      </w:pPr>
      <w:r>
        <w:rPr>
          <w:rFonts w:ascii="宋体" w:hAnsi="宋体" w:eastAsia="宋体" w:cs="Times New Roman"/>
          <w:szCs w:val="24"/>
        </w:rPr>
        <w:t>主体结构、关键性工作的范围：</w:t>
      </w:r>
      <w:r>
        <w:rPr>
          <w:rFonts w:hint="eastAsia" w:ascii="MingLiU_HKSCS" w:hAnsi="MingLiU_HKSCS" w:eastAsia="MingLiU_HKSCS" w:cs="MingLiU_HKSCS"/>
          <w:szCs w:val="24"/>
          <w:u w:val="single"/>
        </w:rPr>
        <w:t xml:space="preserve">   </w:t>
      </w:r>
      <w:r>
        <w:rPr>
          <w:rFonts w:hint="eastAsia" w:ascii="Times New Roman" w:hAnsi="Times New Roman" w:eastAsia="宋体" w:cs="Times New Roman"/>
          <w:szCs w:val="24"/>
          <w:u w:val="single"/>
        </w:rPr>
        <w:t>工程主体结构、关键性工作</w:t>
      </w:r>
      <w:r>
        <w:rPr>
          <w:rFonts w:hint="eastAsia" w:ascii="宋体" w:hAnsi="宋体" w:eastAsia="宋体" w:cs="Times New Roman"/>
          <w:szCs w:val="24"/>
          <w:u w:val="single"/>
        </w:rPr>
        <w:t xml:space="preserve">   </w:t>
      </w:r>
      <w:r>
        <w:rPr>
          <w:rFonts w:ascii="宋体" w:hAnsi="宋体" w:eastAsia="宋体" w:cs="Times New Roman"/>
          <w:szCs w:val="24"/>
        </w:rPr>
        <w:t>。</w:t>
      </w:r>
      <w:bookmarkStart w:id="125" w:name="_Toc296890989"/>
      <w:bookmarkEnd w:id="125"/>
      <w:bookmarkStart w:id="126" w:name="_Toc297216153"/>
      <w:bookmarkEnd w:id="126"/>
      <w:bookmarkStart w:id="127" w:name="_Toc297123494"/>
      <w:bookmarkEnd w:id="127"/>
      <w:bookmarkStart w:id="128" w:name="_Toc296891201"/>
      <w:bookmarkEnd w:id="128"/>
      <w:bookmarkStart w:id="129" w:name="_Toc296503161"/>
      <w:bookmarkEnd w:id="129"/>
      <w:bookmarkStart w:id="130" w:name="_Toc303539104"/>
      <w:bookmarkEnd w:id="130"/>
      <w:bookmarkStart w:id="131" w:name="_Toc297048347"/>
      <w:bookmarkEnd w:id="131"/>
      <w:bookmarkStart w:id="132" w:name="_Toc304295525"/>
      <w:bookmarkEnd w:id="132"/>
      <w:bookmarkStart w:id="133" w:name="_Toc296944500"/>
      <w:bookmarkEnd w:id="133"/>
      <w:bookmarkStart w:id="134" w:name="_Toc300934947"/>
      <w:bookmarkEnd w:id="134"/>
      <w:bookmarkStart w:id="135" w:name="_Toc296346662"/>
      <w:bookmarkEnd w:id="135"/>
      <w:bookmarkStart w:id="136" w:name="_Toc296347160"/>
      <w:bookmarkEnd w:id="136"/>
      <w:bookmarkStart w:id="137" w:name="_Toc297120461"/>
      <w:bookmarkEnd w:id="137"/>
    </w:p>
    <w:p w14:paraId="5AAC43FC">
      <w:pPr>
        <w:spacing w:line="360" w:lineRule="exact"/>
        <w:rPr>
          <w:rFonts w:ascii="Times New Roman" w:hAnsi="Times New Roman" w:eastAsia="宋体" w:cs="Times New Roman"/>
          <w:szCs w:val="24"/>
        </w:rPr>
      </w:pPr>
      <w:r>
        <w:rPr>
          <w:rFonts w:hint="eastAsia" w:ascii="宋体" w:hAnsi="宋体" w:eastAsia="宋体" w:cs="Times New Roman"/>
          <w:szCs w:val="24"/>
        </w:rPr>
        <w:t xml:space="preserve">    </w:t>
      </w:r>
      <w:r>
        <w:rPr>
          <w:rFonts w:ascii="Times New Roman" w:hAnsi="Times New Roman" w:eastAsia="宋体" w:cs="Times New Roman"/>
          <w:szCs w:val="24"/>
        </w:rPr>
        <w:t>3</w:t>
      </w:r>
      <w:bookmarkStart w:id="138" w:name="_Toc312677990"/>
      <w:bookmarkEnd w:id="138"/>
      <w:bookmarkStart w:id="139" w:name="_Toc318581159"/>
      <w:r>
        <w:rPr>
          <w:rFonts w:ascii="Times New Roman" w:hAnsi="Times New Roman" w:eastAsia="宋体" w:cs="Times New Roman"/>
          <w:szCs w:val="24"/>
        </w:rPr>
        <w:t>.5.2</w:t>
      </w:r>
      <w:r>
        <w:rPr>
          <w:rFonts w:ascii="宋体" w:hAnsi="宋体" w:eastAsia="宋体" w:cs="Times New Roman"/>
          <w:szCs w:val="24"/>
        </w:rPr>
        <w:t>分包的确定</w:t>
      </w:r>
      <w:bookmarkEnd w:id="139"/>
    </w:p>
    <w:p w14:paraId="1DB8F49D">
      <w:pPr>
        <w:spacing w:line="360" w:lineRule="exact"/>
        <w:ind w:firstLine="420" w:firstLineChars="200"/>
        <w:rPr>
          <w:rFonts w:ascii="Times New Roman" w:hAnsi="Times New Roman" w:eastAsia="宋体" w:cs="Times New Roman"/>
          <w:szCs w:val="24"/>
          <w:u w:val="single"/>
        </w:rPr>
      </w:pPr>
      <w:r>
        <w:rPr>
          <w:rFonts w:ascii="宋体" w:hAnsi="宋体" w:eastAsia="宋体" w:cs="Times New Roman"/>
          <w:szCs w:val="24"/>
        </w:rPr>
        <w:t>允许分包的专业工程包括：</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无</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5B8CEB3F">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其他关于分包的约定：</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hint="eastAsia" w:ascii="Times New Roman" w:hAnsi="Times New Roman" w:eastAsia="宋体" w:cs="Times New Roman"/>
          <w:szCs w:val="24"/>
          <w:u w:val="single"/>
        </w:rPr>
        <w:t>无</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4829C347">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3.5.4 </w:t>
      </w:r>
      <w:r>
        <w:rPr>
          <w:rFonts w:ascii="宋体" w:hAnsi="宋体" w:eastAsia="宋体" w:cs="Times New Roman"/>
          <w:szCs w:val="24"/>
        </w:rPr>
        <w:t>分包合同价款</w:t>
      </w:r>
    </w:p>
    <w:p w14:paraId="05354A25">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关于分包合同价款支付的约定：</w:t>
      </w:r>
      <w:r>
        <w:rPr>
          <w:rFonts w:hint="eastAsia" w:ascii="MingLiU_HKSCS" w:hAnsi="MingLiU_HKSCS" w:eastAsia="MingLiU_HKSCS" w:cs="MingLiU_HKSCS"/>
          <w:szCs w:val="24"/>
          <w:u w:val="single"/>
        </w:rPr>
        <w:t xml:space="preserve">   </w:t>
      </w:r>
      <w:r>
        <w:rPr>
          <w:rFonts w:hint="eastAsia" w:ascii="Times New Roman" w:hAnsi="Times New Roman" w:eastAsia="宋体" w:cs="Times New Roman"/>
          <w:szCs w:val="24"/>
          <w:u w:val="single"/>
        </w:rPr>
        <w:t>无</w:t>
      </w:r>
      <w:r>
        <w:rPr>
          <w:rFonts w:ascii="Times New Roman" w:hAnsi="Times New Roman" w:eastAsia="宋体" w:cs="Times New Roman"/>
          <w:szCs w:val="24"/>
          <w:u w:val="single"/>
        </w:rPr>
        <w:t xml:space="preserve">  </w:t>
      </w:r>
      <w:r>
        <w:rPr>
          <w:rFonts w:ascii="宋体" w:hAnsi="宋体" w:eastAsia="宋体" w:cs="Times New Roman"/>
          <w:szCs w:val="24"/>
        </w:rPr>
        <w:t>。</w:t>
      </w:r>
    </w:p>
    <w:p w14:paraId="686A2EA0">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3.6 </w:t>
      </w:r>
      <w:r>
        <w:rPr>
          <w:rFonts w:ascii="黑体" w:hAnsi="黑体" w:eastAsia="黑体" w:cs="Times New Roman"/>
          <w:szCs w:val="24"/>
        </w:rPr>
        <w:t>工程照管与成品、半成品保护</w:t>
      </w:r>
    </w:p>
    <w:p w14:paraId="4C8BB160">
      <w:pPr>
        <w:spacing w:line="360" w:lineRule="exact"/>
        <w:ind w:firstLine="420" w:firstLineChars="200"/>
        <w:rPr>
          <w:rFonts w:ascii="Times New Roman" w:hAnsi="Times New Roman" w:eastAsia="宋体" w:cs="Times New Roman"/>
          <w:kern w:val="0"/>
          <w:szCs w:val="24"/>
          <w:u w:val="single"/>
        </w:rPr>
      </w:pPr>
      <w:r>
        <w:rPr>
          <w:rFonts w:ascii="宋体" w:hAnsi="宋体" w:eastAsia="宋体" w:cs="Times New Roman"/>
          <w:kern w:val="0"/>
          <w:szCs w:val="24"/>
        </w:rPr>
        <w:t>承包人负责照管工程及工程相关的材料、工程设备的起始时间：</w:t>
      </w:r>
      <w:r>
        <w:rPr>
          <w:rFonts w:hint="eastAsia" w:ascii="宋体" w:hAnsi="宋体" w:eastAsia="宋体" w:cs="Times New Roman"/>
          <w:kern w:val="0"/>
          <w:szCs w:val="24"/>
          <w:u w:val="single"/>
        </w:rPr>
        <w:t>按合同通用条款执行</w:t>
      </w:r>
      <w:r>
        <w:rPr>
          <w:rFonts w:ascii="宋体" w:hAnsi="宋体" w:eastAsia="宋体" w:cs="Times New Roman"/>
          <w:kern w:val="0"/>
          <w:szCs w:val="24"/>
        </w:rPr>
        <w:t>。</w:t>
      </w:r>
    </w:p>
    <w:p w14:paraId="26209661">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3.7 </w:t>
      </w:r>
      <w:r>
        <w:rPr>
          <w:rFonts w:ascii="黑体" w:hAnsi="黑体" w:eastAsia="黑体" w:cs="Times New Roman"/>
          <w:szCs w:val="24"/>
        </w:rPr>
        <w:t>履约担保</w:t>
      </w:r>
    </w:p>
    <w:p w14:paraId="4B35CD4C">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承包人是否提供履约担保：</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无</w:t>
      </w:r>
      <w:r>
        <w:rPr>
          <w:rFonts w:ascii="Times New Roman" w:hAnsi="Times New Roman" w:eastAsia="宋体" w:cs="Times New Roman"/>
          <w:szCs w:val="24"/>
          <w:u w:val="single"/>
        </w:rPr>
        <w:t xml:space="preserve">  </w:t>
      </w:r>
      <w:r>
        <w:rPr>
          <w:rFonts w:ascii="宋体" w:hAnsi="宋体" w:eastAsia="宋体" w:cs="Times New Roman"/>
          <w:szCs w:val="24"/>
        </w:rPr>
        <w:t>。</w:t>
      </w:r>
    </w:p>
    <w:p w14:paraId="6A11B014">
      <w:pPr>
        <w:spacing w:line="360" w:lineRule="exact"/>
        <w:ind w:firstLine="420" w:firstLineChars="200"/>
        <w:rPr>
          <w:rFonts w:ascii="Times New Roman" w:hAnsi="Times New Roman" w:eastAsia="宋体" w:cs="Times New Roman"/>
          <w:szCs w:val="24"/>
          <w:u w:val="single"/>
        </w:rPr>
      </w:pPr>
      <w:r>
        <w:rPr>
          <w:rFonts w:ascii="宋体" w:hAnsi="宋体" w:eastAsia="宋体" w:cs="Times New Roman"/>
          <w:szCs w:val="24"/>
        </w:rPr>
        <w:t>承包人提供履约担保的形式</w:t>
      </w:r>
      <w:r>
        <w:rPr>
          <w:rFonts w:hint="eastAsia" w:ascii="宋体" w:hAnsi="宋体" w:eastAsia="宋体" w:cs="Times New Roman"/>
          <w:szCs w:val="24"/>
        </w:rPr>
        <w:t>、金额及期限的</w:t>
      </w:r>
      <w:r>
        <w:rPr>
          <w:rFonts w:ascii="宋体" w:hAnsi="宋体" w:eastAsia="宋体" w:cs="Times New Roman"/>
          <w:szCs w:val="24"/>
        </w:rPr>
        <w:t>：</w:t>
      </w:r>
      <w:bookmarkStart w:id="140" w:name="_Toc351203636"/>
      <w:bookmarkEnd w:id="140"/>
      <w:r>
        <w:rPr>
          <w:rFonts w:hint="eastAsia" w:ascii="Times New Roman" w:hAnsi="Times New Roman" w:eastAsia="宋体" w:cs="Times New Roman"/>
          <w:szCs w:val="24"/>
          <w:u w:val="single"/>
        </w:rPr>
        <w:t>无；</w:t>
      </w:r>
    </w:p>
    <w:p w14:paraId="439CD671">
      <w:pPr>
        <w:spacing w:line="360" w:lineRule="exact"/>
        <w:ind w:firstLine="422" w:firstLineChars="200"/>
        <w:rPr>
          <w:rFonts w:ascii="Times New Roman" w:hAnsi="Times New Roman" w:eastAsia="宋体" w:cs="Times New Roman"/>
          <w:b/>
          <w:bCs/>
          <w:szCs w:val="24"/>
        </w:rPr>
      </w:pPr>
      <w:r>
        <w:rPr>
          <w:rFonts w:ascii="Times New Roman" w:hAnsi="Times New Roman" w:eastAsia="宋体" w:cs="Times New Roman"/>
          <w:b/>
          <w:bCs/>
          <w:szCs w:val="24"/>
        </w:rPr>
        <w:t>4</w:t>
      </w:r>
      <w:bookmarkStart w:id="141" w:name="_Toc296503162"/>
      <w:bookmarkEnd w:id="141"/>
      <w:bookmarkStart w:id="142" w:name="_Toc267251413"/>
      <w:bookmarkEnd w:id="142"/>
      <w:bookmarkStart w:id="143" w:name="_Toc296944501"/>
      <w:bookmarkEnd w:id="143"/>
      <w:bookmarkStart w:id="144" w:name="_Toc297120462"/>
      <w:bookmarkEnd w:id="144"/>
      <w:bookmarkStart w:id="145" w:name="_Toc296890990"/>
      <w:bookmarkEnd w:id="145"/>
      <w:bookmarkStart w:id="146" w:name="_Toc292559366"/>
      <w:bookmarkEnd w:id="146"/>
      <w:bookmarkStart w:id="147" w:name="_Toc296891202"/>
      <w:bookmarkEnd w:id="147"/>
      <w:bookmarkStart w:id="148" w:name="_Toc292559871"/>
      <w:bookmarkEnd w:id="148"/>
      <w:bookmarkStart w:id="149" w:name="_Toc297048348"/>
      <w:bookmarkEnd w:id="149"/>
      <w:bookmarkStart w:id="150" w:name="_Toc296347161"/>
      <w:bookmarkEnd w:id="150"/>
      <w:bookmarkStart w:id="151" w:name="_Toc296346663"/>
      <w:r>
        <w:rPr>
          <w:rFonts w:ascii="Times New Roman" w:hAnsi="Times New Roman" w:eastAsia="宋体" w:cs="Times New Roman"/>
          <w:b/>
          <w:bCs/>
          <w:szCs w:val="24"/>
        </w:rPr>
        <w:t xml:space="preserve">. </w:t>
      </w:r>
      <w:r>
        <w:rPr>
          <w:rFonts w:ascii="黑体" w:hAnsi="黑体" w:eastAsia="宋体" w:cs="Times New Roman"/>
          <w:b/>
          <w:bCs/>
          <w:szCs w:val="24"/>
        </w:rPr>
        <w:t>监</w:t>
      </w:r>
      <w:bookmarkEnd w:id="151"/>
      <w:r>
        <w:rPr>
          <w:rFonts w:ascii="黑体" w:hAnsi="黑体" w:eastAsia="宋体" w:cs="Times New Roman"/>
          <w:b/>
          <w:bCs/>
          <w:szCs w:val="24"/>
        </w:rPr>
        <w:t>理人</w:t>
      </w:r>
    </w:p>
    <w:p w14:paraId="72DB8B75">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4.1</w:t>
      </w:r>
      <w:r>
        <w:rPr>
          <w:rFonts w:ascii="黑体" w:hAnsi="黑体" w:eastAsia="黑体" w:cs="Times New Roman"/>
          <w:szCs w:val="24"/>
        </w:rPr>
        <w:t>监理人的一般规定</w:t>
      </w:r>
    </w:p>
    <w:p w14:paraId="6B82029C">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关于监理人的监理内容：</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按本工程监理合同约定内容</w:t>
      </w:r>
      <w:r>
        <w:rPr>
          <w:rFonts w:ascii="宋体" w:hAnsi="宋体" w:eastAsia="宋体" w:cs="Times New Roman"/>
          <w:szCs w:val="24"/>
        </w:rPr>
        <w:t>。</w:t>
      </w:r>
    </w:p>
    <w:p w14:paraId="75AB054B">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关于监理人的监理权限：</w:t>
      </w:r>
      <w:r>
        <w:rPr>
          <w:rFonts w:hint="eastAsia" w:ascii="宋体" w:hAnsi="宋体" w:eastAsia="宋体" w:cs="Times New Roman"/>
          <w:szCs w:val="24"/>
        </w:rPr>
        <w:t>〔</w:t>
      </w:r>
      <w:r>
        <w:rPr>
          <w:rFonts w:hint="eastAsia" w:ascii="宋体" w:hAnsi="宋体" w:eastAsia="宋体" w:cs="Times New Roman"/>
          <w:szCs w:val="24"/>
          <w:u w:val="single"/>
        </w:rPr>
        <w:t>按本工程监理合同约定内容，涉及工程变更（含设计变更等参建各方变更）均需报发包人审批后生效</w:t>
      </w:r>
      <w:r>
        <w:rPr>
          <w:rFonts w:hint="eastAsia" w:ascii="宋体" w:hAnsi="宋体" w:eastAsia="宋体" w:cs="Times New Roman"/>
          <w:szCs w:val="24"/>
        </w:rPr>
        <w:t>〕</w:t>
      </w:r>
      <w:r>
        <w:rPr>
          <w:rFonts w:ascii="宋体" w:hAnsi="宋体" w:eastAsia="宋体" w:cs="Times New Roman"/>
          <w:szCs w:val="24"/>
        </w:rPr>
        <w:t>。</w:t>
      </w:r>
    </w:p>
    <w:p w14:paraId="3CF6FA5E">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关于监理人在施工现场的办公场所、生活场所的提供和费用承担的约定：</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由承包人免费提供办公室</w:t>
      </w:r>
      <w:r>
        <w:rPr>
          <w:rFonts w:hint="eastAsia" w:ascii="仿宋_GB2312" w:hAnsi="宋体" w:eastAsia="宋体" w:cs="Times New Roman"/>
          <w:szCs w:val="24"/>
          <w:u w:val="single"/>
        </w:rPr>
        <w:t>1</w:t>
      </w:r>
      <w:r>
        <w:rPr>
          <w:rFonts w:hint="eastAsia" w:ascii="宋体" w:hAnsi="宋体" w:eastAsia="宋体" w:cs="Times New Roman"/>
          <w:szCs w:val="24"/>
          <w:u w:val="single"/>
        </w:rPr>
        <w:t>间使用。</w:t>
      </w:r>
    </w:p>
    <w:p w14:paraId="69EFC62E">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4.2 </w:t>
      </w:r>
      <w:r>
        <w:rPr>
          <w:rFonts w:ascii="黑体" w:hAnsi="黑体" w:eastAsia="黑体" w:cs="Times New Roman"/>
          <w:szCs w:val="24"/>
        </w:rPr>
        <w:t>监理人员</w:t>
      </w:r>
    </w:p>
    <w:p w14:paraId="2E92D157">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总监理工程师：</w:t>
      </w:r>
    </w:p>
    <w:p w14:paraId="5175CF65">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姓</w:t>
      </w:r>
      <w:r>
        <w:rPr>
          <w:rFonts w:ascii="Times New Roman" w:hAnsi="Times New Roman" w:eastAsia="宋体" w:cs="Times New Roman"/>
          <w:szCs w:val="24"/>
        </w:rPr>
        <w:t xml:space="preserve">    </w:t>
      </w:r>
      <w:r>
        <w:rPr>
          <w:rFonts w:ascii="宋体" w:hAnsi="宋体" w:eastAsia="宋体" w:cs="Times New Roman"/>
          <w:szCs w:val="24"/>
        </w:rPr>
        <w:t>名：</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2FA238E6">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职</w:t>
      </w:r>
      <w:r>
        <w:rPr>
          <w:rFonts w:ascii="Times New Roman" w:hAnsi="Times New Roman" w:eastAsia="宋体" w:cs="Times New Roman"/>
          <w:szCs w:val="24"/>
        </w:rPr>
        <w:t xml:space="preserve">    </w:t>
      </w:r>
      <w:r>
        <w:rPr>
          <w:rFonts w:ascii="宋体" w:hAnsi="宋体" w:eastAsia="宋体" w:cs="Times New Roman"/>
          <w:szCs w:val="24"/>
        </w:rPr>
        <w:t>务：</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7D6D95E9">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监理工程师执业资格证书号：</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701CFAFC">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联系电话：</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22D592C1">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电子信箱：</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766BBDAB">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通信地址：</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Times New Roman" w:hAnsi="Times New Roman" w:eastAsia="宋体" w:cs="Times New Roman"/>
          <w:szCs w:val="24"/>
          <w:u w:val="single"/>
        </w:rPr>
        <w:t xml:space="preserve"> </w:t>
      </w:r>
      <w:r>
        <w:rPr>
          <w:rFonts w:hint="eastAsia" w:ascii="MingLiU_HKSCS" w:hAnsi="MingLiU_HKSCS" w:eastAsia="MingLiU_HKSCS" w:cs="MingLiU_HKSCS"/>
          <w:szCs w:val="24"/>
          <w:u w:val="single"/>
        </w:rPr>
        <w:t xml:space="preserve">   </w:t>
      </w:r>
      <w:r>
        <w:rPr>
          <w:rFonts w:ascii="宋体" w:hAnsi="宋体" w:eastAsia="宋体" w:cs="Times New Roman"/>
          <w:szCs w:val="24"/>
        </w:rPr>
        <w:t>；</w:t>
      </w:r>
    </w:p>
    <w:p w14:paraId="1E5834DF">
      <w:pPr>
        <w:spacing w:line="360" w:lineRule="exact"/>
        <w:ind w:firstLine="420" w:firstLineChars="200"/>
        <w:rPr>
          <w:rFonts w:ascii="Times New Roman" w:hAnsi="Times New Roman" w:eastAsia="宋体" w:cs="Times New Roman"/>
          <w:szCs w:val="24"/>
          <w:u w:val="single"/>
        </w:rPr>
      </w:pPr>
      <w:r>
        <w:rPr>
          <w:rFonts w:ascii="宋体" w:hAnsi="宋体" w:eastAsia="宋体" w:cs="Times New Roman"/>
          <w:szCs w:val="24"/>
        </w:rPr>
        <w:t>关于监理人的其他约定：</w:t>
      </w:r>
      <w:r>
        <w:rPr>
          <w:rFonts w:hint="eastAsia" w:ascii="MingLiU_HKSCS" w:hAnsi="MingLiU_HKSCS" w:eastAsia="MingLiU_HKSCS" w:cs="MingLiU_HKSCS"/>
          <w:szCs w:val="24"/>
          <w:u w:val="single"/>
        </w:rPr>
        <w:t xml:space="preserve">   </w:t>
      </w:r>
      <w:r>
        <w:rPr>
          <w:rFonts w:hint="eastAsia" w:ascii="宋体" w:hAnsi="宋体" w:eastAsia="宋体" w:cs="Times New Roman"/>
          <w:szCs w:val="24"/>
          <w:u w:val="single"/>
        </w:rPr>
        <w:t xml:space="preserve">                。</w:t>
      </w:r>
    </w:p>
    <w:p w14:paraId="38F10A48">
      <w:pPr>
        <w:spacing w:line="360" w:lineRule="exact"/>
        <w:ind w:firstLine="420" w:firstLineChars="200"/>
        <w:rPr>
          <w:rFonts w:ascii="Times New Roman" w:hAnsi="Times New Roman" w:eastAsia="宋体" w:cs="Times New Roman"/>
          <w:szCs w:val="24"/>
          <w:u w:val="single"/>
        </w:rPr>
      </w:pPr>
      <w:r>
        <w:rPr>
          <w:rFonts w:hint="eastAsia" w:ascii="宋体" w:hAnsi="宋体" w:eastAsia="宋体" w:cs="Times New Roman"/>
          <w:szCs w:val="24"/>
          <w:u w:val="single"/>
        </w:rPr>
        <w:t>（1）监理人授权超出合同约定，承包人有权提出异议，如监理人对于承包人合理的异议不予接受，则承包人可要求发包人就该事项作出处理决定；</w:t>
      </w:r>
    </w:p>
    <w:p w14:paraId="122439A3">
      <w:pPr>
        <w:spacing w:line="360" w:lineRule="exact"/>
        <w:ind w:firstLine="420" w:firstLineChars="200"/>
        <w:rPr>
          <w:rFonts w:ascii="Times New Roman" w:hAnsi="Times New Roman" w:eastAsia="宋体" w:cs="Times New Roman"/>
          <w:szCs w:val="24"/>
          <w:u w:val="single"/>
        </w:rPr>
      </w:pPr>
      <w:r>
        <w:rPr>
          <w:rFonts w:hint="eastAsia" w:ascii="宋体" w:hAnsi="宋体" w:eastAsia="宋体" w:cs="Times New Roman"/>
          <w:szCs w:val="24"/>
          <w:u w:val="single"/>
        </w:rPr>
        <w:t>（2）对于监理人更换其委派的监理人员的，监理人在征得发包人同意后应当提前</w:t>
      </w:r>
      <w:r>
        <w:rPr>
          <w:rFonts w:hint="eastAsia" w:ascii="Times New Roman" w:hAnsi="Times New Roman" w:eastAsia="宋体" w:cs="Times New Roman"/>
          <w:szCs w:val="24"/>
          <w:u w:val="single"/>
        </w:rPr>
        <w:t>48</w:t>
      </w:r>
      <w:r>
        <w:rPr>
          <w:rFonts w:hint="eastAsia" w:ascii="宋体" w:hAnsi="宋体" w:eastAsia="宋体" w:cs="Times New Roman"/>
          <w:szCs w:val="24"/>
          <w:u w:val="single"/>
        </w:rPr>
        <w:t>小时书面通知承包人；</w:t>
      </w:r>
    </w:p>
    <w:p w14:paraId="12C3CEA7">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u w:val="single"/>
        </w:rPr>
        <w:t>（3）监理人对其监理人员的任何授权，承包人均应当要求监理人提供书面的授权，否则，承包人有权拒绝接受监理人员的指示。</w:t>
      </w:r>
    </w:p>
    <w:p w14:paraId="7CDB8520">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4.4 </w:t>
      </w:r>
      <w:r>
        <w:rPr>
          <w:rFonts w:ascii="黑体" w:hAnsi="黑体" w:eastAsia="黑体" w:cs="Times New Roman"/>
          <w:szCs w:val="24"/>
        </w:rPr>
        <w:t>商定或确定</w:t>
      </w:r>
    </w:p>
    <w:p w14:paraId="0C8F2021">
      <w:pPr>
        <w:spacing w:line="360" w:lineRule="exact"/>
        <w:ind w:firstLine="420" w:firstLineChars="200"/>
        <w:rPr>
          <w:rFonts w:ascii="Times New Roman" w:hAnsi="Times New Roman" w:eastAsia="宋体" w:cs="Times New Roman"/>
          <w:szCs w:val="24"/>
        </w:rPr>
      </w:pPr>
      <w:bookmarkStart w:id="152" w:name="_Toc267251418"/>
      <w:bookmarkEnd w:id="152"/>
      <w:r>
        <w:rPr>
          <w:rFonts w:ascii="宋体" w:hAnsi="宋体" w:eastAsia="宋体" w:cs="Times New Roman"/>
          <w:szCs w:val="24"/>
        </w:rPr>
        <w:t>在发包人和承包人不能通过协商达成一致意见时，发包人授权监理人对以下事项进行确定：</w:t>
      </w:r>
    </w:p>
    <w:p w14:paraId="69D03D12">
      <w:pPr>
        <w:autoSpaceDE w:val="0"/>
        <w:autoSpaceDN w:val="0"/>
        <w:adjustRightInd w:val="0"/>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w:t>
      </w:r>
      <w:r>
        <w:rPr>
          <w:rFonts w:ascii="Times New Roman" w:hAnsi="Times New Roman" w:eastAsia="宋体" w:cs="Times New Roman"/>
          <w:kern w:val="0"/>
          <w:szCs w:val="24"/>
        </w:rPr>
        <w:t>1</w:t>
      </w:r>
      <w:r>
        <w:rPr>
          <w:rFonts w:ascii="宋体" w:hAnsi="宋体" w:eastAsia="宋体" w:cs="Times New Roman"/>
          <w:kern w:val="0"/>
          <w:szCs w:val="24"/>
        </w:rPr>
        <w:t>）</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74C3C662">
      <w:pPr>
        <w:autoSpaceDE w:val="0"/>
        <w:autoSpaceDN w:val="0"/>
        <w:adjustRightInd w:val="0"/>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w:t>
      </w:r>
      <w:r>
        <w:rPr>
          <w:rFonts w:ascii="Times New Roman" w:hAnsi="Times New Roman" w:eastAsia="宋体" w:cs="Times New Roman"/>
          <w:kern w:val="0"/>
          <w:szCs w:val="24"/>
        </w:rPr>
        <w:t>2</w:t>
      </w:r>
      <w:r>
        <w:rPr>
          <w:rFonts w:ascii="宋体" w:hAnsi="宋体" w:eastAsia="宋体" w:cs="Times New Roman"/>
          <w:kern w:val="0"/>
          <w:szCs w:val="24"/>
        </w:rPr>
        <w:t>）</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159E9E8E">
      <w:pPr>
        <w:autoSpaceDE w:val="0"/>
        <w:autoSpaceDN w:val="0"/>
        <w:adjustRightInd w:val="0"/>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w:t>
      </w:r>
      <w:r>
        <w:rPr>
          <w:rFonts w:ascii="Times New Roman" w:hAnsi="Times New Roman" w:eastAsia="宋体" w:cs="Times New Roman"/>
          <w:kern w:val="0"/>
          <w:szCs w:val="24"/>
        </w:rPr>
        <w:t>3</w:t>
      </w:r>
      <w:r>
        <w:rPr>
          <w:rFonts w:ascii="宋体" w:hAnsi="宋体" w:eastAsia="宋体" w:cs="Times New Roman"/>
          <w:kern w:val="0"/>
          <w:szCs w:val="24"/>
        </w:rPr>
        <w:t>）</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0135784B">
      <w:pPr>
        <w:keepNext/>
        <w:keepLines/>
        <w:spacing w:line="360" w:lineRule="exact"/>
        <w:rPr>
          <w:rFonts w:ascii="Times New Roman" w:hAnsi="Times New Roman" w:eastAsia="黑体" w:cs="Times New Roman"/>
          <w:szCs w:val="21"/>
        </w:rPr>
      </w:pPr>
      <w:bookmarkStart w:id="153" w:name="_Toc351203637"/>
      <w:bookmarkEnd w:id="153"/>
      <w:r>
        <w:rPr>
          <w:rFonts w:ascii="Times New Roman" w:hAnsi="Times New Roman" w:eastAsia="黑体" w:cs="Times New Roman"/>
          <w:szCs w:val="21"/>
        </w:rPr>
        <w:t>5</w:t>
      </w:r>
      <w:bookmarkStart w:id="154" w:name="_Toc297048349"/>
      <w:bookmarkEnd w:id="154"/>
      <w:bookmarkStart w:id="155" w:name="_Toc296347162"/>
      <w:bookmarkEnd w:id="155"/>
      <w:bookmarkStart w:id="156" w:name="_Toc292559872"/>
      <w:bookmarkEnd w:id="156"/>
      <w:bookmarkStart w:id="157" w:name="_Toc292559367"/>
      <w:bookmarkEnd w:id="157"/>
      <w:bookmarkStart w:id="158" w:name="_Toc297120463"/>
      <w:bookmarkEnd w:id="158"/>
      <w:bookmarkStart w:id="159" w:name="_Toc296891203"/>
      <w:bookmarkEnd w:id="159"/>
      <w:bookmarkStart w:id="160" w:name="_Toc296944502"/>
      <w:bookmarkEnd w:id="160"/>
      <w:bookmarkStart w:id="161" w:name="_Toc296503163"/>
      <w:bookmarkEnd w:id="161"/>
      <w:bookmarkStart w:id="162" w:name="_Toc296890991"/>
      <w:bookmarkEnd w:id="162"/>
      <w:bookmarkStart w:id="163" w:name="_Toc296346664"/>
      <w:r>
        <w:rPr>
          <w:rFonts w:ascii="Times New Roman" w:hAnsi="Times New Roman" w:eastAsia="黑体" w:cs="Times New Roman"/>
          <w:szCs w:val="21"/>
        </w:rPr>
        <w:t xml:space="preserve">. </w:t>
      </w:r>
      <w:r>
        <w:rPr>
          <w:rFonts w:ascii="黑体" w:hAnsi="黑体" w:eastAsia="黑体" w:cs="Times New Roman"/>
          <w:szCs w:val="21"/>
        </w:rPr>
        <w:t>工程质量</w:t>
      </w:r>
      <w:bookmarkEnd w:id="163"/>
    </w:p>
    <w:p w14:paraId="7B548C64">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5.1 </w:t>
      </w:r>
      <w:r>
        <w:rPr>
          <w:rFonts w:ascii="黑体" w:hAnsi="黑体" w:eastAsia="黑体" w:cs="Times New Roman"/>
          <w:szCs w:val="24"/>
        </w:rPr>
        <w:t>质量要求</w:t>
      </w:r>
    </w:p>
    <w:p w14:paraId="759ACC8A">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5</w:t>
      </w:r>
      <w:bookmarkStart w:id="164" w:name="_Toc300934949"/>
      <w:bookmarkEnd w:id="164"/>
      <w:bookmarkStart w:id="165" w:name="_Toc312677997"/>
      <w:bookmarkEnd w:id="165"/>
      <w:bookmarkStart w:id="166" w:name="_Toc318581164"/>
      <w:bookmarkEnd w:id="166"/>
      <w:bookmarkStart w:id="167" w:name="_Toc297123496"/>
      <w:bookmarkEnd w:id="167"/>
      <w:bookmarkStart w:id="168" w:name="_Toc304295527"/>
      <w:bookmarkEnd w:id="168"/>
      <w:bookmarkStart w:id="169" w:name="_Toc297216155"/>
      <w:bookmarkEnd w:id="169"/>
      <w:bookmarkStart w:id="170" w:name="_Toc303539106"/>
      <w:r>
        <w:rPr>
          <w:rFonts w:ascii="Times New Roman" w:hAnsi="Times New Roman" w:eastAsia="宋体" w:cs="Times New Roman"/>
          <w:szCs w:val="24"/>
        </w:rPr>
        <w:t xml:space="preserve">.1.1 </w:t>
      </w:r>
      <w:r>
        <w:rPr>
          <w:rFonts w:ascii="宋体" w:hAnsi="宋体" w:eastAsia="宋体" w:cs="Times New Roman"/>
          <w:szCs w:val="24"/>
        </w:rPr>
        <w:t>特殊质量标准和要求：</w:t>
      </w:r>
      <w:bookmarkEnd w:id="170"/>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4EA5CB62">
      <w:pPr>
        <w:spacing w:line="360" w:lineRule="exact"/>
        <w:ind w:firstLine="420" w:firstLineChars="200"/>
        <w:rPr>
          <w:rFonts w:ascii="Times New Roman" w:hAnsi="Times New Roman" w:eastAsia="黑体" w:cs="Times New Roman"/>
          <w:szCs w:val="24"/>
        </w:rPr>
      </w:pPr>
      <w:r>
        <w:rPr>
          <w:rFonts w:ascii="宋体" w:hAnsi="宋体" w:eastAsia="宋体" w:cs="Times New Roman"/>
          <w:szCs w:val="24"/>
        </w:rPr>
        <w:t>关于工程奖项的约定：</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4978552E">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5.3 </w:t>
      </w:r>
      <w:r>
        <w:rPr>
          <w:rFonts w:ascii="黑体" w:hAnsi="黑体" w:eastAsia="黑体" w:cs="Times New Roman"/>
          <w:szCs w:val="24"/>
        </w:rPr>
        <w:t>隐蔽工程检查</w:t>
      </w:r>
    </w:p>
    <w:p w14:paraId="286892BD">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5.3.2</w:t>
      </w:r>
      <w:r>
        <w:rPr>
          <w:rFonts w:ascii="宋体" w:hAnsi="宋体" w:eastAsia="宋体" w:cs="Times New Roman"/>
          <w:szCs w:val="24"/>
        </w:rPr>
        <w:t>承包人提前通知监理人隐蔽工程检查的期限的约定：</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按合同通用条款执行。</w:t>
      </w:r>
    </w:p>
    <w:p w14:paraId="4ED22C02">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监理人不能按时进行检查时，应提前</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24</w:t>
      </w:r>
      <w:r>
        <w:rPr>
          <w:rFonts w:ascii="Times New Roman" w:hAnsi="Times New Roman" w:eastAsia="宋体" w:cs="Times New Roman"/>
          <w:szCs w:val="24"/>
          <w:u w:val="single"/>
        </w:rPr>
        <w:t xml:space="preserve"> </w:t>
      </w:r>
      <w:r>
        <w:rPr>
          <w:rFonts w:ascii="宋体" w:hAnsi="宋体" w:eastAsia="宋体" w:cs="Times New Roman"/>
          <w:szCs w:val="24"/>
        </w:rPr>
        <w:t>小时提交书面延期要求。</w:t>
      </w:r>
    </w:p>
    <w:p w14:paraId="6FEF3046">
      <w:pPr>
        <w:spacing w:line="360" w:lineRule="exact"/>
        <w:ind w:firstLine="420" w:firstLineChars="200"/>
        <w:rPr>
          <w:rFonts w:ascii="仿宋_GB2312" w:hAnsi="Times New Roman" w:eastAsia="仿宋_GB2312" w:cs="Times New Roman"/>
          <w:szCs w:val="24"/>
        </w:rPr>
      </w:pPr>
      <w:r>
        <w:rPr>
          <w:rFonts w:ascii="宋体" w:hAnsi="宋体" w:eastAsia="宋体" w:cs="Times New Roman"/>
          <w:szCs w:val="24"/>
        </w:rPr>
        <w:t>关于延期最长不得超过</w:t>
      </w:r>
      <w:r>
        <w:rPr>
          <w:rFonts w:hint="eastAsia" w:ascii="宋体" w:hAnsi="宋体" w:eastAsia="宋体" w:cs="Times New Roman"/>
          <w:szCs w:val="24"/>
        </w:rPr>
        <w:t>：</w:t>
      </w:r>
      <w:r>
        <w:rPr>
          <w:rFonts w:hint="eastAsia" w:ascii="仿宋_GB2312" w:hAnsi="宋体" w:eastAsia="宋体" w:cs="Times New Roman"/>
          <w:szCs w:val="24"/>
          <w:u w:val="single"/>
        </w:rPr>
        <w:t xml:space="preserve"> </w:t>
      </w:r>
      <w:r>
        <w:rPr>
          <w:rFonts w:ascii="Times New Roman" w:hAnsi="Times New Roman" w:eastAsia="宋体" w:cs="Times New Roman"/>
          <w:szCs w:val="24"/>
          <w:u w:val="single"/>
        </w:rPr>
        <w:t>24</w:t>
      </w:r>
      <w:r>
        <w:rPr>
          <w:rFonts w:hint="eastAsia" w:ascii="仿宋_GB2312" w:hAnsi="宋体" w:eastAsia="宋体" w:cs="Times New Roman"/>
          <w:szCs w:val="24"/>
          <w:u w:val="single"/>
        </w:rPr>
        <w:t xml:space="preserve"> </w:t>
      </w:r>
      <w:r>
        <w:rPr>
          <w:rFonts w:hint="eastAsia" w:ascii="宋体" w:hAnsi="宋体" w:eastAsia="宋体" w:cs="Times New Roman"/>
          <w:szCs w:val="24"/>
        </w:rPr>
        <w:t>小时，由此导致工期延误的，工期予以顺延。</w:t>
      </w:r>
    </w:p>
    <w:p w14:paraId="461BEEAE">
      <w:pPr>
        <w:spacing w:line="360" w:lineRule="exact"/>
        <w:ind w:firstLine="420" w:firstLineChars="200"/>
        <w:rPr>
          <w:rFonts w:ascii="仿宋_GB2312" w:hAnsi="Times New Roman" w:eastAsia="仿宋_GB2312" w:cs="Times New Roman"/>
          <w:szCs w:val="24"/>
          <w:u w:val="single"/>
        </w:rPr>
      </w:pPr>
      <w:r>
        <w:rPr>
          <w:rFonts w:hint="eastAsia" w:ascii="宋体" w:hAnsi="宋体" w:eastAsia="宋体" w:cs="Times New Roman"/>
          <w:szCs w:val="24"/>
          <w:u w:val="single"/>
        </w:rPr>
        <w:t>隐蔽工程验收过程、验收部位除办理纸质验收记录，还应留置验收部位、验收过程、主要验收人员相片、影像等资料。</w:t>
      </w:r>
    </w:p>
    <w:p w14:paraId="38A06FCA">
      <w:pPr>
        <w:keepNext/>
        <w:keepLines/>
        <w:spacing w:line="360" w:lineRule="exact"/>
        <w:rPr>
          <w:rFonts w:ascii="Times New Roman" w:hAnsi="Times New Roman" w:eastAsia="黑体" w:cs="Times New Roman"/>
          <w:szCs w:val="21"/>
        </w:rPr>
      </w:pPr>
      <w:bookmarkStart w:id="171" w:name="_Toc351203638"/>
      <w:bookmarkEnd w:id="171"/>
      <w:r>
        <w:rPr>
          <w:rFonts w:ascii="Times New Roman" w:hAnsi="Times New Roman" w:eastAsia="黑体" w:cs="Times New Roman"/>
          <w:szCs w:val="21"/>
        </w:rPr>
        <w:t xml:space="preserve">6. </w:t>
      </w:r>
      <w:r>
        <w:rPr>
          <w:rFonts w:ascii="黑体" w:hAnsi="黑体" w:eastAsia="黑体" w:cs="Times New Roman"/>
          <w:szCs w:val="21"/>
        </w:rPr>
        <w:t>安全文明施工与环境保护</w:t>
      </w:r>
    </w:p>
    <w:p w14:paraId="7DED6568">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6.1</w:t>
      </w:r>
      <w:r>
        <w:rPr>
          <w:rFonts w:ascii="黑体" w:hAnsi="黑体" w:eastAsia="黑体" w:cs="Times New Roman"/>
          <w:szCs w:val="24"/>
        </w:rPr>
        <w:t>安全文明施工</w:t>
      </w:r>
    </w:p>
    <w:p w14:paraId="17583C7F">
      <w:pPr>
        <w:spacing w:line="360" w:lineRule="exact"/>
        <w:ind w:firstLine="420" w:firstLineChars="200"/>
        <w:rPr>
          <w:rFonts w:hint="eastAsia" w:ascii="宋体" w:hAnsi="宋体" w:eastAsia="宋体" w:cs="Times New Roman"/>
          <w:bCs/>
          <w:szCs w:val="24"/>
          <w:u w:val="single"/>
        </w:rPr>
      </w:pPr>
      <w:r>
        <w:rPr>
          <w:rFonts w:ascii="Times New Roman" w:hAnsi="Times New Roman" w:eastAsia="宋体" w:cs="Times New Roman"/>
          <w:szCs w:val="24"/>
        </w:rPr>
        <w:t xml:space="preserve">6.1.1 </w:t>
      </w:r>
      <w:r>
        <w:rPr>
          <w:rFonts w:ascii="宋体" w:hAnsi="宋体" w:eastAsia="宋体" w:cs="Times New Roman"/>
          <w:szCs w:val="24"/>
        </w:rPr>
        <w:t>项目安全生产的达标目标及相应事项的约定：</w:t>
      </w:r>
      <w:r>
        <w:rPr>
          <w:rFonts w:ascii="Times New Roman" w:hAnsi="Times New Roman" w:eastAsia="宋体" w:cs="Times New Roman"/>
          <w:szCs w:val="24"/>
          <w:u w:val="single"/>
        </w:rPr>
        <w:t xml:space="preserve"> </w:t>
      </w:r>
      <w:r>
        <w:rPr>
          <w:rFonts w:ascii="宋体" w:hAnsi="宋体" w:eastAsia="宋体" w:cs="Times New Roman"/>
          <w:bCs/>
          <w:szCs w:val="24"/>
          <w:u w:val="single"/>
        </w:rPr>
        <w:t>按《浙江省建筑施工安全标准化管理规定》（浙建建〔</w:t>
      </w:r>
      <w:r>
        <w:rPr>
          <w:rFonts w:ascii="Times New Roman" w:hAnsi="Times New Roman" w:eastAsia="宋体" w:cs="Times New Roman"/>
          <w:bCs/>
          <w:szCs w:val="24"/>
          <w:u w:val="single"/>
        </w:rPr>
        <w:t>2012</w:t>
      </w:r>
      <w:r>
        <w:rPr>
          <w:rFonts w:ascii="宋体" w:hAnsi="宋体" w:eastAsia="宋体" w:cs="Times New Roman"/>
          <w:bCs/>
          <w:szCs w:val="24"/>
          <w:u w:val="single"/>
        </w:rPr>
        <w:t>〕</w:t>
      </w:r>
      <w:r>
        <w:rPr>
          <w:rFonts w:ascii="Times New Roman" w:hAnsi="Times New Roman" w:eastAsia="宋体" w:cs="Times New Roman"/>
          <w:bCs/>
          <w:szCs w:val="24"/>
          <w:u w:val="single"/>
        </w:rPr>
        <w:t>54</w:t>
      </w:r>
      <w:r>
        <w:rPr>
          <w:rFonts w:ascii="宋体" w:hAnsi="宋体" w:eastAsia="宋体" w:cs="Times New Roman"/>
          <w:bCs/>
          <w:szCs w:val="24"/>
          <w:u w:val="single"/>
        </w:rPr>
        <w:t>号）</w:t>
      </w:r>
      <w:r>
        <w:rPr>
          <w:rFonts w:hint="eastAsia" w:ascii="宋体" w:hAnsi="宋体" w:eastAsia="宋体" w:cs="Times New Roman"/>
          <w:bCs/>
          <w:szCs w:val="24"/>
          <w:u w:val="single"/>
        </w:rPr>
        <w:t>及工程所在地相关主管部门发布的有关施工现场安全文明施工（含扬尘防护、监测），门禁考勤管理，噪音、污水排放，视频监控等管理规定执行。</w:t>
      </w:r>
    </w:p>
    <w:p w14:paraId="2F159567">
      <w:pPr>
        <w:spacing w:line="360" w:lineRule="exact"/>
        <w:ind w:firstLine="420" w:firstLineChars="200"/>
        <w:rPr>
          <w:rFonts w:ascii="仿宋_GB2312" w:hAnsi="Times New Roman" w:eastAsia="仿宋_GB2312" w:cs="Times New Roman"/>
          <w:szCs w:val="24"/>
        </w:rPr>
      </w:pPr>
      <w:r>
        <w:rPr>
          <w:rFonts w:ascii="Times New Roman" w:hAnsi="Times New Roman" w:eastAsia="宋体" w:cs="Times New Roman"/>
          <w:szCs w:val="24"/>
        </w:rPr>
        <w:t>6.1.4</w:t>
      </w:r>
      <w:r>
        <w:rPr>
          <w:rFonts w:hint="eastAsia" w:ascii="仿宋_GB2312" w:hAnsi="宋体" w:eastAsia="宋体" w:cs="Times New Roman"/>
          <w:szCs w:val="24"/>
        </w:rPr>
        <w:t xml:space="preserve"> </w:t>
      </w:r>
      <w:r>
        <w:rPr>
          <w:rFonts w:hint="eastAsia" w:ascii="宋体" w:hAnsi="宋体" w:eastAsia="宋体" w:cs="Times New Roman"/>
          <w:szCs w:val="24"/>
        </w:rPr>
        <w:t>关于治安保卫的特别约定：</w:t>
      </w:r>
      <w:r>
        <w:rPr>
          <w:rFonts w:hint="eastAsia" w:ascii="宋体" w:hAnsi="宋体" w:eastAsia="宋体" w:cs="Times New Roman"/>
          <w:szCs w:val="24"/>
          <w:u w:val="single"/>
        </w:rPr>
        <w:t>按合同通用条款</w:t>
      </w:r>
      <w:r>
        <w:rPr>
          <w:rFonts w:hint="eastAsia" w:ascii="宋体" w:hAnsi="宋体" w:eastAsia="宋体" w:cs="Times New Roman"/>
          <w:szCs w:val="24"/>
        </w:rPr>
        <w:t>。</w:t>
      </w:r>
    </w:p>
    <w:p w14:paraId="6A114BE9">
      <w:pPr>
        <w:spacing w:line="360" w:lineRule="exact"/>
        <w:ind w:firstLine="420" w:firstLineChars="200"/>
        <w:rPr>
          <w:rFonts w:ascii="仿宋_GB2312" w:hAnsi="Times New Roman" w:eastAsia="仿宋_GB2312" w:cs="Times New Roman"/>
          <w:szCs w:val="24"/>
        </w:rPr>
      </w:pPr>
      <w:r>
        <w:rPr>
          <w:rFonts w:hint="eastAsia" w:ascii="宋体" w:hAnsi="宋体" w:eastAsia="宋体" w:cs="Times New Roman"/>
          <w:szCs w:val="24"/>
        </w:rPr>
        <w:t>关于编制施工场地治安管理计划的约定：</w:t>
      </w:r>
      <w:r>
        <w:rPr>
          <w:rFonts w:hint="eastAsia" w:ascii="宋体" w:hAnsi="宋体" w:eastAsia="宋体" w:cs="Times New Roman"/>
          <w:szCs w:val="24"/>
          <w:u w:val="single"/>
        </w:rPr>
        <w:t>按合同通用条款</w:t>
      </w:r>
      <w:r>
        <w:rPr>
          <w:rFonts w:hint="eastAsia" w:ascii="宋体" w:hAnsi="宋体" w:eastAsia="宋体" w:cs="Times New Roman"/>
          <w:szCs w:val="24"/>
        </w:rPr>
        <w:t>。</w:t>
      </w:r>
    </w:p>
    <w:p w14:paraId="349A0C07">
      <w:pPr>
        <w:spacing w:line="360" w:lineRule="exact"/>
        <w:ind w:firstLine="420" w:firstLineChars="200"/>
        <w:rPr>
          <w:rFonts w:ascii="仿宋_GB2312" w:hAnsi="Times New Roman" w:eastAsia="仿宋_GB2312" w:cs="Times New Roman"/>
          <w:szCs w:val="24"/>
        </w:rPr>
      </w:pPr>
      <w:r>
        <w:rPr>
          <w:rFonts w:ascii="Times New Roman" w:hAnsi="Times New Roman" w:eastAsia="宋体" w:cs="Times New Roman"/>
          <w:szCs w:val="24"/>
        </w:rPr>
        <w:t xml:space="preserve">6.1.5 </w:t>
      </w:r>
      <w:r>
        <w:rPr>
          <w:rFonts w:hint="eastAsia" w:ascii="宋体" w:hAnsi="宋体" w:eastAsia="宋体" w:cs="Times New Roman"/>
          <w:szCs w:val="24"/>
        </w:rPr>
        <w:t>文明施工</w:t>
      </w:r>
    </w:p>
    <w:p w14:paraId="14CC2EFB">
      <w:pPr>
        <w:spacing w:line="360" w:lineRule="exact"/>
        <w:ind w:firstLine="420" w:firstLineChars="200"/>
        <w:rPr>
          <w:rFonts w:ascii="仿宋_GB2312" w:hAnsi="Times New Roman" w:eastAsia="仿宋_GB2312" w:cs="Times New Roman"/>
          <w:szCs w:val="24"/>
          <w:u w:val="single"/>
        </w:rPr>
      </w:pPr>
      <w:r>
        <w:rPr>
          <w:rFonts w:hint="eastAsia" w:ascii="宋体" w:hAnsi="宋体" w:eastAsia="宋体" w:cs="Times New Roman"/>
          <w:szCs w:val="24"/>
        </w:rPr>
        <w:t>合同当事人对文明施工的要求：</w:t>
      </w:r>
      <w:r>
        <w:rPr>
          <w:rFonts w:hint="eastAsia" w:ascii="宋体" w:hAnsi="宋体" w:eastAsia="宋体" w:cs="Times New Roman"/>
          <w:szCs w:val="24"/>
          <w:u w:val="single"/>
        </w:rPr>
        <w:t>按省、市发有关文明施工管理规定执行</w:t>
      </w:r>
      <w:r>
        <w:rPr>
          <w:rFonts w:hint="eastAsia" w:ascii="宋体" w:hAnsi="宋体" w:eastAsia="宋体" w:cs="Times New Roman"/>
          <w:szCs w:val="24"/>
        </w:rPr>
        <w:t>。</w:t>
      </w:r>
      <w:r>
        <w:rPr>
          <w:rFonts w:hint="eastAsia" w:ascii="宋体" w:hAnsi="宋体" w:eastAsia="宋体" w:cs="Times New Roman"/>
          <w:szCs w:val="24"/>
          <w:u w:val="single"/>
        </w:rPr>
        <w:t>〔创国家、省、市、县（市、区）级安标化工地〕</w:t>
      </w:r>
    </w:p>
    <w:p w14:paraId="7832FCC4">
      <w:pPr>
        <w:spacing w:line="360" w:lineRule="exact"/>
        <w:ind w:firstLine="420" w:firstLineChars="200"/>
        <w:rPr>
          <w:rFonts w:ascii="仿宋_GB2312" w:hAnsi="Times New Roman" w:eastAsia="仿宋_GB2312" w:cs="Times New Roman"/>
          <w:szCs w:val="24"/>
          <w:u w:val="single"/>
        </w:rPr>
      </w:pPr>
      <w:r>
        <w:rPr>
          <w:rFonts w:ascii="Times New Roman" w:hAnsi="Times New Roman" w:eastAsia="宋体" w:cs="Times New Roman"/>
          <w:szCs w:val="24"/>
        </w:rPr>
        <w:t xml:space="preserve">6.1.6 </w:t>
      </w:r>
      <w:r>
        <w:rPr>
          <w:rFonts w:hint="eastAsia" w:ascii="宋体" w:hAnsi="宋体" w:eastAsia="宋体" w:cs="Times New Roman"/>
          <w:szCs w:val="24"/>
        </w:rPr>
        <w:t>关于安全文明施工费支付比例和支付期限的约定：安</w:t>
      </w:r>
      <w:r>
        <w:rPr>
          <w:rFonts w:hint="eastAsia" w:ascii="宋体" w:hAnsi="宋体" w:eastAsia="宋体" w:cs="Times New Roman"/>
          <w:szCs w:val="24"/>
          <w:u w:val="single"/>
        </w:rPr>
        <w:t>全文明施工费包含在工程结算款内。</w:t>
      </w:r>
    </w:p>
    <w:p w14:paraId="5717E423">
      <w:pPr>
        <w:keepNext/>
        <w:keepLines/>
        <w:spacing w:line="360" w:lineRule="exact"/>
        <w:rPr>
          <w:rFonts w:ascii="Times New Roman" w:hAnsi="Times New Roman" w:eastAsia="黑体" w:cs="Times New Roman"/>
          <w:szCs w:val="21"/>
        </w:rPr>
      </w:pPr>
      <w:bookmarkStart w:id="172" w:name="_Toc351203639"/>
      <w:bookmarkEnd w:id="172"/>
      <w:r>
        <w:rPr>
          <w:rFonts w:ascii="Times New Roman" w:hAnsi="Times New Roman" w:eastAsia="黑体" w:cs="Times New Roman"/>
          <w:szCs w:val="21"/>
        </w:rPr>
        <w:t xml:space="preserve">7. </w:t>
      </w:r>
      <w:r>
        <w:rPr>
          <w:rFonts w:ascii="黑体" w:hAnsi="黑体" w:eastAsia="黑体" w:cs="Times New Roman"/>
          <w:szCs w:val="21"/>
        </w:rPr>
        <w:t>工期和进度</w:t>
      </w:r>
    </w:p>
    <w:p w14:paraId="4A97F326">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7.1 </w:t>
      </w:r>
      <w:r>
        <w:rPr>
          <w:rFonts w:ascii="黑体" w:hAnsi="黑体" w:eastAsia="黑体" w:cs="Times New Roman"/>
          <w:szCs w:val="24"/>
        </w:rPr>
        <w:t>施工组织设计</w:t>
      </w:r>
    </w:p>
    <w:p w14:paraId="4257C9E1">
      <w:pPr>
        <w:autoSpaceDE w:val="0"/>
        <w:autoSpaceDN w:val="0"/>
        <w:adjustRightInd w:val="0"/>
        <w:spacing w:line="360" w:lineRule="exact"/>
        <w:ind w:firstLine="420" w:firstLineChars="200"/>
        <w:rPr>
          <w:rFonts w:ascii="Times New Roman" w:hAnsi="Times New Roman" w:eastAsia="宋体" w:cs="Times New Roman"/>
          <w:kern w:val="0"/>
          <w:szCs w:val="24"/>
        </w:rPr>
      </w:pPr>
      <w:r>
        <w:rPr>
          <w:rFonts w:ascii="Times New Roman" w:hAnsi="Times New Roman" w:eastAsia="宋体" w:cs="Times New Roman"/>
          <w:szCs w:val="24"/>
        </w:rPr>
        <w:t>7.1.</w:t>
      </w:r>
      <w:r>
        <w:rPr>
          <w:rFonts w:hint="eastAsia" w:ascii="宋体" w:hAnsi="宋体" w:eastAsia="宋体" w:cs="Times New Roman"/>
          <w:szCs w:val="24"/>
        </w:rPr>
        <w:t>1 合</w:t>
      </w:r>
      <w:r>
        <w:rPr>
          <w:rFonts w:hint="eastAsia" w:ascii="宋体" w:hAnsi="宋体" w:eastAsia="宋体" w:cs="Times New Roman"/>
          <w:kern w:val="0"/>
          <w:szCs w:val="24"/>
        </w:rPr>
        <w:t>同当事人约定的</w:t>
      </w:r>
      <w:r>
        <w:rPr>
          <w:rFonts w:ascii="宋体" w:hAnsi="宋体" w:eastAsia="宋体" w:cs="Times New Roman"/>
          <w:kern w:val="0"/>
          <w:szCs w:val="24"/>
        </w:rPr>
        <w:t>施工组织设计</w:t>
      </w:r>
      <w:r>
        <w:rPr>
          <w:rFonts w:hint="eastAsia" w:ascii="宋体" w:hAnsi="宋体" w:eastAsia="宋体" w:cs="Times New Roman"/>
          <w:kern w:val="0"/>
          <w:szCs w:val="24"/>
        </w:rPr>
        <w:t>应包括的其他内容</w:t>
      </w:r>
      <w:r>
        <w:rPr>
          <w:rFonts w:ascii="宋体" w:hAnsi="宋体" w:eastAsia="宋体" w:cs="Times New Roman"/>
          <w:kern w:val="0"/>
          <w:szCs w:val="24"/>
        </w:rPr>
        <w:t>：</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对特殊工艺施工、危险性较大分部分项工程施工（如基坑支护方案、高大支模架方案、外墙悬挑架等专项施工方案）应按规定办理审批手续和按当地建设行政主管部门要求组织专家论证。</w:t>
      </w:r>
    </w:p>
    <w:p w14:paraId="3CE884BF">
      <w:pPr>
        <w:autoSpaceDE w:val="0"/>
        <w:autoSpaceDN w:val="0"/>
        <w:adjustRightInd w:val="0"/>
        <w:spacing w:line="360" w:lineRule="exact"/>
        <w:ind w:firstLine="420" w:firstLineChars="200"/>
        <w:rPr>
          <w:rFonts w:ascii="Times New Roman" w:hAnsi="Times New Roman" w:eastAsia="宋体" w:cs="Times New Roman"/>
          <w:kern w:val="0"/>
          <w:szCs w:val="24"/>
        </w:rPr>
      </w:pPr>
      <w:r>
        <w:rPr>
          <w:rFonts w:ascii="Times New Roman" w:hAnsi="Times New Roman" w:eastAsia="宋体" w:cs="Times New Roman"/>
          <w:szCs w:val="24"/>
        </w:rPr>
        <w:t xml:space="preserve">7.1.2 </w:t>
      </w:r>
      <w:r>
        <w:rPr>
          <w:rFonts w:ascii="宋体" w:hAnsi="宋体" w:eastAsia="宋体" w:cs="Times New Roman"/>
          <w:kern w:val="0"/>
          <w:szCs w:val="24"/>
        </w:rPr>
        <w:t>施工组织设计的提交和修改</w:t>
      </w:r>
    </w:p>
    <w:p w14:paraId="3F395C38">
      <w:pPr>
        <w:autoSpaceDE w:val="0"/>
        <w:autoSpaceDN w:val="0"/>
        <w:adjustRightInd w:val="0"/>
        <w:spacing w:line="360" w:lineRule="exact"/>
        <w:ind w:firstLine="420" w:firstLineChars="200"/>
        <w:rPr>
          <w:rFonts w:ascii="Times New Roman" w:hAnsi="Times New Roman" w:eastAsia="宋体" w:cs="Times New Roman"/>
          <w:szCs w:val="24"/>
        </w:rPr>
      </w:pPr>
      <w:r>
        <w:rPr>
          <w:rFonts w:ascii="宋体" w:hAnsi="宋体" w:eastAsia="宋体" w:cs="Times New Roman"/>
          <w:kern w:val="0"/>
          <w:szCs w:val="24"/>
        </w:rPr>
        <w:t>承包人提交详细施工组织设计的期限的约定：</w:t>
      </w:r>
      <w:r>
        <w:rPr>
          <w:rFonts w:hint="eastAsia" w:ascii="宋体" w:hAnsi="宋体" w:eastAsia="宋体" w:cs="Times New Roman"/>
          <w:szCs w:val="24"/>
          <w:u w:val="single"/>
        </w:rPr>
        <w:t>接到开工通知（或确定开工日期）后7天内，专项施工方案在相应部位施工前</w:t>
      </w:r>
      <w:r>
        <w:rPr>
          <w:rFonts w:hint="eastAsia" w:ascii="Times New Roman" w:hAnsi="Times New Roman" w:eastAsia="宋体" w:cs="Times New Roman"/>
          <w:szCs w:val="24"/>
          <w:u w:val="single"/>
        </w:rPr>
        <w:t>7</w:t>
      </w:r>
      <w:r>
        <w:rPr>
          <w:rFonts w:hint="eastAsia" w:ascii="宋体" w:hAnsi="宋体" w:eastAsia="宋体" w:cs="Times New Roman"/>
          <w:szCs w:val="24"/>
          <w:u w:val="single"/>
        </w:rPr>
        <w:t>天。发包人对承包人的施工组织设计（或方案）提出质疑和合理修正时，承包人应</w:t>
      </w:r>
      <w:r>
        <w:rPr>
          <w:rFonts w:hint="eastAsia" w:ascii="仿宋_GB2312" w:hAnsi="宋体" w:eastAsia="宋体" w:cs="Times New Roman"/>
          <w:szCs w:val="24"/>
          <w:u w:val="single"/>
        </w:rPr>
        <w:t>7</w:t>
      </w:r>
      <w:r>
        <w:rPr>
          <w:rFonts w:hint="eastAsia" w:ascii="宋体" w:hAnsi="宋体" w:eastAsia="宋体" w:cs="Times New Roman"/>
          <w:szCs w:val="24"/>
          <w:u w:val="single"/>
        </w:rPr>
        <w:t>天内提供修正完成并重新提交；每月</w:t>
      </w:r>
      <w:r>
        <w:rPr>
          <w:rFonts w:ascii="Times New Roman" w:hAnsi="Times New Roman" w:eastAsia="宋体" w:cs="Times New Roman"/>
          <w:szCs w:val="24"/>
          <w:u w:val="single"/>
        </w:rPr>
        <w:t>20</w:t>
      </w:r>
      <w:r>
        <w:rPr>
          <w:rFonts w:hint="eastAsia" w:ascii="宋体" w:hAnsi="宋体" w:eastAsia="宋体" w:cs="Times New Roman"/>
          <w:szCs w:val="24"/>
          <w:u w:val="single"/>
        </w:rPr>
        <w:t>日前向发包方提交下一月进度计划和施工方案</w:t>
      </w:r>
      <w:r>
        <w:rPr>
          <w:rFonts w:ascii="宋体" w:hAnsi="宋体" w:eastAsia="宋体" w:cs="Times New Roman"/>
          <w:szCs w:val="24"/>
        </w:rPr>
        <w:t>；</w:t>
      </w:r>
    </w:p>
    <w:p w14:paraId="1693991A">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发包人和监理人在收到</w:t>
      </w:r>
      <w:r>
        <w:rPr>
          <w:rFonts w:hint="eastAsia" w:ascii="宋体" w:hAnsi="宋体" w:eastAsia="宋体" w:cs="Times New Roman"/>
          <w:szCs w:val="24"/>
        </w:rPr>
        <w:t>详细的施工组织设计</w:t>
      </w:r>
      <w:r>
        <w:rPr>
          <w:rFonts w:ascii="宋体" w:hAnsi="宋体" w:eastAsia="宋体" w:cs="Times New Roman"/>
          <w:szCs w:val="24"/>
        </w:rPr>
        <w:t>后确认或提出修改意见的期限：</w:t>
      </w:r>
      <w:r>
        <w:rPr>
          <w:rFonts w:hint="eastAsia" w:ascii="宋体" w:hAnsi="宋体" w:eastAsia="宋体" w:cs="Times New Roman"/>
          <w:szCs w:val="24"/>
          <w:u w:val="single"/>
        </w:rPr>
        <w:t>收到相应文件后7天内</w:t>
      </w:r>
      <w:r>
        <w:rPr>
          <w:rFonts w:ascii="宋体" w:hAnsi="宋体" w:eastAsia="宋体" w:cs="Times New Roman"/>
          <w:szCs w:val="24"/>
        </w:rPr>
        <w:t>。</w:t>
      </w:r>
    </w:p>
    <w:p w14:paraId="37653C3C">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7</w:t>
      </w:r>
      <w:bookmarkStart w:id="173" w:name="_Toc300934966"/>
      <w:bookmarkEnd w:id="173"/>
      <w:bookmarkStart w:id="174" w:name="_Toc312678005"/>
      <w:bookmarkEnd w:id="174"/>
      <w:bookmarkStart w:id="175" w:name="_Toc297216173"/>
      <w:bookmarkEnd w:id="175"/>
      <w:bookmarkStart w:id="176" w:name="_Toc297123514"/>
      <w:bookmarkEnd w:id="176"/>
      <w:bookmarkStart w:id="177" w:name="_Toc312677479"/>
      <w:bookmarkEnd w:id="177"/>
      <w:bookmarkStart w:id="178" w:name="_Toc303539123"/>
      <w:bookmarkEnd w:id="178"/>
      <w:bookmarkStart w:id="179" w:name="_Toc304295541"/>
      <w:r>
        <w:rPr>
          <w:rFonts w:ascii="Times New Roman" w:hAnsi="Times New Roman" w:eastAsia="黑体" w:cs="Times New Roman"/>
          <w:szCs w:val="24"/>
        </w:rPr>
        <w:t xml:space="preserve">.2 </w:t>
      </w:r>
      <w:r>
        <w:rPr>
          <w:rFonts w:ascii="黑体" w:hAnsi="黑体" w:eastAsia="黑体" w:cs="Times New Roman"/>
          <w:szCs w:val="24"/>
        </w:rPr>
        <w:t>施工进度计划</w:t>
      </w:r>
      <w:bookmarkEnd w:id="179"/>
    </w:p>
    <w:p w14:paraId="41C48FB5">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7.2.2 </w:t>
      </w:r>
      <w:r>
        <w:rPr>
          <w:rFonts w:ascii="宋体" w:hAnsi="宋体" w:eastAsia="宋体" w:cs="Times New Roman"/>
          <w:szCs w:val="24"/>
        </w:rPr>
        <w:t>施工进度计划的修订</w:t>
      </w:r>
    </w:p>
    <w:p w14:paraId="2CC9D84A">
      <w:pPr>
        <w:spacing w:line="360" w:lineRule="exact"/>
        <w:ind w:firstLine="420" w:firstLineChars="200"/>
        <w:rPr>
          <w:rFonts w:ascii="仿宋_GB2312" w:hAnsi="Times New Roman" w:eastAsia="仿宋_GB2312" w:cs="Times New Roman"/>
          <w:szCs w:val="24"/>
        </w:rPr>
      </w:pPr>
      <w:r>
        <w:rPr>
          <w:rFonts w:ascii="宋体" w:hAnsi="宋体" w:eastAsia="宋体" w:cs="Times New Roman"/>
          <w:szCs w:val="24"/>
        </w:rPr>
        <w:t>发包人和监理人在收到修订的施工进度计划后确认或提出修改意见的期限：</w:t>
      </w:r>
      <w:r>
        <w:rPr>
          <w:rFonts w:hint="eastAsia" w:ascii="仿宋_GB2312" w:hAnsi="宋体" w:eastAsia="宋体" w:cs="Times New Roman"/>
          <w:szCs w:val="24"/>
          <w:u w:val="single"/>
        </w:rPr>
        <w:t xml:space="preserve"> </w:t>
      </w:r>
      <w:r>
        <w:rPr>
          <w:rFonts w:hint="eastAsia" w:ascii="宋体" w:hAnsi="宋体" w:eastAsia="宋体" w:cs="Times New Roman"/>
          <w:szCs w:val="24"/>
          <w:u w:val="single"/>
        </w:rPr>
        <w:t>收到相应文件后</w:t>
      </w:r>
      <w:r>
        <w:rPr>
          <w:rFonts w:ascii="Times New Roman" w:hAnsi="Times New Roman" w:eastAsia="宋体" w:cs="Times New Roman"/>
          <w:szCs w:val="24"/>
          <w:u w:val="single"/>
        </w:rPr>
        <w:t>7</w:t>
      </w:r>
      <w:r>
        <w:rPr>
          <w:rFonts w:hint="eastAsia" w:ascii="宋体" w:hAnsi="宋体" w:eastAsia="宋体" w:cs="Times New Roman"/>
          <w:szCs w:val="24"/>
          <w:u w:val="single"/>
        </w:rPr>
        <w:t>天内</w:t>
      </w:r>
      <w:r>
        <w:rPr>
          <w:rFonts w:hint="eastAsia" w:ascii="仿宋_GB2312" w:hAnsi="宋体" w:eastAsia="宋体" w:cs="Times New Roman"/>
          <w:szCs w:val="24"/>
          <w:u w:val="single"/>
        </w:rPr>
        <w:t xml:space="preserve"> </w:t>
      </w:r>
      <w:r>
        <w:rPr>
          <w:rFonts w:hint="eastAsia" w:ascii="宋体" w:hAnsi="宋体" w:eastAsia="宋体" w:cs="Times New Roman"/>
          <w:szCs w:val="24"/>
        </w:rPr>
        <w:t>。</w:t>
      </w:r>
    </w:p>
    <w:p w14:paraId="567B57F0">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7.3 </w:t>
      </w:r>
      <w:r>
        <w:rPr>
          <w:rFonts w:ascii="黑体" w:hAnsi="黑体" w:eastAsia="黑体" w:cs="Times New Roman"/>
          <w:szCs w:val="24"/>
        </w:rPr>
        <w:t>开工</w:t>
      </w:r>
    </w:p>
    <w:p w14:paraId="54E96FD9">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7.3.1 </w:t>
      </w:r>
      <w:r>
        <w:rPr>
          <w:rFonts w:ascii="宋体" w:hAnsi="宋体" w:eastAsia="宋体" w:cs="Times New Roman"/>
          <w:szCs w:val="24"/>
        </w:rPr>
        <w:t>开工准备</w:t>
      </w:r>
    </w:p>
    <w:p w14:paraId="1A74B39F">
      <w:pPr>
        <w:spacing w:line="360" w:lineRule="exact"/>
        <w:ind w:firstLine="645"/>
        <w:rPr>
          <w:rFonts w:ascii="Times New Roman" w:hAnsi="Times New Roman" w:eastAsia="宋体" w:cs="Times New Roman"/>
          <w:szCs w:val="24"/>
          <w:u w:val="single"/>
        </w:rPr>
      </w:pPr>
      <w:r>
        <w:rPr>
          <w:rFonts w:ascii="宋体" w:hAnsi="宋体" w:eastAsia="宋体" w:cs="Times New Roman"/>
          <w:szCs w:val="24"/>
        </w:rPr>
        <w:t>关于承包人提交</w:t>
      </w:r>
      <w:r>
        <w:rPr>
          <w:rFonts w:ascii="宋体" w:hAnsi="宋体" w:eastAsia="宋体" w:cs="Times New Roman"/>
          <w:kern w:val="0"/>
          <w:szCs w:val="24"/>
        </w:rPr>
        <w:t>工程开工报审表的期限：</w:t>
      </w:r>
      <w:r>
        <w:rPr>
          <w:rFonts w:hint="eastAsia" w:ascii="宋体" w:hAnsi="宋体" w:eastAsia="宋体" w:cs="Times New Roman"/>
          <w:szCs w:val="24"/>
          <w:u w:val="single"/>
        </w:rPr>
        <w:t>接到开工通知（或确定开工日期）后7天内</w:t>
      </w:r>
      <w:r>
        <w:rPr>
          <w:rFonts w:ascii="Times New Roman" w:hAnsi="Times New Roman" w:eastAsia="宋体" w:cs="Times New Roman"/>
          <w:szCs w:val="24"/>
          <w:u w:val="single"/>
        </w:rPr>
        <w:t xml:space="preserve"> </w:t>
      </w:r>
      <w:r>
        <w:rPr>
          <w:rFonts w:ascii="宋体" w:hAnsi="宋体" w:eastAsia="宋体" w:cs="Times New Roman"/>
          <w:szCs w:val="24"/>
        </w:rPr>
        <w:t>。</w:t>
      </w:r>
    </w:p>
    <w:p w14:paraId="0A1BA1CC">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关于发包人应完成的其他开工准备工作及期限：</w:t>
      </w:r>
      <w:r>
        <w:rPr>
          <w:rFonts w:hint="eastAsia" w:ascii="宋体" w:hAnsi="宋体" w:eastAsia="宋体" w:cs="Times New Roman"/>
          <w:szCs w:val="24"/>
          <w:u w:val="single"/>
        </w:rPr>
        <w:t>开工前7天</w:t>
      </w:r>
      <w:r>
        <w:rPr>
          <w:rFonts w:ascii="宋体" w:hAnsi="宋体" w:eastAsia="宋体" w:cs="Times New Roman"/>
          <w:szCs w:val="24"/>
        </w:rPr>
        <w:t>。</w:t>
      </w:r>
    </w:p>
    <w:p w14:paraId="611ACA14">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关于承包人应完成的其他开工准备工作及期限：</w:t>
      </w:r>
      <w:r>
        <w:rPr>
          <w:rFonts w:hint="eastAsia" w:ascii="宋体" w:hAnsi="宋体" w:eastAsia="宋体" w:cs="Times New Roman"/>
          <w:szCs w:val="24"/>
          <w:u w:val="single"/>
        </w:rPr>
        <w:t>开工前。</w:t>
      </w:r>
    </w:p>
    <w:p w14:paraId="5BC7393B">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7.3.2</w:t>
      </w:r>
      <w:r>
        <w:rPr>
          <w:rFonts w:ascii="宋体" w:hAnsi="宋体" w:eastAsia="宋体" w:cs="Times New Roman"/>
          <w:szCs w:val="24"/>
        </w:rPr>
        <w:t>开工通知</w:t>
      </w:r>
    </w:p>
    <w:p w14:paraId="04EB6FB8">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发包人（或监理人）在计划开工日期前7天向承包人发出开工通知，工期自开工通知中载明的开工日期起算。</w:t>
      </w:r>
    </w:p>
    <w:p w14:paraId="57298CCE">
      <w:pPr>
        <w:spacing w:line="360" w:lineRule="exact"/>
        <w:ind w:firstLine="420" w:firstLineChars="200"/>
        <w:rPr>
          <w:rFonts w:ascii="仿宋_GB2312" w:hAnsi="Times New Roman" w:eastAsia="仿宋_GB2312" w:cs="Times New Roman"/>
          <w:szCs w:val="24"/>
        </w:rPr>
      </w:pPr>
      <w:r>
        <w:rPr>
          <w:rFonts w:hint="eastAsia" w:ascii="宋体" w:hAnsi="宋体" w:eastAsia="宋体" w:cs="Times New Roman"/>
          <w:szCs w:val="24"/>
        </w:rPr>
        <w:t>因发包人原因造成监理人未能在计划开工日期之日起90天内发出开工通知的，承包人有权提出价格调整要求，或者解除合同。发包人应当承担由此增加的费用或赔偿承包人的损失。</w:t>
      </w:r>
    </w:p>
    <w:p w14:paraId="700BA60E">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7.4 </w:t>
      </w:r>
      <w:r>
        <w:rPr>
          <w:rFonts w:ascii="黑体" w:hAnsi="黑体" w:eastAsia="黑体" w:cs="Times New Roman"/>
          <w:szCs w:val="24"/>
        </w:rPr>
        <w:t>测量放线</w:t>
      </w:r>
    </w:p>
    <w:p w14:paraId="09EE6485">
      <w:pPr>
        <w:spacing w:line="360" w:lineRule="exact"/>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7.4.1</w:t>
      </w:r>
      <w:r>
        <w:rPr>
          <w:rFonts w:ascii="宋体" w:hAnsi="宋体" w:eastAsia="宋体" w:cs="Times New Roman"/>
          <w:szCs w:val="24"/>
        </w:rPr>
        <w:t>发包人通过监理人向承包人提供测量基准点、基准线和水准点及其书面资料的期限：</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按合同通用条款执行 </w:t>
      </w:r>
      <w:r>
        <w:rPr>
          <w:rFonts w:ascii="宋体" w:hAnsi="宋体" w:eastAsia="宋体" w:cs="Times New Roman"/>
          <w:szCs w:val="24"/>
        </w:rPr>
        <w:t>。</w:t>
      </w:r>
    </w:p>
    <w:p w14:paraId="1992F87E">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7</w:t>
      </w:r>
      <w:bookmarkStart w:id="180" w:name="_Toc303539125"/>
      <w:bookmarkEnd w:id="180"/>
      <w:bookmarkStart w:id="181" w:name="_Toc304295546"/>
      <w:bookmarkEnd w:id="181"/>
      <w:bookmarkStart w:id="182" w:name="_Toc312677484"/>
      <w:bookmarkEnd w:id="182"/>
      <w:bookmarkStart w:id="183" w:name="_Toc297123516"/>
      <w:bookmarkEnd w:id="183"/>
      <w:bookmarkStart w:id="184" w:name="_Toc297216175"/>
      <w:bookmarkEnd w:id="184"/>
      <w:bookmarkStart w:id="185" w:name="_Toc312678010"/>
      <w:bookmarkEnd w:id="185"/>
      <w:bookmarkStart w:id="186" w:name="_Toc300934968"/>
      <w:r>
        <w:rPr>
          <w:rFonts w:ascii="Times New Roman" w:hAnsi="Times New Roman" w:eastAsia="黑体" w:cs="Times New Roman"/>
          <w:szCs w:val="24"/>
        </w:rPr>
        <w:t xml:space="preserve">.5 </w:t>
      </w:r>
      <w:r>
        <w:rPr>
          <w:rFonts w:ascii="黑体" w:hAnsi="黑体" w:eastAsia="黑体" w:cs="Times New Roman"/>
          <w:szCs w:val="24"/>
        </w:rPr>
        <w:t>工期延误</w:t>
      </w:r>
      <w:bookmarkEnd w:id="186"/>
    </w:p>
    <w:p w14:paraId="3653B9C3">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7.5.1 </w:t>
      </w:r>
      <w:r>
        <w:rPr>
          <w:rFonts w:ascii="宋体" w:hAnsi="宋体" w:eastAsia="宋体" w:cs="Times New Roman"/>
          <w:szCs w:val="24"/>
        </w:rPr>
        <w:t>因发包人原因导致工期延误</w:t>
      </w:r>
    </w:p>
    <w:p w14:paraId="450A4C53">
      <w:pPr>
        <w:jc w:val="left"/>
        <w:rPr>
          <w:rFonts w:hint="eastAsia" w:ascii="宋体" w:hAnsi="宋体" w:eastAsia="宋体" w:cs="Times New Roman"/>
          <w:szCs w:val="24"/>
          <w:u w:val="single"/>
        </w:rPr>
      </w:pPr>
      <w:r>
        <w:rPr>
          <w:rFonts w:ascii="宋体" w:hAnsi="宋体" w:eastAsia="宋体" w:cs="Times New Roman"/>
          <w:szCs w:val="24"/>
        </w:rPr>
        <w:t>因发包人原因导致工期延误的其他情形：</w:t>
      </w:r>
      <w:r>
        <w:rPr>
          <w:rFonts w:hint="eastAsia" w:ascii="宋体" w:hAnsi="宋体" w:eastAsia="宋体" w:cs="Times New Roman"/>
          <w:szCs w:val="24"/>
          <w:u w:val="single"/>
        </w:rPr>
        <w:t xml:space="preserve">      /      </w:t>
      </w:r>
      <w:r>
        <w:rPr>
          <w:rFonts w:hint="eastAsia" w:ascii="宋体" w:hAnsi="宋体" w:eastAsia="宋体" w:cs="Times New Roman"/>
          <w:szCs w:val="24"/>
        </w:rPr>
        <w:t>。</w:t>
      </w:r>
    </w:p>
    <w:p w14:paraId="371EE7DE">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7</w:t>
      </w:r>
      <w:bookmarkStart w:id="187" w:name="_Toc304295548"/>
      <w:bookmarkEnd w:id="187"/>
      <w:bookmarkStart w:id="188" w:name="_Toc312677486"/>
      <w:bookmarkEnd w:id="188"/>
      <w:bookmarkStart w:id="189" w:name="_Toc297123518"/>
      <w:bookmarkEnd w:id="189"/>
      <w:bookmarkStart w:id="190" w:name="_Toc318581169"/>
      <w:bookmarkEnd w:id="190"/>
      <w:bookmarkStart w:id="191" w:name="_Toc303539127"/>
      <w:bookmarkEnd w:id="191"/>
      <w:bookmarkStart w:id="192" w:name="_Toc297216177"/>
      <w:bookmarkEnd w:id="192"/>
      <w:bookmarkStart w:id="193" w:name="_Toc312678012"/>
      <w:bookmarkEnd w:id="193"/>
      <w:bookmarkStart w:id="194" w:name="_Toc300934970"/>
      <w:r>
        <w:rPr>
          <w:rFonts w:ascii="Times New Roman" w:hAnsi="Times New Roman" w:eastAsia="宋体" w:cs="Times New Roman"/>
          <w:szCs w:val="24"/>
        </w:rPr>
        <w:t xml:space="preserve">.5.2 </w:t>
      </w:r>
      <w:r>
        <w:rPr>
          <w:rFonts w:ascii="宋体" w:hAnsi="宋体" w:eastAsia="宋体" w:cs="Times New Roman"/>
          <w:szCs w:val="24"/>
        </w:rPr>
        <w:t>因承包人原因导致工期延误</w:t>
      </w:r>
      <w:bookmarkEnd w:id="194"/>
    </w:p>
    <w:p w14:paraId="37B1EFB7">
      <w:pPr>
        <w:spacing w:line="360" w:lineRule="exact"/>
        <w:ind w:firstLine="420" w:firstLineChars="200"/>
        <w:rPr>
          <w:rFonts w:ascii="仿宋_GB2312" w:hAnsi="Times New Roman" w:eastAsia="仿宋_GB2312" w:cs="Times New Roman"/>
          <w:i/>
          <w:iCs/>
          <w:szCs w:val="24"/>
          <w:u w:val="single"/>
        </w:rPr>
      </w:pPr>
      <w:r>
        <w:rPr>
          <w:rFonts w:ascii="宋体" w:hAnsi="宋体" w:eastAsia="宋体" w:cs="Times New Roman"/>
          <w:szCs w:val="24"/>
        </w:rPr>
        <w:t>因</w:t>
      </w:r>
      <w:bookmarkStart w:id="195" w:name="_Toc312677487"/>
      <w:bookmarkEnd w:id="195"/>
      <w:bookmarkStart w:id="196" w:name="_Toc312678013"/>
      <w:bookmarkEnd w:id="196"/>
      <w:bookmarkStart w:id="197" w:name="_Toc318581170"/>
      <w:r>
        <w:rPr>
          <w:rFonts w:ascii="宋体" w:hAnsi="宋体" w:eastAsia="宋体" w:cs="Times New Roman"/>
          <w:szCs w:val="24"/>
        </w:rPr>
        <w:t>承包人原因造成工期延误，逾期竣工违约金的计算方法为</w:t>
      </w:r>
      <w:bookmarkEnd w:id="197"/>
      <w:r>
        <w:rPr>
          <w:rFonts w:hint="eastAsia" w:ascii="宋体" w:hAnsi="宋体" w:eastAsia="宋体" w:cs="Times New Roman"/>
          <w:szCs w:val="24"/>
        </w:rPr>
        <w:t>：</w:t>
      </w:r>
      <w:r>
        <w:rPr>
          <w:rFonts w:hint="eastAsia" w:ascii="宋体" w:hAnsi="宋体" w:eastAsia="宋体" w:cs="Times New Roman"/>
          <w:szCs w:val="24"/>
          <w:u w:val="single"/>
        </w:rPr>
        <w:t>每天500元</w:t>
      </w:r>
      <w:r>
        <w:rPr>
          <w:rFonts w:hint="eastAsia" w:ascii="宋体" w:hAnsi="宋体" w:eastAsia="宋体" w:cs="Times New Roman"/>
          <w:i/>
          <w:iCs/>
          <w:szCs w:val="24"/>
          <w:u w:val="single"/>
        </w:rPr>
        <w:t>。</w:t>
      </w:r>
    </w:p>
    <w:p w14:paraId="4045FE92">
      <w:pPr>
        <w:spacing w:line="360" w:lineRule="exact"/>
        <w:ind w:firstLine="420" w:firstLineChars="200"/>
        <w:rPr>
          <w:rFonts w:ascii="Times New Roman" w:hAnsi="Times New Roman" w:eastAsia="宋体" w:cs="Times New Roman"/>
          <w:szCs w:val="24"/>
          <w:u w:val="single"/>
        </w:rPr>
      </w:pPr>
      <w:r>
        <w:rPr>
          <w:rFonts w:hint="eastAsia" w:ascii="宋体" w:hAnsi="宋体" w:eastAsia="宋体" w:cs="Times New Roman"/>
          <w:szCs w:val="24"/>
        </w:rPr>
        <w:t>因承包人原因造成工期延误，逾</w:t>
      </w:r>
      <w:bookmarkStart w:id="198" w:name="_Toc312678014"/>
      <w:bookmarkEnd w:id="198"/>
      <w:bookmarkStart w:id="199" w:name="_Toc318581171"/>
      <w:r>
        <w:rPr>
          <w:rFonts w:hint="eastAsia" w:ascii="宋体" w:hAnsi="宋体" w:eastAsia="宋体" w:cs="Times New Roman"/>
          <w:szCs w:val="24"/>
        </w:rPr>
        <w:t>期竣工违约金的上限：</w:t>
      </w:r>
      <w:bookmarkEnd w:id="199"/>
      <w:r>
        <w:rPr>
          <w:rFonts w:hint="eastAsia" w:ascii="宋体" w:hAnsi="宋体" w:eastAsia="宋体" w:cs="Times New Roman"/>
          <w:szCs w:val="24"/>
          <w:u w:val="single"/>
        </w:rPr>
        <w:t>履约保证金额度，对发包人造成损失超过违约金的，除承担违约金外同时赔偿发包人损失。</w:t>
      </w:r>
    </w:p>
    <w:p w14:paraId="5843FEA1">
      <w:pPr>
        <w:spacing w:line="360" w:lineRule="exact"/>
        <w:ind w:firstLine="420" w:firstLineChars="200"/>
        <w:rPr>
          <w:rFonts w:hint="eastAsia" w:ascii="宋体" w:hAnsi="宋体" w:eastAsia="宋体" w:cs="宋体"/>
          <w:szCs w:val="24"/>
        </w:rPr>
      </w:pPr>
      <w:r>
        <w:rPr>
          <w:rFonts w:hint="eastAsia" w:ascii="宋体" w:hAnsi="宋体" w:eastAsia="宋体" w:cs="宋体"/>
          <w:szCs w:val="24"/>
        </w:rPr>
        <w:t>7</w:t>
      </w:r>
      <w:bookmarkStart w:id="200" w:name="_Toc304295549"/>
      <w:bookmarkStart w:id="201" w:name="_Toc297216178"/>
      <w:bookmarkStart w:id="202" w:name="_Toc312678015"/>
      <w:bookmarkStart w:id="203" w:name="_Toc300934971"/>
      <w:bookmarkStart w:id="204" w:name="_Toc303539128"/>
      <w:bookmarkStart w:id="205" w:name="_Toc297123519"/>
      <w:r>
        <w:rPr>
          <w:rFonts w:hint="eastAsia" w:ascii="宋体" w:hAnsi="宋体" w:eastAsia="宋体" w:cs="宋体"/>
          <w:szCs w:val="24"/>
        </w:rPr>
        <w:t>.6 不</w:t>
      </w:r>
      <w:bookmarkEnd w:id="200"/>
      <w:bookmarkEnd w:id="201"/>
      <w:bookmarkEnd w:id="202"/>
      <w:bookmarkEnd w:id="203"/>
      <w:bookmarkEnd w:id="204"/>
      <w:bookmarkEnd w:id="205"/>
      <w:r>
        <w:rPr>
          <w:rFonts w:hint="eastAsia" w:ascii="宋体" w:hAnsi="宋体" w:eastAsia="宋体" w:cs="宋体"/>
          <w:szCs w:val="24"/>
        </w:rPr>
        <w:t>利物质条件</w:t>
      </w:r>
    </w:p>
    <w:p w14:paraId="438C4D4A">
      <w:pPr>
        <w:spacing w:line="360" w:lineRule="exact"/>
        <w:ind w:firstLine="420" w:firstLineChars="200"/>
        <w:rPr>
          <w:rFonts w:hint="eastAsia" w:ascii="宋体" w:hAnsi="宋体" w:eastAsia="宋体" w:cs="宋体"/>
          <w:szCs w:val="24"/>
        </w:rPr>
      </w:pPr>
      <w:bookmarkStart w:id="206" w:name="_Toc300934972"/>
      <w:bookmarkStart w:id="207" w:name="_Toc318581172"/>
      <w:bookmarkStart w:id="208" w:name="_Toc297216179"/>
      <w:bookmarkStart w:id="209" w:name="_Toc312678016"/>
      <w:bookmarkStart w:id="210" w:name="_Toc303539129"/>
      <w:bookmarkStart w:id="211" w:name="_Toc297123520"/>
      <w:bookmarkStart w:id="212" w:name="_Toc304295550"/>
      <w:r>
        <w:rPr>
          <w:rFonts w:hint="eastAsia" w:ascii="宋体" w:hAnsi="宋体" w:eastAsia="宋体" w:cs="宋体"/>
          <w:szCs w:val="24"/>
        </w:rPr>
        <w:t>不利物质条件的其他情形和有关约定：</w:t>
      </w:r>
    </w:p>
    <w:p w14:paraId="787DF1D0">
      <w:pPr>
        <w:spacing w:line="360" w:lineRule="exact"/>
        <w:ind w:firstLine="420" w:firstLineChars="20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u w:val="single"/>
        </w:rPr>
        <w:t>每天连续停水、停电超过8小时以上。</w:t>
      </w:r>
    </w:p>
    <w:p w14:paraId="12B2A1EA">
      <w:pPr>
        <w:spacing w:line="360" w:lineRule="exact"/>
        <w:ind w:firstLine="420" w:firstLineChars="200"/>
        <w:rPr>
          <w:rFonts w:hint="eastAsia" w:ascii="宋体" w:hAnsi="宋体" w:eastAsia="宋体" w:cs="宋体"/>
          <w:szCs w:val="24"/>
          <w:u w:val="single"/>
        </w:rPr>
      </w:pPr>
      <w:r>
        <w:rPr>
          <w:rFonts w:hint="eastAsia" w:ascii="宋体" w:hAnsi="宋体" w:eastAsia="宋体" w:cs="宋体"/>
          <w:szCs w:val="24"/>
        </w:rPr>
        <w:t>（2）</w:t>
      </w:r>
      <w:r>
        <w:rPr>
          <w:rFonts w:hint="eastAsia" w:ascii="宋体" w:hAnsi="宋体" w:eastAsia="宋体" w:cs="宋体"/>
          <w:szCs w:val="24"/>
          <w:u w:val="single"/>
        </w:rPr>
        <w:t>因政府行政命令（因承包人原因的除外）。</w:t>
      </w:r>
    </w:p>
    <w:p w14:paraId="69FA5078">
      <w:pPr>
        <w:spacing w:line="360" w:lineRule="exact"/>
        <w:ind w:firstLine="420" w:firstLineChars="200"/>
        <w:rPr>
          <w:rFonts w:hint="eastAsia" w:ascii="宋体" w:hAnsi="宋体" w:eastAsia="宋体" w:cs="宋体"/>
          <w:szCs w:val="24"/>
          <w:u w:val="single"/>
        </w:rPr>
      </w:pPr>
      <w:r>
        <w:rPr>
          <w:rFonts w:hint="eastAsia" w:ascii="宋体" w:hAnsi="宋体" w:eastAsia="宋体" w:cs="宋体"/>
          <w:szCs w:val="24"/>
        </w:rPr>
        <w:t>（3）</w:t>
      </w:r>
      <w:r>
        <w:rPr>
          <w:rFonts w:hint="eastAsia" w:ascii="宋体" w:hAnsi="宋体" w:eastAsia="宋体" w:cs="宋体"/>
          <w:szCs w:val="24"/>
          <w:u w:val="single"/>
        </w:rPr>
        <w:t>非因双方原因而无法控制的爆炸、火灾等事件。</w:t>
      </w:r>
    </w:p>
    <w:p w14:paraId="42EDE9DB">
      <w:pPr>
        <w:spacing w:line="360" w:lineRule="exact"/>
        <w:ind w:firstLine="420" w:firstLineChars="200"/>
        <w:rPr>
          <w:rFonts w:hint="eastAsia" w:ascii="宋体" w:hAnsi="宋体" w:eastAsia="宋体" w:cs="宋体"/>
          <w:szCs w:val="24"/>
          <w:u w:val="single"/>
        </w:rPr>
      </w:pPr>
      <w:r>
        <w:rPr>
          <w:rFonts w:hint="eastAsia" w:ascii="宋体" w:hAnsi="宋体" w:eastAsia="宋体" w:cs="宋体"/>
          <w:szCs w:val="24"/>
        </w:rPr>
        <w:t>（4）</w:t>
      </w:r>
      <w:r>
        <w:rPr>
          <w:rFonts w:hint="eastAsia" w:ascii="宋体" w:hAnsi="宋体" w:eastAsia="宋体" w:cs="宋体"/>
          <w:szCs w:val="24"/>
          <w:u w:val="single"/>
        </w:rPr>
        <w:t>施工场地周围地下管线保护，地下障碍物和污染物排除，邻近建筑物、构筑物的保护要求。</w:t>
      </w:r>
    </w:p>
    <w:p w14:paraId="3C313D5E">
      <w:pPr>
        <w:spacing w:line="360" w:lineRule="exact"/>
        <w:ind w:firstLine="420" w:firstLineChars="200"/>
        <w:rPr>
          <w:rFonts w:hint="eastAsia" w:ascii="宋体" w:hAnsi="宋体" w:eastAsia="宋体" w:cs="宋体"/>
          <w:szCs w:val="24"/>
          <w:u w:val="single"/>
        </w:rPr>
      </w:pPr>
      <w:r>
        <w:rPr>
          <w:rFonts w:hint="eastAsia" w:ascii="宋体" w:hAnsi="宋体" w:eastAsia="宋体" w:cs="宋体"/>
          <w:szCs w:val="24"/>
        </w:rPr>
        <w:t>（5）</w:t>
      </w:r>
      <w:r>
        <w:rPr>
          <w:rFonts w:hint="eastAsia" w:ascii="宋体" w:hAnsi="宋体" w:eastAsia="宋体" w:cs="宋体"/>
          <w:szCs w:val="24"/>
          <w:u w:val="single"/>
        </w:rPr>
        <w:t>地质勘探资料未涉及的地下管道、暗沟、岩层等。</w:t>
      </w:r>
    </w:p>
    <w:p w14:paraId="480C0B93">
      <w:pPr>
        <w:spacing w:line="360" w:lineRule="exact"/>
        <w:ind w:firstLine="420" w:firstLineChars="200"/>
        <w:rPr>
          <w:rFonts w:hint="eastAsia" w:ascii="宋体" w:hAnsi="宋体" w:eastAsia="宋体" w:cs="宋体"/>
          <w:szCs w:val="24"/>
        </w:rPr>
      </w:pPr>
      <w:r>
        <w:rPr>
          <w:rFonts w:hint="eastAsia" w:ascii="宋体" w:hAnsi="宋体" w:eastAsia="宋体" w:cs="宋体"/>
          <w:szCs w:val="24"/>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06"/>
    <w:bookmarkEnd w:id="207"/>
    <w:bookmarkEnd w:id="208"/>
    <w:bookmarkEnd w:id="209"/>
    <w:bookmarkEnd w:id="210"/>
    <w:bookmarkEnd w:id="211"/>
    <w:bookmarkEnd w:id="212"/>
    <w:p w14:paraId="1124EABC">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7</w:t>
      </w:r>
      <w:bookmarkStart w:id="213" w:name="_Toc297123521"/>
      <w:bookmarkEnd w:id="213"/>
      <w:bookmarkStart w:id="214" w:name="_Toc312678017"/>
      <w:bookmarkEnd w:id="214"/>
      <w:bookmarkStart w:id="215" w:name="_Toc304295551"/>
      <w:bookmarkEnd w:id="215"/>
      <w:bookmarkStart w:id="216" w:name="_Toc297216180"/>
      <w:bookmarkEnd w:id="216"/>
      <w:bookmarkStart w:id="217" w:name="_Toc303539130"/>
      <w:bookmarkEnd w:id="217"/>
      <w:bookmarkStart w:id="218" w:name="_Toc300934973"/>
      <w:r>
        <w:rPr>
          <w:rFonts w:ascii="Times New Roman" w:hAnsi="Times New Roman" w:eastAsia="黑体" w:cs="Times New Roman"/>
          <w:szCs w:val="24"/>
        </w:rPr>
        <w:t>.7</w:t>
      </w:r>
      <w:r>
        <w:rPr>
          <w:rFonts w:ascii="黑体" w:hAnsi="黑体" w:eastAsia="黑体" w:cs="Times New Roman"/>
          <w:szCs w:val="24"/>
        </w:rPr>
        <w:t>异常恶劣的气候条件</w:t>
      </w:r>
      <w:bookmarkEnd w:id="218"/>
    </w:p>
    <w:p w14:paraId="504DEA17">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发包人和承包人同意以下情形视为异常恶劣的气候条件：</w:t>
      </w:r>
    </w:p>
    <w:p w14:paraId="581A4C3F">
      <w:pPr>
        <w:spacing w:line="360" w:lineRule="exact"/>
        <w:ind w:firstLine="420" w:firstLineChars="200"/>
        <w:rPr>
          <w:rFonts w:ascii="Times New Roman" w:hAnsi="Times New Roman" w:eastAsia="宋体" w:cs="Times New Roman"/>
          <w:szCs w:val="24"/>
          <w:u w:val="single"/>
        </w:rPr>
      </w:pPr>
      <w:r>
        <w:rPr>
          <w:rFonts w:ascii="宋体" w:hAnsi="宋体" w:eastAsia="宋体" w:cs="Times New Roman"/>
          <w:szCs w:val="24"/>
        </w:rPr>
        <w:t>（</w:t>
      </w:r>
      <w:r>
        <w:rPr>
          <w:rFonts w:hint="eastAsia" w:ascii="宋体" w:hAnsi="宋体" w:eastAsia="宋体" w:cs="Times New Roman"/>
          <w:szCs w:val="24"/>
        </w:rPr>
        <w:t>1</w:t>
      </w:r>
      <w:r>
        <w:rPr>
          <w:rFonts w:ascii="宋体" w:hAnsi="宋体" w:eastAsia="宋体" w:cs="Times New Roman"/>
          <w:szCs w:val="24"/>
        </w:rPr>
        <w:t>）</w:t>
      </w:r>
      <w:r>
        <w:rPr>
          <w:rFonts w:hint="eastAsia" w:ascii="宋体" w:hAnsi="宋体" w:eastAsia="宋体" w:cs="Times New Roman"/>
          <w:szCs w:val="24"/>
          <w:u w:val="single"/>
        </w:rPr>
        <w:t>8级以上持续</w:t>
      </w:r>
      <w:r>
        <w:rPr>
          <w:rFonts w:hint="eastAsia" w:ascii="Times New Roman" w:hAnsi="Times New Roman" w:eastAsia="宋体" w:cs="Times New Roman"/>
          <w:szCs w:val="24"/>
          <w:u w:val="single"/>
        </w:rPr>
        <w:t>24</w:t>
      </w:r>
      <w:r>
        <w:rPr>
          <w:rFonts w:hint="eastAsia" w:ascii="宋体" w:hAnsi="宋体" w:eastAsia="宋体" w:cs="Times New Roman"/>
          <w:szCs w:val="24"/>
          <w:u w:val="single"/>
        </w:rPr>
        <w:t>小时的大风（台风）；</w:t>
      </w:r>
    </w:p>
    <w:p w14:paraId="03EBE934">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（2）</w:t>
      </w:r>
      <w:r>
        <w:rPr>
          <w:rFonts w:hint="eastAsia" w:ascii="宋体" w:hAnsi="宋体" w:eastAsia="宋体" w:cs="Times New Roman"/>
          <w:szCs w:val="24"/>
          <w:u w:val="single"/>
        </w:rPr>
        <w:t>24小时内持续降雨且降水量为</w:t>
      </w:r>
      <w:r>
        <w:rPr>
          <w:rFonts w:hint="eastAsia" w:ascii="Times New Roman" w:hAnsi="Times New Roman" w:eastAsia="宋体" w:cs="Times New Roman"/>
          <w:szCs w:val="24"/>
          <w:u w:val="single"/>
        </w:rPr>
        <w:t>200mm</w:t>
      </w:r>
      <w:r>
        <w:rPr>
          <w:rFonts w:hint="eastAsia" w:ascii="宋体" w:hAnsi="宋体" w:eastAsia="宋体" w:cs="Times New Roman"/>
          <w:szCs w:val="24"/>
          <w:u w:val="single"/>
        </w:rPr>
        <w:t>以上</w:t>
      </w:r>
      <w:r>
        <w:rPr>
          <w:rFonts w:ascii="Times New Roman" w:hAnsi="Times New Roman" w:eastAsia="宋体" w:cs="Times New Roman"/>
          <w:szCs w:val="24"/>
          <w:u w:val="single"/>
        </w:rPr>
        <w:t xml:space="preserve"> </w:t>
      </w:r>
      <w:r>
        <w:rPr>
          <w:rFonts w:ascii="宋体" w:hAnsi="宋体" w:eastAsia="宋体" w:cs="Times New Roman"/>
          <w:szCs w:val="24"/>
        </w:rPr>
        <w:t>；</w:t>
      </w:r>
    </w:p>
    <w:p w14:paraId="0C5E1AFA">
      <w:pPr>
        <w:spacing w:line="360" w:lineRule="exact"/>
        <w:ind w:firstLine="420" w:firstLineChars="200"/>
        <w:rPr>
          <w:rFonts w:hint="eastAsia" w:ascii="宋体" w:hAnsi="宋体" w:eastAsia="宋体" w:cs="Times New Roman"/>
          <w:szCs w:val="24"/>
        </w:rPr>
      </w:pPr>
      <w:r>
        <w:rPr>
          <w:rFonts w:ascii="宋体" w:hAnsi="宋体" w:eastAsia="宋体" w:cs="Times New Roman"/>
          <w:szCs w:val="24"/>
        </w:rPr>
        <w:t>（</w:t>
      </w:r>
      <w:r>
        <w:rPr>
          <w:rFonts w:hint="eastAsia" w:ascii="宋体" w:hAnsi="宋体" w:eastAsia="宋体" w:cs="Times New Roman"/>
          <w:szCs w:val="24"/>
        </w:rPr>
        <w:t>3</w:t>
      </w:r>
      <w:r>
        <w:rPr>
          <w:rFonts w:ascii="宋体" w:hAnsi="宋体" w:eastAsia="宋体" w:cs="Times New Roman"/>
          <w:szCs w:val="24"/>
        </w:rPr>
        <w:t>）</w:t>
      </w:r>
      <w:r>
        <w:rPr>
          <w:rFonts w:hint="eastAsia" w:ascii="宋体" w:hAnsi="宋体" w:eastAsia="宋体" w:cs="Times New Roman"/>
          <w:szCs w:val="24"/>
          <w:u w:val="single"/>
        </w:rPr>
        <w:t>40摄氏度及以上且持续</w:t>
      </w:r>
      <w:r>
        <w:rPr>
          <w:rFonts w:hint="eastAsia" w:ascii="Times New Roman" w:hAnsi="Times New Roman" w:eastAsia="宋体" w:cs="Times New Roman"/>
          <w:szCs w:val="24"/>
          <w:u w:val="single"/>
        </w:rPr>
        <w:t>2</w:t>
      </w:r>
      <w:r>
        <w:rPr>
          <w:rFonts w:hint="eastAsia" w:ascii="宋体" w:hAnsi="宋体" w:eastAsia="宋体" w:cs="Times New Roman"/>
          <w:szCs w:val="24"/>
          <w:u w:val="single"/>
        </w:rPr>
        <w:t>天以上的高温天气</w:t>
      </w:r>
      <w:r>
        <w:rPr>
          <w:rFonts w:ascii="Times New Roman" w:hAnsi="Times New Roman" w:eastAsia="宋体" w:cs="Times New Roman"/>
          <w:szCs w:val="24"/>
          <w:u w:val="single"/>
        </w:rPr>
        <w:t xml:space="preserve"> </w:t>
      </w:r>
      <w:r>
        <w:rPr>
          <w:rFonts w:ascii="宋体" w:hAnsi="宋体" w:eastAsia="宋体" w:cs="Times New Roman"/>
          <w:szCs w:val="24"/>
        </w:rPr>
        <w:t>。</w:t>
      </w:r>
    </w:p>
    <w:p w14:paraId="113DAD4F">
      <w:pPr>
        <w:spacing w:line="360" w:lineRule="exact"/>
        <w:ind w:firstLine="420" w:firstLineChars="200"/>
        <w:rPr>
          <w:rFonts w:hint="eastAsia" w:ascii="宋体" w:hAnsi="宋体" w:eastAsia="宋体" w:cs="宋体"/>
          <w:szCs w:val="24"/>
        </w:rPr>
      </w:pPr>
      <w:r>
        <w:rPr>
          <w:rFonts w:hint="eastAsia" w:ascii="宋体" w:hAnsi="宋体" w:eastAsia="宋体" w:cs="宋体"/>
          <w:szCs w:val="24"/>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062E63EE">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7.9 </w:t>
      </w:r>
      <w:r>
        <w:rPr>
          <w:rFonts w:ascii="黑体" w:hAnsi="黑体" w:eastAsia="黑体" w:cs="Times New Roman"/>
          <w:szCs w:val="24"/>
        </w:rPr>
        <w:t>提前竣工的奖励</w:t>
      </w:r>
    </w:p>
    <w:p w14:paraId="3CBC45BA">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7.9.2</w:t>
      </w:r>
      <w:r>
        <w:rPr>
          <w:rFonts w:ascii="宋体" w:hAnsi="宋体" w:eastAsia="宋体" w:cs="Times New Roman"/>
          <w:szCs w:val="24"/>
        </w:rPr>
        <w:t>提前竣工的奖励：</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1DCBC71D">
      <w:pPr>
        <w:keepNext/>
        <w:keepLines/>
        <w:spacing w:line="360" w:lineRule="exact"/>
        <w:rPr>
          <w:rFonts w:ascii="Times New Roman" w:hAnsi="Times New Roman" w:eastAsia="黑体" w:cs="Times New Roman"/>
          <w:szCs w:val="21"/>
        </w:rPr>
      </w:pPr>
      <w:bookmarkStart w:id="219" w:name="_Toc351203640"/>
      <w:bookmarkEnd w:id="219"/>
      <w:r>
        <w:rPr>
          <w:rFonts w:ascii="Times New Roman" w:hAnsi="Times New Roman" w:eastAsia="黑体" w:cs="Times New Roman"/>
          <w:szCs w:val="21"/>
        </w:rPr>
        <w:t xml:space="preserve">8. </w:t>
      </w:r>
      <w:r>
        <w:rPr>
          <w:rFonts w:ascii="黑体" w:hAnsi="黑体" w:eastAsia="黑体" w:cs="Times New Roman"/>
          <w:szCs w:val="21"/>
        </w:rPr>
        <w:t>材料与设备</w:t>
      </w:r>
    </w:p>
    <w:p w14:paraId="2DA27582">
      <w:pPr>
        <w:snapToGrid w:val="0"/>
        <w:spacing w:line="360" w:lineRule="auto"/>
        <w:ind w:firstLine="420" w:firstLineChars="200"/>
        <w:rPr>
          <w:rFonts w:hint="eastAsia" w:ascii="宋体" w:hAnsi="宋体" w:eastAsia="宋体" w:cs="宋体"/>
          <w:szCs w:val="21"/>
        </w:rPr>
      </w:pPr>
      <w:bookmarkStart w:id="220" w:name="_Toc351203641"/>
      <w:bookmarkEnd w:id="220"/>
      <w:r>
        <w:rPr>
          <w:rFonts w:hint="eastAsia" w:ascii="宋体" w:hAnsi="宋体" w:eastAsia="宋体" w:cs="宋体"/>
          <w:szCs w:val="21"/>
        </w:rPr>
        <w:t>8.2 承包人采购材料与工程设备</w:t>
      </w:r>
    </w:p>
    <w:p w14:paraId="4C82CB20">
      <w:pPr>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（1）材料品牌、规格和使用要求：按招标文件（相应）技术标准和要求执行。凡是招标文件注明规格、型号或品牌、产地的材料，承包人必须按照招标文件要求采购和施工；如需调整，必须经得发包人认可。</w:t>
      </w:r>
    </w:p>
    <w:p w14:paraId="50B76EBA">
      <w:pPr>
        <w:autoSpaceDE w:val="0"/>
        <w:autoSpaceDN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（2）本工程已确定价格的建筑材料均由承包人自行采购、运输和保管。</w:t>
      </w:r>
    </w:p>
    <w:p w14:paraId="281FC930">
      <w:pPr>
        <w:autoSpaceDE w:val="0"/>
        <w:autoSpaceDN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（3）本工程要求使用材料要求。</w:t>
      </w:r>
    </w:p>
    <w:p w14:paraId="6675F454">
      <w:pPr>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（4）所有材料必须有相关合格证明资料，符合施工图纸和规范要求，且品牌、产地需报监理人及发包人备案后方可进场。</w:t>
      </w:r>
    </w:p>
    <w:p w14:paraId="562B15B4">
      <w:pPr>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（5）合同中原暂定价材料或由工程变更产生的无价材料（按有关规定可不组织招标采购的）由承包人采购时，应由发包人签证确定价格后采购，发包人收到承包人价格确定申请后，7日内审批完毕。</w:t>
      </w:r>
    </w:p>
    <w:p w14:paraId="4DEC7667">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w:t>
      </w:r>
      <w:bookmarkStart w:id="221" w:name="_Toc303539136"/>
      <w:bookmarkStart w:id="222" w:name="_Toc296347166"/>
      <w:bookmarkStart w:id="223" w:name="_Toc297120467"/>
      <w:bookmarkStart w:id="224" w:name="_Toc296944506"/>
      <w:bookmarkStart w:id="225" w:name="_Toc312677493"/>
      <w:bookmarkStart w:id="226" w:name="_Toc297123527"/>
      <w:bookmarkStart w:id="227" w:name="_Toc292559877"/>
      <w:bookmarkStart w:id="228" w:name="_Toc296890995"/>
      <w:bookmarkStart w:id="229" w:name="_Toc297216186"/>
      <w:bookmarkStart w:id="230" w:name="_Toc304295556"/>
      <w:bookmarkStart w:id="231" w:name="_Toc296503167"/>
      <w:bookmarkStart w:id="232" w:name="_Toc300934979"/>
      <w:bookmarkStart w:id="233" w:name="_Toc280868654"/>
      <w:bookmarkStart w:id="234" w:name="_Toc292559372"/>
      <w:bookmarkStart w:id="235" w:name="_Toc297048353"/>
      <w:bookmarkStart w:id="236" w:name="_Toc296346668"/>
      <w:bookmarkStart w:id="237" w:name="_Toc296891207"/>
      <w:bookmarkStart w:id="238" w:name="_Toc312678019"/>
      <w:r>
        <w:rPr>
          <w:rFonts w:hint="eastAsia" w:ascii="宋体" w:hAnsi="宋体" w:eastAsia="宋体" w:cs="宋体"/>
          <w:szCs w:val="21"/>
        </w:rPr>
        <w:t>.4 材料与工程设备的保管与使用</w:t>
      </w:r>
    </w:p>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14:paraId="0387295C">
      <w:pPr>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8</w:t>
      </w:r>
      <w:bookmarkStart w:id="239" w:name="_Toc296346669"/>
      <w:bookmarkStart w:id="240" w:name="_Toc296944507"/>
      <w:bookmarkStart w:id="241" w:name="_Toc296890996"/>
      <w:bookmarkStart w:id="242" w:name="_Toc296347167"/>
      <w:bookmarkStart w:id="243" w:name="_Toc304295557"/>
      <w:bookmarkStart w:id="244" w:name="_Toc297123528"/>
      <w:bookmarkStart w:id="245" w:name="_Toc318581173"/>
      <w:bookmarkStart w:id="246" w:name="_Toc297048354"/>
      <w:bookmarkStart w:id="247" w:name="_Toc300934980"/>
      <w:bookmarkStart w:id="248" w:name="_Toc303539137"/>
      <w:bookmarkStart w:id="249" w:name="_Toc297120468"/>
      <w:bookmarkStart w:id="250" w:name="_Toc312678020"/>
      <w:bookmarkStart w:id="251" w:name="_Toc297216187"/>
      <w:bookmarkStart w:id="252" w:name="_Toc296503168"/>
      <w:bookmarkStart w:id="253" w:name="_Toc296891208"/>
      <w:bookmarkStart w:id="254" w:name="_Toc312677494"/>
      <w:r>
        <w:rPr>
          <w:rFonts w:hint="eastAsia" w:ascii="宋体" w:hAnsi="宋体" w:eastAsia="宋体" w:cs="宋体"/>
          <w:szCs w:val="21"/>
        </w:rPr>
        <w:t>.4.1发包人供应的材料设备的保管费用的承担：</w:t>
      </w:r>
      <w:r>
        <w:rPr>
          <w:rFonts w:hint="eastAsia" w:ascii="宋体" w:hAnsi="宋体" w:eastAsia="宋体" w:cs="宋体"/>
          <w:szCs w:val="21"/>
          <w:u w:val="single"/>
        </w:rPr>
        <w:t>/。</w:t>
      </w:r>
    </w:p>
    <w:p w14:paraId="734A5D06">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8.6 样品</w:t>
      </w:r>
    </w:p>
    <w:p w14:paraId="06DFAEA3">
      <w:pPr>
        <w:autoSpaceDE w:val="0"/>
        <w:autoSpaceDN w:val="0"/>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8.6.1样品的报送与封存</w:t>
      </w:r>
    </w:p>
    <w:p w14:paraId="4E3B55A4">
      <w:p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需要承包人报送样品的材料或工程设备，样品的种类、名称、规格、数量要求：</w:t>
      </w:r>
      <w:r>
        <w:rPr>
          <w:rFonts w:hint="eastAsia" w:ascii="宋体" w:hAnsi="宋体" w:eastAsia="宋体" w:cs="宋体"/>
          <w:szCs w:val="21"/>
          <w:u w:val="single"/>
        </w:rPr>
        <w:t xml:space="preserve"> 按发包人要求提供 </w:t>
      </w:r>
      <w:r>
        <w:rPr>
          <w:rFonts w:hint="eastAsia" w:ascii="宋体" w:hAnsi="宋体" w:eastAsia="宋体" w:cs="宋体"/>
          <w:szCs w:val="21"/>
        </w:rPr>
        <w:t>。</w:t>
      </w:r>
    </w:p>
    <w:p w14:paraId="555157C8">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8.8 施工设备和临时设施</w:t>
      </w:r>
    </w:p>
    <w:p w14:paraId="2CA18061">
      <w:p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8.8.1承包人提供的施工设备和临时设施</w:t>
      </w:r>
    </w:p>
    <w:p w14:paraId="4AC6D238">
      <w:p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关于修建临时设施费用承担的约定：</w:t>
      </w:r>
      <w:r>
        <w:rPr>
          <w:rFonts w:hint="eastAsia" w:ascii="宋体" w:hAnsi="宋体" w:eastAsia="宋体" w:cs="宋体"/>
          <w:szCs w:val="21"/>
          <w:u w:val="single"/>
        </w:rPr>
        <w:t xml:space="preserve"> 由承包人承担  </w:t>
      </w:r>
      <w:r>
        <w:rPr>
          <w:rFonts w:hint="eastAsia" w:ascii="宋体" w:hAnsi="宋体" w:eastAsia="宋体" w:cs="宋体"/>
          <w:szCs w:val="21"/>
        </w:rPr>
        <w:t>。</w:t>
      </w:r>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14:paraId="487B8509">
      <w:pPr>
        <w:keepNext/>
        <w:keepLines/>
        <w:spacing w:line="360" w:lineRule="exact"/>
        <w:rPr>
          <w:rFonts w:ascii="Times New Roman" w:hAnsi="Times New Roman" w:eastAsia="黑体" w:cs="Times New Roman"/>
          <w:szCs w:val="21"/>
        </w:rPr>
      </w:pPr>
      <w:r>
        <w:rPr>
          <w:rFonts w:ascii="Times New Roman" w:hAnsi="Times New Roman" w:eastAsia="黑体" w:cs="Times New Roman"/>
          <w:szCs w:val="21"/>
        </w:rPr>
        <w:t>9</w:t>
      </w:r>
      <w:bookmarkStart w:id="255" w:name="_Toc312678021"/>
      <w:bookmarkEnd w:id="255"/>
      <w:bookmarkStart w:id="256" w:name="_Toc296891213"/>
      <w:bookmarkEnd w:id="256"/>
      <w:bookmarkStart w:id="257" w:name="_Toc296503173"/>
      <w:bookmarkEnd w:id="257"/>
      <w:bookmarkStart w:id="258" w:name="_Toc312677495"/>
      <w:bookmarkEnd w:id="258"/>
      <w:bookmarkStart w:id="259" w:name="_Toc296346674"/>
      <w:bookmarkEnd w:id="259"/>
      <w:bookmarkStart w:id="260" w:name="_Toc296347172"/>
      <w:bookmarkEnd w:id="260"/>
      <w:bookmarkStart w:id="261" w:name="_Toc303539139"/>
      <w:bookmarkEnd w:id="261"/>
      <w:bookmarkStart w:id="262" w:name="_Toc300934982"/>
      <w:bookmarkEnd w:id="262"/>
      <w:bookmarkStart w:id="263" w:name="_Toc297120473"/>
      <w:bookmarkEnd w:id="263"/>
      <w:bookmarkStart w:id="264" w:name="_Toc297123533"/>
      <w:bookmarkEnd w:id="264"/>
      <w:bookmarkStart w:id="265" w:name="_Toc267251427"/>
      <w:bookmarkEnd w:id="265"/>
      <w:bookmarkStart w:id="266" w:name="_Toc292559883"/>
      <w:bookmarkEnd w:id="266"/>
      <w:bookmarkStart w:id="267" w:name="_Toc297216192"/>
      <w:bookmarkEnd w:id="267"/>
      <w:bookmarkStart w:id="268" w:name="_Toc292559378"/>
      <w:bookmarkEnd w:id="268"/>
      <w:bookmarkStart w:id="269" w:name="_Toc297048359"/>
      <w:bookmarkEnd w:id="269"/>
      <w:bookmarkStart w:id="270" w:name="_Toc296944512"/>
      <w:bookmarkEnd w:id="270"/>
      <w:bookmarkStart w:id="271" w:name="_Toc267251428"/>
      <w:bookmarkEnd w:id="271"/>
      <w:bookmarkStart w:id="272" w:name="_Toc296891001"/>
      <w:bookmarkEnd w:id="272"/>
      <w:bookmarkStart w:id="273" w:name="_Toc304295559"/>
      <w:r>
        <w:rPr>
          <w:rFonts w:ascii="Times New Roman" w:hAnsi="Times New Roman" w:eastAsia="黑体" w:cs="Times New Roman"/>
          <w:szCs w:val="21"/>
        </w:rPr>
        <w:t xml:space="preserve">. </w:t>
      </w:r>
      <w:r>
        <w:rPr>
          <w:rFonts w:ascii="黑体" w:hAnsi="黑体" w:eastAsia="黑体" w:cs="Times New Roman"/>
          <w:szCs w:val="21"/>
        </w:rPr>
        <w:t>试验与检验</w:t>
      </w:r>
      <w:bookmarkEnd w:id="273"/>
    </w:p>
    <w:p w14:paraId="45AB8A2D">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9</w:t>
      </w:r>
      <w:bookmarkStart w:id="274" w:name="_Toc300934983"/>
      <w:bookmarkEnd w:id="274"/>
      <w:bookmarkStart w:id="275" w:name="_Toc297216193"/>
      <w:bookmarkEnd w:id="275"/>
      <w:bookmarkStart w:id="276" w:name="_Toc297123534"/>
      <w:bookmarkEnd w:id="276"/>
      <w:bookmarkStart w:id="277" w:name="_Toc304295560"/>
      <w:bookmarkEnd w:id="277"/>
      <w:bookmarkStart w:id="278" w:name="_Toc303539140"/>
      <w:bookmarkEnd w:id="278"/>
      <w:bookmarkStart w:id="279" w:name="_Toc312677496"/>
      <w:bookmarkEnd w:id="279"/>
      <w:bookmarkStart w:id="280" w:name="_Toc312678022"/>
      <w:r>
        <w:rPr>
          <w:rFonts w:ascii="Times New Roman" w:hAnsi="Times New Roman" w:eastAsia="黑体" w:cs="Times New Roman"/>
          <w:szCs w:val="24"/>
        </w:rPr>
        <w:t>.1</w:t>
      </w:r>
      <w:r>
        <w:rPr>
          <w:rFonts w:ascii="黑体" w:hAnsi="黑体" w:eastAsia="黑体" w:cs="Times New Roman"/>
          <w:szCs w:val="24"/>
        </w:rPr>
        <w:t>试验设备与试验人员</w:t>
      </w:r>
      <w:bookmarkEnd w:id="280"/>
    </w:p>
    <w:p w14:paraId="60E0CD5E">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9</w:t>
      </w:r>
      <w:bookmarkStart w:id="281" w:name="_Toc312678023"/>
      <w:bookmarkEnd w:id="281"/>
      <w:bookmarkStart w:id="282" w:name="_Toc304295561"/>
      <w:bookmarkEnd w:id="282"/>
      <w:bookmarkStart w:id="283" w:name="_Toc297123535"/>
      <w:bookmarkEnd w:id="283"/>
      <w:bookmarkStart w:id="284" w:name="_Toc300934984"/>
      <w:bookmarkEnd w:id="284"/>
      <w:bookmarkStart w:id="285" w:name="_Toc303539141"/>
      <w:bookmarkEnd w:id="285"/>
      <w:bookmarkStart w:id="286" w:name="_Toc297216194"/>
      <w:bookmarkEnd w:id="286"/>
      <w:bookmarkStart w:id="287" w:name="_Toc312677497"/>
      <w:bookmarkEnd w:id="287"/>
      <w:bookmarkStart w:id="288" w:name="_Toc318581174"/>
      <w:r>
        <w:rPr>
          <w:rFonts w:ascii="Times New Roman" w:hAnsi="Times New Roman" w:eastAsia="宋体" w:cs="Times New Roman"/>
          <w:szCs w:val="24"/>
        </w:rPr>
        <w:t xml:space="preserve">.1.2 </w:t>
      </w:r>
      <w:r>
        <w:rPr>
          <w:rFonts w:ascii="宋体" w:hAnsi="宋体" w:eastAsia="宋体" w:cs="Times New Roman"/>
          <w:szCs w:val="24"/>
        </w:rPr>
        <w:t>试验设备</w:t>
      </w:r>
      <w:bookmarkEnd w:id="288"/>
    </w:p>
    <w:p w14:paraId="2B337401">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施工现场需要配置的试验场所：</w:t>
      </w:r>
      <w:bookmarkStart w:id="289" w:name="_Toc312678024"/>
      <w:bookmarkEnd w:id="289"/>
      <w:bookmarkStart w:id="290" w:name="_Toc312677498"/>
      <w:bookmarkEnd w:id="290"/>
      <w:bookmarkStart w:id="291" w:name="_Toc297216195"/>
      <w:bookmarkEnd w:id="291"/>
      <w:bookmarkStart w:id="292" w:name="_Toc300934985"/>
      <w:bookmarkEnd w:id="292"/>
      <w:bookmarkStart w:id="293" w:name="_Toc297123536"/>
      <w:bookmarkEnd w:id="293"/>
      <w:bookmarkStart w:id="294" w:name="_Toc303539142"/>
      <w:bookmarkEnd w:id="294"/>
      <w:bookmarkStart w:id="295" w:name="_Toc304295562"/>
      <w:bookmarkEnd w:id="295"/>
      <w:r>
        <w:rPr>
          <w:rFonts w:hint="eastAsia" w:ascii="宋体" w:hAnsi="宋体" w:eastAsia="宋体" w:cs="Times New Roman"/>
          <w:szCs w:val="24"/>
          <w:u w:val="single"/>
        </w:rPr>
        <w:t xml:space="preserve"> 按规范及（当地）建设行政主管部门要求配置</w:t>
      </w:r>
      <w:r>
        <w:rPr>
          <w:rFonts w:ascii="宋体" w:hAnsi="宋体" w:eastAsia="宋体" w:cs="Times New Roman"/>
          <w:szCs w:val="24"/>
        </w:rPr>
        <w:t>。</w:t>
      </w:r>
    </w:p>
    <w:p w14:paraId="6FF61092">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施工现场需要配备的试验设备：</w:t>
      </w:r>
      <w:r>
        <w:rPr>
          <w:rFonts w:hint="eastAsia" w:ascii="宋体" w:hAnsi="宋体" w:eastAsia="宋体" w:cs="Times New Roman"/>
          <w:szCs w:val="24"/>
          <w:u w:val="single"/>
        </w:rPr>
        <w:t xml:space="preserve"> 按规范及（当地）建设行政主管部门要求配置</w:t>
      </w:r>
      <w:r>
        <w:rPr>
          <w:rFonts w:ascii="宋体" w:hAnsi="宋体" w:eastAsia="宋体" w:cs="Times New Roman"/>
          <w:szCs w:val="24"/>
        </w:rPr>
        <w:t>。</w:t>
      </w:r>
    </w:p>
    <w:p w14:paraId="4DE69272">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施工现场需要具备的其他试验条件：</w:t>
      </w:r>
      <w:r>
        <w:rPr>
          <w:rFonts w:hint="eastAsia" w:ascii="宋体" w:hAnsi="宋体" w:eastAsia="宋体" w:cs="Times New Roman"/>
          <w:szCs w:val="24"/>
          <w:u w:val="single"/>
        </w:rPr>
        <w:t xml:space="preserve"> 按规范及（当地）建设行政主管部门要求配置</w:t>
      </w:r>
      <w:r>
        <w:rPr>
          <w:rFonts w:ascii="宋体" w:hAnsi="宋体" w:eastAsia="宋体" w:cs="Times New Roman"/>
          <w:szCs w:val="24"/>
        </w:rPr>
        <w:t>。</w:t>
      </w:r>
    </w:p>
    <w:p w14:paraId="218CFE5A">
      <w:pPr>
        <w:spacing w:line="360" w:lineRule="exact"/>
        <w:ind w:firstLine="420" w:firstLineChars="200"/>
        <w:rPr>
          <w:rFonts w:hint="eastAsia" w:ascii="黑体" w:hAnsi="黑体" w:eastAsia="黑体" w:cs="Times New Roman"/>
          <w:szCs w:val="24"/>
        </w:rPr>
      </w:pPr>
      <w:r>
        <w:rPr>
          <w:rFonts w:hint="eastAsia" w:ascii="黑体" w:hAnsi="黑体" w:eastAsia="黑体" w:cs="Times New Roman"/>
          <w:szCs w:val="24"/>
        </w:rPr>
        <w:t>9.3 材料、工程设备和工程的试验和检验</w:t>
      </w:r>
    </w:p>
    <w:p w14:paraId="39067B7E">
      <w:pPr>
        <w:spacing w:line="360" w:lineRule="exact"/>
        <w:ind w:firstLine="420" w:firstLineChars="200"/>
        <w:rPr>
          <w:rFonts w:hint="eastAsia" w:ascii="宋体" w:hAnsi="宋体" w:eastAsia="宋体" w:cs="宋体"/>
          <w:szCs w:val="24"/>
          <w:u w:val="single"/>
        </w:rPr>
      </w:pPr>
      <w:r>
        <w:rPr>
          <w:rFonts w:hint="eastAsia" w:ascii="宋体" w:hAnsi="宋体" w:eastAsia="宋体" w:cs="宋体"/>
          <w:szCs w:val="24"/>
        </w:rPr>
        <w:t>9.3.4材料、设备和工程的试验和检验的费用：</w:t>
      </w:r>
      <w:r>
        <w:rPr>
          <w:rFonts w:hint="eastAsia" w:ascii="宋体" w:hAnsi="宋体" w:eastAsia="宋体" w:cs="宋体"/>
          <w:szCs w:val="24"/>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48BC5E79">
      <w:pPr>
        <w:spacing w:line="360" w:lineRule="exact"/>
        <w:ind w:firstLine="420" w:firstLineChars="200"/>
        <w:rPr>
          <w:rFonts w:hint="eastAsia" w:ascii="宋体" w:hAnsi="宋体" w:eastAsia="宋体" w:cs="宋体"/>
          <w:szCs w:val="24"/>
          <w:u w:val="single"/>
        </w:rPr>
      </w:pPr>
      <w:r>
        <w:rPr>
          <w:rFonts w:hint="eastAsia" w:ascii="宋体" w:hAnsi="宋体" w:eastAsia="宋体" w:cs="宋体"/>
          <w:szCs w:val="24"/>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7D812FA8">
      <w:pPr>
        <w:spacing w:line="360" w:lineRule="exact"/>
        <w:ind w:firstLine="420" w:firstLineChars="200"/>
        <w:rPr>
          <w:rFonts w:hint="eastAsia" w:ascii="宋体" w:hAnsi="宋体" w:eastAsia="宋体" w:cs="宋体"/>
          <w:szCs w:val="24"/>
          <w:u w:val="single"/>
        </w:rPr>
      </w:pPr>
      <w:r>
        <w:rPr>
          <w:rFonts w:hint="eastAsia" w:ascii="宋体" w:hAnsi="宋体" w:eastAsia="宋体" w:cs="宋体"/>
          <w:szCs w:val="24"/>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600E28DB">
      <w:pPr>
        <w:spacing w:line="360" w:lineRule="exact"/>
        <w:ind w:firstLine="420" w:firstLineChars="200"/>
        <w:rPr>
          <w:rFonts w:hint="eastAsia" w:ascii="宋体" w:hAnsi="宋体" w:eastAsia="宋体" w:cs="宋体"/>
          <w:szCs w:val="24"/>
          <w:u w:val="single"/>
        </w:rPr>
      </w:pPr>
      <w:r>
        <w:rPr>
          <w:rFonts w:hint="eastAsia" w:ascii="宋体" w:hAnsi="宋体" w:eastAsia="宋体" w:cs="宋体"/>
          <w:szCs w:val="24"/>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1A4237E5">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9.4 </w:t>
      </w:r>
      <w:r>
        <w:rPr>
          <w:rFonts w:ascii="黑体" w:hAnsi="黑体" w:eastAsia="黑体" w:cs="Times New Roman"/>
          <w:szCs w:val="24"/>
        </w:rPr>
        <w:t>现场工艺试验</w:t>
      </w:r>
    </w:p>
    <w:p w14:paraId="796719F7">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现场工艺试验的有关约定：</w:t>
      </w:r>
      <w:r>
        <w:rPr>
          <w:rFonts w:hint="eastAsia" w:ascii="宋体" w:hAnsi="宋体" w:eastAsia="宋体" w:cs="Times New Roman"/>
          <w:szCs w:val="24"/>
          <w:u w:val="single"/>
        </w:rPr>
        <w:t xml:space="preserve">                              </w:t>
      </w:r>
      <w:r>
        <w:rPr>
          <w:rFonts w:ascii="宋体" w:hAnsi="宋体" w:eastAsia="宋体" w:cs="Times New Roman"/>
          <w:szCs w:val="24"/>
        </w:rPr>
        <w:t>。</w:t>
      </w:r>
    </w:p>
    <w:p w14:paraId="035C0767">
      <w:pPr>
        <w:keepNext/>
        <w:keepLines/>
        <w:spacing w:line="360" w:lineRule="exact"/>
        <w:rPr>
          <w:rFonts w:ascii="Times New Roman" w:hAnsi="Times New Roman" w:eastAsia="黑体" w:cs="Times New Roman"/>
          <w:szCs w:val="21"/>
        </w:rPr>
      </w:pPr>
      <w:bookmarkStart w:id="296" w:name="_Toc351203642"/>
      <w:bookmarkEnd w:id="296"/>
      <w:r>
        <w:rPr>
          <w:rFonts w:ascii="Times New Roman" w:hAnsi="Times New Roman" w:eastAsia="黑体" w:cs="Times New Roman"/>
          <w:szCs w:val="21"/>
        </w:rPr>
        <w:t>1</w:t>
      </w:r>
      <w:bookmarkStart w:id="297" w:name="_Toc296347192"/>
      <w:bookmarkEnd w:id="297"/>
      <w:bookmarkStart w:id="298" w:name="_Toc267251442"/>
      <w:bookmarkEnd w:id="298"/>
      <w:bookmarkStart w:id="299" w:name="_Toc300934989"/>
      <w:bookmarkEnd w:id="299"/>
      <w:bookmarkStart w:id="300" w:name="_Toc304295566"/>
      <w:bookmarkEnd w:id="300"/>
      <w:bookmarkStart w:id="301" w:name="_Toc296346694"/>
      <w:bookmarkEnd w:id="301"/>
      <w:bookmarkStart w:id="302" w:name="_Toc267251435"/>
      <w:bookmarkEnd w:id="302"/>
      <w:bookmarkStart w:id="303" w:name="_Toc296891021"/>
      <w:bookmarkEnd w:id="303"/>
      <w:bookmarkStart w:id="304" w:name="_Toc296503193"/>
      <w:bookmarkEnd w:id="304"/>
      <w:bookmarkStart w:id="305" w:name="_Toc292559398"/>
      <w:bookmarkEnd w:id="305"/>
      <w:bookmarkStart w:id="306" w:name="_Toc296944532"/>
      <w:bookmarkEnd w:id="306"/>
      <w:bookmarkStart w:id="307" w:name="_Toc267251440"/>
      <w:bookmarkEnd w:id="307"/>
      <w:bookmarkStart w:id="308" w:name="_Toc267251433"/>
      <w:bookmarkEnd w:id="308"/>
      <w:bookmarkStart w:id="309" w:name="_Toc297048379"/>
      <w:bookmarkEnd w:id="309"/>
      <w:bookmarkStart w:id="310" w:name="_Toc267251437"/>
      <w:bookmarkEnd w:id="310"/>
      <w:bookmarkStart w:id="311" w:name="_Toc312677499"/>
      <w:bookmarkEnd w:id="311"/>
      <w:bookmarkStart w:id="312" w:name="_Toc297123540"/>
      <w:bookmarkEnd w:id="312"/>
      <w:bookmarkStart w:id="313" w:name="_Toc267251439"/>
      <w:bookmarkEnd w:id="313"/>
      <w:bookmarkStart w:id="314" w:name="_Toc297120493"/>
      <w:bookmarkEnd w:id="314"/>
      <w:bookmarkStart w:id="315" w:name="_Toc267251441"/>
      <w:bookmarkEnd w:id="315"/>
      <w:bookmarkStart w:id="316" w:name="_Toc292559903"/>
      <w:bookmarkEnd w:id="316"/>
      <w:bookmarkStart w:id="317" w:name="_Toc297216199"/>
      <w:bookmarkEnd w:id="317"/>
      <w:bookmarkStart w:id="318" w:name="_Toc296891233"/>
      <w:bookmarkEnd w:id="318"/>
      <w:bookmarkStart w:id="319" w:name="_Toc312678025"/>
      <w:bookmarkEnd w:id="319"/>
      <w:bookmarkStart w:id="320" w:name="_Toc303539146"/>
      <w:r>
        <w:rPr>
          <w:rFonts w:ascii="Times New Roman" w:hAnsi="Times New Roman" w:eastAsia="黑体" w:cs="Times New Roman"/>
          <w:szCs w:val="21"/>
        </w:rPr>
        <w:t xml:space="preserve">0. </w:t>
      </w:r>
      <w:r>
        <w:rPr>
          <w:rFonts w:ascii="黑体" w:hAnsi="黑体" w:eastAsia="黑体" w:cs="Times New Roman"/>
          <w:szCs w:val="21"/>
        </w:rPr>
        <w:t>变更</w:t>
      </w:r>
      <w:bookmarkEnd w:id="320"/>
    </w:p>
    <w:p w14:paraId="7C94B8D4">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1</w:t>
      </w:r>
      <w:bookmarkStart w:id="321" w:name="_Toc296891234"/>
      <w:bookmarkEnd w:id="321"/>
      <w:bookmarkStart w:id="322" w:name="_Toc296503194"/>
      <w:bookmarkEnd w:id="322"/>
      <w:bookmarkStart w:id="323" w:name="_Toc312678026"/>
      <w:bookmarkEnd w:id="323"/>
      <w:bookmarkStart w:id="324" w:name="_Toc296346695"/>
      <w:bookmarkEnd w:id="324"/>
      <w:bookmarkStart w:id="325" w:name="_Toc297216200"/>
      <w:bookmarkEnd w:id="325"/>
      <w:bookmarkStart w:id="326" w:name="_Toc292559904"/>
      <w:bookmarkEnd w:id="326"/>
      <w:bookmarkStart w:id="327" w:name="_Toc304295567"/>
      <w:bookmarkEnd w:id="327"/>
      <w:bookmarkStart w:id="328" w:name="_Toc296347193"/>
      <w:bookmarkEnd w:id="328"/>
      <w:bookmarkStart w:id="329" w:name="_Toc297123541"/>
      <w:bookmarkEnd w:id="329"/>
      <w:bookmarkStart w:id="330" w:name="_Toc292559399"/>
      <w:bookmarkEnd w:id="330"/>
      <w:bookmarkStart w:id="331" w:name="_Toc300934990"/>
      <w:bookmarkEnd w:id="331"/>
      <w:bookmarkStart w:id="332" w:name="_Toc296891022"/>
      <w:bookmarkEnd w:id="332"/>
      <w:bookmarkStart w:id="333" w:name="_Toc296944533"/>
      <w:bookmarkEnd w:id="333"/>
      <w:bookmarkStart w:id="334" w:name="_Toc312677500"/>
      <w:bookmarkEnd w:id="334"/>
      <w:bookmarkStart w:id="335" w:name="_Toc297048380"/>
      <w:bookmarkEnd w:id="335"/>
      <w:bookmarkStart w:id="336" w:name="_Toc303539147"/>
      <w:bookmarkEnd w:id="336"/>
      <w:bookmarkStart w:id="337" w:name="_Toc297120494"/>
      <w:r>
        <w:rPr>
          <w:rFonts w:ascii="Times New Roman" w:hAnsi="Times New Roman" w:eastAsia="黑体" w:cs="Times New Roman"/>
          <w:szCs w:val="24"/>
        </w:rPr>
        <w:t>0.1</w:t>
      </w:r>
      <w:r>
        <w:rPr>
          <w:rFonts w:ascii="黑体" w:hAnsi="黑体" w:eastAsia="黑体" w:cs="Times New Roman"/>
          <w:szCs w:val="24"/>
        </w:rPr>
        <w:t>变更的范围</w:t>
      </w:r>
      <w:bookmarkEnd w:id="337"/>
    </w:p>
    <w:p w14:paraId="7083A8FB">
      <w:pPr>
        <w:spacing w:line="360" w:lineRule="exact"/>
        <w:ind w:firstLine="315" w:firstLineChars="150"/>
        <w:rPr>
          <w:rFonts w:ascii="Times New Roman" w:hAnsi="Times New Roman" w:eastAsia="宋体" w:cs="Times New Roman"/>
          <w:szCs w:val="24"/>
        </w:rPr>
      </w:pPr>
      <w:r>
        <w:rPr>
          <w:rFonts w:ascii="宋体" w:hAnsi="宋体" w:eastAsia="宋体" w:cs="Times New Roman"/>
          <w:szCs w:val="24"/>
        </w:rPr>
        <w:t>关于变更的范围的约定：</w:t>
      </w:r>
      <w:r>
        <w:rPr>
          <w:rFonts w:hint="eastAsia" w:ascii="宋体" w:hAnsi="宋体" w:eastAsia="宋体" w:cs="Times New Roman"/>
          <w:szCs w:val="24"/>
          <w:u w:val="single"/>
        </w:rPr>
        <w:t>按合同通用条款</w:t>
      </w:r>
      <w:r>
        <w:rPr>
          <w:rFonts w:ascii="宋体" w:hAnsi="宋体" w:eastAsia="宋体" w:cs="Times New Roman"/>
          <w:szCs w:val="24"/>
          <w:u w:val="single"/>
        </w:rPr>
        <w:t>。</w:t>
      </w:r>
      <w:r>
        <w:rPr>
          <w:rFonts w:hint="eastAsia" w:ascii="宋体" w:hAnsi="宋体" w:eastAsia="宋体" w:cs="Times New Roman"/>
          <w:szCs w:val="24"/>
          <w:u w:val="single"/>
        </w:rPr>
        <w:t>工程变更引起工程量的减少或增加，承包人不得因此拒绝施工。</w:t>
      </w:r>
    </w:p>
    <w:p w14:paraId="05F68AB7">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10.4 </w:t>
      </w:r>
      <w:r>
        <w:rPr>
          <w:rFonts w:ascii="黑体" w:hAnsi="黑体" w:eastAsia="黑体" w:cs="Times New Roman"/>
          <w:szCs w:val="24"/>
        </w:rPr>
        <w:t>变更估价</w:t>
      </w:r>
    </w:p>
    <w:p w14:paraId="5E3446C0">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10.4.1 </w:t>
      </w:r>
      <w:r>
        <w:rPr>
          <w:rFonts w:hint="eastAsia" w:ascii="宋体" w:hAnsi="宋体" w:eastAsia="宋体" w:cs="Times New Roman"/>
          <w:szCs w:val="24"/>
        </w:rPr>
        <w:t>变更估价原则</w:t>
      </w:r>
    </w:p>
    <w:p w14:paraId="168B1D67">
      <w:pPr>
        <w:spacing w:line="360" w:lineRule="exact"/>
        <w:ind w:firstLine="315" w:firstLineChars="150"/>
        <w:rPr>
          <w:rFonts w:ascii="Times New Roman" w:hAnsi="Times New Roman" w:eastAsia="宋体" w:cs="Times New Roman"/>
          <w:szCs w:val="24"/>
        </w:rPr>
      </w:pPr>
      <w:r>
        <w:rPr>
          <w:rFonts w:hint="eastAsia" w:ascii="宋体" w:hAnsi="宋体" w:eastAsia="宋体" w:cs="Times New Roman"/>
          <w:szCs w:val="24"/>
        </w:rPr>
        <w:t>关于变更估价的约定</w:t>
      </w:r>
      <w:r>
        <w:rPr>
          <w:rFonts w:ascii="Times New Roman" w:hAnsi="Times New Roman" w:eastAsia="宋体" w:cs="Times New Roman"/>
          <w:szCs w:val="24"/>
        </w:rPr>
        <w:t xml:space="preserve">: </w:t>
      </w:r>
    </w:p>
    <w:p w14:paraId="71F3B03D">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1）变更后项目与供应商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CBCFA5D">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综合单价异常是指：投标综合单价与按专用合同条款21.2条中计价依据计算的综合单价偏差±30%以上。</w:t>
      </w:r>
    </w:p>
    <w:p w14:paraId="68DD9255">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（2）变更后项目与供应商已标价工程量清单中没有适用的综合单价，但有类似的工程项目综合单价，承包人可参照类似工程项目综合单价计算，并报发包人确定。</w:t>
      </w:r>
    </w:p>
    <w:p w14:paraId="1743AAD6">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rPr>
        <w:t>a、</w:t>
      </w:r>
      <w:r>
        <w:rPr>
          <w:rFonts w:hint="eastAsia" w:ascii="宋体" w:hAnsi="宋体" w:eastAsia="宋体" w:cs="Times New Roman"/>
          <w:szCs w:val="24"/>
          <w:u w:val="single"/>
        </w:rPr>
        <w:t>某种材料（或半成品及成品）等级、标准变化的，清单组合子目不变，仅调整不同的材料市场价格之差；</w:t>
      </w:r>
    </w:p>
    <w:p w14:paraId="19FD930F">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rPr>
        <w:t>b、</w:t>
      </w:r>
      <w:r>
        <w:rPr>
          <w:rFonts w:hint="eastAsia" w:ascii="宋体" w:hAnsi="宋体" w:eastAsia="宋体" w:cs="Times New Roman"/>
          <w:szCs w:val="24"/>
          <w:u w:val="single"/>
        </w:rPr>
        <w:t>清单项目组合内容中某一个（或多个）定额子目发生变化，不影响其他特征及工程内容价格的，仅调整发生变化的定额子目价格。</w:t>
      </w:r>
    </w:p>
    <w:p w14:paraId="2FFF6C95">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rPr>
        <w:t>c、</w:t>
      </w:r>
      <w:r>
        <w:rPr>
          <w:rFonts w:hint="eastAsia" w:ascii="宋体" w:hAnsi="宋体" w:eastAsia="宋体" w:cs="Times New Roman"/>
          <w:szCs w:val="24"/>
          <w:u w:val="single"/>
        </w:rPr>
        <w:t>如该类似工程项目的综合单价异常，则不宜参照，按专用条款10.4.1（3）（4）款重新计算综合单价。</w:t>
      </w:r>
    </w:p>
    <w:p w14:paraId="74F56A90">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w:t>
      </w:r>
    </w:p>
    <w:p w14:paraId="06061FBC">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（4）如按以上编制依据缺项的内容，承包人应通过市场调查等手段提出单价，并报发包人确定后执行。</w:t>
      </w:r>
    </w:p>
    <w:p w14:paraId="33FC27DE">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（5）清单项目组合内容项目特征描述中，局部工程内容对应的工程数量变化，可仅调整计算变化部分的差价。</w:t>
      </w:r>
    </w:p>
    <w:p w14:paraId="6B924ECE">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10.4.2 变更估价程序</w:t>
      </w:r>
    </w:p>
    <w:p w14:paraId="66E628E6">
      <w:pPr>
        <w:spacing w:line="360" w:lineRule="exact"/>
        <w:ind w:firstLine="420" w:firstLineChars="200"/>
        <w:rPr>
          <w:rFonts w:ascii="仿宋_GB2312" w:hAnsi="Times New Roman" w:eastAsia="仿宋_GB2312" w:cs="Times New Roman"/>
          <w:szCs w:val="24"/>
          <w:u w:val="single"/>
        </w:rPr>
      </w:pPr>
      <w:r>
        <w:rPr>
          <w:rFonts w:hint="eastAsia" w:ascii="宋体" w:hAnsi="宋体" w:eastAsia="宋体" w:cs="Times New Roman"/>
          <w:szCs w:val="24"/>
          <w:u w:val="single"/>
        </w:rPr>
        <w:t>承包人收到发包人、监理人、设计单位的变更指示后</w:t>
      </w:r>
      <w:r>
        <w:rPr>
          <w:rFonts w:ascii="Times New Roman" w:hAnsi="Times New Roman" w:eastAsia="宋体" w:cs="Times New Roman"/>
          <w:szCs w:val="24"/>
          <w:u w:val="single"/>
        </w:rPr>
        <w:t>14</w:t>
      </w:r>
      <w:r>
        <w:rPr>
          <w:rFonts w:hint="eastAsia" w:ascii="宋体" w:hAnsi="宋体" w:eastAsia="宋体" w:cs="Times New Roman"/>
          <w:szCs w:val="24"/>
          <w:u w:val="single"/>
        </w:rPr>
        <w:t>天内向发包人提交变更估价申请。</w:t>
      </w:r>
    </w:p>
    <w:p w14:paraId="26BBE755">
      <w:pPr>
        <w:spacing w:line="360" w:lineRule="exact"/>
        <w:ind w:firstLine="420" w:firstLineChars="200"/>
        <w:rPr>
          <w:rFonts w:ascii="仿宋_GB2312" w:hAnsi="Times New Roman" w:eastAsia="仿宋_GB2312" w:cs="Times New Roman"/>
          <w:szCs w:val="24"/>
          <w:u w:val="single"/>
        </w:rPr>
      </w:pPr>
      <w:r>
        <w:rPr>
          <w:rFonts w:hint="eastAsia" w:ascii="宋体" w:hAnsi="宋体" w:eastAsia="宋体" w:cs="Times New Roman"/>
          <w:szCs w:val="24"/>
          <w:u w:val="single"/>
        </w:rPr>
        <w:t>承包人提出工程变更、施工方案调整等变更应同时提交变更估价申请。</w:t>
      </w:r>
    </w:p>
    <w:p w14:paraId="11A67150">
      <w:pPr>
        <w:spacing w:line="360" w:lineRule="exact"/>
        <w:ind w:firstLine="420" w:firstLineChars="200"/>
        <w:rPr>
          <w:rFonts w:ascii="仿宋_GB2312" w:hAnsi="Times New Roman" w:eastAsia="仿宋_GB2312" w:cs="Times New Roman"/>
          <w:szCs w:val="24"/>
        </w:rPr>
      </w:pPr>
      <w:r>
        <w:rPr>
          <w:rFonts w:hint="eastAsia" w:ascii="宋体" w:hAnsi="宋体" w:eastAsia="宋体" w:cs="Times New Roman"/>
          <w:szCs w:val="24"/>
          <w:u w:val="single"/>
        </w:rPr>
        <w:t>承包人提交的变更估价申请，发包人应予以签收，并在</w:t>
      </w:r>
      <w:r>
        <w:rPr>
          <w:rFonts w:hint="eastAsia" w:ascii="仿宋_GB2312" w:hAnsi="宋体" w:eastAsia="宋体" w:cs="Times New Roman"/>
          <w:szCs w:val="24"/>
          <w:u w:val="single"/>
        </w:rPr>
        <w:t>14</w:t>
      </w:r>
      <w:r>
        <w:rPr>
          <w:rFonts w:hint="eastAsia" w:ascii="宋体" w:hAnsi="宋体" w:eastAsia="宋体" w:cs="Times New Roman"/>
          <w:szCs w:val="24"/>
          <w:u w:val="single"/>
        </w:rPr>
        <w:t>天内审批完毕。</w:t>
      </w:r>
    </w:p>
    <w:p w14:paraId="3955BDD7">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1</w:t>
      </w:r>
      <w:bookmarkStart w:id="338" w:name="_Toc312677503"/>
      <w:bookmarkEnd w:id="338"/>
      <w:bookmarkStart w:id="339" w:name="_Toc303539150"/>
      <w:bookmarkEnd w:id="339"/>
      <w:bookmarkStart w:id="340" w:name="_Toc296503197"/>
      <w:bookmarkEnd w:id="340"/>
      <w:bookmarkStart w:id="341" w:name="_Toc292559907"/>
      <w:bookmarkEnd w:id="341"/>
      <w:bookmarkStart w:id="342" w:name="_Toc296891025"/>
      <w:bookmarkEnd w:id="342"/>
      <w:bookmarkStart w:id="343" w:name="_Toc292559402"/>
      <w:bookmarkEnd w:id="343"/>
      <w:bookmarkStart w:id="344" w:name="_Toc304295570"/>
      <w:bookmarkEnd w:id="344"/>
      <w:bookmarkStart w:id="345" w:name="_Toc296891237"/>
      <w:bookmarkEnd w:id="345"/>
      <w:bookmarkStart w:id="346" w:name="_Toc312678029"/>
      <w:bookmarkEnd w:id="346"/>
      <w:bookmarkStart w:id="347" w:name="_Toc300934993"/>
      <w:bookmarkEnd w:id="347"/>
      <w:bookmarkStart w:id="348" w:name="_Toc297048383"/>
      <w:bookmarkEnd w:id="348"/>
      <w:bookmarkStart w:id="349" w:name="_Toc297123544"/>
      <w:bookmarkEnd w:id="349"/>
      <w:bookmarkStart w:id="350" w:name="_Toc296346698"/>
      <w:bookmarkEnd w:id="350"/>
      <w:bookmarkStart w:id="351" w:name="_Toc296347196"/>
      <w:bookmarkEnd w:id="351"/>
      <w:bookmarkStart w:id="352" w:name="_Toc296944536"/>
      <w:bookmarkEnd w:id="352"/>
      <w:bookmarkStart w:id="353" w:name="_Toc297120497"/>
      <w:bookmarkEnd w:id="353"/>
      <w:bookmarkStart w:id="354" w:name="_Toc297216203"/>
      <w:bookmarkEnd w:id="354"/>
      <w:r>
        <w:rPr>
          <w:rFonts w:ascii="Times New Roman" w:hAnsi="Times New Roman" w:eastAsia="黑体" w:cs="Times New Roman"/>
          <w:szCs w:val="24"/>
        </w:rPr>
        <w:t>0.5</w:t>
      </w:r>
      <w:r>
        <w:rPr>
          <w:rFonts w:ascii="黑体" w:hAnsi="黑体" w:eastAsia="黑体" w:cs="Times New Roman"/>
          <w:szCs w:val="24"/>
        </w:rPr>
        <w:t>承</w:t>
      </w:r>
      <w:bookmarkStart w:id="355" w:name="_Toc300934994"/>
      <w:bookmarkEnd w:id="355"/>
      <w:bookmarkStart w:id="356" w:name="_Toc297120503"/>
      <w:bookmarkEnd w:id="356"/>
      <w:bookmarkStart w:id="357" w:name="_Toc296891243"/>
      <w:bookmarkEnd w:id="357"/>
      <w:bookmarkStart w:id="358" w:name="_Toc296944542"/>
      <w:bookmarkEnd w:id="358"/>
      <w:bookmarkStart w:id="359" w:name="_Toc296347202"/>
      <w:bookmarkEnd w:id="359"/>
      <w:bookmarkStart w:id="360" w:name="_Toc296346704"/>
      <w:bookmarkEnd w:id="360"/>
      <w:bookmarkStart w:id="361" w:name="_Toc297048389"/>
      <w:bookmarkEnd w:id="361"/>
      <w:bookmarkStart w:id="362" w:name="_Toc303539151"/>
      <w:bookmarkEnd w:id="362"/>
      <w:bookmarkStart w:id="363" w:name="_Toc297123545"/>
      <w:bookmarkEnd w:id="363"/>
      <w:bookmarkStart w:id="364" w:name="_Toc292559913"/>
      <w:bookmarkEnd w:id="364"/>
      <w:bookmarkStart w:id="365" w:name="_Toc296503203"/>
      <w:bookmarkEnd w:id="365"/>
      <w:bookmarkStart w:id="366" w:name="_Toc292559408"/>
      <w:bookmarkEnd w:id="366"/>
      <w:bookmarkStart w:id="367" w:name="_Toc296891031"/>
      <w:bookmarkEnd w:id="367"/>
      <w:bookmarkStart w:id="368" w:name="_Toc297216204"/>
      <w:bookmarkEnd w:id="368"/>
      <w:r>
        <w:rPr>
          <w:rFonts w:ascii="黑体" w:hAnsi="黑体" w:eastAsia="黑体" w:cs="Times New Roman"/>
          <w:szCs w:val="24"/>
        </w:rPr>
        <w:t>包人的合理化建议</w:t>
      </w:r>
    </w:p>
    <w:p w14:paraId="2960A84A">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监理人审查承包人合理化建议的期限：</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按通用条款执行</w:t>
      </w:r>
      <w:r>
        <w:rPr>
          <w:rFonts w:ascii="Times New Roman" w:hAnsi="Times New Roman" w:eastAsia="宋体" w:cs="Times New Roman"/>
          <w:szCs w:val="24"/>
          <w:u w:val="single"/>
        </w:rPr>
        <w:t xml:space="preserve">  </w:t>
      </w:r>
      <w:r>
        <w:rPr>
          <w:rFonts w:ascii="宋体" w:hAnsi="宋体" w:eastAsia="宋体" w:cs="Times New Roman"/>
          <w:szCs w:val="24"/>
        </w:rPr>
        <w:t>。</w:t>
      </w:r>
    </w:p>
    <w:p w14:paraId="7C24E7C9">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发包人审批承包人合理化建议的期限：</w:t>
      </w:r>
      <w:r>
        <w:rPr>
          <w:rFonts w:hint="eastAsia" w:ascii="宋体" w:hAnsi="宋体" w:eastAsia="宋体" w:cs="Times New Roman"/>
          <w:szCs w:val="24"/>
          <w:u w:val="single"/>
        </w:rPr>
        <w:t>按通用条款执行</w:t>
      </w:r>
      <w:r>
        <w:rPr>
          <w:rFonts w:ascii="Times New Roman" w:hAnsi="Times New Roman" w:eastAsia="宋体" w:cs="Times New Roman"/>
          <w:szCs w:val="24"/>
          <w:u w:val="single"/>
        </w:rPr>
        <w:t xml:space="preserve">   </w:t>
      </w:r>
      <w:r>
        <w:rPr>
          <w:rFonts w:ascii="宋体" w:hAnsi="宋体" w:eastAsia="宋体" w:cs="Times New Roman"/>
          <w:szCs w:val="24"/>
        </w:rPr>
        <w:t>。</w:t>
      </w:r>
    </w:p>
    <w:p w14:paraId="2EDD001C">
      <w:pPr>
        <w:spacing w:line="360" w:lineRule="exact"/>
        <w:ind w:firstLine="420" w:firstLineChars="200"/>
        <w:rPr>
          <w:rFonts w:ascii="Times New Roman" w:hAnsi="Times New Roman" w:eastAsia="宋体" w:cs="Times New Roman"/>
          <w:szCs w:val="24"/>
          <w:u w:val="single"/>
        </w:rPr>
      </w:pPr>
      <w:r>
        <w:rPr>
          <w:rFonts w:ascii="宋体" w:hAnsi="宋体" w:eastAsia="宋体" w:cs="Times New Roman"/>
          <w:szCs w:val="24"/>
        </w:rPr>
        <w:t>承</w:t>
      </w:r>
      <w:bookmarkStart w:id="369" w:name="_Toc297120504"/>
      <w:bookmarkEnd w:id="369"/>
      <w:bookmarkStart w:id="370" w:name="_Toc304295571"/>
      <w:bookmarkEnd w:id="370"/>
      <w:bookmarkStart w:id="371" w:name="_Toc296347203"/>
      <w:bookmarkEnd w:id="371"/>
      <w:bookmarkStart w:id="372" w:name="_Toc296346705"/>
      <w:bookmarkEnd w:id="372"/>
      <w:bookmarkStart w:id="373" w:name="_Toc296944543"/>
      <w:bookmarkEnd w:id="373"/>
      <w:bookmarkStart w:id="374" w:name="_Toc297048390"/>
      <w:bookmarkEnd w:id="374"/>
      <w:bookmarkStart w:id="375" w:name="_Toc312678030"/>
      <w:bookmarkEnd w:id="375"/>
      <w:bookmarkStart w:id="376" w:name="_Toc292559914"/>
      <w:bookmarkEnd w:id="376"/>
      <w:bookmarkStart w:id="377" w:name="_Toc292559409"/>
      <w:bookmarkEnd w:id="377"/>
      <w:bookmarkStart w:id="378" w:name="_Toc318581175"/>
      <w:bookmarkEnd w:id="378"/>
      <w:bookmarkStart w:id="379" w:name="_Toc297123546"/>
      <w:bookmarkEnd w:id="379"/>
      <w:bookmarkStart w:id="380" w:name="_Toc296891032"/>
      <w:bookmarkEnd w:id="380"/>
      <w:bookmarkStart w:id="381" w:name="_Toc296891244"/>
      <w:bookmarkEnd w:id="381"/>
      <w:bookmarkStart w:id="382" w:name="_Toc297216205"/>
      <w:bookmarkEnd w:id="382"/>
      <w:bookmarkStart w:id="383" w:name="_Toc303539152"/>
      <w:bookmarkEnd w:id="383"/>
      <w:bookmarkStart w:id="384" w:name="_Toc296503204"/>
      <w:bookmarkEnd w:id="384"/>
      <w:bookmarkStart w:id="385" w:name="_Toc300934995"/>
      <w:bookmarkEnd w:id="385"/>
      <w:bookmarkStart w:id="386" w:name="_Toc312677504"/>
      <w:r>
        <w:rPr>
          <w:rFonts w:ascii="宋体" w:hAnsi="宋体" w:eastAsia="宋体" w:cs="Times New Roman"/>
          <w:szCs w:val="24"/>
        </w:rPr>
        <w:t>包人提出的合理化建议降低了合同价格或者提高了工程经济效益的奖励的方法和金额为：</w:t>
      </w:r>
      <w:bookmarkEnd w:id="386"/>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hint="eastAsia" w:ascii="Times New Roman" w:hAnsi="Times New Roman" w:eastAsia="宋体" w:cs="Times New Roman"/>
          <w:szCs w:val="24"/>
          <w:u w:val="single"/>
        </w:rPr>
        <w:t>/</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6F59EFD6">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1</w:t>
      </w:r>
      <w:bookmarkStart w:id="387" w:name="_Toc312678033"/>
      <w:bookmarkEnd w:id="387"/>
      <w:bookmarkStart w:id="388" w:name="_Toc292559404"/>
      <w:bookmarkEnd w:id="388"/>
      <w:bookmarkStart w:id="389" w:name="_Toc303539154"/>
      <w:bookmarkEnd w:id="389"/>
      <w:bookmarkStart w:id="390" w:name="_Toc297216207"/>
      <w:bookmarkEnd w:id="390"/>
      <w:bookmarkStart w:id="391" w:name="_Toc296503199"/>
      <w:bookmarkEnd w:id="391"/>
      <w:bookmarkStart w:id="392" w:name="_Toc297123548"/>
      <w:bookmarkEnd w:id="392"/>
      <w:bookmarkStart w:id="393" w:name="_Toc312677507"/>
      <w:bookmarkEnd w:id="393"/>
      <w:bookmarkStart w:id="394" w:name="_Toc296944538"/>
      <w:bookmarkEnd w:id="394"/>
      <w:bookmarkStart w:id="395" w:name="_Toc296347198"/>
      <w:bookmarkEnd w:id="395"/>
      <w:bookmarkStart w:id="396" w:name="_Toc297048385"/>
      <w:bookmarkEnd w:id="396"/>
      <w:bookmarkStart w:id="397" w:name="_Toc297120499"/>
      <w:bookmarkEnd w:id="397"/>
      <w:bookmarkStart w:id="398" w:name="_Toc292559909"/>
      <w:bookmarkEnd w:id="398"/>
      <w:bookmarkStart w:id="399" w:name="_Toc296346700"/>
      <w:bookmarkEnd w:id="399"/>
      <w:bookmarkStart w:id="400" w:name="_Toc296891239"/>
      <w:bookmarkEnd w:id="400"/>
      <w:bookmarkStart w:id="401" w:name="_Toc300934997"/>
      <w:bookmarkEnd w:id="401"/>
      <w:bookmarkStart w:id="402" w:name="_Toc296891027"/>
      <w:bookmarkEnd w:id="402"/>
      <w:bookmarkStart w:id="403" w:name="_Toc304295574"/>
      <w:r>
        <w:rPr>
          <w:rFonts w:ascii="Times New Roman" w:hAnsi="Times New Roman" w:eastAsia="黑体" w:cs="Times New Roman"/>
          <w:szCs w:val="24"/>
        </w:rPr>
        <w:t xml:space="preserve">0.7 </w:t>
      </w:r>
      <w:r>
        <w:rPr>
          <w:rFonts w:ascii="黑体" w:hAnsi="黑体" w:eastAsia="黑体" w:cs="Times New Roman"/>
          <w:szCs w:val="24"/>
        </w:rPr>
        <w:t>暂估价</w:t>
      </w:r>
      <w:bookmarkEnd w:id="403"/>
    </w:p>
    <w:p w14:paraId="6852D163">
      <w:pPr>
        <w:spacing w:line="360" w:lineRule="exact"/>
        <w:ind w:firstLine="420" w:firstLineChars="200"/>
        <w:rPr>
          <w:rFonts w:ascii="Times New Roman" w:hAnsi="Times New Roman" w:eastAsia="宋体" w:cs="Times New Roman"/>
          <w:szCs w:val="24"/>
        </w:rPr>
      </w:pPr>
      <w:r>
        <w:rPr>
          <w:rFonts w:ascii="宋体" w:hAnsi="宋体" w:eastAsia="宋体" w:cs="Times New Roman"/>
          <w:kern w:val="0"/>
          <w:szCs w:val="24"/>
        </w:rPr>
        <w:t>暂</w:t>
      </w:r>
      <w:bookmarkStart w:id="404" w:name="_Toc318581176"/>
      <w:bookmarkEnd w:id="404"/>
      <w:bookmarkStart w:id="405" w:name="_Toc312677508"/>
      <w:bookmarkEnd w:id="405"/>
      <w:bookmarkStart w:id="406" w:name="_Toc312678034"/>
      <w:r>
        <w:rPr>
          <w:rFonts w:ascii="宋体" w:hAnsi="宋体" w:eastAsia="宋体" w:cs="Times New Roman"/>
          <w:kern w:val="0"/>
          <w:szCs w:val="24"/>
        </w:rPr>
        <w:t>估价材料和工程设备的明细详见附件</w:t>
      </w:r>
      <w:bookmarkEnd w:id="406"/>
      <w:r>
        <w:rPr>
          <w:rFonts w:hint="eastAsia" w:ascii="宋体" w:hAnsi="宋体" w:eastAsia="宋体" w:cs="Times New Roman"/>
          <w:kern w:val="0"/>
          <w:szCs w:val="24"/>
        </w:rPr>
        <w:t>11：《</w:t>
      </w:r>
      <w:r>
        <w:rPr>
          <w:rFonts w:ascii="宋体" w:hAnsi="宋体" w:eastAsia="宋体" w:cs="Times New Roman"/>
          <w:szCs w:val="24"/>
        </w:rPr>
        <w:t>暂估价一览表</w:t>
      </w:r>
      <w:r>
        <w:rPr>
          <w:rFonts w:hint="eastAsia" w:ascii="宋体" w:hAnsi="宋体" w:eastAsia="宋体" w:cs="Times New Roman"/>
          <w:szCs w:val="24"/>
        </w:rPr>
        <w:t>》</w:t>
      </w:r>
      <w:r>
        <w:rPr>
          <w:rFonts w:hint="eastAsia" w:ascii="宋体" w:hAnsi="宋体" w:eastAsia="宋体" w:cs="Times New Roman"/>
          <w:kern w:val="0"/>
          <w:szCs w:val="24"/>
        </w:rPr>
        <w:t>。</w:t>
      </w:r>
    </w:p>
    <w:p w14:paraId="4C37AB7D">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1</w:t>
      </w:r>
      <w:bookmarkStart w:id="407" w:name="_Toc312678035"/>
      <w:bookmarkEnd w:id="407"/>
      <w:bookmarkStart w:id="408" w:name="_Toc318581177"/>
      <w:bookmarkEnd w:id="408"/>
      <w:bookmarkStart w:id="409" w:name="_Toc312677509"/>
      <w:r>
        <w:rPr>
          <w:rFonts w:ascii="Times New Roman" w:hAnsi="Times New Roman" w:eastAsia="宋体" w:cs="Times New Roman"/>
          <w:szCs w:val="24"/>
        </w:rPr>
        <w:t xml:space="preserve">0.7.1 </w:t>
      </w:r>
      <w:bookmarkEnd w:id="409"/>
      <w:r>
        <w:rPr>
          <w:rFonts w:hint="eastAsia" w:ascii="宋体" w:hAnsi="宋体" w:eastAsia="宋体" w:cs="Times New Roman"/>
          <w:szCs w:val="24"/>
        </w:rPr>
        <w:t>依法必须招标的暂估价项目</w:t>
      </w:r>
    </w:p>
    <w:p w14:paraId="0EBAC32A">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无承包价（暂定价）或工程变更新增的单项材料、设备、专业分包工程估算价在50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2DDDD330">
      <w:pPr>
        <w:spacing w:line="360" w:lineRule="exact"/>
        <w:ind w:firstLine="420" w:firstLineChars="200"/>
        <w:rPr>
          <w:rFonts w:ascii="仿宋_GB2312" w:hAnsi="Times New Roman" w:eastAsia="仿宋_GB2312" w:cs="Times New Roman"/>
          <w:szCs w:val="24"/>
        </w:rPr>
      </w:pPr>
      <w:r>
        <w:rPr>
          <w:rFonts w:ascii="Times New Roman" w:hAnsi="Times New Roman" w:eastAsia="宋体" w:cs="Times New Roman"/>
          <w:szCs w:val="24"/>
        </w:rPr>
        <w:t xml:space="preserve">10.7.2 </w:t>
      </w:r>
      <w:r>
        <w:rPr>
          <w:rFonts w:hint="eastAsia" w:ascii="宋体" w:hAnsi="宋体" w:eastAsia="宋体" w:cs="Times New Roman"/>
          <w:szCs w:val="24"/>
        </w:rPr>
        <w:t>不属于依法必须招标的暂估价项目：</w:t>
      </w:r>
      <w:r>
        <w:rPr>
          <w:rFonts w:hint="eastAsia" w:ascii="宋体" w:hAnsi="宋体" w:eastAsia="宋体" w:cs="Times New Roman"/>
          <w:szCs w:val="24"/>
          <w:u w:val="single"/>
        </w:rPr>
        <w:t>按通用合同条款。</w:t>
      </w:r>
    </w:p>
    <w:p w14:paraId="31FBA35E">
      <w:pPr>
        <w:spacing w:line="360" w:lineRule="exact"/>
        <w:ind w:firstLine="420" w:firstLineChars="200"/>
        <w:rPr>
          <w:rFonts w:hint="eastAsia" w:ascii="宋体" w:hAnsi="宋体" w:eastAsia="宋体" w:cs="Times New Roman"/>
          <w:kern w:val="0"/>
          <w:szCs w:val="24"/>
        </w:rPr>
      </w:pPr>
      <w:r>
        <w:rPr>
          <w:rFonts w:hint="eastAsia" w:ascii="宋体" w:hAnsi="宋体" w:eastAsia="宋体" w:cs="Times New Roman"/>
          <w:szCs w:val="24"/>
        </w:rPr>
        <w:t>第</w:t>
      </w:r>
      <w:r>
        <w:rPr>
          <w:rFonts w:ascii="Times New Roman" w:hAnsi="Times New Roman" w:eastAsia="宋体" w:cs="Times New Roman"/>
          <w:szCs w:val="24"/>
        </w:rPr>
        <w:t>3</w:t>
      </w:r>
      <w:r>
        <w:rPr>
          <w:rFonts w:hint="eastAsia" w:ascii="宋体" w:hAnsi="宋体" w:eastAsia="宋体" w:cs="Times New Roman"/>
          <w:szCs w:val="24"/>
        </w:rPr>
        <w:t>种方式：</w:t>
      </w:r>
      <w:r>
        <w:rPr>
          <w:rFonts w:hint="eastAsia" w:ascii="宋体" w:hAnsi="宋体" w:eastAsia="宋体" w:cs="Times New Roman"/>
          <w:kern w:val="0"/>
          <w:szCs w:val="24"/>
        </w:rPr>
        <w:t>承包人直接实施的暂估价项目</w:t>
      </w:r>
    </w:p>
    <w:p w14:paraId="1DB71934">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承包人直接实施的暂估价项目的约定：</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w:t>
      </w:r>
      <w:r>
        <w:rPr>
          <w:rFonts w:ascii="Times New Roman" w:hAnsi="Times New Roman" w:eastAsia="宋体" w:cs="Times New Roman"/>
          <w:szCs w:val="24"/>
          <w:u w:val="single"/>
        </w:rPr>
        <w:t xml:space="preserve">   </w:t>
      </w:r>
      <w:r>
        <w:rPr>
          <w:rFonts w:hint="eastAsia" w:ascii="宋体" w:hAnsi="宋体" w:eastAsia="宋体" w:cs="Times New Roman"/>
          <w:szCs w:val="24"/>
        </w:rPr>
        <w:t>。</w:t>
      </w:r>
    </w:p>
    <w:p w14:paraId="144EA162">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10.7.4专业发包工程管理费</w:t>
      </w:r>
    </w:p>
    <w:p w14:paraId="2791D6A3">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发包人另行发包的专业工程，向承包人支付专业发包工程管理费（或称总承包服务费），以另行发包的专业工程税前金额（指不含销项税）为基数，乘以费率</w:t>
      </w:r>
      <w:r>
        <w:rPr>
          <w:rFonts w:hint="eastAsia" w:ascii="宋体" w:hAnsi="宋体" w:eastAsia="宋体" w:cs="Times New Roman"/>
          <w:szCs w:val="24"/>
          <w:u w:val="single"/>
        </w:rPr>
        <w:t xml:space="preserve"> / </w:t>
      </w:r>
      <w:r>
        <w:rPr>
          <w:rFonts w:hint="eastAsia" w:ascii="宋体" w:hAnsi="宋体" w:eastAsia="宋体" w:cs="Times New Roman"/>
          <w:szCs w:val="24"/>
        </w:rPr>
        <w:t>%计算。</w:t>
      </w:r>
    </w:p>
    <w:p w14:paraId="20E4013C">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需总承包人配合的具体事项：</w:t>
      </w:r>
      <w:r>
        <w:rPr>
          <w:rFonts w:hint="eastAsia" w:ascii="宋体" w:hAnsi="宋体" w:eastAsia="宋体" w:cs="Times New Roman"/>
          <w:szCs w:val="24"/>
          <w:u w:val="single"/>
        </w:rPr>
        <w:t xml:space="preserve">           /          </w:t>
      </w:r>
      <w:r>
        <w:rPr>
          <w:rFonts w:hint="eastAsia" w:ascii="宋体" w:hAnsi="宋体" w:eastAsia="宋体" w:cs="Times New Roman"/>
          <w:szCs w:val="24"/>
        </w:rPr>
        <w:t>。</w:t>
      </w:r>
    </w:p>
    <w:p w14:paraId="6610225A">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发包人另行发包的专业工程：</w:t>
      </w:r>
      <w:r>
        <w:rPr>
          <w:rFonts w:hint="eastAsia" w:ascii="宋体" w:hAnsi="宋体" w:eastAsia="宋体" w:cs="Times New Roman"/>
          <w:szCs w:val="24"/>
          <w:u w:val="single"/>
        </w:rPr>
        <w:t xml:space="preserve">           /          </w:t>
      </w:r>
      <w:r>
        <w:rPr>
          <w:rFonts w:hint="eastAsia" w:ascii="宋体" w:hAnsi="宋体" w:eastAsia="宋体" w:cs="Times New Roman"/>
          <w:szCs w:val="24"/>
        </w:rPr>
        <w:t>。</w:t>
      </w:r>
    </w:p>
    <w:p w14:paraId="1402C272">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10.8 </w:t>
      </w:r>
      <w:r>
        <w:rPr>
          <w:rFonts w:ascii="黑体" w:hAnsi="黑体" w:eastAsia="黑体" w:cs="Times New Roman"/>
          <w:szCs w:val="24"/>
        </w:rPr>
        <w:t>暂列金额</w:t>
      </w:r>
    </w:p>
    <w:p w14:paraId="48EA4A88">
      <w:pPr>
        <w:autoSpaceDE w:val="0"/>
        <w:autoSpaceDN w:val="0"/>
        <w:adjustRightInd w:val="0"/>
        <w:spacing w:line="360" w:lineRule="exact"/>
        <w:ind w:firstLine="420" w:firstLineChars="200"/>
        <w:rPr>
          <w:rFonts w:ascii="Times New Roman" w:hAnsi="Times New Roman" w:eastAsia="宋体" w:cs="Times New Roman"/>
          <w:kern w:val="0"/>
          <w:szCs w:val="24"/>
        </w:rPr>
      </w:pPr>
      <w:r>
        <w:rPr>
          <w:rFonts w:hint="eastAsia" w:ascii="宋体" w:hAnsi="宋体" w:eastAsia="宋体" w:cs="Times New Roman"/>
          <w:kern w:val="0"/>
          <w:szCs w:val="24"/>
        </w:rPr>
        <w:t>合同当事人关于暂列金额使用的约定：</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kern w:val="0"/>
          <w:szCs w:val="24"/>
        </w:rPr>
        <w:t>。</w:t>
      </w:r>
    </w:p>
    <w:p w14:paraId="5F3A294F">
      <w:pPr>
        <w:autoSpaceDE w:val="0"/>
        <w:autoSpaceDN w:val="0"/>
        <w:adjustRightInd w:val="0"/>
        <w:spacing w:line="360" w:lineRule="exact"/>
        <w:ind w:firstLine="420" w:firstLineChars="200"/>
        <w:rPr>
          <w:rFonts w:ascii="Times New Roman" w:hAnsi="Times New Roman" w:eastAsia="宋体" w:cs="Times New Roman"/>
          <w:i/>
          <w:iCs/>
          <w:kern w:val="0"/>
          <w:szCs w:val="24"/>
        </w:rPr>
      </w:pPr>
      <w:r>
        <w:rPr>
          <w:rFonts w:hint="eastAsia" w:ascii="宋体" w:hAnsi="宋体" w:eastAsia="宋体" w:cs="Times New Roman"/>
          <w:kern w:val="0"/>
          <w:szCs w:val="24"/>
        </w:rPr>
        <w:t>创标化工地增加费</w:t>
      </w:r>
      <w:r>
        <w:rPr>
          <w:rFonts w:hint="eastAsia" w:ascii="宋体" w:hAnsi="宋体" w:eastAsia="宋体" w:cs="Times New Roman"/>
          <w:kern w:val="0"/>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w:t>
      </w:r>
      <w:r>
        <w:rPr>
          <w:rFonts w:ascii="Times New Roman" w:hAnsi="Times New Roman" w:eastAsia="宋体" w:cs="Times New Roman"/>
          <w:szCs w:val="24"/>
          <w:u w:val="single"/>
        </w:rPr>
        <w:t xml:space="preserve"> </w:t>
      </w:r>
      <w:r>
        <w:rPr>
          <w:rFonts w:hint="eastAsia" w:ascii="宋体" w:hAnsi="宋体" w:eastAsia="宋体" w:cs="Times New Roman"/>
          <w:kern w:val="0"/>
          <w:szCs w:val="24"/>
          <w:u w:val="single"/>
        </w:rPr>
        <w:t xml:space="preserve">                         </w:t>
      </w:r>
      <w:r>
        <w:rPr>
          <w:rFonts w:hint="eastAsia" w:ascii="宋体" w:hAnsi="宋体" w:eastAsia="宋体" w:cs="Times New Roman"/>
          <w:kern w:val="0"/>
          <w:szCs w:val="24"/>
        </w:rPr>
        <w:t xml:space="preserve">。 </w:t>
      </w:r>
    </w:p>
    <w:p w14:paraId="554F96BC">
      <w:pPr>
        <w:autoSpaceDE w:val="0"/>
        <w:autoSpaceDN w:val="0"/>
        <w:adjustRightInd w:val="0"/>
        <w:spacing w:line="360" w:lineRule="exact"/>
        <w:ind w:firstLine="420" w:firstLineChars="200"/>
        <w:rPr>
          <w:rFonts w:ascii="Times New Roman" w:hAnsi="Times New Roman" w:eastAsia="宋体" w:cs="Times New Roman"/>
          <w:i/>
          <w:iCs/>
          <w:kern w:val="0"/>
          <w:szCs w:val="24"/>
        </w:rPr>
      </w:pPr>
      <w:r>
        <w:rPr>
          <w:rFonts w:hint="eastAsia" w:ascii="宋体" w:hAnsi="宋体" w:eastAsia="宋体" w:cs="Times New Roman"/>
          <w:kern w:val="0"/>
          <w:szCs w:val="24"/>
        </w:rPr>
        <w:t>创优质工程增加费</w:t>
      </w:r>
      <w:r>
        <w:rPr>
          <w:rFonts w:hint="eastAsia" w:ascii="宋体" w:hAnsi="宋体" w:eastAsia="宋体" w:cs="Times New Roman"/>
          <w:kern w:val="0"/>
          <w:szCs w:val="24"/>
          <w:u w:val="single"/>
        </w:rPr>
        <w:t xml:space="preserve">          </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w:t>
      </w:r>
      <w:r>
        <w:rPr>
          <w:rFonts w:ascii="Times New Roman" w:hAnsi="Times New Roman" w:eastAsia="宋体" w:cs="Times New Roman"/>
          <w:szCs w:val="24"/>
          <w:u w:val="single"/>
        </w:rPr>
        <w:t xml:space="preserve"> </w:t>
      </w:r>
      <w:r>
        <w:rPr>
          <w:rFonts w:hint="eastAsia" w:ascii="宋体" w:hAnsi="宋体" w:eastAsia="宋体" w:cs="Times New Roman"/>
          <w:kern w:val="0"/>
          <w:szCs w:val="24"/>
          <w:u w:val="single"/>
        </w:rPr>
        <w:t xml:space="preserve">                       </w:t>
      </w:r>
      <w:r>
        <w:rPr>
          <w:rFonts w:hint="eastAsia" w:ascii="宋体" w:hAnsi="宋体" w:eastAsia="宋体" w:cs="Times New Roman"/>
          <w:kern w:val="0"/>
          <w:szCs w:val="24"/>
        </w:rPr>
        <w:t xml:space="preserve">。 </w:t>
      </w:r>
    </w:p>
    <w:p w14:paraId="69569EBC">
      <w:pPr>
        <w:keepNext/>
        <w:keepLines/>
        <w:spacing w:line="360" w:lineRule="exact"/>
        <w:rPr>
          <w:rFonts w:ascii="Times New Roman" w:hAnsi="Times New Roman" w:eastAsia="黑体" w:cs="Times New Roman"/>
          <w:szCs w:val="21"/>
        </w:rPr>
      </w:pPr>
      <w:bookmarkStart w:id="410" w:name="_Toc351203643"/>
      <w:bookmarkEnd w:id="410"/>
      <w:r>
        <w:rPr>
          <w:rFonts w:ascii="Times New Roman" w:hAnsi="Times New Roman" w:eastAsia="黑体" w:cs="Times New Roman"/>
          <w:szCs w:val="21"/>
        </w:rPr>
        <w:t xml:space="preserve">11. </w:t>
      </w:r>
      <w:r>
        <w:rPr>
          <w:rFonts w:ascii="黑体" w:hAnsi="黑体" w:eastAsia="黑体" w:cs="Times New Roman"/>
          <w:szCs w:val="21"/>
        </w:rPr>
        <w:t>价格调整</w:t>
      </w:r>
    </w:p>
    <w:p w14:paraId="3B14767A">
      <w:pPr>
        <w:spacing w:line="360" w:lineRule="exact"/>
        <w:ind w:firstLine="420" w:firstLineChars="200"/>
        <w:rPr>
          <w:rFonts w:ascii="Times New Roman" w:hAnsi="Times New Roman" w:eastAsia="黑体" w:cs="Times New Roman"/>
          <w:szCs w:val="24"/>
        </w:rPr>
      </w:pPr>
      <w:bookmarkStart w:id="411" w:name="_Toc292559406"/>
      <w:bookmarkEnd w:id="411"/>
      <w:bookmarkStart w:id="412" w:name="_Toc297123550"/>
      <w:bookmarkEnd w:id="412"/>
      <w:bookmarkStart w:id="413" w:name="_Toc303539157"/>
      <w:bookmarkEnd w:id="413"/>
      <w:bookmarkStart w:id="414" w:name="_Toc296503201"/>
      <w:bookmarkEnd w:id="414"/>
      <w:bookmarkStart w:id="415" w:name="_Toc292559911"/>
      <w:bookmarkEnd w:id="415"/>
      <w:bookmarkStart w:id="416" w:name="_Toc296346702"/>
      <w:bookmarkEnd w:id="416"/>
      <w:bookmarkStart w:id="417" w:name="_Toc297120501"/>
      <w:bookmarkEnd w:id="417"/>
      <w:bookmarkStart w:id="418" w:name="_Toc296347200"/>
      <w:bookmarkEnd w:id="418"/>
      <w:bookmarkStart w:id="419" w:name="_Toc296944540"/>
      <w:bookmarkEnd w:id="419"/>
      <w:bookmarkStart w:id="420" w:name="_Toc297048387"/>
      <w:bookmarkEnd w:id="420"/>
      <w:bookmarkStart w:id="421" w:name="_Toc300935000"/>
      <w:bookmarkEnd w:id="421"/>
      <w:bookmarkStart w:id="422" w:name="_Toc296891241"/>
      <w:bookmarkEnd w:id="422"/>
      <w:bookmarkStart w:id="423" w:name="_Toc312678039"/>
      <w:bookmarkEnd w:id="423"/>
      <w:bookmarkStart w:id="424" w:name="_Toc304295577"/>
      <w:bookmarkEnd w:id="424"/>
      <w:bookmarkStart w:id="425" w:name="_Toc296891029"/>
      <w:bookmarkEnd w:id="425"/>
      <w:bookmarkStart w:id="426" w:name="_Toc297216209"/>
      <w:r>
        <w:rPr>
          <w:rFonts w:ascii="Times New Roman" w:hAnsi="Times New Roman" w:eastAsia="黑体" w:cs="Times New Roman"/>
          <w:szCs w:val="24"/>
        </w:rPr>
        <w:t xml:space="preserve">11.1 </w:t>
      </w:r>
      <w:r>
        <w:rPr>
          <w:rFonts w:ascii="黑体" w:hAnsi="黑体" w:eastAsia="黑体" w:cs="Times New Roman"/>
          <w:szCs w:val="24"/>
        </w:rPr>
        <w:t>市场价格波动引起的调整</w:t>
      </w:r>
      <w:bookmarkEnd w:id="426"/>
    </w:p>
    <w:p w14:paraId="1B11FA8B">
      <w:pPr>
        <w:spacing w:line="360" w:lineRule="exact"/>
        <w:ind w:firstLine="388" w:firstLineChars="185"/>
        <w:rPr>
          <w:rFonts w:hint="eastAsia" w:ascii="仿宋_GB2312" w:hAnsi="宋体" w:eastAsia="仿宋_GB2312" w:cs="Times New Roman"/>
          <w:szCs w:val="24"/>
          <w:u w:val="single"/>
        </w:rPr>
      </w:pPr>
      <w:r>
        <w:rPr>
          <w:rFonts w:ascii="宋体" w:hAnsi="宋体" w:eastAsia="宋体" w:cs="Times New Roman"/>
          <w:kern w:val="0"/>
          <w:szCs w:val="24"/>
        </w:rPr>
        <w:t>市场价格波动是否调整合同价格的约定：</w:t>
      </w:r>
      <w:r>
        <w:rPr>
          <w:rFonts w:hint="eastAsia" w:ascii="宋体" w:hAnsi="宋体" w:eastAsia="宋体" w:cs="Times New Roman"/>
          <w:szCs w:val="24"/>
          <w:u w:val="single"/>
        </w:rPr>
        <w:t>不予调整。</w:t>
      </w:r>
    </w:p>
    <w:p w14:paraId="1BC56045">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11.2  法律变化引起的调整 ：</w:t>
      </w:r>
      <w:r>
        <w:rPr>
          <w:rFonts w:hint="eastAsia" w:ascii="宋体" w:hAnsi="宋体" w:eastAsia="宋体" w:cs="Times New Roman"/>
          <w:szCs w:val="24"/>
          <w:u w:val="single"/>
        </w:rPr>
        <w:t>基准日期以后变化由发包人承担，但由承包人原因导致工期延误时的法律变化引起合同价增加的由承包人承担，合同价下降的由发包人受益。</w:t>
      </w:r>
      <w:r>
        <w:rPr>
          <w:rFonts w:hint="eastAsia" w:ascii="宋体" w:hAnsi="宋体" w:eastAsia="宋体" w:cs="Times New Roman"/>
          <w:szCs w:val="24"/>
        </w:rPr>
        <w:t xml:space="preserve"> </w:t>
      </w:r>
    </w:p>
    <w:p w14:paraId="7E0AEC43">
      <w:pPr>
        <w:snapToGrid w:val="0"/>
        <w:spacing w:line="360" w:lineRule="auto"/>
        <w:outlineLvl w:val="3"/>
        <w:rPr>
          <w:rFonts w:hint="eastAsia" w:ascii="宋体" w:hAnsi="宋体" w:eastAsia="宋体" w:cs="宋体"/>
          <w:b/>
          <w:szCs w:val="21"/>
        </w:rPr>
      </w:pPr>
      <w:bookmarkStart w:id="427" w:name="_Toc312678040"/>
      <w:bookmarkEnd w:id="427"/>
      <w:bookmarkStart w:id="428" w:name="_Toc303539159"/>
      <w:bookmarkEnd w:id="428"/>
      <w:bookmarkStart w:id="429" w:name="_Toc296347204"/>
      <w:bookmarkEnd w:id="429"/>
      <w:bookmarkStart w:id="430" w:name="_Toc297048391"/>
      <w:bookmarkEnd w:id="430"/>
      <w:bookmarkStart w:id="431" w:name="_Toc351203644"/>
      <w:bookmarkEnd w:id="431"/>
      <w:bookmarkStart w:id="432" w:name="_Toc292559410"/>
      <w:bookmarkEnd w:id="432"/>
      <w:bookmarkStart w:id="433" w:name="_Toc297216211"/>
      <w:bookmarkEnd w:id="433"/>
      <w:bookmarkStart w:id="434" w:name="_Toc296503205"/>
      <w:bookmarkEnd w:id="434"/>
      <w:bookmarkStart w:id="435" w:name="_Toc296944544"/>
      <w:bookmarkEnd w:id="435"/>
      <w:bookmarkStart w:id="436" w:name="_Toc300935002"/>
      <w:bookmarkEnd w:id="436"/>
      <w:bookmarkStart w:id="437" w:name="_Toc296891245"/>
      <w:bookmarkEnd w:id="437"/>
      <w:bookmarkStart w:id="438" w:name="_Toc297120505"/>
      <w:bookmarkEnd w:id="438"/>
      <w:bookmarkStart w:id="439" w:name="_Toc292559915"/>
      <w:bookmarkEnd w:id="439"/>
      <w:bookmarkStart w:id="440" w:name="_Toc296891033"/>
      <w:bookmarkEnd w:id="440"/>
      <w:bookmarkStart w:id="441" w:name="_Toc304295579"/>
      <w:bookmarkEnd w:id="441"/>
      <w:bookmarkStart w:id="442" w:name="_Toc297123552"/>
      <w:bookmarkEnd w:id="442"/>
      <w:bookmarkStart w:id="443" w:name="_Toc296346706"/>
      <w:r>
        <w:rPr>
          <w:rFonts w:hint="eastAsia" w:ascii="宋体" w:hAnsi="宋体" w:eastAsia="宋体" w:cs="宋体"/>
          <w:b/>
          <w:szCs w:val="21"/>
        </w:rPr>
        <w:t>12</w:t>
      </w:r>
      <w:bookmarkEnd w:id="443"/>
      <w:r>
        <w:rPr>
          <w:rFonts w:hint="eastAsia" w:ascii="宋体" w:hAnsi="宋体" w:eastAsia="宋体" w:cs="宋体"/>
          <w:b/>
          <w:szCs w:val="21"/>
        </w:rPr>
        <w:t>．合同价格、计量与支付</w:t>
      </w:r>
    </w:p>
    <w:p w14:paraId="0416C533">
      <w:pPr>
        <w:snapToGrid w:val="0"/>
        <w:spacing w:line="360" w:lineRule="auto"/>
        <w:ind w:firstLine="420" w:firstLineChars="200"/>
        <w:rPr>
          <w:rFonts w:hint="eastAsia" w:ascii="宋体" w:hAnsi="宋体" w:eastAsia="宋体" w:cs="宋体"/>
          <w:szCs w:val="21"/>
        </w:rPr>
      </w:pPr>
      <w:bookmarkStart w:id="444" w:name="_Toc292559411"/>
      <w:bookmarkStart w:id="445" w:name="_Toc267251461"/>
      <w:bookmarkStart w:id="446" w:name="_Toc292559916"/>
      <w:bookmarkStart w:id="447" w:name="_Toc296944545"/>
      <w:bookmarkStart w:id="448" w:name="_Toc296347205"/>
      <w:bookmarkStart w:id="449" w:name="_Toc297120506"/>
      <w:bookmarkStart w:id="450" w:name="_Toc296891246"/>
      <w:bookmarkStart w:id="451" w:name="_Toc296346707"/>
      <w:bookmarkStart w:id="452" w:name="_Toc296891034"/>
      <w:bookmarkStart w:id="453" w:name="_Toc297048392"/>
      <w:bookmarkStart w:id="454" w:name="_Toc296503206"/>
      <w:bookmarkStart w:id="455" w:name="_Toc303539160"/>
      <w:bookmarkStart w:id="456" w:name="_Toc304295580"/>
      <w:bookmarkStart w:id="457" w:name="_Toc297216212"/>
      <w:bookmarkStart w:id="458" w:name="_Toc297123553"/>
      <w:bookmarkStart w:id="459" w:name="_Toc312678041"/>
      <w:bookmarkStart w:id="460" w:name="_Toc300935003"/>
      <w:r>
        <w:rPr>
          <w:rFonts w:hint="eastAsia" w:ascii="宋体" w:hAnsi="宋体" w:eastAsia="宋体" w:cs="宋体"/>
          <w:szCs w:val="21"/>
        </w:rPr>
        <w:t>12.1 合</w:t>
      </w:r>
      <w:bookmarkEnd w:id="444"/>
      <w:bookmarkEnd w:id="445"/>
      <w:bookmarkEnd w:id="446"/>
      <w:r>
        <w:rPr>
          <w:rFonts w:hint="eastAsia" w:ascii="宋体" w:hAnsi="宋体" w:eastAsia="宋体" w:cs="宋体"/>
          <w:szCs w:val="21"/>
        </w:rPr>
        <w:t>同价</w:t>
      </w:r>
      <w:bookmarkEnd w:id="447"/>
      <w:bookmarkEnd w:id="448"/>
      <w:bookmarkEnd w:id="449"/>
      <w:bookmarkEnd w:id="450"/>
      <w:bookmarkEnd w:id="451"/>
      <w:bookmarkEnd w:id="452"/>
      <w:bookmarkEnd w:id="453"/>
      <w:bookmarkEnd w:id="454"/>
      <w:r>
        <w:rPr>
          <w:rFonts w:hint="eastAsia" w:ascii="宋体" w:hAnsi="宋体" w:eastAsia="宋体" w:cs="宋体"/>
          <w:szCs w:val="21"/>
        </w:rPr>
        <w:t>格形式</w:t>
      </w:r>
    </w:p>
    <w:p w14:paraId="7897D691">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本合同价款采用第</w:t>
      </w:r>
      <w:r>
        <w:rPr>
          <w:rFonts w:hint="eastAsia" w:ascii="宋体" w:hAnsi="宋体" w:eastAsia="宋体" w:cs="宋体"/>
          <w:kern w:val="0"/>
          <w:szCs w:val="21"/>
          <w:u w:val="single"/>
        </w:rPr>
        <w:t xml:space="preserve">  1  </w:t>
      </w:r>
      <w:r>
        <w:rPr>
          <w:rFonts w:hint="eastAsia" w:ascii="宋体" w:hAnsi="宋体" w:eastAsia="宋体" w:cs="宋体"/>
          <w:kern w:val="0"/>
          <w:szCs w:val="21"/>
        </w:rPr>
        <w:t>种方式</w:t>
      </w:r>
      <w:r>
        <w:rPr>
          <w:rFonts w:hint="eastAsia" w:ascii="宋体" w:hAnsi="宋体" w:eastAsia="宋体" w:cs="宋体"/>
          <w:kern w:val="0"/>
          <w:szCs w:val="21"/>
          <w:u w:val="single"/>
        </w:rPr>
        <w:t xml:space="preserve">  </w:t>
      </w:r>
      <w:r>
        <w:rPr>
          <w:rFonts w:hint="eastAsia" w:ascii="宋体" w:hAnsi="宋体" w:eastAsia="宋体" w:cs="宋体"/>
          <w:szCs w:val="21"/>
          <w:u w:val="single"/>
        </w:rPr>
        <w:t>单价合同</w:t>
      </w:r>
      <w:r>
        <w:rPr>
          <w:rFonts w:hint="eastAsia" w:ascii="宋体" w:hAnsi="宋体" w:eastAsia="宋体" w:cs="宋体"/>
          <w:kern w:val="0"/>
          <w:szCs w:val="21"/>
          <w:u w:val="single"/>
        </w:rPr>
        <w:t xml:space="preserve">  </w:t>
      </w:r>
      <w:r>
        <w:rPr>
          <w:rFonts w:hint="eastAsia" w:ascii="宋体" w:hAnsi="宋体" w:eastAsia="宋体" w:cs="宋体"/>
          <w:kern w:val="0"/>
          <w:szCs w:val="21"/>
        </w:rPr>
        <w:t>确定。</w:t>
      </w:r>
    </w:p>
    <w:bookmarkEnd w:id="455"/>
    <w:bookmarkEnd w:id="456"/>
    <w:bookmarkEnd w:id="457"/>
    <w:bookmarkEnd w:id="458"/>
    <w:bookmarkEnd w:id="459"/>
    <w:bookmarkEnd w:id="460"/>
    <w:p w14:paraId="740F7CD9">
      <w:p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12.1 合同价格形式</w:t>
      </w:r>
    </w:p>
    <w:p w14:paraId="11357A8F">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本合同价款采用 </w:t>
      </w:r>
      <w:r>
        <w:rPr>
          <w:rFonts w:hint="eastAsia" w:ascii="宋体" w:hAnsi="宋体" w:eastAsia="宋体" w:cs="宋体"/>
          <w:szCs w:val="21"/>
          <w:u w:val="single"/>
        </w:rPr>
        <w:t xml:space="preserve"> 固定结算率，固定单价</w:t>
      </w:r>
      <w:r>
        <w:rPr>
          <w:rFonts w:hint="eastAsia" w:ascii="宋体" w:hAnsi="宋体" w:eastAsia="宋体" w:cs="宋体"/>
          <w:szCs w:val="21"/>
        </w:rPr>
        <w:t xml:space="preserve"> 方式确定。</w:t>
      </w:r>
    </w:p>
    <w:p w14:paraId="4BAB7ED0">
      <w:pPr>
        <w:numPr>
          <w:ilvl w:val="0"/>
          <w:numId w:val="4"/>
        </w:num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宋体"/>
          <w:szCs w:val="21"/>
          <w:lang w:bidi="ar"/>
        </w:rPr>
        <w:t>单价合同。</w:t>
      </w:r>
    </w:p>
    <w:p w14:paraId="0D2CDA9E">
      <w:pPr>
        <w:autoSpaceDE w:val="0"/>
        <w:autoSpaceDN w:val="0"/>
        <w:snapToGrid w:val="0"/>
        <w:spacing w:line="360" w:lineRule="auto"/>
        <w:ind w:firstLine="420" w:firstLineChars="200"/>
        <w:rPr>
          <w:rFonts w:ascii="Times New Roman" w:hAnsi="Times New Roman" w:eastAsia="宋体" w:cs="Times New Roman"/>
        </w:rPr>
      </w:pPr>
      <w:r>
        <w:rPr>
          <w:rFonts w:hint="eastAsia" w:ascii="Times New Roman" w:hAnsi="Times New Roman" w:eastAsia="宋体" w:cs="宋体"/>
          <w:szCs w:val="21"/>
          <w:u w:val="single"/>
          <w:lang w:bidi="ar"/>
        </w:rPr>
        <w:t>本工程采用固定结算率方式结算【结算率：中标价</w:t>
      </w:r>
      <w:r>
        <w:rPr>
          <w:rFonts w:ascii="Times New Roman" w:hAnsi="Times New Roman" w:eastAsia="宋体" w:cs="Times New Roman"/>
          <w:szCs w:val="21"/>
          <w:u w:val="single"/>
          <w:lang w:bidi="ar"/>
        </w:rPr>
        <w:t>/</w:t>
      </w:r>
      <w:r>
        <w:rPr>
          <w:rFonts w:hint="eastAsia" w:ascii="Times New Roman" w:hAnsi="Times New Roman" w:eastAsia="宋体" w:cs="宋体"/>
          <w:szCs w:val="21"/>
          <w:u w:val="single"/>
          <w:lang w:bidi="ar"/>
        </w:rPr>
        <w:t>招标控制价</w:t>
      </w:r>
      <w:r>
        <w:rPr>
          <w:rFonts w:ascii="Times New Roman" w:hAnsi="Times New Roman" w:eastAsia="宋体" w:cs="Times New Roman"/>
          <w:szCs w:val="21"/>
          <w:u w:val="single"/>
          <w:lang w:bidi="ar"/>
        </w:rPr>
        <w:t>*100%</w:t>
      </w:r>
      <w:r>
        <w:rPr>
          <w:rFonts w:hint="eastAsia" w:ascii="Times New Roman" w:hAnsi="Times New Roman" w:eastAsia="宋体" w:cs="宋体"/>
          <w:szCs w:val="21"/>
          <w:u w:val="single"/>
          <w:lang w:bidi="ar"/>
        </w:rPr>
        <w:t>】。</w:t>
      </w:r>
    </w:p>
    <w:p w14:paraId="0CCB85D7">
      <w:pPr>
        <w:snapToGrid w:val="0"/>
        <w:spacing w:line="360" w:lineRule="auto"/>
        <w:ind w:firstLine="315" w:firstLineChars="150"/>
        <w:rPr>
          <w:rFonts w:ascii="Times New Roman" w:hAnsi="Times New Roman" w:eastAsia="宋体" w:cs="Times New Roman"/>
          <w:szCs w:val="21"/>
        </w:rPr>
      </w:pPr>
      <w:r>
        <w:rPr>
          <w:rFonts w:hint="eastAsia" w:ascii="Times New Roman" w:hAnsi="Times New Roman" w:eastAsia="宋体" w:cs="宋体"/>
          <w:szCs w:val="21"/>
          <w:lang w:bidi="ar"/>
        </w:rPr>
        <w:t>综合单价包含的风险范围：</w:t>
      </w:r>
    </w:p>
    <w:p w14:paraId="76DA438C">
      <w:pPr>
        <w:autoSpaceDE w:val="0"/>
        <w:autoSpaceDN w:val="0"/>
        <w:snapToGrid w:val="0"/>
        <w:spacing w:line="360" w:lineRule="auto"/>
        <w:ind w:firstLine="420" w:firstLineChars="200"/>
        <w:rPr>
          <w:rFonts w:hint="eastAsia" w:ascii="仿宋_GB2312" w:hAnsi="宋体" w:eastAsia="宋体" w:cs="仿宋_GB2312"/>
          <w:szCs w:val="21"/>
          <w:u w:val="single"/>
        </w:rPr>
      </w:pPr>
      <w:r>
        <w:rPr>
          <w:rFonts w:hint="eastAsia" w:ascii="仿宋_GB2312" w:hAnsi="宋体" w:eastAsia="宋体" w:cs="宋体"/>
          <w:szCs w:val="21"/>
          <w:u w:val="single"/>
          <w:lang w:bidi="ar"/>
        </w:rPr>
        <w:t>本工程结算价的计算方式同投标价。除风险范围以外约定的调整外，以下内容按承包人的投标承诺不作调整：</w:t>
      </w:r>
    </w:p>
    <w:p w14:paraId="2E5E45C6">
      <w:pPr>
        <w:autoSpaceDE w:val="0"/>
        <w:autoSpaceDN w:val="0"/>
        <w:snapToGrid w:val="0"/>
        <w:spacing w:line="360" w:lineRule="auto"/>
        <w:ind w:firstLine="420" w:firstLineChars="200"/>
        <w:rPr>
          <w:rFonts w:ascii="Times New Roman" w:hAnsi="Times New Roman" w:eastAsia="宋体" w:cs="Times New Roman"/>
          <w:szCs w:val="21"/>
          <w:u w:val="single"/>
        </w:rPr>
      </w:pPr>
      <w:r>
        <w:rPr>
          <w:rFonts w:hint="eastAsia" w:ascii="Times New Roman" w:hAnsi="Times New Roman" w:eastAsia="宋体" w:cs="宋体"/>
          <w:szCs w:val="21"/>
          <w:u w:val="single"/>
          <w:lang w:bidi="ar"/>
        </w:rPr>
        <w:t>（</w:t>
      </w:r>
      <w:r>
        <w:rPr>
          <w:rFonts w:ascii="Times New Roman" w:hAnsi="Times New Roman" w:eastAsia="宋体" w:cs="Times New Roman"/>
          <w:szCs w:val="21"/>
          <w:u w:val="single"/>
          <w:lang w:bidi="ar"/>
        </w:rPr>
        <w:t>1</w:t>
      </w:r>
      <w:r>
        <w:rPr>
          <w:rFonts w:hint="eastAsia" w:ascii="Times New Roman" w:hAnsi="Times New Roman" w:eastAsia="宋体" w:cs="宋体"/>
          <w:szCs w:val="21"/>
          <w:u w:val="single"/>
          <w:lang w:bidi="ar"/>
        </w:rPr>
        <w:t>）综合单价（招标控制价中的综合单价</w:t>
      </w:r>
      <w:r>
        <w:rPr>
          <w:rFonts w:ascii="Times New Roman" w:hAnsi="Times New Roman" w:eastAsia="宋体" w:cs="Times New Roman"/>
          <w:szCs w:val="21"/>
          <w:u w:val="single"/>
          <w:lang w:bidi="ar"/>
        </w:rPr>
        <w:t>*</w:t>
      </w:r>
      <w:r>
        <w:rPr>
          <w:rFonts w:hint="eastAsia" w:ascii="Times New Roman" w:hAnsi="Times New Roman" w:eastAsia="宋体" w:cs="宋体"/>
          <w:szCs w:val="21"/>
          <w:u w:val="single"/>
          <w:lang w:bidi="ar"/>
        </w:rPr>
        <w:t>结算率）；</w:t>
      </w:r>
    </w:p>
    <w:p w14:paraId="71A796C4">
      <w:pPr>
        <w:autoSpaceDE w:val="0"/>
        <w:autoSpaceDN w:val="0"/>
        <w:snapToGrid w:val="0"/>
        <w:spacing w:line="360" w:lineRule="auto"/>
        <w:ind w:firstLine="420" w:firstLineChars="200"/>
        <w:rPr>
          <w:rFonts w:ascii="Times New Roman" w:hAnsi="Times New Roman" w:eastAsia="宋体" w:cs="Times New Roman"/>
          <w:szCs w:val="21"/>
          <w:u w:val="single"/>
        </w:rPr>
      </w:pPr>
      <w:r>
        <w:rPr>
          <w:rFonts w:hint="eastAsia" w:ascii="Times New Roman" w:hAnsi="Times New Roman" w:eastAsia="宋体" w:cs="宋体"/>
          <w:szCs w:val="21"/>
          <w:u w:val="single"/>
          <w:lang w:bidi="ar"/>
        </w:rPr>
        <w:t>（</w:t>
      </w:r>
      <w:r>
        <w:rPr>
          <w:rFonts w:ascii="Times New Roman" w:hAnsi="Times New Roman" w:eastAsia="宋体" w:cs="Times New Roman"/>
          <w:szCs w:val="21"/>
          <w:u w:val="single"/>
          <w:lang w:bidi="ar"/>
        </w:rPr>
        <w:t>2</w:t>
      </w:r>
      <w:r>
        <w:rPr>
          <w:rFonts w:hint="eastAsia" w:ascii="Times New Roman" w:hAnsi="Times New Roman" w:eastAsia="宋体" w:cs="宋体"/>
          <w:szCs w:val="21"/>
          <w:u w:val="single"/>
          <w:lang w:bidi="ar"/>
        </w:rPr>
        <w:t>）施工组织措施费费率；</w:t>
      </w:r>
    </w:p>
    <w:p w14:paraId="454FD53D">
      <w:pPr>
        <w:autoSpaceDE w:val="0"/>
        <w:autoSpaceDN w:val="0"/>
        <w:snapToGrid w:val="0"/>
        <w:spacing w:line="360" w:lineRule="auto"/>
        <w:ind w:firstLine="420" w:firstLineChars="200"/>
        <w:rPr>
          <w:rFonts w:ascii="Times New Roman" w:hAnsi="Times New Roman" w:eastAsia="宋体" w:cs="Times New Roman"/>
          <w:szCs w:val="21"/>
          <w:u w:val="single"/>
        </w:rPr>
      </w:pPr>
      <w:r>
        <w:rPr>
          <w:rFonts w:hint="eastAsia" w:ascii="Times New Roman" w:hAnsi="Times New Roman" w:eastAsia="宋体" w:cs="宋体"/>
          <w:szCs w:val="21"/>
          <w:u w:val="single"/>
          <w:lang w:bidi="ar"/>
        </w:rPr>
        <w:t>（</w:t>
      </w:r>
      <w:r>
        <w:rPr>
          <w:rFonts w:ascii="Times New Roman" w:hAnsi="Times New Roman" w:eastAsia="宋体" w:cs="Times New Roman"/>
          <w:szCs w:val="21"/>
          <w:u w:val="single"/>
          <w:lang w:bidi="ar"/>
        </w:rPr>
        <w:t>3</w:t>
      </w:r>
      <w:r>
        <w:rPr>
          <w:rFonts w:hint="eastAsia" w:ascii="Times New Roman" w:hAnsi="Times New Roman" w:eastAsia="宋体" w:cs="宋体"/>
          <w:szCs w:val="21"/>
          <w:u w:val="single"/>
          <w:lang w:bidi="ar"/>
        </w:rPr>
        <w:t>）规费费率、税金税率；</w:t>
      </w:r>
    </w:p>
    <w:p w14:paraId="22B45EB4">
      <w:pPr>
        <w:autoSpaceDE w:val="0"/>
        <w:autoSpaceDN w:val="0"/>
        <w:snapToGrid w:val="0"/>
        <w:spacing w:line="360" w:lineRule="auto"/>
        <w:ind w:firstLine="420" w:firstLineChars="200"/>
        <w:rPr>
          <w:rFonts w:ascii="Times New Roman" w:hAnsi="Times New Roman" w:eastAsia="宋体" w:cs="Times New Roman"/>
          <w:szCs w:val="21"/>
          <w:u w:val="single"/>
        </w:rPr>
      </w:pPr>
      <w:r>
        <w:rPr>
          <w:rFonts w:hint="eastAsia" w:ascii="Times New Roman" w:hAnsi="Times New Roman" w:eastAsia="宋体" w:cs="宋体"/>
          <w:szCs w:val="21"/>
          <w:u w:val="single"/>
          <w:lang w:bidi="ar"/>
        </w:rPr>
        <w:t>（</w:t>
      </w:r>
      <w:r>
        <w:rPr>
          <w:rFonts w:ascii="Times New Roman" w:hAnsi="Times New Roman" w:eastAsia="宋体" w:cs="Times New Roman"/>
          <w:szCs w:val="21"/>
          <w:u w:val="single"/>
          <w:lang w:bidi="ar"/>
        </w:rPr>
        <w:t>4</w:t>
      </w:r>
      <w:r>
        <w:rPr>
          <w:rFonts w:hint="eastAsia" w:ascii="Times New Roman" w:hAnsi="Times New Roman" w:eastAsia="宋体" w:cs="宋体"/>
          <w:szCs w:val="21"/>
          <w:u w:val="single"/>
          <w:lang w:bidi="ar"/>
        </w:rPr>
        <w:t>）计日工综合单价（工数经发包人签证，综合单价按技术工（</w:t>
      </w:r>
      <w:r>
        <w:rPr>
          <w:rFonts w:hint="eastAsia" w:ascii="Times New Roman" w:hAnsi="Times New Roman" w:eastAsia="宋体" w:cs="Times New Roman"/>
          <w:szCs w:val="21"/>
          <w:u w:val="single"/>
          <w:lang w:bidi="ar"/>
        </w:rPr>
        <w:t>260</w:t>
      </w:r>
      <w:r>
        <w:rPr>
          <w:rFonts w:hint="eastAsia" w:ascii="Times New Roman" w:hAnsi="Times New Roman" w:eastAsia="宋体" w:cs="宋体"/>
          <w:szCs w:val="21"/>
          <w:u w:val="single"/>
          <w:lang w:bidi="ar"/>
        </w:rPr>
        <w:t>）元</w:t>
      </w:r>
      <w:r>
        <w:rPr>
          <w:rFonts w:ascii="Times New Roman" w:hAnsi="Times New Roman" w:eastAsia="宋体" w:cs="Times New Roman"/>
          <w:szCs w:val="21"/>
          <w:u w:val="single"/>
          <w:lang w:bidi="ar"/>
        </w:rPr>
        <w:t>/</w:t>
      </w:r>
      <w:r>
        <w:rPr>
          <w:rFonts w:hint="eastAsia" w:ascii="Times New Roman" w:hAnsi="Times New Roman" w:eastAsia="宋体" w:cs="宋体"/>
          <w:szCs w:val="21"/>
          <w:u w:val="single"/>
          <w:lang w:bidi="ar"/>
        </w:rPr>
        <w:t>工日、普工（</w:t>
      </w:r>
      <w:r>
        <w:rPr>
          <w:rFonts w:hint="eastAsia" w:ascii="Times New Roman" w:hAnsi="Times New Roman" w:eastAsia="宋体" w:cs="Times New Roman"/>
          <w:szCs w:val="21"/>
          <w:u w:val="single"/>
          <w:lang w:bidi="ar"/>
        </w:rPr>
        <w:t>180</w:t>
      </w:r>
      <w:r>
        <w:rPr>
          <w:rFonts w:hint="eastAsia" w:ascii="Times New Roman" w:hAnsi="Times New Roman" w:eastAsia="宋体" w:cs="宋体"/>
          <w:szCs w:val="21"/>
          <w:u w:val="single"/>
          <w:lang w:bidi="ar"/>
        </w:rPr>
        <w:t>）元</w:t>
      </w:r>
      <w:r>
        <w:rPr>
          <w:rFonts w:ascii="Times New Roman" w:hAnsi="Times New Roman" w:eastAsia="宋体" w:cs="Times New Roman"/>
          <w:szCs w:val="21"/>
          <w:u w:val="single"/>
          <w:lang w:bidi="ar"/>
        </w:rPr>
        <w:t>/</w:t>
      </w:r>
      <w:r>
        <w:rPr>
          <w:rFonts w:hint="eastAsia" w:ascii="Times New Roman" w:hAnsi="Times New Roman" w:eastAsia="宋体" w:cs="宋体"/>
          <w:szCs w:val="21"/>
          <w:u w:val="single"/>
          <w:lang w:bidi="ar"/>
        </w:rPr>
        <w:t>工日计取）；</w:t>
      </w:r>
    </w:p>
    <w:p w14:paraId="7CA1D530">
      <w:pPr>
        <w:autoSpaceDE w:val="0"/>
        <w:autoSpaceDN w:val="0"/>
        <w:snapToGrid w:val="0"/>
        <w:spacing w:line="360" w:lineRule="auto"/>
        <w:rPr>
          <w:rFonts w:ascii="Times New Roman" w:hAnsi="Times New Roman" w:eastAsia="宋体" w:cs="Times New Roman"/>
          <w:szCs w:val="21"/>
          <w:u w:val="single"/>
        </w:rPr>
      </w:pPr>
      <w:r>
        <w:rPr>
          <w:rFonts w:ascii="Times New Roman" w:hAnsi="Times New Roman" w:eastAsia="宋体" w:cs="Times New Roman"/>
          <w:szCs w:val="21"/>
          <w:lang w:bidi="ar"/>
        </w:rPr>
        <w:t xml:space="preserve">    </w:t>
      </w:r>
      <w:r>
        <w:rPr>
          <w:rFonts w:hint="eastAsia" w:ascii="Times New Roman" w:hAnsi="Times New Roman" w:eastAsia="宋体" w:cs="宋体"/>
          <w:szCs w:val="21"/>
          <w:u w:val="single"/>
          <w:lang w:bidi="ar"/>
        </w:rPr>
        <w:t>（</w:t>
      </w:r>
      <w:r>
        <w:rPr>
          <w:rFonts w:ascii="Times New Roman" w:hAnsi="Times New Roman" w:eastAsia="宋体" w:cs="Times New Roman"/>
          <w:szCs w:val="21"/>
          <w:u w:val="single"/>
          <w:lang w:bidi="ar"/>
        </w:rPr>
        <w:t>5</w:t>
      </w:r>
      <w:r>
        <w:rPr>
          <w:rFonts w:hint="eastAsia" w:ascii="Times New Roman" w:hAnsi="Times New Roman" w:eastAsia="宋体" w:cs="宋体"/>
          <w:szCs w:val="21"/>
          <w:u w:val="single"/>
          <w:lang w:bidi="ar"/>
        </w:rPr>
        <w:t>）其他可能发生的费用，投标报价时综合考虑，工程结算时不另行计取：</w:t>
      </w:r>
    </w:p>
    <w:p w14:paraId="677C7C4F">
      <w:pPr>
        <w:autoSpaceDE w:val="0"/>
        <w:autoSpaceDN w:val="0"/>
        <w:snapToGrid w:val="0"/>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u w:val="single"/>
          <w:lang w:bidi="ar"/>
        </w:rPr>
        <w:t>a.</w:t>
      </w:r>
      <w:r>
        <w:rPr>
          <w:rFonts w:hint="eastAsia" w:ascii="Times New Roman" w:hAnsi="Times New Roman" w:eastAsia="宋体" w:cs="宋体"/>
          <w:szCs w:val="21"/>
          <w:u w:val="single"/>
          <w:lang w:bidi="ar"/>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2DB9D5DE">
      <w:pPr>
        <w:autoSpaceDE w:val="0"/>
        <w:autoSpaceDN w:val="0"/>
        <w:snapToGrid w:val="0"/>
        <w:spacing w:line="360" w:lineRule="auto"/>
        <w:ind w:firstLine="420" w:firstLineChars="200"/>
        <w:rPr>
          <w:rFonts w:ascii="Times New Roman" w:hAnsi="Times New Roman" w:eastAsia="宋体" w:cs="宋体"/>
          <w:szCs w:val="21"/>
          <w:u w:val="single"/>
          <w:lang w:bidi="ar"/>
        </w:rPr>
      </w:pPr>
      <w:r>
        <w:rPr>
          <w:rFonts w:ascii="Times New Roman" w:hAnsi="Times New Roman" w:eastAsia="宋体" w:cs="Times New Roman"/>
          <w:szCs w:val="21"/>
          <w:u w:val="single"/>
          <w:lang w:bidi="ar"/>
        </w:rPr>
        <w:t>b.</w:t>
      </w:r>
      <w:r>
        <w:rPr>
          <w:rFonts w:hint="eastAsia" w:ascii="Times New Roman" w:hAnsi="Times New Roman" w:eastAsia="宋体" w:cs="宋体"/>
          <w:szCs w:val="21"/>
          <w:u w:val="single"/>
          <w:lang w:bidi="ar"/>
        </w:rPr>
        <w:t>实际施工中可能发生街道管理费、干扰费、环保费、占道押金等其它管理费。</w:t>
      </w:r>
    </w:p>
    <w:p w14:paraId="4D4E6018">
      <w:pPr>
        <w:autoSpaceDE w:val="0"/>
        <w:autoSpaceDN w:val="0"/>
        <w:snapToGrid w:val="0"/>
        <w:spacing w:line="360" w:lineRule="auto"/>
        <w:ind w:firstLine="420" w:firstLineChars="200"/>
        <w:rPr>
          <w:rFonts w:ascii="Times New Roman" w:hAnsi="Times New Roman" w:eastAsia="宋体" w:cs="宋体"/>
          <w:szCs w:val="21"/>
          <w:u w:val="single"/>
          <w:lang w:bidi="ar"/>
        </w:rPr>
      </w:pPr>
      <w:r>
        <w:rPr>
          <w:rFonts w:hint="eastAsia" w:ascii="Times New Roman" w:hAnsi="Times New Roman" w:eastAsia="宋体" w:cs="宋体"/>
          <w:szCs w:val="21"/>
          <w:u w:val="single"/>
          <w:lang w:bidi="ar"/>
        </w:rPr>
        <w:t>c.本预算运距按15km计取，土方开挖、外运、处置须按当地有关要求办理，自行运至合法消纳场地考虑，余方弃置清单综合单价结算不作调整；废土处置需运至合格的消纳场，但总量不得超过结算弃方数量。</w:t>
      </w:r>
    </w:p>
    <w:p w14:paraId="52C94645">
      <w:pPr>
        <w:autoSpaceDE w:val="0"/>
        <w:autoSpaceDN w:val="0"/>
        <w:snapToGrid w:val="0"/>
        <w:spacing w:line="360" w:lineRule="auto"/>
        <w:ind w:firstLine="420" w:firstLineChars="200"/>
        <w:rPr>
          <w:rFonts w:ascii="Times New Roman" w:hAnsi="Times New Roman" w:eastAsia="宋体" w:cs="宋体"/>
          <w:szCs w:val="21"/>
          <w:u w:val="single"/>
          <w:lang w:bidi="ar"/>
        </w:rPr>
      </w:pPr>
      <w:r>
        <w:rPr>
          <w:rFonts w:hint="eastAsia" w:ascii="Times New Roman" w:hAnsi="Times New Roman" w:eastAsia="宋体" w:cs="宋体"/>
          <w:szCs w:val="21"/>
          <w:u w:val="single"/>
          <w:lang w:bidi="ar"/>
        </w:rPr>
        <w:t>d.本工程采用商品混凝土（运距按7km计取）运距投标单位自行考虑包干，砂浆按自拌砂浆。</w:t>
      </w:r>
    </w:p>
    <w:p w14:paraId="0E999ED5">
      <w:pPr>
        <w:autoSpaceDE w:val="0"/>
        <w:autoSpaceDN w:val="0"/>
        <w:snapToGrid w:val="0"/>
        <w:spacing w:line="360" w:lineRule="auto"/>
        <w:ind w:firstLine="420" w:firstLineChars="200"/>
      </w:pPr>
      <w:r>
        <w:rPr>
          <w:rFonts w:hint="eastAsia" w:ascii="Times New Roman" w:hAnsi="Times New Roman" w:eastAsia="宋体" w:cs="宋体"/>
          <w:szCs w:val="21"/>
          <w:u w:val="single"/>
          <w:lang w:bidi="ar"/>
        </w:rPr>
        <w:t>e.本工程原路基石渣挖除，施工场地内平衡堆置，用于人行道及路基石渣基层回填回填利用，利用率按100%考虑，总体石渣利用方不足时，按新购石渣回填计取，预算利用方量暂按总回填方量的50%考虑，实际回填塘渣按实结算。</w:t>
      </w:r>
    </w:p>
    <w:p w14:paraId="366F1C15">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宋体"/>
          <w:szCs w:val="21"/>
          <w:lang w:bidi="ar"/>
        </w:rPr>
        <w:t>风险范围以外合同价格的调整方法：</w:t>
      </w:r>
    </w:p>
    <w:p w14:paraId="5F952F23">
      <w:pPr>
        <w:autoSpaceDE w:val="0"/>
        <w:autoSpaceDN w:val="0"/>
        <w:snapToGrid w:val="0"/>
        <w:spacing w:line="360" w:lineRule="auto"/>
        <w:ind w:firstLine="420" w:firstLineChars="200"/>
        <w:rPr>
          <w:rFonts w:ascii="Times New Roman" w:hAnsi="Times New Roman" w:eastAsia="宋体" w:cs="Times New Roman"/>
          <w:szCs w:val="21"/>
          <w:u w:val="single"/>
        </w:rPr>
      </w:pPr>
      <w:r>
        <w:rPr>
          <w:rFonts w:hint="eastAsia" w:ascii="Times New Roman" w:hAnsi="Times New Roman" w:eastAsia="宋体" w:cs="宋体"/>
          <w:szCs w:val="21"/>
          <w:u w:val="single"/>
          <w:lang w:val="zh-CN" w:bidi="ar"/>
        </w:rPr>
        <w:t>（</w:t>
      </w:r>
      <w:r>
        <w:rPr>
          <w:rFonts w:ascii="Times New Roman" w:hAnsi="Times New Roman" w:eastAsia="宋体" w:cs="Times New Roman"/>
          <w:szCs w:val="21"/>
          <w:u w:val="single"/>
          <w:lang w:val="zh-CN" w:bidi="ar"/>
        </w:rPr>
        <w:t>1</w:t>
      </w:r>
      <w:r>
        <w:rPr>
          <w:rFonts w:hint="eastAsia" w:ascii="Times New Roman" w:hAnsi="Times New Roman" w:eastAsia="宋体" w:cs="宋体"/>
          <w:szCs w:val="21"/>
          <w:u w:val="single"/>
          <w:lang w:val="zh-CN" w:bidi="ar"/>
        </w:rPr>
        <w:t>）</w:t>
      </w:r>
      <w:r>
        <w:rPr>
          <w:rFonts w:hint="eastAsia" w:ascii="Times New Roman" w:hAnsi="Times New Roman" w:eastAsia="宋体" w:cs="宋体"/>
          <w:szCs w:val="21"/>
          <w:u w:val="single"/>
          <w:lang w:bidi="ar"/>
        </w:rPr>
        <w:t>工程量按照</w:t>
      </w:r>
      <w:r>
        <w:rPr>
          <w:rFonts w:hint="eastAsia" w:ascii="仿宋_GB2312" w:hAnsi="Times New Roman" w:eastAsia="宋体" w:cs="宋体"/>
          <w:szCs w:val="21"/>
          <w:u w:val="single"/>
          <w:lang w:bidi="ar"/>
        </w:rPr>
        <w:t>专用条</w:t>
      </w:r>
      <w:r>
        <w:rPr>
          <w:rFonts w:hint="eastAsia" w:ascii="Times New Roman" w:hAnsi="Times New Roman" w:eastAsia="宋体" w:cs="宋体"/>
          <w:szCs w:val="21"/>
          <w:u w:val="single"/>
          <w:lang w:bidi="ar"/>
        </w:rPr>
        <w:t>款</w:t>
      </w:r>
      <w:r>
        <w:rPr>
          <w:rFonts w:ascii="Times New Roman" w:hAnsi="Times New Roman" w:eastAsia="宋体" w:cs="Times New Roman"/>
          <w:szCs w:val="21"/>
          <w:u w:val="single"/>
          <w:lang w:bidi="ar"/>
        </w:rPr>
        <w:t>12.3.1</w:t>
      </w:r>
      <w:r>
        <w:rPr>
          <w:rFonts w:hint="eastAsia" w:ascii="Times New Roman" w:hAnsi="Times New Roman" w:eastAsia="宋体" w:cs="宋体"/>
          <w:szCs w:val="21"/>
          <w:u w:val="single"/>
          <w:lang w:bidi="ar"/>
        </w:rPr>
        <w:t>条规定</w:t>
      </w:r>
      <w:r>
        <w:rPr>
          <w:rFonts w:hint="eastAsia" w:ascii="Times New Roman" w:hAnsi="Times New Roman" w:eastAsia="黑体" w:cs="黑体"/>
          <w:szCs w:val="21"/>
          <w:u w:val="single"/>
          <w:lang w:bidi="ar"/>
        </w:rPr>
        <w:t>，</w:t>
      </w:r>
      <w:r>
        <w:rPr>
          <w:rFonts w:hint="eastAsia" w:ascii="Times New Roman" w:hAnsi="Times New Roman" w:eastAsia="宋体" w:cs="宋体"/>
          <w:szCs w:val="21"/>
          <w:u w:val="single"/>
          <w:lang w:bidi="ar"/>
        </w:rPr>
        <w:t>由承包人计量，发包人及有关部门审核。</w:t>
      </w:r>
    </w:p>
    <w:p w14:paraId="793E45ED">
      <w:pPr>
        <w:autoSpaceDE w:val="0"/>
        <w:autoSpaceDN w:val="0"/>
        <w:snapToGrid w:val="0"/>
        <w:spacing w:line="360" w:lineRule="auto"/>
        <w:ind w:firstLine="420" w:firstLineChars="200"/>
        <w:rPr>
          <w:rFonts w:ascii="Times New Roman" w:hAnsi="Times New Roman" w:eastAsia="宋体" w:cs="Times New Roman"/>
          <w:szCs w:val="21"/>
          <w:u w:val="single"/>
          <w:lang w:val="zh-CN"/>
        </w:rPr>
      </w:pPr>
      <w:r>
        <w:rPr>
          <w:rFonts w:hint="eastAsia" w:ascii="Times New Roman" w:hAnsi="Times New Roman" w:eastAsia="宋体" w:cs="宋体"/>
          <w:szCs w:val="21"/>
          <w:u w:val="single"/>
          <w:lang w:bidi="ar"/>
        </w:rPr>
        <w:t>（</w:t>
      </w:r>
      <w:r>
        <w:rPr>
          <w:rFonts w:ascii="Times New Roman" w:hAnsi="Times New Roman" w:eastAsia="宋体" w:cs="Times New Roman"/>
          <w:szCs w:val="21"/>
          <w:u w:val="single"/>
          <w:lang w:bidi="ar"/>
        </w:rPr>
        <w:t>2</w:t>
      </w:r>
      <w:r>
        <w:rPr>
          <w:rFonts w:hint="eastAsia" w:ascii="Times New Roman" w:hAnsi="Times New Roman" w:eastAsia="宋体" w:cs="宋体"/>
          <w:szCs w:val="21"/>
          <w:u w:val="single"/>
          <w:lang w:bidi="ar"/>
        </w:rPr>
        <w:t>）</w:t>
      </w:r>
      <w:r>
        <w:rPr>
          <w:rFonts w:hint="eastAsia" w:ascii="Times New Roman" w:hAnsi="Times New Roman" w:eastAsia="宋体" w:cs="宋体"/>
          <w:kern w:val="0"/>
          <w:szCs w:val="21"/>
          <w:u w:val="single"/>
          <w:lang w:bidi="ar"/>
        </w:rPr>
        <w:t>因市场价格波动引起的调整按</w:t>
      </w:r>
      <w:r>
        <w:rPr>
          <w:rFonts w:hint="eastAsia" w:ascii="Times New Roman" w:hAnsi="Times New Roman" w:eastAsia="宋体" w:cs="宋体"/>
          <w:szCs w:val="21"/>
          <w:u w:val="single"/>
          <w:lang w:bidi="ar"/>
        </w:rPr>
        <w:t>本合同专用条款第</w:t>
      </w:r>
      <w:r>
        <w:rPr>
          <w:rFonts w:ascii="Times New Roman" w:hAnsi="Times New Roman" w:eastAsia="宋体" w:cs="Times New Roman"/>
          <w:szCs w:val="21"/>
          <w:u w:val="single"/>
          <w:lang w:bidi="ar"/>
        </w:rPr>
        <w:t>11.1</w:t>
      </w:r>
      <w:r>
        <w:rPr>
          <w:rFonts w:hint="eastAsia" w:ascii="Times New Roman" w:hAnsi="Times New Roman" w:eastAsia="宋体" w:cs="宋体"/>
          <w:szCs w:val="21"/>
          <w:u w:val="single"/>
          <w:lang w:bidi="ar"/>
        </w:rPr>
        <w:t>款的约定调整。</w:t>
      </w:r>
    </w:p>
    <w:p w14:paraId="650D8ABC">
      <w:pPr>
        <w:autoSpaceDE w:val="0"/>
        <w:autoSpaceDN w:val="0"/>
        <w:snapToGrid w:val="0"/>
        <w:spacing w:line="360" w:lineRule="auto"/>
        <w:ind w:firstLine="420" w:firstLineChars="200"/>
        <w:rPr>
          <w:rFonts w:ascii="Times New Roman" w:hAnsi="Times New Roman" w:eastAsia="宋体" w:cs="Times New Roman"/>
          <w:szCs w:val="21"/>
          <w:u w:val="single"/>
          <w:lang w:val="zh-CN"/>
        </w:rPr>
      </w:pPr>
      <w:r>
        <w:rPr>
          <w:rFonts w:hint="eastAsia" w:ascii="Times New Roman" w:hAnsi="Times New Roman" w:eastAsia="宋体" w:cs="宋体"/>
          <w:szCs w:val="21"/>
          <w:u w:val="single"/>
          <w:lang w:val="zh-CN" w:bidi="ar"/>
        </w:rPr>
        <w:t>（</w:t>
      </w:r>
      <w:r>
        <w:rPr>
          <w:rFonts w:ascii="Times New Roman" w:hAnsi="Times New Roman" w:eastAsia="宋体" w:cs="Times New Roman"/>
          <w:szCs w:val="21"/>
          <w:u w:val="single"/>
          <w:lang w:val="zh-CN" w:bidi="ar"/>
        </w:rPr>
        <w:t>3</w:t>
      </w:r>
      <w:r>
        <w:rPr>
          <w:rFonts w:hint="eastAsia" w:ascii="Times New Roman" w:hAnsi="Times New Roman" w:eastAsia="宋体" w:cs="宋体"/>
          <w:szCs w:val="21"/>
          <w:u w:val="single"/>
          <w:lang w:val="zh-CN" w:bidi="ar"/>
        </w:rPr>
        <w:t>）因发包人提供的工程量清单项目工程数量计算偏差或工程变更引起的</w:t>
      </w:r>
      <w:r>
        <w:rPr>
          <w:rFonts w:hint="eastAsia" w:ascii="Times New Roman" w:hAnsi="Times New Roman" w:eastAsia="宋体" w:cs="宋体"/>
          <w:szCs w:val="21"/>
          <w:u w:val="single"/>
          <w:lang w:bidi="ar"/>
        </w:rPr>
        <w:t>工程量增加或减少，按</w:t>
      </w:r>
      <w:r>
        <w:rPr>
          <w:rFonts w:hint="eastAsia" w:ascii="仿宋_GB2312" w:hAnsi="Times New Roman" w:eastAsia="宋体" w:cs="宋体"/>
          <w:szCs w:val="21"/>
          <w:u w:val="single"/>
          <w:lang w:bidi="ar"/>
        </w:rPr>
        <w:t>专用条款</w:t>
      </w:r>
      <w:r>
        <w:rPr>
          <w:rFonts w:ascii="Times New Roman" w:hAnsi="Times New Roman" w:eastAsia="宋体" w:cs="Times New Roman"/>
          <w:szCs w:val="21"/>
          <w:u w:val="single"/>
          <w:lang w:bidi="ar"/>
        </w:rPr>
        <w:t>10.4.1</w:t>
      </w:r>
      <w:r>
        <w:rPr>
          <w:rFonts w:hint="eastAsia" w:ascii="Times New Roman" w:hAnsi="Times New Roman" w:eastAsia="宋体" w:cs="宋体"/>
          <w:szCs w:val="21"/>
          <w:u w:val="single"/>
          <w:lang w:bidi="ar"/>
        </w:rPr>
        <w:t>条执行。</w:t>
      </w:r>
    </w:p>
    <w:p w14:paraId="53902F07">
      <w:pPr>
        <w:autoSpaceDE w:val="0"/>
        <w:autoSpaceDN w:val="0"/>
        <w:snapToGrid w:val="0"/>
        <w:spacing w:line="360" w:lineRule="auto"/>
        <w:ind w:firstLine="420" w:firstLineChars="200"/>
        <w:rPr>
          <w:rFonts w:ascii="Times New Roman" w:hAnsi="Times New Roman" w:eastAsia="宋体" w:cs="Times New Roman"/>
          <w:szCs w:val="21"/>
          <w:u w:val="single"/>
          <w:lang w:val="zh-CN"/>
        </w:rPr>
      </w:pPr>
      <w:r>
        <w:rPr>
          <w:rFonts w:hint="eastAsia" w:ascii="Times New Roman" w:hAnsi="Times New Roman" w:eastAsia="宋体" w:cs="宋体"/>
          <w:szCs w:val="21"/>
          <w:u w:val="single"/>
          <w:lang w:val="zh-CN" w:bidi="ar"/>
        </w:rPr>
        <w:t>（</w:t>
      </w:r>
      <w:r>
        <w:rPr>
          <w:rFonts w:ascii="Times New Roman" w:hAnsi="Times New Roman" w:eastAsia="宋体" w:cs="Times New Roman"/>
          <w:szCs w:val="21"/>
          <w:u w:val="single"/>
          <w:lang w:val="zh-CN" w:bidi="ar"/>
        </w:rPr>
        <w:t>4</w:t>
      </w:r>
      <w:r>
        <w:rPr>
          <w:rFonts w:hint="eastAsia" w:ascii="Times New Roman" w:hAnsi="Times New Roman" w:eastAsia="宋体" w:cs="宋体"/>
          <w:szCs w:val="21"/>
          <w:u w:val="single"/>
          <w:lang w:val="zh-CN" w:bidi="ar"/>
        </w:rPr>
        <w:t>）发包人提供的工程量清单项目漏项、错项、工程变更引起的新增项目、工程量清单局部变更，</w:t>
      </w:r>
      <w:r>
        <w:rPr>
          <w:rFonts w:hint="eastAsia" w:ascii="Times New Roman" w:hAnsi="Times New Roman" w:eastAsia="宋体" w:cs="宋体"/>
          <w:szCs w:val="21"/>
          <w:u w:val="single"/>
          <w:lang w:bidi="ar"/>
        </w:rPr>
        <w:t>与已标价工程量清单项目不同或相类似项目，</w:t>
      </w:r>
      <w:r>
        <w:rPr>
          <w:rFonts w:hint="eastAsia" w:ascii="Times New Roman" w:hAnsi="Times New Roman" w:eastAsia="宋体" w:cs="宋体"/>
          <w:szCs w:val="21"/>
          <w:u w:val="single"/>
          <w:lang w:val="zh-CN" w:bidi="ar"/>
        </w:rPr>
        <w:t>其综合单价的确定方法</w:t>
      </w:r>
      <w:r>
        <w:rPr>
          <w:rFonts w:hint="eastAsia" w:ascii="Times New Roman" w:hAnsi="Times New Roman" w:eastAsia="宋体" w:cs="宋体"/>
          <w:szCs w:val="21"/>
          <w:u w:val="single"/>
          <w:lang w:bidi="ar"/>
        </w:rPr>
        <w:t>按本合同专用条款</w:t>
      </w:r>
      <w:r>
        <w:rPr>
          <w:rFonts w:ascii="Times New Roman" w:hAnsi="Times New Roman" w:eastAsia="宋体" w:cs="Times New Roman"/>
          <w:szCs w:val="21"/>
          <w:u w:val="single"/>
          <w:lang w:bidi="ar"/>
        </w:rPr>
        <w:t>10.4.1</w:t>
      </w:r>
      <w:r>
        <w:rPr>
          <w:rFonts w:hint="eastAsia" w:ascii="Times New Roman" w:hAnsi="Times New Roman" w:eastAsia="宋体" w:cs="宋体"/>
          <w:szCs w:val="21"/>
          <w:u w:val="single"/>
          <w:lang w:bidi="ar"/>
        </w:rPr>
        <w:t>条约定调整。</w:t>
      </w:r>
    </w:p>
    <w:p w14:paraId="5D690C7D">
      <w:pPr>
        <w:autoSpaceDE w:val="0"/>
        <w:autoSpaceDN w:val="0"/>
        <w:snapToGrid w:val="0"/>
        <w:spacing w:line="360" w:lineRule="auto"/>
        <w:ind w:firstLine="420" w:firstLineChars="200"/>
        <w:rPr>
          <w:rFonts w:hint="eastAsia" w:ascii="仿宋_GB2312" w:hAnsi="宋体" w:eastAsia="宋体" w:cs="仿宋_GB2312"/>
          <w:szCs w:val="21"/>
          <w:u w:val="single"/>
        </w:rPr>
      </w:pPr>
      <w:r>
        <w:rPr>
          <w:rFonts w:hint="eastAsia" w:ascii="仿宋_GB2312" w:hAnsi="宋体" w:eastAsia="宋体" w:cs="宋体"/>
          <w:szCs w:val="21"/>
          <w:u w:val="single"/>
          <w:lang w:bidi="ar"/>
        </w:rPr>
        <w:t>（</w:t>
      </w:r>
      <w:r>
        <w:rPr>
          <w:rFonts w:ascii="Times New Roman" w:hAnsi="Times New Roman" w:eastAsia="宋体" w:cs="Times New Roman"/>
          <w:szCs w:val="21"/>
          <w:u w:val="single"/>
          <w:lang w:bidi="ar"/>
        </w:rPr>
        <w:t>5</w:t>
      </w:r>
      <w:r>
        <w:rPr>
          <w:rFonts w:hint="eastAsia" w:ascii="仿宋_GB2312" w:hAnsi="宋体" w:eastAsia="宋体" w:cs="宋体"/>
          <w:szCs w:val="21"/>
          <w:u w:val="single"/>
          <w:lang w:bidi="ar"/>
        </w:rPr>
        <w:t>）因非承包人原因的分部分项工程量清单漏项、错项、工程变更及清单工程量增减等，引起措施项目内容、工程数量发生变化，则调整措施项目费用：</w:t>
      </w:r>
    </w:p>
    <w:p w14:paraId="2210F54C">
      <w:pPr>
        <w:autoSpaceDE w:val="0"/>
        <w:autoSpaceDN w:val="0"/>
        <w:snapToGrid w:val="0"/>
        <w:spacing w:line="360" w:lineRule="auto"/>
        <w:ind w:firstLine="315" w:firstLineChars="150"/>
        <w:rPr>
          <w:rFonts w:hint="eastAsia" w:ascii="仿宋_GB2312" w:hAnsi="宋体" w:eastAsia="宋体" w:cs="仿宋_GB2312"/>
          <w:szCs w:val="21"/>
          <w:u w:val="single"/>
        </w:rPr>
      </w:pPr>
      <w:r>
        <w:rPr>
          <w:rFonts w:hint="eastAsia" w:ascii="仿宋_GB2312" w:hAnsi="宋体" w:eastAsia="宋体" w:cs="仿宋_GB2312"/>
          <w:szCs w:val="21"/>
          <w:u w:val="single"/>
          <w:lang w:bidi="ar"/>
        </w:rPr>
        <w:t>a</w:t>
      </w:r>
      <w:r>
        <w:rPr>
          <w:rFonts w:hint="eastAsia" w:ascii="仿宋_GB2312" w:hAnsi="宋体" w:eastAsia="宋体" w:cs="宋体"/>
          <w:szCs w:val="21"/>
          <w:u w:val="single"/>
          <w:lang w:bidi="ar"/>
        </w:rPr>
        <w:t>、采用综合单价计价的按</w:t>
      </w:r>
      <w:r>
        <w:rPr>
          <w:rFonts w:hint="eastAsia" w:ascii="仿宋_GB2312" w:hAnsi="Times New Roman" w:eastAsia="宋体" w:cs="宋体"/>
          <w:szCs w:val="21"/>
          <w:u w:val="single"/>
          <w:lang w:bidi="ar"/>
        </w:rPr>
        <w:t>专用条款</w:t>
      </w:r>
      <w:r>
        <w:rPr>
          <w:rFonts w:hint="eastAsia" w:ascii="仿宋_GB2312" w:hAnsi="宋体" w:eastAsia="宋体" w:cs="宋体"/>
          <w:szCs w:val="21"/>
          <w:u w:val="single"/>
          <w:lang w:bidi="ar"/>
        </w:rPr>
        <w:t>第</w:t>
      </w:r>
      <w:r>
        <w:rPr>
          <w:rFonts w:hint="eastAsia" w:ascii="仿宋_GB2312" w:hAnsi="宋体" w:eastAsia="宋体" w:cs="仿宋_GB2312"/>
          <w:szCs w:val="21"/>
          <w:u w:val="single"/>
          <w:lang w:bidi="ar"/>
        </w:rPr>
        <w:t>10.4.1</w:t>
      </w:r>
      <w:r>
        <w:rPr>
          <w:rFonts w:hint="eastAsia" w:ascii="仿宋_GB2312" w:hAnsi="宋体" w:eastAsia="宋体" w:cs="宋体"/>
          <w:szCs w:val="21"/>
          <w:u w:val="single"/>
          <w:lang w:bidi="ar"/>
        </w:rPr>
        <w:t>条计算综合单价。</w:t>
      </w:r>
    </w:p>
    <w:p w14:paraId="7F9F2EEF">
      <w:pPr>
        <w:snapToGrid w:val="0"/>
        <w:spacing w:line="360" w:lineRule="auto"/>
        <w:ind w:firstLine="315" w:firstLineChars="150"/>
        <w:rPr>
          <w:rFonts w:hint="eastAsia" w:ascii="仿宋_GB2312" w:hAnsi="宋体" w:eastAsia="宋体" w:cs="仿宋_GB2312"/>
          <w:szCs w:val="21"/>
          <w:u w:val="single"/>
        </w:rPr>
      </w:pPr>
      <w:r>
        <w:rPr>
          <w:rFonts w:hint="eastAsia" w:ascii="仿宋_GB2312" w:hAnsi="宋体" w:eastAsia="宋体" w:cs="仿宋_GB2312"/>
          <w:szCs w:val="21"/>
          <w:u w:val="single"/>
          <w:lang w:bidi="ar"/>
        </w:rPr>
        <w:t>b</w:t>
      </w:r>
      <w:r>
        <w:rPr>
          <w:rFonts w:hint="eastAsia" w:ascii="仿宋_GB2312" w:hAnsi="宋体" w:eastAsia="宋体" w:cs="宋体"/>
          <w:szCs w:val="21"/>
          <w:u w:val="single"/>
          <w:lang w:bidi="ar"/>
        </w:rPr>
        <w:t>、计量单位采用以“项”计价的措施项目，工程量清单项目及工程数量变化引起措施变动部分重新组价。</w:t>
      </w:r>
    </w:p>
    <w:p w14:paraId="18D88E39">
      <w:pPr>
        <w:spacing w:line="360" w:lineRule="exact"/>
        <w:ind w:firstLine="420" w:firstLineChars="200"/>
        <w:rPr>
          <w:rFonts w:ascii="Times New Roman" w:hAnsi="Times New Roman" w:eastAsia="宋体" w:cs="Times New Roman"/>
          <w:szCs w:val="24"/>
        </w:rPr>
      </w:pPr>
      <w:r>
        <w:rPr>
          <w:rFonts w:hint="eastAsia" w:ascii="Times New Roman" w:hAnsi="Times New Roman" w:eastAsia="宋体" w:cs="宋体"/>
          <w:szCs w:val="21"/>
          <w:u w:val="single"/>
          <w:lang w:bidi="ar"/>
        </w:rPr>
        <w:t>（</w:t>
      </w:r>
      <w:r>
        <w:rPr>
          <w:rFonts w:ascii="Times New Roman" w:hAnsi="Times New Roman" w:eastAsia="宋体" w:cs="Times New Roman"/>
          <w:szCs w:val="21"/>
          <w:u w:val="single"/>
          <w:lang w:bidi="ar"/>
        </w:rPr>
        <w:t>6</w:t>
      </w:r>
      <w:r>
        <w:rPr>
          <w:rFonts w:hint="eastAsia" w:ascii="Times New Roman" w:hAnsi="Times New Roman" w:eastAsia="宋体" w:cs="宋体"/>
          <w:szCs w:val="21"/>
          <w:u w:val="single"/>
          <w:lang w:bidi="ar"/>
        </w:rPr>
        <w:t>）未在投标价中包含的专项施工方案的施工及论证费用，根据施工现场实际参照合同专用条款</w:t>
      </w:r>
      <w:r>
        <w:rPr>
          <w:rFonts w:ascii="Times New Roman" w:hAnsi="Times New Roman" w:eastAsia="宋体" w:cs="Times New Roman"/>
          <w:szCs w:val="21"/>
          <w:u w:val="single"/>
          <w:lang w:bidi="ar"/>
        </w:rPr>
        <w:t>10.4.1</w:t>
      </w:r>
      <w:r>
        <w:rPr>
          <w:rFonts w:hint="eastAsia" w:ascii="Times New Roman" w:hAnsi="Times New Roman" w:eastAsia="宋体" w:cs="宋体"/>
          <w:szCs w:val="21"/>
          <w:u w:val="single"/>
          <w:lang w:bidi="ar"/>
        </w:rPr>
        <w:t>款约定方法确定或签证。</w:t>
      </w:r>
      <w:r>
        <w:rPr>
          <w:rFonts w:ascii="Times New Roman" w:hAnsi="Times New Roman" w:eastAsia="宋体" w:cs="Times New Roman"/>
          <w:szCs w:val="24"/>
        </w:rPr>
        <w:t>2</w:t>
      </w:r>
      <w:r>
        <w:rPr>
          <w:rFonts w:hint="eastAsia" w:ascii="宋体" w:hAnsi="宋体" w:eastAsia="宋体" w:cs="Times New Roman"/>
          <w:szCs w:val="24"/>
        </w:rPr>
        <w:t>．</w:t>
      </w:r>
      <w:r>
        <w:rPr>
          <w:rFonts w:ascii="宋体" w:hAnsi="宋体" w:eastAsia="宋体" w:cs="Times New Roman"/>
          <w:szCs w:val="24"/>
        </w:rPr>
        <w:t>总价合同。</w:t>
      </w:r>
    </w:p>
    <w:p w14:paraId="46D4DCE0">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总价包含的风险范围：</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6F2A51BE">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风险费用的计算方法：</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458ED418">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风险范围以外合同价格的调整方法：</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136B701E">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3</w:t>
      </w:r>
      <w:r>
        <w:rPr>
          <w:rFonts w:hint="eastAsia" w:ascii="宋体" w:hAnsi="宋体" w:eastAsia="宋体" w:cs="Times New Roman"/>
          <w:szCs w:val="24"/>
        </w:rPr>
        <w:t>．</w:t>
      </w:r>
      <w:r>
        <w:rPr>
          <w:rFonts w:ascii="宋体" w:hAnsi="宋体" w:eastAsia="宋体" w:cs="Times New Roman"/>
          <w:szCs w:val="24"/>
        </w:rPr>
        <w:t>其他价格方式：</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1BB8E8BF">
      <w:pPr>
        <w:tabs>
          <w:tab w:val="left" w:pos="1843"/>
        </w:tabs>
        <w:spacing w:line="360" w:lineRule="exact"/>
        <w:ind w:firstLine="420" w:firstLineChars="200"/>
        <w:rPr>
          <w:rFonts w:ascii="Times New Roman" w:hAnsi="Times New Roman" w:eastAsia="黑体" w:cs="Times New Roman"/>
          <w:szCs w:val="24"/>
        </w:rPr>
      </w:pPr>
      <w:bookmarkStart w:id="461" w:name="_Toc304295581"/>
      <w:bookmarkEnd w:id="461"/>
      <w:bookmarkStart w:id="462" w:name="_Toc296346708"/>
      <w:bookmarkEnd w:id="462"/>
      <w:bookmarkStart w:id="463" w:name="_Toc297048393"/>
      <w:bookmarkEnd w:id="463"/>
      <w:bookmarkStart w:id="464" w:name="_Toc296503207"/>
      <w:bookmarkEnd w:id="464"/>
      <w:bookmarkStart w:id="465" w:name="_Toc292559412"/>
      <w:bookmarkEnd w:id="465"/>
      <w:bookmarkStart w:id="466" w:name="_Toc296891035"/>
      <w:bookmarkEnd w:id="466"/>
      <w:bookmarkStart w:id="467" w:name="_Toc296891247"/>
      <w:bookmarkEnd w:id="467"/>
      <w:bookmarkStart w:id="468" w:name="_Toc297120507"/>
      <w:bookmarkEnd w:id="468"/>
      <w:bookmarkStart w:id="469" w:name="_Toc303539161"/>
      <w:bookmarkEnd w:id="469"/>
      <w:bookmarkStart w:id="470" w:name="_Toc296944546"/>
      <w:bookmarkEnd w:id="470"/>
      <w:bookmarkStart w:id="471" w:name="_Toc312678042"/>
      <w:bookmarkEnd w:id="471"/>
      <w:bookmarkStart w:id="472" w:name="_Toc292559917"/>
      <w:bookmarkEnd w:id="472"/>
      <w:bookmarkStart w:id="473" w:name="_Toc300935004"/>
      <w:bookmarkEnd w:id="473"/>
      <w:bookmarkStart w:id="474" w:name="_Toc297123554"/>
      <w:bookmarkEnd w:id="474"/>
      <w:bookmarkStart w:id="475" w:name="_Toc296347206"/>
      <w:bookmarkEnd w:id="475"/>
      <w:bookmarkStart w:id="476" w:name="_Toc297216213"/>
      <w:r>
        <w:rPr>
          <w:rFonts w:ascii="Times New Roman" w:hAnsi="Times New Roman" w:eastAsia="黑体" w:cs="Times New Roman"/>
          <w:szCs w:val="24"/>
        </w:rPr>
        <w:t xml:space="preserve">12.2 </w:t>
      </w:r>
      <w:r>
        <w:rPr>
          <w:rFonts w:ascii="黑体" w:hAnsi="黑体" w:eastAsia="黑体" w:cs="Times New Roman"/>
          <w:szCs w:val="24"/>
        </w:rPr>
        <w:t>预付款</w:t>
      </w:r>
      <w:bookmarkEnd w:id="476"/>
    </w:p>
    <w:p w14:paraId="1FC5A38E">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12.2.1 </w:t>
      </w:r>
      <w:r>
        <w:rPr>
          <w:rFonts w:ascii="宋体" w:hAnsi="宋体" w:eastAsia="宋体" w:cs="Times New Roman"/>
          <w:szCs w:val="24"/>
        </w:rPr>
        <w:t>预付款的支付</w:t>
      </w:r>
    </w:p>
    <w:p w14:paraId="7C2052F4">
      <w:pPr>
        <w:spacing w:line="360" w:lineRule="exact"/>
        <w:ind w:firstLine="422" w:firstLineChars="200"/>
        <w:rPr>
          <w:rFonts w:ascii="仿宋_GB2312" w:hAnsi="Times New Roman" w:eastAsia="宋体" w:cs="Times New Roman"/>
          <w:b/>
          <w:bCs/>
          <w:szCs w:val="24"/>
        </w:rPr>
      </w:pPr>
      <w:r>
        <w:rPr>
          <w:rFonts w:ascii="宋体" w:hAnsi="宋体" w:eastAsia="宋体" w:cs="Times New Roman"/>
          <w:b/>
          <w:bCs/>
          <w:szCs w:val="24"/>
        </w:rPr>
        <w:t>预付款支付比例或金额：</w:t>
      </w:r>
      <w:r>
        <w:rPr>
          <w:rFonts w:hint="eastAsia" w:ascii="宋体" w:hAnsi="宋体" w:eastAsia="宋体" w:cs="Times New Roman"/>
          <w:b/>
          <w:bCs/>
          <w:szCs w:val="24"/>
          <w:u w:val="single"/>
        </w:rPr>
        <w:t>合同价的</w:t>
      </w:r>
      <w:r>
        <w:rPr>
          <w:rFonts w:hint="eastAsia" w:ascii="宋体" w:hAnsi="宋体" w:eastAsia="宋体" w:cs="Times New Roman"/>
          <w:b/>
          <w:bCs/>
          <w:szCs w:val="24"/>
          <w:u w:val="single"/>
          <w:lang w:val="en-US" w:eastAsia="zh-CN"/>
        </w:rPr>
        <w:t>40</w:t>
      </w:r>
      <w:r>
        <w:rPr>
          <w:rFonts w:hint="eastAsia" w:ascii="宋体" w:hAnsi="宋体" w:eastAsia="宋体" w:cs="Times New Roman"/>
          <w:b/>
          <w:bCs/>
          <w:szCs w:val="24"/>
          <w:u w:val="single"/>
        </w:rPr>
        <w:t>%作为预付款。</w:t>
      </w:r>
    </w:p>
    <w:p w14:paraId="7113D516">
      <w:pPr>
        <w:spacing w:line="360" w:lineRule="exact"/>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预付款支付期限： 按投标承诺的人员、机械设备进场后7天内 。</w:t>
      </w:r>
    </w:p>
    <w:p w14:paraId="638FBF8B">
      <w:pPr>
        <w:spacing w:line="360" w:lineRule="exact"/>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预付款扣回的方式：不扣回，作为工程款。</w:t>
      </w:r>
    </w:p>
    <w:p w14:paraId="7F1B48B5">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12.2.2 </w:t>
      </w:r>
      <w:r>
        <w:rPr>
          <w:rFonts w:ascii="宋体" w:hAnsi="宋体" w:eastAsia="宋体" w:cs="Times New Roman"/>
          <w:szCs w:val="24"/>
        </w:rPr>
        <w:t>预付款担保</w:t>
      </w:r>
    </w:p>
    <w:p w14:paraId="54C14183">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承包人提交预付款担保的期限：</w:t>
      </w:r>
      <w:r>
        <w:rPr>
          <w:rFonts w:hint="eastAsia" w:ascii="宋体" w:hAnsi="宋体" w:eastAsia="宋体" w:cs="Times New Roman"/>
          <w:szCs w:val="24"/>
        </w:rPr>
        <w:t xml:space="preserve"> </w:t>
      </w:r>
      <w:r>
        <w:rPr>
          <w:rFonts w:hint="eastAsia" w:ascii="宋体" w:hAnsi="宋体" w:eastAsia="宋体" w:cs="Times New Roman"/>
          <w:szCs w:val="24"/>
          <w:u w:val="single"/>
        </w:rPr>
        <w:t xml:space="preserve">      </w:t>
      </w:r>
      <w:r>
        <w:rPr>
          <w:rFonts w:hint="eastAsia" w:ascii="Times New Roman" w:hAnsi="Times New Roman" w:eastAsia="宋体" w:cs="Times New Roman"/>
          <w:szCs w:val="24"/>
          <w:u w:val="single"/>
        </w:rPr>
        <w:t>无</w:t>
      </w:r>
      <w:r>
        <w:rPr>
          <w:rFonts w:hint="eastAsia" w:ascii="宋体" w:hAnsi="宋体" w:eastAsia="宋体" w:cs="Times New Roman"/>
          <w:szCs w:val="24"/>
          <w:u w:val="single"/>
        </w:rPr>
        <w:t xml:space="preserve">       </w:t>
      </w:r>
      <w:r>
        <w:rPr>
          <w:rFonts w:ascii="宋体" w:hAnsi="宋体" w:eastAsia="宋体" w:cs="Times New Roman"/>
          <w:szCs w:val="24"/>
        </w:rPr>
        <w:t>。</w:t>
      </w:r>
    </w:p>
    <w:p w14:paraId="14FB1EE0">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预付款担保的形式为：</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hint="eastAsia" w:ascii="Times New Roman" w:hAnsi="Times New Roman" w:eastAsia="宋体" w:cs="Times New Roman"/>
          <w:szCs w:val="24"/>
          <w:u w:val="single"/>
        </w:rPr>
        <w:t>无</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00DC3A84">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12.3 </w:t>
      </w:r>
      <w:r>
        <w:rPr>
          <w:rFonts w:ascii="黑体" w:hAnsi="黑体" w:eastAsia="黑体" w:cs="Times New Roman"/>
          <w:szCs w:val="24"/>
        </w:rPr>
        <w:t>计量</w:t>
      </w:r>
    </w:p>
    <w:p w14:paraId="1BBD83D7">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12.3.1 </w:t>
      </w:r>
      <w:r>
        <w:rPr>
          <w:rFonts w:ascii="宋体" w:hAnsi="宋体" w:eastAsia="宋体" w:cs="Times New Roman"/>
          <w:szCs w:val="24"/>
        </w:rPr>
        <w:t>计量原则</w:t>
      </w:r>
    </w:p>
    <w:p w14:paraId="50779730">
      <w:pPr>
        <w:autoSpaceDE w:val="0"/>
        <w:autoSpaceDN w:val="0"/>
        <w:adjustRightInd w:val="0"/>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工程量计算按照实际完成施工图纸范围内和经发包人同意增加的施工内容按实计算，工程量计算规则按照：</w:t>
      </w:r>
    </w:p>
    <w:p w14:paraId="16EFE7BE">
      <w:pPr>
        <w:autoSpaceDE w:val="0"/>
        <w:autoSpaceDN w:val="0"/>
        <w:adjustRightInd w:val="0"/>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1.建设单位提供的国强建设集团有限公司设计的施工图纸（出图日期2025年9月版本）。</w:t>
      </w:r>
    </w:p>
    <w:p w14:paraId="0C9A10FC">
      <w:pPr>
        <w:autoSpaceDE w:val="0"/>
        <w:autoSpaceDN w:val="0"/>
        <w:adjustRightInd w:val="0"/>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2.《建设工程工程量清单计价规范》（GB50500-2013）、《房屋建筑与装饰工程工程量计算规范》（GB50854-2013）、《市政工程工程量计算规范》（GB50857-2013）、工程量计算规范（2013）浙江省补充规定（浙建站计(2013) 63号及浙建站计(2014) 31号）。</w:t>
      </w:r>
    </w:p>
    <w:p w14:paraId="0D8A466D">
      <w:pPr>
        <w:autoSpaceDE w:val="0"/>
        <w:autoSpaceDN w:val="0"/>
        <w:adjustRightInd w:val="0"/>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3.《浙江省建设工程计价规则》（2018版）、《浙江省房屋建筑与装饰工程预算定额》（2018版）、《浙江省市政工程预算定额》（2018版）、《浙江省建设工程施工机械台班费用定额》（2018版）、《浙江省建筑安装材料基期价格》（2018版）、浙建建发（2019）92号。</w:t>
      </w:r>
    </w:p>
    <w:p w14:paraId="0CBC83E4">
      <w:pPr>
        <w:autoSpaceDE w:val="0"/>
        <w:autoSpaceDN w:val="0"/>
        <w:adjustRightInd w:val="0"/>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4.关于增值税调整后我省建设工程计价依据增值税税率及有关计价调整的通知（浙建建〔2019〕92号）、关于调整建筑工程安全文明施工的通知(浙建建发〔2022〕37号）增加疫情常态化和“智慧工地”费用等浙江省及台州市有关建设工程造价的相关定额解释及文件规定。</w:t>
      </w:r>
    </w:p>
    <w:p w14:paraId="371C6F76">
      <w:pPr>
        <w:spacing w:line="360" w:lineRule="exact"/>
        <w:ind w:firstLine="420" w:firstLineChars="200"/>
        <w:rPr>
          <w:rFonts w:ascii="Times New Roman" w:hAnsi="Times New Roman" w:eastAsia="宋体" w:cs="Times New Roman"/>
          <w:szCs w:val="24"/>
          <w:u w:val="single"/>
        </w:rPr>
      </w:pPr>
      <w:r>
        <w:rPr>
          <w:rFonts w:hint="eastAsia" w:ascii="宋体" w:hAnsi="宋体" w:eastAsia="宋体" w:cs="Times New Roman"/>
          <w:szCs w:val="24"/>
          <w:u w:val="single"/>
        </w:rPr>
        <w:t>5.计价方式采用国标清单计价;计税方式按一般计税法。</w:t>
      </w:r>
    </w:p>
    <w:p w14:paraId="58ECCD18">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12.3.2 </w:t>
      </w:r>
      <w:r>
        <w:rPr>
          <w:rFonts w:ascii="宋体" w:hAnsi="宋体" w:eastAsia="宋体" w:cs="Times New Roman"/>
          <w:szCs w:val="24"/>
        </w:rPr>
        <w:t>计量周期</w:t>
      </w:r>
      <w:r>
        <w:rPr>
          <w:rFonts w:hint="eastAsia" w:ascii="宋体" w:hAnsi="宋体" w:eastAsia="宋体" w:cs="Times New Roman"/>
          <w:szCs w:val="24"/>
        </w:rPr>
        <w:t>：</w:t>
      </w:r>
    </w:p>
    <w:p w14:paraId="0F84F9A6">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关于计量周期的约定：</w:t>
      </w:r>
      <w:r>
        <w:rPr>
          <w:rFonts w:hint="eastAsia" w:ascii="宋体" w:hAnsi="宋体" w:eastAsia="宋体" w:cs="Times New Roman"/>
          <w:szCs w:val="24"/>
          <w:u w:val="single"/>
        </w:rPr>
        <w:t>按周期计量</w:t>
      </w:r>
      <w:r>
        <w:rPr>
          <w:rFonts w:ascii="宋体" w:hAnsi="宋体" w:eastAsia="宋体" w:cs="Times New Roman"/>
          <w:szCs w:val="24"/>
        </w:rPr>
        <w:t>。</w:t>
      </w:r>
    </w:p>
    <w:p w14:paraId="7B6A064E">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12.3.3 </w:t>
      </w:r>
      <w:r>
        <w:rPr>
          <w:rFonts w:hint="eastAsia" w:ascii="宋体" w:hAnsi="宋体" w:eastAsia="宋体" w:cs="Times New Roman"/>
          <w:szCs w:val="24"/>
        </w:rPr>
        <w:t>单价合同的计量</w:t>
      </w:r>
    </w:p>
    <w:p w14:paraId="2D80D699">
      <w:pPr>
        <w:ind w:firstLine="420"/>
        <w:rPr>
          <w:rFonts w:hint="eastAsia" w:ascii="宋体" w:hAnsi="宋体" w:eastAsia="宋体" w:cs="Times New Roman"/>
          <w:kern w:val="0"/>
          <w:szCs w:val="24"/>
          <w:u w:val="single"/>
        </w:rPr>
      </w:pPr>
      <w:r>
        <w:rPr>
          <w:rFonts w:hint="eastAsia" w:ascii="宋体" w:hAnsi="宋体" w:eastAsia="宋体" w:cs="Times New Roman"/>
          <w:szCs w:val="24"/>
        </w:rPr>
        <w:t>关于单价合同计量的约定：</w:t>
      </w:r>
      <w:r>
        <w:rPr>
          <w:rFonts w:hint="eastAsia" w:ascii="宋体" w:hAnsi="宋体" w:eastAsia="宋体" w:cs="Times New Roman"/>
          <w:szCs w:val="24"/>
          <w:u w:val="single"/>
        </w:rPr>
        <w:t>按通用合同条款执行</w:t>
      </w:r>
      <w:r>
        <w:rPr>
          <w:rFonts w:hint="eastAsia" w:ascii="宋体" w:hAnsi="宋体" w:eastAsia="宋体" w:cs="Times New Roman"/>
          <w:kern w:val="0"/>
          <w:szCs w:val="24"/>
          <w:u w:val="single"/>
        </w:rPr>
        <w:t>。</w:t>
      </w:r>
    </w:p>
    <w:p w14:paraId="42B57397">
      <w:pPr>
        <w:spacing w:line="360" w:lineRule="exact"/>
        <w:ind w:firstLine="420" w:firstLineChars="200"/>
        <w:rPr>
          <w:rFonts w:hint="eastAsia" w:ascii="宋体" w:hAnsi="宋体" w:eastAsia="宋体" w:cs="Times New Roman"/>
          <w:kern w:val="0"/>
          <w:szCs w:val="24"/>
          <w:u w:val="single"/>
        </w:rPr>
      </w:pPr>
      <w:r>
        <w:rPr>
          <w:rFonts w:hint="eastAsia" w:ascii="宋体" w:hAnsi="宋体" w:eastAsia="宋体" w:cs="Times New Roman"/>
          <w:szCs w:val="24"/>
          <w:u w:val="single"/>
        </w:rPr>
        <w:t>（</w:t>
      </w:r>
      <w:r>
        <w:rPr>
          <w:rFonts w:hint="eastAsia" w:ascii="宋体" w:hAnsi="宋体" w:eastAsia="宋体" w:cs="Times New Roman"/>
          <w:kern w:val="0"/>
          <w:szCs w:val="24"/>
          <w:u w:val="single"/>
        </w:rPr>
        <w:t>4）确认的当期工程量和单价仅作为当期工程进度款支付的依据。</w:t>
      </w:r>
    </w:p>
    <w:p w14:paraId="462030B0">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12.3.4 </w:t>
      </w:r>
      <w:r>
        <w:rPr>
          <w:rFonts w:ascii="宋体" w:hAnsi="宋体" w:eastAsia="宋体" w:cs="Times New Roman"/>
          <w:szCs w:val="24"/>
        </w:rPr>
        <w:t>总价合同的计量</w:t>
      </w:r>
    </w:p>
    <w:p w14:paraId="5BF898B1">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关于总价合同计量的约定：</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w:t>
      </w:r>
      <w:r>
        <w:rPr>
          <w:rFonts w:ascii="Times New Roman" w:hAnsi="Times New Roman" w:eastAsia="宋体" w:cs="Times New Roman"/>
          <w:szCs w:val="24"/>
          <w:u w:val="single"/>
        </w:rPr>
        <w:t xml:space="preserve">        </w:t>
      </w:r>
      <w:r>
        <w:rPr>
          <w:rFonts w:ascii="宋体" w:hAnsi="宋体" w:eastAsia="宋体" w:cs="Times New Roman"/>
          <w:szCs w:val="24"/>
        </w:rPr>
        <w:t>。</w:t>
      </w:r>
    </w:p>
    <w:p w14:paraId="6B06A673">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12.3.5</w:t>
      </w:r>
      <w:r>
        <w:rPr>
          <w:rFonts w:ascii="宋体" w:hAnsi="宋体" w:eastAsia="宋体" w:cs="Times New Roman"/>
          <w:szCs w:val="24"/>
        </w:rPr>
        <w:t>总价合同采用支付分解表计量支付的，是否适用第</w:t>
      </w:r>
      <w:r>
        <w:rPr>
          <w:rFonts w:ascii="Times New Roman" w:hAnsi="Times New Roman" w:eastAsia="宋体" w:cs="Times New Roman"/>
          <w:kern w:val="0"/>
          <w:szCs w:val="24"/>
        </w:rPr>
        <w:t xml:space="preserve">12.3.4 </w:t>
      </w:r>
      <w:r>
        <w:rPr>
          <w:rFonts w:ascii="宋体" w:hAnsi="宋体" w:eastAsia="宋体" w:cs="Times New Roman"/>
          <w:szCs w:val="24"/>
        </w:rPr>
        <w:t>项</w:t>
      </w:r>
      <w:r>
        <w:rPr>
          <w:rFonts w:hint="eastAsia" w:ascii="宋体" w:hAnsi="宋体" w:eastAsia="宋体" w:cs="Times New Roman"/>
          <w:kern w:val="0"/>
          <w:szCs w:val="24"/>
        </w:rPr>
        <w:t>〔</w:t>
      </w:r>
      <w:r>
        <w:rPr>
          <w:rFonts w:ascii="宋体" w:hAnsi="宋体" w:eastAsia="宋体" w:cs="Times New Roman"/>
          <w:kern w:val="0"/>
          <w:szCs w:val="24"/>
        </w:rPr>
        <w:t>总价合同的计量</w:t>
      </w:r>
      <w:r>
        <w:rPr>
          <w:rFonts w:hint="eastAsia" w:ascii="宋体" w:hAnsi="宋体" w:eastAsia="宋体" w:cs="Times New Roman"/>
          <w:kern w:val="0"/>
          <w:szCs w:val="24"/>
        </w:rPr>
        <w:t>〕</w:t>
      </w:r>
      <w:r>
        <w:rPr>
          <w:rFonts w:ascii="宋体" w:hAnsi="宋体" w:eastAsia="宋体" w:cs="Times New Roman"/>
          <w:szCs w:val="24"/>
        </w:rPr>
        <w:t>约定</w:t>
      </w:r>
      <w:r>
        <w:rPr>
          <w:rFonts w:hint="eastAsia" w:ascii="宋体" w:hAnsi="宋体" w:eastAsia="宋体" w:cs="Times New Roman"/>
          <w:szCs w:val="24"/>
        </w:rPr>
        <w:t>进行计量：</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宋体" w:hAnsi="宋体" w:eastAsia="宋体" w:cs="Times New Roman"/>
          <w:szCs w:val="24"/>
        </w:rPr>
        <w:t>。</w:t>
      </w:r>
    </w:p>
    <w:p w14:paraId="792C760C">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12.3.6 </w:t>
      </w:r>
      <w:r>
        <w:rPr>
          <w:rFonts w:ascii="宋体" w:hAnsi="宋体" w:eastAsia="宋体" w:cs="Times New Roman"/>
          <w:szCs w:val="24"/>
        </w:rPr>
        <w:t>其他价格形式合同的计量</w:t>
      </w:r>
    </w:p>
    <w:p w14:paraId="39B99655">
      <w:pPr>
        <w:spacing w:line="360" w:lineRule="exact"/>
        <w:ind w:firstLine="420" w:firstLineChars="200"/>
        <w:rPr>
          <w:rFonts w:ascii="Times New Roman" w:hAnsi="Times New Roman" w:eastAsia="宋体" w:cs="Times New Roman"/>
          <w:szCs w:val="24"/>
          <w:u w:val="single"/>
        </w:rPr>
      </w:pPr>
      <w:r>
        <w:rPr>
          <w:rFonts w:ascii="宋体" w:hAnsi="宋体" w:eastAsia="宋体" w:cs="Times New Roman"/>
          <w:szCs w:val="24"/>
        </w:rPr>
        <w:t>其他价格形式的计量方式和程序：</w:t>
      </w:r>
      <w:r>
        <w:rPr>
          <w:rFonts w:hint="eastAsia" w:ascii="宋体" w:hAnsi="宋体" w:eastAsia="宋体" w:cs="Times New Roman"/>
          <w:szCs w:val="24"/>
          <w:u w:val="single"/>
        </w:rPr>
        <w:t xml:space="preserve">    /     。</w:t>
      </w:r>
    </w:p>
    <w:p w14:paraId="1FC90AFB">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 12.4 </w:t>
      </w:r>
      <w:r>
        <w:rPr>
          <w:rFonts w:ascii="黑体" w:hAnsi="黑体" w:eastAsia="黑体" w:cs="Times New Roman"/>
          <w:szCs w:val="24"/>
        </w:rPr>
        <w:t>工程进度款支付</w:t>
      </w:r>
    </w:p>
    <w:p w14:paraId="7EB6F953">
      <w:pPr>
        <w:spacing w:line="360" w:lineRule="exact"/>
        <w:ind w:firstLine="420" w:firstLineChars="200"/>
        <w:rPr>
          <w:rFonts w:hint="eastAsia" w:ascii="宋体" w:hAnsi="宋体" w:cs="宋体"/>
          <w:szCs w:val="21"/>
        </w:rPr>
      </w:pPr>
      <w:bookmarkStart w:id="477" w:name="_Toc296891039"/>
      <w:bookmarkEnd w:id="477"/>
      <w:bookmarkStart w:id="478" w:name="_Toc297048397"/>
      <w:bookmarkEnd w:id="478"/>
      <w:bookmarkStart w:id="479" w:name="_Toc296346712"/>
      <w:bookmarkEnd w:id="479"/>
      <w:bookmarkStart w:id="480" w:name="_Toc303539163"/>
      <w:bookmarkEnd w:id="480"/>
      <w:bookmarkStart w:id="481" w:name="_Toc296944550"/>
      <w:bookmarkEnd w:id="481"/>
      <w:bookmarkStart w:id="482" w:name="_Toc300935006"/>
      <w:bookmarkEnd w:id="482"/>
      <w:bookmarkStart w:id="483" w:name="_Toc296503211"/>
      <w:bookmarkEnd w:id="483"/>
      <w:bookmarkStart w:id="484" w:name="_Toc296891251"/>
      <w:bookmarkEnd w:id="484"/>
      <w:bookmarkStart w:id="485" w:name="_Toc296347210"/>
      <w:bookmarkEnd w:id="485"/>
      <w:bookmarkStart w:id="486" w:name="_Toc292559416"/>
      <w:bookmarkEnd w:id="486"/>
      <w:bookmarkStart w:id="487" w:name="_Toc292559921"/>
      <w:bookmarkEnd w:id="487"/>
      <w:bookmarkStart w:id="488" w:name="_Toc297216215"/>
      <w:bookmarkEnd w:id="488"/>
      <w:bookmarkStart w:id="489" w:name="_Toc297120511"/>
      <w:bookmarkEnd w:id="489"/>
      <w:bookmarkStart w:id="490" w:name="_Toc297123556"/>
      <w:r>
        <w:rPr>
          <w:rFonts w:ascii="Times New Roman" w:hAnsi="Times New Roman" w:eastAsia="宋体" w:cs="Times New Roman"/>
          <w:szCs w:val="24"/>
        </w:rPr>
        <w:t>1</w:t>
      </w:r>
      <w:bookmarkEnd w:id="490"/>
      <w:r>
        <w:rPr>
          <w:rFonts w:hint="eastAsia" w:ascii="宋体" w:hAnsi="宋体" w:cs="宋体"/>
          <w:szCs w:val="21"/>
        </w:rPr>
        <w:t>12.4.1 付款周期</w:t>
      </w:r>
    </w:p>
    <w:p w14:paraId="4C87E38E">
      <w:pPr>
        <w:spacing w:line="360" w:lineRule="exact"/>
        <w:ind w:firstLine="420" w:firstLineChars="200"/>
        <w:rPr>
          <w:rFonts w:hint="eastAsia" w:ascii="宋体" w:hAnsi="宋体" w:cs="宋体"/>
          <w:szCs w:val="21"/>
        </w:rPr>
      </w:pPr>
      <w:r>
        <w:rPr>
          <w:rFonts w:hint="eastAsia" w:ascii="宋体" w:hAnsi="宋体" w:cs="宋体"/>
          <w:szCs w:val="21"/>
        </w:rPr>
        <w:t>关于付款周期的约定：</w:t>
      </w:r>
      <w:r>
        <w:rPr>
          <w:rFonts w:hint="eastAsia" w:ascii="宋体" w:hAnsi="宋体" w:cs="宋体"/>
          <w:sz w:val="22"/>
          <w:u w:val="single"/>
        </w:rPr>
        <w:t>按进度款进度</w:t>
      </w:r>
      <w:r>
        <w:rPr>
          <w:rFonts w:hint="eastAsia" w:ascii="宋体" w:hAnsi="宋体" w:cs="宋体"/>
          <w:szCs w:val="21"/>
        </w:rPr>
        <w:t>。</w:t>
      </w:r>
    </w:p>
    <w:p w14:paraId="1431A8EA">
      <w:pPr>
        <w:spacing w:line="360" w:lineRule="exact"/>
        <w:ind w:firstLine="420" w:firstLineChars="200"/>
        <w:rPr>
          <w:rFonts w:hint="eastAsia" w:ascii="宋体" w:hAnsi="宋体" w:cs="宋体"/>
          <w:szCs w:val="21"/>
        </w:rPr>
      </w:pPr>
      <w:r>
        <w:rPr>
          <w:rFonts w:hint="eastAsia" w:ascii="宋体" w:hAnsi="宋体" w:cs="宋体"/>
          <w:szCs w:val="21"/>
        </w:rPr>
        <w:t>12.4.2 进度付款申请单的编制</w:t>
      </w:r>
    </w:p>
    <w:p w14:paraId="111C3DF6">
      <w:pPr>
        <w:spacing w:line="360" w:lineRule="exact"/>
        <w:ind w:firstLine="420" w:firstLineChars="200"/>
        <w:rPr>
          <w:rFonts w:hint="eastAsia" w:ascii="宋体" w:hAnsi="宋体" w:cs="宋体"/>
          <w:szCs w:val="21"/>
          <w:u w:val="single"/>
        </w:rPr>
      </w:pPr>
      <w:r>
        <w:rPr>
          <w:rFonts w:hint="eastAsia" w:ascii="宋体" w:hAnsi="宋体" w:cs="宋体"/>
          <w:szCs w:val="21"/>
        </w:rPr>
        <w:t>关于进度付款申请单编制的约定：</w:t>
      </w:r>
      <w:r>
        <w:rPr>
          <w:rFonts w:hint="eastAsia" w:ascii="宋体" w:hAnsi="宋体" w:cs="宋体"/>
          <w:color w:val="auto"/>
          <w:szCs w:val="21"/>
          <w:u w:val="single"/>
        </w:rPr>
        <w:t>合同签订且人员、机械设备进场后</w:t>
      </w:r>
      <w:r>
        <w:rPr>
          <w:rFonts w:hint="eastAsia" w:ascii="宋体" w:hAnsi="宋体" w:cs="宋体"/>
          <w:color w:val="auto"/>
          <w:szCs w:val="21"/>
          <w:u w:val="single"/>
          <w:lang w:eastAsia="zh-CN"/>
        </w:rPr>
        <w:t>并收到承包人开具的等额正规税务发票后</w:t>
      </w:r>
      <w:r>
        <w:rPr>
          <w:rFonts w:hint="eastAsia" w:ascii="宋体" w:hAnsi="宋体" w:cs="宋体"/>
          <w:color w:val="auto"/>
          <w:szCs w:val="21"/>
          <w:u w:val="single"/>
        </w:rPr>
        <w:t>7</w:t>
      </w:r>
      <w:r>
        <w:rPr>
          <w:rFonts w:ascii="宋体" w:hAnsi="宋体" w:cs="宋体"/>
          <w:color w:val="auto"/>
          <w:szCs w:val="21"/>
          <w:u w:val="single"/>
        </w:rPr>
        <w:t>个工作日内支付合同总价的</w:t>
      </w:r>
      <w:r>
        <w:rPr>
          <w:rFonts w:hint="eastAsia" w:ascii="宋体" w:hAnsi="宋体" w:cs="宋体"/>
          <w:color w:val="auto"/>
          <w:szCs w:val="21"/>
          <w:u w:val="single"/>
          <w:lang w:val="en-US" w:eastAsia="zh-CN"/>
        </w:rPr>
        <w:t>4</w:t>
      </w:r>
      <w:r>
        <w:rPr>
          <w:rFonts w:hint="eastAsia" w:ascii="宋体" w:hAnsi="宋体" w:cs="宋体"/>
          <w:color w:val="auto"/>
          <w:szCs w:val="21"/>
          <w:u w:val="single"/>
        </w:rPr>
        <w:t>0</w:t>
      </w:r>
      <w:r>
        <w:rPr>
          <w:rFonts w:ascii="宋体" w:hAnsi="宋体" w:cs="宋体"/>
          <w:color w:val="auto"/>
          <w:szCs w:val="21"/>
          <w:u w:val="single"/>
        </w:rPr>
        <w:t>%作为预付款；</w:t>
      </w:r>
      <w:r>
        <w:rPr>
          <w:rFonts w:hint="eastAsia" w:ascii="宋体" w:hAnsi="宋体" w:cs="宋体"/>
          <w:color w:val="auto"/>
          <w:szCs w:val="21"/>
          <w:u w:val="single"/>
        </w:rPr>
        <w:t>合同范围内施工内容施工完成且工程验收并签署工程质量合格文件后，收到承包人开具的正式发票后7</w:t>
      </w:r>
      <w:r>
        <w:rPr>
          <w:rFonts w:ascii="宋体" w:hAnsi="宋体" w:cs="宋体"/>
          <w:color w:val="auto"/>
          <w:szCs w:val="21"/>
          <w:u w:val="single"/>
        </w:rPr>
        <w:t>个工作日内</w:t>
      </w:r>
      <w:r>
        <w:rPr>
          <w:rFonts w:hint="eastAsia" w:ascii="宋体" w:hAnsi="宋体" w:cs="宋体"/>
          <w:color w:val="auto"/>
          <w:szCs w:val="21"/>
          <w:u w:val="single"/>
        </w:rPr>
        <w:t>支付至合同价格的85%，经有关部门结算审核后且收到</w:t>
      </w:r>
      <w:r>
        <w:rPr>
          <w:rFonts w:hint="eastAsia" w:ascii="宋体" w:hAnsi="宋体" w:cs="宋体"/>
          <w:color w:val="auto"/>
          <w:szCs w:val="21"/>
          <w:u w:val="single"/>
          <w:lang w:eastAsia="zh-CN"/>
        </w:rPr>
        <w:t>承包人</w:t>
      </w:r>
      <w:r>
        <w:rPr>
          <w:rFonts w:hint="eastAsia" w:ascii="宋体" w:hAnsi="宋体" w:cs="宋体"/>
          <w:color w:val="auto"/>
          <w:szCs w:val="21"/>
          <w:u w:val="single"/>
        </w:rPr>
        <w:t>递交的工程质量保证金保函（（保证金额为1.5%的工程结算审定价））</w:t>
      </w:r>
      <w:r>
        <w:rPr>
          <w:rFonts w:hint="eastAsia" w:ascii="宋体" w:hAnsi="宋体" w:cs="宋体"/>
          <w:color w:val="auto"/>
          <w:szCs w:val="21"/>
          <w:u w:val="single"/>
          <w:lang w:eastAsia="zh-CN"/>
        </w:rPr>
        <w:t>及等额正规税务发票后</w:t>
      </w:r>
      <w:r>
        <w:rPr>
          <w:rFonts w:hint="eastAsia" w:ascii="宋体" w:hAnsi="宋体" w:cs="宋体"/>
          <w:color w:val="auto"/>
          <w:szCs w:val="21"/>
          <w:u w:val="single"/>
          <w:lang w:val="en-US" w:eastAsia="zh-CN"/>
        </w:rPr>
        <w:t>7个工作日内</w:t>
      </w:r>
      <w:r>
        <w:rPr>
          <w:rFonts w:hint="eastAsia" w:ascii="宋体" w:hAnsi="宋体" w:cs="宋体"/>
          <w:color w:val="auto"/>
          <w:szCs w:val="21"/>
          <w:u w:val="single"/>
        </w:rPr>
        <w:t>支付至结算价款的100%。</w:t>
      </w:r>
    </w:p>
    <w:p w14:paraId="6D23B366">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u w:val="single"/>
        </w:rPr>
        <w:t>其余按合同通用条款</w:t>
      </w:r>
      <w:r>
        <w:rPr>
          <w:rFonts w:ascii="宋体" w:hAnsi="宋体" w:eastAsia="宋体" w:cs="Times New Roman"/>
          <w:szCs w:val="24"/>
        </w:rPr>
        <w:t>。</w:t>
      </w:r>
    </w:p>
    <w:p w14:paraId="0DA64A57">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12.4.3 </w:t>
      </w:r>
      <w:r>
        <w:rPr>
          <w:rFonts w:ascii="宋体" w:hAnsi="宋体" w:eastAsia="宋体" w:cs="Times New Roman"/>
          <w:szCs w:val="24"/>
        </w:rPr>
        <w:t>进度付款申请单的提交</w:t>
      </w:r>
    </w:p>
    <w:p w14:paraId="3F7EAFDE">
      <w:pPr>
        <w:spacing w:line="360" w:lineRule="exact"/>
        <w:ind w:firstLine="420" w:firstLineChars="200"/>
        <w:rPr>
          <w:rFonts w:ascii="仿宋_GB2312" w:hAnsi="Times New Roman" w:eastAsia="仿宋_GB2312" w:cs="Times New Roman"/>
          <w:szCs w:val="24"/>
        </w:rPr>
      </w:pPr>
      <w:r>
        <w:rPr>
          <w:rFonts w:ascii="宋体" w:hAnsi="宋体" w:eastAsia="宋体" w:cs="Times New Roman"/>
          <w:szCs w:val="24"/>
        </w:rPr>
        <w:t>（</w:t>
      </w:r>
      <w:r>
        <w:rPr>
          <w:rFonts w:ascii="Times New Roman" w:hAnsi="Times New Roman" w:eastAsia="宋体" w:cs="Times New Roman"/>
          <w:szCs w:val="24"/>
        </w:rPr>
        <w:t>1</w:t>
      </w:r>
      <w:r>
        <w:rPr>
          <w:rFonts w:ascii="宋体" w:hAnsi="宋体" w:eastAsia="宋体" w:cs="Times New Roman"/>
          <w:szCs w:val="24"/>
        </w:rPr>
        <w:t>）单价合同进度付款申</w:t>
      </w:r>
      <w:r>
        <w:rPr>
          <w:rFonts w:hint="eastAsia" w:ascii="宋体" w:hAnsi="宋体" w:eastAsia="宋体" w:cs="Times New Roman"/>
          <w:szCs w:val="24"/>
        </w:rPr>
        <w:t>请单提交的约定：</w:t>
      </w:r>
      <w:r>
        <w:rPr>
          <w:rFonts w:hint="eastAsia" w:ascii="宋体" w:hAnsi="宋体" w:eastAsia="宋体" w:cs="Times New Roman"/>
          <w:szCs w:val="24"/>
          <w:u w:val="single"/>
        </w:rPr>
        <w:t>按合同通用条款</w:t>
      </w:r>
      <w:r>
        <w:rPr>
          <w:rFonts w:hint="eastAsia" w:ascii="宋体" w:hAnsi="宋体" w:eastAsia="宋体" w:cs="Times New Roman"/>
          <w:szCs w:val="24"/>
        </w:rPr>
        <w:t>。</w:t>
      </w:r>
    </w:p>
    <w:p w14:paraId="7A2D9D54">
      <w:pPr>
        <w:spacing w:line="360" w:lineRule="exact"/>
        <w:ind w:firstLine="420" w:firstLineChars="200"/>
        <w:rPr>
          <w:rFonts w:ascii="仿宋_GB2312" w:hAnsi="Times New Roman" w:eastAsia="仿宋_GB2312" w:cs="Times New Roman"/>
          <w:szCs w:val="24"/>
        </w:rPr>
      </w:pPr>
      <w:r>
        <w:rPr>
          <w:rFonts w:hint="eastAsia" w:ascii="宋体" w:hAnsi="宋体" w:eastAsia="宋体" w:cs="Times New Roman"/>
          <w:szCs w:val="24"/>
        </w:rPr>
        <w:t>（</w:t>
      </w:r>
      <w:r>
        <w:rPr>
          <w:rFonts w:ascii="Times New Roman" w:hAnsi="Times New Roman" w:eastAsia="宋体" w:cs="Times New Roman"/>
          <w:szCs w:val="24"/>
        </w:rPr>
        <w:t>2</w:t>
      </w:r>
      <w:r>
        <w:rPr>
          <w:rFonts w:hint="eastAsia" w:ascii="宋体" w:hAnsi="宋体" w:eastAsia="宋体" w:cs="Times New Roman"/>
          <w:szCs w:val="24"/>
        </w:rPr>
        <w:t>）总价合同进度付款申请单提交的约定：</w:t>
      </w:r>
      <w:r>
        <w:rPr>
          <w:rFonts w:hint="eastAsia" w:ascii="仿宋_GB2312" w:hAnsi="宋体" w:eastAsia="宋体" w:cs="Times New Roman"/>
          <w:szCs w:val="24"/>
          <w:u w:val="single"/>
        </w:rPr>
        <w:t xml:space="preserve">               </w:t>
      </w:r>
      <w:r>
        <w:rPr>
          <w:rFonts w:hint="eastAsia" w:ascii="宋体" w:hAnsi="宋体" w:eastAsia="宋体" w:cs="Times New Roman"/>
          <w:szCs w:val="24"/>
        </w:rPr>
        <w:t>。</w:t>
      </w:r>
    </w:p>
    <w:p w14:paraId="42F99CDF">
      <w:pPr>
        <w:spacing w:line="360" w:lineRule="exact"/>
        <w:ind w:firstLine="420" w:firstLineChars="200"/>
        <w:rPr>
          <w:rFonts w:ascii="仿宋_GB2312" w:hAnsi="Times New Roman" w:eastAsia="仿宋_GB2312" w:cs="Times New Roman"/>
          <w:szCs w:val="24"/>
        </w:rPr>
      </w:pPr>
      <w:r>
        <w:rPr>
          <w:rFonts w:hint="eastAsia" w:ascii="宋体" w:hAnsi="宋体" w:eastAsia="宋体" w:cs="Times New Roman"/>
          <w:szCs w:val="24"/>
        </w:rPr>
        <w:t>（</w:t>
      </w:r>
      <w:r>
        <w:rPr>
          <w:rFonts w:ascii="Times New Roman" w:hAnsi="Times New Roman" w:eastAsia="宋体" w:cs="Times New Roman"/>
          <w:szCs w:val="24"/>
        </w:rPr>
        <w:t>3</w:t>
      </w:r>
      <w:r>
        <w:rPr>
          <w:rFonts w:hint="eastAsia" w:ascii="宋体" w:hAnsi="宋体" w:eastAsia="宋体" w:cs="Times New Roman"/>
          <w:szCs w:val="24"/>
        </w:rPr>
        <w:t>）其他价格形式合同进度付款申请单提交的约定：</w:t>
      </w:r>
      <w:r>
        <w:rPr>
          <w:rFonts w:hint="eastAsia" w:ascii="仿宋_GB2312" w:hAnsi="宋体" w:eastAsia="宋体" w:cs="Times New Roman"/>
          <w:szCs w:val="24"/>
          <w:u w:val="single"/>
        </w:rPr>
        <w:t xml:space="preserve">       </w:t>
      </w:r>
      <w:r>
        <w:rPr>
          <w:rFonts w:hint="eastAsia" w:ascii="宋体" w:hAnsi="宋体" w:eastAsia="宋体" w:cs="Times New Roman"/>
          <w:szCs w:val="24"/>
        </w:rPr>
        <w:t>。</w:t>
      </w:r>
    </w:p>
    <w:p w14:paraId="7D03EC80">
      <w:pPr>
        <w:spacing w:line="360" w:lineRule="exact"/>
        <w:ind w:firstLine="420" w:firstLineChars="200"/>
        <w:rPr>
          <w:rFonts w:ascii="仿宋_GB2312" w:hAnsi="Times New Roman" w:eastAsia="仿宋_GB2312" w:cs="Times New Roman"/>
          <w:szCs w:val="24"/>
        </w:rPr>
      </w:pPr>
      <w:r>
        <w:rPr>
          <w:rFonts w:ascii="Times New Roman" w:hAnsi="Times New Roman" w:eastAsia="宋体" w:cs="Times New Roman"/>
          <w:szCs w:val="24"/>
        </w:rPr>
        <w:t>12.4.4</w:t>
      </w:r>
      <w:r>
        <w:rPr>
          <w:rFonts w:hint="eastAsia" w:ascii="仿宋_GB2312" w:hAnsi="宋体" w:eastAsia="宋体" w:cs="Times New Roman"/>
          <w:szCs w:val="24"/>
        </w:rPr>
        <w:t xml:space="preserve"> </w:t>
      </w:r>
      <w:r>
        <w:rPr>
          <w:rFonts w:hint="eastAsia" w:ascii="宋体" w:hAnsi="宋体" w:eastAsia="宋体" w:cs="Times New Roman"/>
          <w:szCs w:val="24"/>
        </w:rPr>
        <w:t>进度款审核和支付</w:t>
      </w:r>
    </w:p>
    <w:p w14:paraId="1A94F45F">
      <w:pPr>
        <w:spacing w:line="360" w:lineRule="exact"/>
        <w:ind w:firstLine="630" w:firstLineChars="300"/>
        <w:rPr>
          <w:rFonts w:hint="eastAsia" w:ascii="宋体" w:hAnsi="宋体" w:eastAsia="宋体" w:cs="Times New Roman"/>
          <w:szCs w:val="24"/>
          <w:u w:val="single"/>
        </w:rPr>
      </w:pPr>
      <w:r>
        <w:rPr>
          <w:rFonts w:hint="eastAsia" w:ascii="宋体" w:hAnsi="宋体" w:eastAsia="宋体" w:cs="Times New Roman"/>
          <w:szCs w:val="24"/>
        </w:rPr>
        <w:t>（1）监理人审查并报送发包人的期限：</w:t>
      </w:r>
      <w:r>
        <w:rPr>
          <w:rFonts w:hint="eastAsia" w:ascii="宋体" w:hAnsi="宋体" w:eastAsia="宋体" w:cs="Times New Roman"/>
          <w:szCs w:val="24"/>
          <w:u w:val="single"/>
        </w:rPr>
        <w:t xml:space="preserve">按通用合同条款 </w:t>
      </w:r>
      <w:r>
        <w:rPr>
          <w:rFonts w:hint="eastAsia" w:ascii="宋体" w:hAnsi="宋体" w:eastAsia="宋体" w:cs="Times New Roman"/>
          <w:szCs w:val="24"/>
        </w:rPr>
        <w:t>。</w:t>
      </w:r>
    </w:p>
    <w:p w14:paraId="5F6F9C61">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发包人完成审批并签发进度款支付证书的期限：</w:t>
      </w:r>
      <w:r>
        <w:rPr>
          <w:rFonts w:hint="eastAsia" w:ascii="宋体" w:hAnsi="宋体" w:eastAsia="宋体" w:cs="Times New Roman"/>
          <w:szCs w:val="24"/>
          <w:u w:val="single"/>
        </w:rPr>
        <w:t>按通用合同条款</w:t>
      </w:r>
      <w:r>
        <w:rPr>
          <w:rFonts w:hint="eastAsia" w:ascii="宋体" w:hAnsi="宋体" w:eastAsia="宋体" w:cs="Times New Roman"/>
          <w:szCs w:val="24"/>
        </w:rPr>
        <w:t>。</w:t>
      </w:r>
    </w:p>
    <w:p w14:paraId="57CF1419">
      <w:pPr>
        <w:numPr>
          <w:ilvl w:val="0"/>
          <w:numId w:val="5"/>
        </w:numPr>
        <w:spacing w:line="360" w:lineRule="exact"/>
        <w:ind w:left="78" w:firstLine="552"/>
        <w:rPr>
          <w:rFonts w:hint="eastAsia" w:ascii="宋体" w:hAnsi="宋体" w:eastAsia="宋体" w:cs="Times New Roman"/>
          <w:szCs w:val="24"/>
          <w:u w:val="single"/>
        </w:rPr>
      </w:pPr>
      <w:r>
        <w:rPr>
          <w:rFonts w:hint="eastAsia" w:ascii="宋体" w:hAnsi="宋体" w:eastAsia="宋体" w:cs="Times New Roman"/>
          <w:szCs w:val="24"/>
        </w:rPr>
        <w:t>发包人支付进度款的期限：</w:t>
      </w:r>
      <w:r>
        <w:rPr>
          <w:rFonts w:hint="eastAsia" w:ascii="宋体" w:hAnsi="宋体" w:eastAsia="宋体" w:cs="Times New Roman"/>
          <w:szCs w:val="24"/>
          <w:u w:val="single"/>
        </w:rPr>
        <w:t>在发包人确认计量结果后14天内完成支付。</w:t>
      </w:r>
    </w:p>
    <w:p w14:paraId="3E42DB46">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发包人逾期支付进度款的违约金的计算方式：</w:t>
      </w:r>
      <w:r>
        <w:rPr>
          <w:rFonts w:hint="eastAsia" w:ascii="宋体" w:hAnsi="宋体" w:eastAsia="宋体" w:cs="Times New Roman"/>
          <w:szCs w:val="24"/>
          <w:u w:val="single"/>
        </w:rPr>
        <w:t>支付应付工程进度款的利息，利率按同期全国银行间同业拆借中心公布的贷款市场报价利率，时间为从约定应付之日起至支付之日止计算利息</w:t>
      </w:r>
      <w:r>
        <w:rPr>
          <w:rFonts w:hint="eastAsia" w:ascii="宋体" w:hAnsi="宋体" w:eastAsia="宋体" w:cs="Times New Roman"/>
          <w:szCs w:val="24"/>
        </w:rPr>
        <w:t>。</w:t>
      </w:r>
    </w:p>
    <w:p w14:paraId="25E2DE41">
      <w:pPr>
        <w:spacing w:line="360" w:lineRule="exact"/>
        <w:ind w:firstLine="420" w:firstLineChars="200"/>
        <w:rPr>
          <w:rFonts w:ascii="仿宋_GB2312" w:hAnsi="Times New Roman" w:eastAsia="仿宋_GB2312" w:cs="Times New Roman"/>
          <w:szCs w:val="24"/>
        </w:rPr>
      </w:pPr>
      <w:r>
        <w:rPr>
          <w:rFonts w:hint="eastAsia" w:ascii="宋体" w:hAnsi="宋体" w:eastAsia="宋体" w:cs="Times New Roman"/>
          <w:szCs w:val="24"/>
        </w:rPr>
        <w:t>（3）</w:t>
      </w:r>
      <w:r>
        <w:rPr>
          <w:rFonts w:hint="eastAsia" w:ascii="宋体" w:hAnsi="宋体" w:eastAsia="宋体" w:cs="Times New Roman"/>
          <w:szCs w:val="24"/>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0B752494">
      <w:pPr>
        <w:spacing w:line="360" w:lineRule="exact"/>
        <w:ind w:firstLine="413" w:firstLineChars="196"/>
        <w:rPr>
          <w:rFonts w:hint="eastAsia" w:ascii="宋体" w:hAnsi="宋体" w:eastAsia="宋体" w:cs="Times New Roman"/>
          <w:b/>
          <w:bCs/>
          <w:szCs w:val="24"/>
        </w:rPr>
      </w:pPr>
      <w:bookmarkStart w:id="491" w:name="_Toc312678053"/>
      <w:bookmarkEnd w:id="491"/>
      <w:bookmarkStart w:id="492" w:name="_Toc303539172"/>
      <w:bookmarkEnd w:id="492"/>
      <w:bookmarkStart w:id="493" w:name="_Toc297048405"/>
      <w:bookmarkEnd w:id="493"/>
      <w:bookmarkStart w:id="494" w:name="_Toc296891047"/>
      <w:bookmarkEnd w:id="494"/>
      <w:bookmarkStart w:id="495" w:name="_Toc304295593"/>
      <w:bookmarkEnd w:id="495"/>
      <w:bookmarkStart w:id="496" w:name="_Toc296346720"/>
      <w:bookmarkEnd w:id="496"/>
      <w:bookmarkStart w:id="497" w:name="_Toc296944558"/>
      <w:bookmarkEnd w:id="497"/>
      <w:bookmarkStart w:id="498" w:name="_Toc297216223"/>
      <w:bookmarkEnd w:id="498"/>
      <w:bookmarkStart w:id="499" w:name="_Toc292559424"/>
      <w:bookmarkEnd w:id="499"/>
      <w:bookmarkStart w:id="500" w:name="_Toc292559929"/>
      <w:bookmarkEnd w:id="500"/>
      <w:bookmarkStart w:id="501" w:name="_Toc351203645"/>
      <w:bookmarkEnd w:id="501"/>
      <w:bookmarkStart w:id="502" w:name="_Toc300935015"/>
      <w:bookmarkEnd w:id="502"/>
      <w:bookmarkStart w:id="503" w:name="_Toc297120519"/>
      <w:bookmarkEnd w:id="503"/>
      <w:bookmarkStart w:id="504" w:name="_Toc296503219"/>
      <w:bookmarkEnd w:id="504"/>
      <w:bookmarkStart w:id="505" w:name="_Toc296891259"/>
      <w:bookmarkEnd w:id="505"/>
      <w:bookmarkStart w:id="506" w:name="_Toc297123564"/>
      <w:bookmarkEnd w:id="506"/>
      <w:bookmarkStart w:id="507" w:name="_Toc296347218"/>
      <w:r>
        <w:rPr>
          <w:rFonts w:ascii="Times New Roman" w:hAnsi="Times New Roman" w:eastAsia="宋体" w:cs="Times New Roman"/>
          <w:b/>
          <w:bCs/>
          <w:szCs w:val="24"/>
        </w:rPr>
        <w:t xml:space="preserve">12.4.6 </w:t>
      </w:r>
      <w:r>
        <w:rPr>
          <w:rFonts w:hint="eastAsia" w:ascii="宋体" w:hAnsi="宋体" w:eastAsia="宋体" w:cs="Times New Roman"/>
          <w:b/>
          <w:bCs/>
          <w:szCs w:val="24"/>
        </w:rPr>
        <w:t>支付分解表的编制</w:t>
      </w:r>
    </w:p>
    <w:p w14:paraId="280907C0">
      <w:pPr>
        <w:spacing w:line="360" w:lineRule="exact"/>
        <w:ind w:firstLine="420" w:firstLineChars="200"/>
        <w:rPr>
          <w:rFonts w:hint="eastAsia" w:ascii="宋体" w:hAnsi="宋体" w:eastAsia="宋体" w:cs="Times New Roman"/>
          <w:szCs w:val="24"/>
        </w:rPr>
      </w:pPr>
      <w:r>
        <w:rPr>
          <w:rFonts w:ascii="Times New Roman" w:hAnsi="Times New Roman" w:eastAsia="宋体" w:cs="Times New Roman"/>
          <w:szCs w:val="24"/>
        </w:rPr>
        <w:t>2</w:t>
      </w:r>
      <w:r>
        <w:rPr>
          <w:rFonts w:hint="eastAsia" w:ascii="宋体" w:hAnsi="宋体" w:eastAsia="宋体" w:cs="Times New Roman"/>
          <w:szCs w:val="24"/>
        </w:rPr>
        <w:t xml:space="preserve">、总价合同支付分解表的编制与审批：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      </w:t>
      </w:r>
      <w:r>
        <w:rPr>
          <w:rFonts w:ascii="Times New Roman" w:hAnsi="Times New Roman" w:eastAsia="宋体" w:cs="Times New Roman"/>
          <w:szCs w:val="24"/>
          <w:u w:val="single"/>
        </w:rPr>
        <w:t xml:space="preserve"> </w:t>
      </w:r>
      <w:r>
        <w:rPr>
          <w:rFonts w:hint="eastAsia" w:ascii="宋体" w:hAnsi="宋体" w:eastAsia="宋体" w:cs="Times New Roman"/>
          <w:szCs w:val="24"/>
        </w:rPr>
        <w:t>。</w:t>
      </w:r>
    </w:p>
    <w:p w14:paraId="7D7B1D40">
      <w:pPr>
        <w:spacing w:line="360" w:lineRule="exact"/>
        <w:ind w:firstLine="420" w:firstLineChars="200"/>
        <w:rPr>
          <w:rFonts w:hint="eastAsia" w:ascii="宋体" w:hAnsi="宋体" w:eastAsia="宋体" w:cs="Times New Roman"/>
          <w:szCs w:val="24"/>
        </w:rPr>
      </w:pPr>
      <w:r>
        <w:rPr>
          <w:rFonts w:ascii="Times New Roman" w:hAnsi="Times New Roman" w:eastAsia="宋体" w:cs="Times New Roman"/>
          <w:szCs w:val="24"/>
        </w:rPr>
        <w:t>3</w:t>
      </w:r>
      <w:r>
        <w:rPr>
          <w:rFonts w:hint="eastAsia" w:ascii="宋体" w:hAnsi="宋体" w:eastAsia="宋体" w:cs="Times New Roman"/>
          <w:szCs w:val="24"/>
        </w:rPr>
        <w:t>、单价合同的总价项目支付分解表的编制与审批：</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发包人另行书面通知</w:t>
      </w:r>
      <w:r>
        <w:rPr>
          <w:rFonts w:ascii="Times New Roman" w:hAnsi="Times New Roman" w:eastAsia="宋体" w:cs="Times New Roman"/>
          <w:szCs w:val="24"/>
          <w:u w:val="single"/>
        </w:rPr>
        <w:t xml:space="preserve">    </w:t>
      </w:r>
      <w:r>
        <w:rPr>
          <w:rFonts w:hint="eastAsia" w:ascii="宋体" w:hAnsi="宋体" w:eastAsia="宋体" w:cs="Times New Roman"/>
          <w:szCs w:val="24"/>
        </w:rPr>
        <w:t>。</w:t>
      </w:r>
    </w:p>
    <w:p w14:paraId="771E0B8B">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12.5 支付帐户</w:t>
      </w:r>
    </w:p>
    <w:p w14:paraId="56ADD7E5">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合同价款支付至合同协议书中约定的承包人帐户。</w:t>
      </w:r>
    </w:p>
    <w:p w14:paraId="66404488">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如承包人因经营需要将工程款支付至其他指定帐户时，应向发包人书面申请，并由承包人法定代表人或授权代表签字、盖章。</w:t>
      </w:r>
    </w:p>
    <w:p w14:paraId="4A91F52A">
      <w:pPr>
        <w:keepNext/>
        <w:keepLines/>
        <w:spacing w:line="360" w:lineRule="exact"/>
        <w:rPr>
          <w:rFonts w:ascii="Times New Roman" w:hAnsi="Times New Roman" w:eastAsia="黑体" w:cs="Times New Roman"/>
          <w:szCs w:val="21"/>
        </w:rPr>
      </w:pPr>
      <w:r>
        <w:rPr>
          <w:rFonts w:ascii="Times New Roman" w:hAnsi="Times New Roman" w:eastAsia="黑体" w:cs="Times New Roman"/>
          <w:szCs w:val="21"/>
        </w:rPr>
        <w:t>13.</w:t>
      </w:r>
      <w:bookmarkEnd w:id="507"/>
      <w:r>
        <w:rPr>
          <w:rFonts w:hint="eastAsia" w:ascii="Times New Roman" w:hAnsi="Times New Roman" w:eastAsia="黑体" w:cs="Times New Roman"/>
          <w:szCs w:val="21"/>
        </w:rPr>
        <w:t xml:space="preserve"> </w:t>
      </w:r>
      <w:r>
        <w:rPr>
          <w:rFonts w:ascii="黑体" w:hAnsi="黑体" w:eastAsia="黑体" w:cs="Times New Roman"/>
          <w:szCs w:val="21"/>
        </w:rPr>
        <w:t>验收和工程试车</w:t>
      </w:r>
    </w:p>
    <w:p w14:paraId="5C772B57">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13.1 </w:t>
      </w:r>
      <w:r>
        <w:rPr>
          <w:rFonts w:ascii="黑体" w:hAnsi="黑体" w:eastAsia="黑体" w:cs="Times New Roman"/>
          <w:szCs w:val="24"/>
        </w:rPr>
        <w:t>分部分项工程验收</w:t>
      </w:r>
    </w:p>
    <w:p w14:paraId="62C695B3">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13.1.2</w:t>
      </w:r>
      <w:r>
        <w:rPr>
          <w:rFonts w:ascii="宋体" w:hAnsi="宋体" w:eastAsia="宋体" w:cs="Times New Roman"/>
          <w:szCs w:val="24"/>
        </w:rPr>
        <w:t>监理人不能按时进行验收时，应提前</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24</w:t>
      </w:r>
      <w:r>
        <w:rPr>
          <w:rFonts w:ascii="Times New Roman" w:hAnsi="Times New Roman" w:eastAsia="宋体" w:cs="Times New Roman"/>
          <w:szCs w:val="24"/>
          <w:u w:val="single"/>
        </w:rPr>
        <w:t xml:space="preserve">  </w:t>
      </w:r>
      <w:r>
        <w:rPr>
          <w:rFonts w:ascii="宋体" w:hAnsi="宋体" w:eastAsia="宋体" w:cs="Times New Roman"/>
          <w:szCs w:val="24"/>
        </w:rPr>
        <w:t>小时提交书面延期要求。</w:t>
      </w:r>
    </w:p>
    <w:p w14:paraId="7769DFD9">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关于延期最长不得超过：</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24</w:t>
      </w:r>
      <w:r>
        <w:rPr>
          <w:rFonts w:ascii="Times New Roman" w:hAnsi="Times New Roman" w:eastAsia="宋体" w:cs="Times New Roman"/>
          <w:szCs w:val="24"/>
          <w:u w:val="single"/>
        </w:rPr>
        <w:t xml:space="preserve"> </w:t>
      </w:r>
      <w:r>
        <w:rPr>
          <w:rFonts w:ascii="宋体" w:hAnsi="宋体" w:eastAsia="宋体" w:cs="Times New Roman"/>
          <w:szCs w:val="24"/>
        </w:rPr>
        <w:t>小时。</w:t>
      </w:r>
    </w:p>
    <w:p w14:paraId="33BD7048">
      <w:pPr>
        <w:spacing w:line="360" w:lineRule="exact"/>
        <w:ind w:firstLine="420" w:firstLineChars="200"/>
        <w:rPr>
          <w:rFonts w:ascii="Times New Roman" w:hAnsi="Times New Roman" w:eastAsia="宋体" w:cs="Times New Roman"/>
          <w:b/>
          <w:bCs/>
          <w:szCs w:val="24"/>
          <w:u w:val="single"/>
        </w:rPr>
      </w:pPr>
      <w:r>
        <w:rPr>
          <w:rFonts w:hint="eastAsia" w:ascii="宋体" w:hAnsi="宋体" w:eastAsia="宋体" w:cs="Times New Roman"/>
          <w:szCs w:val="24"/>
          <w:u w:val="single"/>
        </w:rPr>
        <w:t>工程验收过程、验收部位除办理纸质验收记录，还应留置验收部位、验收过程、主要验收人员相片、影像等资料。</w:t>
      </w:r>
    </w:p>
    <w:p w14:paraId="05895C17">
      <w:pPr>
        <w:spacing w:line="360" w:lineRule="exact"/>
        <w:ind w:firstLine="420" w:firstLineChars="200"/>
        <w:rPr>
          <w:rFonts w:ascii="Times New Roman" w:hAnsi="Times New Roman" w:eastAsia="黑体" w:cs="Times New Roman"/>
          <w:szCs w:val="24"/>
        </w:rPr>
      </w:pPr>
      <w:bookmarkStart w:id="508" w:name="_Toc303539173"/>
      <w:bookmarkEnd w:id="508"/>
      <w:bookmarkStart w:id="509" w:name="_Toc267251471"/>
      <w:bookmarkEnd w:id="509"/>
      <w:bookmarkStart w:id="510" w:name="_Toc300935016"/>
      <w:bookmarkEnd w:id="510"/>
      <w:bookmarkStart w:id="511" w:name="_Toc296347222"/>
      <w:bookmarkEnd w:id="511"/>
      <w:bookmarkStart w:id="512" w:name="_Toc297048409"/>
      <w:bookmarkEnd w:id="512"/>
      <w:bookmarkStart w:id="513" w:name="_Toc312678056"/>
      <w:bookmarkEnd w:id="513"/>
      <w:bookmarkStart w:id="514" w:name="_Toc267251472"/>
      <w:bookmarkEnd w:id="514"/>
      <w:bookmarkStart w:id="515" w:name="_Toc267251476"/>
      <w:bookmarkEnd w:id="515"/>
      <w:bookmarkStart w:id="516" w:name="_Toc297123565"/>
      <w:bookmarkEnd w:id="516"/>
      <w:bookmarkStart w:id="517" w:name="_Toc296891263"/>
      <w:bookmarkEnd w:id="517"/>
      <w:bookmarkStart w:id="518" w:name="_Toc296944562"/>
      <w:bookmarkEnd w:id="518"/>
      <w:bookmarkStart w:id="519" w:name="_Toc292559933"/>
      <w:bookmarkEnd w:id="519"/>
      <w:bookmarkStart w:id="520" w:name="_Toc292559428"/>
      <w:bookmarkEnd w:id="520"/>
      <w:bookmarkStart w:id="521" w:name="_Toc267251470"/>
      <w:bookmarkEnd w:id="521"/>
      <w:bookmarkStart w:id="522" w:name="_Toc304295596"/>
      <w:bookmarkEnd w:id="522"/>
      <w:bookmarkStart w:id="523" w:name="_Toc267251473"/>
      <w:bookmarkEnd w:id="523"/>
      <w:bookmarkStart w:id="524" w:name="_Toc267251474"/>
      <w:bookmarkEnd w:id="524"/>
      <w:bookmarkStart w:id="525" w:name="_Toc297120523"/>
      <w:bookmarkEnd w:id="525"/>
      <w:bookmarkStart w:id="526" w:name="_Toc296891051"/>
      <w:bookmarkEnd w:id="526"/>
      <w:bookmarkStart w:id="527" w:name="_Toc267251475"/>
      <w:bookmarkEnd w:id="527"/>
      <w:bookmarkStart w:id="528" w:name="_Toc296346724"/>
      <w:bookmarkEnd w:id="528"/>
      <w:bookmarkStart w:id="529" w:name="_Toc296503223"/>
      <w:bookmarkEnd w:id="529"/>
      <w:r>
        <w:rPr>
          <w:rFonts w:ascii="Times New Roman" w:hAnsi="Times New Roman" w:eastAsia="黑体" w:cs="Times New Roman"/>
          <w:szCs w:val="24"/>
        </w:rPr>
        <w:t xml:space="preserve">13.2 </w:t>
      </w:r>
      <w:r>
        <w:rPr>
          <w:rFonts w:hint="eastAsia" w:ascii="黑体" w:hAnsi="黑体" w:eastAsia="黑体" w:cs="Times New Roman"/>
          <w:szCs w:val="24"/>
        </w:rPr>
        <w:t>竣工验收</w:t>
      </w:r>
    </w:p>
    <w:p w14:paraId="019EA158">
      <w:pPr>
        <w:spacing w:line="360" w:lineRule="exact"/>
        <w:ind w:firstLine="420" w:firstLineChars="200"/>
        <w:rPr>
          <w:rFonts w:ascii="Times New Roman" w:hAnsi="Times New Roman" w:eastAsia="宋体" w:cs="Times New Roman"/>
          <w:szCs w:val="24"/>
        </w:rPr>
      </w:pPr>
      <w:bookmarkStart w:id="530" w:name="_Toc280868705"/>
      <w:bookmarkEnd w:id="530"/>
      <w:bookmarkStart w:id="531" w:name="_Toc280868704"/>
      <w:bookmarkEnd w:id="531"/>
      <w:bookmarkStart w:id="532" w:name="_Toc280868709"/>
      <w:bookmarkEnd w:id="532"/>
      <w:bookmarkStart w:id="533" w:name="_Toc280868706"/>
      <w:bookmarkEnd w:id="533"/>
      <w:bookmarkStart w:id="534" w:name="_Toc280868708"/>
      <w:bookmarkEnd w:id="534"/>
      <w:bookmarkStart w:id="535" w:name="_Toc280868707"/>
      <w:bookmarkEnd w:id="535"/>
      <w:r>
        <w:rPr>
          <w:rFonts w:ascii="Times New Roman" w:hAnsi="Times New Roman" w:eastAsia="宋体" w:cs="Times New Roman"/>
          <w:szCs w:val="24"/>
        </w:rPr>
        <w:t>13.2.2</w:t>
      </w:r>
      <w:r>
        <w:rPr>
          <w:rFonts w:hint="eastAsia" w:ascii="宋体" w:hAnsi="宋体" w:eastAsia="宋体" w:cs="Times New Roman"/>
          <w:szCs w:val="24"/>
        </w:rPr>
        <w:t>竣工验收程序</w:t>
      </w:r>
    </w:p>
    <w:p w14:paraId="3DA06F48">
      <w:pPr>
        <w:spacing w:line="360" w:lineRule="exact"/>
        <w:ind w:left="3746" w:leftChars="188" w:hanging="3351" w:hangingChars="1596"/>
        <w:rPr>
          <w:rFonts w:ascii="Times New Roman" w:hAnsi="Times New Roman" w:eastAsia="宋体" w:cs="Times New Roman"/>
          <w:szCs w:val="24"/>
        </w:rPr>
      </w:pPr>
      <w:r>
        <w:rPr>
          <w:rFonts w:hint="eastAsia" w:ascii="宋体" w:hAnsi="宋体" w:eastAsia="宋体" w:cs="Times New Roman"/>
          <w:kern w:val="0"/>
          <w:szCs w:val="24"/>
        </w:rPr>
        <w:t>关于竣工验收程序的约定：</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竣工验收程序按通用合同条款</w:t>
      </w:r>
      <w:r>
        <w:rPr>
          <w:rFonts w:ascii="Times New Roman" w:hAnsi="Times New Roman" w:eastAsia="宋体" w:cs="Times New Roman"/>
          <w:szCs w:val="24"/>
          <w:u w:val="single"/>
        </w:rPr>
        <w:t xml:space="preserve">    </w:t>
      </w:r>
      <w:r>
        <w:rPr>
          <w:rFonts w:hint="eastAsia" w:ascii="宋体" w:hAnsi="宋体" w:eastAsia="宋体" w:cs="Times New Roman"/>
          <w:szCs w:val="24"/>
        </w:rPr>
        <w:t>。</w:t>
      </w:r>
    </w:p>
    <w:p w14:paraId="4ED9ED7B">
      <w:pPr>
        <w:spacing w:line="360" w:lineRule="exact"/>
        <w:ind w:left="3" w:firstLine="451" w:firstLineChars="215"/>
        <w:rPr>
          <w:rFonts w:hint="eastAsia" w:ascii="宋体" w:hAnsi="宋体" w:eastAsia="宋体" w:cs="Times New Roman"/>
          <w:szCs w:val="24"/>
        </w:rPr>
      </w:pPr>
      <w:r>
        <w:rPr>
          <w:rFonts w:hint="eastAsia" w:ascii="宋体" w:hAnsi="宋体" w:eastAsia="宋体" w:cs="Times New Roman"/>
          <w:szCs w:val="24"/>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eastAsia="宋体" w:cs="Times New Roman"/>
          <w:szCs w:val="24"/>
        </w:rPr>
        <w:t>。</w:t>
      </w:r>
      <w:r>
        <w:rPr>
          <w:rFonts w:hint="eastAsia" w:ascii="宋体" w:hAnsi="宋体" w:eastAsia="宋体" w:cs="Times New Roman"/>
          <w:szCs w:val="24"/>
          <w:u w:val="single"/>
        </w:rPr>
        <w:t>承包人须配合发包人进行工程竣工验收。</w:t>
      </w:r>
    </w:p>
    <w:p w14:paraId="19786233">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kern w:val="0"/>
          <w:szCs w:val="24"/>
        </w:rPr>
        <w:t>发包人不按照本项约定组织竣工验收、颁发工程接收证书的违约金的计算方法：</w:t>
      </w:r>
      <w:r>
        <w:rPr>
          <w:rFonts w:hint="eastAsia" w:ascii="宋体" w:hAnsi="宋体" w:eastAsia="宋体" w:cs="Times New Roman"/>
          <w:szCs w:val="24"/>
          <w:u w:val="single"/>
        </w:rPr>
        <w:t>不计违约金。</w:t>
      </w:r>
    </w:p>
    <w:p w14:paraId="3A5C0230">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u w:val="single"/>
        </w:rPr>
        <w:t>因发包人原因，未在监理人接收到承包人提交的验收申请报告42天内完成验收，或完成验收不予签发工程接收证书的，以提交验收申请报告的日期为实际竣工日期</w:t>
      </w:r>
      <w:r>
        <w:rPr>
          <w:rFonts w:hint="eastAsia" w:ascii="宋体" w:hAnsi="宋体" w:eastAsia="宋体" w:cs="Times New Roman"/>
          <w:szCs w:val="24"/>
        </w:rPr>
        <w:t>。</w:t>
      </w:r>
    </w:p>
    <w:p w14:paraId="76CCC619">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13.2.3竣工日期</w:t>
      </w:r>
    </w:p>
    <w:p w14:paraId="28D8A50B">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（1）承包人完成合同范围内的全部工程以及有关工作，工程经验收合格的，以承包人提交验收申请报告之日为合同工期计算终止日。</w:t>
      </w:r>
    </w:p>
    <w:p w14:paraId="1A40697F">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（2）其余按通用合同条款。</w:t>
      </w:r>
    </w:p>
    <w:p w14:paraId="341BE017">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13.2.5</w:t>
      </w:r>
      <w:r>
        <w:rPr>
          <w:rFonts w:hint="eastAsia" w:ascii="宋体" w:hAnsi="宋体" w:eastAsia="宋体" w:cs="Times New Roman"/>
          <w:szCs w:val="24"/>
        </w:rPr>
        <w:t>移交、接收全部与部分工程</w:t>
      </w:r>
    </w:p>
    <w:p w14:paraId="2C70999D">
      <w:pPr>
        <w:spacing w:line="360" w:lineRule="exact"/>
        <w:ind w:firstLine="420" w:firstLineChars="200"/>
        <w:rPr>
          <w:rFonts w:ascii="Times New Roman" w:hAnsi="Times New Roman" w:eastAsia="宋体" w:cs="Times New Roman"/>
          <w:kern w:val="0"/>
          <w:szCs w:val="24"/>
        </w:rPr>
      </w:pPr>
      <w:r>
        <w:rPr>
          <w:rFonts w:hint="eastAsia" w:ascii="宋体" w:hAnsi="宋体" w:eastAsia="宋体" w:cs="Times New Roman"/>
          <w:kern w:val="0"/>
          <w:szCs w:val="24"/>
        </w:rPr>
        <w:t>承包人向发包人移交工程的期限：</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按通用条款执行</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rPr>
        <w:t>。</w:t>
      </w:r>
    </w:p>
    <w:p w14:paraId="76C1EBE8">
      <w:pPr>
        <w:rPr>
          <w:rFonts w:ascii="Times New Roman" w:hAnsi="Times New Roman" w:eastAsia="宋体" w:cs="Times New Roman"/>
          <w:szCs w:val="24"/>
        </w:rPr>
      </w:pPr>
      <w:r>
        <w:rPr>
          <w:rFonts w:hint="eastAsia" w:ascii="宋体" w:hAnsi="宋体" w:eastAsia="宋体" w:cs="Times New Roman"/>
          <w:kern w:val="0"/>
          <w:szCs w:val="24"/>
        </w:rPr>
        <w:t xml:space="preserve">   发包人未按本合同约定接收全部或部分工程的，违约金的计算方法为：</w:t>
      </w:r>
      <w:r>
        <w:rPr>
          <w:rFonts w:hint="eastAsia" w:ascii="宋体" w:hAnsi="宋体" w:eastAsia="宋体" w:cs="Times New Roman"/>
          <w:szCs w:val="24"/>
          <w:u w:val="single"/>
        </w:rPr>
        <w:t xml:space="preserve">    按通用条款执行    </w:t>
      </w:r>
      <w:r>
        <w:rPr>
          <w:rFonts w:ascii="Times New Roman" w:hAnsi="Times New Roman" w:eastAsia="宋体" w:cs="Times New Roman"/>
          <w:szCs w:val="24"/>
          <w:u w:val="single"/>
        </w:rPr>
        <w:t xml:space="preserve">  </w:t>
      </w:r>
      <w:r>
        <w:rPr>
          <w:rFonts w:hint="eastAsia" w:ascii="宋体" w:hAnsi="宋体" w:eastAsia="宋体" w:cs="Times New Roman"/>
          <w:szCs w:val="24"/>
        </w:rPr>
        <w:t>。</w:t>
      </w:r>
    </w:p>
    <w:p w14:paraId="08841540">
      <w:pPr>
        <w:rPr>
          <w:rFonts w:hint="eastAsia" w:ascii="宋体" w:hAnsi="宋体" w:eastAsia="宋体" w:cs="Times New Roman"/>
          <w:szCs w:val="24"/>
          <w:u w:val="single"/>
        </w:rPr>
      </w:pPr>
      <w:r>
        <w:rPr>
          <w:rFonts w:hint="eastAsia" w:ascii="宋体" w:hAnsi="宋体" w:eastAsia="宋体" w:cs="Times New Roman"/>
          <w:szCs w:val="24"/>
        </w:rPr>
        <w:t xml:space="preserve">   承包人未按时移交工程的，违约金的计算方法为：</w:t>
      </w:r>
      <w:r>
        <w:rPr>
          <w:rFonts w:hint="eastAsia" w:ascii="宋体" w:hAnsi="宋体" w:eastAsia="宋体" w:cs="Times New Roman"/>
          <w:szCs w:val="24"/>
          <w:u w:val="single"/>
        </w:rPr>
        <w:t>每天1000元，因承包人未按时移交造成发包人损失超过违约金的，应另予赔偿。</w:t>
      </w:r>
    </w:p>
    <w:p w14:paraId="4E2FF65D">
      <w:pPr>
        <w:spacing w:line="360" w:lineRule="exact"/>
        <w:ind w:firstLine="420" w:firstLineChars="200"/>
        <w:rPr>
          <w:rFonts w:hint="eastAsia" w:ascii="宋体" w:hAnsi="宋体" w:eastAsia="宋体" w:cs="Times New Roman"/>
          <w:szCs w:val="24"/>
          <w:u w:val="single"/>
        </w:rPr>
      </w:pPr>
      <w:r>
        <w:rPr>
          <w:rFonts w:ascii="宋体" w:hAnsi="宋体" w:eastAsia="宋体" w:cs="Times New Roman"/>
          <w:szCs w:val="24"/>
          <w:u w:val="single"/>
        </w:rPr>
        <w:t>13.3 工程试车</w:t>
      </w:r>
    </w:p>
    <w:p w14:paraId="210B3DE1">
      <w:pPr>
        <w:spacing w:line="360" w:lineRule="exact"/>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 xml:space="preserve">13.3.1 </w:t>
      </w:r>
      <w:r>
        <w:rPr>
          <w:rFonts w:ascii="宋体" w:hAnsi="宋体" w:eastAsia="宋体" w:cs="Times New Roman"/>
          <w:kern w:val="0"/>
          <w:szCs w:val="24"/>
        </w:rPr>
        <w:t>试车程序</w:t>
      </w:r>
    </w:p>
    <w:p w14:paraId="4751B063">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工程试车内容：</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     </w:t>
      </w:r>
      <w:r>
        <w:rPr>
          <w:rFonts w:ascii="Times New Roman" w:hAnsi="Times New Roman" w:eastAsia="宋体" w:cs="Times New Roman"/>
          <w:szCs w:val="24"/>
          <w:u w:val="single"/>
        </w:rPr>
        <w:t xml:space="preserve">  </w:t>
      </w:r>
      <w:r>
        <w:rPr>
          <w:rFonts w:ascii="宋体" w:hAnsi="宋体" w:eastAsia="宋体" w:cs="Times New Roman"/>
          <w:szCs w:val="24"/>
        </w:rPr>
        <w:t>。</w:t>
      </w:r>
    </w:p>
    <w:p w14:paraId="23E8A307">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w:t>
      </w:r>
      <w:r>
        <w:rPr>
          <w:rFonts w:ascii="Times New Roman" w:hAnsi="Times New Roman" w:eastAsia="宋体" w:cs="Times New Roman"/>
          <w:kern w:val="0"/>
          <w:szCs w:val="24"/>
        </w:rPr>
        <w:t>1</w:t>
      </w:r>
      <w:r>
        <w:rPr>
          <w:rFonts w:ascii="宋体" w:hAnsi="宋体" w:eastAsia="宋体" w:cs="Times New Roman"/>
          <w:kern w:val="0"/>
          <w:szCs w:val="24"/>
        </w:rPr>
        <w:t>）单机无负荷试车费用由</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承包人</w:t>
      </w:r>
      <w:r>
        <w:rPr>
          <w:rFonts w:ascii="Times New Roman" w:hAnsi="Times New Roman" w:eastAsia="宋体" w:cs="Times New Roman"/>
          <w:szCs w:val="24"/>
          <w:u w:val="single"/>
        </w:rPr>
        <w:t xml:space="preserve">     </w:t>
      </w:r>
      <w:r>
        <w:rPr>
          <w:rFonts w:ascii="宋体" w:hAnsi="宋体" w:eastAsia="宋体" w:cs="Times New Roman"/>
          <w:kern w:val="0"/>
          <w:szCs w:val="24"/>
        </w:rPr>
        <w:t>承担；</w:t>
      </w:r>
    </w:p>
    <w:p w14:paraId="2EC30DF3">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w:t>
      </w:r>
      <w:r>
        <w:rPr>
          <w:rFonts w:ascii="Times New Roman" w:hAnsi="Times New Roman" w:eastAsia="宋体" w:cs="Times New Roman"/>
          <w:kern w:val="0"/>
          <w:szCs w:val="24"/>
        </w:rPr>
        <w:t>2</w:t>
      </w:r>
      <w:r>
        <w:rPr>
          <w:rFonts w:ascii="宋体" w:hAnsi="宋体" w:eastAsia="宋体" w:cs="Times New Roman"/>
          <w:kern w:val="0"/>
          <w:szCs w:val="24"/>
        </w:rPr>
        <w:t>）无负荷联动试车费用由</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承包人</w:t>
      </w:r>
      <w:r>
        <w:rPr>
          <w:rFonts w:ascii="Times New Roman" w:hAnsi="Times New Roman" w:eastAsia="宋体" w:cs="Times New Roman"/>
          <w:szCs w:val="24"/>
          <w:u w:val="single"/>
        </w:rPr>
        <w:t xml:space="preserve">     </w:t>
      </w:r>
      <w:r>
        <w:rPr>
          <w:rFonts w:ascii="宋体" w:hAnsi="宋体" w:eastAsia="宋体" w:cs="Times New Roman"/>
          <w:kern w:val="0"/>
          <w:szCs w:val="24"/>
        </w:rPr>
        <w:t>承担。</w:t>
      </w:r>
    </w:p>
    <w:p w14:paraId="0BFAE4EB">
      <w:pPr>
        <w:spacing w:line="360" w:lineRule="exact"/>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 xml:space="preserve">13.3.3 </w:t>
      </w:r>
      <w:r>
        <w:rPr>
          <w:rFonts w:ascii="宋体" w:hAnsi="宋体" w:eastAsia="宋体" w:cs="Times New Roman"/>
          <w:kern w:val="0"/>
          <w:szCs w:val="24"/>
        </w:rPr>
        <w:t>投料试车</w:t>
      </w:r>
    </w:p>
    <w:p w14:paraId="332CC358">
      <w:pPr>
        <w:spacing w:line="360" w:lineRule="exact"/>
        <w:ind w:firstLine="420" w:firstLineChars="200"/>
        <w:rPr>
          <w:rFonts w:ascii="Times New Roman" w:hAnsi="Times New Roman" w:eastAsia="宋体" w:cs="Times New Roman"/>
          <w:kern w:val="0"/>
          <w:szCs w:val="24"/>
        </w:rPr>
      </w:pPr>
      <w:r>
        <w:rPr>
          <w:rFonts w:hint="eastAsia" w:ascii="宋体" w:hAnsi="宋体" w:eastAsia="宋体" w:cs="Times New Roman"/>
          <w:kern w:val="0"/>
          <w:szCs w:val="24"/>
        </w:rPr>
        <w:t>关于投料试车相关事项的约定：</w:t>
      </w:r>
      <w:r>
        <w:rPr>
          <w:rFonts w:hint="eastAsia" w:ascii="宋体" w:hAnsi="宋体" w:eastAsia="宋体" w:cs="Times New Roman"/>
          <w:szCs w:val="24"/>
          <w:u w:val="single"/>
        </w:rPr>
        <w:t xml:space="preserve">         /       </w:t>
      </w:r>
      <w:r>
        <w:rPr>
          <w:rFonts w:ascii="Times New Roman" w:hAnsi="Times New Roman" w:eastAsia="宋体" w:cs="Times New Roman"/>
          <w:szCs w:val="24"/>
          <w:u w:val="single"/>
        </w:rPr>
        <w:t xml:space="preserve">  </w:t>
      </w:r>
      <w:r>
        <w:rPr>
          <w:rFonts w:ascii="宋体" w:hAnsi="宋体" w:eastAsia="宋体" w:cs="Times New Roman"/>
          <w:szCs w:val="24"/>
        </w:rPr>
        <w:t>。</w:t>
      </w:r>
    </w:p>
    <w:p w14:paraId="574ED4BE">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13.6 </w:t>
      </w:r>
      <w:r>
        <w:rPr>
          <w:rFonts w:ascii="黑体" w:hAnsi="黑体" w:eastAsia="黑体" w:cs="Times New Roman"/>
          <w:szCs w:val="24"/>
        </w:rPr>
        <w:t>竣工退场</w:t>
      </w:r>
    </w:p>
    <w:p w14:paraId="06446BB2">
      <w:pPr>
        <w:spacing w:line="360" w:lineRule="exact"/>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 xml:space="preserve">13.6.1 </w:t>
      </w:r>
      <w:r>
        <w:rPr>
          <w:rFonts w:ascii="宋体" w:hAnsi="宋体" w:eastAsia="宋体" w:cs="Times New Roman"/>
          <w:kern w:val="0"/>
          <w:szCs w:val="24"/>
        </w:rPr>
        <w:t>竣工退场</w:t>
      </w:r>
    </w:p>
    <w:p w14:paraId="09E44A02">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承包人完成竣工退场的期限：</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颁发工程接收证书后7天内</w:t>
      </w:r>
      <w:r>
        <w:rPr>
          <w:rFonts w:ascii="宋体" w:hAnsi="宋体" w:eastAsia="宋体" w:cs="Times New Roman"/>
          <w:kern w:val="0"/>
          <w:szCs w:val="24"/>
        </w:rPr>
        <w:t>。</w:t>
      </w:r>
    </w:p>
    <w:p w14:paraId="15F7E700">
      <w:pPr>
        <w:keepNext/>
        <w:keepLines/>
        <w:spacing w:line="360" w:lineRule="exact"/>
        <w:rPr>
          <w:rFonts w:ascii="Times New Roman" w:hAnsi="Times New Roman" w:eastAsia="黑体" w:cs="Times New Roman"/>
          <w:szCs w:val="21"/>
        </w:rPr>
      </w:pPr>
      <w:bookmarkStart w:id="536" w:name="_Toc351203646"/>
      <w:bookmarkEnd w:id="536"/>
      <w:r>
        <w:rPr>
          <w:rFonts w:ascii="Times New Roman" w:hAnsi="Times New Roman" w:eastAsia="黑体" w:cs="Times New Roman"/>
          <w:szCs w:val="21"/>
        </w:rPr>
        <w:t xml:space="preserve">14. </w:t>
      </w:r>
      <w:r>
        <w:rPr>
          <w:rFonts w:hint="eastAsia" w:ascii="黑体" w:hAnsi="黑体" w:eastAsia="黑体" w:cs="Times New Roman"/>
          <w:szCs w:val="21"/>
        </w:rPr>
        <w:t>竣工结算</w:t>
      </w:r>
    </w:p>
    <w:p w14:paraId="6265AE49">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14.1 竣工结算申请</w:t>
      </w:r>
    </w:p>
    <w:p w14:paraId="71DC04B4">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1.承包人提交竣工结算申请的期限：</w:t>
      </w:r>
    </w:p>
    <w:p w14:paraId="20AD5398">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承包人完成合同范围内施工内容，参建各方（建设、监理、施工、勘察、设计单位等）对工程验收并签署工程质量合格文件后可在28天内，向发包人或监理人、发包人委托的中介机构提交最终工程结算申请，并提交完整的工程结算资料一套。</w:t>
      </w:r>
    </w:p>
    <w:p w14:paraId="346CBEC5">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工程验收后，承包人超过90天未提交最终工程结算资料，经发包人催告后28天，承包人还不提交工程结算资料的，发包人可根据自己资料办理工程结算，且视为承包人认可工程结算结果。</w:t>
      </w:r>
    </w:p>
    <w:p w14:paraId="4ADF4928">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2.竣工结算申请单应包括的内容：</w:t>
      </w:r>
      <w:r>
        <w:rPr>
          <w:rFonts w:hint="eastAsia" w:ascii="宋体" w:hAnsi="宋体" w:eastAsia="宋体" w:cs="Times New Roman"/>
          <w:szCs w:val="24"/>
          <w:u w:val="single"/>
        </w:rPr>
        <w:t>包括但不限于施工合同、补充协议、招标文件、投标文件、竣工图纸、施工方案以及经确认的工程变更、工程索赔、现场签证，相关施工记录，工程款收款证明、逾期付款利息计算书等相关资料。</w:t>
      </w:r>
    </w:p>
    <w:p w14:paraId="73066935">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14.2 竣工结算审核</w:t>
      </w:r>
    </w:p>
    <w:p w14:paraId="57FF02C0">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（1）发包人结算审核时间：</w:t>
      </w:r>
    </w:p>
    <w:p w14:paraId="6D195A30">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发包人收到承包人递交的最终工程结算报告及结算资料后，在（ 180 ）天内审核完毕，并签发最终工程结算证书。</w:t>
      </w:r>
    </w:p>
    <w:p w14:paraId="00A5C67F">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72BCAEB4">
      <w:pPr>
        <w:spacing w:line="360" w:lineRule="exact"/>
        <w:ind w:firstLine="420" w:firstLineChars="200"/>
        <w:rPr>
          <w:rFonts w:hint="eastAsia" w:ascii="宋体" w:hAnsi="宋体" w:eastAsia="宋体" w:cs="Times New Roman"/>
          <w:szCs w:val="24"/>
          <w:u w:val="single"/>
        </w:rPr>
      </w:pPr>
      <w:r>
        <w:rPr>
          <w:rFonts w:hint="eastAsia" w:ascii="宋体" w:hAnsi="宋体" w:eastAsia="宋体" w:cs="Times New Roman"/>
          <w:szCs w:val="24"/>
          <w:u w:val="single"/>
        </w:rPr>
        <w:t>（2）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4B8734EA">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14.4 </w:t>
      </w:r>
      <w:r>
        <w:rPr>
          <w:rFonts w:ascii="黑体" w:hAnsi="黑体" w:eastAsia="黑体" w:cs="Times New Roman"/>
          <w:szCs w:val="24"/>
        </w:rPr>
        <w:t>最终结清</w:t>
      </w:r>
    </w:p>
    <w:p w14:paraId="1D05CE40">
      <w:pPr>
        <w:spacing w:line="360" w:lineRule="exact"/>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 xml:space="preserve">14.4.1 </w:t>
      </w:r>
      <w:r>
        <w:rPr>
          <w:rFonts w:ascii="宋体" w:hAnsi="宋体" w:eastAsia="宋体" w:cs="Times New Roman"/>
          <w:kern w:val="0"/>
          <w:szCs w:val="24"/>
        </w:rPr>
        <w:t>最终结清申请单</w:t>
      </w:r>
    </w:p>
    <w:p w14:paraId="02C62D8B">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承包人提交最终结清申请单的份数：</w:t>
      </w:r>
      <w:r>
        <w:rPr>
          <w:rFonts w:hint="eastAsia" w:ascii="宋体" w:hAnsi="宋体" w:eastAsia="宋体" w:cs="Times New Roman"/>
          <w:szCs w:val="24"/>
          <w:u w:val="single"/>
        </w:rPr>
        <w:t>按发包人实际需求</w:t>
      </w:r>
      <w:r>
        <w:rPr>
          <w:rFonts w:ascii="Times New Roman" w:hAnsi="Times New Roman" w:eastAsia="宋体" w:cs="Times New Roman"/>
          <w:szCs w:val="24"/>
          <w:u w:val="single"/>
        </w:rPr>
        <w:t xml:space="preserve">  </w:t>
      </w:r>
      <w:r>
        <w:rPr>
          <w:rFonts w:ascii="宋体" w:hAnsi="宋体" w:eastAsia="宋体" w:cs="Times New Roman"/>
          <w:szCs w:val="24"/>
        </w:rPr>
        <w:t>。</w:t>
      </w:r>
    </w:p>
    <w:p w14:paraId="07CDDB22">
      <w:pPr>
        <w:spacing w:line="360" w:lineRule="exact"/>
        <w:ind w:firstLine="420" w:firstLineChars="200"/>
        <w:rPr>
          <w:rFonts w:ascii="Times New Roman" w:hAnsi="Times New Roman" w:eastAsia="宋体" w:cs="Times New Roman"/>
          <w:szCs w:val="24"/>
        </w:rPr>
      </w:pPr>
      <w:r>
        <w:rPr>
          <w:rFonts w:ascii="宋体" w:hAnsi="宋体" w:eastAsia="宋体" w:cs="Times New Roman"/>
          <w:kern w:val="0"/>
          <w:szCs w:val="24"/>
        </w:rPr>
        <w:t>承包人提交最终结算申请单的期限：</w:t>
      </w:r>
      <w:r>
        <w:rPr>
          <w:rFonts w:hint="eastAsia" w:ascii="宋体" w:hAnsi="宋体" w:eastAsia="宋体" w:cs="Times New Roman"/>
          <w:szCs w:val="24"/>
          <w:u w:val="single"/>
        </w:rPr>
        <w:t>缺陷责任期终止后7天内</w:t>
      </w:r>
      <w:r>
        <w:rPr>
          <w:rFonts w:ascii="Times New Roman" w:hAnsi="Times New Roman" w:eastAsia="宋体" w:cs="Times New Roman"/>
          <w:szCs w:val="24"/>
          <w:u w:val="single"/>
        </w:rPr>
        <w:t xml:space="preserve">  </w:t>
      </w:r>
      <w:r>
        <w:rPr>
          <w:rFonts w:ascii="宋体" w:hAnsi="宋体" w:eastAsia="宋体" w:cs="Times New Roman"/>
          <w:szCs w:val="24"/>
        </w:rPr>
        <w:t>。</w:t>
      </w:r>
      <w:r>
        <w:rPr>
          <w:rFonts w:ascii="Times New Roman" w:hAnsi="Times New Roman" w:eastAsia="宋体" w:cs="Times New Roman"/>
          <w:szCs w:val="24"/>
        </w:rPr>
        <w:t xml:space="preserve"> </w:t>
      </w:r>
    </w:p>
    <w:p w14:paraId="7F5C4C37">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14.4.2 </w:t>
      </w:r>
      <w:r>
        <w:rPr>
          <w:rFonts w:ascii="宋体" w:hAnsi="宋体" w:eastAsia="宋体" w:cs="Times New Roman"/>
          <w:szCs w:val="24"/>
        </w:rPr>
        <w:t>最终结清证书和支付</w:t>
      </w:r>
    </w:p>
    <w:p w14:paraId="12E4D8E7">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w:t>
      </w:r>
      <w:r>
        <w:rPr>
          <w:rFonts w:ascii="Times New Roman" w:hAnsi="Times New Roman" w:eastAsia="宋体" w:cs="Times New Roman"/>
          <w:szCs w:val="24"/>
        </w:rPr>
        <w:t>1</w:t>
      </w:r>
      <w:r>
        <w:rPr>
          <w:rFonts w:ascii="宋体" w:hAnsi="宋体" w:eastAsia="宋体" w:cs="Times New Roman"/>
          <w:szCs w:val="24"/>
        </w:rPr>
        <w:t>）发包人完成最终结清申请单的</w:t>
      </w:r>
      <w:r>
        <w:rPr>
          <w:rFonts w:hint="eastAsia" w:ascii="宋体" w:hAnsi="宋体" w:eastAsia="宋体" w:cs="Times New Roman"/>
          <w:szCs w:val="24"/>
        </w:rPr>
        <w:t>审批</w:t>
      </w:r>
      <w:r>
        <w:rPr>
          <w:rFonts w:ascii="宋体" w:hAnsi="宋体" w:eastAsia="宋体" w:cs="Times New Roman"/>
          <w:szCs w:val="24"/>
        </w:rPr>
        <w:t>并颁发最终结清证书的期限：</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按通用条款</w:t>
      </w:r>
      <w:r>
        <w:rPr>
          <w:rFonts w:ascii="Times New Roman" w:hAnsi="Times New Roman" w:eastAsia="宋体" w:cs="Times New Roman"/>
          <w:szCs w:val="24"/>
          <w:u w:val="single"/>
        </w:rPr>
        <w:t xml:space="preserve">  </w:t>
      </w:r>
      <w:r>
        <w:rPr>
          <w:rFonts w:ascii="宋体" w:hAnsi="宋体" w:eastAsia="宋体" w:cs="Times New Roman"/>
          <w:szCs w:val="24"/>
        </w:rPr>
        <w:t>。</w:t>
      </w:r>
    </w:p>
    <w:p w14:paraId="7061D514">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w:t>
      </w:r>
      <w:r>
        <w:rPr>
          <w:rFonts w:ascii="Times New Roman" w:hAnsi="Times New Roman" w:eastAsia="宋体" w:cs="Times New Roman"/>
          <w:szCs w:val="24"/>
        </w:rPr>
        <w:t>2</w:t>
      </w:r>
      <w:r>
        <w:rPr>
          <w:rFonts w:ascii="宋体" w:hAnsi="宋体" w:eastAsia="宋体" w:cs="Times New Roman"/>
          <w:szCs w:val="24"/>
        </w:rPr>
        <w:t>）发包人完成支付的期限：</w:t>
      </w:r>
      <w:r>
        <w:rPr>
          <w:rFonts w:hint="eastAsia" w:ascii="宋体" w:hAnsi="宋体" w:eastAsia="宋体" w:cs="Times New Roman"/>
          <w:szCs w:val="24"/>
          <w:u w:val="single"/>
        </w:rPr>
        <w:t>按通用条款</w:t>
      </w:r>
      <w:r>
        <w:rPr>
          <w:rFonts w:ascii="宋体" w:hAnsi="宋体" w:eastAsia="宋体" w:cs="Times New Roman"/>
          <w:szCs w:val="24"/>
        </w:rPr>
        <w:t>。</w:t>
      </w:r>
    </w:p>
    <w:p w14:paraId="74386530">
      <w:pPr>
        <w:keepNext/>
        <w:keepLines/>
        <w:spacing w:line="360" w:lineRule="exact"/>
        <w:rPr>
          <w:rFonts w:ascii="Times New Roman" w:hAnsi="Times New Roman" w:eastAsia="黑体" w:cs="Times New Roman"/>
          <w:szCs w:val="21"/>
        </w:rPr>
      </w:pPr>
      <w:bookmarkStart w:id="537" w:name="_Toc267251496"/>
      <w:bookmarkEnd w:id="537"/>
      <w:bookmarkStart w:id="538" w:name="_Toc267251493"/>
      <w:bookmarkEnd w:id="538"/>
      <w:bookmarkStart w:id="539" w:name="_Toc267251482"/>
      <w:bookmarkEnd w:id="539"/>
      <w:bookmarkStart w:id="540" w:name="_Toc267251489"/>
      <w:bookmarkEnd w:id="540"/>
      <w:bookmarkStart w:id="541" w:name="_Toc267251484"/>
      <w:bookmarkEnd w:id="541"/>
      <w:bookmarkStart w:id="542" w:name="_Toc267251513"/>
      <w:bookmarkEnd w:id="542"/>
      <w:bookmarkStart w:id="543" w:name="_Toc267251495"/>
      <w:bookmarkEnd w:id="543"/>
      <w:bookmarkStart w:id="544" w:name="_Toc267251502"/>
      <w:bookmarkEnd w:id="544"/>
      <w:bookmarkStart w:id="545" w:name="_Toc267251491"/>
      <w:bookmarkEnd w:id="545"/>
      <w:bookmarkStart w:id="546" w:name="_Toc267251515"/>
      <w:bookmarkEnd w:id="546"/>
      <w:bookmarkStart w:id="547" w:name="_Toc267251511"/>
      <w:bookmarkEnd w:id="547"/>
      <w:bookmarkStart w:id="548" w:name="_Toc267251506"/>
      <w:bookmarkEnd w:id="548"/>
      <w:bookmarkStart w:id="549" w:name="_Toc267251490"/>
      <w:bookmarkEnd w:id="549"/>
      <w:bookmarkStart w:id="550" w:name="_Toc267251504"/>
      <w:bookmarkEnd w:id="550"/>
      <w:bookmarkStart w:id="551" w:name="_Toc267251494"/>
      <w:bookmarkEnd w:id="551"/>
      <w:bookmarkStart w:id="552" w:name="_Toc267251507"/>
      <w:bookmarkEnd w:id="552"/>
      <w:bookmarkStart w:id="553" w:name="_Toc267251508"/>
      <w:bookmarkEnd w:id="553"/>
      <w:bookmarkStart w:id="554" w:name="_Toc267251488"/>
      <w:bookmarkEnd w:id="554"/>
      <w:bookmarkStart w:id="555" w:name="_Toc267251514"/>
      <w:bookmarkEnd w:id="555"/>
      <w:bookmarkStart w:id="556" w:name="_Toc267251492"/>
      <w:bookmarkEnd w:id="556"/>
      <w:bookmarkStart w:id="557" w:name="_Toc267251501"/>
      <w:bookmarkEnd w:id="557"/>
      <w:bookmarkStart w:id="558" w:name="_Toc267251509"/>
      <w:bookmarkEnd w:id="558"/>
      <w:bookmarkStart w:id="559" w:name="_Toc351203647"/>
      <w:bookmarkEnd w:id="559"/>
      <w:bookmarkStart w:id="560" w:name="_Toc267251486"/>
      <w:bookmarkEnd w:id="560"/>
      <w:bookmarkStart w:id="561" w:name="_Toc267251497"/>
      <w:bookmarkEnd w:id="561"/>
      <w:bookmarkStart w:id="562" w:name="_Toc267251499"/>
      <w:bookmarkEnd w:id="562"/>
      <w:bookmarkStart w:id="563" w:name="_Toc267251503"/>
      <w:bookmarkEnd w:id="563"/>
      <w:bookmarkStart w:id="564" w:name="_Toc267251498"/>
      <w:bookmarkEnd w:id="564"/>
      <w:bookmarkStart w:id="565" w:name="_Toc267251510"/>
      <w:bookmarkEnd w:id="565"/>
      <w:bookmarkStart w:id="566" w:name="_Toc267251485"/>
      <w:bookmarkEnd w:id="566"/>
      <w:bookmarkStart w:id="567" w:name="_Toc267251483"/>
      <w:r>
        <w:rPr>
          <w:rFonts w:ascii="Times New Roman" w:hAnsi="Times New Roman" w:eastAsia="黑体" w:cs="Times New Roman"/>
          <w:szCs w:val="21"/>
        </w:rPr>
        <w:t xml:space="preserve">15. </w:t>
      </w:r>
      <w:r>
        <w:rPr>
          <w:rFonts w:ascii="黑体" w:hAnsi="黑体" w:eastAsia="黑体" w:cs="Times New Roman"/>
          <w:szCs w:val="21"/>
        </w:rPr>
        <w:t>缺陷责任期与保修</w:t>
      </w:r>
      <w:bookmarkEnd w:id="567"/>
    </w:p>
    <w:p w14:paraId="328EC545">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15.2</w:t>
      </w:r>
      <w:r>
        <w:rPr>
          <w:rFonts w:ascii="黑体" w:hAnsi="黑体" w:eastAsia="黑体" w:cs="Times New Roman"/>
          <w:szCs w:val="24"/>
        </w:rPr>
        <w:t>缺陷责任期</w:t>
      </w:r>
    </w:p>
    <w:p w14:paraId="2A32B206">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缺陷责任期的具体期限：</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缺陷责任期24个月，其余按通用条款执行</w:t>
      </w:r>
      <w:r>
        <w:rPr>
          <w:rFonts w:ascii="宋体" w:hAnsi="宋体" w:eastAsia="宋体" w:cs="Times New Roman"/>
          <w:szCs w:val="24"/>
        </w:rPr>
        <w:t>。</w:t>
      </w:r>
    </w:p>
    <w:p w14:paraId="75E44E5E">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15.3 </w:t>
      </w:r>
      <w:r>
        <w:rPr>
          <w:rFonts w:ascii="黑体" w:hAnsi="黑体" w:eastAsia="黑体" w:cs="Times New Roman"/>
          <w:szCs w:val="24"/>
        </w:rPr>
        <w:t>质量保证金</w:t>
      </w:r>
    </w:p>
    <w:p w14:paraId="529F6335">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关于是否扣留质量保证金的约定：</w:t>
      </w:r>
      <w:r>
        <w:rPr>
          <w:rFonts w:hint="eastAsia" w:ascii="宋体" w:hAnsi="宋体" w:eastAsia="宋体" w:cs="Times New Roman"/>
          <w:szCs w:val="24"/>
          <w:u w:val="single"/>
        </w:rPr>
        <w:t>无质量保证金</w:t>
      </w:r>
      <w:r>
        <w:rPr>
          <w:rFonts w:ascii="宋体" w:hAnsi="宋体" w:eastAsia="宋体" w:cs="Times New Roman"/>
          <w:szCs w:val="24"/>
        </w:rPr>
        <w:t>。</w:t>
      </w:r>
    </w:p>
    <w:p w14:paraId="47ADDA38">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15.3.1 </w:t>
      </w:r>
      <w:r>
        <w:rPr>
          <w:rFonts w:hint="eastAsia" w:ascii="宋体" w:hAnsi="宋体" w:eastAsia="宋体" w:cs="Times New Roman"/>
          <w:szCs w:val="24"/>
        </w:rPr>
        <w:t>承包人提供</w:t>
      </w:r>
      <w:r>
        <w:rPr>
          <w:rFonts w:ascii="宋体" w:hAnsi="宋体" w:eastAsia="宋体" w:cs="Times New Roman"/>
          <w:szCs w:val="24"/>
        </w:rPr>
        <w:t>质量保证金的</w:t>
      </w:r>
      <w:r>
        <w:rPr>
          <w:rFonts w:hint="eastAsia" w:ascii="宋体" w:hAnsi="宋体" w:eastAsia="宋体" w:cs="Times New Roman"/>
          <w:szCs w:val="24"/>
        </w:rPr>
        <w:t>方</w:t>
      </w:r>
      <w:r>
        <w:rPr>
          <w:rFonts w:ascii="宋体" w:hAnsi="宋体" w:eastAsia="宋体" w:cs="Times New Roman"/>
          <w:szCs w:val="24"/>
        </w:rPr>
        <w:t>式</w:t>
      </w:r>
    </w:p>
    <w:p w14:paraId="73997ABF">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质量保证金采用以下第</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szCs w:val="24"/>
          <w:u w:val="single"/>
          <w:lang w:val="en-US" w:eastAsia="zh-CN"/>
        </w:rPr>
        <w:t>1</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种方式：</w:t>
      </w:r>
    </w:p>
    <w:p w14:paraId="6206DA82">
      <w:pPr>
        <w:autoSpaceDE w:val="0"/>
        <w:autoSpaceDN w:val="0"/>
        <w:adjustRightInd w:val="0"/>
        <w:spacing w:line="360" w:lineRule="exact"/>
        <w:ind w:firstLine="420" w:firstLineChars="200"/>
        <w:rPr>
          <w:rFonts w:hint="eastAsia" w:ascii="宋体" w:hAnsi="宋体" w:eastAsia="宋体" w:cs="Times New Roman"/>
          <w:kern w:val="0"/>
          <w:szCs w:val="24"/>
        </w:rPr>
      </w:pPr>
      <w:r>
        <w:rPr>
          <w:rFonts w:ascii="宋体" w:hAnsi="宋体" w:eastAsia="宋体" w:cs="Times New Roman"/>
          <w:kern w:val="0"/>
          <w:szCs w:val="24"/>
        </w:rPr>
        <w:t>（</w:t>
      </w:r>
      <w:r>
        <w:rPr>
          <w:rFonts w:ascii="Times New Roman" w:hAnsi="Times New Roman" w:eastAsia="宋体" w:cs="Times New Roman"/>
          <w:kern w:val="0"/>
          <w:szCs w:val="24"/>
        </w:rPr>
        <w:t>1</w:t>
      </w:r>
      <w:r>
        <w:rPr>
          <w:rFonts w:ascii="宋体" w:hAnsi="宋体" w:eastAsia="宋体" w:cs="Times New Roman"/>
          <w:kern w:val="0"/>
          <w:szCs w:val="24"/>
        </w:rPr>
        <w:t>）</w:t>
      </w:r>
      <w:r>
        <w:rPr>
          <w:rFonts w:hint="eastAsia" w:ascii="宋体" w:hAnsi="宋体" w:eastAsia="宋体" w:cs="Times New Roman"/>
          <w:kern w:val="0"/>
          <w:szCs w:val="24"/>
        </w:rPr>
        <w:t>质量保证金保函，保函形式为银行保函（或专业担保公司出具的保函），金额为1.5%的工程结算价款；</w:t>
      </w:r>
    </w:p>
    <w:p w14:paraId="3BF9A76F">
      <w:pPr>
        <w:autoSpaceDE w:val="0"/>
        <w:autoSpaceDN w:val="0"/>
        <w:adjustRightInd w:val="0"/>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w:t>
      </w:r>
      <w:r>
        <w:rPr>
          <w:rFonts w:ascii="Times New Roman" w:hAnsi="Times New Roman" w:eastAsia="宋体" w:cs="Times New Roman"/>
          <w:kern w:val="0"/>
          <w:szCs w:val="24"/>
        </w:rPr>
        <w:t>2</w:t>
      </w:r>
      <w:r>
        <w:rPr>
          <w:rFonts w:ascii="宋体" w:hAnsi="宋体" w:eastAsia="宋体" w:cs="Times New Roman"/>
          <w:kern w:val="0"/>
          <w:szCs w:val="24"/>
        </w:rPr>
        <w:t xml:space="preserve">） </w:t>
      </w:r>
      <w:r>
        <w:rPr>
          <w:rFonts w:hint="eastAsia" w:ascii="宋体" w:hAnsi="宋体" w:eastAsia="宋体" w:cs="Times New Roman"/>
          <w:kern w:val="0"/>
          <w:szCs w:val="24"/>
          <w:u w:val="single"/>
        </w:rPr>
        <w:t>1</w:t>
      </w:r>
      <w:r>
        <w:rPr>
          <w:rFonts w:ascii="Times New Roman" w:hAnsi="Times New Roman" w:eastAsia="宋体" w:cs="Times New Roman"/>
          <w:kern w:val="0"/>
          <w:szCs w:val="24"/>
          <w:u w:val="single"/>
        </w:rPr>
        <w:t>.5 %</w:t>
      </w:r>
      <w:r>
        <w:rPr>
          <w:rFonts w:ascii="宋体" w:hAnsi="宋体" w:eastAsia="宋体" w:cs="Times New Roman"/>
          <w:kern w:val="0"/>
          <w:szCs w:val="24"/>
        </w:rPr>
        <w:t>的工程</w:t>
      </w:r>
      <w:r>
        <w:rPr>
          <w:rFonts w:hint="eastAsia" w:ascii="宋体" w:hAnsi="宋体" w:eastAsia="宋体" w:cs="Times New Roman"/>
          <w:kern w:val="0"/>
          <w:szCs w:val="24"/>
        </w:rPr>
        <w:t>结算价</w:t>
      </w:r>
      <w:r>
        <w:rPr>
          <w:rFonts w:ascii="宋体" w:hAnsi="宋体" w:eastAsia="宋体" w:cs="Times New Roman"/>
          <w:kern w:val="0"/>
          <w:szCs w:val="24"/>
        </w:rPr>
        <w:t>款；</w:t>
      </w:r>
    </w:p>
    <w:p w14:paraId="739930FA">
      <w:pPr>
        <w:autoSpaceDE w:val="0"/>
        <w:autoSpaceDN w:val="0"/>
        <w:adjustRightInd w:val="0"/>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w:t>
      </w:r>
      <w:r>
        <w:rPr>
          <w:rFonts w:ascii="Times New Roman" w:hAnsi="Times New Roman" w:eastAsia="宋体" w:cs="Times New Roman"/>
          <w:kern w:val="0"/>
          <w:szCs w:val="24"/>
        </w:rPr>
        <w:t>3</w:t>
      </w:r>
      <w:r>
        <w:rPr>
          <w:rFonts w:ascii="宋体" w:hAnsi="宋体" w:eastAsia="宋体" w:cs="Times New Roman"/>
          <w:kern w:val="0"/>
          <w:szCs w:val="24"/>
        </w:rPr>
        <w:t>）其他</w:t>
      </w:r>
      <w:r>
        <w:rPr>
          <w:rFonts w:hint="eastAsia" w:ascii="宋体" w:hAnsi="宋体" w:eastAsia="宋体" w:cs="Times New Roman"/>
          <w:kern w:val="0"/>
          <w:szCs w:val="24"/>
        </w:rPr>
        <w:t>方</w:t>
      </w:r>
      <w:r>
        <w:rPr>
          <w:rFonts w:ascii="宋体" w:hAnsi="宋体" w:eastAsia="宋体" w:cs="Times New Roman"/>
          <w:kern w:val="0"/>
          <w:szCs w:val="24"/>
        </w:rPr>
        <w:t>式</w:t>
      </w:r>
      <w:r>
        <w:rPr>
          <w:rFonts w:hint="eastAsia" w:ascii="Times New Roman" w:hAnsi="Times New Roman" w:eastAsia="宋体" w:cs="Times New Roman"/>
          <w:kern w:val="0"/>
          <w:szCs w:val="24"/>
        </w:rPr>
        <w:t>：</w:t>
      </w:r>
      <w:r>
        <w:rPr>
          <w:rFonts w:ascii="Times New Roman" w:hAnsi="Times New Roman" w:eastAsia="宋体" w:cs="Times New Roman"/>
          <w:kern w:val="0"/>
          <w:szCs w:val="24"/>
          <w:u w:val="single"/>
        </w:rPr>
        <w:t xml:space="preserve">        </w:t>
      </w:r>
      <w:r>
        <w:rPr>
          <w:rFonts w:ascii="宋体" w:hAnsi="宋体" w:eastAsia="宋体" w:cs="Times New Roman"/>
          <w:kern w:val="0"/>
          <w:szCs w:val="24"/>
        </w:rPr>
        <w:t>。</w:t>
      </w:r>
    </w:p>
    <w:p w14:paraId="56F8D6FD">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15.3.2 </w:t>
      </w:r>
      <w:r>
        <w:rPr>
          <w:rFonts w:ascii="宋体" w:hAnsi="宋体" w:eastAsia="宋体" w:cs="Times New Roman"/>
          <w:szCs w:val="24"/>
        </w:rPr>
        <w:t xml:space="preserve">质量保证金的扣留 </w:t>
      </w:r>
    </w:p>
    <w:p w14:paraId="235C7E9B">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质量保证金的扣留采取以下第</w:t>
      </w:r>
      <w:r>
        <w:rPr>
          <w:rFonts w:ascii="Times New Roman" w:hAnsi="Times New Roman" w:eastAsia="宋体" w:cs="Times New Roman"/>
          <w:szCs w:val="24"/>
          <w:u w:val="single"/>
        </w:rPr>
        <w:t xml:space="preserve"> </w:t>
      </w:r>
      <w:r>
        <w:rPr>
          <w:rFonts w:hint="eastAsia" w:ascii="宋体" w:hAnsi="宋体" w:eastAsia="宋体" w:cs="Times New Roman"/>
          <w:szCs w:val="24"/>
          <w:u w:val="single"/>
          <w:lang w:val="en-US" w:eastAsia="zh-CN"/>
        </w:rPr>
        <w:t>3</w:t>
      </w:r>
      <w:r>
        <w:rPr>
          <w:rFonts w:ascii="Times New Roman" w:hAnsi="Times New Roman" w:eastAsia="宋体" w:cs="Times New Roman"/>
          <w:szCs w:val="24"/>
          <w:u w:val="single"/>
        </w:rPr>
        <w:t xml:space="preserve"> </w:t>
      </w:r>
      <w:r>
        <w:rPr>
          <w:rFonts w:ascii="宋体" w:hAnsi="宋体" w:eastAsia="宋体" w:cs="Times New Roman"/>
          <w:szCs w:val="24"/>
        </w:rPr>
        <w:t>种方式：</w:t>
      </w:r>
    </w:p>
    <w:p w14:paraId="2E71B9DB">
      <w:pPr>
        <w:autoSpaceDE w:val="0"/>
        <w:autoSpaceDN w:val="0"/>
        <w:adjustRightInd w:val="0"/>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w:t>
      </w:r>
      <w:r>
        <w:rPr>
          <w:rFonts w:ascii="Times New Roman" w:hAnsi="Times New Roman" w:eastAsia="宋体" w:cs="Times New Roman"/>
          <w:kern w:val="0"/>
          <w:szCs w:val="24"/>
        </w:rPr>
        <w:t>1</w:t>
      </w:r>
      <w:r>
        <w:rPr>
          <w:rFonts w:ascii="宋体" w:hAnsi="宋体" w:eastAsia="宋体" w:cs="Times New Roman"/>
          <w:kern w:val="0"/>
          <w:szCs w:val="24"/>
        </w:rPr>
        <w:t>）在支付工程进度款时逐次扣留，在此情形下，质量保证金的计算基数不包括预付款的支付、扣回以及价格调整的金额；</w:t>
      </w:r>
    </w:p>
    <w:p w14:paraId="5BF3CD37">
      <w:pPr>
        <w:autoSpaceDE w:val="0"/>
        <w:autoSpaceDN w:val="0"/>
        <w:adjustRightInd w:val="0"/>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w:t>
      </w:r>
      <w:r>
        <w:rPr>
          <w:rFonts w:ascii="Times New Roman" w:hAnsi="Times New Roman" w:eastAsia="宋体" w:cs="Times New Roman"/>
          <w:kern w:val="0"/>
          <w:szCs w:val="24"/>
        </w:rPr>
        <w:t>2</w:t>
      </w:r>
      <w:r>
        <w:rPr>
          <w:rFonts w:ascii="宋体" w:hAnsi="宋体" w:eastAsia="宋体" w:cs="Times New Roman"/>
          <w:kern w:val="0"/>
          <w:szCs w:val="24"/>
        </w:rPr>
        <w:t>）工程竣工结算时一次性扣留质量保证金；</w:t>
      </w:r>
    </w:p>
    <w:p w14:paraId="33149BD6">
      <w:pPr>
        <w:autoSpaceDE w:val="0"/>
        <w:autoSpaceDN w:val="0"/>
        <w:adjustRightInd w:val="0"/>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w:t>
      </w:r>
      <w:r>
        <w:rPr>
          <w:rFonts w:ascii="Times New Roman" w:hAnsi="Times New Roman" w:eastAsia="宋体" w:cs="Times New Roman"/>
          <w:kern w:val="0"/>
          <w:szCs w:val="24"/>
        </w:rPr>
        <w:t>3</w:t>
      </w:r>
      <w:r>
        <w:rPr>
          <w:rFonts w:ascii="宋体" w:hAnsi="宋体" w:eastAsia="宋体" w:cs="Times New Roman"/>
          <w:kern w:val="0"/>
          <w:szCs w:val="24"/>
        </w:rPr>
        <w:t>）其他扣留方式</w:t>
      </w:r>
      <w:r>
        <w:rPr>
          <w:rFonts w:hint="eastAsia" w:ascii="Times New Roman" w:hAnsi="Times New Roman" w:eastAsia="宋体" w:cs="Times New Roman"/>
          <w:kern w:val="0"/>
          <w:szCs w:val="24"/>
        </w:rPr>
        <w:t>：</w:t>
      </w:r>
      <w:r>
        <w:rPr>
          <w:rFonts w:hint="eastAsia" w:ascii="Times New Roman" w:hAnsi="Times New Roman" w:eastAsia="宋体" w:cs="Times New Roman"/>
          <w:kern w:val="0"/>
          <w:szCs w:val="24"/>
          <w:u w:val="single"/>
        </w:rPr>
        <w:t>发包人支付完成最后工程结算付款前，承包人提供质量保证金保函</w:t>
      </w:r>
      <w:r>
        <w:rPr>
          <w:rFonts w:hint="eastAsia" w:ascii="Times New Roman" w:hAnsi="Times New Roman" w:eastAsia="宋体" w:cs="Times New Roman"/>
          <w:kern w:val="0"/>
          <w:szCs w:val="24"/>
        </w:rPr>
        <w:t>。</w:t>
      </w:r>
    </w:p>
    <w:p w14:paraId="38AB26F3">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szCs w:val="24"/>
        </w:rPr>
        <w:t>关于质量保证金的补充约定：</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 xml:space="preserve">                           。</w:t>
      </w:r>
    </w:p>
    <w:p w14:paraId="190219B0">
      <w:pPr>
        <w:spacing w:line="360" w:lineRule="exact"/>
        <w:ind w:firstLine="420" w:firstLineChars="200"/>
        <w:rPr>
          <w:rFonts w:ascii="仿宋_GB2312" w:hAnsi="Times New Roman" w:eastAsia="仿宋_GB2312" w:cs="Times New Roman"/>
          <w:szCs w:val="24"/>
        </w:rPr>
      </w:pPr>
      <w:r>
        <w:rPr>
          <w:rFonts w:ascii="Times New Roman" w:hAnsi="Times New Roman" w:eastAsia="宋体" w:cs="Times New Roman"/>
          <w:szCs w:val="24"/>
        </w:rPr>
        <w:t>15.3.3</w:t>
      </w:r>
      <w:r>
        <w:rPr>
          <w:rFonts w:hint="eastAsia" w:ascii="仿宋_GB2312" w:hAnsi="宋体" w:eastAsia="宋体" w:cs="Times New Roman"/>
          <w:szCs w:val="24"/>
        </w:rPr>
        <w:t xml:space="preserve"> </w:t>
      </w:r>
      <w:r>
        <w:rPr>
          <w:rFonts w:hint="eastAsia" w:ascii="宋体" w:hAnsi="宋体" w:eastAsia="宋体" w:cs="Times New Roman"/>
          <w:szCs w:val="24"/>
        </w:rPr>
        <w:t>质量保证金的退还</w:t>
      </w:r>
    </w:p>
    <w:p w14:paraId="00A02D83">
      <w:pPr>
        <w:spacing w:line="360" w:lineRule="exact"/>
        <w:ind w:firstLine="420" w:firstLineChars="200"/>
        <w:rPr>
          <w:rFonts w:ascii="仿宋_GB2312" w:hAnsi="Times New Roman" w:eastAsia="仿宋_GB2312" w:cs="Times New Roman"/>
          <w:szCs w:val="24"/>
        </w:rPr>
      </w:pPr>
      <w:r>
        <w:rPr>
          <w:rFonts w:hint="eastAsia" w:ascii="宋体" w:hAnsi="宋体" w:eastAsia="宋体" w:cs="Times New Roman"/>
          <w:szCs w:val="24"/>
        </w:rPr>
        <w:t>质量保证金按以下第</w:t>
      </w:r>
      <w:r>
        <w:rPr>
          <w:rFonts w:hint="eastAsia" w:ascii="仿宋_GB2312" w:hAnsi="宋体" w:eastAsia="宋体" w:cs="Times New Roman"/>
          <w:szCs w:val="24"/>
          <w:u w:val="single"/>
        </w:rPr>
        <w:t xml:space="preserve">  /  </w:t>
      </w:r>
      <w:r>
        <w:rPr>
          <w:rFonts w:hint="eastAsia" w:ascii="宋体" w:hAnsi="宋体" w:eastAsia="宋体" w:cs="Times New Roman"/>
          <w:szCs w:val="24"/>
        </w:rPr>
        <w:t>方式退回：</w:t>
      </w:r>
    </w:p>
    <w:p w14:paraId="1BFEB363">
      <w:pPr>
        <w:spacing w:line="360" w:lineRule="exact"/>
        <w:ind w:firstLine="420" w:firstLineChars="200"/>
        <w:rPr>
          <w:rFonts w:ascii="仿宋_GB2312" w:hAnsi="Times New Roman" w:eastAsia="仿宋_GB2312" w:cs="Times New Roman"/>
          <w:szCs w:val="24"/>
        </w:rPr>
      </w:pPr>
      <w:r>
        <w:rPr>
          <w:rFonts w:ascii="宋体" w:hAnsi="宋体" w:eastAsia="宋体" w:cs="Times New Roman"/>
          <w:szCs w:val="24"/>
        </w:rPr>
        <w:t>（</w:t>
      </w:r>
      <w:r>
        <w:rPr>
          <w:rFonts w:ascii="Times New Roman" w:hAnsi="Times New Roman" w:eastAsia="宋体" w:cs="Times New Roman"/>
          <w:szCs w:val="24"/>
        </w:rPr>
        <w:t>1</w:t>
      </w:r>
      <w:r>
        <w:rPr>
          <w:rFonts w:hint="eastAsia" w:ascii="宋体" w:hAnsi="宋体" w:eastAsia="宋体" w:cs="Times New Roman"/>
          <w:szCs w:val="24"/>
        </w:rPr>
        <w:t>）缺陷责任期终止后，发包人退还剩余的质量保证金（是否计息）。</w:t>
      </w:r>
    </w:p>
    <w:p w14:paraId="1534AAAB">
      <w:pPr>
        <w:adjustRightInd w:val="0"/>
        <w:spacing w:line="360" w:lineRule="exact"/>
        <w:ind w:firstLine="420" w:firstLineChars="200"/>
        <w:rPr>
          <w:rFonts w:hint="eastAsia" w:ascii="仿宋_GB2312" w:hAnsi="宋体" w:eastAsia="仿宋_GB2312" w:cs="Times New Roman"/>
          <w:szCs w:val="24"/>
        </w:rPr>
      </w:pPr>
      <w:r>
        <w:rPr>
          <w:rFonts w:hint="eastAsia" w:ascii="宋体" w:hAnsi="宋体" w:eastAsia="宋体" w:cs="Times New Roman"/>
          <w:szCs w:val="24"/>
        </w:rPr>
        <w:t>（</w:t>
      </w:r>
      <w:r>
        <w:rPr>
          <w:rFonts w:ascii="Times New Roman" w:hAnsi="Times New Roman" w:eastAsia="宋体" w:cs="Times New Roman"/>
          <w:szCs w:val="24"/>
        </w:rPr>
        <w:t>2</w:t>
      </w:r>
      <w:r>
        <w:rPr>
          <w:rFonts w:hint="eastAsia" w:ascii="宋体" w:hAnsi="宋体" w:eastAsia="宋体" w:cs="Times New Roman"/>
          <w:szCs w:val="24"/>
        </w:rPr>
        <w:t>）建筑工程：工程实际竣工验收合格后满一年返还质量保证金的</w:t>
      </w:r>
      <w:r>
        <w:rPr>
          <w:rFonts w:hint="eastAsia" w:ascii="仿宋_GB2312" w:hAnsi="宋体" w:eastAsia="宋体" w:cs="Times New Roman"/>
          <w:szCs w:val="24"/>
        </w:rPr>
        <w:t>30%</w:t>
      </w:r>
      <w:r>
        <w:rPr>
          <w:rFonts w:hint="eastAsia" w:ascii="宋体" w:hAnsi="宋体" w:eastAsia="宋体" w:cs="Times New Roman"/>
          <w:szCs w:val="24"/>
        </w:rPr>
        <w:t>，缺陷责任期终止后返还全部预留的质量保证金。</w:t>
      </w:r>
    </w:p>
    <w:p w14:paraId="20842EF6">
      <w:pPr>
        <w:adjustRightInd w:val="0"/>
        <w:spacing w:line="360" w:lineRule="exact"/>
        <w:ind w:firstLine="420" w:firstLineChars="200"/>
        <w:rPr>
          <w:rFonts w:hint="eastAsia" w:ascii="仿宋_GB2312" w:hAnsi="宋体" w:eastAsia="仿宋_GB2312" w:cs="Times New Roman"/>
          <w:szCs w:val="24"/>
        </w:rPr>
      </w:pPr>
      <w:r>
        <w:rPr>
          <w:rFonts w:hint="eastAsia" w:ascii="宋体" w:hAnsi="宋体" w:eastAsia="宋体" w:cs="Times New Roman"/>
          <w:szCs w:val="24"/>
        </w:rPr>
        <w:t>（</w:t>
      </w:r>
      <w:r>
        <w:rPr>
          <w:rFonts w:ascii="Times New Roman" w:hAnsi="Times New Roman" w:eastAsia="宋体" w:cs="Times New Roman"/>
          <w:szCs w:val="24"/>
        </w:rPr>
        <w:t>3</w:t>
      </w:r>
      <w:r>
        <w:rPr>
          <w:rFonts w:hint="eastAsia" w:ascii="宋体" w:hAnsi="宋体" w:eastAsia="宋体" w:cs="Times New Roman"/>
          <w:szCs w:val="24"/>
        </w:rPr>
        <w:t>）市政工程：工程实际竣工验收合格后满一年可返还全部质量保证金。</w:t>
      </w:r>
    </w:p>
    <w:p w14:paraId="0A0A647B">
      <w:pPr>
        <w:spacing w:line="360" w:lineRule="exact"/>
        <w:ind w:firstLine="420" w:firstLineChars="200"/>
        <w:rPr>
          <w:rFonts w:ascii="仿宋_GB2312" w:hAnsi="Times New Roman" w:eastAsia="仿宋_GB2312" w:cs="Times New Roman"/>
          <w:szCs w:val="24"/>
        </w:rPr>
      </w:pPr>
      <w:r>
        <w:rPr>
          <w:rFonts w:hint="eastAsia" w:ascii="宋体" w:hAnsi="宋体" w:eastAsia="宋体" w:cs="Times New Roman"/>
          <w:szCs w:val="24"/>
        </w:rPr>
        <w:t>（</w:t>
      </w:r>
      <w:r>
        <w:rPr>
          <w:rFonts w:ascii="Times New Roman" w:hAnsi="Times New Roman" w:eastAsia="宋体" w:cs="Times New Roman"/>
          <w:szCs w:val="24"/>
        </w:rPr>
        <w:t>4</w:t>
      </w:r>
      <w:r>
        <w:rPr>
          <w:rFonts w:hint="eastAsia" w:ascii="宋体" w:hAnsi="宋体" w:eastAsia="宋体" w:cs="Times New Roman"/>
          <w:szCs w:val="24"/>
        </w:rPr>
        <w:t>）其它：</w:t>
      </w:r>
      <w:r>
        <w:rPr>
          <w:rFonts w:hint="eastAsia" w:ascii="宋体" w:hAnsi="宋体" w:eastAsia="宋体" w:cs="Times New Roman"/>
          <w:szCs w:val="24"/>
          <w:u w:val="single"/>
        </w:rPr>
        <w:t>工程实际竣工验收合格后满二年无质量问题可返还全部质量保证金。</w:t>
      </w:r>
      <w:r>
        <w:rPr>
          <w:rFonts w:hint="eastAsia" w:ascii="仿宋_GB2312" w:hAnsi="宋体" w:eastAsia="宋体" w:cs="Times New Roman"/>
          <w:szCs w:val="24"/>
          <w:u w:val="single"/>
        </w:rPr>
        <w:t xml:space="preserve">  </w:t>
      </w:r>
    </w:p>
    <w:p w14:paraId="4BBD7AFE">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15.4</w:t>
      </w:r>
      <w:r>
        <w:rPr>
          <w:rFonts w:ascii="黑体" w:hAnsi="黑体" w:eastAsia="黑体" w:cs="Times New Roman"/>
          <w:szCs w:val="24"/>
        </w:rPr>
        <w:t>保修</w:t>
      </w:r>
    </w:p>
    <w:p w14:paraId="3F243C3A">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15.4.1 </w:t>
      </w:r>
      <w:r>
        <w:rPr>
          <w:rFonts w:ascii="宋体" w:hAnsi="宋体" w:eastAsia="宋体" w:cs="Times New Roman"/>
          <w:szCs w:val="24"/>
        </w:rPr>
        <w:t>保修责任</w:t>
      </w:r>
    </w:p>
    <w:p w14:paraId="6C27460C">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szCs w:val="24"/>
        </w:rPr>
        <w:t>工程保修期为：</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按本合同附件3《工程质量保修书》</w:t>
      </w:r>
      <w:r>
        <w:rPr>
          <w:rFonts w:ascii="Times New Roman" w:hAnsi="Times New Roman" w:eastAsia="宋体" w:cs="Times New Roman"/>
          <w:kern w:val="0"/>
          <w:szCs w:val="24"/>
          <w:u w:val="single"/>
        </w:rPr>
        <w:t xml:space="preserve"> </w:t>
      </w:r>
      <w:r>
        <w:rPr>
          <w:rFonts w:ascii="宋体" w:hAnsi="宋体" w:eastAsia="宋体" w:cs="Times New Roman"/>
          <w:kern w:val="0"/>
          <w:szCs w:val="24"/>
        </w:rPr>
        <w:t>。</w:t>
      </w:r>
    </w:p>
    <w:p w14:paraId="39B7376A">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15.4.3 </w:t>
      </w:r>
      <w:r>
        <w:rPr>
          <w:rFonts w:ascii="宋体" w:hAnsi="宋体" w:eastAsia="宋体" w:cs="Times New Roman"/>
          <w:szCs w:val="24"/>
        </w:rPr>
        <w:t>修复通知</w:t>
      </w:r>
    </w:p>
    <w:p w14:paraId="44D5BD7E">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承包人收到保修通知并到达工程现场的合理时间：</w:t>
      </w:r>
      <w:r>
        <w:rPr>
          <w:rFonts w:hint="eastAsia" w:ascii="宋体" w:hAnsi="宋体" w:eastAsia="宋体" w:cs="Times New Roman"/>
          <w:kern w:val="0"/>
          <w:szCs w:val="24"/>
          <w:u w:val="single"/>
        </w:rPr>
        <w:t>承包人应在接到修理通知之日后</w:t>
      </w:r>
      <w:r>
        <w:rPr>
          <w:rFonts w:ascii="Times New Roman" w:hAnsi="Times New Roman" w:eastAsia="宋体" w:cs="Times New Roman"/>
          <w:kern w:val="0"/>
          <w:szCs w:val="24"/>
          <w:u w:val="single"/>
        </w:rPr>
        <w:t>7</w:t>
      </w:r>
      <w:r>
        <w:rPr>
          <w:rFonts w:hint="eastAsia" w:ascii="宋体" w:hAnsi="宋体" w:eastAsia="宋体" w:cs="Times New Roman"/>
          <w:kern w:val="0"/>
          <w:szCs w:val="24"/>
          <w:u w:val="single"/>
        </w:rPr>
        <w:t>天内派人修理。承包人不在约定期限内派人修理，发包人可委托其他人员修理，保修费用从质量保修金内扣除</w:t>
      </w:r>
      <w:r>
        <w:rPr>
          <w:rFonts w:ascii="宋体" w:hAnsi="宋体" w:eastAsia="宋体" w:cs="Times New Roman"/>
          <w:kern w:val="0"/>
          <w:szCs w:val="24"/>
        </w:rPr>
        <w:t>。</w:t>
      </w:r>
    </w:p>
    <w:p w14:paraId="56D35866">
      <w:pPr>
        <w:keepNext/>
        <w:keepLines/>
        <w:spacing w:line="360" w:lineRule="exact"/>
        <w:rPr>
          <w:rFonts w:ascii="Times New Roman" w:hAnsi="Times New Roman" w:eastAsia="黑体" w:cs="Times New Roman"/>
          <w:szCs w:val="21"/>
        </w:rPr>
      </w:pPr>
      <w:bookmarkStart w:id="568" w:name="_Toc351203648"/>
      <w:bookmarkEnd w:id="568"/>
      <w:bookmarkStart w:id="569" w:name="_Toc280868717"/>
      <w:bookmarkEnd w:id="569"/>
      <w:bookmarkStart w:id="570" w:name="_Toc280868718"/>
      <w:bookmarkEnd w:id="570"/>
      <w:r>
        <w:rPr>
          <w:rFonts w:ascii="Times New Roman" w:hAnsi="Times New Roman" w:eastAsia="黑体" w:cs="Times New Roman"/>
          <w:szCs w:val="21"/>
        </w:rPr>
        <w:t xml:space="preserve">16. </w:t>
      </w:r>
      <w:r>
        <w:rPr>
          <w:rFonts w:ascii="黑体" w:hAnsi="黑体" w:eastAsia="黑体" w:cs="Times New Roman"/>
          <w:szCs w:val="21"/>
        </w:rPr>
        <w:t>违约</w:t>
      </w:r>
    </w:p>
    <w:p w14:paraId="04F321CB">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16.1 </w:t>
      </w:r>
      <w:r>
        <w:rPr>
          <w:rFonts w:ascii="黑体" w:hAnsi="黑体" w:eastAsia="黑体" w:cs="Times New Roman"/>
          <w:szCs w:val="24"/>
        </w:rPr>
        <w:t>发包人违约</w:t>
      </w:r>
    </w:p>
    <w:p w14:paraId="7E6408F6">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16.1.1</w:t>
      </w:r>
      <w:r>
        <w:rPr>
          <w:rFonts w:ascii="宋体" w:hAnsi="宋体" w:eastAsia="宋体" w:cs="Times New Roman"/>
          <w:szCs w:val="24"/>
        </w:rPr>
        <w:t>发包人违约的情形</w:t>
      </w:r>
    </w:p>
    <w:p w14:paraId="5EB8C99D">
      <w:pPr>
        <w:spacing w:line="360" w:lineRule="exact"/>
        <w:ind w:left="815" w:leftChars="188" w:hanging="420" w:hangingChars="200"/>
        <w:rPr>
          <w:rFonts w:ascii="Times New Roman" w:hAnsi="Times New Roman" w:eastAsia="宋体" w:cs="Times New Roman"/>
          <w:kern w:val="0"/>
          <w:szCs w:val="24"/>
        </w:rPr>
      </w:pPr>
      <w:r>
        <w:rPr>
          <w:rFonts w:ascii="宋体" w:hAnsi="宋体" w:eastAsia="宋体" w:cs="Times New Roman"/>
          <w:kern w:val="0"/>
          <w:szCs w:val="24"/>
        </w:rPr>
        <w:t>发包人违约的其他情形：</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 xml:space="preserve">  /         </w:t>
      </w:r>
      <w:r>
        <w:rPr>
          <w:rFonts w:ascii="Times New Roman" w:hAnsi="Times New Roman" w:eastAsia="宋体" w:cs="Times New Roman"/>
          <w:kern w:val="0"/>
          <w:szCs w:val="24"/>
          <w:u w:val="single"/>
        </w:rPr>
        <w:t xml:space="preserve">   </w:t>
      </w:r>
      <w:r>
        <w:rPr>
          <w:rFonts w:ascii="宋体" w:hAnsi="宋体" w:eastAsia="宋体" w:cs="Times New Roman"/>
          <w:kern w:val="0"/>
          <w:szCs w:val="24"/>
        </w:rPr>
        <w:t>。</w:t>
      </w:r>
    </w:p>
    <w:p w14:paraId="721B7CCD">
      <w:pPr>
        <w:spacing w:line="360" w:lineRule="exact"/>
        <w:ind w:left="1016" w:leftChars="188" w:hanging="621" w:hangingChars="296"/>
        <w:rPr>
          <w:rFonts w:ascii="Times New Roman" w:hAnsi="Times New Roman" w:eastAsia="宋体" w:cs="Times New Roman"/>
          <w:kern w:val="0"/>
          <w:szCs w:val="24"/>
        </w:rPr>
      </w:pPr>
      <w:r>
        <w:rPr>
          <w:rFonts w:ascii="Times New Roman" w:hAnsi="Times New Roman" w:eastAsia="宋体" w:cs="Times New Roman"/>
          <w:kern w:val="0"/>
          <w:szCs w:val="24"/>
        </w:rPr>
        <w:t xml:space="preserve">16.1.2 </w:t>
      </w:r>
      <w:r>
        <w:rPr>
          <w:rFonts w:ascii="宋体" w:hAnsi="宋体" w:eastAsia="宋体" w:cs="Times New Roman"/>
          <w:kern w:val="0"/>
          <w:szCs w:val="24"/>
        </w:rPr>
        <w:t>发包人违约的责任</w:t>
      </w:r>
    </w:p>
    <w:p w14:paraId="238FAC7A">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发包人违约责任的承担方式和计算方法：</w:t>
      </w:r>
    </w:p>
    <w:p w14:paraId="59D87C4A">
      <w:pPr>
        <w:spacing w:line="360" w:lineRule="exact"/>
        <w:ind w:firstLine="420" w:firstLineChars="200"/>
        <w:rPr>
          <w:rFonts w:hint="eastAsia" w:ascii="宋体" w:hAnsi="宋体" w:eastAsia="宋体" w:cs="Times New Roman"/>
          <w:kern w:val="0"/>
          <w:szCs w:val="24"/>
          <w:u w:val="single"/>
        </w:rPr>
      </w:pPr>
      <w:r>
        <w:rPr>
          <w:rFonts w:hint="eastAsia" w:ascii="宋体" w:hAnsi="宋体" w:eastAsia="宋体" w:cs="Times New Roman"/>
          <w:kern w:val="0"/>
          <w:szCs w:val="24"/>
        </w:rPr>
        <w:t>（1）因发包人原因未能在计划开工日期前7天内下达开工通知的违约责任：</w:t>
      </w:r>
      <w:r>
        <w:rPr>
          <w:rFonts w:hint="eastAsia" w:ascii="宋体" w:hAnsi="宋体" w:eastAsia="宋体" w:cs="Times New Roman"/>
          <w:kern w:val="0"/>
          <w:szCs w:val="24"/>
          <w:u w:val="single"/>
        </w:rPr>
        <w:t>赔偿承包人相关损失；属于专用合同条款7.3.2条约定情形的，按该条款约定处理；</w:t>
      </w:r>
    </w:p>
    <w:p w14:paraId="61251705">
      <w:pPr>
        <w:spacing w:line="360" w:lineRule="exact"/>
        <w:ind w:firstLine="420" w:firstLineChars="200"/>
        <w:rPr>
          <w:rFonts w:hint="eastAsia" w:ascii="宋体" w:hAnsi="宋体" w:eastAsia="宋体" w:cs="Times New Roman"/>
          <w:kern w:val="0"/>
          <w:szCs w:val="24"/>
        </w:rPr>
      </w:pPr>
      <w:r>
        <w:rPr>
          <w:rFonts w:hint="eastAsia" w:ascii="宋体" w:hAnsi="宋体" w:eastAsia="宋体" w:cs="Times New Roman"/>
          <w:kern w:val="0"/>
          <w:szCs w:val="24"/>
        </w:rPr>
        <w:t>（2）因发包人原因未能按合同约定支付合同价款的违约责任：</w:t>
      </w:r>
      <w:r>
        <w:rPr>
          <w:rFonts w:hint="eastAsia" w:ascii="宋体" w:hAnsi="宋体" w:eastAsia="宋体" w:cs="Times New Roman"/>
          <w:szCs w:val="24"/>
          <w:u w:val="single"/>
        </w:rPr>
        <w:t>支付违约金，违约金为应付合同价款的利息；造成工期延误的顺延工期，并承担承包人的相应损失费用；</w:t>
      </w:r>
    </w:p>
    <w:p w14:paraId="66F1097C">
      <w:pPr>
        <w:spacing w:line="360" w:lineRule="exact"/>
        <w:ind w:firstLine="420" w:firstLineChars="200"/>
        <w:rPr>
          <w:rFonts w:hint="eastAsia" w:ascii="宋体" w:hAnsi="宋体" w:eastAsia="宋体" w:cs="Times New Roman"/>
          <w:kern w:val="0"/>
          <w:szCs w:val="24"/>
        </w:rPr>
      </w:pPr>
      <w:r>
        <w:rPr>
          <w:rFonts w:hint="eastAsia" w:ascii="宋体" w:hAnsi="宋体" w:eastAsia="宋体" w:cs="Times New Roman"/>
          <w:kern w:val="0"/>
          <w:szCs w:val="24"/>
        </w:rPr>
        <w:t>（3）发包人违反第10.1款〔变更的范围〕第（2）项约定，自行实施被取消的工作或转由他人实施的违约责任：</w:t>
      </w:r>
      <w:r>
        <w:rPr>
          <w:rFonts w:hint="eastAsia" w:ascii="宋体" w:hAnsi="宋体" w:eastAsia="宋体" w:cs="Times New Roman"/>
          <w:kern w:val="0"/>
          <w:szCs w:val="24"/>
          <w:u w:val="single"/>
        </w:rPr>
        <w:t xml:space="preserve"> 支付承包人该项工作合理利润，按取消工作签约合同价（    ）%计算；</w:t>
      </w:r>
    </w:p>
    <w:p w14:paraId="4805BEC0">
      <w:pPr>
        <w:spacing w:line="360" w:lineRule="exact"/>
        <w:ind w:firstLine="420" w:firstLineChars="200"/>
        <w:rPr>
          <w:rFonts w:hint="eastAsia" w:ascii="宋体" w:hAnsi="宋体" w:eastAsia="宋体" w:cs="Times New Roman"/>
          <w:kern w:val="0"/>
          <w:szCs w:val="24"/>
        </w:rPr>
      </w:pPr>
      <w:r>
        <w:rPr>
          <w:rFonts w:hint="eastAsia" w:ascii="宋体" w:hAnsi="宋体" w:eastAsia="宋体" w:cs="Times New Roman"/>
          <w:kern w:val="0"/>
          <w:szCs w:val="24"/>
        </w:rPr>
        <w:t>（4）发包人提供的材料、工程设备的规格、数量或质量不符合合同约定，或因发包人原因导致交货日期延误或交货地点变更等情况的违约责任：</w:t>
      </w:r>
      <w:r>
        <w:rPr>
          <w:rFonts w:hint="eastAsia" w:ascii="宋体" w:hAnsi="宋体" w:eastAsia="宋体" w:cs="Times New Roman"/>
          <w:szCs w:val="24"/>
          <w:u w:val="single"/>
        </w:rPr>
        <w:t>造成工期延误的顺延工期，并承担增加的造价及承包人的相应损失费用等；</w:t>
      </w:r>
    </w:p>
    <w:p w14:paraId="1F73AA63">
      <w:pPr>
        <w:spacing w:line="360" w:lineRule="exact"/>
        <w:ind w:firstLine="420" w:firstLineChars="200"/>
        <w:rPr>
          <w:rFonts w:hint="eastAsia" w:ascii="宋体" w:hAnsi="宋体" w:eastAsia="宋体" w:cs="Times New Roman"/>
          <w:kern w:val="0"/>
          <w:szCs w:val="24"/>
        </w:rPr>
      </w:pPr>
      <w:r>
        <w:rPr>
          <w:rFonts w:hint="eastAsia" w:ascii="宋体" w:hAnsi="宋体" w:eastAsia="宋体" w:cs="Times New Roman"/>
          <w:kern w:val="0"/>
          <w:szCs w:val="24"/>
        </w:rPr>
        <w:t>（5）因发包人违反合同约定造成暂停施工的违约责任：</w:t>
      </w:r>
      <w:r>
        <w:rPr>
          <w:rFonts w:hint="eastAsia" w:ascii="宋体" w:hAnsi="宋体" w:eastAsia="宋体" w:cs="Times New Roman"/>
          <w:szCs w:val="24"/>
          <w:u w:val="single"/>
        </w:rPr>
        <w:t>造成工期延误的顺延工期，并承担增加的造价及承包人的相应损失费用等。</w:t>
      </w:r>
    </w:p>
    <w:p w14:paraId="335C5B40">
      <w:pPr>
        <w:spacing w:line="360" w:lineRule="exact"/>
        <w:ind w:firstLine="420" w:firstLineChars="200"/>
        <w:rPr>
          <w:rFonts w:hint="eastAsia" w:ascii="宋体" w:hAnsi="宋体" w:eastAsia="宋体" w:cs="Times New Roman"/>
          <w:kern w:val="0"/>
          <w:szCs w:val="24"/>
        </w:rPr>
      </w:pPr>
      <w:r>
        <w:rPr>
          <w:rFonts w:hint="eastAsia" w:ascii="宋体" w:hAnsi="宋体" w:eastAsia="宋体" w:cs="Times New Roman"/>
          <w:kern w:val="0"/>
          <w:szCs w:val="24"/>
        </w:rPr>
        <w:t>（6）发包人无正当理由没有在约定期限内发出复工指示，导致承包人无法复工的违约责任：</w:t>
      </w:r>
      <w:r>
        <w:rPr>
          <w:rFonts w:hint="eastAsia" w:ascii="宋体" w:hAnsi="宋体" w:eastAsia="宋体" w:cs="Times New Roman"/>
          <w:szCs w:val="24"/>
          <w:u w:val="single"/>
        </w:rPr>
        <w:t>造成工期延误的顺延工期，并承担增加的造价及承包人的相应损失费用等。</w:t>
      </w:r>
    </w:p>
    <w:p w14:paraId="7925846F">
      <w:pPr>
        <w:spacing w:line="360" w:lineRule="exact"/>
        <w:ind w:firstLine="420" w:firstLineChars="200"/>
        <w:rPr>
          <w:rFonts w:hint="eastAsia" w:ascii="宋体" w:hAnsi="宋体" w:eastAsia="宋体" w:cs="Times New Roman"/>
          <w:kern w:val="0"/>
          <w:szCs w:val="24"/>
        </w:rPr>
      </w:pPr>
      <w:r>
        <w:rPr>
          <w:rFonts w:hint="eastAsia" w:ascii="宋体" w:hAnsi="宋体" w:eastAsia="宋体" w:cs="Times New Roman"/>
          <w:kern w:val="0"/>
          <w:szCs w:val="24"/>
        </w:rPr>
        <w:t>（7）其他：</w:t>
      </w:r>
      <w:r>
        <w:rPr>
          <w:rFonts w:hint="eastAsia" w:ascii="宋体" w:hAnsi="宋体" w:eastAsia="宋体" w:cs="Times New Roman"/>
          <w:kern w:val="0"/>
          <w:szCs w:val="24"/>
          <w:u w:val="single"/>
        </w:rPr>
        <w:t xml:space="preserve">                                          </w:t>
      </w:r>
      <w:r>
        <w:rPr>
          <w:rFonts w:hint="eastAsia" w:ascii="宋体" w:hAnsi="宋体" w:eastAsia="宋体" w:cs="Times New Roman"/>
          <w:kern w:val="0"/>
          <w:szCs w:val="24"/>
        </w:rPr>
        <w:t>。</w:t>
      </w:r>
    </w:p>
    <w:p w14:paraId="2F567C87">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16.1.3 </w:t>
      </w:r>
      <w:r>
        <w:rPr>
          <w:rFonts w:ascii="宋体" w:hAnsi="宋体" w:eastAsia="宋体" w:cs="Times New Roman"/>
          <w:szCs w:val="24"/>
        </w:rPr>
        <w:t>因发包人违约解除合同</w:t>
      </w:r>
    </w:p>
    <w:p w14:paraId="23F41798">
      <w:pPr>
        <w:autoSpaceDE w:val="0"/>
        <w:autoSpaceDN w:val="0"/>
        <w:adjustRightInd w:val="0"/>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承包人按</w:t>
      </w:r>
      <w:r>
        <w:rPr>
          <w:rFonts w:ascii="Times New Roman" w:hAnsi="Times New Roman" w:eastAsia="宋体" w:cs="Times New Roman"/>
          <w:kern w:val="0"/>
          <w:szCs w:val="24"/>
        </w:rPr>
        <w:t>16.1.1</w:t>
      </w:r>
      <w:r>
        <w:rPr>
          <w:rFonts w:ascii="宋体" w:hAnsi="宋体" w:eastAsia="宋体" w:cs="Times New Roman"/>
          <w:kern w:val="0"/>
          <w:szCs w:val="24"/>
        </w:rPr>
        <w:t>项</w:t>
      </w:r>
      <w:r>
        <w:rPr>
          <w:rFonts w:hint="eastAsia" w:ascii="宋体" w:hAnsi="宋体" w:eastAsia="宋体" w:cs="Times New Roman"/>
          <w:kern w:val="0"/>
          <w:szCs w:val="24"/>
        </w:rPr>
        <w:t>〔</w:t>
      </w:r>
      <w:r>
        <w:rPr>
          <w:rFonts w:ascii="宋体" w:hAnsi="宋体" w:eastAsia="宋体" w:cs="Times New Roman"/>
          <w:kern w:val="0"/>
          <w:szCs w:val="24"/>
        </w:rPr>
        <w:t>发包人违约的情形</w:t>
      </w:r>
      <w:r>
        <w:rPr>
          <w:rFonts w:hint="eastAsia" w:ascii="宋体" w:hAnsi="宋体" w:eastAsia="宋体" w:cs="Times New Roman"/>
          <w:kern w:val="0"/>
          <w:szCs w:val="24"/>
        </w:rPr>
        <w:t>〕</w:t>
      </w:r>
      <w:r>
        <w:rPr>
          <w:rFonts w:ascii="宋体" w:hAnsi="宋体" w:eastAsia="宋体" w:cs="Times New Roman"/>
          <w:kern w:val="0"/>
          <w:szCs w:val="24"/>
        </w:rPr>
        <w:t>约定暂停施工满</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60</w:t>
      </w:r>
      <w:r>
        <w:rPr>
          <w:rFonts w:ascii="Times New Roman" w:hAnsi="Times New Roman" w:eastAsia="宋体" w:cs="Times New Roman"/>
          <w:kern w:val="0"/>
          <w:szCs w:val="24"/>
          <w:u w:val="single"/>
        </w:rPr>
        <w:t xml:space="preserve">   </w:t>
      </w:r>
      <w:r>
        <w:rPr>
          <w:rFonts w:ascii="宋体" w:hAnsi="宋体" w:eastAsia="宋体" w:cs="Times New Roman"/>
          <w:kern w:val="0"/>
          <w:szCs w:val="24"/>
        </w:rPr>
        <w:t>天后发包人仍不纠正其违约行为并致使合同目的不能实现的，承包人有权解除合同。</w:t>
      </w:r>
    </w:p>
    <w:p w14:paraId="6639DFCF">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16.2 </w:t>
      </w:r>
      <w:r>
        <w:rPr>
          <w:rFonts w:ascii="黑体" w:hAnsi="黑体" w:eastAsia="黑体" w:cs="Times New Roman"/>
          <w:szCs w:val="24"/>
        </w:rPr>
        <w:t>承包人违约</w:t>
      </w:r>
    </w:p>
    <w:p w14:paraId="554BEDE0">
      <w:pPr>
        <w:spacing w:line="360" w:lineRule="exact"/>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 xml:space="preserve">16.2.1 </w:t>
      </w:r>
      <w:r>
        <w:rPr>
          <w:rFonts w:ascii="宋体" w:hAnsi="宋体" w:eastAsia="宋体" w:cs="Times New Roman"/>
          <w:kern w:val="0"/>
          <w:szCs w:val="24"/>
        </w:rPr>
        <w:t>承包人违约的情形</w:t>
      </w:r>
    </w:p>
    <w:p w14:paraId="5CF196DF">
      <w:pPr>
        <w:spacing w:line="360" w:lineRule="exact"/>
        <w:ind w:firstLine="420" w:firstLineChars="200"/>
        <w:rPr>
          <w:rFonts w:ascii="Times New Roman" w:hAnsi="Times New Roman" w:eastAsia="宋体" w:cs="Times New Roman"/>
          <w:kern w:val="0"/>
          <w:szCs w:val="24"/>
          <w:u w:val="single"/>
        </w:rPr>
      </w:pPr>
      <w:r>
        <w:rPr>
          <w:rFonts w:ascii="宋体" w:hAnsi="宋体" w:eastAsia="宋体" w:cs="Times New Roman"/>
          <w:kern w:val="0"/>
          <w:szCs w:val="24"/>
        </w:rPr>
        <w:t>承包人违约的其他情形：</w:t>
      </w:r>
    </w:p>
    <w:p w14:paraId="3B35C373">
      <w:pPr>
        <w:spacing w:line="360" w:lineRule="exact"/>
        <w:ind w:firstLine="420" w:firstLineChars="200"/>
        <w:rPr>
          <w:rFonts w:hint="eastAsia" w:ascii="仿宋_GB2312" w:hAnsi="宋体" w:eastAsia="仿宋_GB2312" w:cs="Times New Roman"/>
          <w:szCs w:val="24"/>
          <w:u w:val="single"/>
        </w:rPr>
      </w:pPr>
      <w:r>
        <w:rPr>
          <w:rFonts w:hint="eastAsia" w:ascii="宋体" w:hAnsi="宋体" w:eastAsia="宋体" w:cs="Times New Roman"/>
          <w:kern w:val="0"/>
          <w:szCs w:val="24"/>
        </w:rPr>
        <w:t>（</w:t>
      </w:r>
      <w:r>
        <w:rPr>
          <w:rFonts w:hint="eastAsia" w:ascii="仿宋_GB2312" w:hAnsi="宋体" w:eastAsia="宋体" w:cs="Times New Roman"/>
          <w:kern w:val="0"/>
          <w:szCs w:val="24"/>
        </w:rPr>
        <w:t>1</w:t>
      </w:r>
      <w:r>
        <w:rPr>
          <w:rFonts w:hint="eastAsia" w:ascii="宋体" w:hAnsi="宋体" w:eastAsia="宋体" w:cs="Times New Roman"/>
          <w:kern w:val="0"/>
          <w:szCs w:val="24"/>
          <w:u w:val="single"/>
        </w:rPr>
        <w:t>）</w:t>
      </w:r>
      <w:r>
        <w:rPr>
          <w:rFonts w:hint="eastAsia" w:ascii="宋体" w:hAnsi="宋体" w:eastAsia="宋体" w:cs="Times New Roman"/>
          <w:szCs w:val="24"/>
          <w:u w:val="single"/>
        </w:rPr>
        <w:t>机械设备、施工项目班子未按投标承诺及时到位；</w:t>
      </w:r>
    </w:p>
    <w:p w14:paraId="1897F5D6">
      <w:pPr>
        <w:spacing w:line="360" w:lineRule="exact"/>
        <w:ind w:firstLine="420" w:firstLineChars="200"/>
        <w:rPr>
          <w:rFonts w:hint="eastAsia" w:ascii="仿宋_GB2312" w:hAnsi="宋体" w:eastAsia="仿宋_GB2312" w:cs="Times New Roman"/>
          <w:szCs w:val="24"/>
          <w:u w:val="single"/>
        </w:rPr>
      </w:pPr>
      <w:r>
        <w:rPr>
          <w:rFonts w:hint="eastAsia" w:ascii="宋体" w:hAnsi="宋体" w:eastAsia="宋体" w:cs="Times New Roman"/>
          <w:szCs w:val="24"/>
        </w:rPr>
        <w:t>（</w:t>
      </w:r>
      <w:r>
        <w:rPr>
          <w:rFonts w:ascii="Times New Roman" w:hAnsi="Times New Roman" w:eastAsia="宋体" w:cs="Times New Roman"/>
          <w:szCs w:val="24"/>
        </w:rPr>
        <w:t>2</w:t>
      </w:r>
      <w:r>
        <w:rPr>
          <w:rFonts w:hint="eastAsia" w:ascii="宋体" w:hAnsi="宋体" w:eastAsia="宋体" w:cs="Times New Roman"/>
          <w:szCs w:val="24"/>
          <w:u w:val="single"/>
        </w:rPr>
        <w:t>）本工程在实施过程中，如承包人的施工队伍素质、力量、现场管理班子、现场安全文明施工不符合投标书的承诺，造成现场管理混乱、工程质量和进度达不到投标所承诺的要求；</w:t>
      </w:r>
    </w:p>
    <w:p w14:paraId="18BECB2A">
      <w:pPr>
        <w:spacing w:line="360" w:lineRule="exact"/>
        <w:ind w:firstLine="420" w:firstLineChars="200"/>
        <w:rPr>
          <w:rFonts w:ascii="Times New Roman" w:hAnsi="Times New Roman" w:eastAsia="宋体" w:cs="Times New Roman"/>
          <w:kern w:val="0"/>
          <w:szCs w:val="24"/>
        </w:rPr>
      </w:pPr>
      <w:r>
        <w:rPr>
          <w:rFonts w:hint="eastAsia" w:ascii="宋体" w:hAnsi="宋体" w:eastAsia="宋体" w:cs="Times New Roman"/>
          <w:szCs w:val="24"/>
        </w:rPr>
        <w:t>（</w:t>
      </w:r>
      <w:r>
        <w:rPr>
          <w:rFonts w:ascii="Times New Roman" w:hAnsi="Times New Roman" w:eastAsia="宋体" w:cs="Times New Roman"/>
          <w:szCs w:val="24"/>
        </w:rPr>
        <w:t>3</w:t>
      </w:r>
      <w:r>
        <w:rPr>
          <w:rFonts w:hint="eastAsia" w:ascii="宋体" w:hAnsi="宋体" w:eastAsia="宋体" w:cs="Times New Roman"/>
          <w:szCs w:val="24"/>
          <w:u w:val="single"/>
        </w:rPr>
        <w:t>）承包人允许其他人挂靠经营、私自转包</w:t>
      </w:r>
      <w:r>
        <w:rPr>
          <w:rFonts w:hint="eastAsia" w:ascii="宋体" w:hAnsi="宋体" w:eastAsia="宋体" w:cs="Times New Roman"/>
          <w:kern w:val="0"/>
          <w:szCs w:val="24"/>
        </w:rPr>
        <w:t>；</w:t>
      </w:r>
    </w:p>
    <w:p w14:paraId="6A84DB7A">
      <w:pPr>
        <w:spacing w:line="360" w:lineRule="exact"/>
        <w:ind w:firstLine="420" w:firstLineChars="200"/>
        <w:rPr>
          <w:rFonts w:hint="eastAsia" w:ascii="宋体" w:hAnsi="宋体" w:eastAsia="宋体" w:cs="Times New Roman"/>
          <w:kern w:val="0"/>
          <w:szCs w:val="24"/>
          <w:u w:val="single"/>
        </w:rPr>
      </w:pPr>
      <w:r>
        <w:rPr>
          <w:rFonts w:hint="eastAsia" w:ascii="宋体" w:hAnsi="宋体" w:eastAsia="宋体" w:cs="Times New Roman"/>
          <w:kern w:val="0"/>
          <w:szCs w:val="24"/>
        </w:rPr>
        <w:t>（4</w:t>
      </w:r>
      <w:r>
        <w:rPr>
          <w:rFonts w:hint="eastAsia" w:ascii="宋体" w:hAnsi="宋体" w:eastAsia="宋体" w:cs="Times New Roman"/>
          <w:kern w:val="0"/>
          <w:szCs w:val="24"/>
          <w:u w:val="single"/>
        </w:rPr>
        <w:t>）承包人未达到投标时所承诺的诚信与技术标准。</w:t>
      </w:r>
    </w:p>
    <w:p w14:paraId="05E4D3A1">
      <w:pPr>
        <w:spacing w:after="120"/>
        <w:ind w:firstLine="420" w:firstLineChars="200"/>
        <w:rPr>
          <w:rFonts w:hint="eastAsia" w:ascii="仿宋_GB2312" w:hAnsi="宋体" w:eastAsia="宋体" w:cs="Times New Roman"/>
          <w:szCs w:val="24"/>
          <w:u w:val="single"/>
        </w:rPr>
      </w:pPr>
      <w:r>
        <w:rPr>
          <w:rFonts w:hint="eastAsia" w:ascii="宋体" w:hAnsi="宋体" w:eastAsia="宋体" w:cs="Times New Roman"/>
          <w:kern w:val="0"/>
          <w:szCs w:val="24"/>
        </w:rPr>
        <w:t>（5）</w:t>
      </w:r>
      <w:r>
        <w:rPr>
          <w:rFonts w:hint="eastAsia" w:ascii="仿宋_GB2312" w:hAnsi="宋体" w:eastAsia="宋体" w:cs="Times New Roman"/>
          <w:szCs w:val="24"/>
          <w:u w:val="single"/>
        </w:rPr>
        <w:t>承包人在发包人校内或校园周边弃置建筑垃圾（受承包人委托的人弃置建筑垃圾的，视为承包人弃置）。</w:t>
      </w:r>
    </w:p>
    <w:p w14:paraId="36978814">
      <w:pPr>
        <w:rPr>
          <w:rFonts w:ascii="Times New Roman" w:hAnsi="Times New Roman" w:eastAsia="宋体" w:cs="Times New Roman"/>
          <w:kern w:val="0"/>
          <w:szCs w:val="24"/>
        </w:rPr>
      </w:pPr>
      <w:r>
        <w:rPr>
          <w:rFonts w:hint="eastAsia" w:ascii="Tahoma" w:hAnsi="Tahoma" w:eastAsia="宋体" w:cs="Times New Roman"/>
          <w:szCs w:val="24"/>
        </w:rPr>
        <w:t xml:space="preserve">    </w:t>
      </w:r>
      <w:r>
        <w:rPr>
          <w:rFonts w:ascii="Times New Roman" w:hAnsi="Times New Roman" w:eastAsia="宋体" w:cs="Times New Roman"/>
          <w:kern w:val="0"/>
          <w:szCs w:val="24"/>
        </w:rPr>
        <w:t>16.2.2</w:t>
      </w:r>
      <w:r>
        <w:rPr>
          <w:rFonts w:ascii="宋体" w:hAnsi="宋体" w:eastAsia="宋体" w:cs="Times New Roman"/>
          <w:kern w:val="0"/>
          <w:szCs w:val="24"/>
        </w:rPr>
        <w:t>承包人违约的责任</w:t>
      </w:r>
    </w:p>
    <w:p w14:paraId="6E4C30C5">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承包人违约责任的承担方式和计算方法：</w:t>
      </w:r>
    </w:p>
    <w:p w14:paraId="7BF7D6AC">
      <w:pPr>
        <w:spacing w:line="360" w:lineRule="exact"/>
        <w:ind w:firstLine="420" w:firstLineChars="200"/>
        <w:rPr>
          <w:rFonts w:hint="eastAsia" w:ascii="仿宋_GB2312" w:hAnsi="宋体" w:eastAsia="仿宋_GB2312" w:cs="Times New Roman"/>
          <w:szCs w:val="24"/>
          <w:u w:val="single"/>
        </w:rPr>
      </w:pPr>
      <w:r>
        <w:rPr>
          <w:rFonts w:hint="eastAsia" w:ascii="宋体" w:hAnsi="宋体" w:eastAsia="宋体" w:cs="Times New Roman"/>
          <w:kern w:val="0"/>
          <w:szCs w:val="24"/>
        </w:rPr>
        <w:t>（1）</w:t>
      </w:r>
      <w:r>
        <w:rPr>
          <w:rFonts w:hint="eastAsia" w:ascii="宋体" w:hAnsi="宋体" w:eastAsia="宋体" w:cs="Times New Roman"/>
          <w:kern w:val="0"/>
          <w:szCs w:val="24"/>
          <w:u w:val="single"/>
        </w:rPr>
        <w:t>机械设备未按投标承诺到位，每项扣除结算价款的2%；</w:t>
      </w:r>
    </w:p>
    <w:p w14:paraId="6DF36DE8">
      <w:pPr>
        <w:spacing w:line="360" w:lineRule="exact"/>
        <w:ind w:firstLine="420" w:firstLineChars="200"/>
        <w:rPr>
          <w:rFonts w:hint="eastAsia" w:ascii="仿宋_GB2312" w:hAnsi="宋体" w:eastAsia="仿宋_GB2312" w:cs="Times New Roman"/>
          <w:szCs w:val="24"/>
          <w:u w:val="single"/>
        </w:rPr>
      </w:pPr>
      <w:r>
        <w:rPr>
          <w:rFonts w:hint="eastAsia" w:ascii="宋体" w:hAnsi="宋体" w:eastAsia="宋体" w:cs="Times New Roman"/>
          <w:kern w:val="0"/>
          <w:szCs w:val="24"/>
        </w:rPr>
        <w:t>（2）</w:t>
      </w:r>
      <w:r>
        <w:rPr>
          <w:rFonts w:hint="eastAsia" w:ascii="宋体" w:hAnsi="宋体" w:eastAsia="宋体" w:cs="Times New Roman"/>
          <w:szCs w:val="24"/>
          <w:u w:val="single"/>
        </w:rPr>
        <w:t>现场安全文明施工不符合投标书承诺，扣减相应安全文明施工费用；</w:t>
      </w:r>
      <w:r>
        <w:rPr>
          <w:rFonts w:hint="eastAsia" w:ascii="宋体" w:hAnsi="宋体" w:eastAsia="宋体" w:cs="Times New Roman"/>
          <w:kern w:val="0"/>
          <w:szCs w:val="24"/>
          <w:u w:val="single"/>
        </w:rPr>
        <w:t>承包人原因造成现场管理混乱、</w:t>
      </w:r>
      <w:r>
        <w:rPr>
          <w:rFonts w:hint="eastAsia" w:ascii="宋体" w:hAnsi="宋体" w:eastAsia="宋体" w:cs="Times New Roman"/>
          <w:szCs w:val="24"/>
          <w:u w:val="single"/>
        </w:rPr>
        <w:t>工程质量和进度达不到投标承诺的要求，发包人有权要求承包人调整充实施工力量、更换项目班子，及至解除施工合同，并赔偿发包人损失。</w:t>
      </w:r>
    </w:p>
    <w:p w14:paraId="2ECC4D00">
      <w:pPr>
        <w:spacing w:line="360" w:lineRule="exact"/>
        <w:ind w:firstLine="420" w:firstLineChars="200"/>
        <w:rPr>
          <w:rFonts w:hint="eastAsia" w:ascii="仿宋_GB2312" w:hAnsi="宋体" w:eastAsia="仿宋_GB2312" w:cs="Times New Roman"/>
          <w:szCs w:val="24"/>
          <w:u w:val="single"/>
        </w:rPr>
      </w:pPr>
      <w:r>
        <w:rPr>
          <w:rFonts w:hint="eastAsia" w:ascii="宋体" w:hAnsi="宋体" w:eastAsia="宋体" w:cs="Times New Roman"/>
          <w:kern w:val="0"/>
          <w:szCs w:val="24"/>
        </w:rPr>
        <w:t>（3）</w:t>
      </w:r>
      <w:r>
        <w:rPr>
          <w:rFonts w:hint="eastAsia" w:ascii="宋体" w:hAnsi="宋体" w:eastAsia="宋体" w:cs="Times New Roman"/>
          <w:szCs w:val="24"/>
          <w:u w:val="single"/>
        </w:rPr>
        <w:t>发现承包人允许其他人挂靠经营、私自转包，承包人赔偿发包人损失，并责令退出工地。</w:t>
      </w:r>
    </w:p>
    <w:p w14:paraId="6EB2CC3E">
      <w:pPr>
        <w:spacing w:line="360" w:lineRule="exact"/>
        <w:ind w:firstLine="420" w:firstLineChars="200"/>
        <w:rPr>
          <w:rFonts w:hint="eastAsia" w:ascii="仿宋_GB2312" w:hAnsi="宋体" w:eastAsia="仿宋_GB2312" w:cs="Times New Roman"/>
          <w:szCs w:val="24"/>
          <w:u w:val="single"/>
        </w:rPr>
      </w:pPr>
      <w:r>
        <w:rPr>
          <w:rFonts w:hint="eastAsia" w:ascii="宋体" w:hAnsi="宋体" w:eastAsia="宋体" w:cs="Times New Roman"/>
          <w:kern w:val="0"/>
          <w:szCs w:val="24"/>
        </w:rPr>
        <w:t>（4）</w:t>
      </w:r>
      <w:r>
        <w:rPr>
          <w:rFonts w:hint="eastAsia" w:ascii="宋体" w:hAnsi="宋体" w:eastAsia="宋体" w:cs="Times New Roman"/>
          <w:kern w:val="0"/>
          <w:szCs w:val="24"/>
          <w:u w:val="single"/>
        </w:rPr>
        <w:t>未达到投标所承诺的诚信与技术标准，按每一项扣减5000元。</w:t>
      </w:r>
    </w:p>
    <w:p w14:paraId="5C525F28">
      <w:pPr>
        <w:spacing w:line="360" w:lineRule="exact"/>
        <w:ind w:firstLine="420" w:firstLineChars="200"/>
        <w:rPr>
          <w:rFonts w:ascii="仿宋_GB2312" w:hAnsi="Times New Roman" w:eastAsia="仿宋_GB2312" w:cs="Times New Roman"/>
          <w:szCs w:val="24"/>
          <w:u w:val="single"/>
        </w:rPr>
      </w:pPr>
      <w:r>
        <w:rPr>
          <w:rFonts w:hint="eastAsia" w:ascii="宋体" w:hAnsi="宋体" w:eastAsia="宋体" w:cs="Times New Roman"/>
          <w:szCs w:val="24"/>
        </w:rPr>
        <w:t>（</w:t>
      </w:r>
      <w:r>
        <w:rPr>
          <w:rFonts w:ascii="Times New Roman" w:hAnsi="Times New Roman" w:eastAsia="宋体" w:cs="Times New Roman"/>
          <w:szCs w:val="24"/>
        </w:rPr>
        <w:t>5</w:t>
      </w:r>
      <w:r>
        <w:rPr>
          <w:rFonts w:hint="eastAsia" w:ascii="宋体" w:hAnsi="宋体" w:eastAsia="宋体" w:cs="Times New Roman"/>
          <w:szCs w:val="24"/>
        </w:rPr>
        <w:t>）</w:t>
      </w:r>
      <w:r>
        <w:rPr>
          <w:rFonts w:hint="eastAsia" w:ascii="宋体" w:hAnsi="宋体" w:eastAsia="宋体" w:cs="Times New Roman"/>
          <w:szCs w:val="24"/>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30%〕以上时，可解除施工合同。</w:t>
      </w:r>
    </w:p>
    <w:p w14:paraId="5F196C74">
      <w:pPr>
        <w:spacing w:line="360" w:lineRule="exact"/>
        <w:ind w:firstLine="420" w:firstLineChars="200"/>
        <w:rPr>
          <w:rFonts w:ascii="仿宋_GB2312" w:hAnsi="Times New Roman" w:eastAsia="仿宋_GB2312" w:cs="Times New Roman"/>
          <w:kern w:val="0"/>
          <w:szCs w:val="24"/>
          <w:u w:val="single"/>
        </w:rPr>
      </w:pPr>
      <w:r>
        <w:rPr>
          <w:rFonts w:hint="eastAsia" w:ascii="宋体" w:hAnsi="宋体" w:eastAsia="宋体" w:cs="Times New Roman"/>
          <w:szCs w:val="24"/>
        </w:rPr>
        <w:t>（</w:t>
      </w:r>
      <w:r>
        <w:rPr>
          <w:rFonts w:ascii="Times New Roman" w:hAnsi="Times New Roman" w:eastAsia="宋体" w:cs="Times New Roman"/>
          <w:szCs w:val="24"/>
        </w:rPr>
        <w:t>6</w:t>
      </w:r>
      <w:r>
        <w:rPr>
          <w:rFonts w:hint="eastAsia" w:ascii="宋体" w:hAnsi="宋体" w:eastAsia="宋体" w:cs="Times New Roman"/>
          <w:szCs w:val="24"/>
        </w:rPr>
        <w:t>）</w:t>
      </w:r>
      <w:r>
        <w:rPr>
          <w:rFonts w:hint="eastAsia" w:ascii="宋体" w:hAnsi="宋体" w:eastAsia="宋体" w:cs="Times New Roman"/>
          <w:szCs w:val="24"/>
          <w:u w:val="single"/>
        </w:rPr>
        <w:t>承包人无法继续履行、明确表示不履行或实质上已停止履行合同，发包人可通知承包人全部解除合同。</w:t>
      </w:r>
    </w:p>
    <w:p w14:paraId="6D627FB2">
      <w:pPr>
        <w:spacing w:line="360" w:lineRule="exact"/>
        <w:ind w:firstLine="420" w:firstLineChars="200"/>
        <w:rPr>
          <w:rFonts w:hint="eastAsia" w:ascii="仿宋_GB2312" w:hAnsi="宋体" w:eastAsia="宋体" w:cs="Times New Roman"/>
          <w:szCs w:val="24"/>
          <w:u w:val="single"/>
        </w:rPr>
      </w:pPr>
      <w:r>
        <w:rPr>
          <w:rFonts w:hint="eastAsia" w:ascii="宋体" w:hAnsi="宋体" w:eastAsia="宋体" w:cs="Times New Roman"/>
          <w:szCs w:val="24"/>
        </w:rPr>
        <w:t>（7）</w:t>
      </w:r>
      <w:r>
        <w:rPr>
          <w:rFonts w:hint="eastAsia" w:ascii="宋体" w:hAnsi="宋体" w:eastAsia="宋体" w:cs="Times New Roman"/>
          <w:szCs w:val="24"/>
          <w:u w:val="single"/>
        </w:rPr>
        <w:t>承包人</w:t>
      </w:r>
      <w:r>
        <w:rPr>
          <w:rFonts w:hint="eastAsia" w:ascii="仿宋_GB2312" w:hAnsi="宋体" w:eastAsia="宋体" w:cs="Times New Roman"/>
          <w:szCs w:val="24"/>
          <w:u w:val="single"/>
        </w:rPr>
        <w:t>在发包人校内或校园周边弃置建筑垃圾（受承包人委托的人弃置建筑垃圾的，视为承包人弃置），每弃置1次承包人应向发包人支付违约金1000元。在支付违约金之外，承包人还应及时彻底清理弃置的建筑垃圾，发包人也有权直接清理或委托他人清理，相关费用由承包人承担。发包人有权从工程款中直接扣除违约金和垃圾清运费用。</w:t>
      </w:r>
    </w:p>
    <w:p w14:paraId="76C9BC88">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16.2.3 </w:t>
      </w:r>
      <w:r>
        <w:rPr>
          <w:rFonts w:ascii="宋体" w:hAnsi="宋体" w:eastAsia="宋体" w:cs="Times New Roman"/>
          <w:szCs w:val="24"/>
        </w:rPr>
        <w:t>因承包人违约解除合同</w:t>
      </w:r>
    </w:p>
    <w:p w14:paraId="3452AAC3">
      <w:pPr>
        <w:autoSpaceDE w:val="0"/>
        <w:autoSpaceDN w:val="0"/>
        <w:spacing w:line="360" w:lineRule="exact"/>
        <w:ind w:firstLine="420" w:firstLineChars="200"/>
        <w:rPr>
          <w:rFonts w:ascii="Times New Roman" w:hAnsi="Times New Roman" w:eastAsia="宋体" w:cs="Times New Roman"/>
          <w:kern w:val="0"/>
          <w:szCs w:val="24"/>
          <w:u w:val="single"/>
        </w:rPr>
      </w:pPr>
      <w:r>
        <w:rPr>
          <w:rFonts w:ascii="宋体" w:hAnsi="宋体" w:eastAsia="宋体" w:cs="Times New Roman"/>
          <w:kern w:val="0"/>
          <w:szCs w:val="24"/>
        </w:rPr>
        <w:t>关于</w:t>
      </w:r>
      <w:r>
        <w:rPr>
          <w:rFonts w:hint="eastAsia" w:ascii="宋体" w:hAnsi="宋体" w:eastAsia="宋体" w:cs="Times New Roman"/>
          <w:kern w:val="0"/>
          <w:szCs w:val="24"/>
        </w:rPr>
        <w:t>因</w:t>
      </w:r>
      <w:r>
        <w:rPr>
          <w:rFonts w:ascii="宋体" w:hAnsi="宋体" w:eastAsia="宋体" w:cs="Times New Roman"/>
          <w:kern w:val="0"/>
          <w:szCs w:val="24"/>
        </w:rPr>
        <w:t>承包人违约解除合同的特别约定：</w:t>
      </w:r>
      <w:r>
        <w:rPr>
          <w:rFonts w:hint="eastAsia" w:ascii="宋体" w:hAnsi="宋体" w:eastAsia="宋体" w:cs="Times New Roman"/>
          <w:kern w:val="0"/>
          <w:szCs w:val="24"/>
          <w:u w:val="single"/>
        </w:rPr>
        <w:t>因承包人原因造成本合同无法履行时，发包人有权解除或终止本合同，</w:t>
      </w:r>
      <w:r>
        <w:rPr>
          <w:rFonts w:hint="eastAsia" w:ascii="Times New Roman" w:hAnsi="Times New Roman" w:eastAsia="宋体" w:cs="Times New Roman"/>
          <w:kern w:val="0"/>
          <w:szCs w:val="24"/>
          <w:u w:val="single"/>
        </w:rPr>
        <w:t>承包人按合同价的10%向发包人支付违约金，发包人不再支付工程款余款。</w:t>
      </w:r>
    </w:p>
    <w:p w14:paraId="626DD055">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kern w:val="0"/>
          <w:szCs w:val="24"/>
        </w:rPr>
        <w:t>发包人</w:t>
      </w:r>
      <w:r>
        <w:rPr>
          <w:rFonts w:hint="eastAsia" w:ascii="宋体" w:hAnsi="宋体" w:eastAsia="宋体" w:cs="Times New Roman"/>
          <w:kern w:val="0"/>
          <w:szCs w:val="24"/>
        </w:rPr>
        <w:t>继续</w:t>
      </w:r>
      <w:r>
        <w:rPr>
          <w:rFonts w:ascii="宋体" w:hAnsi="宋体" w:eastAsia="宋体" w:cs="Times New Roman"/>
          <w:kern w:val="0"/>
          <w:szCs w:val="24"/>
        </w:rPr>
        <w:t>使用承包人在施工现场的材料、设备、临时工程、承包人文件和由承包人或以其名义编制的其他文件</w:t>
      </w:r>
      <w:r>
        <w:rPr>
          <w:rFonts w:hint="eastAsia" w:ascii="宋体" w:hAnsi="宋体" w:eastAsia="宋体" w:cs="Times New Roman"/>
          <w:kern w:val="0"/>
          <w:szCs w:val="24"/>
        </w:rPr>
        <w:t>的费用承担方式</w:t>
      </w:r>
      <w:r>
        <w:rPr>
          <w:rFonts w:ascii="宋体" w:hAnsi="宋体" w:eastAsia="宋体" w:cs="Times New Roman"/>
          <w:kern w:val="0"/>
          <w:szCs w:val="24"/>
        </w:rPr>
        <w:t>：</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使用施工现场的材料、设备按实结算，使用施工机械、器具按租赁费结算，临时工程折算成费用按完成造价比例计算，无偿使用承包人为本工程施工所编制的相应文件等</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rPr>
        <w:t>。</w:t>
      </w:r>
    </w:p>
    <w:p w14:paraId="29DE3063">
      <w:pPr>
        <w:spacing w:line="360" w:lineRule="exact"/>
        <w:ind w:firstLine="420" w:firstLineChars="200"/>
        <w:rPr>
          <w:rFonts w:hint="eastAsia" w:ascii="宋体" w:hAnsi="宋体" w:eastAsia="宋体" w:cs="Times New Roman"/>
          <w:kern w:val="0"/>
          <w:szCs w:val="24"/>
        </w:rPr>
      </w:pPr>
      <w:r>
        <w:rPr>
          <w:rFonts w:hint="eastAsia" w:ascii="宋体" w:hAnsi="宋体" w:eastAsia="宋体" w:cs="Times New Roman"/>
          <w:kern w:val="0"/>
          <w:szCs w:val="24"/>
        </w:rPr>
        <w:t>16.2.4 因承包人违约解除合同后的处理</w:t>
      </w:r>
      <w:bookmarkStart w:id="571" w:name="_Toc351203649"/>
      <w:bookmarkEnd w:id="571"/>
    </w:p>
    <w:p w14:paraId="4BF301D5">
      <w:pPr>
        <w:spacing w:line="360" w:lineRule="exact"/>
        <w:ind w:firstLine="420" w:firstLineChars="200"/>
        <w:rPr>
          <w:rFonts w:ascii="Times New Roman" w:hAnsi="Times New Roman" w:eastAsia="宋体" w:cs="Times New Roman"/>
          <w:kern w:val="0"/>
          <w:szCs w:val="24"/>
        </w:rPr>
      </w:pPr>
      <w:r>
        <w:rPr>
          <w:rFonts w:hint="eastAsia" w:ascii="Times New Roman" w:hAnsi="Times New Roman" w:eastAsia="宋体" w:cs="Times New Roman"/>
          <w:kern w:val="0"/>
          <w:szCs w:val="24"/>
          <w:u w:val="single"/>
        </w:rPr>
        <w:t>如造成发包人的损失超过违约金的，承包人应另予赔偿。</w:t>
      </w:r>
    </w:p>
    <w:p w14:paraId="449A273D">
      <w:pPr>
        <w:keepNext/>
        <w:keepLines/>
        <w:spacing w:line="360" w:lineRule="exact"/>
        <w:rPr>
          <w:rFonts w:ascii="Times New Roman" w:hAnsi="Times New Roman" w:eastAsia="黑体" w:cs="Times New Roman"/>
          <w:szCs w:val="21"/>
        </w:rPr>
      </w:pPr>
      <w:bookmarkStart w:id="572" w:name="_Toc351203650"/>
      <w:bookmarkEnd w:id="572"/>
      <w:r>
        <w:rPr>
          <w:rFonts w:ascii="Times New Roman" w:hAnsi="Times New Roman" w:eastAsia="黑体" w:cs="Times New Roman"/>
          <w:szCs w:val="21"/>
        </w:rPr>
        <w:t xml:space="preserve">17. </w:t>
      </w:r>
      <w:r>
        <w:rPr>
          <w:rFonts w:hint="eastAsia" w:ascii="黑体" w:hAnsi="黑体" w:eastAsia="黑体" w:cs="Times New Roman"/>
          <w:szCs w:val="21"/>
        </w:rPr>
        <w:t>不可抗力</w:t>
      </w:r>
      <w:r>
        <w:rPr>
          <w:rFonts w:ascii="Times New Roman" w:hAnsi="Times New Roman" w:eastAsia="黑体" w:cs="Times New Roman"/>
          <w:szCs w:val="21"/>
        </w:rPr>
        <w:t xml:space="preserve"> </w:t>
      </w:r>
    </w:p>
    <w:p w14:paraId="68E02759">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17.1 </w:t>
      </w:r>
      <w:r>
        <w:rPr>
          <w:rFonts w:hint="eastAsia" w:ascii="黑体" w:hAnsi="黑体" w:eastAsia="黑体" w:cs="Times New Roman"/>
          <w:szCs w:val="24"/>
        </w:rPr>
        <w:t>不可抗力的确认</w:t>
      </w:r>
    </w:p>
    <w:p w14:paraId="7A527984">
      <w:pPr>
        <w:spacing w:line="360" w:lineRule="exact"/>
        <w:ind w:firstLine="420" w:firstLineChars="200"/>
        <w:rPr>
          <w:rFonts w:hint="eastAsia" w:ascii="宋体" w:hAnsi="宋体" w:eastAsia="宋体" w:cs="Times New Roman"/>
          <w:kern w:val="0"/>
          <w:szCs w:val="24"/>
        </w:rPr>
      </w:pPr>
      <w:r>
        <w:rPr>
          <w:rFonts w:hint="eastAsia" w:ascii="宋体" w:hAnsi="宋体" w:eastAsia="宋体" w:cs="Times New Roman"/>
          <w:szCs w:val="24"/>
        </w:rPr>
        <w:t>除通用合同条款约定的不可抗力事件之外，视为不可抗力的其他情形：</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10级（不含10级）以上台风、10年一遇洪水、暴风雪、干旱，罢工、政府禁令</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rPr>
        <w:t>。</w:t>
      </w:r>
    </w:p>
    <w:p w14:paraId="490CA447">
      <w:pPr>
        <w:spacing w:line="360" w:lineRule="exact"/>
        <w:ind w:firstLine="420" w:firstLineChars="200"/>
        <w:rPr>
          <w:rFonts w:hint="eastAsia" w:ascii="宋体" w:hAnsi="宋体" w:eastAsia="宋体" w:cs="Times New Roman"/>
          <w:kern w:val="0"/>
          <w:szCs w:val="24"/>
        </w:rPr>
      </w:pPr>
      <w:r>
        <w:rPr>
          <w:rFonts w:hint="eastAsia" w:ascii="黑体" w:hAnsi="黑体" w:eastAsia="黑体" w:cs="Times New Roman"/>
          <w:szCs w:val="24"/>
        </w:rPr>
        <w:t xml:space="preserve">17.2 </w:t>
      </w:r>
      <w:r>
        <w:rPr>
          <w:rFonts w:hint="eastAsia" w:ascii="宋体" w:hAnsi="宋体" w:eastAsia="宋体" w:cs="Times New Roman"/>
          <w:kern w:val="0"/>
          <w:szCs w:val="24"/>
        </w:rPr>
        <w:t>不可抗力的通知</w:t>
      </w:r>
    </w:p>
    <w:p w14:paraId="05072438">
      <w:pPr>
        <w:spacing w:line="360" w:lineRule="exact"/>
        <w:ind w:firstLine="420" w:firstLineChars="200"/>
        <w:rPr>
          <w:rFonts w:hint="eastAsia" w:ascii="宋体" w:hAnsi="宋体" w:eastAsia="宋体" w:cs="Times New Roman"/>
          <w:kern w:val="0"/>
          <w:szCs w:val="24"/>
          <w:u w:val="single"/>
        </w:rPr>
      </w:pPr>
      <w:r>
        <w:rPr>
          <w:rFonts w:hint="eastAsia" w:ascii="宋体" w:hAnsi="宋体" w:eastAsia="宋体" w:cs="Times New Roman"/>
          <w:kern w:val="0"/>
          <w:szCs w:val="24"/>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E052572">
      <w:pPr>
        <w:spacing w:line="360" w:lineRule="exact"/>
        <w:ind w:firstLine="420" w:firstLineChars="200"/>
        <w:rPr>
          <w:rFonts w:hint="eastAsia" w:ascii="宋体" w:hAnsi="宋体" w:eastAsia="宋体" w:cs="Times New Roman"/>
          <w:kern w:val="0"/>
          <w:szCs w:val="24"/>
        </w:rPr>
      </w:pPr>
      <w:r>
        <w:rPr>
          <w:rFonts w:hint="eastAsia" w:ascii="黑体" w:hAnsi="黑体" w:eastAsia="黑体" w:cs="Times New Roman"/>
          <w:szCs w:val="24"/>
        </w:rPr>
        <w:t xml:space="preserve">17.3 </w:t>
      </w:r>
      <w:r>
        <w:rPr>
          <w:rFonts w:hint="eastAsia" w:ascii="宋体" w:hAnsi="宋体" w:eastAsia="宋体" w:cs="Times New Roman"/>
          <w:kern w:val="0"/>
          <w:szCs w:val="24"/>
        </w:rPr>
        <w:t>不可抗力后果的承担</w:t>
      </w:r>
    </w:p>
    <w:p w14:paraId="267A93F5">
      <w:pPr>
        <w:spacing w:line="360" w:lineRule="exact"/>
        <w:ind w:firstLine="420" w:firstLineChars="200"/>
        <w:rPr>
          <w:rFonts w:hint="eastAsia" w:ascii="宋体" w:hAnsi="宋体" w:eastAsia="宋体" w:cs="Times New Roman"/>
          <w:kern w:val="0"/>
          <w:szCs w:val="24"/>
        </w:rPr>
      </w:pPr>
      <w:r>
        <w:rPr>
          <w:rFonts w:hint="eastAsia" w:ascii="宋体" w:hAnsi="宋体" w:eastAsia="宋体" w:cs="Times New Roman"/>
          <w:kern w:val="0"/>
          <w:szCs w:val="24"/>
          <w:u w:val="single"/>
        </w:rPr>
        <w:t>按通用条款。</w:t>
      </w:r>
    </w:p>
    <w:p w14:paraId="478AD620">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17.4 </w:t>
      </w:r>
      <w:r>
        <w:rPr>
          <w:rFonts w:hint="eastAsia" w:ascii="黑体" w:hAnsi="黑体" w:eastAsia="黑体" w:cs="Times New Roman"/>
          <w:szCs w:val="24"/>
        </w:rPr>
        <w:t>因不可抗力解除合同</w:t>
      </w:r>
    </w:p>
    <w:p w14:paraId="34456557">
      <w:pPr>
        <w:spacing w:line="360" w:lineRule="exact"/>
        <w:ind w:firstLine="420" w:firstLineChars="200"/>
        <w:rPr>
          <w:rFonts w:hint="eastAsia" w:ascii="宋体" w:hAnsi="宋体" w:eastAsia="宋体" w:cs="Times New Roman"/>
          <w:szCs w:val="24"/>
        </w:rPr>
      </w:pPr>
      <w:r>
        <w:rPr>
          <w:rFonts w:hint="eastAsia" w:ascii="宋体" w:hAnsi="宋体" w:eastAsia="宋体" w:cs="Times New Roman"/>
          <w:szCs w:val="24"/>
        </w:rPr>
        <w:t>合同解除后，发包人应在商定或确定发包人应支付款项后</w:t>
      </w:r>
      <w:r>
        <w:rPr>
          <w:rFonts w:hint="eastAsia" w:ascii="宋体" w:hAnsi="宋体" w:eastAsia="宋体" w:cs="Times New Roman"/>
          <w:szCs w:val="24"/>
          <w:u w:val="single"/>
        </w:rPr>
        <w:t xml:space="preserve"> 90  </w:t>
      </w:r>
      <w:r>
        <w:rPr>
          <w:rFonts w:hint="eastAsia" w:ascii="宋体" w:hAnsi="宋体" w:eastAsia="宋体" w:cs="Times New Roman"/>
          <w:szCs w:val="24"/>
        </w:rPr>
        <w:t>天内完成款项的支付。</w:t>
      </w:r>
    </w:p>
    <w:p w14:paraId="654D7AAB">
      <w:pPr>
        <w:keepNext/>
        <w:keepLines/>
        <w:spacing w:line="360" w:lineRule="exact"/>
        <w:rPr>
          <w:rFonts w:ascii="Times New Roman" w:hAnsi="Times New Roman" w:eastAsia="黑体" w:cs="Times New Roman"/>
          <w:szCs w:val="21"/>
        </w:rPr>
      </w:pPr>
      <w:r>
        <w:rPr>
          <w:rFonts w:ascii="Times New Roman" w:hAnsi="Times New Roman" w:eastAsia="黑体" w:cs="Times New Roman"/>
          <w:szCs w:val="21"/>
        </w:rPr>
        <w:t xml:space="preserve">18. </w:t>
      </w:r>
      <w:r>
        <w:rPr>
          <w:rFonts w:ascii="黑体" w:hAnsi="黑体" w:eastAsia="黑体" w:cs="Times New Roman"/>
          <w:szCs w:val="21"/>
        </w:rPr>
        <w:t>保险</w:t>
      </w:r>
    </w:p>
    <w:p w14:paraId="6867D792">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18.1 </w:t>
      </w:r>
      <w:r>
        <w:rPr>
          <w:rFonts w:ascii="黑体" w:hAnsi="黑体" w:eastAsia="黑体" w:cs="Times New Roman"/>
          <w:szCs w:val="24"/>
        </w:rPr>
        <w:t>工程保险</w:t>
      </w:r>
    </w:p>
    <w:p w14:paraId="72C5F9FE">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关于工程保险的特别约定：</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ascii="宋体" w:hAnsi="宋体" w:eastAsia="宋体" w:cs="Times New Roman"/>
          <w:kern w:val="0"/>
          <w:szCs w:val="24"/>
        </w:rPr>
        <w:t>。</w:t>
      </w:r>
    </w:p>
    <w:p w14:paraId="30146C14">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18.3 </w:t>
      </w:r>
      <w:r>
        <w:rPr>
          <w:rFonts w:ascii="黑体" w:hAnsi="黑体" w:eastAsia="黑体" w:cs="Times New Roman"/>
          <w:szCs w:val="24"/>
        </w:rPr>
        <w:t>其他保险</w:t>
      </w:r>
    </w:p>
    <w:p w14:paraId="1A82F6D6">
      <w:pPr>
        <w:spacing w:line="360" w:lineRule="exact"/>
        <w:ind w:firstLine="420" w:firstLineChars="200"/>
        <w:rPr>
          <w:rFonts w:ascii="Times New Roman" w:hAnsi="Times New Roman" w:eastAsia="宋体" w:cs="Times New Roman"/>
          <w:kern w:val="0"/>
          <w:szCs w:val="24"/>
        </w:rPr>
      </w:pPr>
      <w:r>
        <w:rPr>
          <w:rFonts w:ascii="宋体" w:hAnsi="宋体" w:eastAsia="宋体" w:cs="Times New Roman"/>
          <w:szCs w:val="24"/>
        </w:rPr>
        <w:t>关于其他保险的约定：</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kern w:val="0"/>
          <w:szCs w:val="24"/>
          <w:u w:val="single"/>
        </w:rPr>
        <w:t xml:space="preserve">     </w:t>
      </w:r>
      <w:r>
        <w:rPr>
          <w:rFonts w:ascii="宋体" w:hAnsi="宋体" w:eastAsia="宋体" w:cs="Times New Roman"/>
          <w:kern w:val="0"/>
          <w:szCs w:val="24"/>
        </w:rPr>
        <w:t>。</w:t>
      </w:r>
    </w:p>
    <w:p w14:paraId="2D4432BB">
      <w:pPr>
        <w:spacing w:line="360" w:lineRule="exact"/>
        <w:ind w:firstLine="420" w:firstLineChars="200"/>
        <w:rPr>
          <w:rFonts w:ascii="Times New Roman" w:hAnsi="Times New Roman" w:eastAsia="宋体" w:cs="Times New Roman"/>
          <w:szCs w:val="24"/>
          <w:u w:val="single"/>
        </w:rPr>
      </w:pPr>
      <w:r>
        <w:rPr>
          <w:rFonts w:ascii="宋体" w:hAnsi="宋体" w:eastAsia="宋体" w:cs="Times New Roman"/>
          <w:szCs w:val="24"/>
        </w:rPr>
        <w:t>承包人是否应为其施工设备等办理财产保险：</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2C5AF23F">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18.7 </w:t>
      </w:r>
      <w:r>
        <w:rPr>
          <w:rFonts w:ascii="黑体" w:hAnsi="黑体" w:eastAsia="黑体" w:cs="Times New Roman"/>
          <w:szCs w:val="24"/>
        </w:rPr>
        <w:t>通知义务</w:t>
      </w:r>
    </w:p>
    <w:p w14:paraId="380C2B36">
      <w:pPr>
        <w:spacing w:line="360" w:lineRule="exact"/>
        <w:ind w:firstLine="420" w:firstLineChars="200"/>
        <w:rPr>
          <w:rFonts w:ascii="Times New Roman" w:hAnsi="Times New Roman" w:eastAsia="宋体" w:cs="Times New Roman"/>
          <w:szCs w:val="24"/>
        </w:rPr>
      </w:pPr>
      <w:r>
        <w:rPr>
          <w:rFonts w:ascii="宋体" w:hAnsi="宋体" w:eastAsia="宋体" w:cs="Times New Roman"/>
          <w:kern w:val="0"/>
          <w:szCs w:val="24"/>
        </w:rPr>
        <w:t>关于变更保险合同时的通知义务的约定：</w:t>
      </w:r>
      <w:r>
        <w:rPr>
          <w:rFonts w:ascii="Times New Roman" w:hAnsi="Times New Roman" w:eastAsia="宋体" w:cs="Times New Roman"/>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45E285AB">
      <w:pPr>
        <w:keepNext/>
        <w:keepLines/>
        <w:spacing w:line="360" w:lineRule="exact"/>
        <w:rPr>
          <w:rFonts w:ascii="Times New Roman" w:hAnsi="Times New Roman" w:eastAsia="黑体" w:cs="Times New Roman"/>
          <w:szCs w:val="21"/>
        </w:rPr>
      </w:pPr>
      <w:bookmarkStart w:id="573" w:name="_Toc351203651"/>
      <w:bookmarkEnd w:id="573"/>
      <w:r>
        <w:rPr>
          <w:rFonts w:ascii="Times New Roman" w:hAnsi="Times New Roman" w:eastAsia="黑体" w:cs="Times New Roman"/>
          <w:szCs w:val="21"/>
        </w:rPr>
        <w:t xml:space="preserve">20. </w:t>
      </w:r>
      <w:r>
        <w:rPr>
          <w:rFonts w:ascii="黑体" w:hAnsi="黑体" w:eastAsia="黑体" w:cs="Times New Roman"/>
          <w:szCs w:val="21"/>
        </w:rPr>
        <w:t>争议解决</w:t>
      </w:r>
    </w:p>
    <w:p w14:paraId="1E2EBCCD">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 xml:space="preserve">20.3 </w:t>
      </w:r>
      <w:r>
        <w:rPr>
          <w:rFonts w:ascii="黑体" w:hAnsi="黑体" w:eastAsia="黑体" w:cs="Times New Roman"/>
          <w:szCs w:val="24"/>
        </w:rPr>
        <w:t>争议评审</w:t>
      </w:r>
    </w:p>
    <w:p w14:paraId="020DC97C">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合同当事人是否同意将工程争议提交争议评审小组决</w:t>
      </w:r>
      <w:r>
        <w:rPr>
          <w:rFonts w:hint="eastAsia" w:ascii="宋体" w:hAnsi="宋体" w:eastAsia="宋体" w:cs="Times New Roman"/>
          <w:szCs w:val="24"/>
        </w:rPr>
        <w:t>定：</w:t>
      </w:r>
      <w:r>
        <w:rPr>
          <w:rFonts w:hint="eastAsia" w:ascii="宋体" w:hAnsi="宋体" w:eastAsia="宋体" w:cs="Times New Roman"/>
          <w:szCs w:val="24"/>
          <w:u w:val="single"/>
        </w:rPr>
        <w:t xml:space="preserve">  否  </w:t>
      </w:r>
      <w:r>
        <w:rPr>
          <w:rFonts w:hint="eastAsia" w:ascii="宋体" w:hAnsi="宋体" w:eastAsia="宋体" w:cs="Times New Roman"/>
          <w:szCs w:val="24"/>
        </w:rPr>
        <w:t>。</w:t>
      </w:r>
    </w:p>
    <w:p w14:paraId="65F758AF">
      <w:pPr>
        <w:spacing w:line="36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 xml:space="preserve">20.3.1 </w:t>
      </w:r>
      <w:r>
        <w:rPr>
          <w:rFonts w:ascii="宋体" w:hAnsi="宋体" w:eastAsia="宋体" w:cs="Times New Roman"/>
          <w:szCs w:val="24"/>
        </w:rPr>
        <w:t>争议评审小组的确定</w:t>
      </w:r>
    </w:p>
    <w:p w14:paraId="5D122C15">
      <w:pPr>
        <w:spacing w:line="360" w:lineRule="exact"/>
        <w:ind w:firstLine="420" w:firstLineChars="200"/>
        <w:rPr>
          <w:rFonts w:ascii="Times New Roman" w:hAnsi="Times New Roman" w:eastAsia="宋体" w:cs="Times New Roman"/>
          <w:szCs w:val="24"/>
          <w:u w:val="single"/>
        </w:rPr>
      </w:pPr>
      <w:r>
        <w:rPr>
          <w:rFonts w:ascii="宋体" w:hAnsi="宋体" w:eastAsia="宋体" w:cs="Times New Roman"/>
          <w:szCs w:val="24"/>
        </w:rPr>
        <w:t>争议评审小组成员的确定：</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提交争议评审时再选定</w:t>
      </w:r>
      <w:r>
        <w:rPr>
          <w:rFonts w:ascii="Times New Roman" w:hAnsi="Times New Roman" w:eastAsia="宋体" w:cs="Times New Roman"/>
          <w:szCs w:val="24"/>
          <w:u w:val="single"/>
        </w:rPr>
        <w:t xml:space="preserve"> </w:t>
      </w:r>
      <w:r>
        <w:rPr>
          <w:rFonts w:ascii="宋体" w:hAnsi="宋体" w:eastAsia="宋体" w:cs="Times New Roman"/>
          <w:szCs w:val="24"/>
        </w:rPr>
        <w:t>。</w:t>
      </w:r>
    </w:p>
    <w:p w14:paraId="1D3211CD">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选定争议评审员的期限：</w:t>
      </w:r>
      <w:r>
        <w:rPr>
          <w:rFonts w:ascii="Times New Roman" w:hAnsi="Times New Roman" w:eastAsia="宋体" w:cs="Times New Roman"/>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24E195BA">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争议评审小组成员的报酬承担方式：</w:t>
      </w:r>
      <w:r>
        <w:rPr>
          <w:rFonts w:ascii="Times New Roman" w:hAnsi="Times New Roman" w:eastAsia="宋体" w:cs="Times New Roman"/>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7D39D982">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其他事项的约定：</w:t>
      </w:r>
      <w:r>
        <w:rPr>
          <w:rFonts w:ascii="Times New Roman" w:hAnsi="Times New Roman" w:eastAsia="宋体" w:cs="Times New Roman"/>
          <w:szCs w:val="24"/>
          <w:u w:val="single"/>
        </w:rPr>
        <w:t xml:space="preserve">                      </w:t>
      </w:r>
      <w:r>
        <w:rPr>
          <w:rFonts w:hint="eastAsia" w:ascii="宋体" w:hAnsi="宋体" w:eastAsia="宋体" w:cs="Times New Roman"/>
          <w:kern w:val="0"/>
          <w:szCs w:val="24"/>
          <w:u w:val="single"/>
        </w:rPr>
        <w:t xml:space="preserve">/ </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Times New Roman" w:hAnsi="Times New Roman" w:eastAsia="宋体" w:cs="Times New Roman"/>
          <w:szCs w:val="24"/>
          <w:u w:val="single"/>
        </w:rPr>
        <w:t xml:space="preserve">       </w:t>
      </w:r>
      <w:r>
        <w:rPr>
          <w:rFonts w:ascii="宋体" w:hAnsi="宋体" w:eastAsia="宋体" w:cs="Times New Roman"/>
          <w:szCs w:val="24"/>
        </w:rPr>
        <w:t>。</w:t>
      </w:r>
    </w:p>
    <w:p w14:paraId="2F5A415F">
      <w:pPr>
        <w:autoSpaceDE w:val="0"/>
        <w:autoSpaceDN w:val="0"/>
        <w:adjustRightInd w:val="0"/>
        <w:spacing w:line="360" w:lineRule="exact"/>
        <w:ind w:firstLine="420" w:firstLineChars="200"/>
        <w:rPr>
          <w:rFonts w:ascii="Times New Roman" w:hAnsi="Times New Roman" w:eastAsia="宋体" w:cs="Times New Roman"/>
          <w:kern w:val="0"/>
          <w:szCs w:val="24"/>
        </w:rPr>
      </w:pPr>
      <w:r>
        <w:rPr>
          <w:rFonts w:ascii="Times New Roman" w:hAnsi="Times New Roman" w:eastAsia="宋体" w:cs="Times New Roman"/>
          <w:kern w:val="0"/>
          <w:szCs w:val="24"/>
        </w:rPr>
        <w:t xml:space="preserve">20.3.2 </w:t>
      </w:r>
      <w:r>
        <w:rPr>
          <w:rFonts w:ascii="宋体" w:hAnsi="宋体" w:eastAsia="宋体" w:cs="Times New Roman"/>
          <w:kern w:val="0"/>
          <w:szCs w:val="24"/>
        </w:rPr>
        <w:t>争议评审小组的决定</w:t>
      </w:r>
    </w:p>
    <w:p w14:paraId="348A97C7">
      <w:pPr>
        <w:spacing w:line="360" w:lineRule="exact"/>
        <w:ind w:firstLine="420" w:firstLineChars="200"/>
        <w:rPr>
          <w:rFonts w:ascii="Times New Roman" w:hAnsi="Times New Roman" w:eastAsia="宋体" w:cs="Times New Roman"/>
          <w:szCs w:val="24"/>
          <w:u w:val="single"/>
        </w:rPr>
      </w:pPr>
      <w:r>
        <w:rPr>
          <w:rFonts w:ascii="宋体" w:hAnsi="宋体" w:eastAsia="宋体" w:cs="Times New Roman"/>
          <w:szCs w:val="24"/>
        </w:rPr>
        <w:t>合同当事人关于本项的约定：</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按通用条款。</w:t>
      </w:r>
    </w:p>
    <w:p w14:paraId="43ED84F6">
      <w:pPr>
        <w:spacing w:line="360" w:lineRule="exact"/>
        <w:ind w:firstLine="420" w:firstLineChars="200"/>
        <w:rPr>
          <w:rFonts w:ascii="Times New Roman" w:hAnsi="Times New Roman" w:eastAsia="宋体" w:cs="Times New Roman"/>
          <w:szCs w:val="24"/>
          <w:u w:val="single"/>
        </w:rPr>
      </w:pPr>
      <w:r>
        <w:rPr>
          <w:rFonts w:hint="eastAsia" w:ascii="宋体" w:hAnsi="宋体" w:eastAsia="宋体" w:cs="Times New Roman"/>
          <w:szCs w:val="24"/>
          <w:u w:val="single"/>
        </w:rPr>
        <w:t>20.3.3 争议评审小组决定的效力：按通用条款执行。</w:t>
      </w:r>
    </w:p>
    <w:p w14:paraId="0A1298C7">
      <w:pPr>
        <w:spacing w:line="360" w:lineRule="exact"/>
        <w:ind w:firstLine="420" w:firstLineChars="200"/>
        <w:rPr>
          <w:rFonts w:ascii="Times New Roman" w:hAnsi="Times New Roman" w:eastAsia="黑体" w:cs="Times New Roman"/>
          <w:szCs w:val="24"/>
        </w:rPr>
      </w:pPr>
      <w:r>
        <w:rPr>
          <w:rFonts w:ascii="Times New Roman" w:hAnsi="Times New Roman" w:eastAsia="黑体" w:cs="Times New Roman"/>
          <w:szCs w:val="24"/>
        </w:rPr>
        <w:t>20.4</w:t>
      </w:r>
      <w:r>
        <w:rPr>
          <w:rFonts w:ascii="黑体" w:hAnsi="黑体" w:eastAsia="黑体" w:cs="Times New Roman"/>
          <w:szCs w:val="24"/>
        </w:rPr>
        <w:t>仲裁或诉讼</w:t>
      </w:r>
    </w:p>
    <w:p w14:paraId="067BC1BE">
      <w:pPr>
        <w:spacing w:line="360" w:lineRule="exact"/>
        <w:ind w:firstLine="420" w:firstLineChars="200"/>
        <w:rPr>
          <w:rFonts w:ascii="Times New Roman" w:hAnsi="Times New Roman" w:eastAsia="黑体" w:cs="Times New Roman"/>
          <w:szCs w:val="24"/>
        </w:rPr>
      </w:pPr>
      <w:r>
        <w:rPr>
          <w:rFonts w:ascii="宋体" w:hAnsi="宋体" w:eastAsia="宋体" w:cs="Times New Roman"/>
          <w:szCs w:val="24"/>
        </w:rPr>
        <w:t>因合同及合同有关事项发生的争议，按下列第</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（2）</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 xml:space="preserve"> </w:t>
      </w:r>
      <w:r>
        <w:rPr>
          <w:rFonts w:ascii="宋体" w:hAnsi="宋体" w:eastAsia="宋体" w:cs="Times New Roman"/>
          <w:szCs w:val="24"/>
        </w:rPr>
        <w:t>种方式</w:t>
      </w:r>
      <w:r>
        <w:rPr>
          <w:rFonts w:hint="eastAsia" w:ascii="宋体" w:hAnsi="宋体" w:eastAsia="宋体" w:cs="Times New Roman"/>
          <w:szCs w:val="24"/>
        </w:rPr>
        <w:t>解</w:t>
      </w:r>
      <w:r>
        <w:rPr>
          <w:rFonts w:ascii="宋体" w:hAnsi="宋体" w:eastAsia="宋体" w:cs="Times New Roman"/>
          <w:szCs w:val="24"/>
        </w:rPr>
        <w:t>决：</w:t>
      </w:r>
    </w:p>
    <w:p w14:paraId="54C45962">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w:t>
      </w:r>
      <w:r>
        <w:rPr>
          <w:rFonts w:ascii="Times New Roman" w:hAnsi="Times New Roman" w:eastAsia="宋体" w:cs="Times New Roman"/>
          <w:szCs w:val="24"/>
        </w:rPr>
        <w:t>1</w:t>
      </w:r>
      <w:r>
        <w:rPr>
          <w:rFonts w:ascii="宋体" w:hAnsi="宋体" w:eastAsia="宋体" w:cs="Times New Roman"/>
          <w:szCs w:val="24"/>
        </w:rPr>
        <w:t>）向</w:t>
      </w:r>
      <w:r>
        <w:rPr>
          <w:rFonts w:hint="eastAsia" w:ascii="宋体" w:hAnsi="宋体" w:eastAsia="宋体" w:cs="Times New Roman"/>
          <w:szCs w:val="24"/>
          <w:u w:val="single"/>
        </w:rPr>
        <w:t>台州</w:t>
      </w:r>
      <w:r>
        <w:rPr>
          <w:rFonts w:ascii="宋体" w:hAnsi="宋体" w:eastAsia="宋体" w:cs="Times New Roman"/>
          <w:szCs w:val="24"/>
        </w:rPr>
        <w:t>仲裁委员会申请仲裁；</w:t>
      </w:r>
    </w:p>
    <w:p w14:paraId="0BA5E9C2">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w:t>
      </w:r>
      <w:r>
        <w:rPr>
          <w:rFonts w:ascii="Times New Roman" w:hAnsi="Times New Roman" w:eastAsia="宋体" w:cs="Times New Roman"/>
          <w:szCs w:val="24"/>
        </w:rPr>
        <w:t>2</w:t>
      </w:r>
      <w:r>
        <w:rPr>
          <w:rFonts w:ascii="宋体" w:hAnsi="宋体" w:eastAsia="宋体" w:cs="Times New Roman"/>
          <w:szCs w:val="24"/>
        </w:rPr>
        <w:t>）向</w:t>
      </w:r>
      <w:r>
        <w:rPr>
          <w:rFonts w:hint="eastAsia" w:ascii="宋体" w:hAnsi="宋体" w:eastAsia="宋体" w:cs="Times New Roman"/>
          <w:szCs w:val="24"/>
          <w:u w:val="single"/>
        </w:rPr>
        <w:t>工程所在地</w:t>
      </w:r>
      <w:r>
        <w:rPr>
          <w:rFonts w:ascii="宋体" w:hAnsi="宋体" w:eastAsia="宋体" w:cs="Times New Roman"/>
          <w:szCs w:val="24"/>
        </w:rPr>
        <w:t>人民法院起诉。</w:t>
      </w:r>
    </w:p>
    <w:p w14:paraId="77057331">
      <w:pPr>
        <w:spacing w:line="360" w:lineRule="exact"/>
        <w:rPr>
          <w:rFonts w:ascii="Times New Roman" w:hAnsi="Times New Roman" w:eastAsia="宋体" w:cs="Times New Roman"/>
          <w:szCs w:val="24"/>
        </w:rPr>
      </w:pPr>
    </w:p>
    <w:p w14:paraId="27211617">
      <w:pPr>
        <w:spacing w:line="480" w:lineRule="auto"/>
        <w:ind w:firstLine="424" w:firstLineChars="202"/>
        <w:rPr>
          <w:rFonts w:eastAsia="宋体"/>
          <w:szCs w:val="24"/>
        </w:rPr>
      </w:pPr>
      <w:r>
        <w:rPr>
          <w:rFonts w:ascii="宋体" w:hAnsi="宋体" w:eastAsia="宋体"/>
          <w:szCs w:val="24"/>
        </w:rPr>
        <w:t>发包人</w:t>
      </w:r>
      <w:r>
        <w:rPr>
          <w:rFonts w:hint="eastAsia" w:ascii="宋体" w:hAnsi="宋体" w:eastAsia="宋体"/>
          <w:szCs w:val="24"/>
        </w:rPr>
        <w:t>（</w:t>
      </w:r>
      <w:r>
        <w:rPr>
          <w:rFonts w:ascii="宋体" w:hAnsi="宋体" w:eastAsia="宋体"/>
          <w:szCs w:val="24"/>
        </w:rPr>
        <w:t>公章</w:t>
      </w:r>
      <w:r>
        <w:rPr>
          <w:rFonts w:hint="eastAsia" w:ascii="宋体" w:hAnsi="宋体" w:eastAsia="宋体"/>
          <w:szCs w:val="24"/>
        </w:rPr>
        <w:t>）</w:t>
      </w:r>
      <w:r>
        <w:rPr>
          <w:rFonts w:ascii="宋体" w:hAnsi="宋体" w:eastAsia="宋体"/>
          <w:szCs w:val="24"/>
        </w:rPr>
        <w:t>：</w:t>
      </w:r>
      <w:r>
        <w:rPr>
          <w:rFonts w:eastAsia="宋体"/>
          <w:szCs w:val="24"/>
          <w:u w:val="single"/>
        </w:rPr>
        <w:t xml:space="preserve"> </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hint="eastAsia" w:eastAsia="宋体"/>
          <w:szCs w:val="24"/>
          <w:u w:val="single"/>
        </w:rPr>
        <w:t xml:space="preserve">   </w:t>
      </w:r>
      <w:r>
        <w:rPr>
          <w:rFonts w:eastAsia="宋体"/>
          <w:szCs w:val="24"/>
          <w:u w:val="single"/>
        </w:rPr>
        <w:t xml:space="preserve">     </w:t>
      </w:r>
      <w:r>
        <w:rPr>
          <w:rFonts w:eastAsia="宋体"/>
          <w:szCs w:val="24"/>
        </w:rPr>
        <w:t xml:space="preserve"> </w:t>
      </w:r>
      <w:r>
        <w:rPr>
          <w:rFonts w:hint="eastAsia" w:ascii="宋体" w:hAnsi="宋体" w:eastAsia="宋体"/>
          <w:szCs w:val="24"/>
        </w:rPr>
        <w:t xml:space="preserve"> </w:t>
      </w:r>
      <w:r>
        <w:rPr>
          <w:rFonts w:ascii="宋体" w:hAnsi="宋体" w:eastAsia="宋体"/>
          <w:szCs w:val="24"/>
        </w:rPr>
        <w:t>承包人</w:t>
      </w:r>
      <w:r>
        <w:rPr>
          <w:rFonts w:hint="eastAsia" w:ascii="宋体" w:hAnsi="宋体" w:eastAsia="宋体"/>
          <w:szCs w:val="24"/>
        </w:rPr>
        <w:t>（</w:t>
      </w:r>
      <w:r>
        <w:rPr>
          <w:rFonts w:ascii="宋体" w:hAnsi="宋体" w:eastAsia="宋体"/>
          <w:szCs w:val="24"/>
        </w:rPr>
        <w:t>公章</w:t>
      </w:r>
      <w:r>
        <w:rPr>
          <w:rFonts w:hint="eastAsia" w:ascii="宋体" w:hAnsi="宋体" w:eastAsia="宋体"/>
          <w:szCs w:val="24"/>
        </w:rPr>
        <w:t>）</w:t>
      </w:r>
      <w:r>
        <w:rPr>
          <w:rFonts w:ascii="宋体" w:hAnsi="宋体" w:eastAsia="宋体"/>
          <w:szCs w:val="24"/>
        </w:rPr>
        <w:t>：</w:t>
      </w:r>
      <w:r>
        <w:rPr>
          <w:rFonts w:hint="eastAsia" w:ascii="MingLiU_HKSCS" w:hAnsi="MingLiU_HKSCS" w:eastAsia="MingLiU_HKSCS" w:cs="MingLiU_HKSCS"/>
          <w:szCs w:val="24"/>
          <w:u w:val="single"/>
        </w:rPr>
        <w:t xml:space="preserve">   </w:t>
      </w:r>
      <w:r>
        <w:rPr>
          <w:rFonts w:hint="eastAsia" w:ascii="宋体" w:hAnsi="宋体" w:eastAsia="宋体"/>
          <w:szCs w:val="24"/>
          <w:u w:val="single"/>
        </w:rPr>
        <w:t xml:space="preserve">             </w:t>
      </w:r>
    </w:p>
    <w:p w14:paraId="3B592A6D">
      <w:pPr>
        <w:spacing w:line="480" w:lineRule="auto"/>
        <w:ind w:firstLine="424" w:firstLineChars="202"/>
        <w:rPr>
          <w:rFonts w:eastAsia="宋体"/>
          <w:szCs w:val="24"/>
        </w:rPr>
      </w:pPr>
      <w:r>
        <w:rPr>
          <w:rFonts w:ascii="宋体" w:hAnsi="宋体" w:eastAsia="宋体"/>
          <w:szCs w:val="24"/>
        </w:rPr>
        <w:t>地</w:t>
      </w:r>
      <w:r>
        <w:rPr>
          <w:rFonts w:eastAsia="宋体"/>
          <w:szCs w:val="24"/>
        </w:rPr>
        <w:t xml:space="preserve">  </w:t>
      </w:r>
      <w:r>
        <w:rPr>
          <w:rFonts w:ascii="宋体" w:hAnsi="宋体" w:eastAsia="宋体"/>
          <w:szCs w:val="24"/>
        </w:rPr>
        <w:t>址：</w:t>
      </w:r>
      <w:r>
        <w:rPr>
          <w:rFonts w:eastAsia="宋体"/>
          <w:szCs w:val="24"/>
          <w:u w:val="single"/>
        </w:rPr>
        <w:t xml:space="preserve"> </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hint="eastAsia" w:ascii="宋体" w:hAnsi="宋体" w:eastAsia="宋体"/>
          <w:szCs w:val="24"/>
          <w:u w:val="single"/>
        </w:rPr>
        <w:t xml:space="preserve"> </w:t>
      </w:r>
      <w:r>
        <w:rPr>
          <w:rFonts w:hint="eastAsia" w:ascii="宋体" w:hAnsi="宋体" w:eastAsia="宋体"/>
          <w:szCs w:val="24"/>
        </w:rPr>
        <w:t xml:space="preserve">  </w:t>
      </w:r>
      <w:r>
        <w:rPr>
          <w:rFonts w:ascii="宋体" w:hAnsi="宋体" w:eastAsia="宋体"/>
          <w:szCs w:val="24"/>
        </w:rPr>
        <w:t>地</w:t>
      </w:r>
      <w:r>
        <w:rPr>
          <w:rFonts w:eastAsia="宋体"/>
          <w:szCs w:val="24"/>
        </w:rPr>
        <w:t xml:space="preserve">  </w:t>
      </w:r>
      <w:r>
        <w:rPr>
          <w:rFonts w:ascii="宋体" w:hAnsi="宋体" w:eastAsia="宋体"/>
          <w:szCs w:val="24"/>
        </w:rPr>
        <w:t>址：</w:t>
      </w:r>
      <w:r>
        <w:rPr>
          <w:rFonts w:hint="eastAsia" w:ascii="MingLiU_HKSCS" w:hAnsi="MingLiU_HKSCS" w:eastAsia="MingLiU_HKSCS" w:cs="MingLiU_HKSCS"/>
          <w:szCs w:val="24"/>
          <w:u w:val="single"/>
        </w:rPr>
        <w:t xml:space="preserve">                  </w:t>
      </w:r>
      <w:r>
        <w:rPr>
          <w:rFonts w:hint="eastAsia" w:ascii="宋体" w:hAnsi="宋体" w:eastAsia="宋体"/>
          <w:szCs w:val="24"/>
          <w:u w:val="single"/>
        </w:rPr>
        <w:t xml:space="preserve"> </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hint="eastAsia" w:ascii="宋体" w:hAnsi="宋体" w:eastAsia="宋体"/>
          <w:szCs w:val="24"/>
          <w:u w:val="single"/>
        </w:rPr>
        <w:t xml:space="preserve"> </w:t>
      </w:r>
      <w:r>
        <w:rPr>
          <w:rFonts w:eastAsia="宋体"/>
          <w:szCs w:val="24"/>
          <w:u w:val="single"/>
        </w:rPr>
        <w:t xml:space="preserve">    </w:t>
      </w:r>
      <w:r>
        <w:rPr>
          <w:rFonts w:hint="eastAsia" w:ascii="宋体" w:hAnsi="宋体" w:eastAsia="宋体"/>
          <w:szCs w:val="24"/>
          <w:u w:val="single"/>
        </w:rPr>
        <w:t xml:space="preserve"> </w:t>
      </w:r>
    </w:p>
    <w:p w14:paraId="66BD68AB">
      <w:pPr>
        <w:spacing w:line="480" w:lineRule="auto"/>
        <w:ind w:firstLine="424" w:firstLineChars="202"/>
        <w:rPr>
          <w:rFonts w:eastAsia="宋体"/>
          <w:szCs w:val="24"/>
        </w:rPr>
      </w:pPr>
      <w:r>
        <w:rPr>
          <w:rFonts w:ascii="宋体" w:hAnsi="宋体" w:eastAsia="宋体"/>
          <w:szCs w:val="24"/>
        </w:rPr>
        <w:t>法定代表人</w:t>
      </w:r>
      <w:r>
        <w:rPr>
          <w:rFonts w:hint="eastAsia" w:ascii="宋体" w:hAnsi="宋体" w:eastAsia="宋体"/>
          <w:szCs w:val="24"/>
        </w:rPr>
        <w:t>（</w:t>
      </w:r>
      <w:r>
        <w:rPr>
          <w:rFonts w:ascii="宋体" w:hAnsi="宋体" w:eastAsia="宋体"/>
          <w:szCs w:val="24"/>
        </w:rPr>
        <w:t>签字</w:t>
      </w:r>
      <w:r>
        <w:rPr>
          <w:rFonts w:hint="eastAsia" w:ascii="宋体" w:hAnsi="宋体" w:eastAsia="宋体"/>
          <w:szCs w:val="24"/>
        </w:rPr>
        <w:t>）</w:t>
      </w:r>
      <w:r>
        <w:rPr>
          <w:rFonts w:ascii="宋体" w:hAnsi="宋体" w:eastAsia="宋体"/>
          <w:szCs w:val="24"/>
        </w:rPr>
        <w:t>：</w:t>
      </w:r>
      <w:r>
        <w:rPr>
          <w:rFonts w:hint="eastAsia" w:ascii="MingLiU_HKSCS" w:hAnsi="MingLiU_HKSCS" w:eastAsia="MingLiU_HKSCS" w:cs="MingLiU_HKSCS"/>
          <w:szCs w:val="24"/>
          <w:u w:val="single"/>
        </w:rPr>
        <w:t xml:space="preserve">      </w:t>
      </w:r>
      <w:r>
        <w:rPr>
          <w:rFonts w:hint="eastAsia" w:ascii="宋体" w:hAnsi="宋体" w:eastAsia="宋体"/>
          <w:szCs w:val="24"/>
          <w:u w:val="single"/>
        </w:rPr>
        <w:t xml:space="preserve">         </w:t>
      </w:r>
      <w:r>
        <w:rPr>
          <w:rFonts w:eastAsia="宋体"/>
          <w:szCs w:val="24"/>
          <w:u w:val="single"/>
        </w:rPr>
        <w:t xml:space="preserve">  </w:t>
      </w:r>
      <w:r>
        <w:rPr>
          <w:rFonts w:eastAsia="宋体"/>
          <w:szCs w:val="24"/>
        </w:rPr>
        <w:t xml:space="preserve"> </w:t>
      </w:r>
      <w:r>
        <w:rPr>
          <w:rFonts w:ascii="宋体" w:hAnsi="宋体" w:eastAsia="宋体"/>
          <w:szCs w:val="24"/>
        </w:rPr>
        <w:t>法定代表人</w:t>
      </w:r>
      <w:r>
        <w:rPr>
          <w:rFonts w:hint="eastAsia" w:ascii="宋体" w:hAnsi="宋体" w:eastAsia="宋体"/>
          <w:szCs w:val="24"/>
        </w:rPr>
        <w:t>（</w:t>
      </w:r>
      <w:r>
        <w:rPr>
          <w:rFonts w:ascii="宋体" w:hAnsi="宋体" w:eastAsia="宋体"/>
          <w:szCs w:val="24"/>
        </w:rPr>
        <w:t>签字</w:t>
      </w:r>
      <w:r>
        <w:rPr>
          <w:rFonts w:hint="eastAsia" w:ascii="宋体" w:hAnsi="宋体" w:eastAsia="宋体"/>
          <w:szCs w:val="24"/>
        </w:rPr>
        <w:t>）</w:t>
      </w:r>
      <w:r>
        <w:rPr>
          <w:rFonts w:ascii="宋体" w:hAnsi="宋体" w:eastAsia="宋体"/>
          <w:szCs w:val="24"/>
        </w:rPr>
        <w:t>：</w:t>
      </w:r>
      <w:r>
        <w:rPr>
          <w:rFonts w:hint="eastAsia" w:ascii="MingLiU_HKSCS" w:hAnsi="MingLiU_HKSCS" w:eastAsia="MingLiU_HKSCS" w:cs="MingLiU_HKSCS"/>
          <w:szCs w:val="24"/>
          <w:u w:val="single"/>
        </w:rPr>
        <w:t xml:space="preserve">      </w:t>
      </w:r>
      <w:r>
        <w:rPr>
          <w:rFonts w:hint="eastAsia" w:ascii="宋体" w:hAnsi="宋体" w:eastAsia="宋体"/>
          <w:szCs w:val="24"/>
          <w:u w:val="single"/>
        </w:rPr>
        <w:t xml:space="preserve">      </w:t>
      </w:r>
      <w:r>
        <w:rPr>
          <w:rFonts w:eastAsia="宋体"/>
          <w:szCs w:val="24"/>
          <w:u w:val="single"/>
        </w:rPr>
        <w:t xml:space="preserve"> </w:t>
      </w:r>
    </w:p>
    <w:p w14:paraId="0B65567E">
      <w:pPr>
        <w:spacing w:line="480" w:lineRule="auto"/>
        <w:ind w:firstLine="424" w:firstLineChars="202"/>
        <w:rPr>
          <w:rFonts w:eastAsia="宋体"/>
          <w:szCs w:val="24"/>
        </w:rPr>
      </w:pPr>
      <w:r>
        <w:rPr>
          <w:rFonts w:ascii="宋体" w:hAnsi="宋体" w:eastAsia="宋体"/>
          <w:szCs w:val="24"/>
        </w:rPr>
        <w:t>委托代理人</w:t>
      </w:r>
      <w:r>
        <w:rPr>
          <w:rFonts w:hint="eastAsia" w:ascii="宋体" w:hAnsi="宋体" w:eastAsia="宋体"/>
          <w:szCs w:val="24"/>
        </w:rPr>
        <w:t>（</w:t>
      </w:r>
      <w:r>
        <w:rPr>
          <w:rFonts w:ascii="宋体" w:hAnsi="宋体" w:eastAsia="宋体"/>
          <w:szCs w:val="24"/>
        </w:rPr>
        <w:t>签字</w:t>
      </w:r>
      <w:r>
        <w:rPr>
          <w:rFonts w:hint="eastAsia" w:ascii="宋体" w:hAnsi="宋体" w:eastAsia="宋体"/>
          <w:szCs w:val="24"/>
        </w:rPr>
        <w:t>）</w:t>
      </w:r>
      <w:r>
        <w:rPr>
          <w:rFonts w:ascii="宋体" w:hAnsi="宋体" w:eastAsia="宋体"/>
          <w:szCs w:val="24"/>
        </w:rPr>
        <w:t>：</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hint="eastAsia" w:eastAsia="宋体"/>
          <w:szCs w:val="24"/>
          <w:u w:val="single"/>
        </w:rPr>
        <w:t xml:space="preserve">     </w:t>
      </w:r>
      <w:r>
        <w:rPr>
          <w:rFonts w:eastAsia="宋体"/>
          <w:szCs w:val="24"/>
          <w:u w:val="single"/>
        </w:rPr>
        <w:t xml:space="preserve">     </w:t>
      </w:r>
      <w:r>
        <w:rPr>
          <w:rFonts w:eastAsia="宋体"/>
          <w:szCs w:val="24"/>
        </w:rPr>
        <w:t xml:space="preserve"> </w:t>
      </w:r>
      <w:r>
        <w:rPr>
          <w:rFonts w:ascii="宋体" w:hAnsi="宋体" w:eastAsia="宋体"/>
          <w:szCs w:val="24"/>
        </w:rPr>
        <w:t>委托代理人</w:t>
      </w:r>
      <w:r>
        <w:rPr>
          <w:rFonts w:hint="eastAsia" w:ascii="宋体" w:hAnsi="宋体" w:eastAsia="宋体"/>
          <w:szCs w:val="24"/>
        </w:rPr>
        <w:t>（</w:t>
      </w:r>
      <w:r>
        <w:rPr>
          <w:rFonts w:ascii="宋体" w:hAnsi="宋体" w:eastAsia="宋体"/>
          <w:szCs w:val="24"/>
        </w:rPr>
        <w:t>签字</w:t>
      </w:r>
      <w:r>
        <w:rPr>
          <w:rFonts w:hint="eastAsia" w:ascii="宋体" w:hAnsi="宋体" w:eastAsia="宋体"/>
          <w:szCs w:val="24"/>
        </w:rPr>
        <w:t>）</w:t>
      </w:r>
      <w:r>
        <w:rPr>
          <w:rFonts w:ascii="宋体" w:hAnsi="宋体" w:eastAsia="宋体"/>
          <w:szCs w:val="24"/>
        </w:rPr>
        <w:t>：</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hint="eastAsia" w:ascii="宋体" w:hAnsi="宋体" w:eastAsia="宋体"/>
          <w:szCs w:val="24"/>
          <w:u w:val="single"/>
        </w:rPr>
        <w:t xml:space="preserve"> </w:t>
      </w:r>
      <w:r>
        <w:rPr>
          <w:rFonts w:eastAsia="宋体"/>
          <w:szCs w:val="24"/>
          <w:u w:val="single"/>
        </w:rPr>
        <w:t xml:space="preserve">    </w:t>
      </w:r>
    </w:p>
    <w:p w14:paraId="49B3E89A">
      <w:pPr>
        <w:spacing w:line="480" w:lineRule="auto"/>
        <w:ind w:firstLine="424" w:firstLineChars="202"/>
        <w:rPr>
          <w:rFonts w:eastAsia="宋体"/>
          <w:szCs w:val="24"/>
        </w:rPr>
      </w:pPr>
      <w:r>
        <w:rPr>
          <w:rFonts w:ascii="宋体" w:hAnsi="宋体" w:eastAsia="宋体"/>
          <w:szCs w:val="24"/>
        </w:rPr>
        <w:t>电</w:t>
      </w:r>
      <w:r>
        <w:rPr>
          <w:rFonts w:eastAsia="宋体"/>
          <w:szCs w:val="24"/>
        </w:rPr>
        <w:t xml:space="preserve">  </w:t>
      </w:r>
      <w:r>
        <w:rPr>
          <w:rFonts w:ascii="宋体" w:hAnsi="宋体" w:eastAsia="宋体"/>
          <w:szCs w:val="24"/>
        </w:rPr>
        <w:t>话：</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eastAsia="宋体"/>
          <w:szCs w:val="24"/>
        </w:rPr>
        <w:t xml:space="preserve"> </w:t>
      </w:r>
      <w:r>
        <w:rPr>
          <w:rFonts w:hint="eastAsia" w:ascii="宋体" w:hAnsi="宋体" w:eastAsia="宋体"/>
          <w:szCs w:val="24"/>
        </w:rPr>
        <w:t xml:space="preserve">  </w:t>
      </w:r>
      <w:r>
        <w:rPr>
          <w:rFonts w:ascii="宋体" w:hAnsi="宋体" w:eastAsia="宋体"/>
          <w:szCs w:val="24"/>
        </w:rPr>
        <w:t>电</w:t>
      </w:r>
      <w:r>
        <w:rPr>
          <w:rFonts w:eastAsia="宋体"/>
          <w:szCs w:val="24"/>
        </w:rPr>
        <w:t xml:space="preserve">  </w:t>
      </w:r>
      <w:r>
        <w:rPr>
          <w:rFonts w:ascii="宋体" w:hAnsi="宋体" w:eastAsia="宋体"/>
          <w:szCs w:val="24"/>
        </w:rPr>
        <w:t>话：</w:t>
      </w:r>
      <w:r>
        <w:rPr>
          <w:rFonts w:hint="eastAsia" w:ascii="MingLiU_HKSCS" w:hAnsi="MingLiU_HKSCS" w:eastAsia="MingLiU_HKSCS" w:cs="MingLiU_HKSCS"/>
          <w:szCs w:val="24"/>
          <w:u w:val="single"/>
        </w:rPr>
        <w:t xml:space="preserve">                        </w:t>
      </w:r>
      <w:r>
        <w:rPr>
          <w:rFonts w:hint="eastAsia" w:ascii="宋体" w:hAnsi="宋体" w:eastAsia="宋体"/>
          <w:szCs w:val="24"/>
          <w:u w:val="single"/>
        </w:rPr>
        <w:t xml:space="preserve">  </w:t>
      </w:r>
      <w:r>
        <w:rPr>
          <w:rFonts w:eastAsia="宋体"/>
          <w:szCs w:val="24"/>
          <w:u w:val="single"/>
        </w:rPr>
        <w:t xml:space="preserve">   </w:t>
      </w:r>
    </w:p>
    <w:p w14:paraId="15EF4B11">
      <w:pPr>
        <w:spacing w:line="360" w:lineRule="exact"/>
        <w:ind w:firstLine="424" w:firstLineChars="202"/>
        <w:rPr>
          <w:rFonts w:ascii="Times New Roman" w:hAnsi="Times New Roman" w:eastAsia="宋体" w:cs="Times New Roman"/>
          <w:szCs w:val="24"/>
        </w:rPr>
      </w:pPr>
      <w:r>
        <w:rPr>
          <w:rFonts w:ascii="宋体" w:hAnsi="宋体" w:eastAsia="宋体"/>
          <w:szCs w:val="24"/>
        </w:rPr>
        <w:t>传</w:t>
      </w:r>
      <w:r>
        <w:rPr>
          <w:rFonts w:eastAsia="宋体"/>
          <w:szCs w:val="24"/>
        </w:rPr>
        <w:t xml:space="preserve">  </w:t>
      </w:r>
      <w:r>
        <w:rPr>
          <w:rFonts w:ascii="宋体" w:hAnsi="宋体" w:eastAsia="宋体"/>
          <w:szCs w:val="24"/>
        </w:rPr>
        <w:t>真：</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eastAsia="宋体"/>
          <w:szCs w:val="24"/>
        </w:rPr>
        <w:t xml:space="preserve"> </w:t>
      </w:r>
      <w:r>
        <w:rPr>
          <w:rFonts w:hint="eastAsia" w:ascii="宋体" w:hAnsi="宋体" w:eastAsia="宋体"/>
          <w:szCs w:val="24"/>
        </w:rPr>
        <w:t xml:space="preserve">  </w:t>
      </w:r>
      <w:r>
        <w:rPr>
          <w:rFonts w:ascii="宋体" w:hAnsi="宋体" w:eastAsia="宋体"/>
          <w:szCs w:val="24"/>
        </w:rPr>
        <w:t>传</w:t>
      </w:r>
      <w:r>
        <w:rPr>
          <w:rFonts w:eastAsia="宋体"/>
          <w:szCs w:val="24"/>
        </w:rPr>
        <w:t xml:space="preserve">  </w:t>
      </w:r>
      <w:r>
        <w:rPr>
          <w:rFonts w:ascii="宋体" w:hAnsi="宋体" w:eastAsia="宋体"/>
          <w:szCs w:val="24"/>
        </w:rPr>
        <w:t>真：</w:t>
      </w:r>
      <w:r>
        <w:rPr>
          <w:rFonts w:hint="eastAsia" w:ascii="MingLiU_HKSCS" w:hAnsi="MingLiU_HKSCS" w:eastAsia="MingLiU_HKSCS" w:cs="MingLiU_HKSCS"/>
          <w:szCs w:val="24"/>
          <w:u w:val="single"/>
        </w:rPr>
        <w:t xml:space="preserve">                     </w:t>
      </w:r>
      <w:r>
        <w:rPr>
          <w:rFonts w:hint="eastAsia" w:ascii="宋体" w:hAnsi="宋体" w:eastAsia="宋体"/>
          <w:szCs w:val="24"/>
          <w:u w:val="single"/>
        </w:rPr>
        <w:t xml:space="preserve">  </w:t>
      </w:r>
      <w:r>
        <w:rPr>
          <w:rFonts w:hint="eastAsia" w:ascii="MingLiU_HKSCS" w:hAnsi="MingLiU_HKSCS" w:eastAsia="MingLiU_HKSCS" w:cs="MingLiU_HKSCS"/>
          <w:szCs w:val="24"/>
          <w:u w:val="single"/>
        </w:rPr>
        <w:t xml:space="preserve">   </w:t>
      </w:r>
      <w:r>
        <w:rPr>
          <w:rFonts w:eastAsia="宋体"/>
          <w:szCs w:val="24"/>
          <w:u w:val="single"/>
        </w:rPr>
        <w:t xml:space="preserve">   </w:t>
      </w:r>
    </w:p>
    <w:p w14:paraId="181F8CF7">
      <w:pPr>
        <w:spacing w:line="360" w:lineRule="exact"/>
        <w:rPr>
          <w:rFonts w:ascii="Times New Roman" w:hAnsi="Times New Roman" w:eastAsia="宋体" w:cs="Times New Roman"/>
          <w:szCs w:val="21"/>
        </w:rPr>
      </w:pPr>
      <w:r>
        <w:rPr>
          <w:rFonts w:ascii="Times New Roman" w:hAnsi="Times New Roman" w:eastAsia="宋体" w:cs="Times New Roman"/>
          <w:szCs w:val="24"/>
        </w:rPr>
        <w:br w:type="page"/>
      </w:r>
      <w:r>
        <w:rPr>
          <w:rFonts w:ascii="黑体" w:hAnsi="黑体" w:eastAsia="宋体" w:cs="Times New Roman"/>
          <w:szCs w:val="21"/>
        </w:rPr>
        <w:t>附</w:t>
      </w:r>
      <w:bookmarkStart w:id="574" w:name="_Toc296944565"/>
      <w:bookmarkEnd w:id="574"/>
      <w:bookmarkStart w:id="575" w:name="_Toc296503226"/>
      <w:bookmarkEnd w:id="575"/>
      <w:bookmarkStart w:id="576" w:name="_Toc296891266"/>
      <w:bookmarkEnd w:id="576"/>
      <w:bookmarkStart w:id="577" w:name="_Toc296891054"/>
      <w:bookmarkEnd w:id="577"/>
      <w:bookmarkStart w:id="578" w:name="_Toc296346727"/>
      <w:bookmarkEnd w:id="578"/>
      <w:bookmarkStart w:id="579" w:name="_Toc296347225"/>
      <w:bookmarkEnd w:id="579"/>
      <w:bookmarkStart w:id="580" w:name="_Toc267261693"/>
      <w:r>
        <w:rPr>
          <w:rFonts w:ascii="黑体" w:hAnsi="黑体" w:eastAsia="宋体" w:cs="Times New Roman"/>
          <w:szCs w:val="21"/>
        </w:rPr>
        <w:t>件：</w:t>
      </w:r>
      <w:bookmarkEnd w:id="580"/>
      <w:r>
        <w:rPr>
          <w:rFonts w:ascii="Times New Roman" w:hAnsi="Times New Roman" w:eastAsia="宋体" w:cs="Times New Roman"/>
          <w:szCs w:val="21"/>
        </w:rPr>
        <w:t xml:space="preserve">    </w:t>
      </w:r>
    </w:p>
    <w:p w14:paraId="0D6FA5A4">
      <w:pPr>
        <w:spacing w:line="360" w:lineRule="exact"/>
        <w:ind w:firstLine="640" w:firstLineChars="200"/>
        <w:jc w:val="center"/>
        <w:rPr>
          <w:rFonts w:ascii="Times New Roman" w:hAnsi="Times New Roman" w:eastAsia="黑体" w:cs="Times New Roman"/>
          <w:sz w:val="32"/>
          <w:szCs w:val="32"/>
        </w:rPr>
      </w:pPr>
      <w:r>
        <w:rPr>
          <w:rFonts w:hint="eastAsia" w:ascii="黑体" w:hAnsi="黑体" w:eastAsia="黑体" w:cs="Times New Roman"/>
          <w:sz w:val="32"/>
          <w:szCs w:val="32"/>
        </w:rPr>
        <w:t>工程质量保修书</w:t>
      </w:r>
    </w:p>
    <w:p w14:paraId="0F324A1D">
      <w:pPr>
        <w:spacing w:line="586" w:lineRule="exact"/>
        <w:rPr>
          <w:rFonts w:ascii="Times New Roman" w:hAnsi="Times New Roman" w:eastAsia="黑体" w:cs="Times New Roman"/>
          <w:sz w:val="30"/>
          <w:szCs w:val="30"/>
        </w:rPr>
      </w:pPr>
      <w:r>
        <w:rPr>
          <w:rFonts w:ascii="Times New Roman" w:hAnsi="Times New Roman" w:eastAsia="黑体" w:cs="Times New Roman"/>
          <w:sz w:val="30"/>
          <w:szCs w:val="30"/>
        </w:rPr>
        <w:t xml:space="preserve"> </w:t>
      </w:r>
    </w:p>
    <w:p w14:paraId="17520398">
      <w:pPr>
        <w:spacing w:line="360" w:lineRule="exact"/>
        <w:rPr>
          <w:rFonts w:ascii="Times New Roman" w:hAnsi="Times New Roman" w:eastAsia="宋体" w:cs="Times New Roman"/>
          <w:szCs w:val="24"/>
        </w:rPr>
      </w:pPr>
      <w:r>
        <w:rPr>
          <w:rFonts w:ascii="宋体" w:hAnsi="宋体" w:eastAsia="宋体" w:cs="Times New Roman"/>
          <w:szCs w:val="24"/>
        </w:rPr>
        <w:t>发包人（全称）：</w:t>
      </w:r>
      <w:r>
        <w:rPr>
          <w:rFonts w:hint="eastAsia" w:ascii="宋体" w:hAnsi="宋体" w:eastAsia="宋体" w:cs="Times New Roman"/>
          <w:szCs w:val="24"/>
          <w:u w:val="single"/>
        </w:rPr>
        <w:t>台州市椒江区第五中学</w:t>
      </w:r>
      <w:r>
        <w:rPr>
          <w:rFonts w:ascii="Times New Roman" w:hAnsi="Times New Roman" w:eastAsia="宋体" w:cs="Times New Roman"/>
          <w:szCs w:val="24"/>
          <w:u w:val="single"/>
        </w:rPr>
        <w:t xml:space="preserve"> </w:t>
      </w:r>
    </w:p>
    <w:p w14:paraId="40609584">
      <w:pPr>
        <w:spacing w:line="360" w:lineRule="exact"/>
        <w:rPr>
          <w:rFonts w:ascii="Times New Roman" w:hAnsi="Times New Roman" w:eastAsia="宋体" w:cs="Times New Roman"/>
          <w:szCs w:val="24"/>
        </w:rPr>
      </w:pPr>
      <w:r>
        <w:rPr>
          <w:rFonts w:ascii="宋体" w:hAnsi="宋体" w:eastAsia="宋体" w:cs="Times New Roman"/>
          <w:szCs w:val="24"/>
        </w:rPr>
        <w:t>承包人（全称）：</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p>
    <w:p w14:paraId="5454C4BD">
      <w:pPr>
        <w:spacing w:line="360" w:lineRule="exact"/>
        <w:rPr>
          <w:rFonts w:ascii="Times New Roman" w:hAnsi="Times New Roman" w:eastAsia="宋体" w:cs="Times New Roman"/>
          <w:szCs w:val="24"/>
        </w:rPr>
      </w:pPr>
      <w:r>
        <w:rPr>
          <w:rFonts w:ascii="Times New Roman" w:hAnsi="Times New Roman" w:eastAsia="宋体" w:cs="Times New Roman"/>
          <w:szCs w:val="24"/>
        </w:rPr>
        <w:t xml:space="preserve"> </w:t>
      </w:r>
    </w:p>
    <w:p w14:paraId="530C740E">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发包人和承包人根据《中华人民共和国建筑法》和《建设工程质量管理条例》，经协商一致就</w:t>
      </w:r>
      <w:r>
        <w:rPr>
          <w:rFonts w:hint="eastAsia" w:ascii="宋体" w:hAnsi="宋体" w:eastAsia="宋体" w:cs="Times New Roman"/>
          <w:szCs w:val="24"/>
          <w:u w:val="single"/>
        </w:rPr>
        <w:t xml:space="preserve">椒江区第五中学体育馆提升及室外配套工程    </w:t>
      </w:r>
      <w:r>
        <w:rPr>
          <w:rFonts w:ascii="宋体" w:hAnsi="宋体" w:eastAsia="宋体" w:cs="Times New Roman"/>
          <w:szCs w:val="24"/>
        </w:rPr>
        <w:t>（工程全称）签订工程质量保修书。</w:t>
      </w:r>
    </w:p>
    <w:p w14:paraId="1FCD1E6C">
      <w:pPr>
        <w:spacing w:line="360" w:lineRule="exact"/>
        <w:ind w:firstLine="420" w:firstLineChars="200"/>
        <w:rPr>
          <w:rFonts w:ascii="Times New Roman" w:hAnsi="Times New Roman" w:eastAsia="黑体" w:cs="Times New Roman"/>
          <w:szCs w:val="24"/>
        </w:rPr>
      </w:pPr>
      <w:r>
        <w:rPr>
          <w:rFonts w:ascii="黑体" w:hAnsi="黑体" w:eastAsia="黑体" w:cs="Times New Roman"/>
          <w:szCs w:val="24"/>
        </w:rPr>
        <w:t>一、工程质量保修范围和内容</w:t>
      </w:r>
    </w:p>
    <w:p w14:paraId="1B14C6D7">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承包人在质量保修期内，按照有关法律规定和合同约定，承担工程质量保修责任。</w:t>
      </w:r>
    </w:p>
    <w:p w14:paraId="071CE307">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Times New Roman"/>
          <w:szCs w:val="24"/>
          <w:u w:val="single"/>
        </w:rPr>
        <w:t>本工程合同范围内的所有工程</w:t>
      </w:r>
      <w:r>
        <w:rPr>
          <w:rFonts w:ascii="Times New Roman" w:hAnsi="Times New Roman" w:eastAsia="宋体" w:cs="Times New Roman"/>
          <w:szCs w:val="24"/>
          <w:u w:val="single"/>
        </w:rPr>
        <w:t xml:space="preserve">  </w:t>
      </w:r>
      <w:r>
        <w:rPr>
          <w:rFonts w:ascii="宋体" w:hAnsi="宋体" w:eastAsia="宋体" w:cs="Times New Roman"/>
          <w:szCs w:val="24"/>
        </w:rPr>
        <w:t>。</w:t>
      </w:r>
    </w:p>
    <w:p w14:paraId="7A3E2A81">
      <w:pPr>
        <w:spacing w:line="360" w:lineRule="exact"/>
        <w:ind w:firstLine="420" w:firstLineChars="200"/>
        <w:rPr>
          <w:rFonts w:ascii="Times New Roman" w:hAnsi="Times New Roman" w:eastAsia="黑体" w:cs="Times New Roman"/>
          <w:szCs w:val="24"/>
        </w:rPr>
      </w:pPr>
      <w:r>
        <w:rPr>
          <w:rFonts w:ascii="黑体" w:hAnsi="黑体" w:eastAsia="黑体" w:cs="Times New Roman"/>
          <w:szCs w:val="24"/>
        </w:rPr>
        <w:t>二、质量保修期</w:t>
      </w:r>
    </w:p>
    <w:p w14:paraId="3DF18216">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根据《建设工程质量管理条例》及有关规定，工程的质量保修期如下：</w:t>
      </w:r>
    </w:p>
    <w:p w14:paraId="75185D22">
      <w:pPr>
        <w:spacing w:line="360" w:lineRule="exact"/>
        <w:ind w:firstLine="420" w:firstLineChars="200"/>
        <w:rPr>
          <w:rFonts w:ascii="仿宋_GB2312" w:hAnsi="Times New Roman" w:eastAsia="仿宋_GB2312" w:cs="Times New Roman"/>
          <w:szCs w:val="24"/>
        </w:rPr>
      </w:pPr>
      <w:r>
        <w:rPr>
          <w:rFonts w:hint="eastAsia" w:ascii="仿宋_GB2312" w:hAnsi="宋体" w:eastAsia="宋体" w:cs="Times New Roman"/>
          <w:szCs w:val="24"/>
        </w:rPr>
        <w:t>1</w:t>
      </w:r>
      <w:r>
        <w:rPr>
          <w:rFonts w:hint="eastAsia" w:ascii="宋体" w:hAnsi="宋体" w:eastAsia="宋体" w:cs="Times New Roman"/>
          <w:szCs w:val="24"/>
        </w:rPr>
        <w:t>．地基基础工程和主体结构工程为设计文件规定的工程合理使用年限；</w:t>
      </w:r>
    </w:p>
    <w:p w14:paraId="42B9C4B5">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2．</w:t>
      </w:r>
      <w:r>
        <w:rPr>
          <w:rFonts w:ascii="宋体" w:hAnsi="宋体" w:eastAsia="宋体" w:cs="Times New Roman"/>
          <w:szCs w:val="24"/>
        </w:rPr>
        <w:t>屋面防水工程、有防水要求的卫生间、房间和外墙面的防渗</w:t>
      </w:r>
      <w:r>
        <w:rPr>
          <w:rFonts w:hint="eastAsia" w:ascii="宋体" w:hAnsi="宋体" w:eastAsia="宋体" w:cs="Times New Roman"/>
          <w:szCs w:val="24"/>
        </w:rPr>
        <w:t>为</w:t>
      </w:r>
      <w:r>
        <w:rPr>
          <w:rFonts w:hint="eastAsia" w:ascii="宋体" w:hAnsi="宋体" w:eastAsia="宋体" w:cs="Times New Roman"/>
          <w:szCs w:val="24"/>
          <w:u w:val="single"/>
        </w:rPr>
        <w:t xml:space="preserve">   5   </w:t>
      </w:r>
      <w:r>
        <w:rPr>
          <w:rFonts w:ascii="宋体" w:hAnsi="宋体" w:eastAsia="宋体" w:cs="Times New Roman"/>
          <w:szCs w:val="24"/>
        </w:rPr>
        <w:t>年；</w:t>
      </w:r>
    </w:p>
    <w:p w14:paraId="6BBC2832">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3．</w:t>
      </w:r>
      <w:r>
        <w:rPr>
          <w:rFonts w:ascii="宋体" w:hAnsi="宋体" w:eastAsia="宋体" w:cs="Times New Roman"/>
          <w:szCs w:val="24"/>
        </w:rPr>
        <w:t>装修工程为</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2</w:t>
      </w:r>
      <w:r>
        <w:rPr>
          <w:rFonts w:ascii="Times New Roman" w:hAnsi="Times New Roman" w:eastAsia="宋体" w:cs="Times New Roman"/>
          <w:szCs w:val="24"/>
          <w:u w:val="single"/>
        </w:rPr>
        <w:t xml:space="preserve">   </w:t>
      </w:r>
      <w:r>
        <w:rPr>
          <w:rFonts w:ascii="宋体" w:hAnsi="宋体" w:eastAsia="宋体" w:cs="Times New Roman"/>
          <w:szCs w:val="24"/>
        </w:rPr>
        <w:t>年；</w:t>
      </w:r>
    </w:p>
    <w:p w14:paraId="2C5EFB34">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4．</w:t>
      </w:r>
      <w:r>
        <w:rPr>
          <w:rFonts w:ascii="宋体" w:hAnsi="宋体" w:eastAsia="宋体" w:cs="Times New Roman"/>
          <w:szCs w:val="24"/>
        </w:rPr>
        <w:t>电气管线、给排水管道、设备安装工程为</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2</w:t>
      </w:r>
      <w:r>
        <w:rPr>
          <w:rFonts w:ascii="Times New Roman" w:hAnsi="Times New Roman" w:eastAsia="宋体" w:cs="Times New Roman"/>
          <w:szCs w:val="24"/>
          <w:u w:val="single"/>
        </w:rPr>
        <w:t xml:space="preserve">    </w:t>
      </w:r>
      <w:r>
        <w:rPr>
          <w:rFonts w:ascii="宋体" w:hAnsi="宋体" w:eastAsia="宋体" w:cs="Times New Roman"/>
          <w:szCs w:val="24"/>
        </w:rPr>
        <w:t>年；</w:t>
      </w:r>
    </w:p>
    <w:p w14:paraId="52D7C93D">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5．</w:t>
      </w:r>
      <w:r>
        <w:rPr>
          <w:rFonts w:ascii="宋体" w:hAnsi="宋体" w:eastAsia="宋体" w:cs="Times New Roman"/>
          <w:szCs w:val="24"/>
        </w:rPr>
        <w:t>供热与供冷系统为</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2</w:t>
      </w:r>
      <w:r>
        <w:rPr>
          <w:rFonts w:ascii="Times New Roman" w:hAnsi="Times New Roman" w:eastAsia="宋体" w:cs="Times New Roman"/>
          <w:szCs w:val="24"/>
          <w:u w:val="single"/>
        </w:rPr>
        <w:t xml:space="preserve">    </w:t>
      </w:r>
      <w:r>
        <w:rPr>
          <w:rFonts w:ascii="宋体" w:hAnsi="宋体" w:eastAsia="宋体" w:cs="Times New Roman"/>
          <w:szCs w:val="24"/>
        </w:rPr>
        <w:t>个采暖期、供冷期；</w:t>
      </w:r>
    </w:p>
    <w:p w14:paraId="3B5010B6">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6．</w:t>
      </w:r>
      <w:r>
        <w:rPr>
          <w:rFonts w:ascii="宋体" w:hAnsi="宋体" w:eastAsia="宋体" w:cs="Times New Roman"/>
          <w:szCs w:val="24"/>
        </w:rPr>
        <w:t>住宅小区内的给排水设施、道路等配套工程为</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2</w:t>
      </w:r>
      <w:r>
        <w:rPr>
          <w:rFonts w:ascii="Times New Roman" w:hAnsi="Times New Roman" w:eastAsia="宋体" w:cs="Times New Roman"/>
          <w:szCs w:val="24"/>
          <w:u w:val="single"/>
        </w:rPr>
        <w:t xml:space="preserve">    </w:t>
      </w:r>
      <w:r>
        <w:rPr>
          <w:rFonts w:ascii="宋体" w:hAnsi="宋体" w:eastAsia="宋体" w:cs="Times New Roman"/>
          <w:szCs w:val="24"/>
        </w:rPr>
        <w:t>年；</w:t>
      </w:r>
    </w:p>
    <w:p w14:paraId="099DF102">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7．</w:t>
      </w:r>
      <w:r>
        <w:rPr>
          <w:rFonts w:ascii="宋体" w:hAnsi="宋体" w:eastAsia="宋体" w:cs="Times New Roman"/>
          <w:szCs w:val="24"/>
        </w:rPr>
        <w:t>其他项目保修期限：</w:t>
      </w:r>
      <w:r>
        <w:rPr>
          <w:rFonts w:ascii="Times New Roman" w:hAnsi="Times New Roman" w:eastAsia="宋体" w:cs="Times New Roman"/>
          <w:szCs w:val="24"/>
          <w:u w:val="single"/>
        </w:rPr>
        <w:t xml:space="preserve">   </w:t>
      </w:r>
      <w:r>
        <w:rPr>
          <w:rFonts w:hint="eastAsia" w:ascii="宋体" w:hAnsi="宋体" w:eastAsia="宋体" w:cs="Times New Roman"/>
          <w:szCs w:val="24"/>
          <w:u w:val="single"/>
        </w:rPr>
        <w:t>2</w:t>
      </w:r>
      <w:r>
        <w:rPr>
          <w:rFonts w:ascii="Times New Roman" w:hAnsi="Times New Roman" w:eastAsia="宋体" w:cs="Times New Roman"/>
          <w:szCs w:val="24"/>
          <w:u w:val="single"/>
        </w:rPr>
        <w:t xml:space="preserve">    </w:t>
      </w:r>
      <w:r>
        <w:rPr>
          <w:rFonts w:ascii="宋体" w:hAnsi="宋体" w:eastAsia="宋体" w:cs="Times New Roman"/>
          <w:szCs w:val="24"/>
        </w:rPr>
        <w:t>年</w:t>
      </w:r>
    </w:p>
    <w:p w14:paraId="0B3399DE">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质量保修期自工程竣工验收合格之日起计算。</w:t>
      </w:r>
    </w:p>
    <w:p w14:paraId="55A29FB5">
      <w:pPr>
        <w:spacing w:line="360" w:lineRule="exact"/>
        <w:ind w:firstLine="420" w:firstLineChars="200"/>
        <w:rPr>
          <w:rFonts w:ascii="Times New Roman" w:hAnsi="Times New Roman" w:eastAsia="黑体" w:cs="Times New Roman"/>
          <w:szCs w:val="24"/>
        </w:rPr>
      </w:pPr>
      <w:r>
        <w:rPr>
          <w:rFonts w:ascii="黑体" w:hAnsi="黑体" w:eastAsia="黑体" w:cs="Times New Roman"/>
          <w:szCs w:val="24"/>
        </w:rPr>
        <w:t>三、缺陷责任期</w:t>
      </w:r>
    </w:p>
    <w:p w14:paraId="5AD5B639">
      <w:pPr>
        <w:spacing w:line="360" w:lineRule="exact"/>
        <w:ind w:firstLine="420" w:firstLineChars="200"/>
        <w:rPr>
          <w:rFonts w:ascii="Times New Roman" w:hAnsi="Times New Roman" w:eastAsia="宋体" w:cs="Times New Roman"/>
          <w:szCs w:val="24"/>
        </w:rPr>
      </w:pPr>
      <w:r>
        <w:rPr>
          <w:rFonts w:ascii="宋体" w:hAnsi="宋体" w:eastAsia="宋体" w:cs="Times New Roman"/>
          <w:szCs w:val="24"/>
        </w:rPr>
        <w:t>工程缺陷责任期为</w:t>
      </w:r>
      <w:r>
        <w:rPr>
          <w:rFonts w:hint="eastAsia" w:ascii="宋体" w:hAnsi="宋体" w:eastAsia="宋体" w:cs="Times New Roman"/>
          <w:szCs w:val="24"/>
          <w:u w:val="single"/>
        </w:rPr>
        <w:t xml:space="preserve"> 24 </w:t>
      </w:r>
      <w:r>
        <w:rPr>
          <w:rFonts w:ascii="宋体" w:hAnsi="宋体" w:eastAsia="宋体" w:cs="Times New Roman"/>
          <w:szCs w:val="24"/>
        </w:rPr>
        <w:t>个月，缺陷责任期自工程竣工验收合格之日起计算。单位工程先于全部工程进行验收，单位工程缺陷责任期自单位工程验收合格之日起算。</w:t>
      </w:r>
    </w:p>
    <w:p w14:paraId="53BC8FE2">
      <w:pPr>
        <w:spacing w:line="360" w:lineRule="exact"/>
        <w:ind w:firstLine="420" w:firstLineChars="200"/>
        <w:rPr>
          <w:rFonts w:ascii="Times New Roman" w:hAnsi="Times New Roman" w:eastAsia="黑体" w:cs="Times New Roman"/>
          <w:szCs w:val="24"/>
        </w:rPr>
      </w:pPr>
      <w:r>
        <w:rPr>
          <w:rFonts w:ascii="黑体" w:hAnsi="黑体" w:eastAsia="黑体" w:cs="Times New Roman"/>
          <w:szCs w:val="24"/>
        </w:rPr>
        <w:t>四、质量保修责任</w:t>
      </w:r>
    </w:p>
    <w:p w14:paraId="03E8AF84">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1．</w:t>
      </w:r>
      <w:r>
        <w:rPr>
          <w:rFonts w:ascii="宋体" w:hAnsi="宋体" w:eastAsia="宋体" w:cs="Times New Roman"/>
          <w:szCs w:val="24"/>
        </w:rPr>
        <w:t>属于保修范围、内容的项目，承包人应当在接到保修通知之日起</w:t>
      </w:r>
      <w:r>
        <w:rPr>
          <w:rFonts w:ascii="Times New Roman" w:hAnsi="Times New Roman" w:eastAsia="宋体" w:cs="Times New Roman"/>
          <w:szCs w:val="24"/>
        </w:rPr>
        <w:t>7</w:t>
      </w:r>
      <w:r>
        <w:rPr>
          <w:rFonts w:ascii="宋体" w:hAnsi="宋体" w:eastAsia="宋体" w:cs="Times New Roman"/>
          <w:szCs w:val="24"/>
        </w:rPr>
        <w:t>天内派人保修。承包人不在约定期限内派人保修的，发包人可以委托他人修理。</w:t>
      </w:r>
    </w:p>
    <w:p w14:paraId="10A20956">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2．</w:t>
      </w:r>
      <w:r>
        <w:rPr>
          <w:rFonts w:ascii="宋体" w:hAnsi="宋体" w:eastAsia="宋体" w:cs="Times New Roman"/>
          <w:szCs w:val="24"/>
        </w:rPr>
        <w:t>发生紧急事故需抢修的，承包人在接到事故通知后，应当立即到达事故现场抢修。</w:t>
      </w:r>
    </w:p>
    <w:p w14:paraId="334CEC6E">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3．</w:t>
      </w:r>
      <w:r>
        <w:rPr>
          <w:rFonts w:ascii="宋体" w:hAnsi="宋体" w:eastAsia="宋体" w:cs="Times New Roman"/>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916F6AD">
      <w:pPr>
        <w:spacing w:line="360" w:lineRule="exact"/>
        <w:ind w:firstLine="420" w:firstLineChars="200"/>
        <w:rPr>
          <w:rFonts w:ascii="Times New Roman" w:hAnsi="Times New Roman" w:eastAsia="宋体" w:cs="Times New Roman"/>
          <w:szCs w:val="24"/>
        </w:rPr>
      </w:pPr>
      <w:r>
        <w:rPr>
          <w:rFonts w:hint="eastAsia" w:ascii="宋体" w:hAnsi="宋体" w:eastAsia="宋体" w:cs="Times New Roman"/>
          <w:szCs w:val="24"/>
        </w:rPr>
        <w:t>4．</w:t>
      </w:r>
      <w:r>
        <w:rPr>
          <w:rFonts w:ascii="宋体" w:hAnsi="宋体" w:eastAsia="宋体" w:cs="Times New Roman"/>
          <w:szCs w:val="24"/>
        </w:rPr>
        <w:t>质量保修完成后，由发包人组织验收。</w:t>
      </w:r>
    </w:p>
    <w:p w14:paraId="710225F5">
      <w:pPr>
        <w:spacing w:line="360" w:lineRule="exact"/>
        <w:ind w:firstLine="420" w:firstLineChars="200"/>
        <w:rPr>
          <w:rFonts w:ascii="Times New Roman" w:hAnsi="Times New Roman" w:eastAsia="黑体" w:cs="Times New Roman"/>
          <w:szCs w:val="24"/>
        </w:rPr>
      </w:pPr>
      <w:r>
        <w:rPr>
          <w:rFonts w:ascii="黑体" w:hAnsi="黑体" w:eastAsia="黑体" w:cs="Times New Roman"/>
          <w:szCs w:val="24"/>
        </w:rPr>
        <w:t>五、保修费用</w:t>
      </w:r>
    </w:p>
    <w:p w14:paraId="7A772368">
      <w:pPr>
        <w:spacing w:line="360" w:lineRule="exact"/>
        <w:ind w:firstLine="600"/>
        <w:rPr>
          <w:rFonts w:ascii="Times New Roman" w:hAnsi="Times New Roman" w:eastAsia="宋体" w:cs="Times New Roman"/>
          <w:szCs w:val="24"/>
        </w:rPr>
      </w:pPr>
      <w:r>
        <w:rPr>
          <w:rFonts w:ascii="宋体" w:hAnsi="宋体" w:eastAsia="宋体" w:cs="Times New Roman"/>
          <w:szCs w:val="24"/>
        </w:rPr>
        <w:t>保修费用由造成质量缺陷的责任方承担。</w:t>
      </w:r>
    </w:p>
    <w:p w14:paraId="47965347">
      <w:pPr>
        <w:spacing w:line="360" w:lineRule="exact"/>
        <w:ind w:firstLine="420" w:firstLineChars="200"/>
        <w:rPr>
          <w:rFonts w:hint="eastAsia" w:ascii="宋体" w:hAnsi="宋体" w:eastAsia="宋体" w:cs="Times New Roman"/>
          <w:szCs w:val="24"/>
        </w:rPr>
      </w:pPr>
      <w:r>
        <w:rPr>
          <w:rFonts w:hint="eastAsia" w:ascii="黑体" w:hAnsi="黑体" w:eastAsia="黑体" w:cs="Times New Roman"/>
          <w:szCs w:val="24"/>
        </w:rPr>
        <w:t>六</w:t>
      </w:r>
      <w:r>
        <w:rPr>
          <w:rFonts w:ascii="黑体" w:hAnsi="黑体" w:eastAsia="黑体" w:cs="Times New Roman"/>
          <w:szCs w:val="24"/>
        </w:rPr>
        <w:t>、双方约定的其他工程质量保修事项</w:t>
      </w:r>
      <w:r>
        <w:rPr>
          <w:rFonts w:ascii="宋体" w:hAnsi="宋体" w:eastAsia="宋体" w:cs="Times New Roman"/>
          <w:szCs w:val="24"/>
        </w:rPr>
        <w:t>：</w:t>
      </w:r>
      <w:r>
        <w:rPr>
          <w:rFonts w:hint="eastAsia" w:ascii="宋体" w:hAnsi="宋体" w:eastAsia="宋体" w:cs="Times New Roman"/>
          <w:szCs w:val="24"/>
          <w:u w:val="single"/>
        </w:rPr>
        <w:t>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由承包人承担</w:t>
      </w:r>
      <w:r>
        <w:rPr>
          <w:rFonts w:ascii="Times New Roman" w:hAnsi="Times New Roman" w:eastAsia="宋体" w:cs="Times New Roman"/>
          <w:szCs w:val="24"/>
          <w:u w:val="single"/>
        </w:rPr>
        <w:t xml:space="preserve"> </w:t>
      </w:r>
      <w:r>
        <w:rPr>
          <w:rFonts w:hint="eastAsia" w:ascii="宋体" w:hAnsi="宋体" w:eastAsia="宋体" w:cs="Times New Roman"/>
          <w:szCs w:val="24"/>
        </w:rPr>
        <w:t>。</w:t>
      </w:r>
    </w:p>
    <w:p w14:paraId="6D05A66E">
      <w:pPr>
        <w:spacing w:line="360" w:lineRule="exact"/>
        <w:ind w:firstLine="600"/>
        <w:rPr>
          <w:rFonts w:ascii="Times New Roman" w:hAnsi="Times New Roman" w:eastAsia="宋体" w:cs="Times New Roman"/>
          <w:szCs w:val="24"/>
        </w:rPr>
      </w:pPr>
      <w:r>
        <w:rPr>
          <w:rFonts w:ascii="宋体" w:hAnsi="宋体" w:eastAsia="宋体" w:cs="Times New Roman"/>
          <w:szCs w:val="24"/>
        </w:rPr>
        <w:t>工程质量保修书由发包人、承包人在工程竣工验收前共同签署，作为施工合同附件，其有效期限至保修期满。</w:t>
      </w:r>
    </w:p>
    <w:p w14:paraId="0CCEA96C">
      <w:pPr>
        <w:spacing w:line="360" w:lineRule="exact"/>
        <w:rPr>
          <w:rFonts w:ascii="Times New Roman" w:hAnsi="Times New Roman" w:eastAsia="宋体" w:cs="Times New Roman"/>
          <w:szCs w:val="24"/>
        </w:rPr>
      </w:pPr>
      <w:r>
        <w:rPr>
          <w:rFonts w:ascii="Times New Roman" w:hAnsi="Times New Roman" w:eastAsia="宋体" w:cs="Times New Roman"/>
          <w:szCs w:val="24"/>
        </w:rPr>
        <w:t xml:space="preserve"> </w:t>
      </w:r>
    </w:p>
    <w:p w14:paraId="6F465798">
      <w:pPr>
        <w:spacing w:line="600" w:lineRule="auto"/>
        <w:ind w:firstLine="850" w:firstLineChars="405"/>
        <w:rPr>
          <w:rFonts w:eastAsia="宋体"/>
          <w:szCs w:val="24"/>
        </w:rPr>
      </w:pPr>
      <w:r>
        <w:rPr>
          <w:rFonts w:ascii="宋体" w:hAnsi="宋体" w:eastAsia="宋体"/>
          <w:szCs w:val="24"/>
        </w:rPr>
        <w:t>发包人</w:t>
      </w:r>
      <w:r>
        <w:rPr>
          <w:rFonts w:hint="eastAsia" w:ascii="宋体" w:hAnsi="宋体" w:eastAsia="宋体"/>
          <w:szCs w:val="24"/>
        </w:rPr>
        <w:t>（</w:t>
      </w:r>
      <w:r>
        <w:rPr>
          <w:rFonts w:ascii="宋体" w:hAnsi="宋体" w:eastAsia="宋体"/>
          <w:szCs w:val="24"/>
        </w:rPr>
        <w:t>公章</w:t>
      </w:r>
      <w:r>
        <w:rPr>
          <w:rFonts w:hint="eastAsia" w:ascii="宋体" w:hAnsi="宋体" w:eastAsia="宋体"/>
          <w:szCs w:val="24"/>
        </w:rPr>
        <w:t>）</w:t>
      </w:r>
      <w:r>
        <w:rPr>
          <w:rFonts w:ascii="宋体" w:hAnsi="宋体" w:eastAsia="宋体"/>
          <w:szCs w:val="24"/>
        </w:rPr>
        <w:t>：</w:t>
      </w:r>
      <w:r>
        <w:rPr>
          <w:rFonts w:eastAsia="宋体"/>
          <w:szCs w:val="24"/>
          <w:u w:val="single"/>
        </w:rPr>
        <w:t xml:space="preserve"> </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eastAsia="宋体"/>
          <w:szCs w:val="24"/>
        </w:rPr>
        <w:t xml:space="preserve"> </w:t>
      </w:r>
      <w:r>
        <w:rPr>
          <w:rFonts w:hint="eastAsia" w:ascii="宋体" w:hAnsi="宋体" w:eastAsia="宋体"/>
          <w:szCs w:val="24"/>
        </w:rPr>
        <w:t xml:space="preserve"> </w:t>
      </w:r>
      <w:r>
        <w:rPr>
          <w:rFonts w:ascii="宋体" w:hAnsi="宋体" w:eastAsia="宋体"/>
          <w:szCs w:val="24"/>
        </w:rPr>
        <w:t>承包人</w:t>
      </w:r>
      <w:r>
        <w:rPr>
          <w:rFonts w:hint="eastAsia" w:ascii="宋体" w:hAnsi="宋体" w:eastAsia="宋体"/>
          <w:szCs w:val="24"/>
        </w:rPr>
        <w:t>（</w:t>
      </w:r>
      <w:r>
        <w:rPr>
          <w:rFonts w:ascii="宋体" w:hAnsi="宋体" w:eastAsia="宋体"/>
          <w:szCs w:val="24"/>
        </w:rPr>
        <w:t>公章</w:t>
      </w:r>
      <w:r>
        <w:rPr>
          <w:rFonts w:hint="eastAsia" w:ascii="宋体" w:hAnsi="宋体" w:eastAsia="宋体"/>
          <w:szCs w:val="24"/>
        </w:rPr>
        <w:t>）</w:t>
      </w:r>
      <w:r>
        <w:rPr>
          <w:rFonts w:ascii="宋体" w:hAnsi="宋体" w:eastAsia="宋体"/>
          <w:szCs w:val="24"/>
        </w:rPr>
        <w:t>：</w:t>
      </w:r>
      <w:r>
        <w:rPr>
          <w:rFonts w:hint="eastAsia" w:ascii="MingLiU_HKSCS" w:hAnsi="MingLiU_HKSCS" w:eastAsia="MingLiU_HKSCS" w:cs="MingLiU_HKSCS"/>
          <w:szCs w:val="24"/>
          <w:u w:val="single"/>
        </w:rPr>
        <w:t xml:space="preserve">   </w:t>
      </w:r>
      <w:r>
        <w:rPr>
          <w:rFonts w:hint="eastAsia" w:ascii="宋体" w:hAnsi="宋体" w:eastAsia="宋体"/>
          <w:szCs w:val="24"/>
          <w:u w:val="single"/>
        </w:rPr>
        <w:t xml:space="preserve">            </w:t>
      </w:r>
    </w:p>
    <w:p w14:paraId="789B475E">
      <w:pPr>
        <w:spacing w:line="600" w:lineRule="auto"/>
        <w:ind w:firstLine="850" w:firstLineChars="405"/>
        <w:rPr>
          <w:rFonts w:eastAsia="宋体"/>
          <w:szCs w:val="24"/>
        </w:rPr>
      </w:pPr>
      <w:r>
        <w:rPr>
          <w:rFonts w:ascii="宋体" w:hAnsi="宋体" w:eastAsia="宋体"/>
          <w:szCs w:val="24"/>
        </w:rPr>
        <w:t>地</w:t>
      </w:r>
      <w:r>
        <w:rPr>
          <w:rFonts w:eastAsia="宋体"/>
          <w:szCs w:val="24"/>
        </w:rPr>
        <w:t xml:space="preserve">  </w:t>
      </w:r>
      <w:r>
        <w:rPr>
          <w:rFonts w:ascii="宋体" w:hAnsi="宋体" w:eastAsia="宋体"/>
          <w:szCs w:val="24"/>
        </w:rPr>
        <w:t>址：</w:t>
      </w:r>
      <w:r>
        <w:rPr>
          <w:rFonts w:eastAsia="宋体"/>
          <w:szCs w:val="24"/>
          <w:u w:val="single"/>
        </w:rPr>
        <w:t xml:space="preserve"> </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hint="eastAsia" w:ascii="宋体" w:hAnsi="宋体" w:eastAsia="宋体"/>
          <w:szCs w:val="24"/>
        </w:rPr>
        <w:t xml:space="preserve">   </w:t>
      </w:r>
      <w:r>
        <w:rPr>
          <w:rFonts w:ascii="宋体" w:hAnsi="宋体" w:eastAsia="宋体"/>
          <w:szCs w:val="24"/>
        </w:rPr>
        <w:t>地</w:t>
      </w:r>
      <w:r>
        <w:rPr>
          <w:rFonts w:eastAsia="宋体"/>
          <w:szCs w:val="24"/>
        </w:rPr>
        <w:t xml:space="preserve">  </w:t>
      </w:r>
      <w:r>
        <w:rPr>
          <w:rFonts w:ascii="宋体" w:hAnsi="宋体" w:eastAsia="宋体"/>
          <w:szCs w:val="24"/>
        </w:rPr>
        <w:t>址：</w:t>
      </w:r>
      <w:r>
        <w:rPr>
          <w:rFonts w:hint="eastAsia" w:ascii="MingLiU_HKSCS" w:hAnsi="MingLiU_HKSCS" w:eastAsia="MingLiU_HKSCS" w:cs="MingLiU_HKSCS"/>
          <w:szCs w:val="24"/>
          <w:u w:val="single"/>
        </w:rPr>
        <w:t xml:space="preserve">                  </w:t>
      </w:r>
      <w:r>
        <w:rPr>
          <w:rFonts w:hint="eastAsia" w:ascii="宋体" w:hAnsi="宋体" w:eastAsia="宋体"/>
          <w:szCs w:val="24"/>
          <w:u w:val="single"/>
        </w:rPr>
        <w:t xml:space="preserve"> </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hint="eastAsia" w:ascii="宋体" w:hAnsi="宋体" w:eastAsia="宋体"/>
          <w:szCs w:val="24"/>
          <w:u w:val="single"/>
        </w:rPr>
        <w:t xml:space="preserve"> </w:t>
      </w:r>
      <w:r>
        <w:rPr>
          <w:rFonts w:eastAsia="宋体"/>
          <w:szCs w:val="24"/>
          <w:u w:val="single"/>
        </w:rPr>
        <w:t xml:space="preserve">    </w:t>
      </w:r>
      <w:r>
        <w:rPr>
          <w:rFonts w:hint="eastAsia" w:ascii="宋体" w:hAnsi="宋体" w:eastAsia="宋体"/>
          <w:szCs w:val="24"/>
          <w:u w:val="single"/>
        </w:rPr>
        <w:t xml:space="preserve"> </w:t>
      </w:r>
    </w:p>
    <w:p w14:paraId="780DE9BD">
      <w:pPr>
        <w:spacing w:line="600" w:lineRule="auto"/>
        <w:ind w:firstLine="850" w:firstLineChars="405"/>
        <w:rPr>
          <w:rFonts w:eastAsia="宋体"/>
          <w:szCs w:val="24"/>
        </w:rPr>
      </w:pPr>
      <w:r>
        <w:rPr>
          <w:rFonts w:ascii="宋体" w:hAnsi="宋体" w:eastAsia="宋体"/>
          <w:szCs w:val="24"/>
        </w:rPr>
        <w:t>法定代表人</w:t>
      </w:r>
      <w:r>
        <w:rPr>
          <w:rFonts w:hint="eastAsia" w:ascii="宋体" w:hAnsi="宋体" w:eastAsia="宋体"/>
          <w:szCs w:val="24"/>
        </w:rPr>
        <w:t>（</w:t>
      </w:r>
      <w:r>
        <w:rPr>
          <w:rFonts w:ascii="宋体" w:hAnsi="宋体" w:eastAsia="宋体"/>
          <w:szCs w:val="24"/>
        </w:rPr>
        <w:t>签字</w:t>
      </w:r>
      <w:r>
        <w:rPr>
          <w:rFonts w:hint="eastAsia" w:ascii="宋体" w:hAnsi="宋体" w:eastAsia="宋体"/>
          <w:szCs w:val="24"/>
        </w:rPr>
        <w:t>）</w:t>
      </w:r>
      <w:r>
        <w:rPr>
          <w:rFonts w:ascii="宋体" w:hAnsi="宋体" w:eastAsia="宋体"/>
          <w:szCs w:val="24"/>
        </w:rPr>
        <w:t>：</w:t>
      </w:r>
      <w:r>
        <w:rPr>
          <w:rFonts w:hint="eastAsia" w:ascii="MingLiU_HKSCS" w:hAnsi="MingLiU_HKSCS" w:eastAsia="MingLiU_HKSCS" w:cs="MingLiU_HKSCS"/>
          <w:szCs w:val="24"/>
          <w:u w:val="single"/>
        </w:rPr>
        <w:t xml:space="preserve">      </w:t>
      </w:r>
      <w:r>
        <w:rPr>
          <w:rFonts w:hint="eastAsia" w:ascii="宋体" w:hAnsi="宋体" w:eastAsia="宋体"/>
          <w:szCs w:val="24"/>
          <w:u w:val="single"/>
        </w:rPr>
        <w:t xml:space="preserve">    </w:t>
      </w:r>
      <w:r>
        <w:rPr>
          <w:rFonts w:eastAsia="宋体"/>
          <w:szCs w:val="24"/>
          <w:u w:val="single"/>
        </w:rPr>
        <w:t xml:space="preserve">  </w:t>
      </w:r>
      <w:r>
        <w:rPr>
          <w:rFonts w:eastAsia="宋体"/>
          <w:szCs w:val="24"/>
        </w:rPr>
        <w:t xml:space="preserve"> </w:t>
      </w:r>
      <w:r>
        <w:rPr>
          <w:rFonts w:ascii="宋体" w:hAnsi="宋体" w:eastAsia="宋体"/>
          <w:szCs w:val="24"/>
        </w:rPr>
        <w:t>法定代表人</w:t>
      </w:r>
      <w:r>
        <w:rPr>
          <w:rFonts w:hint="eastAsia" w:ascii="宋体" w:hAnsi="宋体" w:eastAsia="宋体"/>
          <w:szCs w:val="24"/>
        </w:rPr>
        <w:t>（</w:t>
      </w:r>
      <w:r>
        <w:rPr>
          <w:rFonts w:ascii="宋体" w:hAnsi="宋体" w:eastAsia="宋体"/>
          <w:szCs w:val="24"/>
        </w:rPr>
        <w:t>签字</w:t>
      </w:r>
      <w:r>
        <w:rPr>
          <w:rFonts w:hint="eastAsia" w:ascii="宋体" w:hAnsi="宋体" w:eastAsia="宋体"/>
          <w:szCs w:val="24"/>
        </w:rPr>
        <w:t>）</w:t>
      </w:r>
      <w:r>
        <w:rPr>
          <w:rFonts w:ascii="宋体" w:hAnsi="宋体" w:eastAsia="宋体"/>
          <w:szCs w:val="24"/>
        </w:rPr>
        <w:t>：</w:t>
      </w:r>
      <w:r>
        <w:rPr>
          <w:rFonts w:hint="eastAsia" w:ascii="MingLiU_HKSCS" w:hAnsi="MingLiU_HKSCS" w:eastAsia="MingLiU_HKSCS" w:cs="MingLiU_HKSCS"/>
          <w:szCs w:val="24"/>
          <w:u w:val="single"/>
        </w:rPr>
        <w:t xml:space="preserve">      </w:t>
      </w:r>
      <w:r>
        <w:rPr>
          <w:rFonts w:hint="eastAsia" w:ascii="宋体" w:hAnsi="宋体" w:eastAsia="宋体"/>
          <w:szCs w:val="24"/>
          <w:u w:val="single"/>
        </w:rPr>
        <w:t xml:space="preserve">      </w:t>
      </w:r>
      <w:r>
        <w:rPr>
          <w:rFonts w:eastAsia="宋体"/>
          <w:szCs w:val="24"/>
          <w:u w:val="single"/>
        </w:rPr>
        <w:t xml:space="preserve"> </w:t>
      </w:r>
    </w:p>
    <w:p w14:paraId="48CCFCF5">
      <w:pPr>
        <w:spacing w:line="600" w:lineRule="auto"/>
        <w:ind w:firstLine="850" w:firstLineChars="405"/>
        <w:rPr>
          <w:rFonts w:eastAsia="宋体"/>
          <w:szCs w:val="24"/>
        </w:rPr>
      </w:pPr>
      <w:r>
        <w:rPr>
          <w:rFonts w:ascii="宋体" w:hAnsi="宋体" w:eastAsia="宋体"/>
          <w:szCs w:val="24"/>
        </w:rPr>
        <w:t>委托代理人</w:t>
      </w:r>
      <w:r>
        <w:rPr>
          <w:rFonts w:hint="eastAsia" w:ascii="宋体" w:hAnsi="宋体" w:eastAsia="宋体"/>
          <w:szCs w:val="24"/>
        </w:rPr>
        <w:t>（</w:t>
      </w:r>
      <w:r>
        <w:rPr>
          <w:rFonts w:ascii="宋体" w:hAnsi="宋体" w:eastAsia="宋体"/>
          <w:szCs w:val="24"/>
        </w:rPr>
        <w:t>签字</w:t>
      </w:r>
      <w:r>
        <w:rPr>
          <w:rFonts w:hint="eastAsia" w:ascii="宋体" w:hAnsi="宋体" w:eastAsia="宋体"/>
          <w:szCs w:val="24"/>
        </w:rPr>
        <w:t>）</w:t>
      </w:r>
      <w:r>
        <w:rPr>
          <w:rFonts w:ascii="宋体" w:hAnsi="宋体" w:eastAsia="宋体"/>
          <w:szCs w:val="24"/>
        </w:rPr>
        <w:t>：</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eastAsia="宋体"/>
          <w:szCs w:val="24"/>
        </w:rPr>
        <w:t xml:space="preserve"> </w:t>
      </w:r>
      <w:r>
        <w:rPr>
          <w:rFonts w:ascii="宋体" w:hAnsi="宋体" w:eastAsia="宋体"/>
          <w:szCs w:val="24"/>
        </w:rPr>
        <w:t>委托代理人</w:t>
      </w:r>
      <w:r>
        <w:rPr>
          <w:rFonts w:hint="eastAsia" w:ascii="宋体" w:hAnsi="宋体" w:eastAsia="宋体"/>
          <w:szCs w:val="24"/>
        </w:rPr>
        <w:t>（</w:t>
      </w:r>
      <w:r>
        <w:rPr>
          <w:rFonts w:ascii="宋体" w:hAnsi="宋体" w:eastAsia="宋体"/>
          <w:szCs w:val="24"/>
        </w:rPr>
        <w:t>签字</w:t>
      </w:r>
      <w:r>
        <w:rPr>
          <w:rFonts w:hint="eastAsia" w:ascii="宋体" w:hAnsi="宋体" w:eastAsia="宋体"/>
          <w:szCs w:val="24"/>
        </w:rPr>
        <w:t>）</w:t>
      </w:r>
      <w:r>
        <w:rPr>
          <w:rFonts w:ascii="宋体" w:hAnsi="宋体" w:eastAsia="宋体"/>
          <w:szCs w:val="24"/>
        </w:rPr>
        <w:t>：</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hint="eastAsia" w:ascii="宋体" w:hAnsi="宋体" w:eastAsia="宋体"/>
          <w:szCs w:val="24"/>
          <w:u w:val="single"/>
        </w:rPr>
        <w:t xml:space="preserve"> </w:t>
      </w:r>
      <w:r>
        <w:rPr>
          <w:rFonts w:eastAsia="宋体"/>
          <w:szCs w:val="24"/>
          <w:u w:val="single"/>
        </w:rPr>
        <w:t xml:space="preserve">    </w:t>
      </w:r>
    </w:p>
    <w:p w14:paraId="7B11223C">
      <w:pPr>
        <w:spacing w:line="600" w:lineRule="auto"/>
        <w:ind w:firstLine="850" w:firstLineChars="405"/>
        <w:rPr>
          <w:rFonts w:eastAsia="宋体"/>
          <w:szCs w:val="24"/>
        </w:rPr>
      </w:pPr>
      <w:r>
        <w:rPr>
          <w:rFonts w:ascii="宋体" w:hAnsi="宋体" w:eastAsia="宋体"/>
          <w:szCs w:val="24"/>
        </w:rPr>
        <w:t>电</w:t>
      </w:r>
      <w:r>
        <w:rPr>
          <w:rFonts w:eastAsia="宋体"/>
          <w:szCs w:val="24"/>
        </w:rPr>
        <w:t xml:space="preserve">  </w:t>
      </w:r>
      <w:r>
        <w:rPr>
          <w:rFonts w:ascii="宋体" w:hAnsi="宋体" w:eastAsia="宋体"/>
          <w:szCs w:val="24"/>
        </w:rPr>
        <w:t>话：</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eastAsia="宋体"/>
          <w:szCs w:val="24"/>
        </w:rPr>
        <w:t xml:space="preserve"> </w:t>
      </w:r>
      <w:r>
        <w:rPr>
          <w:rFonts w:hint="eastAsia" w:ascii="宋体" w:hAnsi="宋体" w:eastAsia="宋体"/>
          <w:szCs w:val="24"/>
        </w:rPr>
        <w:t xml:space="preserve">  </w:t>
      </w:r>
      <w:r>
        <w:rPr>
          <w:rFonts w:ascii="宋体" w:hAnsi="宋体" w:eastAsia="宋体"/>
          <w:szCs w:val="24"/>
        </w:rPr>
        <w:t>电</w:t>
      </w:r>
      <w:r>
        <w:rPr>
          <w:rFonts w:eastAsia="宋体"/>
          <w:szCs w:val="24"/>
        </w:rPr>
        <w:t xml:space="preserve">  </w:t>
      </w:r>
      <w:r>
        <w:rPr>
          <w:rFonts w:ascii="宋体" w:hAnsi="宋体" w:eastAsia="宋体"/>
          <w:szCs w:val="24"/>
        </w:rPr>
        <w:t>话：</w:t>
      </w:r>
      <w:r>
        <w:rPr>
          <w:rFonts w:hint="eastAsia" w:ascii="MingLiU_HKSCS" w:hAnsi="MingLiU_HKSCS" w:eastAsia="MingLiU_HKSCS" w:cs="MingLiU_HKSCS"/>
          <w:szCs w:val="24"/>
          <w:u w:val="single"/>
        </w:rPr>
        <w:t xml:space="preserve">                        </w:t>
      </w:r>
      <w:r>
        <w:rPr>
          <w:rFonts w:hint="eastAsia" w:ascii="宋体" w:hAnsi="宋体" w:eastAsia="宋体"/>
          <w:szCs w:val="24"/>
          <w:u w:val="single"/>
        </w:rPr>
        <w:t xml:space="preserve">  </w:t>
      </w:r>
      <w:r>
        <w:rPr>
          <w:rFonts w:eastAsia="宋体"/>
          <w:szCs w:val="24"/>
          <w:u w:val="single"/>
        </w:rPr>
        <w:t xml:space="preserve">   </w:t>
      </w:r>
      <w:r>
        <w:rPr>
          <w:rFonts w:hint="eastAsia" w:ascii="宋体" w:hAnsi="宋体" w:eastAsia="宋体"/>
          <w:szCs w:val="24"/>
          <w:u w:val="single"/>
        </w:rPr>
        <w:t xml:space="preserve"> </w:t>
      </w:r>
    </w:p>
    <w:p w14:paraId="5B5B52D4">
      <w:pPr>
        <w:spacing w:line="600" w:lineRule="auto"/>
        <w:ind w:firstLine="850" w:firstLineChars="405"/>
        <w:rPr>
          <w:rFonts w:eastAsia="宋体"/>
          <w:szCs w:val="24"/>
        </w:rPr>
      </w:pPr>
      <w:r>
        <w:rPr>
          <w:rFonts w:ascii="宋体" w:hAnsi="宋体" w:eastAsia="宋体"/>
          <w:szCs w:val="24"/>
        </w:rPr>
        <w:t>传</w:t>
      </w:r>
      <w:r>
        <w:rPr>
          <w:rFonts w:eastAsia="宋体"/>
          <w:szCs w:val="24"/>
        </w:rPr>
        <w:t xml:space="preserve">  </w:t>
      </w:r>
      <w:r>
        <w:rPr>
          <w:rFonts w:ascii="宋体" w:hAnsi="宋体" w:eastAsia="宋体"/>
          <w:szCs w:val="24"/>
        </w:rPr>
        <w:t>真：</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eastAsia="宋体"/>
          <w:szCs w:val="24"/>
        </w:rPr>
        <w:t xml:space="preserve"> </w:t>
      </w:r>
      <w:r>
        <w:rPr>
          <w:rFonts w:hint="eastAsia" w:ascii="宋体" w:hAnsi="宋体" w:eastAsia="宋体"/>
          <w:szCs w:val="24"/>
        </w:rPr>
        <w:t xml:space="preserve">  </w:t>
      </w:r>
      <w:r>
        <w:rPr>
          <w:rFonts w:ascii="宋体" w:hAnsi="宋体" w:eastAsia="宋体"/>
          <w:szCs w:val="24"/>
        </w:rPr>
        <w:t>传</w:t>
      </w:r>
      <w:r>
        <w:rPr>
          <w:rFonts w:eastAsia="宋体"/>
          <w:szCs w:val="24"/>
        </w:rPr>
        <w:t xml:space="preserve">  </w:t>
      </w:r>
      <w:r>
        <w:rPr>
          <w:rFonts w:ascii="宋体" w:hAnsi="宋体" w:eastAsia="宋体"/>
          <w:szCs w:val="24"/>
        </w:rPr>
        <w:t>真：</w:t>
      </w:r>
      <w:r>
        <w:rPr>
          <w:rFonts w:hint="eastAsia" w:ascii="MingLiU_HKSCS" w:hAnsi="MingLiU_HKSCS" w:eastAsia="MingLiU_HKSCS" w:cs="MingLiU_HKSCS"/>
          <w:szCs w:val="24"/>
          <w:u w:val="single"/>
        </w:rPr>
        <w:t xml:space="preserve">                     </w:t>
      </w:r>
      <w:r>
        <w:rPr>
          <w:rFonts w:hint="eastAsia" w:ascii="宋体" w:hAnsi="宋体" w:eastAsia="宋体"/>
          <w:szCs w:val="24"/>
          <w:u w:val="single"/>
        </w:rPr>
        <w:t xml:space="preserve">  </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hint="eastAsia" w:ascii="宋体" w:hAnsi="宋体" w:eastAsia="宋体"/>
          <w:szCs w:val="24"/>
          <w:u w:val="single"/>
        </w:rPr>
        <w:t xml:space="preserve"> </w:t>
      </w:r>
    </w:p>
    <w:p w14:paraId="598572BE">
      <w:pPr>
        <w:spacing w:line="600" w:lineRule="auto"/>
        <w:ind w:firstLine="850" w:firstLineChars="405"/>
        <w:rPr>
          <w:rFonts w:eastAsia="宋体"/>
          <w:szCs w:val="24"/>
        </w:rPr>
      </w:pPr>
      <w:r>
        <w:rPr>
          <w:rFonts w:ascii="宋体" w:hAnsi="宋体" w:eastAsia="宋体"/>
          <w:szCs w:val="24"/>
        </w:rPr>
        <w:t>开户银行：</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eastAsia="宋体"/>
          <w:szCs w:val="24"/>
        </w:rPr>
        <w:t xml:space="preserve"> </w:t>
      </w:r>
      <w:r>
        <w:rPr>
          <w:rFonts w:hint="eastAsia" w:ascii="宋体" w:hAnsi="宋体" w:eastAsia="宋体"/>
          <w:szCs w:val="24"/>
        </w:rPr>
        <w:t xml:space="preserve">  </w:t>
      </w:r>
      <w:r>
        <w:rPr>
          <w:rFonts w:ascii="宋体" w:hAnsi="宋体" w:eastAsia="宋体"/>
          <w:szCs w:val="24"/>
        </w:rPr>
        <w:t>开户银行：</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hint="eastAsia" w:ascii="宋体" w:hAnsi="宋体" w:eastAsia="宋体"/>
          <w:szCs w:val="24"/>
          <w:u w:val="single"/>
        </w:rPr>
        <w:t xml:space="preserve"> </w:t>
      </w:r>
    </w:p>
    <w:p w14:paraId="6F8FDA28">
      <w:pPr>
        <w:spacing w:line="600" w:lineRule="auto"/>
        <w:ind w:firstLine="850" w:firstLineChars="405"/>
        <w:rPr>
          <w:rFonts w:eastAsia="宋体"/>
          <w:szCs w:val="24"/>
        </w:rPr>
      </w:pPr>
      <w:r>
        <w:rPr>
          <w:rFonts w:ascii="宋体" w:hAnsi="宋体" w:eastAsia="宋体"/>
          <w:szCs w:val="24"/>
        </w:rPr>
        <w:t>账</w:t>
      </w:r>
      <w:r>
        <w:rPr>
          <w:rFonts w:eastAsia="宋体"/>
          <w:szCs w:val="24"/>
        </w:rPr>
        <w:t xml:space="preserve">  </w:t>
      </w:r>
      <w:r>
        <w:rPr>
          <w:rFonts w:ascii="宋体" w:hAnsi="宋体" w:eastAsia="宋体"/>
          <w:szCs w:val="24"/>
        </w:rPr>
        <w:t>号：</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hint="eastAsia" w:ascii="宋体" w:hAnsi="宋体" w:eastAsia="宋体"/>
          <w:szCs w:val="24"/>
        </w:rPr>
        <w:t xml:space="preserve">    </w:t>
      </w:r>
      <w:r>
        <w:rPr>
          <w:rFonts w:ascii="宋体" w:hAnsi="宋体" w:eastAsia="宋体"/>
          <w:szCs w:val="24"/>
        </w:rPr>
        <w:t>账</w:t>
      </w:r>
      <w:r>
        <w:rPr>
          <w:rFonts w:hint="eastAsia" w:ascii="宋体" w:hAnsi="宋体" w:eastAsia="宋体"/>
          <w:szCs w:val="24"/>
        </w:rPr>
        <w:t xml:space="preserve"> </w:t>
      </w:r>
      <w:r>
        <w:rPr>
          <w:rFonts w:eastAsia="宋体"/>
          <w:szCs w:val="24"/>
        </w:rPr>
        <w:t xml:space="preserve"> </w:t>
      </w:r>
      <w:r>
        <w:rPr>
          <w:rFonts w:ascii="宋体" w:hAnsi="宋体" w:eastAsia="宋体"/>
          <w:szCs w:val="24"/>
        </w:rPr>
        <w:t>号：</w:t>
      </w:r>
      <w:r>
        <w:rPr>
          <w:rFonts w:hint="eastAsia" w:ascii="MingLiU_HKSCS" w:hAnsi="MingLiU_HKSCS" w:eastAsia="MingLiU_HKSCS" w:cs="MingLiU_HKSCS"/>
          <w:szCs w:val="24"/>
          <w:u w:val="single"/>
        </w:rPr>
        <w:t xml:space="preserve">                        </w:t>
      </w:r>
      <w:r>
        <w:rPr>
          <w:rFonts w:hint="eastAsia" w:ascii="宋体" w:hAnsi="宋体" w:eastAsia="宋体"/>
          <w:szCs w:val="24"/>
          <w:u w:val="single"/>
        </w:rPr>
        <w:t xml:space="preserve">  </w:t>
      </w:r>
      <w:r>
        <w:rPr>
          <w:rFonts w:eastAsia="宋体"/>
          <w:szCs w:val="24"/>
          <w:u w:val="single"/>
        </w:rPr>
        <w:t xml:space="preserve">  </w:t>
      </w:r>
      <w:r>
        <w:rPr>
          <w:rFonts w:hint="eastAsia" w:ascii="宋体" w:hAnsi="宋体" w:eastAsia="宋体"/>
          <w:szCs w:val="24"/>
          <w:u w:val="single"/>
        </w:rPr>
        <w:t xml:space="preserve"> </w:t>
      </w:r>
    </w:p>
    <w:p w14:paraId="7CB12963">
      <w:pPr>
        <w:pBdr>
          <w:bottom w:val="single" w:color="auto" w:sz="8" w:space="1"/>
        </w:pBdr>
        <w:spacing w:line="600" w:lineRule="auto"/>
        <w:ind w:firstLine="850" w:firstLineChars="405"/>
        <w:rPr>
          <w:rFonts w:eastAsia="宋体"/>
          <w:szCs w:val="24"/>
          <w:u w:val="single"/>
        </w:rPr>
      </w:pPr>
      <w:r>
        <w:rPr>
          <w:rFonts w:ascii="宋体" w:hAnsi="宋体" w:eastAsia="宋体"/>
          <w:szCs w:val="24"/>
        </w:rPr>
        <w:t>邮政编码：</w:t>
      </w:r>
      <w:r>
        <w:rPr>
          <w:rFonts w:eastAsia="宋体"/>
          <w:szCs w:val="24"/>
          <w:u w:val="single"/>
        </w:rPr>
        <w:t xml:space="preserve"> </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eastAsia="宋体"/>
          <w:szCs w:val="24"/>
        </w:rPr>
        <w:t xml:space="preserve"> </w:t>
      </w:r>
      <w:r>
        <w:rPr>
          <w:rFonts w:hint="eastAsia" w:ascii="宋体" w:hAnsi="宋体" w:eastAsia="宋体"/>
          <w:szCs w:val="24"/>
        </w:rPr>
        <w:t xml:space="preserve">  </w:t>
      </w:r>
      <w:r>
        <w:rPr>
          <w:rFonts w:ascii="宋体" w:hAnsi="宋体" w:eastAsia="宋体"/>
          <w:szCs w:val="24"/>
        </w:rPr>
        <w:t>邮政编码：</w:t>
      </w:r>
      <w:r>
        <w:rPr>
          <w:rFonts w:hint="eastAsia" w:ascii="MingLiU_HKSCS" w:hAnsi="MingLiU_HKSCS" w:eastAsia="MingLiU_HKSCS" w:cs="MingLiU_HKSCS"/>
          <w:szCs w:val="24"/>
          <w:u w:val="single"/>
        </w:rPr>
        <w:t xml:space="preserve">                        </w:t>
      </w:r>
      <w:r>
        <w:rPr>
          <w:rFonts w:eastAsia="宋体"/>
          <w:szCs w:val="24"/>
          <w:u w:val="single"/>
        </w:rPr>
        <w:t xml:space="preserve">  </w:t>
      </w:r>
      <w:r>
        <w:rPr>
          <w:rFonts w:hint="eastAsia" w:ascii="宋体" w:hAnsi="宋体" w:eastAsia="宋体"/>
          <w:szCs w:val="24"/>
          <w:u w:val="single"/>
        </w:rPr>
        <w:t xml:space="preserve"> </w:t>
      </w:r>
    </w:p>
    <w:p w14:paraId="338DBAB8">
      <w:pPr>
        <w:spacing w:line="360" w:lineRule="exact"/>
        <w:rPr>
          <w:rFonts w:hint="eastAsia" w:ascii="宋体" w:hAnsi="宋体" w:eastAsia="宋体" w:cs="Times New Roman"/>
          <w:szCs w:val="24"/>
          <w:u w:val="single"/>
        </w:rPr>
      </w:pPr>
    </w:p>
    <w:p w14:paraId="5F40F324">
      <w:pPr>
        <w:spacing w:after="120"/>
        <w:ind w:firstLine="210" w:firstLineChars="100"/>
        <w:rPr>
          <w:rFonts w:ascii="Times New Roman" w:hAnsi="Times New Roman" w:eastAsia="宋体" w:cs="Times New Roman"/>
          <w:szCs w:val="24"/>
        </w:rPr>
      </w:pPr>
    </w:p>
    <w:p w14:paraId="59BCA529">
      <w:pPr>
        <w:spacing w:after="120"/>
        <w:ind w:firstLine="210" w:firstLineChars="100"/>
        <w:rPr>
          <w:rFonts w:ascii="Times New Roman" w:hAnsi="Times New Roman" w:eastAsia="宋体" w:cs="Times New Roman"/>
          <w:szCs w:val="24"/>
        </w:rPr>
      </w:pPr>
    </w:p>
    <w:p w14:paraId="3519041D">
      <w:pPr>
        <w:adjustRightInd w:val="0"/>
        <w:spacing w:line="360" w:lineRule="exact"/>
        <w:ind w:firstLine="600" w:firstLineChars="200"/>
        <w:jc w:val="center"/>
        <w:rPr>
          <w:rFonts w:hint="eastAsia" w:ascii="黑体" w:hAnsi="黑体" w:eastAsia="黑体" w:cs="Times New Roman"/>
          <w:sz w:val="30"/>
          <w:szCs w:val="30"/>
        </w:rPr>
      </w:pPr>
    </w:p>
    <w:p w14:paraId="1BBFADCB">
      <w:pPr>
        <w:adjustRightInd w:val="0"/>
        <w:spacing w:line="360" w:lineRule="exact"/>
        <w:ind w:firstLine="600" w:firstLineChars="200"/>
        <w:jc w:val="left"/>
        <w:rPr>
          <w:rFonts w:hint="eastAsia" w:ascii="黑体" w:hAnsi="黑体" w:eastAsia="黑体" w:cs="Times New Roman"/>
          <w:sz w:val="30"/>
          <w:szCs w:val="30"/>
        </w:rPr>
      </w:pPr>
      <w:r>
        <w:rPr>
          <w:rFonts w:ascii="黑体" w:hAnsi="黑体" w:eastAsia="黑体" w:cs="Times New Roman"/>
          <w:sz w:val="30"/>
          <w:szCs w:val="30"/>
        </w:rPr>
        <w:br w:type="page"/>
      </w:r>
      <w:r>
        <w:rPr>
          <w:rFonts w:ascii="黑体" w:hAnsi="黑体" w:eastAsia="宋体" w:cs="Times New Roman"/>
          <w:szCs w:val="21"/>
        </w:rPr>
        <w:t>附件：</w:t>
      </w:r>
    </w:p>
    <w:p w14:paraId="237B15BF">
      <w:pPr>
        <w:adjustRightInd w:val="0"/>
        <w:spacing w:line="360" w:lineRule="exact"/>
        <w:ind w:firstLine="600" w:firstLineChars="200"/>
        <w:jc w:val="center"/>
        <w:rPr>
          <w:rFonts w:hint="eastAsia" w:ascii="黑体" w:hAnsi="黑体" w:eastAsia="黑体" w:cs="Times New Roman"/>
          <w:sz w:val="30"/>
          <w:szCs w:val="30"/>
        </w:rPr>
      </w:pPr>
    </w:p>
    <w:p w14:paraId="43FE016D">
      <w:pPr>
        <w:adjustRightInd w:val="0"/>
        <w:spacing w:line="360" w:lineRule="exact"/>
        <w:ind w:firstLine="600" w:firstLineChars="200"/>
        <w:jc w:val="center"/>
        <w:rPr>
          <w:rFonts w:hint="eastAsia" w:ascii="黑体" w:hAnsi="黑体" w:eastAsia="黑体" w:cs="Times New Roman"/>
          <w:sz w:val="28"/>
          <w:szCs w:val="28"/>
        </w:rPr>
      </w:pPr>
      <w:r>
        <w:rPr>
          <w:rFonts w:hint="eastAsia" w:ascii="黑体" w:hAnsi="黑体" w:eastAsia="黑体" w:cs="Times New Roman"/>
          <w:sz w:val="30"/>
          <w:szCs w:val="30"/>
        </w:rPr>
        <w:t>第四部分    工程建设项目廉政责任书</w:t>
      </w:r>
    </w:p>
    <w:p w14:paraId="02897F8E">
      <w:pPr>
        <w:autoSpaceDE w:val="0"/>
        <w:autoSpaceDN w:val="0"/>
        <w:spacing w:line="360" w:lineRule="exact"/>
        <w:ind w:firstLine="482"/>
        <w:rPr>
          <w:rFonts w:hint="eastAsia" w:ascii="宋体" w:hAnsi="宋体" w:eastAsia="宋体" w:cs="Times New Roman"/>
          <w:szCs w:val="24"/>
        </w:rPr>
      </w:pPr>
      <w:r>
        <w:rPr>
          <w:rFonts w:hint="eastAsia" w:ascii="宋体" w:hAnsi="宋体" w:eastAsia="宋体" w:cs="Times New Roman"/>
          <w:szCs w:val="24"/>
        </w:rPr>
        <w:t xml:space="preserve"> </w:t>
      </w:r>
    </w:p>
    <w:p w14:paraId="6FEF0C9A">
      <w:pPr>
        <w:autoSpaceDE w:val="0"/>
        <w:autoSpaceDN w:val="0"/>
        <w:spacing w:line="360" w:lineRule="exact"/>
        <w:ind w:firstLine="482"/>
        <w:rPr>
          <w:rFonts w:hint="eastAsia" w:ascii="宋体" w:hAnsi="宋体" w:eastAsia="宋体" w:cs="Times New Roman"/>
          <w:szCs w:val="24"/>
        </w:rPr>
      </w:pPr>
      <w:r>
        <w:rPr>
          <w:rFonts w:hint="eastAsia" w:ascii="宋体" w:hAnsi="宋体" w:eastAsia="宋体" w:cs="Times New Roman"/>
          <w:szCs w:val="24"/>
        </w:rPr>
        <w:t>工程项目名称：</w:t>
      </w:r>
      <w:r>
        <w:rPr>
          <w:rFonts w:hint="eastAsia" w:ascii="宋体" w:hAnsi="宋体" w:eastAsia="宋体" w:cs="Times New Roman"/>
          <w:szCs w:val="24"/>
          <w:u w:val="single"/>
        </w:rPr>
        <w:t xml:space="preserve">椒江区第五中学体育馆提升及室外配套工程    </w:t>
      </w:r>
    </w:p>
    <w:p w14:paraId="40C35B9F">
      <w:pPr>
        <w:autoSpaceDE w:val="0"/>
        <w:autoSpaceDN w:val="0"/>
        <w:spacing w:line="360" w:lineRule="exact"/>
        <w:ind w:firstLine="482"/>
        <w:rPr>
          <w:rFonts w:hint="eastAsia" w:ascii="宋体" w:hAnsi="宋体" w:eastAsia="宋体" w:cs="Times New Roman"/>
          <w:szCs w:val="24"/>
          <w:u w:val="single"/>
        </w:rPr>
      </w:pPr>
      <w:r>
        <w:rPr>
          <w:rFonts w:hint="eastAsia" w:ascii="宋体" w:hAnsi="宋体" w:eastAsia="宋体" w:cs="Times New Roman"/>
          <w:szCs w:val="24"/>
        </w:rPr>
        <w:t>工程项目地址：</w:t>
      </w:r>
      <w:r>
        <w:rPr>
          <w:rFonts w:hint="eastAsia" w:ascii="宋体" w:hAnsi="宋体" w:eastAsia="宋体" w:cs="Times New Roman"/>
          <w:szCs w:val="24"/>
          <w:u w:val="single"/>
        </w:rPr>
        <w:t>台州市椒江区第五中学</w:t>
      </w:r>
    </w:p>
    <w:p w14:paraId="219EADEB">
      <w:pPr>
        <w:autoSpaceDE w:val="0"/>
        <w:autoSpaceDN w:val="0"/>
        <w:spacing w:line="360" w:lineRule="exact"/>
        <w:ind w:firstLine="482"/>
        <w:rPr>
          <w:rFonts w:hint="eastAsia" w:ascii="宋体" w:hAnsi="宋体" w:eastAsia="宋体" w:cs="Times New Roman"/>
          <w:szCs w:val="24"/>
          <w:u w:val="single"/>
        </w:rPr>
      </w:pPr>
      <w:r>
        <w:rPr>
          <w:rFonts w:hint="eastAsia" w:ascii="宋体" w:hAnsi="宋体" w:eastAsia="宋体" w:cs="Times New Roman"/>
          <w:szCs w:val="24"/>
        </w:rPr>
        <w:t>建设单位（甲方）：</w:t>
      </w:r>
      <w:r>
        <w:rPr>
          <w:rFonts w:hint="eastAsia" w:ascii="宋体" w:hAnsi="宋体" w:eastAsia="宋体" w:cs="Times New Roman"/>
          <w:szCs w:val="24"/>
          <w:u w:val="single"/>
        </w:rPr>
        <w:t>台州市椒江区第五中学</w:t>
      </w:r>
    </w:p>
    <w:p w14:paraId="5F82CAF7">
      <w:pPr>
        <w:autoSpaceDE w:val="0"/>
        <w:autoSpaceDN w:val="0"/>
        <w:spacing w:line="360" w:lineRule="exact"/>
        <w:ind w:firstLine="482"/>
        <w:rPr>
          <w:rFonts w:hint="eastAsia" w:ascii="宋体" w:hAnsi="宋体" w:eastAsia="宋体" w:cs="Times New Roman"/>
          <w:szCs w:val="24"/>
        </w:rPr>
      </w:pPr>
      <w:r>
        <w:rPr>
          <w:rFonts w:hint="eastAsia" w:ascii="宋体" w:hAnsi="宋体" w:eastAsia="宋体" w:cs="Times New Roman"/>
          <w:szCs w:val="24"/>
        </w:rPr>
        <w:t>施工单位（乙方）：</w:t>
      </w:r>
      <w:r>
        <w:rPr>
          <w:rFonts w:hint="eastAsia" w:ascii="宋体" w:hAnsi="宋体" w:eastAsia="宋体" w:cs="Times New Roman"/>
          <w:szCs w:val="24"/>
          <w:u w:val="single"/>
        </w:rPr>
        <w:t xml:space="preserve">                               </w:t>
      </w:r>
      <w:r>
        <w:rPr>
          <w:rFonts w:hint="eastAsia" w:ascii="宋体" w:hAnsi="宋体" w:eastAsia="宋体" w:cs="Times New Roman"/>
          <w:szCs w:val="24"/>
        </w:rPr>
        <w:t>。</w:t>
      </w:r>
    </w:p>
    <w:p w14:paraId="37B14138">
      <w:pPr>
        <w:autoSpaceDE w:val="0"/>
        <w:autoSpaceDN w:val="0"/>
        <w:spacing w:line="360" w:lineRule="exact"/>
        <w:ind w:firstLine="482"/>
        <w:rPr>
          <w:rFonts w:hint="eastAsia" w:ascii="宋体" w:hAnsi="宋体" w:eastAsia="宋体" w:cs="Times New Roman"/>
          <w:szCs w:val="24"/>
        </w:rPr>
      </w:pPr>
      <w:r>
        <w:rPr>
          <w:rFonts w:hint="eastAsia" w:ascii="宋体" w:hAnsi="宋体" w:eastAsia="宋体" w:cs="Times New Roman"/>
          <w:szCs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261FD2DE">
      <w:pPr>
        <w:autoSpaceDE w:val="0"/>
        <w:autoSpaceDN w:val="0"/>
        <w:spacing w:line="360" w:lineRule="exact"/>
        <w:rPr>
          <w:rFonts w:hint="eastAsia" w:ascii="宋体" w:hAnsi="宋体" w:eastAsia="宋体" w:cs="Times New Roman"/>
          <w:szCs w:val="24"/>
        </w:rPr>
      </w:pPr>
      <w:r>
        <w:rPr>
          <w:rFonts w:hint="eastAsia" w:ascii="宋体" w:hAnsi="宋体" w:eastAsia="宋体" w:cs="Times New Roman"/>
          <w:szCs w:val="24"/>
        </w:rPr>
        <w:t xml:space="preserve">  第一条 甲乙双方的责任</w:t>
      </w:r>
    </w:p>
    <w:p w14:paraId="2DE95A1A">
      <w:pPr>
        <w:spacing w:line="360" w:lineRule="exact"/>
        <w:jc w:val="left"/>
        <w:rPr>
          <w:rFonts w:hint="eastAsia" w:ascii="Times New Roman" w:hAnsi="宋体" w:eastAsia="宋体" w:cs="Times New Roman"/>
          <w:szCs w:val="21"/>
        </w:rPr>
      </w:pPr>
      <w:r>
        <w:rPr>
          <w:rFonts w:hint="eastAsia" w:ascii="宋体" w:hAnsi="Times New Roman" w:eastAsia="宋体" w:cs="Times New Roman"/>
          <w:szCs w:val="21"/>
        </w:rPr>
        <w:t xml:space="preserve">  （一）应严格遵守国家关于市场准入、项目招标投标、工程建设、施工安装和市场活动等有关法律、法规，相关政策，以及廉政建设的各项规定。</w:t>
      </w:r>
    </w:p>
    <w:p w14:paraId="6C326DE9">
      <w:pPr>
        <w:autoSpaceDE w:val="0"/>
        <w:autoSpaceDN w:val="0"/>
        <w:spacing w:line="360" w:lineRule="exact"/>
        <w:rPr>
          <w:rFonts w:hint="eastAsia" w:ascii="宋体" w:hAnsi="宋体" w:eastAsia="宋体" w:cs="Times New Roman"/>
          <w:szCs w:val="24"/>
        </w:rPr>
      </w:pPr>
      <w:r>
        <w:rPr>
          <w:rFonts w:hint="eastAsia" w:ascii="宋体" w:hAnsi="宋体" w:eastAsia="宋体" w:cs="Times New Roman"/>
          <w:szCs w:val="24"/>
        </w:rPr>
        <w:t xml:space="preserve">  （二）严格执行建设工程项目承发包合同文件，自觉按合同办事。</w:t>
      </w:r>
    </w:p>
    <w:p w14:paraId="65AF7502">
      <w:pPr>
        <w:spacing w:line="360" w:lineRule="exact"/>
        <w:rPr>
          <w:rFonts w:hint="eastAsia" w:ascii="Times New Roman" w:hAnsi="宋体" w:eastAsia="宋体" w:cs="Times New Roman"/>
          <w:szCs w:val="21"/>
        </w:rPr>
      </w:pPr>
      <w:r>
        <w:rPr>
          <w:rFonts w:hint="eastAsia" w:ascii="宋体" w:hAnsi="Times New Roman" w:eastAsia="宋体" w:cs="Times New Roman"/>
          <w:szCs w:val="21"/>
        </w:rPr>
        <w:t xml:space="preserve">  （三）业务活动必须坚持公开、公平、公正、诚信、透明的原则（除法律法规另有规定者外），不得为获取不正当的利益，损害国家、集体和对方利益，不得违反工程建设管理、施工安装的规章制度。</w:t>
      </w:r>
    </w:p>
    <w:p w14:paraId="1728C730">
      <w:pPr>
        <w:spacing w:line="360" w:lineRule="exact"/>
        <w:jc w:val="left"/>
        <w:rPr>
          <w:rFonts w:ascii="Times New Roman" w:hAnsi="Times New Roman" w:eastAsia="宋体" w:cs="Times New Roman"/>
          <w:szCs w:val="21"/>
        </w:rPr>
      </w:pPr>
      <w:r>
        <w:rPr>
          <w:rFonts w:hint="eastAsia" w:ascii="宋体" w:hAnsi="Times New Roman" w:eastAsia="宋体" w:cs="Times New Roman"/>
          <w:szCs w:val="21"/>
        </w:rPr>
        <w:t xml:space="preserve">  （四）发现对方在业务活动中有违规、违纪、违法行为的，应及时提醒对方，情节严重的，应向其上级主管部门或纪检监察、司法等有关机关举报。</w:t>
      </w:r>
    </w:p>
    <w:p w14:paraId="126E40C6">
      <w:pPr>
        <w:autoSpaceDE w:val="0"/>
        <w:autoSpaceDN w:val="0"/>
        <w:spacing w:line="360" w:lineRule="exact"/>
        <w:rPr>
          <w:rFonts w:hint="eastAsia" w:ascii="宋体" w:hAnsi="宋体" w:eastAsia="宋体" w:cs="Times New Roman"/>
          <w:szCs w:val="24"/>
        </w:rPr>
      </w:pPr>
      <w:r>
        <w:rPr>
          <w:rFonts w:hint="eastAsia" w:ascii="宋体" w:hAnsi="宋体" w:eastAsia="宋体" w:cs="Times New Roman"/>
          <w:szCs w:val="24"/>
        </w:rPr>
        <w:t xml:space="preserve">  第二条 甲方的责任</w:t>
      </w:r>
    </w:p>
    <w:p w14:paraId="2AB7B895">
      <w:pPr>
        <w:autoSpaceDE w:val="0"/>
        <w:autoSpaceDN w:val="0"/>
        <w:spacing w:line="360" w:lineRule="exact"/>
        <w:rPr>
          <w:rFonts w:hint="eastAsia" w:ascii="宋体" w:hAnsi="宋体" w:eastAsia="宋体" w:cs="Times New Roman"/>
          <w:szCs w:val="24"/>
        </w:rPr>
      </w:pPr>
      <w:r>
        <w:rPr>
          <w:rFonts w:hint="eastAsia" w:ascii="宋体" w:hAnsi="宋体" w:eastAsia="宋体" w:cs="Times New Roman"/>
          <w:szCs w:val="24"/>
        </w:rPr>
        <w:t xml:space="preserve">  甲方的领导和从事该建设工程项目的工作人员，在工程建设的事前、事中、事后应遵守以下规定：</w:t>
      </w:r>
    </w:p>
    <w:p w14:paraId="6530FEFF">
      <w:pPr>
        <w:autoSpaceDE w:val="0"/>
        <w:autoSpaceDN w:val="0"/>
        <w:spacing w:line="360" w:lineRule="exact"/>
        <w:rPr>
          <w:rFonts w:hint="eastAsia" w:ascii="宋体" w:hAnsi="宋体" w:eastAsia="宋体" w:cs="Times New Roman"/>
          <w:szCs w:val="24"/>
        </w:rPr>
      </w:pPr>
      <w:r>
        <w:rPr>
          <w:rFonts w:hint="eastAsia" w:ascii="宋体" w:hAnsi="宋体" w:eastAsia="宋体" w:cs="Times New Roman"/>
          <w:szCs w:val="24"/>
        </w:rPr>
        <w:t xml:space="preserve">  （一）不准向乙方和相关单位索要或接受回扣、礼金、有价证券、贵重物品和好处费、感谢费等。</w:t>
      </w:r>
    </w:p>
    <w:p w14:paraId="23B378CC">
      <w:pPr>
        <w:autoSpaceDE w:val="0"/>
        <w:autoSpaceDN w:val="0"/>
        <w:spacing w:line="360" w:lineRule="exact"/>
        <w:rPr>
          <w:rFonts w:hint="eastAsia" w:ascii="宋体" w:hAnsi="宋体" w:eastAsia="宋体" w:cs="Times New Roman"/>
          <w:szCs w:val="24"/>
        </w:rPr>
      </w:pPr>
      <w:r>
        <w:rPr>
          <w:rFonts w:hint="eastAsia" w:ascii="宋体" w:hAnsi="宋体" w:eastAsia="宋体" w:cs="Times New Roman"/>
          <w:szCs w:val="24"/>
        </w:rPr>
        <w:t xml:space="preserve">  （二）不准在乙方和相关单位报销任何应由甲方或个人支付的费用。</w:t>
      </w:r>
    </w:p>
    <w:p w14:paraId="372DDCC3">
      <w:pPr>
        <w:spacing w:line="360" w:lineRule="exact"/>
        <w:jc w:val="left"/>
        <w:rPr>
          <w:rFonts w:hint="eastAsia" w:ascii="Times New Roman" w:hAnsi="宋体" w:eastAsia="宋体" w:cs="Times New Roman"/>
          <w:szCs w:val="21"/>
        </w:rPr>
      </w:pPr>
      <w:r>
        <w:rPr>
          <w:rFonts w:hint="eastAsia" w:ascii="宋体" w:hAnsi="Times New Roman" w:eastAsia="宋体" w:cs="Times New Roman"/>
          <w:szCs w:val="21"/>
        </w:rPr>
        <w:t xml:space="preserve">  （三）不准要求、暗示和接受乙方和相关单位为个人装修住房、婚丧嫁娶、配偶子女的工作安排以及出国（境）、旅游等提供方便。</w:t>
      </w:r>
    </w:p>
    <w:p w14:paraId="757AF695">
      <w:pPr>
        <w:autoSpaceDE w:val="0"/>
        <w:autoSpaceDN w:val="0"/>
        <w:spacing w:line="360" w:lineRule="exact"/>
        <w:rPr>
          <w:rFonts w:hint="eastAsia" w:ascii="宋体" w:hAnsi="宋体" w:eastAsia="宋体" w:cs="Times New Roman"/>
          <w:szCs w:val="24"/>
        </w:rPr>
      </w:pPr>
      <w:r>
        <w:rPr>
          <w:rFonts w:hint="eastAsia" w:ascii="宋体" w:hAnsi="宋体" w:eastAsia="宋体" w:cs="Times New Roman"/>
          <w:szCs w:val="24"/>
        </w:rPr>
        <w:t xml:space="preserve">  （四）不准参加有可能影响公正执行公务的乙方和相关单位的宴请和健身、娱乐等活动。</w:t>
      </w:r>
    </w:p>
    <w:p w14:paraId="0952B8DB">
      <w:pPr>
        <w:spacing w:line="360" w:lineRule="exact"/>
        <w:jc w:val="left"/>
        <w:rPr>
          <w:rFonts w:hint="eastAsia" w:ascii="Times New Roman" w:hAnsi="宋体" w:eastAsia="宋体" w:cs="Times New Roman"/>
          <w:szCs w:val="21"/>
        </w:rPr>
      </w:pPr>
      <w:r>
        <w:rPr>
          <w:rFonts w:hint="eastAsia" w:ascii="宋体" w:hAnsi="Times New Roman" w:eastAsia="宋体" w:cs="Times New Roman"/>
          <w:szCs w:val="21"/>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458A4D73">
      <w:pPr>
        <w:autoSpaceDE w:val="0"/>
        <w:autoSpaceDN w:val="0"/>
        <w:spacing w:line="360" w:lineRule="exact"/>
        <w:rPr>
          <w:rFonts w:hint="eastAsia" w:ascii="宋体" w:hAnsi="宋体" w:eastAsia="宋体" w:cs="Times New Roman"/>
          <w:szCs w:val="24"/>
        </w:rPr>
      </w:pPr>
      <w:r>
        <w:rPr>
          <w:rFonts w:hint="eastAsia" w:ascii="宋体" w:hAnsi="宋体" w:eastAsia="宋体" w:cs="Times New Roman"/>
          <w:szCs w:val="24"/>
        </w:rPr>
        <w:t xml:space="preserve">  第三条 乙方的责任</w:t>
      </w:r>
    </w:p>
    <w:p w14:paraId="65CA0ED7">
      <w:pPr>
        <w:spacing w:line="360" w:lineRule="exact"/>
        <w:jc w:val="left"/>
        <w:rPr>
          <w:rFonts w:hint="eastAsia" w:ascii="Times New Roman" w:hAnsi="宋体" w:eastAsia="宋体" w:cs="Times New Roman"/>
          <w:szCs w:val="21"/>
        </w:rPr>
      </w:pPr>
      <w:r>
        <w:rPr>
          <w:rFonts w:hint="eastAsia" w:ascii="宋体" w:hAnsi="Times New Roman" w:eastAsia="宋体" w:cs="Times New Roman"/>
          <w:szCs w:val="21"/>
        </w:rPr>
        <w:t xml:space="preserve">  应与甲方保持正常的业务交往，按照有关法律法规和程序开展业务工作，严格执行工程建设的有关方针、政策，尤其是有关建筑施工安装的强制性标准和规范，并遵守以下规定：</w:t>
      </w:r>
    </w:p>
    <w:p w14:paraId="13A834AF">
      <w:pPr>
        <w:spacing w:line="360" w:lineRule="exact"/>
        <w:jc w:val="left"/>
        <w:rPr>
          <w:rFonts w:ascii="Times New Roman" w:hAnsi="Times New Roman" w:eastAsia="宋体" w:cs="Times New Roman"/>
          <w:szCs w:val="21"/>
        </w:rPr>
      </w:pPr>
      <w:r>
        <w:rPr>
          <w:rFonts w:hint="eastAsia" w:ascii="宋体" w:hAnsi="Times New Roman" w:eastAsia="宋体" w:cs="Times New Roman"/>
          <w:szCs w:val="21"/>
        </w:rPr>
        <w:t xml:space="preserve">  （一）不准以任何理由向甲方、相关单位及其工作人员索要、接受或赠送礼金、有价证券、贵重物品和回扣、好处费、感谢费等。</w:t>
      </w:r>
    </w:p>
    <w:p w14:paraId="36F9EA9A">
      <w:pPr>
        <w:autoSpaceDE w:val="0"/>
        <w:autoSpaceDN w:val="0"/>
        <w:spacing w:line="360" w:lineRule="exact"/>
        <w:rPr>
          <w:rFonts w:hint="eastAsia" w:ascii="宋体" w:hAnsi="宋体" w:eastAsia="宋体" w:cs="Times New Roman"/>
          <w:szCs w:val="24"/>
        </w:rPr>
      </w:pPr>
      <w:r>
        <w:rPr>
          <w:rFonts w:hint="eastAsia" w:ascii="宋体" w:hAnsi="宋体" w:eastAsia="宋体" w:cs="Times New Roman"/>
          <w:szCs w:val="24"/>
        </w:rPr>
        <w:t xml:space="preserve">  （二）不准以任何理由为甲方和相关单位报销应由对方或个人支付的费用。</w:t>
      </w:r>
    </w:p>
    <w:p w14:paraId="2CA9E54C">
      <w:pPr>
        <w:spacing w:line="360" w:lineRule="exact"/>
        <w:jc w:val="left"/>
        <w:rPr>
          <w:rFonts w:hint="eastAsia" w:ascii="Times New Roman" w:hAnsi="宋体" w:eastAsia="宋体" w:cs="Times New Roman"/>
          <w:szCs w:val="21"/>
        </w:rPr>
      </w:pPr>
      <w:r>
        <w:rPr>
          <w:rFonts w:hint="eastAsia" w:ascii="宋体" w:hAnsi="Times New Roman" w:eastAsia="宋体" w:cs="Times New Roman"/>
          <w:szCs w:val="21"/>
        </w:rPr>
        <w:t xml:space="preserve">  （三）不准接受或暗示为甲方、相关单位或个人装修住房、婚丧嫁娶、配偶子女的工作安排以及出国（境）、旅游等提供方便。</w:t>
      </w:r>
    </w:p>
    <w:p w14:paraId="0CCE55CD">
      <w:pPr>
        <w:spacing w:line="360" w:lineRule="exact"/>
        <w:jc w:val="left"/>
        <w:rPr>
          <w:rFonts w:ascii="Times New Roman" w:hAnsi="Times New Roman" w:eastAsia="宋体" w:cs="Times New Roman"/>
          <w:szCs w:val="21"/>
        </w:rPr>
      </w:pPr>
      <w:r>
        <w:rPr>
          <w:rFonts w:hint="eastAsia" w:ascii="宋体" w:hAnsi="Times New Roman" w:eastAsia="宋体" w:cs="Times New Roman"/>
          <w:szCs w:val="21"/>
        </w:rPr>
        <w:t xml:space="preserve">  （四）不准以任何理由为甲方、相关单位或个人组织有可能影响公正执行公务的宴请、健身、娱乐等活动。</w:t>
      </w:r>
    </w:p>
    <w:p w14:paraId="62BE4DFF">
      <w:pPr>
        <w:autoSpaceDE w:val="0"/>
        <w:autoSpaceDN w:val="0"/>
        <w:spacing w:line="360" w:lineRule="exact"/>
        <w:rPr>
          <w:rFonts w:hint="eastAsia" w:ascii="宋体" w:hAnsi="宋体" w:eastAsia="宋体" w:cs="Times New Roman"/>
          <w:szCs w:val="24"/>
        </w:rPr>
      </w:pPr>
      <w:r>
        <w:rPr>
          <w:rFonts w:hint="eastAsia" w:ascii="宋体" w:hAnsi="宋体" w:eastAsia="宋体" w:cs="Times New Roman"/>
          <w:szCs w:val="24"/>
        </w:rPr>
        <w:t xml:space="preserve">  第四条 违约责任</w:t>
      </w:r>
    </w:p>
    <w:p w14:paraId="39C31624">
      <w:pPr>
        <w:spacing w:line="360" w:lineRule="exact"/>
        <w:jc w:val="left"/>
        <w:rPr>
          <w:rFonts w:hint="eastAsia" w:ascii="Times New Roman" w:hAnsi="宋体" w:eastAsia="宋体" w:cs="Times New Roman"/>
          <w:szCs w:val="21"/>
        </w:rPr>
      </w:pPr>
      <w:r>
        <w:rPr>
          <w:rFonts w:hint="eastAsia" w:ascii="宋体" w:hAnsi="Times New Roman" w:eastAsia="宋体" w:cs="Times New Roman"/>
          <w:szCs w:val="21"/>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C352924">
      <w:pPr>
        <w:spacing w:line="360" w:lineRule="exact"/>
        <w:jc w:val="left"/>
        <w:rPr>
          <w:rFonts w:ascii="Times New Roman" w:hAnsi="Times New Roman" w:eastAsia="宋体" w:cs="Times New Roman"/>
          <w:szCs w:val="21"/>
        </w:rPr>
      </w:pPr>
      <w:r>
        <w:rPr>
          <w:rFonts w:hint="eastAsia" w:ascii="宋体" w:hAnsi="Times New Roman" w:eastAsia="宋体" w:cs="Times New Roman"/>
          <w:szCs w:val="21"/>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E77F72F">
      <w:pPr>
        <w:autoSpaceDE w:val="0"/>
        <w:autoSpaceDN w:val="0"/>
        <w:spacing w:line="360" w:lineRule="exact"/>
        <w:rPr>
          <w:rFonts w:hint="eastAsia" w:ascii="宋体" w:hAnsi="宋体" w:eastAsia="宋体" w:cs="Times New Roman"/>
          <w:szCs w:val="24"/>
        </w:rPr>
      </w:pPr>
      <w:r>
        <w:rPr>
          <w:rFonts w:hint="eastAsia" w:ascii="宋体" w:hAnsi="宋体" w:eastAsia="宋体" w:cs="Times New Roman"/>
          <w:szCs w:val="24"/>
        </w:rPr>
        <w:t xml:space="preserve">  第五条 本责任书作为工程施工合同的附件，与工程施工合同具有同等法律效力。经双方签署后立即生效。</w:t>
      </w:r>
    </w:p>
    <w:p w14:paraId="0B52AD41">
      <w:pPr>
        <w:autoSpaceDE w:val="0"/>
        <w:autoSpaceDN w:val="0"/>
        <w:spacing w:line="360" w:lineRule="exact"/>
        <w:rPr>
          <w:rFonts w:hint="eastAsia" w:ascii="宋体" w:hAnsi="宋体" w:eastAsia="宋体" w:cs="Times New Roman"/>
          <w:szCs w:val="24"/>
        </w:rPr>
      </w:pPr>
      <w:r>
        <w:rPr>
          <w:rFonts w:hint="eastAsia" w:ascii="宋体" w:hAnsi="宋体" w:eastAsia="宋体" w:cs="Times New Roman"/>
          <w:szCs w:val="24"/>
        </w:rPr>
        <w:t xml:space="preserve">  第六条 本责任书的有效期为双方签署之日起至该工程项目竣工验收合格时止。</w:t>
      </w:r>
    </w:p>
    <w:p w14:paraId="7DCD4EBB">
      <w:pPr>
        <w:autoSpaceDE w:val="0"/>
        <w:autoSpaceDN w:val="0"/>
        <w:spacing w:line="360" w:lineRule="exact"/>
        <w:rPr>
          <w:rFonts w:hint="eastAsia" w:ascii="宋体" w:hAnsi="宋体" w:eastAsia="宋体" w:cs="Times New Roman"/>
          <w:szCs w:val="24"/>
        </w:rPr>
      </w:pPr>
      <w:r>
        <w:rPr>
          <w:rFonts w:hint="eastAsia" w:ascii="宋体" w:hAnsi="宋体" w:eastAsia="宋体" w:cs="Times New Roman"/>
          <w:szCs w:val="24"/>
        </w:rPr>
        <w:t xml:space="preserve">  第七条 本责任书一式四份，由甲乙双方各执一份，送交甲乙双方的监督单位各一份。</w:t>
      </w:r>
    </w:p>
    <w:p w14:paraId="48525E02">
      <w:pPr>
        <w:autoSpaceDE w:val="0"/>
        <w:autoSpaceDN w:val="0"/>
        <w:spacing w:line="360" w:lineRule="exact"/>
        <w:ind w:firstLine="482"/>
        <w:rPr>
          <w:rFonts w:hint="eastAsia" w:ascii="宋体" w:hAnsi="宋体" w:eastAsia="宋体" w:cs="Times New Roman"/>
          <w:szCs w:val="24"/>
        </w:rPr>
      </w:pPr>
      <w:r>
        <w:rPr>
          <w:rFonts w:hint="eastAsia" w:ascii="宋体" w:hAnsi="宋体" w:eastAsia="宋体" w:cs="Times New Roman"/>
          <w:szCs w:val="24"/>
        </w:rPr>
        <w:t xml:space="preserve"> </w:t>
      </w:r>
    </w:p>
    <w:p w14:paraId="1AED5928">
      <w:pPr>
        <w:autoSpaceDE w:val="0"/>
        <w:autoSpaceDN w:val="0"/>
        <w:spacing w:line="360" w:lineRule="exact"/>
        <w:ind w:firstLine="482"/>
        <w:rPr>
          <w:rFonts w:hint="eastAsia" w:ascii="宋体" w:hAnsi="宋体" w:eastAsia="宋体" w:cs="Times New Roman"/>
          <w:szCs w:val="24"/>
        </w:rPr>
      </w:pPr>
      <w:r>
        <w:rPr>
          <w:rFonts w:hint="eastAsia" w:ascii="宋体" w:hAnsi="宋体" w:eastAsia="宋体" w:cs="Times New Roman"/>
          <w:szCs w:val="24"/>
        </w:rPr>
        <w:t xml:space="preserve"> </w:t>
      </w:r>
    </w:p>
    <w:p w14:paraId="1E8212A0">
      <w:pPr>
        <w:autoSpaceDE w:val="0"/>
        <w:autoSpaceDN w:val="0"/>
        <w:spacing w:line="600" w:lineRule="auto"/>
        <w:ind w:firstLine="993"/>
        <w:rPr>
          <w:rFonts w:hint="eastAsia" w:ascii="宋体" w:hAnsi="宋体" w:eastAsia="宋体"/>
          <w:szCs w:val="24"/>
        </w:rPr>
      </w:pPr>
      <w:r>
        <w:rPr>
          <w:rFonts w:hint="eastAsia" w:ascii="宋体" w:hAnsi="宋体" w:eastAsia="宋体"/>
          <w:szCs w:val="24"/>
        </w:rPr>
        <w:t>甲方单位：（盖章）                     乙方单位：（盖章）</w:t>
      </w:r>
    </w:p>
    <w:p w14:paraId="7F113559">
      <w:pPr>
        <w:autoSpaceDE w:val="0"/>
        <w:autoSpaceDN w:val="0"/>
        <w:spacing w:line="600" w:lineRule="auto"/>
        <w:ind w:firstLine="993"/>
        <w:rPr>
          <w:rFonts w:hint="eastAsia" w:ascii="宋体" w:hAnsi="宋体" w:eastAsia="宋体"/>
          <w:szCs w:val="24"/>
        </w:rPr>
      </w:pPr>
      <w:r>
        <w:rPr>
          <w:rFonts w:hint="eastAsia" w:ascii="宋体" w:hAnsi="宋体" w:eastAsia="宋体"/>
          <w:szCs w:val="24"/>
        </w:rPr>
        <w:t>法定代表人：                          法定代表人：</w:t>
      </w:r>
    </w:p>
    <w:p w14:paraId="5238A47F">
      <w:pPr>
        <w:autoSpaceDE w:val="0"/>
        <w:autoSpaceDN w:val="0"/>
        <w:spacing w:line="600" w:lineRule="auto"/>
        <w:ind w:firstLine="993"/>
        <w:rPr>
          <w:rFonts w:hint="eastAsia" w:ascii="宋体" w:hAnsi="宋体" w:eastAsia="宋体"/>
          <w:szCs w:val="24"/>
        </w:rPr>
      </w:pPr>
      <w:r>
        <w:rPr>
          <w:rFonts w:hint="eastAsia" w:ascii="宋体" w:hAnsi="宋体" w:eastAsia="宋体"/>
          <w:szCs w:val="24"/>
        </w:rPr>
        <w:t>地址：                                地址：</w:t>
      </w:r>
    </w:p>
    <w:p w14:paraId="620B7E11">
      <w:pPr>
        <w:autoSpaceDE w:val="0"/>
        <w:autoSpaceDN w:val="0"/>
        <w:spacing w:line="600" w:lineRule="auto"/>
        <w:ind w:firstLine="993"/>
        <w:rPr>
          <w:rFonts w:hint="eastAsia" w:ascii="宋体" w:hAnsi="宋体" w:eastAsia="宋体"/>
          <w:szCs w:val="24"/>
        </w:rPr>
      </w:pPr>
      <w:r>
        <w:rPr>
          <w:rFonts w:hint="eastAsia" w:ascii="宋体" w:hAnsi="宋体" w:eastAsia="宋体"/>
          <w:szCs w:val="24"/>
        </w:rPr>
        <w:t>电话：                                电话：</w:t>
      </w:r>
    </w:p>
    <w:p w14:paraId="6DF03B86">
      <w:pPr>
        <w:autoSpaceDE w:val="0"/>
        <w:autoSpaceDN w:val="0"/>
        <w:spacing w:line="600" w:lineRule="auto"/>
        <w:ind w:firstLine="993"/>
        <w:rPr>
          <w:rFonts w:hint="eastAsia" w:ascii="宋体" w:hAnsi="宋体" w:eastAsia="宋体"/>
          <w:szCs w:val="24"/>
        </w:rPr>
      </w:pPr>
      <w:r>
        <w:rPr>
          <w:rFonts w:hint="eastAsia" w:ascii="宋体" w:hAnsi="宋体" w:eastAsia="宋体"/>
          <w:szCs w:val="24"/>
        </w:rPr>
        <w:t>年    月    日                        年    月    日</w:t>
      </w:r>
    </w:p>
    <w:p w14:paraId="34286C5B">
      <w:pPr>
        <w:tabs>
          <w:tab w:val="left" w:pos="420"/>
        </w:tabs>
        <w:spacing w:before="100" w:line="400" w:lineRule="exact"/>
        <w:rPr>
          <w:rFonts w:ascii="Times New Roman" w:hAnsi="Times New Roman" w:eastAsia="黑体" w:cs="宋体"/>
          <w:bCs/>
          <w:sz w:val="28"/>
          <w:szCs w:val="20"/>
        </w:rPr>
      </w:pPr>
    </w:p>
    <w:p w14:paraId="0DD1AF76">
      <w:pPr>
        <w:adjustRightInd w:val="0"/>
        <w:snapToGrid w:val="0"/>
        <w:spacing w:line="360" w:lineRule="exact"/>
        <w:rPr>
          <w:rFonts w:hint="eastAsia" w:ascii="宋体" w:hAnsi="宋体" w:eastAsia="宋体" w:cs="Times New Roman"/>
          <w:szCs w:val="21"/>
          <w:u w:val="single"/>
        </w:rPr>
      </w:pPr>
    </w:p>
    <w:p w14:paraId="4044F186">
      <w:pPr>
        <w:spacing w:line="360" w:lineRule="auto"/>
        <w:rPr>
          <w:rFonts w:hint="eastAsia" w:ascii="宋体" w:hAnsi="宋体"/>
          <w:sz w:val="24"/>
        </w:rPr>
      </w:pPr>
    </w:p>
    <w:p w14:paraId="2FF2693D">
      <w:pPr>
        <w:spacing w:line="480" w:lineRule="auto"/>
        <w:ind w:firstLine="480" w:firstLineChars="200"/>
        <w:rPr>
          <w:sz w:val="24"/>
        </w:rPr>
      </w:pPr>
    </w:p>
    <w:p w14:paraId="01BC0E8C">
      <w:pPr>
        <w:autoSpaceDN w:val="0"/>
        <w:spacing w:line="500" w:lineRule="exact"/>
        <w:jc w:val="center"/>
        <w:outlineLvl w:val="0"/>
        <w:rPr>
          <w:rFonts w:hint="eastAsia" w:ascii="宋体" w:hAnsi="宋体" w:eastAsia="宋体" w:cs="宋体"/>
          <w:sz w:val="28"/>
          <w:szCs w:val="28"/>
        </w:rPr>
      </w:pPr>
    </w:p>
    <w:p w14:paraId="2686CBFB">
      <w:pPr>
        <w:pageBreakBefore/>
        <w:autoSpaceDN w:val="0"/>
        <w:spacing w:line="400" w:lineRule="exact"/>
        <w:jc w:val="center"/>
        <w:outlineLvl w:val="0"/>
        <w:rPr>
          <w:rFonts w:hint="eastAsia" w:ascii="宋体" w:hAnsi="宋体" w:eastAsia="宋体" w:cs="宋体"/>
        </w:rPr>
      </w:pPr>
      <w:r>
        <w:rPr>
          <w:rFonts w:hint="eastAsia" w:ascii="宋体" w:hAnsi="宋体" w:eastAsia="宋体" w:cs="宋体"/>
          <w:b/>
          <w:sz w:val="32"/>
          <w:szCs w:val="32"/>
        </w:rPr>
        <w:t>第七章附件</w:t>
      </w:r>
    </w:p>
    <w:p w14:paraId="1C4C1BBA">
      <w:pPr>
        <w:autoSpaceDN w:val="0"/>
        <w:spacing w:line="360" w:lineRule="auto"/>
        <w:rPr>
          <w:rFonts w:hint="eastAsia" w:ascii="宋体" w:hAnsi="宋体" w:eastAsia="宋体" w:cs="宋体"/>
        </w:rPr>
      </w:pPr>
      <w:r>
        <w:rPr>
          <w:rFonts w:hint="eastAsia" w:ascii="宋体" w:hAnsi="宋体" w:eastAsia="宋体" w:cs="宋体"/>
          <w:b/>
          <w:sz w:val="32"/>
          <w:szCs w:val="32"/>
        </w:rPr>
        <w:t>封面</w:t>
      </w:r>
    </w:p>
    <w:p w14:paraId="2ED07A40">
      <w:pPr>
        <w:autoSpaceDN w:val="0"/>
        <w:spacing w:line="360" w:lineRule="auto"/>
        <w:rPr>
          <w:rFonts w:hint="eastAsia" w:ascii="宋体" w:hAnsi="宋体" w:eastAsia="宋体" w:cs="宋体"/>
        </w:rPr>
      </w:pPr>
      <w:r>
        <w:rPr>
          <w:rFonts w:hint="eastAsia" w:ascii="宋体" w:hAnsi="宋体" w:eastAsia="宋体" w:cs="宋体"/>
          <w:b/>
          <w:sz w:val="32"/>
          <w:szCs w:val="32"/>
        </w:rPr>
        <w:t> </w:t>
      </w:r>
    </w:p>
    <w:p w14:paraId="0EEEAE43">
      <w:pPr>
        <w:autoSpaceDN w:val="0"/>
        <w:spacing w:line="360" w:lineRule="auto"/>
        <w:rPr>
          <w:rFonts w:hint="eastAsia" w:ascii="宋体" w:hAnsi="宋体" w:eastAsia="宋体" w:cs="宋体"/>
          <w:b/>
          <w:bCs/>
          <w:sz w:val="52"/>
          <w:szCs w:val="52"/>
        </w:rPr>
      </w:pPr>
      <w:r>
        <w:rPr>
          <w:rFonts w:hint="eastAsia" w:ascii="宋体" w:hAnsi="宋体" w:eastAsia="宋体" w:cs="宋体"/>
          <w:b/>
          <w:bCs/>
          <w:sz w:val="52"/>
          <w:szCs w:val="52"/>
        </w:rPr>
        <w:t> </w:t>
      </w:r>
    </w:p>
    <w:p w14:paraId="759FFEFA">
      <w:pPr>
        <w:autoSpaceDN w:val="0"/>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椒江区第五中学体育馆提升及室外配套工程  </w:t>
      </w:r>
    </w:p>
    <w:p w14:paraId="1605B755">
      <w:pPr>
        <w:autoSpaceDN w:val="0"/>
        <w:spacing w:line="360" w:lineRule="auto"/>
        <w:jc w:val="center"/>
        <w:rPr>
          <w:rFonts w:hint="eastAsia" w:ascii="宋体" w:hAnsi="宋体" w:eastAsia="宋体" w:cs="宋体"/>
          <w:sz w:val="36"/>
          <w:szCs w:val="36"/>
        </w:rPr>
      </w:pPr>
    </w:p>
    <w:p w14:paraId="7456EAC1">
      <w:pPr>
        <w:autoSpaceDN w:val="0"/>
        <w:spacing w:line="360" w:lineRule="auto"/>
        <w:jc w:val="center"/>
        <w:rPr>
          <w:rFonts w:hint="eastAsia" w:ascii="宋体" w:hAnsi="宋体" w:eastAsia="宋体" w:cs="宋体"/>
        </w:rPr>
      </w:pPr>
      <w:r>
        <w:rPr>
          <w:rFonts w:hint="eastAsia" w:ascii="宋体" w:hAnsi="宋体" w:eastAsia="宋体" w:cs="宋体"/>
          <w:sz w:val="36"/>
          <w:szCs w:val="36"/>
        </w:rPr>
        <w:t>项目编号：</w:t>
      </w:r>
      <w:r>
        <w:rPr>
          <w:rFonts w:hint="eastAsia" w:ascii="宋体" w:hAnsi="宋体" w:eastAsia="宋体" w:cs="宋体"/>
          <w:sz w:val="36"/>
          <w:szCs w:val="36"/>
          <w:u w:val="single"/>
        </w:rPr>
        <w:t>ZGTZZB2025-0410</w:t>
      </w:r>
    </w:p>
    <w:p w14:paraId="4578D4C4">
      <w:pPr>
        <w:autoSpaceDN w:val="0"/>
        <w:rPr>
          <w:rFonts w:hint="eastAsia" w:ascii="宋体" w:hAnsi="宋体" w:eastAsia="宋体" w:cs="宋体"/>
        </w:rPr>
      </w:pPr>
      <w:r>
        <w:rPr>
          <w:rFonts w:hint="eastAsia" w:ascii="宋体" w:hAnsi="宋体" w:eastAsia="宋体" w:cs="宋体"/>
          <w:sz w:val="28"/>
          <w:szCs w:val="28"/>
        </w:rPr>
        <w:t> </w:t>
      </w:r>
    </w:p>
    <w:p w14:paraId="47873759">
      <w:pPr>
        <w:autoSpaceDN w:val="0"/>
        <w:spacing w:line="360" w:lineRule="auto"/>
        <w:jc w:val="center"/>
        <w:rPr>
          <w:rFonts w:hint="eastAsia" w:ascii="宋体" w:hAnsi="宋体" w:eastAsia="宋体" w:cs="宋体"/>
        </w:rPr>
      </w:pPr>
      <w:r>
        <w:rPr>
          <w:rFonts w:hint="eastAsia" w:ascii="宋体" w:hAnsi="宋体" w:eastAsia="宋体" w:cs="宋体"/>
          <w:sz w:val="36"/>
          <w:szCs w:val="36"/>
        </w:rPr>
        <w:t>（资格文件）</w:t>
      </w:r>
    </w:p>
    <w:p w14:paraId="29632A80">
      <w:pPr>
        <w:autoSpaceDN w:val="0"/>
        <w:jc w:val="center"/>
        <w:rPr>
          <w:rFonts w:hint="eastAsia" w:ascii="宋体" w:hAnsi="宋体" w:eastAsia="宋体" w:cs="宋体"/>
        </w:rPr>
      </w:pPr>
      <w:r>
        <w:rPr>
          <w:rFonts w:hint="eastAsia" w:ascii="宋体" w:hAnsi="宋体" w:eastAsia="宋体" w:cs="宋体"/>
          <w:sz w:val="28"/>
          <w:szCs w:val="28"/>
        </w:rPr>
        <w:t> </w:t>
      </w:r>
    </w:p>
    <w:p w14:paraId="5C6229D2">
      <w:pPr>
        <w:autoSpaceDN w:val="0"/>
        <w:spacing w:line="360" w:lineRule="auto"/>
        <w:jc w:val="center"/>
        <w:rPr>
          <w:rFonts w:hint="eastAsia" w:ascii="宋体" w:hAnsi="宋体" w:eastAsia="宋体" w:cs="宋体"/>
        </w:rPr>
      </w:pPr>
      <w:r>
        <w:rPr>
          <w:rFonts w:hint="eastAsia" w:ascii="宋体" w:hAnsi="宋体" w:eastAsia="宋体" w:cs="宋体"/>
          <w:b/>
          <w:sz w:val="72"/>
          <w:szCs w:val="72"/>
        </w:rPr>
        <w:t>磋商响应文件</w:t>
      </w:r>
    </w:p>
    <w:p w14:paraId="3CEB3568">
      <w:pPr>
        <w:autoSpaceDN w:val="0"/>
        <w:spacing w:line="360" w:lineRule="auto"/>
        <w:jc w:val="center"/>
        <w:rPr>
          <w:rFonts w:hint="eastAsia" w:ascii="宋体" w:hAnsi="宋体" w:eastAsia="宋体" w:cs="宋体"/>
        </w:rPr>
      </w:pPr>
      <w:r>
        <w:rPr>
          <w:rFonts w:hint="eastAsia" w:ascii="宋体" w:hAnsi="宋体" w:eastAsia="宋体" w:cs="宋体"/>
          <w:sz w:val="36"/>
          <w:szCs w:val="36"/>
        </w:rPr>
        <w:t> </w:t>
      </w:r>
    </w:p>
    <w:p w14:paraId="266CA1A3">
      <w:pPr>
        <w:autoSpaceDN w:val="0"/>
        <w:spacing w:line="360" w:lineRule="auto"/>
        <w:jc w:val="center"/>
        <w:rPr>
          <w:rFonts w:hint="eastAsia" w:ascii="宋体" w:hAnsi="宋体" w:eastAsia="宋体" w:cs="宋体"/>
        </w:rPr>
      </w:pPr>
      <w:r>
        <w:rPr>
          <w:rFonts w:hint="eastAsia" w:ascii="宋体" w:hAnsi="宋体" w:eastAsia="宋体" w:cs="宋体"/>
          <w:sz w:val="36"/>
          <w:szCs w:val="36"/>
        </w:rPr>
        <w:t> </w:t>
      </w:r>
    </w:p>
    <w:p w14:paraId="3081AF4D">
      <w:pPr>
        <w:autoSpaceDN w:val="0"/>
        <w:spacing w:line="360" w:lineRule="auto"/>
        <w:jc w:val="center"/>
        <w:rPr>
          <w:rFonts w:hint="eastAsia" w:ascii="宋体" w:hAnsi="宋体" w:eastAsia="宋体" w:cs="宋体"/>
        </w:rPr>
      </w:pPr>
      <w:r>
        <w:rPr>
          <w:rFonts w:hint="eastAsia" w:ascii="宋体" w:hAnsi="宋体" w:eastAsia="宋体" w:cs="宋体"/>
          <w:sz w:val="36"/>
          <w:szCs w:val="36"/>
        </w:rPr>
        <w:t> </w:t>
      </w:r>
    </w:p>
    <w:p w14:paraId="7A2EE294">
      <w:pPr>
        <w:autoSpaceDN w:val="0"/>
        <w:spacing w:line="360" w:lineRule="auto"/>
        <w:jc w:val="center"/>
        <w:rPr>
          <w:rFonts w:hint="eastAsia" w:ascii="宋体" w:hAnsi="宋体" w:eastAsia="宋体" w:cs="宋体"/>
        </w:rPr>
      </w:pPr>
      <w:r>
        <w:rPr>
          <w:rFonts w:hint="eastAsia" w:ascii="宋体" w:hAnsi="宋体" w:eastAsia="宋体" w:cs="宋体"/>
          <w:sz w:val="36"/>
          <w:szCs w:val="36"/>
        </w:rPr>
        <w:t>供应商全称：（加盖单位公章）</w:t>
      </w:r>
    </w:p>
    <w:p w14:paraId="73B73E26">
      <w:pPr>
        <w:pStyle w:val="13"/>
        <w:autoSpaceDN w:val="0"/>
        <w:ind w:left="101" w:leftChars="48" w:firstLine="1680" w:firstLineChars="800"/>
        <w:jc w:val="left"/>
        <w:rPr>
          <w:rFonts w:hint="eastAsia" w:ascii="宋体" w:hAnsi="宋体" w:eastAsia="宋体" w:cs="宋体"/>
          <w:szCs w:val="28"/>
        </w:rPr>
      </w:pPr>
      <w:r>
        <w:rPr>
          <w:rFonts w:hint="eastAsia" w:ascii="宋体" w:hAnsi="宋体" w:eastAsia="宋体" w:cs="宋体"/>
          <w:szCs w:val="28"/>
        </w:rPr>
        <w:t> </w:t>
      </w:r>
    </w:p>
    <w:p w14:paraId="57D837B5">
      <w:pPr>
        <w:pStyle w:val="13"/>
        <w:autoSpaceDN w:val="0"/>
        <w:ind w:left="101" w:leftChars="48" w:firstLine="1680" w:firstLineChars="800"/>
        <w:jc w:val="center"/>
        <w:rPr>
          <w:rFonts w:hint="eastAsia" w:ascii="宋体" w:hAnsi="宋体" w:eastAsia="宋体" w:cs="宋体"/>
          <w:szCs w:val="28"/>
        </w:rPr>
      </w:pPr>
    </w:p>
    <w:p w14:paraId="1CDDF6FE">
      <w:pPr>
        <w:pStyle w:val="13"/>
        <w:autoSpaceDN w:val="0"/>
        <w:ind w:left="101" w:leftChars="48" w:firstLine="2880" w:firstLineChars="800"/>
        <w:jc w:val="left"/>
        <w:rPr>
          <w:rFonts w:hint="eastAsia" w:ascii="宋体" w:hAnsi="宋体" w:eastAsia="宋体" w:cs="宋体"/>
        </w:rPr>
      </w:pPr>
      <w:r>
        <w:rPr>
          <w:rFonts w:hint="eastAsia" w:ascii="宋体" w:hAnsi="宋体" w:eastAsia="宋体" w:cs="宋体"/>
          <w:sz w:val="36"/>
          <w:szCs w:val="36"/>
        </w:rPr>
        <w:t>年  月    日</w:t>
      </w:r>
    </w:p>
    <w:p w14:paraId="0A5938C1">
      <w:pPr>
        <w:tabs>
          <w:tab w:val="left" w:pos="976"/>
        </w:tabs>
        <w:adjustRightInd w:val="0"/>
        <w:spacing w:line="360" w:lineRule="auto"/>
        <w:jc w:val="left"/>
        <w:rPr>
          <w:rFonts w:hint="eastAsia" w:ascii="宋体" w:hAnsi="宋体" w:eastAsia="宋体" w:cs="宋体"/>
          <w:b/>
          <w:szCs w:val="21"/>
        </w:rPr>
      </w:pPr>
      <w:r>
        <w:rPr>
          <w:rStyle w:val="47"/>
          <w:rFonts w:hint="eastAsia" w:ascii="宋体" w:hAnsi="宋体" w:cs="宋体"/>
          <w:szCs w:val="21"/>
        </w:rPr>
        <w:br w:type="page"/>
      </w:r>
    </w:p>
    <w:p w14:paraId="1BE30CB9">
      <w:pPr>
        <w:pageBreakBefore/>
        <w:autoSpaceDN w:val="0"/>
        <w:spacing w:line="360" w:lineRule="auto"/>
        <w:rPr>
          <w:rFonts w:hint="eastAsia" w:ascii="宋体" w:hAnsi="宋体" w:eastAsia="宋体" w:cs="宋体"/>
        </w:rPr>
      </w:pPr>
      <w:r>
        <w:rPr>
          <w:rFonts w:hint="eastAsia" w:ascii="宋体" w:hAnsi="宋体" w:eastAsia="宋体" w:cs="宋体"/>
          <w:b/>
          <w:szCs w:val="21"/>
        </w:rPr>
        <w:t>A1.关于资格的承诺函；</w:t>
      </w:r>
    </w:p>
    <w:p w14:paraId="706BC90E">
      <w:pPr>
        <w:autoSpaceDN w:val="0"/>
        <w:spacing w:line="360" w:lineRule="auto"/>
        <w:jc w:val="center"/>
        <w:rPr>
          <w:rFonts w:hint="eastAsia" w:ascii="宋体" w:hAnsi="宋体" w:eastAsia="宋体" w:cs="宋体"/>
          <w:szCs w:val="21"/>
        </w:rPr>
      </w:pPr>
      <w:r>
        <w:rPr>
          <w:rFonts w:hint="eastAsia" w:ascii="宋体" w:hAnsi="宋体" w:eastAsia="宋体" w:cs="宋体"/>
          <w:b/>
          <w:bCs/>
          <w:szCs w:val="21"/>
        </w:rPr>
        <w:t>关于资格的承诺函</w:t>
      </w:r>
    </w:p>
    <w:p w14:paraId="720D1299">
      <w:pPr>
        <w:autoSpaceDN w:val="0"/>
        <w:spacing w:line="480" w:lineRule="auto"/>
        <w:rPr>
          <w:rFonts w:hint="eastAsia" w:ascii="宋体" w:hAnsi="宋体" w:eastAsia="宋体" w:cs="宋体"/>
          <w:szCs w:val="21"/>
        </w:rPr>
      </w:pPr>
      <w:r>
        <w:rPr>
          <w:rFonts w:hint="eastAsia" w:ascii="宋体" w:hAnsi="宋体" w:eastAsia="宋体" w:cs="宋体"/>
          <w:b/>
          <w:szCs w:val="21"/>
        </w:rPr>
        <w:t>致：中冠工程管理咨询有限公司</w:t>
      </w:r>
    </w:p>
    <w:p w14:paraId="7A8F62CD">
      <w:pPr>
        <w:autoSpaceDN w:val="0"/>
        <w:snapToGrid w:val="0"/>
        <w:spacing w:before="156" w:beforeLines="50" w:line="480" w:lineRule="auto"/>
        <w:ind w:firstLine="424" w:firstLineChars="202"/>
        <w:rPr>
          <w:rFonts w:hint="eastAsia" w:ascii="宋体" w:hAnsi="宋体" w:eastAsia="宋体" w:cs="宋体"/>
          <w:szCs w:val="21"/>
        </w:rPr>
      </w:pPr>
      <w:r>
        <w:rPr>
          <w:rFonts w:hint="eastAsia" w:ascii="宋体" w:hAnsi="宋体" w:eastAsia="宋体" w:cs="宋体"/>
          <w:szCs w:val="21"/>
        </w:rPr>
        <w:t>关于</w:t>
      </w:r>
      <w:r>
        <w:rPr>
          <w:rFonts w:hint="eastAsia" w:ascii="宋体" w:hAnsi="宋体" w:eastAsia="宋体" w:cs="宋体"/>
          <w:szCs w:val="21"/>
          <w:u w:val="single"/>
        </w:rPr>
        <w:t>椒江区第五中学体育馆提升及室外配套工程 　</w:t>
      </w:r>
      <w:r>
        <w:rPr>
          <w:rFonts w:hint="eastAsia" w:ascii="宋体" w:hAnsi="宋体" w:eastAsia="宋体" w:cs="宋体"/>
          <w:szCs w:val="21"/>
        </w:rPr>
        <w:t>项目（项目编号：</w:t>
      </w:r>
      <w:r>
        <w:rPr>
          <w:rFonts w:hint="eastAsia" w:ascii="宋体" w:hAnsi="宋体" w:eastAsia="宋体" w:cs="宋体"/>
          <w:szCs w:val="21"/>
          <w:u w:val="single"/>
        </w:rPr>
        <w:t>　ZGTZZB2025-0410</w:t>
      </w:r>
      <w:r>
        <w:rPr>
          <w:rFonts w:hint="eastAsia" w:ascii="宋体" w:hAnsi="宋体" w:eastAsia="宋体" w:cs="宋体"/>
          <w:szCs w:val="21"/>
        </w:rPr>
        <w:t>），我方愿意参加投标，并声明：</w:t>
      </w:r>
    </w:p>
    <w:p w14:paraId="69CE4FFA">
      <w:pPr>
        <w:autoSpaceDN w:val="0"/>
        <w:snapToGrid w:val="0"/>
        <w:spacing w:line="480" w:lineRule="auto"/>
        <w:ind w:firstLine="420" w:firstLineChars="200"/>
        <w:rPr>
          <w:rFonts w:hint="eastAsia" w:ascii="宋体" w:hAnsi="宋体" w:eastAsia="宋体" w:cs="宋体"/>
          <w:szCs w:val="21"/>
        </w:rPr>
      </w:pPr>
      <w:r>
        <w:rPr>
          <w:rFonts w:hint="eastAsia" w:ascii="宋体" w:hAnsi="宋体" w:eastAsia="宋体" w:cs="宋体"/>
          <w:bCs/>
          <w:szCs w:val="21"/>
        </w:rPr>
        <w:t>1、我方具备《中华人民共和国政府采购法》第二十二条规定资格条件：</w:t>
      </w:r>
    </w:p>
    <w:p w14:paraId="2ADF0D40">
      <w:pPr>
        <w:autoSpaceDN w:val="0"/>
        <w:snapToGrid w:val="0"/>
        <w:spacing w:line="480" w:lineRule="auto"/>
        <w:ind w:firstLine="420" w:firstLineChars="200"/>
        <w:rPr>
          <w:rFonts w:hint="eastAsia" w:ascii="宋体" w:hAnsi="宋体" w:eastAsia="宋体" w:cs="宋体"/>
          <w:szCs w:val="21"/>
        </w:rPr>
      </w:pPr>
      <w:r>
        <w:rPr>
          <w:rFonts w:hint="eastAsia" w:ascii="宋体" w:hAnsi="宋体" w:eastAsia="宋体" w:cs="宋体"/>
          <w:bCs/>
          <w:szCs w:val="21"/>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4A0C2B83">
      <w:pPr>
        <w:autoSpaceDN w:val="0"/>
        <w:snapToGrid w:val="0"/>
        <w:spacing w:line="480" w:lineRule="auto"/>
        <w:ind w:firstLine="420" w:firstLineChars="200"/>
        <w:rPr>
          <w:rFonts w:hint="eastAsia" w:ascii="宋体" w:hAnsi="宋体" w:eastAsia="宋体" w:cs="宋体"/>
          <w:szCs w:val="21"/>
        </w:rPr>
      </w:pPr>
      <w:r>
        <w:rPr>
          <w:rFonts w:hint="eastAsia" w:ascii="宋体" w:hAnsi="宋体" w:eastAsia="宋体" w:cs="宋体"/>
          <w:szCs w:val="21"/>
        </w:rPr>
        <w:t>2、我方的单位负责人与所参投的本采购项目的其他供应商的单位负责人不为同一人且与其他供应商之间不存在直接控股、管理关系。</w:t>
      </w:r>
    </w:p>
    <w:p w14:paraId="4FEE2392">
      <w:pPr>
        <w:autoSpaceDN w:val="0"/>
        <w:snapToGrid w:val="0"/>
        <w:spacing w:line="480" w:lineRule="auto"/>
        <w:ind w:firstLine="420" w:firstLineChars="200"/>
        <w:rPr>
          <w:rFonts w:hint="eastAsia" w:ascii="宋体" w:hAnsi="宋体" w:eastAsia="宋体" w:cs="宋体"/>
          <w:szCs w:val="21"/>
        </w:rPr>
      </w:pPr>
      <w:r>
        <w:rPr>
          <w:rFonts w:hint="eastAsia" w:ascii="宋体" w:hAnsi="宋体" w:eastAsia="宋体" w:cs="宋体"/>
          <w:szCs w:val="21"/>
        </w:rPr>
        <w:t>3、我方不是本采购项目提供整体设计、规范编制或者项目管理、监理、检测等服务的供应商。</w:t>
      </w:r>
    </w:p>
    <w:p w14:paraId="7DD76FDA">
      <w:pPr>
        <w:autoSpaceDN w:val="0"/>
        <w:snapToGrid w:val="0"/>
        <w:spacing w:line="480" w:lineRule="auto"/>
        <w:ind w:firstLine="420" w:firstLineChars="200"/>
        <w:rPr>
          <w:rFonts w:hint="eastAsia" w:ascii="宋体" w:hAnsi="宋体" w:eastAsia="宋体" w:cs="宋体"/>
          <w:szCs w:val="21"/>
        </w:rPr>
      </w:pPr>
      <w:r>
        <w:rPr>
          <w:rFonts w:hint="eastAsia" w:ascii="宋体" w:hAnsi="宋体" w:eastAsia="宋体" w:cs="宋体"/>
          <w:szCs w:val="21"/>
        </w:rPr>
        <w:t>4、我方</w:t>
      </w:r>
      <w:r>
        <w:rPr>
          <w:rFonts w:hint="eastAsia" w:ascii="宋体" w:hAnsi="宋体" w:eastAsia="宋体" w:cs="宋体"/>
          <w:bCs/>
          <w:szCs w:val="21"/>
        </w:rPr>
        <w:t>未被“信用中国”（www.creditchina.gov.cn)、中国政府采购网（www.ccgp.gov.cn）列入失信被执行人、重大税收违法失信主体、政府采购严重违法失信行为记录名单。</w:t>
      </w:r>
    </w:p>
    <w:p w14:paraId="4CEAF9E7">
      <w:pPr>
        <w:autoSpaceDN w:val="0"/>
        <w:snapToGrid w:val="0"/>
        <w:spacing w:line="480" w:lineRule="auto"/>
        <w:ind w:firstLine="420" w:firstLineChars="200"/>
        <w:rPr>
          <w:rFonts w:hint="eastAsia" w:ascii="宋体" w:hAnsi="宋体" w:eastAsia="宋体" w:cs="宋体"/>
          <w:szCs w:val="21"/>
        </w:rPr>
      </w:pPr>
      <w:r>
        <w:rPr>
          <w:rFonts w:hint="eastAsia" w:ascii="宋体" w:hAnsi="宋体" w:eastAsia="宋体" w:cs="宋体"/>
          <w:bCs/>
          <w:szCs w:val="21"/>
        </w:rPr>
        <w:t>我方对上述声明的真实性负责。</w:t>
      </w:r>
      <w:r>
        <w:rPr>
          <w:rFonts w:hint="eastAsia" w:ascii="宋体" w:hAnsi="宋体" w:eastAsia="宋体" w:cs="宋体"/>
          <w:szCs w:val="21"/>
        </w:rPr>
        <w:t>本次招标采购活动中，如有违法、违规、弄虚作假行为，所造成的损失、不良后果及法律责任，一律由我方承担。</w:t>
      </w:r>
    </w:p>
    <w:p w14:paraId="6D81E88F">
      <w:pPr>
        <w:autoSpaceDN w:val="0"/>
        <w:spacing w:line="480" w:lineRule="auto"/>
        <w:rPr>
          <w:rFonts w:hint="eastAsia" w:ascii="宋体" w:hAnsi="宋体" w:eastAsia="宋体" w:cs="宋体"/>
          <w:szCs w:val="21"/>
        </w:rPr>
      </w:pPr>
      <w:r>
        <w:rPr>
          <w:rFonts w:hint="eastAsia" w:ascii="宋体" w:hAnsi="宋体" w:eastAsia="宋体" w:cs="宋体"/>
          <w:b/>
          <w:szCs w:val="21"/>
        </w:rPr>
        <w:t> </w:t>
      </w:r>
    </w:p>
    <w:p w14:paraId="2BC3A764">
      <w:pPr>
        <w:autoSpaceDN w:val="0"/>
        <w:spacing w:line="480" w:lineRule="auto"/>
        <w:ind w:firstLine="420"/>
        <w:rPr>
          <w:rFonts w:hint="eastAsia" w:ascii="宋体" w:hAnsi="宋体" w:eastAsia="宋体" w:cs="宋体"/>
          <w:szCs w:val="21"/>
        </w:rPr>
      </w:pPr>
      <w:r>
        <w:rPr>
          <w:rFonts w:hint="eastAsia" w:ascii="宋体" w:hAnsi="宋体" w:eastAsia="宋体" w:cs="宋体"/>
          <w:b/>
          <w:szCs w:val="21"/>
        </w:rPr>
        <w:t>特此声明！</w:t>
      </w:r>
    </w:p>
    <w:p w14:paraId="0BF98178">
      <w:pPr>
        <w:autoSpaceDN w:val="0"/>
        <w:spacing w:line="480" w:lineRule="auto"/>
        <w:outlineLvl w:val="1"/>
        <w:rPr>
          <w:rFonts w:hint="eastAsia" w:ascii="宋体" w:hAnsi="宋体" w:eastAsia="宋体" w:cs="宋体"/>
          <w:szCs w:val="21"/>
        </w:rPr>
      </w:pPr>
      <w:r>
        <w:rPr>
          <w:rFonts w:hint="eastAsia" w:ascii="宋体" w:hAnsi="宋体" w:eastAsia="宋体" w:cs="宋体"/>
          <w:b/>
          <w:szCs w:val="21"/>
        </w:rPr>
        <w:t> </w:t>
      </w:r>
      <w:r>
        <w:rPr>
          <w:rFonts w:hint="eastAsia" w:ascii="宋体" w:hAnsi="宋体" w:eastAsia="宋体" w:cs="宋体"/>
          <w:b/>
          <w:bCs/>
          <w:szCs w:val="21"/>
        </w:rPr>
        <w:t> </w:t>
      </w:r>
      <w:r>
        <w:rPr>
          <w:rFonts w:hint="eastAsia" w:ascii="宋体" w:hAnsi="宋体" w:eastAsia="宋体" w:cs="宋体"/>
          <w:szCs w:val="21"/>
        </w:rPr>
        <w:t> </w:t>
      </w:r>
    </w:p>
    <w:p w14:paraId="7DE89FC6">
      <w:pPr>
        <w:autoSpaceDN w:val="0"/>
        <w:spacing w:line="480" w:lineRule="auto"/>
        <w:jc w:val="right"/>
        <w:outlineLvl w:val="1"/>
        <w:rPr>
          <w:rFonts w:hint="eastAsia" w:ascii="宋体" w:hAnsi="宋体" w:eastAsia="宋体" w:cs="宋体"/>
          <w:szCs w:val="21"/>
        </w:rPr>
      </w:pPr>
      <w:r>
        <w:rPr>
          <w:rFonts w:hint="eastAsia" w:ascii="宋体" w:hAnsi="宋体" w:eastAsia="宋体" w:cs="宋体"/>
          <w:szCs w:val="21"/>
        </w:rPr>
        <w:t>供应商（盖章）：</w:t>
      </w:r>
    </w:p>
    <w:p w14:paraId="60465E32">
      <w:pPr>
        <w:autoSpaceDN w:val="0"/>
        <w:spacing w:line="480" w:lineRule="auto"/>
        <w:jc w:val="right"/>
        <w:outlineLvl w:val="1"/>
        <w:rPr>
          <w:rFonts w:hint="eastAsia" w:ascii="宋体" w:hAnsi="宋体" w:eastAsia="宋体" w:cs="宋体"/>
          <w:szCs w:val="21"/>
        </w:rPr>
      </w:pPr>
      <w:r>
        <w:rPr>
          <w:rFonts w:hint="eastAsia" w:ascii="宋体" w:hAnsi="宋体" w:eastAsia="宋体" w:cs="宋体"/>
          <w:szCs w:val="21"/>
        </w:rPr>
        <w:t>日期：</w:t>
      </w:r>
    </w:p>
    <w:p w14:paraId="06989A54">
      <w:pPr>
        <w:autoSpaceDN w:val="0"/>
        <w:spacing w:line="360" w:lineRule="auto"/>
        <w:jc w:val="right"/>
        <w:rPr>
          <w:rFonts w:hint="eastAsia" w:ascii="宋体" w:hAnsi="宋体" w:eastAsia="宋体" w:cs="宋体"/>
        </w:rPr>
      </w:pPr>
    </w:p>
    <w:p w14:paraId="27654D27">
      <w:pPr>
        <w:pageBreakBefore/>
        <w:autoSpaceDN w:val="0"/>
        <w:spacing w:line="360" w:lineRule="auto"/>
        <w:jc w:val="center"/>
        <w:rPr>
          <w:rFonts w:hint="eastAsia" w:ascii="宋体" w:hAnsi="宋体" w:eastAsia="宋体" w:cs="宋体"/>
          <w:b/>
          <w:szCs w:val="21"/>
        </w:rPr>
      </w:pPr>
      <w:r>
        <w:rPr>
          <w:rFonts w:hint="eastAsia" w:ascii="宋体" w:hAnsi="宋体" w:eastAsia="宋体" w:cs="宋体"/>
          <w:b/>
          <w:szCs w:val="21"/>
        </w:rPr>
        <w:t>A2、营业执照副本（或事业法人登记证副本或其他登记证明材料）（供应商如果有名称变更的，应提供由行政主管部门出具的变更证明文件扫描件加盖供应商公章）</w:t>
      </w:r>
    </w:p>
    <w:p w14:paraId="744D9354">
      <w:pPr>
        <w:pageBreakBefore/>
        <w:autoSpaceDN w:val="0"/>
        <w:spacing w:line="360" w:lineRule="auto"/>
        <w:jc w:val="center"/>
        <w:rPr>
          <w:rFonts w:hint="eastAsia" w:ascii="宋体" w:hAnsi="宋体" w:eastAsia="宋体" w:cs="宋体"/>
          <w:b/>
          <w:szCs w:val="21"/>
        </w:rPr>
      </w:pPr>
      <w:r>
        <w:rPr>
          <w:rFonts w:hint="eastAsia" w:ascii="宋体" w:hAnsi="宋体" w:eastAsia="宋体" w:cs="宋体"/>
          <w:b/>
          <w:szCs w:val="21"/>
        </w:rPr>
        <w:t>A3、资质证书、安全生产许可证扫描件加盖供应商公章（供应商如果有名称变更的，应提供由行政主管部门出具的变更证明文件扫描件加盖供应商公章）</w:t>
      </w:r>
    </w:p>
    <w:p w14:paraId="5F19E644">
      <w:pPr>
        <w:autoSpaceDN w:val="0"/>
        <w:spacing w:line="360" w:lineRule="auto"/>
        <w:rPr>
          <w:rFonts w:hint="eastAsia" w:ascii="宋体" w:hAnsi="宋体" w:eastAsia="宋体" w:cs="宋体"/>
          <w:b/>
          <w:szCs w:val="21"/>
        </w:rPr>
      </w:pPr>
    </w:p>
    <w:p w14:paraId="7FA39624">
      <w:pPr>
        <w:pageBreakBefore/>
        <w:autoSpaceDN w:val="0"/>
        <w:spacing w:line="360" w:lineRule="auto"/>
        <w:rPr>
          <w:rFonts w:ascii="Times New Roman" w:hAnsi="Times New Roman" w:eastAsia="宋体" w:cs="Times New Roman"/>
        </w:rPr>
      </w:pPr>
      <w:r>
        <w:rPr>
          <w:rFonts w:hint="eastAsia" w:ascii="Times New Roman" w:hAnsi="Times New Roman" w:eastAsia="宋体" w:cs="Times New Roman"/>
          <w:b/>
          <w:szCs w:val="21"/>
        </w:rPr>
        <w:t>A4</w:t>
      </w:r>
      <w:r>
        <w:rPr>
          <w:rFonts w:hint="eastAsia" w:ascii="Times New Roman" w:hAnsi="Times New Roman" w:eastAsia="宋体" w:cs="宋体"/>
          <w:b/>
          <w:szCs w:val="21"/>
        </w:rPr>
        <w:t>、中小企业声明函；</w:t>
      </w:r>
    </w:p>
    <w:p w14:paraId="41C3E24E">
      <w:pPr>
        <w:autoSpaceDN w:val="0"/>
        <w:spacing w:line="360" w:lineRule="auto"/>
        <w:rPr>
          <w:rFonts w:ascii="Times New Roman" w:hAnsi="Times New Roman" w:eastAsia="宋体" w:cs="Times New Roman"/>
        </w:rPr>
      </w:pPr>
      <w:r>
        <w:rPr>
          <w:rFonts w:ascii="Times New Roman" w:hAnsi="Times New Roman" w:eastAsia="宋体" w:cs="Times New Roman"/>
          <w:b/>
          <w:szCs w:val="21"/>
        </w:rPr>
        <w:t> </w:t>
      </w:r>
    </w:p>
    <w:p w14:paraId="12CDB4AA">
      <w:pPr>
        <w:tabs>
          <w:tab w:val="left" w:pos="3825"/>
        </w:tabs>
        <w:autoSpaceDN w:val="0"/>
        <w:spacing w:line="360" w:lineRule="auto"/>
        <w:jc w:val="center"/>
        <w:rPr>
          <w:rFonts w:ascii="Times New Roman" w:hAnsi="Times New Roman" w:eastAsia="宋体" w:cs="Times New Roman"/>
        </w:rPr>
      </w:pPr>
      <w:r>
        <w:rPr>
          <w:rFonts w:hint="eastAsia" w:ascii="Times New Roman" w:hAnsi="Times New Roman" w:eastAsia="宋体" w:cs="宋体"/>
          <w:b/>
          <w:sz w:val="24"/>
        </w:rPr>
        <w:t>中小企业声明函（工程）</w:t>
      </w:r>
    </w:p>
    <w:p w14:paraId="78988791">
      <w:pPr>
        <w:tabs>
          <w:tab w:val="left" w:pos="3825"/>
        </w:tabs>
        <w:autoSpaceDN w:val="0"/>
        <w:spacing w:line="360" w:lineRule="auto"/>
        <w:jc w:val="center"/>
        <w:rPr>
          <w:rFonts w:ascii="Times New Roman" w:hAnsi="Times New Roman" w:eastAsia="宋体" w:cs="Times New Roman"/>
        </w:rPr>
      </w:pPr>
      <w:r>
        <w:rPr>
          <w:rFonts w:ascii="Times New Roman" w:hAnsi="Times New Roman" w:eastAsia="宋体" w:cs="宋体"/>
          <w:b/>
          <w:sz w:val="24"/>
        </w:rPr>
        <w:t> </w:t>
      </w:r>
    </w:p>
    <w:p w14:paraId="45C27B6C">
      <w:pPr>
        <w:autoSpaceDN w:val="0"/>
        <w:snapToGrid w:val="0"/>
        <w:spacing w:line="480" w:lineRule="auto"/>
        <w:ind w:firstLine="420" w:firstLineChars="200"/>
        <w:jc w:val="left"/>
        <w:rPr>
          <w:rFonts w:hint="eastAsia" w:ascii="Times New Roman" w:hAnsi="Times New Roman" w:eastAsia="宋体" w:cs="宋体"/>
          <w:b/>
          <w:bCs/>
          <w:szCs w:val="32"/>
          <w:u w:val="single"/>
        </w:rPr>
      </w:pPr>
      <w:r>
        <w:rPr>
          <w:rFonts w:hint="eastAsia" w:ascii="Times New Roman" w:hAnsi="Times New Roman" w:eastAsia="宋体" w:cs="宋体"/>
          <w:szCs w:val="32"/>
        </w:rPr>
        <w:t>本公司（联合体）郑重声明，根据《政府采购促进中小企业发展管理办法》（财库﹝</w:t>
      </w:r>
      <w:r>
        <w:rPr>
          <w:rFonts w:ascii="Times New Roman" w:hAnsi="Times New Roman" w:eastAsia="宋体" w:cs="宋体"/>
          <w:szCs w:val="32"/>
        </w:rPr>
        <w:t>2020</w:t>
      </w:r>
      <w:r>
        <w:rPr>
          <w:rFonts w:hint="eastAsia" w:ascii="Times New Roman" w:hAnsi="Times New Roman" w:eastAsia="宋体" w:cs="宋体"/>
          <w:szCs w:val="32"/>
        </w:rPr>
        <w:t>﹞</w:t>
      </w:r>
      <w:r>
        <w:rPr>
          <w:rFonts w:ascii="Times New Roman" w:hAnsi="Times New Roman" w:eastAsia="宋体" w:cs="宋体"/>
          <w:szCs w:val="32"/>
        </w:rPr>
        <w:t xml:space="preserve">46 </w:t>
      </w:r>
      <w:r>
        <w:rPr>
          <w:rFonts w:hint="eastAsia" w:ascii="Times New Roman" w:hAnsi="Times New Roman" w:eastAsia="宋体" w:cs="宋体"/>
          <w:szCs w:val="32"/>
        </w:rPr>
        <w:t>号）的规定，本公司（联合体）参加</w:t>
      </w:r>
      <w:r>
        <w:rPr>
          <w:rFonts w:hint="eastAsia" w:ascii="Times New Roman" w:hAnsi="Times New Roman" w:eastAsia="宋体" w:cs="宋体"/>
          <w:b/>
          <w:bCs/>
          <w:szCs w:val="32"/>
          <w:u w:val="single"/>
        </w:rPr>
        <w:t>（台州市椒江区第五中学）</w:t>
      </w:r>
      <w:r>
        <w:rPr>
          <w:rFonts w:hint="eastAsia" w:ascii="Times New Roman" w:hAnsi="Times New Roman" w:eastAsia="宋体" w:cs="宋体"/>
          <w:szCs w:val="32"/>
        </w:rPr>
        <w:t>的</w:t>
      </w:r>
      <w:r>
        <w:rPr>
          <w:rFonts w:hint="eastAsia" w:ascii="Times New Roman" w:hAnsi="Times New Roman" w:eastAsia="宋体" w:cs="宋体"/>
          <w:b/>
          <w:bCs/>
          <w:szCs w:val="32"/>
          <w:u w:val="single"/>
        </w:rPr>
        <w:t>（椒江区第五中学体育馆提升</w:t>
      </w:r>
    </w:p>
    <w:p w14:paraId="0E95AD28">
      <w:pPr>
        <w:autoSpaceDN w:val="0"/>
        <w:snapToGrid w:val="0"/>
        <w:spacing w:line="480" w:lineRule="auto"/>
        <w:jc w:val="left"/>
        <w:rPr>
          <w:rFonts w:ascii="Times New Roman" w:hAnsi="Times New Roman" w:eastAsia="宋体" w:cs="Times New Roman"/>
        </w:rPr>
      </w:pPr>
      <w:r>
        <w:rPr>
          <w:rFonts w:hint="eastAsia" w:ascii="Times New Roman" w:hAnsi="Times New Roman" w:eastAsia="宋体" w:cs="宋体"/>
          <w:b/>
          <w:bCs/>
          <w:szCs w:val="32"/>
          <w:u w:val="single"/>
        </w:rPr>
        <w:t>及室外配套工程 ）</w:t>
      </w:r>
      <w:r>
        <w:rPr>
          <w:rFonts w:hint="eastAsia" w:ascii="Times New Roman" w:hAnsi="Times New Roman" w:eastAsia="宋体" w:cs="宋体"/>
          <w:szCs w:val="32"/>
        </w:rPr>
        <w:t>采购活动，服务全部由符合政策要求的中小企业承接。相关企业（含联合体中的中小企业、签订分包意向协议的中小企业）的具体情况如下：</w:t>
      </w:r>
    </w:p>
    <w:p w14:paraId="1F20852A">
      <w:pPr>
        <w:autoSpaceDN w:val="0"/>
        <w:snapToGrid w:val="0"/>
        <w:spacing w:line="480" w:lineRule="auto"/>
        <w:ind w:firstLine="422" w:firstLineChars="200"/>
        <w:rPr>
          <w:rFonts w:ascii="Times New Roman" w:hAnsi="Times New Roman" w:eastAsia="宋体" w:cs="Times New Roman"/>
        </w:rPr>
      </w:pPr>
      <w:r>
        <w:rPr>
          <w:rFonts w:hint="eastAsia" w:ascii="Times New Roman" w:hAnsi="Times New Roman" w:eastAsia="宋体" w:cs="宋体"/>
          <w:b/>
          <w:bCs/>
          <w:szCs w:val="32"/>
          <w:u w:val="single"/>
        </w:rPr>
        <w:t xml:space="preserve">椒江区第五中学体育馆提升及室外配套工程 </w:t>
      </w:r>
      <w:r>
        <w:rPr>
          <w:rFonts w:hint="eastAsia" w:ascii="Times New Roman" w:hAnsi="Times New Roman" w:eastAsia="宋体" w:cs="宋体"/>
          <w:szCs w:val="32"/>
        </w:rPr>
        <w:t>，属于</w:t>
      </w:r>
      <w:r>
        <w:rPr>
          <w:rFonts w:hint="eastAsia" w:ascii="Times New Roman" w:hAnsi="Times New Roman" w:eastAsia="宋体" w:cs="宋体"/>
          <w:b/>
          <w:szCs w:val="21"/>
          <w:u w:val="single"/>
        </w:rPr>
        <w:t>建筑</w:t>
      </w:r>
      <w:r>
        <w:rPr>
          <w:rFonts w:hint="eastAsia" w:ascii="Times New Roman" w:hAnsi="Times New Roman" w:cs="宋体"/>
          <w:b/>
          <w:szCs w:val="21"/>
          <w:u w:val="single"/>
        </w:rPr>
        <w:t>业</w:t>
      </w:r>
      <w:r>
        <w:rPr>
          <w:rFonts w:hint="eastAsia" w:ascii="Times New Roman" w:hAnsi="Times New Roman" w:eastAsia="宋体" w:cs="宋体"/>
          <w:b/>
          <w:bCs/>
          <w:kern w:val="0"/>
          <w:szCs w:val="21"/>
          <w:u w:val="single"/>
        </w:rPr>
        <w:t>（此项内容不允许更改）</w:t>
      </w:r>
      <w:r>
        <w:rPr>
          <w:rFonts w:hint="eastAsia" w:ascii="Times New Roman" w:hAnsi="Times New Roman" w:eastAsia="宋体" w:cs="宋体"/>
          <w:szCs w:val="32"/>
        </w:rPr>
        <w:t>；承建企业为</w:t>
      </w:r>
      <w:r>
        <w:rPr>
          <w:rFonts w:hint="eastAsia" w:ascii="Times New Roman" w:hAnsi="Times New Roman" w:eastAsia="宋体" w:cs="宋体"/>
          <w:szCs w:val="32"/>
          <w:u w:val="single"/>
        </w:rPr>
        <w:t>（企业名称）</w:t>
      </w:r>
      <w:r>
        <w:rPr>
          <w:rFonts w:hint="eastAsia" w:ascii="Times New Roman" w:hAnsi="Times New Roman" w:eastAsia="宋体" w:cs="宋体"/>
          <w:b/>
          <w:bCs/>
          <w:szCs w:val="32"/>
          <w:u w:val="single"/>
        </w:rPr>
        <w:t>（本项为必填项）</w:t>
      </w:r>
      <w:r>
        <w:rPr>
          <w:rFonts w:hint="eastAsia" w:ascii="Times New Roman" w:hAnsi="Times New Roman" w:eastAsia="宋体" w:cs="宋体"/>
          <w:szCs w:val="32"/>
        </w:rPr>
        <w:t>，从业人员</w:t>
      </w:r>
      <w:r>
        <w:rPr>
          <w:rFonts w:hint="eastAsia" w:ascii="Times New Roman" w:hAnsi="Times New Roman" w:eastAsia="宋体" w:cs="宋体"/>
          <w:b/>
          <w:bCs/>
          <w:szCs w:val="32"/>
          <w:u w:val="single"/>
        </w:rPr>
        <w:t>（本项为必填项）</w:t>
      </w:r>
      <w:r>
        <w:rPr>
          <w:rFonts w:hint="eastAsia" w:ascii="Times New Roman" w:hAnsi="Times New Roman" w:eastAsia="宋体" w:cs="宋体"/>
          <w:szCs w:val="32"/>
        </w:rPr>
        <w:t>人，营业收入为</w:t>
      </w:r>
      <w:r>
        <w:rPr>
          <w:rFonts w:hint="eastAsia" w:ascii="Times New Roman" w:hAnsi="Times New Roman" w:eastAsia="宋体" w:cs="宋体"/>
          <w:b/>
          <w:bCs/>
          <w:szCs w:val="32"/>
          <w:u w:val="single"/>
        </w:rPr>
        <w:t>（本项为必填项）</w:t>
      </w:r>
      <w:r>
        <w:rPr>
          <w:rFonts w:hint="eastAsia" w:ascii="Times New Roman" w:hAnsi="Times New Roman" w:eastAsia="宋体" w:cs="宋体"/>
          <w:szCs w:val="32"/>
        </w:rPr>
        <w:t>万元，资产总额为</w:t>
      </w:r>
      <w:r>
        <w:rPr>
          <w:rFonts w:hint="eastAsia" w:ascii="Times New Roman" w:hAnsi="Times New Roman" w:eastAsia="宋体" w:cs="宋体"/>
          <w:b/>
          <w:bCs/>
          <w:szCs w:val="32"/>
          <w:u w:val="single"/>
        </w:rPr>
        <w:t>（本项为必填项）</w:t>
      </w:r>
      <w:r>
        <w:rPr>
          <w:rFonts w:hint="eastAsia" w:ascii="Times New Roman" w:hAnsi="Times New Roman" w:eastAsia="宋体" w:cs="宋体"/>
          <w:szCs w:val="32"/>
        </w:rPr>
        <w:t>万元，属于</w:t>
      </w:r>
      <w:r>
        <w:rPr>
          <w:rFonts w:hint="eastAsia" w:ascii="Times New Roman" w:hAnsi="Times New Roman" w:eastAsia="宋体" w:cs="宋体"/>
          <w:szCs w:val="32"/>
          <w:u w:val="single"/>
        </w:rPr>
        <w:t>（中型企业、小型企业、微型企业）</w:t>
      </w:r>
      <w:r>
        <w:rPr>
          <w:rFonts w:hint="eastAsia" w:ascii="Times New Roman" w:hAnsi="Times New Roman" w:eastAsia="宋体" w:cs="宋体"/>
          <w:b/>
          <w:bCs/>
          <w:szCs w:val="32"/>
          <w:u w:val="single"/>
        </w:rPr>
        <w:t>（本项为必填项）</w:t>
      </w:r>
      <w:r>
        <w:rPr>
          <w:rFonts w:hint="eastAsia" w:ascii="Times New Roman" w:hAnsi="Times New Roman" w:eastAsia="宋体" w:cs="宋体"/>
          <w:szCs w:val="32"/>
        </w:rPr>
        <w:t>。</w:t>
      </w:r>
    </w:p>
    <w:p w14:paraId="3DA1677C">
      <w:pPr>
        <w:autoSpaceDN w:val="0"/>
        <w:snapToGrid w:val="0"/>
        <w:spacing w:line="480" w:lineRule="auto"/>
        <w:ind w:firstLine="420" w:firstLineChars="200"/>
        <w:rPr>
          <w:rFonts w:ascii="Times New Roman" w:hAnsi="Times New Roman" w:eastAsia="宋体" w:cs="Times New Roman"/>
        </w:rPr>
      </w:pPr>
      <w:r>
        <w:rPr>
          <w:rFonts w:hint="eastAsia" w:ascii="Times New Roman" w:hAnsi="Times New Roman" w:eastAsia="宋体" w:cs="宋体"/>
          <w:szCs w:val="32"/>
        </w:rPr>
        <w:t>以上企业，不属于大企业的分支机构，不存在控股股东为大企业的情形，也不存在与大企业的负责人为同一人的情形。</w:t>
      </w:r>
    </w:p>
    <w:p w14:paraId="740BE7F8">
      <w:pPr>
        <w:autoSpaceDN w:val="0"/>
        <w:snapToGrid w:val="0"/>
        <w:spacing w:line="480" w:lineRule="auto"/>
        <w:ind w:firstLine="420" w:firstLineChars="200"/>
        <w:rPr>
          <w:rFonts w:ascii="Times New Roman" w:hAnsi="Times New Roman" w:eastAsia="宋体" w:cs="Times New Roman"/>
        </w:rPr>
      </w:pPr>
      <w:r>
        <w:rPr>
          <w:rFonts w:hint="eastAsia" w:ascii="Times New Roman" w:hAnsi="Times New Roman" w:eastAsia="宋体" w:cs="宋体"/>
          <w:szCs w:val="32"/>
        </w:rPr>
        <w:t>本企业对上述声明内容的真实性负责。如有虚假，将依法承担相应责任。</w:t>
      </w:r>
    </w:p>
    <w:p w14:paraId="07CF12D4">
      <w:pPr>
        <w:autoSpaceDN w:val="0"/>
        <w:snapToGrid w:val="0"/>
        <w:spacing w:line="480" w:lineRule="auto"/>
        <w:rPr>
          <w:rFonts w:ascii="Times New Roman" w:hAnsi="Times New Roman" w:eastAsia="宋体" w:cs="Times New Roman"/>
        </w:rPr>
      </w:pPr>
      <w:r>
        <w:rPr>
          <w:rFonts w:ascii="Times New Roman" w:hAnsi="Times New Roman" w:eastAsia="宋体" w:cs="宋体"/>
          <w:szCs w:val="32"/>
        </w:rPr>
        <w:t> </w:t>
      </w:r>
    </w:p>
    <w:p w14:paraId="2E11FAB3">
      <w:pPr>
        <w:autoSpaceDN w:val="0"/>
        <w:snapToGrid w:val="0"/>
        <w:spacing w:line="480" w:lineRule="auto"/>
        <w:ind w:firstLine="4830" w:firstLineChars="2300"/>
        <w:rPr>
          <w:rFonts w:ascii="Times New Roman" w:hAnsi="Times New Roman" w:eastAsia="宋体" w:cs="Times New Roman"/>
        </w:rPr>
      </w:pPr>
      <w:r>
        <w:rPr>
          <w:rFonts w:hint="eastAsia" w:ascii="Times New Roman" w:hAnsi="Times New Roman" w:eastAsia="宋体" w:cs="宋体"/>
          <w:szCs w:val="32"/>
        </w:rPr>
        <w:t>企业名称（盖章）：</w:t>
      </w:r>
    </w:p>
    <w:p w14:paraId="02CB7AE6">
      <w:pPr>
        <w:autoSpaceDN w:val="0"/>
        <w:snapToGrid w:val="0"/>
        <w:spacing w:line="480" w:lineRule="auto"/>
        <w:ind w:firstLine="4830" w:firstLineChars="2300"/>
        <w:rPr>
          <w:rFonts w:ascii="Times New Roman" w:hAnsi="Times New Roman" w:eastAsia="宋体" w:cs="Times New Roman"/>
        </w:rPr>
      </w:pPr>
      <w:r>
        <w:rPr>
          <w:rFonts w:hint="eastAsia" w:ascii="Times New Roman" w:hAnsi="Times New Roman" w:eastAsia="宋体" w:cs="宋体"/>
          <w:szCs w:val="32"/>
        </w:rPr>
        <w:t>日期：</w:t>
      </w:r>
    </w:p>
    <w:p w14:paraId="5336832C">
      <w:pPr>
        <w:autoSpaceDN w:val="0"/>
        <w:snapToGrid w:val="0"/>
        <w:spacing w:line="360" w:lineRule="auto"/>
        <w:rPr>
          <w:rFonts w:ascii="Times New Roman" w:hAnsi="Times New Roman" w:eastAsia="宋体" w:cs="Times New Roman"/>
        </w:rPr>
      </w:pPr>
    </w:p>
    <w:p w14:paraId="6D5322F9">
      <w:pPr>
        <w:autoSpaceDN w:val="0"/>
        <w:spacing w:line="480" w:lineRule="auto"/>
        <w:ind w:firstLine="320"/>
        <w:rPr>
          <w:rFonts w:ascii="Times New Roman" w:hAnsi="Times New Roman" w:eastAsia="宋体" w:cs="Times New Roman"/>
        </w:rPr>
      </w:pPr>
      <w:r>
        <w:rPr>
          <w:rFonts w:ascii="Times New Roman" w:hAnsi="Times New Roman" w:eastAsia="宋体" w:cs="TimesNewRomanPSMT"/>
          <w:sz w:val="16"/>
          <w:szCs w:val="12"/>
          <w:vertAlign w:val="superscript"/>
        </w:rPr>
        <w:t>1</w:t>
      </w:r>
      <w:r>
        <w:rPr>
          <w:rFonts w:hint="eastAsia" w:ascii="Times New Roman" w:hAnsi="Times New Roman" w:eastAsia="宋体" w:cs="宋体"/>
          <w:sz w:val="18"/>
          <w:szCs w:val="18"/>
        </w:rPr>
        <w:t>从业人员、营业收入、资产总额填报上一年度数据，无上一年度数据的新成立企业可不填报。</w:t>
      </w:r>
    </w:p>
    <w:p w14:paraId="2971A232">
      <w:pPr>
        <w:autoSpaceDN w:val="0"/>
        <w:spacing w:line="300" w:lineRule="exact"/>
        <w:ind w:firstLine="422" w:firstLineChars="200"/>
        <w:rPr>
          <w:rFonts w:ascii="Times New Roman" w:hAnsi="Times New Roman" w:eastAsia="宋体" w:cs="Times New Roman"/>
        </w:rPr>
      </w:pPr>
      <w:r>
        <w:rPr>
          <w:rFonts w:hint="eastAsia" w:ascii="Times New Roman" w:hAnsi="Times New Roman" w:eastAsia="宋体" w:cs="宋体"/>
          <w:b/>
          <w:szCs w:val="21"/>
        </w:rPr>
        <w:t>风险提示：</w:t>
      </w:r>
    </w:p>
    <w:p w14:paraId="076815D5">
      <w:pPr>
        <w:autoSpaceDN w:val="0"/>
        <w:spacing w:line="300" w:lineRule="exact"/>
        <w:ind w:firstLine="422" w:firstLineChars="200"/>
        <w:rPr>
          <w:rFonts w:ascii="Times New Roman" w:hAnsi="Times New Roman" w:eastAsia="宋体" w:cs="Times New Roman"/>
        </w:rPr>
      </w:pPr>
      <w:r>
        <w:rPr>
          <w:rFonts w:ascii="Times New Roman" w:hAnsi="Times New Roman" w:eastAsia="宋体" w:cs="宋体"/>
          <w:b/>
          <w:szCs w:val="21"/>
        </w:rPr>
        <w:t>1</w:t>
      </w:r>
      <w:r>
        <w:rPr>
          <w:rFonts w:hint="eastAsia" w:ascii="Times New Roman" w:hAnsi="Times New Roman" w:eastAsia="宋体" w:cs="宋体"/>
          <w:b/>
          <w:szCs w:val="21"/>
        </w:rPr>
        <w:t>、《中小企业声明函》格式中所属行业不允许修改，并明确各标的对应所属企业类型。</w:t>
      </w:r>
    </w:p>
    <w:p w14:paraId="3F1A52A9">
      <w:pPr>
        <w:autoSpaceDN w:val="0"/>
        <w:spacing w:line="300" w:lineRule="exact"/>
        <w:ind w:firstLine="413" w:firstLineChars="196"/>
        <w:rPr>
          <w:rFonts w:ascii="Times New Roman" w:hAnsi="Times New Roman" w:eastAsia="宋体" w:cs="Times New Roman"/>
        </w:rPr>
      </w:pPr>
      <w:r>
        <w:rPr>
          <w:rFonts w:ascii="Times New Roman" w:hAnsi="Times New Roman" w:eastAsia="宋体" w:cs="宋体"/>
          <w:b/>
          <w:szCs w:val="21"/>
        </w:rPr>
        <w:t>2</w:t>
      </w:r>
      <w:r>
        <w:rPr>
          <w:rFonts w:hint="eastAsia" w:ascii="Times New Roman" w:hAnsi="Times New Roman" w:eastAsia="宋体" w:cs="宋体"/>
          <w:b/>
          <w:szCs w:val="21"/>
        </w:rPr>
        <w:t>、供应商应当对其出具的《中小企业声明函》真实性负责，供应商出具的《中小企业声明函》内容不实的，属于提供虚假材料谋取中标。</w:t>
      </w:r>
    </w:p>
    <w:p w14:paraId="6FE205C4">
      <w:pPr>
        <w:autoSpaceDN w:val="0"/>
        <w:spacing w:line="360" w:lineRule="auto"/>
        <w:rPr>
          <w:rFonts w:ascii="Times New Roman" w:hAnsi="Times New Roman" w:eastAsia="宋体" w:cs="Times New Roman"/>
        </w:rPr>
      </w:pPr>
      <w:r>
        <w:rPr>
          <w:rFonts w:ascii="Times New Roman" w:hAnsi="Times New Roman" w:eastAsia="宋体" w:cs="Times New Roman"/>
          <w:b/>
          <w:szCs w:val="21"/>
        </w:rPr>
        <w:t> </w:t>
      </w:r>
    </w:p>
    <w:p w14:paraId="4D043161">
      <w:pPr>
        <w:autoSpaceDN w:val="0"/>
        <w:spacing w:line="360" w:lineRule="auto"/>
        <w:rPr>
          <w:rFonts w:ascii="Times New Roman" w:hAnsi="Times New Roman" w:eastAsia="宋体" w:cs="Times New Roman"/>
        </w:rPr>
      </w:pPr>
      <w:r>
        <w:rPr>
          <w:rFonts w:ascii="Times New Roman" w:hAnsi="Times New Roman" w:eastAsia="宋体" w:cs="Times New Roman"/>
          <w:b/>
          <w:szCs w:val="21"/>
        </w:rPr>
        <w:br w:type="page"/>
      </w:r>
      <w:r>
        <w:rPr>
          <w:rFonts w:hint="eastAsia" w:ascii="Times New Roman" w:hAnsi="Times New Roman" w:eastAsia="宋体" w:cs="Times New Roman"/>
          <w:b/>
          <w:szCs w:val="21"/>
        </w:rPr>
        <w:t>A5</w:t>
      </w:r>
      <w:r>
        <w:rPr>
          <w:rFonts w:hint="eastAsia" w:ascii="Times New Roman" w:hAnsi="Times New Roman" w:eastAsia="宋体" w:cs="宋体"/>
          <w:b/>
          <w:szCs w:val="21"/>
        </w:rPr>
        <w:t>、残疾人福利单位声明函（非残疾人福利性单位无需提供本函）</w:t>
      </w:r>
    </w:p>
    <w:p w14:paraId="34E735C6">
      <w:pPr>
        <w:pStyle w:val="7"/>
        <w:widowControl/>
        <w:autoSpaceDN w:val="0"/>
        <w:spacing w:line="360" w:lineRule="auto"/>
        <w:jc w:val="center"/>
        <w:rPr>
          <w:rFonts w:hint="eastAsia"/>
        </w:rPr>
      </w:pPr>
      <w:r>
        <w:rPr>
          <w:rFonts w:cs="宋体"/>
          <w:b/>
        </w:rPr>
        <w:t> </w:t>
      </w:r>
    </w:p>
    <w:p w14:paraId="2506B71C">
      <w:pPr>
        <w:pStyle w:val="7"/>
        <w:widowControl/>
        <w:autoSpaceDN w:val="0"/>
        <w:spacing w:line="480" w:lineRule="auto"/>
        <w:jc w:val="center"/>
        <w:rPr>
          <w:rFonts w:hint="eastAsia"/>
        </w:rPr>
      </w:pPr>
      <w:r>
        <w:rPr>
          <w:rFonts w:hint="eastAsia" w:cs="宋体"/>
          <w:b/>
          <w:sz w:val="28"/>
          <w:szCs w:val="28"/>
        </w:rPr>
        <w:t>残疾人福利性单位声明函</w:t>
      </w:r>
    </w:p>
    <w:p w14:paraId="0DAB8045">
      <w:pPr>
        <w:autoSpaceDN w:val="0"/>
        <w:spacing w:line="480" w:lineRule="auto"/>
        <w:ind w:firstLine="480" w:firstLineChars="200"/>
        <w:rPr>
          <w:rFonts w:ascii="Times New Roman" w:hAnsi="Times New Roman" w:eastAsia="宋体" w:cs="Times New Roman"/>
        </w:rPr>
      </w:pPr>
      <w:r>
        <w:rPr>
          <w:rFonts w:hint="eastAsia" w:ascii="Times New Roman" w:hAnsi="Times New Roman" w:eastAsia="宋体" w:cs="宋体"/>
          <w:sz w:val="24"/>
        </w:rPr>
        <w:t>本单位郑重声明，根据《财政部民政部中国残疾人联合会关于促进残疾人就业政府采购政策的通知》（财库〔</w:t>
      </w:r>
      <w:r>
        <w:rPr>
          <w:rFonts w:ascii="Times New Roman" w:hAnsi="Times New Roman" w:eastAsia="宋体" w:cs="Times New Roman"/>
          <w:sz w:val="24"/>
        </w:rPr>
        <w:t>2018</w:t>
      </w:r>
      <w:r>
        <w:rPr>
          <w:rFonts w:hint="eastAsia" w:ascii="Times New Roman" w:hAnsi="Times New Roman" w:eastAsia="宋体" w:cs="宋体"/>
          <w:sz w:val="24"/>
        </w:rPr>
        <w:t>〕</w:t>
      </w:r>
      <w:r>
        <w:rPr>
          <w:rFonts w:ascii="Times New Roman" w:hAnsi="Times New Roman" w:eastAsia="宋体" w:cs="Times New Roman"/>
          <w:sz w:val="24"/>
        </w:rPr>
        <w:t>141</w:t>
      </w:r>
      <w:r>
        <w:rPr>
          <w:rFonts w:hint="eastAsia" w:ascii="Times New Roman" w:hAnsi="Times New Roman" w:eastAsia="宋体" w:cs="宋体"/>
          <w:sz w:val="24"/>
        </w:rPr>
        <w:t>号）的规定，本单位为符合条件的残疾人福利性单位，且本单位参加</w:t>
      </w:r>
      <w:r>
        <w:rPr>
          <w:rFonts w:ascii="Times New Roman" w:hAnsi="Times New Roman" w:eastAsia="宋体" w:cs="Times New Roman"/>
          <w:sz w:val="24"/>
        </w:rPr>
        <w:t>______</w:t>
      </w:r>
      <w:r>
        <w:rPr>
          <w:rFonts w:hint="eastAsia" w:ascii="Times New Roman" w:hAnsi="Times New Roman" w:eastAsia="宋体" w:cs="宋体"/>
          <w:sz w:val="24"/>
        </w:rPr>
        <w:t>单位的</w:t>
      </w:r>
      <w:r>
        <w:rPr>
          <w:rFonts w:ascii="Times New Roman" w:hAnsi="Times New Roman" w:eastAsia="宋体" w:cs="Times New Roman"/>
          <w:sz w:val="24"/>
        </w:rPr>
        <w:t>______</w:t>
      </w:r>
      <w:r>
        <w:rPr>
          <w:rFonts w:hint="eastAsia" w:ascii="Times New Roman" w:hAnsi="Times New Roman" w:eastAsia="宋体" w:cs="宋体"/>
          <w:sz w:val="24"/>
        </w:rPr>
        <w:t>项目采购活动提供本单位制造的货物（由本单位承担工程</w:t>
      </w:r>
      <w:r>
        <w:rPr>
          <w:rFonts w:ascii="Times New Roman" w:hAnsi="Times New Roman" w:eastAsia="宋体" w:cs="Times New Roman"/>
          <w:sz w:val="24"/>
        </w:rPr>
        <w:t>/</w:t>
      </w:r>
      <w:r>
        <w:rPr>
          <w:rFonts w:hint="eastAsia" w:ascii="Times New Roman" w:hAnsi="Times New Roman" w:eastAsia="宋体" w:cs="宋体"/>
          <w:sz w:val="24"/>
        </w:rPr>
        <w:t>提供服务），或者提供其他残疾人福利性单位制造的货物（不包括使用非残疾人福利性单位注册商标的货物）。</w:t>
      </w:r>
    </w:p>
    <w:p w14:paraId="07649B68">
      <w:pPr>
        <w:autoSpaceDN w:val="0"/>
        <w:spacing w:line="480" w:lineRule="auto"/>
        <w:ind w:firstLine="480" w:firstLineChars="200"/>
        <w:rPr>
          <w:rFonts w:ascii="Times New Roman" w:hAnsi="Times New Roman" w:eastAsia="宋体" w:cs="Times New Roman"/>
        </w:rPr>
      </w:pPr>
      <w:r>
        <w:rPr>
          <w:rFonts w:hint="eastAsia" w:ascii="Times New Roman" w:hAnsi="Times New Roman" w:eastAsia="宋体" w:cs="宋体"/>
          <w:sz w:val="24"/>
        </w:rPr>
        <w:t>本单位对上述声明的真实性负责。如有虚假，将依法承担相应责任。</w:t>
      </w:r>
    </w:p>
    <w:p w14:paraId="39AA8B12">
      <w:pPr>
        <w:autoSpaceDN w:val="0"/>
        <w:spacing w:line="480" w:lineRule="auto"/>
        <w:ind w:firstLine="480" w:firstLineChars="200"/>
        <w:rPr>
          <w:rFonts w:ascii="Times New Roman" w:hAnsi="Times New Roman" w:eastAsia="宋体" w:cs="Times New Roman"/>
        </w:rPr>
      </w:pPr>
      <w:r>
        <w:rPr>
          <w:rFonts w:ascii="Times New Roman" w:hAnsi="Times New Roman" w:eastAsia="宋体" w:cs="Times New Roman"/>
          <w:sz w:val="24"/>
        </w:rPr>
        <w:t> </w:t>
      </w:r>
    </w:p>
    <w:p w14:paraId="5EA60469">
      <w:pPr>
        <w:autoSpaceDN w:val="0"/>
        <w:spacing w:line="480" w:lineRule="auto"/>
        <w:ind w:firstLine="480" w:firstLineChars="200"/>
        <w:rPr>
          <w:rFonts w:ascii="Times New Roman" w:hAnsi="Times New Roman" w:eastAsia="宋体" w:cs="Times New Roman"/>
        </w:rPr>
      </w:pPr>
      <w:r>
        <w:rPr>
          <w:rFonts w:ascii="Times New Roman" w:hAnsi="Times New Roman" w:eastAsia="宋体" w:cs="Times New Roman"/>
          <w:sz w:val="24"/>
        </w:rPr>
        <w:t> </w:t>
      </w:r>
    </w:p>
    <w:p w14:paraId="220405F1">
      <w:pPr>
        <w:tabs>
          <w:tab w:val="left" w:pos="4860"/>
        </w:tabs>
        <w:autoSpaceDN w:val="0"/>
        <w:spacing w:line="480" w:lineRule="auto"/>
        <w:ind w:right="1560" w:firstLine="480" w:firstLineChars="200"/>
        <w:jc w:val="center"/>
        <w:rPr>
          <w:rFonts w:ascii="Times New Roman" w:hAnsi="Times New Roman" w:eastAsia="宋体" w:cs="Times New Roman"/>
        </w:rPr>
      </w:pPr>
      <w:r>
        <w:rPr>
          <w:rFonts w:hint="eastAsia" w:ascii="Times New Roman" w:hAnsi="Times New Roman" w:eastAsia="宋体" w:cs="宋体"/>
          <w:sz w:val="24"/>
        </w:rPr>
        <w:t>企业名称（盖章）：</w:t>
      </w:r>
    </w:p>
    <w:p w14:paraId="0F64A135">
      <w:pPr>
        <w:autoSpaceDN w:val="0"/>
        <w:spacing w:line="480" w:lineRule="auto"/>
        <w:jc w:val="left"/>
        <w:rPr>
          <w:rFonts w:ascii="Times New Roman" w:hAnsi="Times New Roman" w:eastAsia="宋体" w:cs="Times New Roman"/>
        </w:rPr>
      </w:pPr>
      <w:r>
        <w:rPr>
          <w:rFonts w:hint="eastAsia" w:ascii="Times New Roman" w:hAnsi="Times New Roman" w:eastAsia="宋体" w:cs="宋体"/>
          <w:sz w:val="24"/>
        </w:rPr>
        <w:t>日期：</w:t>
      </w:r>
    </w:p>
    <w:p w14:paraId="228919A4">
      <w:pPr>
        <w:autoSpaceDN w:val="0"/>
        <w:spacing w:line="400" w:lineRule="exact"/>
        <w:ind w:firstLine="422" w:firstLineChars="200"/>
        <w:rPr>
          <w:rFonts w:ascii="Times New Roman" w:hAnsi="Times New Roman" w:eastAsia="宋体" w:cs="Times New Roman"/>
        </w:rPr>
      </w:pPr>
      <w:r>
        <w:rPr>
          <w:rFonts w:hint="eastAsia" w:ascii="Times New Roman" w:hAnsi="Times New Roman" w:eastAsia="宋体" w:cs="宋体"/>
          <w:b/>
          <w:szCs w:val="21"/>
        </w:rPr>
        <w:t>注：</w:t>
      </w:r>
    </w:p>
    <w:p w14:paraId="00A96294">
      <w:pPr>
        <w:autoSpaceDN w:val="0"/>
        <w:spacing w:line="400" w:lineRule="exact"/>
        <w:ind w:firstLine="422" w:firstLineChars="200"/>
        <w:rPr>
          <w:rFonts w:ascii="Times New Roman" w:hAnsi="Times New Roman" w:eastAsia="宋体" w:cs="Times New Roman"/>
        </w:rPr>
      </w:pPr>
      <w:r>
        <w:rPr>
          <w:rFonts w:hint="eastAsia" w:ascii="Times New Roman" w:hAnsi="Times New Roman" w:eastAsia="宋体" w:cs="宋体"/>
          <w:b/>
          <w:szCs w:val="21"/>
        </w:rPr>
        <w:t>享受政府采购支持政策的残疾人福利性单位应当同时满足以下条件：</w:t>
      </w:r>
    </w:p>
    <w:p w14:paraId="7D376B81">
      <w:pPr>
        <w:autoSpaceDN w:val="0"/>
        <w:spacing w:line="400" w:lineRule="exact"/>
        <w:ind w:firstLine="422" w:firstLineChars="200"/>
        <w:rPr>
          <w:rFonts w:ascii="Times New Roman" w:hAnsi="Times New Roman" w:eastAsia="宋体" w:cs="Times New Roman"/>
        </w:rPr>
      </w:pPr>
      <w:r>
        <w:rPr>
          <w:rFonts w:hint="eastAsia" w:ascii="Times New Roman" w:hAnsi="Times New Roman" w:eastAsia="宋体" w:cs="宋体"/>
          <w:b/>
          <w:szCs w:val="21"/>
        </w:rPr>
        <w:t>（一）安置的残疾人占本单位在职职工人数的比例不低于</w:t>
      </w:r>
      <w:r>
        <w:rPr>
          <w:rFonts w:ascii="Times New Roman" w:hAnsi="Times New Roman" w:eastAsia="宋体" w:cs="Times New Roman"/>
          <w:b/>
          <w:szCs w:val="21"/>
        </w:rPr>
        <w:t>25%</w:t>
      </w:r>
      <w:r>
        <w:rPr>
          <w:rFonts w:hint="eastAsia" w:ascii="Times New Roman" w:hAnsi="Times New Roman" w:eastAsia="宋体" w:cs="宋体"/>
          <w:b/>
          <w:szCs w:val="21"/>
        </w:rPr>
        <w:t>（含</w:t>
      </w:r>
      <w:r>
        <w:rPr>
          <w:rFonts w:ascii="Times New Roman" w:hAnsi="Times New Roman" w:eastAsia="宋体" w:cs="Times New Roman"/>
          <w:b/>
          <w:szCs w:val="21"/>
        </w:rPr>
        <w:t>25%</w:t>
      </w:r>
      <w:r>
        <w:rPr>
          <w:rFonts w:hint="eastAsia" w:ascii="Times New Roman" w:hAnsi="Times New Roman" w:eastAsia="宋体" w:cs="宋体"/>
          <w:b/>
          <w:szCs w:val="21"/>
        </w:rPr>
        <w:t>），并且安置的残疾人人数不少于</w:t>
      </w:r>
      <w:r>
        <w:rPr>
          <w:rFonts w:ascii="Times New Roman" w:hAnsi="Times New Roman" w:eastAsia="宋体" w:cs="Times New Roman"/>
          <w:b/>
          <w:szCs w:val="21"/>
        </w:rPr>
        <w:t>10</w:t>
      </w:r>
      <w:r>
        <w:rPr>
          <w:rFonts w:hint="eastAsia" w:ascii="Times New Roman" w:hAnsi="Times New Roman" w:eastAsia="宋体" w:cs="宋体"/>
          <w:b/>
          <w:szCs w:val="21"/>
        </w:rPr>
        <w:t>人（含</w:t>
      </w:r>
      <w:r>
        <w:rPr>
          <w:rFonts w:ascii="Times New Roman" w:hAnsi="Times New Roman" w:eastAsia="宋体" w:cs="Times New Roman"/>
          <w:b/>
          <w:szCs w:val="21"/>
        </w:rPr>
        <w:t>10</w:t>
      </w:r>
      <w:r>
        <w:rPr>
          <w:rFonts w:hint="eastAsia" w:ascii="Times New Roman" w:hAnsi="Times New Roman" w:eastAsia="宋体" w:cs="宋体"/>
          <w:b/>
          <w:szCs w:val="21"/>
        </w:rPr>
        <w:t>人）；</w:t>
      </w:r>
    </w:p>
    <w:p w14:paraId="5224265B">
      <w:pPr>
        <w:autoSpaceDN w:val="0"/>
        <w:spacing w:line="400" w:lineRule="exact"/>
        <w:ind w:firstLine="422" w:firstLineChars="200"/>
        <w:rPr>
          <w:rFonts w:ascii="Times New Roman" w:hAnsi="Times New Roman" w:eastAsia="宋体" w:cs="Times New Roman"/>
        </w:rPr>
      </w:pPr>
      <w:r>
        <w:rPr>
          <w:rFonts w:hint="eastAsia" w:ascii="Times New Roman" w:hAnsi="Times New Roman" w:eastAsia="宋体" w:cs="宋体"/>
          <w:b/>
          <w:szCs w:val="21"/>
        </w:rPr>
        <w:t>（二）依法与安置的每位残疾人签订了一年以上（含一年）的劳动合同或服务协议；</w:t>
      </w:r>
    </w:p>
    <w:p w14:paraId="4FE0450D">
      <w:pPr>
        <w:autoSpaceDN w:val="0"/>
        <w:spacing w:line="400" w:lineRule="exact"/>
        <w:ind w:firstLine="422" w:firstLineChars="200"/>
        <w:rPr>
          <w:rFonts w:ascii="Times New Roman" w:hAnsi="Times New Roman" w:eastAsia="宋体" w:cs="Times New Roman"/>
        </w:rPr>
      </w:pPr>
      <w:r>
        <w:rPr>
          <w:rFonts w:hint="eastAsia" w:ascii="Times New Roman" w:hAnsi="Times New Roman" w:eastAsia="宋体" w:cs="宋体"/>
          <w:b/>
          <w:szCs w:val="21"/>
        </w:rPr>
        <w:t>（三）为安置的每位残疾人按月足额缴纳了基本养老保险、基本医疗保险、失业保险、工伤保险和生育保险等社会保险费；</w:t>
      </w:r>
    </w:p>
    <w:p w14:paraId="69C5F550">
      <w:pPr>
        <w:autoSpaceDN w:val="0"/>
        <w:spacing w:line="400" w:lineRule="exact"/>
        <w:ind w:firstLine="422" w:firstLineChars="200"/>
        <w:rPr>
          <w:rFonts w:ascii="Times New Roman" w:hAnsi="Times New Roman" w:eastAsia="宋体" w:cs="Times New Roman"/>
        </w:rPr>
      </w:pPr>
      <w:r>
        <w:rPr>
          <w:rFonts w:hint="eastAsia" w:ascii="Times New Roman" w:hAnsi="Times New Roman" w:eastAsia="宋体" w:cs="宋体"/>
          <w:b/>
          <w:szCs w:val="21"/>
        </w:rPr>
        <w:t>（四）通过银行等金融机构向安置的每位残疾人，按月支付了不低于单位所在区县适用的经省级人民政府批准的月最低工资标准的工资；</w:t>
      </w:r>
    </w:p>
    <w:p w14:paraId="6A60E5FC">
      <w:pPr>
        <w:autoSpaceDN w:val="0"/>
        <w:spacing w:line="400" w:lineRule="exact"/>
        <w:ind w:firstLine="422" w:firstLineChars="200"/>
        <w:rPr>
          <w:rFonts w:ascii="Times New Roman" w:hAnsi="Times New Roman" w:eastAsia="宋体" w:cs="Times New Roman"/>
        </w:rPr>
      </w:pPr>
      <w:r>
        <w:rPr>
          <w:rFonts w:hint="eastAsia" w:ascii="Times New Roman" w:hAnsi="Times New Roman" w:eastAsia="宋体" w:cs="宋体"/>
          <w:b/>
          <w:szCs w:val="21"/>
        </w:rPr>
        <w:t>（五）提供本单位制造的货物、承担的工程或者服务（以下简称产品），或者提供其他残疾人福利性单位制造的货物（不包括使用非残疾人福利性单位注册商标的货物）。</w:t>
      </w:r>
    </w:p>
    <w:p w14:paraId="2263F247">
      <w:pPr>
        <w:autoSpaceDN w:val="0"/>
        <w:spacing w:line="360" w:lineRule="auto"/>
        <w:rPr>
          <w:rFonts w:ascii="Times New Roman" w:hAnsi="Times New Roman" w:eastAsia="宋体" w:cs="Times New Roman"/>
        </w:rPr>
      </w:pPr>
      <w:r>
        <w:rPr>
          <w:rFonts w:hint="eastAsia" w:ascii="Times New Roman" w:hAnsi="Times New Roman" w:eastAsia="宋体" w:cs="宋体"/>
          <w:b/>
          <w:szCs w:val="21"/>
        </w:rPr>
        <w:t>前款所称残疾人是指法定劳动年龄内，持有《中华人民共和国残疾人证》或者《中华人民共和国残疾军人证（</w:t>
      </w:r>
      <w:r>
        <w:rPr>
          <w:rFonts w:ascii="Times New Roman" w:hAnsi="Times New Roman" w:eastAsia="宋体" w:cs="Times New Roman"/>
          <w:b/>
          <w:szCs w:val="21"/>
        </w:rPr>
        <w:t>1</w:t>
      </w:r>
      <w:r>
        <w:rPr>
          <w:rFonts w:hint="eastAsia" w:ascii="Times New Roman" w:hAnsi="Times New Roman" w:eastAsia="宋体" w:cs="宋体"/>
          <w:b/>
          <w:szCs w:val="21"/>
        </w:rPr>
        <w:t>至</w:t>
      </w:r>
      <w:r>
        <w:rPr>
          <w:rFonts w:ascii="Times New Roman" w:hAnsi="Times New Roman" w:eastAsia="宋体" w:cs="Times New Roman"/>
          <w:b/>
          <w:szCs w:val="21"/>
        </w:rPr>
        <w:t>8</w:t>
      </w:r>
      <w:r>
        <w:rPr>
          <w:rFonts w:hint="eastAsia" w:ascii="Times New Roman" w:hAnsi="Times New Roman" w:eastAsia="宋体" w:cs="宋体"/>
          <w:b/>
          <w:szCs w:val="21"/>
        </w:rPr>
        <w:t>级）》的自然人，包括具有劳动条件和劳动意愿的精神残疾人。在职职工人数是指与残疾人福利性单位建立劳动关系并依法签订劳动合同或者服务协议的雇员人数。</w:t>
      </w:r>
    </w:p>
    <w:p w14:paraId="6F525FB0">
      <w:pPr>
        <w:autoSpaceDN w:val="0"/>
        <w:spacing w:line="360" w:lineRule="auto"/>
        <w:rPr>
          <w:rFonts w:hint="eastAsia" w:ascii="宋体" w:hAnsi="宋体" w:eastAsia="宋体" w:cs="宋体"/>
          <w:b/>
          <w:bCs/>
          <w:szCs w:val="21"/>
        </w:rPr>
        <w:sectPr>
          <w:pgSz w:w="11907" w:h="16840"/>
          <w:pgMar w:top="1134" w:right="1474" w:bottom="1134" w:left="1474" w:header="709" w:footer="1134" w:gutter="1"/>
          <w:cols w:space="720" w:num="1"/>
          <w:docGrid w:type="lines" w:linePitch="312" w:charSpace="0"/>
        </w:sectPr>
      </w:pPr>
    </w:p>
    <w:p w14:paraId="462DD13B">
      <w:pPr>
        <w:pageBreakBefore/>
        <w:autoSpaceDN w:val="0"/>
        <w:spacing w:line="360" w:lineRule="auto"/>
        <w:rPr>
          <w:rFonts w:hint="eastAsia" w:ascii="宋体" w:hAnsi="宋体" w:eastAsia="宋体" w:cs="宋体"/>
        </w:rPr>
      </w:pPr>
      <w:r>
        <w:rPr>
          <w:rFonts w:hint="eastAsia" w:ascii="宋体" w:hAnsi="宋体" w:eastAsia="宋体" w:cs="宋体"/>
          <w:b/>
          <w:sz w:val="32"/>
          <w:szCs w:val="32"/>
        </w:rPr>
        <w:t>封面</w:t>
      </w:r>
    </w:p>
    <w:p w14:paraId="66C0ACA8">
      <w:pPr>
        <w:autoSpaceDN w:val="0"/>
        <w:spacing w:line="360" w:lineRule="auto"/>
        <w:rPr>
          <w:rFonts w:hint="eastAsia" w:ascii="宋体" w:hAnsi="宋体" w:eastAsia="宋体" w:cs="宋体"/>
        </w:rPr>
      </w:pPr>
      <w:r>
        <w:rPr>
          <w:rFonts w:hint="eastAsia" w:ascii="宋体" w:hAnsi="宋体" w:eastAsia="宋体" w:cs="宋体"/>
          <w:b/>
          <w:sz w:val="32"/>
          <w:szCs w:val="32"/>
        </w:rPr>
        <w:t> </w:t>
      </w:r>
    </w:p>
    <w:p w14:paraId="08AC9C46">
      <w:pPr>
        <w:autoSpaceDN w:val="0"/>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 xml:space="preserve">椒江区第五中学体育馆提升及室外配套工程 </w:t>
      </w:r>
    </w:p>
    <w:p w14:paraId="60F3EAD7">
      <w:pPr>
        <w:autoSpaceDN w:val="0"/>
        <w:spacing w:line="360" w:lineRule="auto"/>
        <w:jc w:val="center"/>
        <w:rPr>
          <w:rFonts w:hint="eastAsia" w:ascii="宋体" w:hAnsi="宋体" w:eastAsia="宋体" w:cs="宋体"/>
        </w:rPr>
      </w:pPr>
      <w:r>
        <w:rPr>
          <w:rFonts w:hint="eastAsia" w:ascii="宋体" w:hAnsi="宋体" w:eastAsia="宋体" w:cs="宋体"/>
          <w:sz w:val="36"/>
          <w:szCs w:val="36"/>
        </w:rPr>
        <w:t> </w:t>
      </w:r>
    </w:p>
    <w:p w14:paraId="088529E7">
      <w:pPr>
        <w:autoSpaceDN w:val="0"/>
        <w:spacing w:line="360" w:lineRule="auto"/>
        <w:jc w:val="center"/>
        <w:rPr>
          <w:rFonts w:hint="eastAsia" w:ascii="宋体" w:hAnsi="宋体" w:eastAsia="宋体" w:cs="宋体"/>
        </w:rPr>
      </w:pPr>
      <w:r>
        <w:rPr>
          <w:rFonts w:hint="eastAsia" w:ascii="宋体" w:hAnsi="宋体" w:eastAsia="宋体" w:cs="宋体"/>
          <w:sz w:val="36"/>
          <w:szCs w:val="36"/>
        </w:rPr>
        <w:t>项目编号：</w:t>
      </w:r>
      <w:r>
        <w:rPr>
          <w:rFonts w:hint="eastAsia" w:ascii="宋体" w:hAnsi="宋体" w:eastAsia="宋体" w:cs="宋体"/>
          <w:sz w:val="36"/>
          <w:szCs w:val="36"/>
          <w:u w:val="single"/>
        </w:rPr>
        <w:t>ZGTZZB2025-0410</w:t>
      </w:r>
    </w:p>
    <w:p w14:paraId="77A536B1">
      <w:pPr>
        <w:autoSpaceDN w:val="0"/>
        <w:rPr>
          <w:rFonts w:hint="eastAsia" w:ascii="宋体" w:hAnsi="宋体" w:eastAsia="宋体" w:cs="宋体"/>
        </w:rPr>
      </w:pPr>
      <w:r>
        <w:rPr>
          <w:rFonts w:hint="eastAsia" w:ascii="宋体" w:hAnsi="宋体" w:eastAsia="宋体" w:cs="宋体"/>
          <w:sz w:val="28"/>
          <w:szCs w:val="28"/>
        </w:rPr>
        <w:t> </w:t>
      </w:r>
    </w:p>
    <w:p w14:paraId="183011D9">
      <w:pPr>
        <w:autoSpaceDN w:val="0"/>
        <w:spacing w:line="360" w:lineRule="auto"/>
        <w:jc w:val="center"/>
        <w:rPr>
          <w:rFonts w:hint="eastAsia" w:ascii="宋体" w:hAnsi="宋体" w:eastAsia="宋体" w:cs="宋体"/>
        </w:rPr>
      </w:pPr>
      <w:r>
        <w:rPr>
          <w:rFonts w:hint="eastAsia" w:ascii="宋体" w:hAnsi="宋体" w:eastAsia="宋体" w:cs="宋体"/>
          <w:sz w:val="36"/>
          <w:szCs w:val="36"/>
        </w:rPr>
        <w:t>（商务和技术文件）</w:t>
      </w:r>
    </w:p>
    <w:p w14:paraId="07297AE4">
      <w:pPr>
        <w:autoSpaceDN w:val="0"/>
        <w:jc w:val="center"/>
        <w:rPr>
          <w:rFonts w:hint="eastAsia" w:ascii="宋体" w:hAnsi="宋体" w:eastAsia="宋体" w:cs="宋体"/>
        </w:rPr>
      </w:pPr>
      <w:r>
        <w:rPr>
          <w:rFonts w:hint="eastAsia" w:ascii="宋体" w:hAnsi="宋体" w:eastAsia="宋体" w:cs="宋体"/>
          <w:sz w:val="28"/>
          <w:szCs w:val="28"/>
        </w:rPr>
        <w:t> </w:t>
      </w:r>
    </w:p>
    <w:p w14:paraId="5D5C3420">
      <w:pPr>
        <w:autoSpaceDN w:val="0"/>
        <w:spacing w:line="360" w:lineRule="auto"/>
        <w:jc w:val="center"/>
        <w:rPr>
          <w:rFonts w:hint="eastAsia" w:ascii="宋体" w:hAnsi="宋体" w:eastAsia="宋体" w:cs="宋体"/>
        </w:rPr>
      </w:pPr>
      <w:r>
        <w:rPr>
          <w:rFonts w:hint="eastAsia" w:ascii="宋体" w:hAnsi="宋体" w:eastAsia="宋体" w:cs="宋体"/>
          <w:b/>
          <w:sz w:val="72"/>
          <w:szCs w:val="72"/>
        </w:rPr>
        <w:t>磋商响应文件</w:t>
      </w:r>
    </w:p>
    <w:p w14:paraId="35488B6A">
      <w:pPr>
        <w:autoSpaceDN w:val="0"/>
        <w:spacing w:line="360" w:lineRule="auto"/>
        <w:jc w:val="center"/>
        <w:rPr>
          <w:rFonts w:hint="eastAsia" w:ascii="宋体" w:hAnsi="宋体" w:eastAsia="宋体" w:cs="宋体"/>
        </w:rPr>
      </w:pPr>
      <w:r>
        <w:rPr>
          <w:rFonts w:hint="eastAsia" w:ascii="宋体" w:hAnsi="宋体" w:eastAsia="宋体" w:cs="宋体"/>
          <w:sz w:val="36"/>
          <w:szCs w:val="36"/>
        </w:rPr>
        <w:t> </w:t>
      </w:r>
    </w:p>
    <w:p w14:paraId="3B19288A">
      <w:pPr>
        <w:autoSpaceDN w:val="0"/>
        <w:spacing w:line="360" w:lineRule="auto"/>
        <w:jc w:val="center"/>
        <w:rPr>
          <w:rFonts w:hint="eastAsia" w:ascii="宋体" w:hAnsi="宋体" w:eastAsia="宋体" w:cs="宋体"/>
        </w:rPr>
      </w:pPr>
      <w:r>
        <w:rPr>
          <w:rFonts w:hint="eastAsia" w:ascii="宋体" w:hAnsi="宋体" w:eastAsia="宋体" w:cs="宋体"/>
          <w:sz w:val="36"/>
          <w:szCs w:val="36"/>
        </w:rPr>
        <w:t> </w:t>
      </w:r>
    </w:p>
    <w:p w14:paraId="4F351777">
      <w:pPr>
        <w:autoSpaceDN w:val="0"/>
        <w:spacing w:line="360" w:lineRule="auto"/>
        <w:jc w:val="center"/>
        <w:rPr>
          <w:rFonts w:hint="eastAsia" w:ascii="宋体" w:hAnsi="宋体" w:eastAsia="宋体" w:cs="宋体"/>
        </w:rPr>
      </w:pPr>
      <w:r>
        <w:rPr>
          <w:rFonts w:hint="eastAsia" w:ascii="宋体" w:hAnsi="宋体" w:eastAsia="宋体" w:cs="宋体"/>
          <w:sz w:val="36"/>
          <w:szCs w:val="36"/>
        </w:rPr>
        <w:t> </w:t>
      </w:r>
    </w:p>
    <w:p w14:paraId="42D20832">
      <w:pPr>
        <w:autoSpaceDN w:val="0"/>
        <w:spacing w:line="360" w:lineRule="auto"/>
        <w:jc w:val="center"/>
        <w:rPr>
          <w:rFonts w:hint="eastAsia" w:ascii="宋体" w:hAnsi="宋体" w:eastAsia="宋体" w:cs="宋体"/>
        </w:rPr>
      </w:pPr>
      <w:r>
        <w:rPr>
          <w:rFonts w:hint="eastAsia" w:ascii="宋体" w:hAnsi="宋体" w:eastAsia="宋体" w:cs="宋体"/>
          <w:sz w:val="36"/>
          <w:szCs w:val="36"/>
        </w:rPr>
        <w:t>供应商全称：</w:t>
      </w:r>
      <w:r>
        <w:rPr>
          <w:rFonts w:hint="eastAsia" w:ascii="宋体" w:hAnsi="宋体" w:eastAsia="宋体" w:cs="宋体"/>
          <w:sz w:val="36"/>
          <w:szCs w:val="36"/>
          <w:u w:val="single"/>
        </w:rPr>
        <w:t>（加盖单位公章）</w:t>
      </w:r>
    </w:p>
    <w:p w14:paraId="0E914973">
      <w:pPr>
        <w:autoSpaceDN w:val="0"/>
        <w:spacing w:line="360" w:lineRule="auto"/>
        <w:jc w:val="center"/>
        <w:rPr>
          <w:rFonts w:hint="eastAsia" w:ascii="宋体" w:hAnsi="宋体" w:eastAsia="宋体" w:cs="宋体"/>
          <w:sz w:val="36"/>
          <w:szCs w:val="36"/>
        </w:rPr>
      </w:pPr>
    </w:p>
    <w:p w14:paraId="76BB67BD">
      <w:pPr>
        <w:autoSpaceDN w:val="0"/>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0E87A8E3">
      <w:pPr>
        <w:pageBreakBefore/>
        <w:autoSpaceDN w:val="0"/>
        <w:spacing w:line="440" w:lineRule="exact"/>
        <w:jc w:val="center"/>
        <w:rPr>
          <w:rFonts w:hint="eastAsia" w:ascii="宋体" w:hAnsi="宋体" w:eastAsia="宋体" w:cs="宋体"/>
          <w:b/>
          <w:szCs w:val="21"/>
        </w:rPr>
      </w:pPr>
      <w:bookmarkStart w:id="581" w:name="_Toc26107"/>
      <w:bookmarkStart w:id="582" w:name="_Toc28471"/>
      <w:bookmarkStart w:id="583" w:name="_Toc20566"/>
      <w:bookmarkStart w:id="584" w:name="_Toc13033"/>
      <w:bookmarkStart w:id="585" w:name="_Toc25635"/>
      <w:bookmarkStart w:id="586" w:name="_Toc4248"/>
      <w:bookmarkStart w:id="587" w:name="_Toc1427"/>
      <w:r>
        <w:rPr>
          <w:rFonts w:ascii="宋体" w:hAnsi="宋体" w:eastAsia="宋体" w:cs="宋体"/>
          <w:b/>
          <w:szCs w:val="21"/>
        </w:rPr>
        <w:t>B1</w:t>
      </w:r>
      <w:r>
        <w:rPr>
          <w:rFonts w:hint="eastAsia" w:ascii="宋体" w:hAnsi="宋体" w:eastAsia="宋体" w:cs="宋体"/>
          <w:b/>
          <w:szCs w:val="21"/>
        </w:rPr>
        <w:t>.商务技术自评表</w:t>
      </w:r>
      <w:bookmarkEnd w:id="581"/>
      <w:bookmarkEnd w:id="582"/>
      <w:bookmarkEnd w:id="583"/>
      <w:bookmarkEnd w:id="584"/>
      <w:bookmarkEnd w:id="585"/>
      <w:bookmarkEnd w:id="586"/>
      <w:bookmarkEnd w:id="587"/>
    </w:p>
    <w:tbl>
      <w:tblPr>
        <w:tblStyle w:val="25"/>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4ADD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566BD3F">
            <w:pPr>
              <w:spacing w:line="360" w:lineRule="exact"/>
              <w:jc w:val="center"/>
              <w:rPr>
                <w:rFonts w:hint="eastAsia" w:cs="宋体" w:asciiTheme="minorEastAsia" w:hAnsiTheme="minorEastAsia"/>
                <w:b/>
                <w:spacing w:val="20"/>
                <w:szCs w:val="21"/>
              </w:rPr>
            </w:pPr>
            <w:r>
              <w:rPr>
                <w:rFonts w:hint="eastAsia" w:cs="宋体" w:asciiTheme="minorEastAsia" w:hAnsiTheme="minorEastAsia"/>
                <w:b/>
                <w:spacing w:val="20"/>
                <w:szCs w:val="21"/>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5176D6E1">
            <w:pPr>
              <w:spacing w:line="360" w:lineRule="exact"/>
              <w:jc w:val="center"/>
              <w:rPr>
                <w:rFonts w:hint="eastAsia" w:cs="宋体" w:asciiTheme="minorEastAsia" w:hAnsiTheme="minorEastAsia"/>
                <w:b/>
                <w:spacing w:val="20"/>
                <w:szCs w:val="21"/>
              </w:rPr>
            </w:pPr>
            <w:r>
              <w:rPr>
                <w:rFonts w:hint="eastAsia" w:cs="宋体" w:asciiTheme="minorEastAsia" w:hAnsiTheme="minorEastAsia"/>
                <w:b/>
                <w:spacing w:val="20"/>
                <w:szCs w:val="21"/>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571E4A08">
            <w:pPr>
              <w:spacing w:line="360" w:lineRule="exact"/>
              <w:jc w:val="center"/>
              <w:rPr>
                <w:rFonts w:hint="eastAsia" w:cs="宋体" w:asciiTheme="minorEastAsia" w:hAnsiTheme="minorEastAsia"/>
                <w:b/>
                <w:spacing w:val="20"/>
                <w:szCs w:val="21"/>
              </w:rPr>
            </w:pPr>
            <w:r>
              <w:rPr>
                <w:rFonts w:hint="eastAsia" w:cs="宋体" w:asciiTheme="minorEastAsia" w:hAnsiTheme="minorEastAsia"/>
                <w:b/>
                <w:spacing w:val="20"/>
                <w:szCs w:val="21"/>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400AFC02">
            <w:pPr>
              <w:spacing w:line="360" w:lineRule="exact"/>
              <w:jc w:val="center"/>
              <w:rPr>
                <w:rFonts w:hint="eastAsia" w:cs="宋体" w:asciiTheme="minorEastAsia" w:hAnsiTheme="minorEastAsia"/>
                <w:b/>
                <w:spacing w:val="20"/>
                <w:szCs w:val="21"/>
              </w:rPr>
            </w:pPr>
            <w:r>
              <w:rPr>
                <w:rFonts w:hint="eastAsia" w:cs="宋体" w:asciiTheme="minorEastAsia" w:hAnsiTheme="minorEastAsia"/>
                <w:b/>
                <w:spacing w:val="20"/>
                <w:szCs w:val="21"/>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0072B02C">
            <w:pPr>
              <w:spacing w:line="360" w:lineRule="exact"/>
              <w:jc w:val="center"/>
              <w:rPr>
                <w:rFonts w:hint="eastAsia" w:cs="宋体" w:asciiTheme="minorEastAsia" w:hAnsiTheme="minorEastAsia"/>
                <w:b/>
                <w:spacing w:val="20"/>
                <w:szCs w:val="21"/>
              </w:rPr>
            </w:pPr>
            <w:r>
              <w:rPr>
                <w:rFonts w:hint="eastAsia" w:cs="宋体" w:asciiTheme="minorEastAsia" w:hAnsiTheme="minorEastAsia"/>
                <w:b/>
                <w:spacing w:val="20"/>
                <w:szCs w:val="21"/>
              </w:rPr>
              <w:t>投标文件对应页码</w:t>
            </w:r>
          </w:p>
        </w:tc>
      </w:tr>
      <w:tr w14:paraId="5E1E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4199139">
            <w:pPr>
              <w:spacing w:line="360" w:lineRule="exact"/>
              <w:jc w:val="center"/>
              <w:rPr>
                <w:rFonts w:hint="eastAsia" w:cs="宋体" w:asciiTheme="minorEastAsia" w:hAnsiTheme="minorEastAsia"/>
                <w:b/>
                <w:spacing w:val="20"/>
                <w:sz w:val="24"/>
              </w:rPr>
            </w:pPr>
          </w:p>
        </w:tc>
        <w:tc>
          <w:tcPr>
            <w:tcW w:w="5567" w:type="dxa"/>
            <w:tcBorders>
              <w:top w:val="single" w:color="auto" w:sz="2" w:space="0"/>
              <w:left w:val="single" w:color="auto" w:sz="4" w:space="0"/>
              <w:bottom w:val="single" w:color="auto" w:sz="2" w:space="0"/>
              <w:right w:val="single" w:color="auto" w:sz="2" w:space="0"/>
            </w:tcBorders>
            <w:vAlign w:val="center"/>
          </w:tcPr>
          <w:p w14:paraId="03E50569">
            <w:pPr>
              <w:spacing w:line="360" w:lineRule="exact"/>
              <w:jc w:val="center"/>
              <w:rPr>
                <w:rFonts w:hint="eastAsia" w:cs="宋体" w:asciiTheme="minorEastAsia" w:hAnsiTheme="minorEastAsia"/>
                <w:b/>
                <w:spacing w:val="20"/>
                <w:sz w:val="24"/>
              </w:rPr>
            </w:pPr>
          </w:p>
        </w:tc>
        <w:tc>
          <w:tcPr>
            <w:tcW w:w="709" w:type="dxa"/>
            <w:tcBorders>
              <w:top w:val="single" w:color="auto" w:sz="2" w:space="0"/>
              <w:left w:val="single" w:color="auto" w:sz="4" w:space="0"/>
              <w:bottom w:val="single" w:color="auto" w:sz="2" w:space="0"/>
              <w:right w:val="single" w:color="auto" w:sz="2" w:space="0"/>
            </w:tcBorders>
            <w:vAlign w:val="center"/>
          </w:tcPr>
          <w:p w14:paraId="040D4E7C">
            <w:pPr>
              <w:spacing w:line="360" w:lineRule="exact"/>
              <w:jc w:val="center"/>
              <w:rPr>
                <w:rFonts w:hint="eastAsia" w:cs="宋体" w:asciiTheme="minorEastAsia" w:hAnsiTheme="minorEastAsia"/>
                <w:b/>
                <w:spacing w:val="20"/>
                <w:sz w:val="24"/>
              </w:rPr>
            </w:pPr>
          </w:p>
        </w:tc>
        <w:tc>
          <w:tcPr>
            <w:tcW w:w="709" w:type="dxa"/>
            <w:tcBorders>
              <w:top w:val="single" w:color="auto" w:sz="2" w:space="0"/>
              <w:left w:val="single" w:color="auto" w:sz="4" w:space="0"/>
              <w:bottom w:val="single" w:color="auto" w:sz="2" w:space="0"/>
              <w:right w:val="single" w:color="auto" w:sz="2" w:space="0"/>
            </w:tcBorders>
            <w:vAlign w:val="center"/>
          </w:tcPr>
          <w:p w14:paraId="0D88AD83">
            <w:pPr>
              <w:spacing w:line="360" w:lineRule="exact"/>
              <w:jc w:val="center"/>
              <w:rPr>
                <w:rFonts w:hint="eastAsia" w:cs="宋体" w:asciiTheme="minorEastAsia" w:hAnsiTheme="minorEastAsia"/>
                <w:b/>
                <w:spacing w:val="20"/>
                <w:sz w:val="24"/>
              </w:rPr>
            </w:pPr>
          </w:p>
        </w:tc>
        <w:tc>
          <w:tcPr>
            <w:tcW w:w="1145" w:type="dxa"/>
            <w:tcBorders>
              <w:top w:val="single" w:color="auto" w:sz="2" w:space="0"/>
              <w:left w:val="single" w:color="auto" w:sz="4" w:space="0"/>
              <w:bottom w:val="single" w:color="auto" w:sz="2" w:space="0"/>
              <w:right w:val="single" w:color="auto" w:sz="2" w:space="0"/>
            </w:tcBorders>
            <w:vAlign w:val="center"/>
          </w:tcPr>
          <w:p w14:paraId="4F75327C">
            <w:pPr>
              <w:spacing w:line="360" w:lineRule="exact"/>
              <w:jc w:val="center"/>
              <w:rPr>
                <w:rFonts w:hint="eastAsia" w:cs="宋体" w:asciiTheme="minorEastAsia" w:hAnsiTheme="minorEastAsia"/>
                <w:b/>
                <w:spacing w:val="20"/>
                <w:sz w:val="24"/>
              </w:rPr>
            </w:pPr>
          </w:p>
        </w:tc>
      </w:tr>
      <w:tr w14:paraId="726D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9C1ACC5">
            <w:pPr>
              <w:spacing w:line="360" w:lineRule="exact"/>
              <w:jc w:val="center"/>
              <w:rPr>
                <w:rFonts w:hint="eastAsia" w:cs="宋体" w:asciiTheme="minorEastAsia" w:hAnsiTheme="minorEastAsia"/>
                <w:b/>
                <w:spacing w:val="20"/>
                <w:sz w:val="24"/>
              </w:rPr>
            </w:pPr>
          </w:p>
        </w:tc>
        <w:tc>
          <w:tcPr>
            <w:tcW w:w="5567" w:type="dxa"/>
            <w:tcBorders>
              <w:top w:val="single" w:color="auto" w:sz="2" w:space="0"/>
              <w:left w:val="single" w:color="auto" w:sz="4" w:space="0"/>
              <w:bottom w:val="single" w:color="auto" w:sz="2" w:space="0"/>
              <w:right w:val="single" w:color="auto" w:sz="2" w:space="0"/>
            </w:tcBorders>
            <w:vAlign w:val="center"/>
          </w:tcPr>
          <w:p w14:paraId="760DE5E4">
            <w:pPr>
              <w:spacing w:line="360" w:lineRule="exact"/>
              <w:jc w:val="center"/>
              <w:rPr>
                <w:rFonts w:hint="eastAsia" w:cs="宋体" w:asciiTheme="minorEastAsia" w:hAnsiTheme="minorEastAsia"/>
                <w:b/>
                <w:spacing w:val="20"/>
                <w:sz w:val="24"/>
              </w:rPr>
            </w:pPr>
          </w:p>
        </w:tc>
        <w:tc>
          <w:tcPr>
            <w:tcW w:w="709" w:type="dxa"/>
            <w:tcBorders>
              <w:top w:val="single" w:color="auto" w:sz="2" w:space="0"/>
              <w:left w:val="single" w:color="auto" w:sz="4" w:space="0"/>
              <w:bottom w:val="single" w:color="auto" w:sz="2" w:space="0"/>
              <w:right w:val="single" w:color="auto" w:sz="2" w:space="0"/>
            </w:tcBorders>
            <w:vAlign w:val="center"/>
          </w:tcPr>
          <w:p w14:paraId="0E39645A">
            <w:pPr>
              <w:spacing w:line="360" w:lineRule="exact"/>
              <w:jc w:val="center"/>
              <w:rPr>
                <w:rFonts w:hint="eastAsia" w:cs="宋体" w:asciiTheme="minorEastAsia" w:hAnsiTheme="minorEastAsia"/>
                <w:b/>
                <w:spacing w:val="20"/>
                <w:sz w:val="24"/>
              </w:rPr>
            </w:pPr>
          </w:p>
        </w:tc>
        <w:tc>
          <w:tcPr>
            <w:tcW w:w="709" w:type="dxa"/>
            <w:tcBorders>
              <w:top w:val="single" w:color="auto" w:sz="2" w:space="0"/>
              <w:left w:val="single" w:color="auto" w:sz="4" w:space="0"/>
              <w:bottom w:val="single" w:color="auto" w:sz="2" w:space="0"/>
              <w:right w:val="single" w:color="auto" w:sz="2" w:space="0"/>
            </w:tcBorders>
            <w:vAlign w:val="center"/>
          </w:tcPr>
          <w:p w14:paraId="4ACB825F">
            <w:pPr>
              <w:spacing w:line="360" w:lineRule="exact"/>
              <w:jc w:val="center"/>
              <w:rPr>
                <w:rFonts w:hint="eastAsia" w:cs="宋体" w:asciiTheme="minorEastAsia" w:hAnsiTheme="minorEastAsia"/>
                <w:b/>
                <w:spacing w:val="20"/>
                <w:sz w:val="24"/>
              </w:rPr>
            </w:pPr>
          </w:p>
        </w:tc>
        <w:tc>
          <w:tcPr>
            <w:tcW w:w="1145" w:type="dxa"/>
            <w:tcBorders>
              <w:top w:val="single" w:color="auto" w:sz="2" w:space="0"/>
              <w:left w:val="single" w:color="auto" w:sz="4" w:space="0"/>
              <w:bottom w:val="single" w:color="auto" w:sz="2" w:space="0"/>
              <w:right w:val="single" w:color="auto" w:sz="2" w:space="0"/>
            </w:tcBorders>
            <w:vAlign w:val="center"/>
          </w:tcPr>
          <w:p w14:paraId="7C5560C2">
            <w:pPr>
              <w:spacing w:line="360" w:lineRule="exact"/>
              <w:jc w:val="center"/>
              <w:rPr>
                <w:rFonts w:hint="eastAsia" w:cs="宋体" w:asciiTheme="minorEastAsia" w:hAnsiTheme="minorEastAsia"/>
                <w:b/>
                <w:spacing w:val="20"/>
                <w:sz w:val="24"/>
              </w:rPr>
            </w:pPr>
          </w:p>
        </w:tc>
      </w:tr>
      <w:tr w14:paraId="0077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C85ABAA">
            <w:pPr>
              <w:spacing w:line="360" w:lineRule="exact"/>
              <w:jc w:val="center"/>
              <w:rPr>
                <w:rFonts w:hint="eastAsia" w:cs="宋体" w:asciiTheme="minorEastAsia" w:hAnsiTheme="minorEastAsia"/>
                <w:b/>
                <w:spacing w:val="20"/>
                <w:sz w:val="24"/>
              </w:rPr>
            </w:pPr>
          </w:p>
        </w:tc>
        <w:tc>
          <w:tcPr>
            <w:tcW w:w="5567" w:type="dxa"/>
            <w:tcBorders>
              <w:top w:val="single" w:color="auto" w:sz="2" w:space="0"/>
              <w:left w:val="single" w:color="auto" w:sz="4" w:space="0"/>
              <w:bottom w:val="single" w:color="auto" w:sz="2" w:space="0"/>
              <w:right w:val="single" w:color="auto" w:sz="2" w:space="0"/>
            </w:tcBorders>
            <w:vAlign w:val="center"/>
          </w:tcPr>
          <w:p w14:paraId="2F1799B6">
            <w:pPr>
              <w:spacing w:line="360" w:lineRule="exact"/>
              <w:jc w:val="center"/>
              <w:rPr>
                <w:rFonts w:hint="eastAsia" w:cs="宋体" w:asciiTheme="minorEastAsia" w:hAnsiTheme="minorEastAsia"/>
                <w:b/>
                <w:spacing w:val="20"/>
                <w:sz w:val="24"/>
              </w:rPr>
            </w:pPr>
          </w:p>
        </w:tc>
        <w:tc>
          <w:tcPr>
            <w:tcW w:w="709" w:type="dxa"/>
            <w:tcBorders>
              <w:top w:val="single" w:color="auto" w:sz="2" w:space="0"/>
              <w:left w:val="single" w:color="auto" w:sz="4" w:space="0"/>
              <w:bottom w:val="single" w:color="auto" w:sz="2" w:space="0"/>
              <w:right w:val="single" w:color="auto" w:sz="2" w:space="0"/>
            </w:tcBorders>
            <w:vAlign w:val="center"/>
          </w:tcPr>
          <w:p w14:paraId="3770A5D2">
            <w:pPr>
              <w:spacing w:line="360" w:lineRule="exact"/>
              <w:jc w:val="center"/>
              <w:rPr>
                <w:rFonts w:hint="eastAsia" w:cs="宋体" w:asciiTheme="minorEastAsia" w:hAnsiTheme="minorEastAsia"/>
                <w:b/>
                <w:spacing w:val="20"/>
                <w:sz w:val="24"/>
              </w:rPr>
            </w:pPr>
          </w:p>
        </w:tc>
        <w:tc>
          <w:tcPr>
            <w:tcW w:w="709" w:type="dxa"/>
            <w:tcBorders>
              <w:top w:val="single" w:color="auto" w:sz="2" w:space="0"/>
              <w:left w:val="single" w:color="auto" w:sz="4" w:space="0"/>
              <w:bottom w:val="single" w:color="auto" w:sz="2" w:space="0"/>
              <w:right w:val="single" w:color="auto" w:sz="2" w:space="0"/>
            </w:tcBorders>
            <w:vAlign w:val="center"/>
          </w:tcPr>
          <w:p w14:paraId="779646CC">
            <w:pPr>
              <w:spacing w:line="360" w:lineRule="exact"/>
              <w:jc w:val="center"/>
              <w:rPr>
                <w:rFonts w:hint="eastAsia" w:cs="宋体" w:asciiTheme="minorEastAsia" w:hAnsiTheme="minorEastAsia"/>
                <w:b/>
                <w:spacing w:val="20"/>
                <w:sz w:val="24"/>
              </w:rPr>
            </w:pPr>
          </w:p>
        </w:tc>
        <w:tc>
          <w:tcPr>
            <w:tcW w:w="1145" w:type="dxa"/>
            <w:tcBorders>
              <w:top w:val="single" w:color="auto" w:sz="2" w:space="0"/>
              <w:left w:val="single" w:color="auto" w:sz="4" w:space="0"/>
              <w:bottom w:val="single" w:color="auto" w:sz="2" w:space="0"/>
              <w:right w:val="single" w:color="auto" w:sz="2" w:space="0"/>
            </w:tcBorders>
            <w:vAlign w:val="center"/>
          </w:tcPr>
          <w:p w14:paraId="5B26F452">
            <w:pPr>
              <w:spacing w:line="360" w:lineRule="exact"/>
              <w:jc w:val="center"/>
              <w:rPr>
                <w:rFonts w:hint="eastAsia" w:cs="宋体" w:asciiTheme="minorEastAsia" w:hAnsiTheme="minorEastAsia"/>
                <w:b/>
                <w:spacing w:val="20"/>
                <w:sz w:val="24"/>
              </w:rPr>
            </w:pPr>
          </w:p>
        </w:tc>
      </w:tr>
      <w:tr w14:paraId="57E9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25F8D0E">
            <w:pPr>
              <w:spacing w:line="360" w:lineRule="exact"/>
              <w:jc w:val="center"/>
              <w:rPr>
                <w:rFonts w:hint="eastAsia" w:cs="宋体" w:asciiTheme="minorEastAsia" w:hAnsiTheme="minorEastAsia"/>
                <w:b/>
                <w:spacing w:val="20"/>
                <w:sz w:val="24"/>
              </w:rPr>
            </w:pPr>
          </w:p>
        </w:tc>
        <w:tc>
          <w:tcPr>
            <w:tcW w:w="5567" w:type="dxa"/>
            <w:tcBorders>
              <w:top w:val="single" w:color="auto" w:sz="2" w:space="0"/>
              <w:left w:val="single" w:color="auto" w:sz="4" w:space="0"/>
              <w:bottom w:val="single" w:color="auto" w:sz="2" w:space="0"/>
              <w:right w:val="single" w:color="auto" w:sz="2" w:space="0"/>
            </w:tcBorders>
            <w:vAlign w:val="center"/>
          </w:tcPr>
          <w:p w14:paraId="76B3069C">
            <w:pPr>
              <w:spacing w:line="360" w:lineRule="exact"/>
              <w:jc w:val="center"/>
              <w:rPr>
                <w:rFonts w:hint="eastAsia" w:cs="宋体" w:asciiTheme="minorEastAsia" w:hAnsiTheme="minorEastAsia"/>
                <w:b/>
                <w:spacing w:val="20"/>
                <w:sz w:val="24"/>
              </w:rPr>
            </w:pPr>
          </w:p>
        </w:tc>
        <w:tc>
          <w:tcPr>
            <w:tcW w:w="709" w:type="dxa"/>
            <w:tcBorders>
              <w:top w:val="single" w:color="auto" w:sz="2" w:space="0"/>
              <w:left w:val="single" w:color="auto" w:sz="4" w:space="0"/>
              <w:bottom w:val="single" w:color="auto" w:sz="2" w:space="0"/>
              <w:right w:val="single" w:color="auto" w:sz="2" w:space="0"/>
            </w:tcBorders>
            <w:vAlign w:val="center"/>
          </w:tcPr>
          <w:p w14:paraId="4D1180AD">
            <w:pPr>
              <w:spacing w:line="360" w:lineRule="exact"/>
              <w:jc w:val="center"/>
              <w:rPr>
                <w:rFonts w:hint="eastAsia" w:cs="宋体" w:asciiTheme="minorEastAsia" w:hAnsiTheme="minorEastAsia"/>
                <w:b/>
                <w:spacing w:val="20"/>
                <w:sz w:val="24"/>
              </w:rPr>
            </w:pPr>
          </w:p>
        </w:tc>
        <w:tc>
          <w:tcPr>
            <w:tcW w:w="709" w:type="dxa"/>
            <w:tcBorders>
              <w:top w:val="single" w:color="auto" w:sz="2" w:space="0"/>
              <w:left w:val="single" w:color="auto" w:sz="4" w:space="0"/>
              <w:bottom w:val="single" w:color="auto" w:sz="2" w:space="0"/>
              <w:right w:val="single" w:color="auto" w:sz="2" w:space="0"/>
            </w:tcBorders>
            <w:vAlign w:val="center"/>
          </w:tcPr>
          <w:p w14:paraId="33824198">
            <w:pPr>
              <w:spacing w:line="360" w:lineRule="exact"/>
              <w:jc w:val="center"/>
              <w:rPr>
                <w:rFonts w:hint="eastAsia" w:cs="宋体" w:asciiTheme="minorEastAsia" w:hAnsiTheme="minorEastAsia"/>
                <w:b/>
                <w:spacing w:val="20"/>
                <w:sz w:val="24"/>
              </w:rPr>
            </w:pPr>
          </w:p>
        </w:tc>
        <w:tc>
          <w:tcPr>
            <w:tcW w:w="1145" w:type="dxa"/>
            <w:tcBorders>
              <w:top w:val="single" w:color="auto" w:sz="2" w:space="0"/>
              <w:left w:val="single" w:color="auto" w:sz="4" w:space="0"/>
              <w:bottom w:val="single" w:color="auto" w:sz="2" w:space="0"/>
              <w:right w:val="single" w:color="auto" w:sz="2" w:space="0"/>
            </w:tcBorders>
            <w:vAlign w:val="center"/>
          </w:tcPr>
          <w:p w14:paraId="271B2868">
            <w:pPr>
              <w:spacing w:line="360" w:lineRule="exact"/>
              <w:jc w:val="center"/>
              <w:rPr>
                <w:rFonts w:hint="eastAsia" w:cs="宋体" w:asciiTheme="minorEastAsia" w:hAnsiTheme="minorEastAsia"/>
                <w:b/>
                <w:spacing w:val="20"/>
                <w:sz w:val="24"/>
              </w:rPr>
            </w:pPr>
          </w:p>
        </w:tc>
      </w:tr>
      <w:tr w14:paraId="2920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1BCCF40">
            <w:pPr>
              <w:spacing w:line="360" w:lineRule="exact"/>
              <w:jc w:val="center"/>
              <w:rPr>
                <w:rFonts w:hint="eastAsia" w:cs="宋体" w:asciiTheme="minorEastAsia" w:hAnsiTheme="minorEastAsia"/>
                <w:b/>
                <w:spacing w:val="20"/>
                <w:szCs w:val="21"/>
              </w:rPr>
            </w:pPr>
          </w:p>
        </w:tc>
        <w:tc>
          <w:tcPr>
            <w:tcW w:w="5567" w:type="dxa"/>
            <w:tcBorders>
              <w:top w:val="single" w:color="auto" w:sz="2" w:space="0"/>
              <w:left w:val="single" w:color="auto" w:sz="4" w:space="0"/>
              <w:bottom w:val="single" w:color="auto" w:sz="2" w:space="0"/>
              <w:right w:val="single" w:color="auto" w:sz="2" w:space="0"/>
            </w:tcBorders>
            <w:vAlign w:val="center"/>
          </w:tcPr>
          <w:p w14:paraId="03679F4C">
            <w:pPr>
              <w:spacing w:line="360" w:lineRule="exact"/>
              <w:jc w:val="center"/>
              <w:rPr>
                <w:rFonts w:hint="eastAsia" w:cs="宋体" w:asciiTheme="minorEastAsia" w:hAnsiTheme="minorEastAsia"/>
                <w:b/>
                <w:spacing w:val="20"/>
                <w:szCs w:val="21"/>
              </w:rPr>
            </w:pPr>
          </w:p>
        </w:tc>
        <w:tc>
          <w:tcPr>
            <w:tcW w:w="709" w:type="dxa"/>
            <w:tcBorders>
              <w:top w:val="single" w:color="auto" w:sz="2" w:space="0"/>
              <w:left w:val="single" w:color="auto" w:sz="4" w:space="0"/>
              <w:bottom w:val="single" w:color="auto" w:sz="2" w:space="0"/>
              <w:right w:val="single" w:color="auto" w:sz="2" w:space="0"/>
            </w:tcBorders>
            <w:vAlign w:val="center"/>
          </w:tcPr>
          <w:p w14:paraId="3956E04E">
            <w:pPr>
              <w:spacing w:line="360" w:lineRule="exact"/>
              <w:jc w:val="center"/>
              <w:rPr>
                <w:rFonts w:hint="eastAsia" w:cs="宋体" w:asciiTheme="minorEastAsia" w:hAnsiTheme="minorEastAsia"/>
                <w:b/>
                <w:spacing w:val="20"/>
                <w:szCs w:val="21"/>
              </w:rPr>
            </w:pPr>
          </w:p>
        </w:tc>
        <w:tc>
          <w:tcPr>
            <w:tcW w:w="709" w:type="dxa"/>
            <w:tcBorders>
              <w:top w:val="single" w:color="auto" w:sz="2" w:space="0"/>
              <w:left w:val="single" w:color="auto" w:sz="4" w:space="0"/>
              <w:bottom w:val="single" w:color="auto" w:sz="2" w:space="0"/>
              <w:right w:val="single" w:color="auto" w:sz="2" w:space="0"/>
            </w:tcBorders>
            <w:vAlign w:val="center"/>
          </w:tcPr>
          <w:p w14:paraId="54E7E4EE">
            <w:pPr>
              <w:spacing w:line="360" w:lineRule="exact"/>
              <w:jc w:val="center"/>
              <w:rPr>
                <w:rFonts w:hint="eastAsia" w:cs="宋体" w:asciiTheme="minorEastAsia" w:hAnsiTheme="minorEastAsia"/>
                <w:b/>
                <w:spacing w:val="20"/>
                <w:szCs w:val="21"/>
              </w:rPr>
            </w:pPr>
          </w:p>
        </w:tc>
        <w:tc>
          <w:tcPr>
            <w:tcW w:w="1145" w:type="dxa"/>
            <w:tcBorders>
              <w:top w:val="single" w:color="auto" w:sz="2" w:space="0"/>
              <w:left w:val="single" w:color="auto" w:sz="4" w:space="0"/>
              <w:bottom w:val="single" w:color="auto" w:sz="2" w:space="0"/>
              <w:right w:val="single" w:color="auto" w:sz="2" w:space="0"/>
            </w:tcBorders>
            <w:vAlign w:val="center"/>
          </w:tcPr>
          <w:p w14:paraId="5F465B12">
            <w:pPr>
              <w:spacing w:line="360" w:lineRule="exact"/>
              <w:jc w:val="center"/>
              <w:rPr>
                <w:rFonts w:hint="eastAsia" w:cs="宋体" w:asciiTheme="minorEastAsia" w:hAnsiTheme="minorEastAsia"/>
                <w:b/>
                <w:spacing w:val="20"/>
                <w:szCs w:val="21"/>
              </w:rPr>
            </w:pPr>
          </w:p>
        </w:tc>
      </w:tr>
      <w:tr w14:paraId="34B9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5E10849">
            <w:pPr>
              <w:spacing w:line="360" w:lineRule="exact"/>
              <w:jc w:val="center"/>
              <w:rPr>
                <w:rFonts w:hint="eastAsia" w:cs="宋体" w:asciiTheme="minorEastAsia" w:hAnsiTheme="minorEastAsia"/>
                <w:b/>
                <w:spacing w:val="20"/>
                <w:szCs w:val="21"/>
              </w:rPr>
            </w:pPr>
          </w:p>
        </w:tc>
        <w:tc>
          <w:tcPr>
            <w:tcW w:w="5567" w:type="dxa"/>
            <w:tcBorders>
              <w:top w:val="single" w:color="auto" w:sz="2" w:space="0"/>
              <w:left w:val="single" w:color="auto" w:sz="4" w:space="0"/>
              <w:bottom w:val="single" w:color="auto" w:sz="2" w:space="0"/>
              <w:right w:val="single" w:color="auto" w:sz="2" w:space="0"/>
            </w:tcBorders>
            <w:vAlign w:val="center"/>
          </w:tcPr>
          <w:p w14:paraId="0507B49C">
            <w:pPr>
              <w:spacing w:line="360" w:lineRule="exact"/>
              <w:jc w:val="center"/>
              <w:rPr>
                <w:rFonts w:hint="eastAsia" w:cs="宋体" w:asciiTheme="minorEastAsia" w:hAnsiTheme="minorEastAsia"/>
                <w:b/>
                <w:spacing w:val="20"/>
                <w:szCs w:val="21"/>
              </w:rPr>
            </w:pPr>
          </w:p>
        </w:tc>
        <w:tc>
          <w:tcPr>
            <w:tcW w:w="709" w:type="dxa"/>
            <w:tcBorders>
              <w:top w:val="single" w:color="auto" w:sz="2" w:space="0"/>
              <w:left w:val="single" w:color="auto" w:sz="4" w:space="0"/>
              <w:bottom w:val="single" w:color="auto" w:sz="2" w:space="0"/>
              <w:right w:val="single" w:color="auto" w:sz="2" w:space="0"/>
            </w:tcBorders>
            <w:vAlign w:val="center"/>
          </w:tcPr>
          <w:p w14:paraId="13A88138">
            <w:pPr>
              <w:spacing w:line="360" w:lineRule="exact"/>
              <w:jc w:val="center"/>
              <w:rPr>
                <w:rFonts w:hint="eastAsia" w:cs="宋体" w:asciiTheme="minorEastAsia" w:hAnsiTheme="minorEastAsia"/>
                <w:b/>
                <w:spacing w:val="20"/>
                <w:szCs w:val="21"/>
              </w:rPr>
            </w:pPr>
          </w:p>
        </w:tc>
        <w:tc>
          <w:tcPr>
            <w:tcW w:w="709" w:type="dxa"/>
            <w:tcBorders>
              <w:top w:val="single" w:color="auto" w:sz="2" w:space="0"/>
              <w:left w:val="single" w:color="auto" w:sz="4" w:space="0"/>
              <w:bottom w:val="single" w:color="auto" w:sz="2" w:space="0"/>
              <w:right w:val="single" w:color="auto" w:sz="2" w:space="0"/>
            </w:tcBorders>
            <w:vAlign w:val="center"/>
          </w:tcPr>
          <w:p w14:paraId="4271EBD4">
            <w:pPr>
              <w:spacing w:line="360" w:lineRule="exact"/>
              <w:jc w:val="center"/>
              <w:rPr>
                <w:rFonts w:hint="eastAsia" w:cs="宋体" w:asciiTheme="minorEastAsia" w:hAnsiTheme="minorEastAsia"/>
                <w:b/>
                <w:spacing w:val="20"/>
                <w:szCs w:val="21"/>
              </w:rPr>
            </w:pPr>
          </w:p>
        </w:tc>
        <w:tc>
          <w:tcPr>
            <w:tcW w:w="1145" w:type="dxa"/>
            <w:tcBorders>
              <w:top w:val="single" w:color="auto" w:sz="2" w:space="0"/>
              <w:left w:val="single" w:color="auto" w:sz="4" w:space="0"/>
              <w:bottom w:val="single" w:color="auto" w:sz="2" w:space="0"/>
              <w:right w:val="single" w:color="auto" w:sz="2" w:space="0"/>
            </w:tcBorders>
            <w:vAlign w:val="center"/>
          </w:tcPr>
          <w:p w14:paraId="2770FD7B">
            <w:pPr>
              <w:spacing w:line="360" w:lineRule="exact"/>
              <w:jc w:val="center"/>
              <w:rPr>
                <w:rFonts w:hint="eastAsia" w:cs="宋体" w:asciiTheme="minorEastAsia" w:hAnsiTheme="minorEastAsia"/>
                <w:b/>
                <w:spacing w:val="20"/>
                <w:szCs w:val="21"/>
              </w:rPr>
            </w:pPr>
          </w:p>
        </w:tc>
      </w:tr>
      <w:tr w14:paraId="7DBD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EFB7B5F">
            <w:pPr>
              <w:spacing w:line="360" w:lineRule="exact"/>
              <w:jc w:val="center"/>
              <w:rPr>
                <w:rFonts w:hint="eastAsia" w:cs="宋体" w:asciiTheme="minorEastAsia" w:hAnsiTheme="minorEastAsia"/>
                <w:b/>
                <w:spacing w:val="20"/>
                <w:szCs w:val="21"/>
              </w:rPr>
            </w:pPr>
          </w:p>
        </w:tc>
        <w:tc>
          <w:tcPr>
            <w:tcW w:w="5567" w:type="dxa"/>
            <w:tcBorders>
              <w:top w:val="single" w:color="auto" w:sz="2" w:space="0"/>
              <w:left w:val="single" w:color="auto" w:sz="4" w:space="0"/>
              <w:bottom w:val="single" w:color="auto" w:sz="2" w:space="0"/>
              <w:right w:val="single" w:color="auto" w:sz="2" w:space="0"/>
            </w:tcBorders>
            <w:vAlign w:val="center"/>
          </w:tcPr>
          <w:p w14:paraId="50B8B7DD">
            <w:pPr>
              <w:spacing w:line="360" w:lineRule="exact"/>
              <w:jc w:val="center"/>
              <w:rPr>
                <w:rFonts w:hint="eastAsia" w:cs="宋体" w:asciiTheme="minorEastAsia" w:hAnsiTheme="minorEastAsia"/>
                <w:b/>
                <w:spacing w:val="20"/>
                <w:szCs w:val="21"/>
              </w:rPr>
            </w:pPr>
          </w:p>
        </w:tc>
        <w:tc>
          <w:tcPr>
            <w:tcW w:w="709" w:type="dxa"/>
            <w:tcBorders>
              <w:top w:val="single" w:color="auto" w:sz="2" w:space="0"/>
              <w:left w:val="single" w:color="auto" w:sz="4" w:space="0"/>
              <w:bottom w:val="single" w:color="auto" w:sz="2" w:space="0"/>
              <w:right w:val="single" w:color="auto" w:sz="2" w:space="0"/>
            </w:tcBorders>
            <w:vAlign w:val="center"/>
          </w:tcPr>
          <w:p w14:paraId="597276A5">
            <w:pPr>
              <w:spacing w:line="360" w:lineRule="exact"/>
              <w:jc w:val="center"/>
              <w:rPr>
                <w:rFonts w:hint="eastAsia" w:cs="宋体" w:asciiTheme="minorEastAsia" w:hAnsiTheme="minorEastAsia"/>
                <w:b/>
                <w:spacing w:val="20"/>
                <w:szCs w:val="21"/>
              </w:rPr>
            </w:pPr>
          </w:p>
        </w:tc>
        <w:tc>
          <w:tcPr>
            <w:tcW w:w="709" w:type="dxa"/>
            <w:tcBorders>
              <w:top w:val="single" w:color="auto" w:sz="2" w:space="0"/>
              <w:left w:val="single" w:color="auto" w:sz="4" w:space="0"/>
              <w:bottom w:val="single" w:color="auto" w:sz="2" w:space="0"/>
              <w:right w:val="single" w:color="auto" w:sz="2" w:space="0"/>
            </w:tcBorders>
            <w:vAlign w:val="center"/>
          </w:tcPr>
          <w:p w14:paraId="173E7E39">
            <w:pPr>
              <w:spacing w:line="360" w:lineRule="exact"/>
              <w:jc w:val="center"/>
              <w:rPr>
                <w:rFonts w:hint="eastAsia" w:cs="宋体" w:asciiTheme="minorEastAsia" w:hAnsiTheme="minorEastAsia"/>
                <w:b/>
                <w:spacing w:val="20"/>
                <w:szCs w:val="21"/>
              </w:rPr>
            </w:pPr>
          </w:p>
        </w:tc>
        <w:tc>
          <w:tcPr>
            <w:tcW w:w="1145" w:type="dxa"/>
            <w:tcBorders>
              <w:top w:val="single" w:color="auto" w:sz="2" w:space="0"/>
              <w:left w:val="single" w:color="auto" w:sz="4" w:space="0"/>
              <w:bottom w:val="single" w:color="auto" w:sz="2" w:space="0"/>
              <w:right w:val="single" w:color="auto" w:sz="2" w:space="0"/>
            </w:tcBorders>
            <w:vAlign w:val="center"/>
          </w:tcPr>
          <w:p w14:paraId="537D01DC">
            <w:pPr>
              <w:spacing w:line="360" w:lineRule="exact"/>
              <w:jc w:val="center"/>
              <w:rPr>
                <w:rFonts w:hint="eastAsia" w:cs="宋体" w:asciiTheme="minorEastAsia" w:hAnsiTheme="minorEastAsia"/>
                <w:b/>
                <w:spacing w:val="20"/>
                <w:szCs w:val="21"/>
              </w:rPr>
            </w:pPr>
          </w:p>
        </w:tc>
      </w:tr>
      <w:tr w14:paraId="5C57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E9DB62A">
            <w:pPr>
              <w:spacing w:line="360" w:lineRule="exact"/>
              <w:jc w:val="center"/>
              <w:rPr>
                <w:rFonts w:hint="eastAsia" w:cs="宋体" w:asciiTheme="minorEastAsia" w:hAnsiTheme="minorEastAsia"/>
                <w:b/>
                <w:spacing w:val="20"/>
                <w:szCs w:val="21"/>
              </w:rPr>
            </w:pPr>
          </w:p>
        </w:tc>
        <w:tc>
          <w:tcPr>
            <w:tcW w:w="5567" w:type="dxa"/>
            <w:tcBorders>
              <w:top w:val="single" w:color="auto" w:sz="2" w:space="0"/>
              <w:left w:val="single" w:color="auto" w:sz="4" w:space="0"/>
              <w:bottom w:val="single" w:color="auto" w:sz="2" w:space="0"/>
              <w:right w:val="single" w:color="auto" w:sz="2" w:space="0"/>
            </w:tcBorders>
            <w:vAlign w:val="center"/>
          </w:tcPr>
          <w:p w14:paraId="63625261">
            <w:pPr>
              <w:spacing w:line="360" w:lineRule="exact"/>
              <w:jc w:val="center"/>
              <w:rPr>
                <w:rFonts w:hint="eastAsia" w:cs="宋体" w:asciiTheme="minorEastAsia" w:hAnsiTheme="minorEastAsia"/>
                <w:b/>
                <w:spacing w:val="20"/>
                <w:szCs w:val="21"/>
              </w:rPr>
            </w:pPr>
          </w:p>
        </w:tc>
        <w:tc>
          <w:tcPr>
            <w:tcW w:w="709" w:type="dxa"/>
            <w:tcBorders>
              <w:top w:val="single" w:color="auto" w:sz="2" w:space="0"/>
              <w:left w:val="single" w:color="auto" w:sz="4" w:space="0"/>
              <w:bottom w:val="single" w:color="auto" w:sz="2" w:space="0"/>
              <w:right w:val="single" w:color="auto" w:sz="2" w:space="0"/>
            </w:tcBorders>
            <w:vAlign w:val="center"/>
          </w:tcPr>
          <w:p w14:paraId="4DFF4D5F">
            <w:pPr>
              <w:spacing w:line="360" w:lineRule="exact"/>
              <w:jc w:val="center"/>
              <w:rPr>
                <w:rFonts w:hint="eastAsia" w:cs="宋体" w:asciiTheme="minorEastAsia" w:hAnsiTheme="minorEastAsia"/>
                <w:b/>
                <w:spacing w:val="20"/>
                <w:szCs w:val="21"/>
              </w:rPr>
            </w:pPr>
          </w:p>
        </w:tc>
        <w:tc>
          <w:tcPr>
            <w:tcW w:w="709" w:type="dxa"/>
            <w:tcBorders>
              <w:top w:val="single" w:color="auto" w:sz="2" w:space="0"/>
              <w:left w:val="single" w:color="auto" w:sz="4" w:space="0"/>
              <w:bottom w:val="single" w:color="auto" w:sz="2" w:space="0"/>
              <w:right w:val="single" w:color="auto" w:sz="2" w:space="0"/>
            </w:tcBorders>
            <w:vAlign w:val="center"/>
          </w:tcPr>
          <w:p w14:paraId="56481232">
            <w:pPr>
              <w:spacing w:line="360" w:lineRule="exact"/>
              <w:jc w:val="center"/>
              <w:rPr>
                <w:rFonts w:hint="eastAsia" w:cs="宋体" w:asciiTheme="minorEastAsia" w:hAnsiTheme="minorEastAsia"/>
                <w:b/>
                <w:spacing w:val="20"/>
                <w:szCs w:val="21"/>
              </w:rPr>
            </w:pPr>
          </w:p>
        </w:tc>
        <w:tc>
          <w:tcPr>
            <w:tcW w:w="1145" w:type="dxa"/>
            <w:tcBorders>
              <w:top w:val="single" w:color="auto" w:sz="2" w:space="0"/>
              <w:left w:val="single" w:color="auto" w:sz="4" w:space="0"/>
              <w:bottom w:val="single" w:color="auto" w:sz="2" w:space="0"/>
              <w:right w:val="single" w:color="auto" w:sz="2" w:space="0"/>
            </w:tcBorders>
            <w:vAlign w:val="center"/>
          </w:tcPr>
          <w:p w14:paraId="25EEFC74">
            <w:pPr>
              <w:spacing w:line="360" w:lineRule="exact"/>
              <w:jc w:val="center"/>
              <w:rPr>
                <w:rFonts w:hint="eastAsia" w:cs="宋体" w:asciiTheme="minorEastAsia" w:hAnsiTheme="minorEastAsia"/>
                <w:b/>
                <w:spacing w:val="20"/>
                <w:szCs w:val="21"/>
              </w:rPr>
            </w:pPr>
          </w:p>
        </w:tc>
      </w:tr>
      <w:tr w14:paraId="5864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E15C011">
            <w:pPr>
              <w:spacing w:line="360" w:lineRule="exact"/>
              <w:jc w:val="center"/>
              <w:rPr>
                <w:rFonts w:hint="eastAsia" w:cs="宋体" w:asciiTheme="minorEastAsia" w:hAnsiTheme="minorEastAsia"/>
                <w:b/>
                <w:spacing w:val="20"/>
                <w:szCs w:val="21"/>
              </w:rPr>
            </w:pPr>
          </w:p>
        </w:tc>
        <w:tc>
          <w:tcPr>
            <w:tcW w:w="5567" w:type="dxa"/>
            <w:tcBorders>
              <w:top w:val="single" w:color="auto" w:sz="2" w:space="0"/>
              <w:left w:val="single" w:color="auto" w:sz="4" w:space="0"/>
              <w:bottom w:val="single" w:color="auto" w:sz="2" w:space="0"/>
              <w:right w:val="single" w:color="auto" w:sz="2" w:space="0"/>
            </w:tcBorders>
            <w:vAlign w:val="center"/>
          </w:tcPr>
          <w:p w14:paraId="13760533">
            <w:pPr>
              <w:spacing w:line="360" w:lineRule="exact"/>
              <w:jc w:val="center"/>
              <w:rPr>
                <w:rFonts w:hint="eastAsia" w:cs="宋体" w:asciiTheme="minorEastAsia" w:hAnsiTheme="minorEastAsia"/>
                <w:b/>
                <w:spacing w:val="20"/>
                <w:szCs w:val="21"/>
              </w:rPr>
            </w:pPr>
          </w:p>
        </w:tc>
        <w:tc>
          <w:tcPr>
            <w:tcW w:w="709" w:type="dxa"/>
            <w:tcBorders>
              <w:top w:val="single" w:color="auto" w:sz="2" w:space="0"/>
              <w:left w:val="single" w:color="auto" w:sz="4" w:space="0"/>
              <w:bottom w:val="single" w:color="auto" w:sz="2" w:space="0"/>
              <w:right w:val="single" w:color="auto" w:sz="2" w:space="0"/>
            </w:tcBorders>
            <w:vAlign w:val="center"/>
          </w:tcPr>
          <w:p w14:paraId="31B231C5">
            <w:pPr>
              <w:spacing w:line="360" w:lineRule="exact"/>
              <w:jc w:val="center"/>
              <w:rPr>
                <w:rFonts w:hint="eastAsia" w:cs="宋体" w:asciiTheme="minorEastAsia" w:hAnsiTheme="minorEastAsia"/>
                <w:b/>
                <w:spacing w:val="20"/>
                <w:szCs w:val="21"/>
              </w:rPr>
            </w:pPr>
          </w:p>
        </w:tc>
        <w:tc>
          <w:tcPr>
            <w:tcW w:w="709" w:type="dxa"/>
            <w:tcBorders>
              <w:top w:val="single" w:color="auto" w:sz="2" w:space="0"/>
              <w:left w:val="single" w:color="auto" w:sz="4" w:space="0"/>
              <w:bottom w:val="single" w:color="auto" w:sz="2" w:space="0"/>
              <w:right w:val="single" w:color="auto" w:sz="2" w:space="0"/>
            </w:tcBorders>
            <w:vAlign w:val="center"/>
          </w:tcPr>
          <w:p w14:paraId="1C2C2DE8">
            <w:pPr>
              <w:spacing w:line="360" w:lineRule="exact"/>
              <w:jc w:val="center"/>
              <w:rPr>
                <w:rFonts w:hint="eastAsia" w:cs="宋体" w:asciiTheme="minorEastAsia" w:hAnsiTheme="minorEastAsia"/>
                <w:b/>
                <w:spacing w:val="20"/>
                <w:szCs w:val="21"/>
              </w:rPr>
            </w:pPr>
          </w:p>
        </w:tc>
        <w:tc>
          <w:tcPr>
            <w:tcW w:w="1145" w:type="dxa"/>
            <w:tcBorders>
              <w:top w:val="single" w:color="auto" w:sz="2" w:space="0"/>
              <w:left w:val="single" w:color="auto" w:sz="4" w:space="0"/>
              <w:bottom w:val="single" w:color="auto" w:sz="2" w:space="0"/>
              <w:right w:val="single" w:color="auto" w:sz="2" w:space="0"/>
            </w:tcBorders>
            <w:vAlign w:val="center"/>
          </w:tcPr>
          <w:p w14:paraId="65E9E0DD">
            <w:pPr>
              <w:spacing w:line="360" w:lineRule="exact"/>
              <w:jc w:val="center"/>
              <w:rPr>
                <w:rFonts w:hint="eastAsia" w:cs="宋体" w:asciiTheme="minorEastAsia" w:hAnsiTheme="minorEastAsia"/>
                <w:b/>
                <w:spacing w:val="20"/>
                <w:szCs w:val="21"/>
              </w:rPr>
            </w:pPr>
          </w:p>
        </w:tc>
      </w:tr>
      <w:tr w14:paraId="3741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1699DB0">
            <w:pPr>
              <w:spacing w:line="360" w:lineRule="exact"/>
              <w:jc w:val="center"/>
              <w:rPr>
                <w:rFonts w:hint="eastAsia" w:cs="宋体" w:asciiTheme="minorEastAsia" w:hAnsiTheme="minorEastAsia"/>
                <w:b/>
                <w:spacing w:val="20"/>
                <w:szCs w:val="21"/>
              </w:rPr>
            </w:pPr>
          </w:p>
        </w:tc>
        <w:tc>
          <w:tcPr>
            <w:tcW w:w="5567" w:type="dxa"/>
            <w:tcBorders>
              <w:top w:val="single" w:color="auto" w:sz="2" w:space="0"/>
              <w:left w:val="single" w:color="auto" w:sz="4" w:space="0"/>
              <w:bottom w:val="single" w:color="auto" w:sz="2" w:space="0"/>
              <w:right w:val="single" w:color="auto" w:sz="2" w:space="0"/>
            </w:tcBorders>
            <w:vAlign w:val="center"/>
          </w:tcPr>
          <w:p w14:paraId="6BD33AFB">
            <w:pPr>
              <w:spacing w:line="360" w:lineRule="exact"/>
              <w:jc w:val="center"/>
              <w:rPr>
                <w:rFonts w:hint="eastAsia" w:cs="宋体" w:asciiTheme="minorEastAsia" w:hAnsiTheme="minorEastAsia"/>
                <w:b/>
                <w:spacing w:val="20"/>
                <w:szCs w:val="21"/>
              </w:rPr>
            </w:pPr>
          </w:p>
        </w:tc>
        <w:tc>
          <w:tcPr>
            <w:tcW w:w="709" w:type="dxa"/>
            <w:tcBorders>
              <w:top w:val="single" w:color="auto" w:sz="2" w:space="0"/>
              <w:left w:val="single" w:color="auto" w:sz="4" w:space="0"/>
              <w:bottom w:val="single" w:color="auto" w:sz="2" w:space="0"/>
              <w:right w:val="single" w:color="auto" w:sz="2" w:space="0"/>
            </w:tcBorders>
            <w:vAlign w:val="center"/>
          </w:tcPr>
          <w:p w14:paraId="218AAB6B">
            <w:pPr>
              <w:spacing w:line="360" w:lineRule="exact"/>
              <w:jc w:val="center"/>
              <w:rPr>
                <w:rFonts w:hint="eastAsia" w:cs="宋体" w:asciiTheme="minorEastAsia" w:hAnsiTheme="minorEastAsia"/>
                <w:b/>
                <w:spacing w:val="20"/>
                <w:szCs w:val="21"/>
              </w:rPr>
            </w:pPr>
          </w:p>
        </w:tc>
        <w:tc>
          <w:tcPr>
            <w:tcW w:w="709" w:type="dxa"/>
            <w:tcBorders>
              <w:top w:val="single" w:color="auto" w:sz="2" w:space="0"/>
              <w:left w:val="single" w:color="auto" w:sz="4" w:space="0"/>
              <w:bottom w:val="single" w:color="auto" w:sz="2" w:space="0"/>
              <w:right w:val="single" w:color="auto" w:sz="2" w:space="0"/>
            </w:tcBorders>
            <w:vAlign w:val="center"/>
          </w:tcPr>
          <w:p w14:paraId="5FDEE1A4">
            <w:pPr>
              <w:spacing w:line="360" w:lineRule="exact"/>
              <w:jc w:val="center"/>
              <w:rPr>
                <w:rFonts w:hint="eastAsia" w:cs="宋体" w:asciiTheme="minorEastAsia" w:hAnsiTheme="minorEastAsia"/>
                <w:b/>
                <w:spacing w:val="20"/>
                <w:szCs w:val="21"/>
              </w:rPr>
            </w:pPr>
          </w:p>
        </w:tc>
        <w:tc>
          <w:tcPr>
            <w:tcW w:w="1145" w:type="dxa"/>
            <w:tcBorders>
              <w:top w:val="single" w:color="auto" w:sz="2" w:space="0"/>
              <w:left w:val="single" w:color="auto" w:sz="4" w:space="0"/>
              <w:bottom w:val="single" w:color="auto" w:sz="2" w:space="0"/>
              <w:right w:val="single" w:color="auto" w:sz="2" w:space="0"/>
            </w:tcBorders>
            <w:vAlign w:val="center"/>
          </w:tcPr>
          <w:p w14:paraId="04832C25">
            <w:pPr>
              <w:spacing w:line="360" w:lineRule="exact"/>
              <w:jc w:val="center"/>
              <w:rPr>
                <w:rFonts w:hint="eastAsia" w:cs="宋体" w:asciiTheme="minorEastAsia" w:hAnsiTheme="minorEastAsia"/>
                <w:b/>
                <w:spacing w:val="20"/>
                <w:szCs w:val="21"/>
              </w:rPr>
            </w:pPr>
          </w:p>
        </w:tc>
      </w:tr>
      <w:tr w14:paraId="49B2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C4A5D5F">
            <w:pPr>
              <w:spacing w:line="360" w:lineRule="exact"/>
              <w:jc w:val="center"/>
              <w:rPr>
                <w:rFonts w:hint="eastAsia" w:cs="宋体" w:asciiTheme="minorEastAsia" w:hAnsiTheme="minorEastAsia"/>
                <w:b/>
                <w:spacing w:val="20"/>
                <w:szCs w:val="21"/>
              </w:rPr>
            </w:pPr>
          </w:p>
        </w:tc>
        <w:tc>
          <w:tcPr>
            <w:tcW w:w="5567" w:type="dxa"/>
            <w:tcBorders>
              <w:top w:val="single" w:color="auto" w:sz="2" w:space="0"/>
              <w:left w:val="single" w:color="auto" w:sz="4" w:space="0"/>
              <w:bottom w:val="single" w:color="auto" w:sz="2" w:space="0"/>
              <w:right w:val="single" w:color="auto" w:sz="2" w:space="0"/>
            </w:tcBorders>
            <w:vAlign w:val="center"/>
          </w:tcPr>
          <w:p w14:paraId="2BECDC5B">
            <w:pPr>
              <w:spacing w:line="360" w:lineRule="exact"/>
              <w:jc w:val="center"/>
              <w:rPr>
                <w:rFonts w:hint="eastAsia" w:cs="宋体" w:asciiTheme="minorEastAsia" w:hAnsiTheme="minorEastAsia"/>
                <w:b/>
                <w:spacing w:val="20"/>
                <w:szCs w:val="21"/>
              </w:rPr>
            </w:pPr>
          </w:p>
        </w:tc>
        <w:tc>
          <w:tcPr>
            <w:tcW w:w="709" w:type="dxa"/>
            <w:tcBorders>
              <w:top w:val="single" w:color="auto" w:sz="2" w:space="0"/>
              <w:left w:val="single" w:color="auto" w:sz="4" w:space="0"/>
              <w:bottom w:val="single" w:color="auto" w:sz="2" w:space="0"/>
              <w:right w:val="single" w:color="auto" w:sz="2" w:space="0"/>
            </w:tcBorders>
            <w:vAlign w:val="center"/>
          </w:tcPr>
          <w:p w14:paraId="38CE568A">
            <w:pPr>
              <w:spacing w:line="360" w:lineRule="exact"/>
              <w:jc w:val="center"/>
              <w:rPr>
                <w:rFonts w:hint="eastAsia" w:cs="宋体" w:asciiTheme="minorEastAsia" w:hAnsiTheme="minorEastAsia"/>
                <w:b/>
                <w:spacing w:val="20"/>
                <w:szCs w:val="21"/>
              </w:rPr>
            </w:pPr>
          </w:p>
        </w:tc>
        <w:tc>
          <w:tcPr>
            <w:tcW w:w="709" w:type="dxa"/>
            <w:tcBorders>
              <w:top w:val="single" w:color="auto" w:sz="2" w:space="0"/>
              <w:left w:val="single" w:color="auto" w:sz="4" w:space="0"/>
              <w:bottom w:val="single" w:color="auto" w:sz="2" w:space="0"/>
              <w:right w:val="single" w:color="auto" w:sz="2" w:space="0"/>
            </w:tcBorders>
            <w:vAlign w:val="center"/>
          </w:tcPr>
          <w:p w14:paraId="5EDAD0E9">
            <w:pPr>
              <w:spacing w:line="360" w:lineRule="exact"/>
              <w:jc w:val="center"/>
              <w:rPr>
                <w:rFonts w:hint="eastAsia" w:cs="宋体" w:asciiTheme="minorEastAsia" w:hAnsiTheme="minorEastAsia"/>
                <w:b/>
                <w:spacing w:val="20"/>
                <w:szCs w:val="21"/>
              </w:rPr>
            </w:pPr>
          </w:p>
        </w:tc>
        <w:tc>
          <w:tcPr>
            <w:tcW w:w="1145" w:type="dxa"/>
            <w:tcBorders>
              <w:top w:val="single" w:color="auto" w:sz="2" w:space="0"/>
              <w:left w:val="single" w:color="auto" w:sz="4" w:space="0"/>
              <w:bottom w:val="single" w:color="auto" w:sz="2" w:space="0"/>
              <w:right w:val="single" w:color="auto" w:sz="2" w:space="0"/>
            </w:tcBorders>
            <w:vAlign w:val="center"/>
          </w:tcPr>
          <w:p w14:paraId="0B8D6040">
            <w:pPr>
              <w:spacing w:line="360" w:lineRule="exact"/>
              <w:jc w:val="center"/>
              <w:rPr>
                <w:rFonts w:hint="eastAsia" w:cs="宋体" w:asciiTheme="minorEastAsia" w:hAnsiTheme="minorEastAsia"/>
                <w:b/>
                <w:spacing w:val="20"/>
                <w:szCs w:val="21"/>
              </w:rPr>
            </w:pPr>
          </w:p>
        </w:tc>
      </w:tr>
    </w:tbl>
    <w:p w14:paraId="54DE5F11">
      <w:pPr>
        <w:spacing w:after="156" w:afterLines="50" w:line="360" w:lineRule="auto"/>
        <w:jc w:val="center"/>
        <w:outlineLvl w:val="0"/>
        <w:rPr>
          <w:rFonts w:hint="eastAsia" w:asciiTheme="minorEastAsia" w:hAnsiTheme="minorEastAsia"/>
          <w:b/>
          <w:sz w:val="32"/>
          <w:szCs w:val="32"/>
        </w:rPr>
        <w:sectPr>
          <w:footerReference r:id="rId5" w:type="default"/>
          <w:pgSz w:w="11906" w:h="16838"/>
          <w:pgMar w:top="1247" w:right="1304" w:bottom="1247" w:left="1304" w:header="851" w:footer="992" w:gutter="0"/>
          <w:cols w:space="720" w:num="1"/>
          <w:docGrid w:type="lines" w:linePitch="312" w:charSpace="0"/>
        </w:sectPr>
      </w:pPr>
    </w:p>
    <w:p w14:paraId="71F1F1DB">
      <w:pPr>
        <w:pageBreakBefore/>
        <w:autoSpaceDN w:val="0"/>
        <w:spacing w:line="440" w:lineRule="exact"/>
        <w:jc w:val="center"/>
        <w:rPr>
          <w:rFonts w:hint="eastAsia" w:ascii="宋体" w:hAnsi="宋体" w:eastAsia="宋体" w:cs="宋体"/>
        </w:rPr>
      </w:pPr>
      <w:r>
        <w:rPr>
          <w:rFonts w:hint="eastAsia" w:ascii="宋体" w:hAnsi="宋体" w:eastAsia="宋体" w:cs="宋体"/>
          <w:b/>
          <w:szCs w:val="21"/>
        </w:rPr>
        <w:t>B2.磋商函</w:t>
      </w:r>
    </w:p>
    <w:p w14:paraId="69D840DD">
      <w:pPr>
        <w:autoSpaceDN w:val="0"/>
        <w:spacing w:line="360" w:lineRule="exact"/>
        <w:rPr>
          <w:rFonts w:hint="eastAsia" w:ascii="宋体" w:hAnsi="宋体" w:eastAsia="宋体" w:cs="宋体"/>
        </w:rPr>
      </w:pPr>
      <w:r>
        <w:rPr>
          <w:rFonts w:hint="eastAsia" w:ascii="宋体" w:hAnsi="宋体" w:eastAsia="宋体" w:cs="宋体"/>
          <w:szCs w:val="21"/>
        </w:rPr>
        <w:t>致：</w:t>
      </w:r>
      <w:r>
        <w:rPr>
          <w:rFonts w:hint="eastAsia" w:ascii="宋体" w:hAnsi="宋体" w:eastAsia="宋体" w:cs="宋体"/>
          <w:szCs w:val="21"/>
          <w:u w:val="single"/>
        </w:rPr>
        <w:t>中冠工程管理咨询有限公司</w:t>
      </w:r>
    </w:p>
    <w:p w14:paraId="283D441D">
      <w:pPr>
        <w:autoSpaceDN w:val="0"/>
        <w:spacing w:line="400" w:lineRule="exact"/>
        <w:ind w:firstLine="420" w:firstLineChars="200"/>
        <w:rPr>
          <w:rFonts w:hint="eastAsia" w:ascii="宋体" w:hAnsi="宋体" w:eastAsia="宋体" w:cs="宋体"/>
        </w:rPr>
      </w:pPr>
      <w:r>
        <w:rPr>
          <w:rFonts w:hint="eastAsia" w:ascii="宋体" w:hAnsi="宋体" w:eastAsia="宋体" w:cs="宋体"/>
          <w:szCs w:val="21"/>
          <w:u w:val="single"/>
        </w:rPr>
        <w:t>（供应商全称）　</w:t>
      </w:r>
      <w:r>
        <w:rPr>
          <w:rFonts w:hint="eastAsia" w:ascii="宋体" w:hAnsi="宋体" w:eastAsia="宋体" w:cs="宋体"/>
          <w:szCs w:val="21"/>
        </w:rPr>
        <w:t>授权</w:t>
      </w:r>
      <w:r>
        <w:rPr>
          <w:rFonts w:hint="eastAsia" w:ascii="宋体" w:hAnsi="宋体" w:eastAsia="宋体" w:cs="宋体"/>
          <w:szCs w:val="21"/>
          <w:u w:val="single"/>
        </w:rPr>
        <w:t>（全名、职务）</w:t>
      </w:r>
      <w:r>
        <w:rPr>
          <w:rFonts w:hint="eastAsia" w:ascii="宋体" w:hAnsi="宋体" w:eastAsia="宋体" w:cs="宋体"/>
          <w:szCs w:val="21"/>
        </w:rPr>
        <w:t>为本公司合法代理人，参加贵方组织的</w:t>
      </w:r>
      <w:r>
        <w:rPr>
          <w:rFonts w:hint="eastAsia" w:ascii="宋体" w:hAnsi="宋体" w:eastAsia="宋体" w:cs="宋体"/>
          <w:b/>
          <w:szCs w:val="21"/>
          <w:u w:val="single"/>
        </w:rPr>
        <w:t xml:space="preserve">椒江区第五中学体育馆提升及室外配套工程 </w:t>
      </w:r>
      <w:r>
        <w:rPr>
          <w:rFonts w:hint="eastAsia" w:ascii="宋体" w:hAnsi="宋体" w:eastAsia="宋体" w:cs="宋体"/>
          <w:b/>
          <w:szCs w:val="21"/>
        </w:rPr>
        <w:t>（项目编号：</w:t>
      </w:r>
      <w:r>
        <w:rPr>
          <w:rFonts w:hint="eastAsia" w:ascii="宋体" w:hAnsi="宋体" w:eastAsia="宋体" w:cs="宋体"/>
          <w:b/>
          <w:szCs w:val="21"/>
          <w:u w:val="single"/>
        </w:rPr>
        <w:t>ZGTZZB2025-0410</w:t>
      </w:r>
      <w:r>
        <w:rPr>
          <w:rFonts w:hint="eastAsia" w:ascii="宋体" w:hAnsi="宋体" w:eastAsia="宋体" w:cs="宋体"/>
          <w:b/>
          <w:szCs w:val="21"/>
        </w:rPr>
        <w:t>）</w:t>
      </w:r>
      <w:r>
        <w:rPr>
          <w:rFonts w:hint="eastAsia" w:ascii="宋体" w:hAnsi="宋体" w:eastAsia="宋体" w:cs="宋体"/>
          <w:szCs w:val="21"/>
        </w:rPr>
        <w:t>竞争性磋商活动，代表本公司处理本次项目中的一切事宜，在此：</w:t>
      </w:r>
    </w:p>
    <w:p w14:paraId="516AE09B">
      <w:pPr>
        <w:autoSpaceDN w:val="0"/>
        <w:spacing w:line="400" w:lineRule="exact"/>
        <w:jc w:val="left"/>
        <w:rPr>
          <w:rFonts w:hint="eastAsia" w:ascii="宋体" w:hAnsi="宋体" w:eastAsia="宋体" w:cs="宋体"/>
        </w:rPr>
      </w:pPr>
      <w:r>
        <w:rPr>
          <w:rFonts w:hint="eastAsia" w:ascii="宋体" w:hAnsi="宋体" w:eastAsia="宋体" w:cs="宋体"/>
          <w:szCs w:val="21"/>
        </w:rPr>
        <w:t>1、提供竞争性磋商文件中“磋商须知”规定的全部磋商响应文件。</w:t>
      </w:r>
    </w:p>
    <w:p w14:paraId="0C376C82">
      <w:pPr>
        <w:autoSpaceDN w:val="0"/>
        <w:spacing w:line="400" w:lineRule="exact"/>
        <w:jc w:val="left"/>
        <w:rPr>
          <w:rFonts w:hint="eastAsia" w:ascii="宋体" w:hAnsi="宋体" w:eastAsia="宋体" w:cs="宋体"/>
        </w:rPr>
      </w:pPr>
      <w:r>
        <w:rPr>
          <w:rFonts w:hint="eastAsia" w:ascii="宋体" w:hAnsi="宋体" w:eastAsia="宋体" w:cs="宋体"/>
          <w:szCs w:val="21"/>
        </w:rPr>
        <w:t>2、据此函，签字代表宣布并承诺如下：</w:t>
      </w:r>
    </w:p>
    <w:p w14:paraId="454A74AB">
      <w:pPr>
        <w:autoSpaceDN w:val="0"/>
        <w:spacing w:line="400" w:lineRule="exact"/>
        <w:ind w:firstLine="420" w:firstLineChars="200"/>
        <w:rPr>
          <w:rFonts w:hint="eastAsia" w:ascii="宋体" w:hAnsi="宋体" w:eastAsia="宋体" w:cs="宋体"/>
        </w:rPr>
      </w:pPr>
      <w:r>
        <w:rPr>
          <w:rFonts w:hint="eastAsia" w:ascii="宋体" w:hAnsi="宋体" w:eastAsia="宋体" w:cs="宋体"/>
          <w:szCs w:val="21"/>
        </w:rPr>
        <w:t>（1）磋商报价为报价一览表载明的磋商报价。</w:t>
      </w:r>
    </w:p>
    <w:p w14:paraId="546A9BDC">
      <w:pPr>
        <w:autoSpaceDN w:val="0"/>
        <w:spacing w:line="400" w:lineRule="exact"/>
        <w:ind w:firstLine="420" w:firstLineChars="200"/>
        <w:rPr>
          <w:rFonts w:hint="eastAsia" w:ascii="宋体" w:hAnsi="宋体" w:eastAsia="宋体" w:cs="宋体"/>
        </w:rPr>
      </w:pPr>
      <w:r>
        <w:rPr>
          <w:rFonts w:hint="eastAsia" w:ascii="宋体" w:hAnsi="宋体" w:eastAsia="宋体" w:cs="宋体"/>
          <w:szCs w:val="21"/>
        </w:rPr>
        <w:t>本报价已经包含了本次项目应纳的税金及竞争性磋商文件规定的报价方式应包含的其它费用。本报价在磋商有效期内固定不变，并在合同有效期内不受利率波动的影响。</w:t>
      </w:r>
    </w:p>
    <w:p w14:paraId="18EA3BAA">
      <w:pPr>
        <w:autoSpaceDN w:val="0"/>
        <w:spacing w:line="400" w:lineRule="exact"/>
        <w:ind w:firstLine="420" w:firstLineChars="200"/>
        <w:rPr>
          <w:rFonts w:hint="eastAsia" w:ascii="宋体" w:hAnsi="宋体" w:eastAsia="宋体" w:cs="宋体"/>
        </w:rPr>
      </w:pPr>
      <w:r>
        <w:rPr>
          <w:rFonts w:hint="eastAsia" w:ascii="宋体" w:hAnsi="宋体" w:eastAsia="宋体" w:cs="宋体"/>
          <w:szCs w:val="21"/>
        </w:rPr>
        <w:t>（2）本磋商响应文件自磋商响应文件递交截止之日起</w:t>
      </w:r>
      <w:r>
        <w:rPr>
          <w:rFonts w:hint="eastAsia" w:ascii="宋体" w:hAnsi="宋体" w:eastAsia="宋体" w:cs="宋体"/>
          <w:szCs w:val="21"/>
          <w:u w:val="single"/>
        </w:rPr>
        <w:t xml:space="preserve">  90   </w:t>
      </w:r>
      <w:r>
        <w:rPr>
          <w:rFonts w:hint="eastAsia" w:ascii="宋体" w:hAnsi="宋体" w:eastAsia="宋体" w:cs="宋体"/>
          <w:szCs w:val="21"/>
        </w:rPr>
        <w:t>天内有效。</w:t>
      </w:r>
    </w:p>
    <w:p w14:paraId="6CFF9C15">
      <w:pPr>
        <w:autoSpaceDN w:val="0"/>
        <w:spacing w:line="400" w:lineRule="exact"/>
        <w:ind w:firstLine="420" w:firstLineChars="200"/>
        <w:rPr>
          <w:rFonts w:hint="eastAsia" w:ascii="宋体" w:hAnsi="宋体" w:eastAsia="宋体" w:cs="宋体"/>
        </w:rPr>
      </w:pPr>
      <w:r>
        <w:rPr>
          <w:rFonts w:hint="eastAsia" w:ascii="宋体" w:hAnsi="宋体" w:eastAsia="宋体" w:cs="宋体"/>
          <w:szCs w:val="21"/>
        </w:rPr>
        <w:t>（3）我们已详细审查全部竞争性磋商文件及有关的澄清/修改文件(若有)，我们完全理解并同意放弃对这方面提出任何异议的权利。</w:t>
      </w:r>
    </w:p>
    <w:p w14:paraId="2513BBBB">
      <w:pPr>
        <w:autoSpaceDN w:val="0"/>
        <w:spacing w:line="400" w:lineRule="exact"/>
        <w:ind w:firstLine="420" w:firstLineChars="200"/>
        <w:rPr>
          <w:rFonts w:hint="eastAsia" w:ascii="宋体" w:hAnsi="宋体" w:eastAsia="宋体" w:cs="宋体"/>
        </w:rPr>
      </w:pPr>
      <w:r>
        <w:rPr>
          <w:rFonts w:hint="eastAsia" w:ascii="宋体" w:hAnsi="宋体" w:eastAsia="宋体" w:cs="宋体"/>
          <w:szCs w:val="21"/>
        </w:rPr>
        <w:t>（4）保证遵守竞争性磋商文件有关条款规定。</w:t>
      </w:r>
    </w:p>
    <w:p w14:paraId="0115B035">
      <w:pPr>
        <w:autoSpaceDN w:val="0"/>
        <w:spacing w:line="400" w:lineRule="exact"/>
        <w:ind w:firstLine="420" w:firstLineChars="200"/>
        <w:rPr>
          <w:rFonts w:hint="eastAsia" w:ascii="宋体" w:hAnsi="宋体" w:eastAsia="宋体" w:cs="宋体"/>
        </w:rPr>
      </w:pPr>
      <w:r>
        <w:rPr>
          <w:rFonts w:hint="eastAsia" w:ascii="宋体" w:hAnsi="宋体" w:eastAsia="宋体" w:cs="宋体"/>
          <w:szCs w:val="21"/>
        </w:rPr>
        <w:t>（5）保证在确定成交后忠实地执行与采购人所签署的合同，并承担合同规定的责任义务。</w:t>
      </w:r>
    </w:p>
    <w:p w14:paraId="3815885E">
      <w:pPr>
        <w:autoSpaceDN w:val="0"/>
        <w:spacing w:line="400" w:lineRule="exact"/>
        <w:ind w:firstLine="420" w:firstLineChars="200"/>
        <w:rPr>
          <w:rFonts w:hint="eastAsia" w:ascii="宋体" w:hAnsi="宋体" w:eastAsia="宋体" w:cs="宋体"/>
        </w:rPr>
      </w:pPr>
      <w:r>
        <w:rPr>
          <w:rFonts w:hint="eastAsia" w:ascii="宋体" w:hAnsi="宋体" w:eastAsia="宋体" w:cs="宋体"/>
          <w:szCs w:val="21"/>
        </w:rPr>
        <w:t>（6）完全同意竞争性磋商文件中有关代理服务费的条款，保证在确定成交后按照竞争性磋商文件规定的金额、时间和方式，向贵方一次性交纳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参加，我们自愿放弃任何方式进行抗辩的权力。</w:t>
      </w:r>
    </w:p>
    <w:p w14:paraId="2D1D50F2">
      <w:pPr>
        <w:autoSpaceDN w:val="0"/>
        <w:spacing w:line="400" w:lineRule="exact"/>
        <w:ind w:firstLine="420" w:firstLineChars="200"/>
        <w:rPr>
          <w:rFonts w:hint="eastAsia" w:ascii="宋体" w:hAnsi="宋体" w:eastAsia="宋体" w:cs="宋体"/>
        </w:rPr>
      </w:pPr>
      <w:r>
        <w:rPr>
          <w:rFonts w:hint="eastAsia" w:ascii="宋体" w:hAnsi="宋体" w:eastAsia="宋体" w:cs="宋体"/>
          <w:szCs w:val="21"/>
        </w:rPr>
        <w:t>（7）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58B72E34">
      <w:pPr>
        <w:autoSpaceDN w:val="0"/>
        <w:spacing w:line="400" w:lineRule="exact"/>
        <w:jc w:val="left"/>
        <w:rPr>
          <w:rFonts w:hint="eastAsia" w:ascii="宋体" w:hAnsi="宋体" w:eastAsia="宋体" w:cs="宋体"/>
        </w:rPr>
      </w:pPr>
      <w:r>
        <w:rPr>
          <w:rFonts w:hint="eastAsia" w:ascii="宋体" w:hAnsi="宋体" w:eastAsia="宋体" w:cs="宋体"/>
          <w:szCs w:val="21"/>
        </w:rPr>
        <w:t>3、与本项目磋商有关的一切往来通讯请寄：</w:t>
      </w:r>
    </w:p>
    <w:p w14:paraId="06745603">
      <w:pPr>
        <w:autoSpaceDN w:val="0"/>
        <w:spacing w:line="360" w:lineRule="exact"/>
        <w:jc w:val="left"/>
        <w:rPr>
          <w:rFonts w:hint="eastAsia" w:ascii="宋体" w:hAnsi="宋体" w:eastAsia="宋体" w:cs="宋体"/>
        </w:rPr>
      </w:pPr>
      <w:r>
        <w:rPr>
          <w:rFonts w:hint="eastAsia" w:ascii="宋体" w:hAnsi="宋体" w:eastAsia="宋体" w:cs="宋体"/>
          <w:szCs w:val="21"/>
        </w:rPr>
        <w:t>地址：</w:t>
      </w:r>
    </w:p>
    <w:p w14:paraId="381471C1">
      <w:pPr>
        <w:autoSpaceDN w:val="0"/>
        <w:spacing w:line="360" w:lineRule="exact"/>
        <w:jc w:val="left"/>
        <w:rPr>
          <w:rFonts w:hint="eastAsia" w:ascii="宋体" w:hAnsi="宋体" w:eastAsia="宋体" w:cs="宋体"/>
        </w:rPr>
      </w:pPr>
      <w:r>
        <w:rPr>
          <w:rFonts w:hint="eastAsia" w:ascii="宋体" w:hAnsi="宋体" w:eastAsia="宋体" w:cs="宋体"/>
          <w:szCs w:val="21"/>
        </w:rPr>
        <w:t>邮编：电话：传真：</w:t>
      </w:r>
    </w:p>
    <w:p w14:paraId="035CC997">
      <w:pPr>
        <w:autoSpaceDN w:val="0"/>
        <w:spacing w:line="360" w:lineRule="exact"/>
        <w:jc w:val="left"/>
        <w:rPr>
          <w:rFonts w:hint="eastAsia" w:ascii="宋体" w:hAnsi="宋体" w:eastAsia="宋体" w:cs="宋体"/>
        </w:rPr>
      </w:pPr>
      <w:r>
        <w:rPr>
          <w:rFonts w:hint="eastAsia" w:ascii="宋体" w:hAnsi="宋体" w:eastAsia="宋体" w:cs="宋体"/>
          <w:szCs w:val="21"/>
        </w:rPr>
        <w:t> </w:t>
      </w:r>
    </w:p>
    <w:p w14:paraId="19AE5C7B">
      <w:pPr>
        <w:autoSpaceDN w:val="0"/>
        <w:spacing w:line="360" w:lineRule="exact"/>
        <w:jc w:val="left"/>
        <w:rPr>
          <w:rFonts w:hint="eastAsia" w:ascii="宋体" w:hAnsi="宋体" w:eastAsia="宋体" w:cs="宋体"/>
        </w:rPr>
      </w:pPr>
      <w:r>
        <w:rPr>
          <w:rFonts w:hint="eastAsia" w:ascii="宋体" w:hAnsi="宋体" w:eastAsia="宋体" w:cs="宋体"/>
          <w:szCs w:val="21"/>
        </w:rPr>
        <w:t> </w:t>
      </w:r>
    </w:p>
    <w:p w14:paraId="511E9E1E">
      <w:pPr>
        <w:autoSpaceDN w:val="0"/>
        <w:spacing w:line="360" w:lineRule="exact"/>
        <w:jc w:val="left"/>
        <w:rPr>
          <w:rFonts w:hint="eastAsia" w:ascii="宋体" w:hAnsi="宋体" w:eastAsia="宋体" w:cs="宋体"/>
        </w:rPr>
      </w:pPr>
      <w:r>
        <w:rPr>
          <w:rFonts w:hint="eastAsia" w:ascii="宋体" w:hAnsi="宋体" w:eastAsia="宋体" w:cs="宋体"/>
          <w:szCs w:val="21"/>
        </w:rPr>
        <w:t>供应商（盖章）：</w:t>
      </w:r>
    </w:p>
    <w:p w14:paraId="1EA4D106">
      <w:pPr>
        <w:autoSpaceDN w:val="0"/>
        <w:snapToGrid w:val="0"/>
        <w:spacing w:line="440" w:lineRule="exact"/>
        <w:rPr>
          <w:rFonts w:hint="eastAsia" w:ascii="宋体" w:hAnsi="宋体" w:eastAsia="宋体" w:cs="宋体"/>
          <w:szCs w:val="21"/>
        </w:rPr>
      </w:pPr>
      <w:r>
        <w:rPr>
          <w:rFonts w:hint="eastAsia" w:ascii="宋体" w:hAnsi="宋体" w:eastAsia="宋体" w:cs="宋体"/>
          <w:szCs w:val="21"/>
        </w:rPr>
        <w:t>法定代表人或授权委托人签字或电子印章：</w:t>
      </w:r>
    </w:p>
    <w:p w14:paraId="33F38AC7">
      <w:pPr>
        <w:autoSpaceDN w:val="0"/>
        <w:snapToGrid w:val="0"/>
        <w:spacing w:line="360" w:lineRule="exact"/>
        <w:rPr>
          <w:rFonts w:hint="eastAsia" w:ascii="宋体" w:hAnsi="宋体" w:eastAsia="宋体" w:cs="宋体"/>
        </w:rPr>
      </w:pPr>
      <w:r>
        <w:rPr>
          <w:rFonts w:hint="eastAsia" w:ascii="宋体" w:hAnsi="宋体" w:eastAsia="宋体" w:cs="宋体"/>
          <w:szCs w:val="21"/>
        </w:rPr>
        <w:t>日期：</w:t>
      </w:r>
    </w:p>
    <w:p w14:paraId="211FC598">
      <w:pPr>
        <w:pageBreakBefore/>
        <w:autoSpaceDN w:val="0"/>
        <w:spacing w:line="360" w:lineRule="auto"/>
        <w:jc w:val="center"/>
        <w:rPr>
          <w:rFonts w:hint="eastAsia" w:ascii="宋体" w:hAnsi="宋体" w:eastAsia="宋体" w:cs="宋体"/>
        </w:rPr>
      </w:pPr>
      <w:r>
        <w:rPr>
          <w:rFonts w:hint="eastAsia" w:ascii="宋体" w:hAnsi="宋体" w:eastAsia="宋体" w:cs="宋体"/>
          <w:b/>
          <w:szCs w:val="21"/>
        </w:rPr>
        <w:t>B3.法定代表人身份证明</w:t>
      </w:r>
    </w:p>
    <w:p w14:paraId="5AEC0EC4">
      <w:pPr>
        <w:autoSpaceDN w:val="0"/>
        <w:spacing w:after="156" w:afterLines="50" w:line="400" w:lineRule="exact"/>
        <w:rPr>
          <w:rFonts w:ascii="Times New Roman" w:hAnsi="Times New Roman" w:eastAsia="宋体" w:cs="Times New Roman"/>
        </w:rPr>
      </w:pPr>
      <w:r>
        <w:rPr>
          <w:rFonts w:hint="eastAsia" w:ascii="Times New Roman" w:hAnsi="Times New Roman" w:eastAsia="宋体" w:cs="宋体"/>
          <w:szCs w:val="21"/>
        </w:rPr>
        <w:t>供应商名称：</w:t>
      </w:r>
    </w:p>
    <w:p w14:paraId="2CFF5809">
      <w:pPr>
        <w:autoSpaceDN w:val="0"/>
        <w:spacing w:after="156" w:afterLines="50" w:line="400" w:lineRule="exact"/>
        <w:rPr>
          <w:rFonts w:ascii="Times New Roman" w:hAnsi="Times New Roman" w:eastAsia="宋体" w:cs="Times New Roman"/>
        </w:rPr>
      </w:pPr>
      <w:r>
        <w:rPr>
          <w:rFonts w:hint="eastAsia" w:ascii="Times New Roman" w:hAnsi="Times New Roman" w:eastAsia="宋体" w:cs="宋体"/>
          <w:szCs w:val="21"/>
        </w:rPr>
        <w:t>单位性质：</w:t>
      </w:r>
    </w:p>
    <w:p w14:paraId="5AE11B26">
      <w:pPr>
        <w:autoSpaceDN w:val="0"/>
        <w:spacing w:after="156" w:afterLines="50" w:line="400" w:lineRule="exact"/>
        <w:rPr>
          <w:rFonts w:ascii="Times New Roman" w:hAnsi="Times New Roman" w:eastAsia="宋体" w:cs="Times New Roman"/>
        </w:rPr>
      </w:pPr>
      <w:r>
        <w:rPr>
          <w:rFonts w:hint="eastAsia" w:ascii="Times New Roman" w:hAnsi="Times New Roman" w:eastAsia="宋体" w:cs="宋体"/>
          <w:szCs w:val="21"/>
        </w:rPr>
        <w:t>地址：</w:t>
      </w:r>
    </w:p>
    <w:p w14:paraId="08DB5E65">
      <w:pPr>
        <w:autoSpaceDN w:val="0"/>
        <w:spacing w:after="156" w:afterLines="50" w:line="400" w:lineRule="exact"/>
        <w:rPr>
          <w:rFonts w:ascii="Times New Roman" w:hAnsi="Times New Roman" w:eastAsia="宋体" w:cs="Times New Roman"/>
        </w:rPr>
      </w:pPr>
      <w:r>
        <w:rPr>
          <w:rFonts w:hint="eastAsia" w:ascii="Times New Roman" w:hAnsi="Times New Roman" w:eastAsia="宋体" w:cs="宋体"/>
          <w:szCs w:val="21"/>
        </w:rPr>
        <w:t>成立时间：年月日</w:t>
      </w:r>
    </w:p>
    <w:p w14:paraId="62C0F725">
      <w:pPr>
        <w:autoSpaceDN w:val="0"/>
        <w:spacing w:after="156" w:afterLines="50" w:line="400" w:lineRule="exact"/>
        <w:rPr>
          <w:rFonts w:ascii="Times New Roman" w:hAnsi="Times New Roman" w:eastAsia="宋体" w:cs="Times New Roman"/>
        </w:rPr>
      </w:pPr>
      <w:r>
        <w:rPr>
          <w:rFonts w:hint="eastAsia" w:ascii="Times New Roman" w:hAnsi="Times New Roman" w:eastAsia="宋体" w:cs="宋体"/>
          <w:szCs w:val="21"/>
        </w:rPr>
        <w:t>经营期限：</w:t>
      </w:r>
    </w:p>
    <w:p w14:paraId="1FD637F6">
      <w:pPr>
        <w:autoSpaceDN w:val="0"/>
        <w:spacing w:after="156" w:afterLines="50" w:line="400" w:lineRule="exact"/>
        <w:rPr>
          <w:rFonts w:ascii="Times New Roman" w:hAnsi="Times New Roman" w:eastAsia="宋体" w:cs="Times New Roman"/>
        </w:rPr>
      </w:pPr>
      <w:r>
        <w:rPr>
          <w:rFonts w:hint="eastAsia" w:ascii="Times New Roman" w:hAnsi="Times New Roman" w:eastAsia="宋体" w:cs="宋体"/>
          <w:szCs w:val="21"/>
        </w:rPr>
        <w:t>姓名：性别：年龄：职务：</w:t>
      </w:r>
    </w:p>
    <w:p w14:paraId="782D92F5">
      <w:pPr>
        <w:autoSpaceDN w:val="0"/>
        <w:spacing w:after="156" w:afterLines="50" w:line="400" w:lineRule="exact"/>
        <w:rPr>
          <w:rFonts w:ascii="Times New Roman" w:hAnsi="Times New Roman" w:eastAsia="宋体" w:cs="Times New Roman"/>
        </w:rPr>
      </w:pPr>
      <w:r>
        <w:rPr>
          <w:rFonts w:hint="eastAsia" w:ascii="Times New Roman" w:hAnsi="Times New Roman" w:eastAsia="宋体" w:cs="宋体"/>
          <w:szCs w:val="21"/>
        </w:rPr>
        <w:t>身份证号码：</w:t>
      </w:r>
    </w:p>
    <w:p w14:paraId="076BC2DC">
      <w:pPr>
        <w:autoSpaceDN w:val="0"/>
        <w:spacing w:after="156" w:afterLines="50" w:line="400" w:lineRule="exact"/>
        <w:rPr>
          <w:rFonts w:ascii="Times New Roman" w:hAnsi="Times New Roman" w:eastAsia="宋体" w:cs="Times New Roman"/>
        </w:rPr>
      </w:pPr>
      <w:r>
        <w:rPr>
          <w:rFonts w:ascii="Times New Roman" w:hAnsi="Times New Roman" w:eastAsia="宋体" w:cs="Times New Roman"/>
          <w:szCs w:val="21"/>
        </w:rPr>
        <w:t> </w:t>
      </w:r>
    </w:p>
    <w:p w14:paraId="4C1F1D28">
      <w:pPr>
        <w:autoSpaceDN w:val="0"/>
        <w:spacing w:line="400" w:lineRule="exact"/>
        <w:rPr>
          <w:rFonts w:ascii="Times New Roman" w:hAnsi="Times New Roman" w:eastAsia="宋体" w:cs="Times New Roman"/>
        </w:rPr>
      </w:pPr>
      <w:r>
        <w:rPr>
          <w:rFonts w:hint="eastAsia" w:ascii="Times New Roman" w:hAnsi="Times New Roman" w:eastAsia="宋体" w:cs="宋体"/>
          <w:szCs w:val="21"/>
        </w:rPr>
        <w:t>系（供应商名称）的法定代表人。</w:t>
      </w:r>
    </w:p>
    <w:p w14:paraId="60AE59F3">
      <w:pPr>
        <w:autoSpaceDN w:val="0"/>
        <w:spacing w:line="400" w:lineRule="exact"/>
        <w:rPr>
          <w:rFonts w:ascii="Times New Roman" w:hAnsi="Times New Roman" w:eastAsia="宋体" w:cs="Times New Roman"/>
        </w:rPr>
      </w:pPr>
      <w:r>
        <w:rPr>
          <w:rFonts w:ascii="Times New Roman" w:hAnsi="Times New Roman" w:eastAsia="宋体" w:cs="Times New Roman"/>
          <w:szCs w:val="21"/>
        </w:rPr>
        <w:t> </w:t>
      </w:r>
    </w:p>
    <w:p w14:paraId="1BBDB7FD">
      <w:pPr>
        <w:autoSpaceDN w:val="0"/>
        <w:spacing w:line="400" w:lineRule="exact"/>
        <w:rPr>
          <w:rFonts w:ascii="Times New Roman" w:hAnsi="Times New Roman" w:eastAsia="宋体" w:cs="Times New Roman"/>
        </w:rPr>
      </w:pPr>
      <w:r>
        <w:rPr>
          <w:rFonts w:hint="eastAsia" w:ascii="Times New Roman" w:hAnsi="Times New Roman" w:eastAsia="宋体" w:cs="宋体"/>
          <w:szCs w:val="21"/>
        </w:rPr>
        <w:t>特此证明。</w:t>
      </w:r>
    </w:p>
    <w:p w14:paraId="58483049">
      <w:pPr>
        <w:autoSpaceDN w:val="0"/>
        <w:spacing w:line="400" w:lineRule="exact"/>
        <w:rPr>
          <w:rFonts w:ascii="Times New Roman" w:hAnsi="Times New Roman" w:eastAsia="宋体" w:cs="Times New Roman"/>
        </w:rPr>
      </w:pPr>
      <w:r>
        <w:rPr>
          <w:rFonts w:ascii="Times New Roman" w:hAnsi="Times New Roman" w:eastAsia="宋体" w:cs="Times New Roman"/>
          <w:szCs w:val="21"/>
        </w:rPr>
        <w:t> </w:t>
      </w:r>
    </w:p>
    <w:p w14:paraId="64715661">
      <w:pPr>
        <w:autoSpaceDN w:val="0"/>
        <w:spacing w:line="400" w:lineRule="exact"/>
        <w:rPr>
          <w:rFonts w:ascii="Times New Roman" w:hAnsi="Times New Roman" w:eastAsia="宋体" w:cs="Times New Roman"/>
        </w:rPr>
      </w:pPr>
      <w:r>
        <w:rPr>
          <w:rFonts w:hint="eastAsia" w:ascii="Times New Roman" w:hAnsi="Times New Roman" w:eastAsia="宋体" w:cs="宋体"/>
          <w:szCs w:val="21"/>
        </w:rPr>
        <w:t>供应商（盖章）：</w:t>
      </w:r>
    </w:p>
    <w:p w14:paraId="6B0BBCB9">
      <w:pPr>
        <w:autoSpaceDN w:val="0"/>
        <w:spacing w:line="400" w:lineRule="exact"/>
        <w:ind w:right="560"/>
        <w:rPr>
          <w:rFonts w:ascii="Times New Roman" w:hAnsi="Times New Roman" w:eastAsia="宋体" w:cs="Times New Roman"/>
        </w:rPr>
      </w:pPr>
      <w:r>
        <w:rPr>
          <w:rFonts w:hint="eastAsia" w:ascii="Times New Roman" w:hAnsi="Times New Roman" w:eastAsia="宋体" w:cs="宋体"/>
          <w:szCs w:val="21"/>
        </w:rPr>
        <w:t>日期：年月日</w:t>
      </w:r>
    </w:p>
    <w:p w14:paraId="3C53FE37">
      <w:pPr>
        <w:autoSpaceDN w:val="0"/>
        <w:spacing w:line="400" w:lineRule="exact"/>
        <w:ind w:right="560"/>
        <w:rPr>
          <w:rFonts w:ascii="Times New Roman" w:hAnsi="Times New Roman" w:eastAsia="宋体" w:cs="Times New Roman"/>
        </w:rPr>
      </w:pPr>
      <w:r>
        <w:rPr>
          <w:rFonts w:ascii="Times New Roman" w:hAnsi="Times New Roman" w:eastAsia="宋体" w:cs="Times New Roman"/>
          <w:szCs w:val="21"/>
        </w:rPr>
        <w:t> </w:t>
      </w:r>
    </w:p>
    <w:p w14:paraId="7D4C6B4E">
      <w:pPr>
        <w:autoSpaceDN w:val="0"/>
        <w:spacing w:line="400" w:lineRule="exact"/>
        <w:ind w:right="560"/>
        <w:rPr>
          <w:rFonts w:ascii="Times New Roman" w:hAnsi="Times New Roman" w:eastAsia="宋体" w:cs="Times New Roman"/>
        </w:rPr>
      </w:pPr>
      <w:r>
        <w:rPr>
          <w:rFonts w:ascii="Times New Roman" w:hAnsi="Times New Roman" w:eastAsia="宋体" w:cs="Times New Roman"/>
          <w:szCs w:val="21"/>
        </w:rPr>
        <w:t> </w:t>
      </w:r>
    </w:p>
    <w:p w14:paraId="77BD7BAE">
      <w:pPr>
        <w:autoSpaceDN w:val="0"/>
        <w:spacing w:line="400" w:lineRule="exact"/>
        <w:ind w:right="560"/>
        <w:rPr>
          <w:rFonts w:ascii="Times New Roman" w:hAnsi="Times New Roman" w:eastAsia="宋体" w:cs="Times New Roman"/>
        </w:rPr>
      </w:pPr>
      <w:r>
        <w:rPr>
          <w:rFonts w:hint="eastAsia" w:ascii="Times New Roman" w:hAnsi="Times New Roman" w:eastAsia="宋体" w:cs="宋体"/>
          <w:szCs w:val="21"/>
        </w:rPr>
        <w:t>后附：</w:t>
      </w:r>
      <w:r>
        <w:rPr>
          <w:rFonts w:hint="eastAsia" w:ascii="Times New Roman" w:hAnsi="Times New Roman" w:eastAsia="宋体" w:cs="宋体"/>
          <w:b/>
          <w:bCs/>
          <w:szCs w:val="21"/>
        </w:rPr>
        <w:t>法定代表人身份证扫描件</w:t>
      </w:r>
    </w:p>
    <w:p w14:paraId="3B3EB53A">
      <w:pPr>
        <w:pageBreakBefore/>
        <w:autoSpaceDN w:val="0"/>
        <w:spacing w:line="440" w:lineRule="exact"/>
        <w:jc w:val="center"/>
        <w:rPr>
          <w:rFonts w:hint="eastAsia" w:ascii="宋体" w:hAnsi="宋体" w:eastAsia="宋体" w:cs="宋体"/>
        </w:rPr>
      </w:pPr>
      <w:r>
        <w:rPr>
          <w:rFonts w:hint="eastAsia" w:ascii="宋体" w:hAnsi="宋体" w:eastAsia="宋体" w:cs="宋体"/>
          <w:b/>
          <w:szCs w:val="21"/>
        </w:rPr>
        <w:t>B4.法定代表人授权书</w:t>
      </w:r>
    </w:p>
    <w:p w14:paraId="6FBB4503">
      <w:pPr>
        <w:autoSpaceDN w:val="0"/>
        <w:spacing w:line="440" w:lineRule="exact"/>
        <w:ind w:left="540" w:leftChars="257" w:firstLine="1282" w:firstLineChars="608"/>
        <w:rPr>
          <w:rFonts w:hint="eastAsia" w:ascii="宋体" w:hAnsi="宋体" w:eastAsia="宋体" w:cs="宋体"/>
        </w:rPr>
      </w:pPr>
      <w:r>
        <w:rPr>
          <w:rFonts w:hint="eastAsia" w:ascii="宋体" w:hAnsi="宋体" w:eastAsia="宋体" w:cs="宋体"/>
          <w:b/>
          <w:szCs w:val="21"/>
        </w:rPr>
        <w:t> </w:t>
      </w:r>
    </w:p>
    <w:p w14:paraId="7E538736">
      <w:pPr>
        <w:autoSpaceDN w:val="0"/>
        <w:spacing w:line="440" w:lineRule="exact"/>
        <w:rPr>
          <w:rFonts w:hint="eastAsia" w:ascii="宋体" w:hAnsi="宋体" w:eastAsia="宋体" w:cs="宋体"/>
        </w:rPr>
      </w:pPr>
      <w:r>
        <w:rPr>
          <w:rFonts w:hint="eastAsia" w:ascii="宋体" w:hAnsi="宋体" w:eastAsia="宋体" w:cs="宋体"/>
          <w:szCs w:val="21"/>
        </w:rPr>
        <w:t>致：台州市椒江区第五中学</w:t>
      </w:r>
    </w:p>
    <w:p w14:paraId="65771E06">
      <w:pPr>
        <w:autoSpaceDN w:val="0"/>
        <w:spacing w:line="480" w:lineRule="auto"/>
        <w:rPr>
          <w:rFonts w:hint="eastAsia" w:ascii="宋体" w:hAnsi="宋体" w:eastAsia="宋体" w:cs="宋体"/>
        </w:rPr>
      </w:pPr>
      <w:r>
        <w:rPr>
          <w:rFonts w:hint="eastAsia" w:ascii="宋体" w:hAnsi="宋体" w:eastAsia="宋体" w:cs="宋体"/>
          <w:szCs w:val="21"/>
          <w:u w:val="single"/>
        </w:rPr>
        <w:t>（供应商全称）</w:t>
      </w:r>
      <w:r>
        <w:rPr>
          <w:rFonts w:hint="eastAsia" w:ascii="宋体" w:hAnsi="宋体" w:eastAsia="宋体" w:cs="宋体"/>
          <w:szCs w:val="21"/>
        </w:rPr>
        <w:t>法定代表人</w:t>
      </w:r>
      <w:r>
        <w:rPr>
          <w:rFonts w:hint="eastAsia" w:ascii="宋体" w:hAnsi="宋体" w:eastAsia="宋体" w:cs="宋体"/>
          <w:szCs w:val="21"/>
          <w:u w:val="single"/>
        </w:rPr>
        <w:t>（法定代表人姓名）</w:t>
      </w:r>
      <w:r>
        <w:rPr>
          <w:rFonts w:hint="eastAsia" w:ascii="宋体" w:hAnsi="宋体" w:eastAsia="宋体" w:cs="宋体"/>
          <w:szCs w:val="21"/>
        </w:rPr>
        <w:t>授权</w:t>
      </w:r>
      <w:r>
        <w:rPr>
          <w:rFonts w:hint="eastAsia" w:ascii="宋体" w:hAnsi="宋体" w:eastAsia="宋体" w:cs="宋体"/>
          <w:szCs w:val="21"/>
          <w:u w:val="single"/>
        </w:rPr>
        <w:t>（授权代表姓名）</w:t>
      </w:r>
      <w:r>
        <w:rPr>
          <w:rFonts w:hint="eastAsia" w:ascii="宋体" w:hAnsi="宋体" w:eastAsia="宋体" w:cs="宋体"/>
          <w:szCs w:val="21"/>
        </w:rPr>
        <w:t>为授权代表，参加</w:t>
      </w:r>
      <w:r>
        <w:rPr>
          <w:rFonts w:hint="eastAsia" w:ascii="宋体" w:hAnsi="宋体" w:eastAsia="宋体" w:cs="宋体"/>
          <w:szCs w:val="21"/>
          <w:u w:val="single"/>
        </w:rPr>
        <w:t xml:space="preserve">椒江区第五中学体育馆提升及室外配套工程 </w:t>
      </w:r>
      <w:r>
        <w:rPr>
          <w:rFonts w:hint="eastAsia" w:ascii="宋体" w:hAnsi="宋体" w:eastAsia="宋体" w:cs="宋体"/>
          <w:szCs w:val="21"/>
        </w:rPr>
        <w:t>（项目编号：</w:t>
      </w:r>
      <w:r>
        <w:rPr>
          <w:rFonts w:hint="eastAsia" w:ascii="宋体" w:hAnsi="宋体" w:eastAsia="宋体" w:cs="宋体"/>
          <w:szCs w:val="21"/>
          <w:u w:val="single"/>
        </w:rPr>
        <w:t>ZGTZZB2025-0410</w:t>
      </w:r>
      <w:r>
        <w:rPr>
          <w:rFonts w:hint="eastAsia" w:ascii="宋体" w:hAnsi="宋体" w:eastAsia="宋体" w:cs="宋体"/>
          <w:szCs w:val="21"/>
        </w:rPr>
        <w:t>）磋商活动，其在磋商活动中的一切行为本单位均予承认。</w:t>
      </w:r>
    </w:p>
    <w:p w14:paraId="25C7AC51">
      <w:pPr>
        <w:autoSpaceDN w:val="0"/>
        <w:spacing w:line="480" w:lineRule="auto"/>
        <w:jc w:val="left"/>
        <w:rPr>
          <w:rFonts w:hint="eastAsia" w:ascii="宋体" w:hAnsi="宋体" w:eastAsia="宋体" w:cs="宋体"/>
        </w:rPr>
      </w:pPr>
      <w:r>
        <w:rPr>
          <w:rFonts w:hint="eastAsia" w:ascii="宋体" w:hAnsi="宋体" w:eastAsia="宋体" w:cs="宋体"/>
          <w:szCs w:val="21"/>
        </w:rPr>
        <w:t> </w:t>
      </w:r>
    </w:p>
    <w:p w14:paraId="782A549F">
      <w:pPr>
        <w:autoSpaceDN w:val="0"/>
        <w:spacing w:line="480" w:lineRule="auto"/>
        <w:jc w:val="left"/>
        <w:rPr>
          <w:rFonts w:ascii="Times New Roman" w:hAnsi="Times New Roman" w:eastAsia="宋体" w:cs="Times New Roman"/>
        </w:rPr>
      </w:pPr>
      <w:r>
        <w:rPr>
          <w:rFonts w:hint="eastAsia" w:ascii="Times New Roman" w:hAnsi="Times New Roman" w:eastAsia="宋体" w:cs="宋体"/>
          <w:szCs w:val="21"/>
        </w:rPr>
        <w:t>供应商（盖章）：</w:t>
      </w:r>
    </w:p>
    <w:p w14:paraId="0AFD569E">
      <w:pPr>
        <w:autoSpaceDN w:val="0"/>
        <w:spacing w:line="480" w:lineRule="auto"/>
        <w:jc w:val="left"/>
        <w:rPr>
          <w:rFonts w:ascii="Times New Roman" w:hAnsi="Times New Roman" w:eastAsia="宋体" w:cs="Times New Roman"/>
        </w:rPr>
      </w:pPr>
      <w:r>
        <w:rPr>
          <w:rFonts w:hint="eastAsia" w:ascii="Times New Roman" w:hAnsi="Times New Roman" w:eastAsia="宋体" w:cs="宋体"/>
          <w:szCs w:val="21"/>
        </w:rPr>
        <w:t>法定代表人（签字或盖章）：</w:t>
      </w:r>
    </w:p>
    <w:p w14:paraId="33F0B2CE">
      <w:pPr>
        <w:autoSpaceDN w:val="0"/>
        <w:spacing w:line="480" w:lineRule="auto"/>
        <w:rPr>
          <w:rFonts w:ascii="Times New Roman" w:hAnsi="Times New Roman" w:eastAsia="宋体" w:cs="Times New Roman"/>
        </w:rPr>
      </w:pPr>
      <w:r>
        <w:rPr>
          <w:rFonts w:hint="eastAsia" w:ascii="Times New Roman" w:hAnsi="Times New Roman" w:eastAsia="宋体" w:cs="宋体"/>
          <w:szCs w:val="21"/>
        </w:rPr>
        <w:t>日期：</w:t>
      </w:r>
    </w:p>
    <w:p w14:paraId="340866A6">
      <w:pPr>
        <w:autoSpaceDN w:val="0"/>
        <w:spacing w:line="480" w:lineRule="auto"/>
        <w:rPr>
          <w:rFonts w:ascii="Times New Roman" w:hAnsi="Times New Roman" w:eastAsia="宋体" w:cs="Times New Roman"/>
        </w:rPr>
      </w:pPr>
      <w:r>
        <w:rPr>
          <w:rFonts w:ascii="Times New Roman" w:hAnsi="Times New Roman" w:eastAsia="宋体" w:cs="Times New Roman"/>
          <w:szCs w:val="21"/>
        </w:rPr>
        <w:t> </w:t>
      </w:r>
    </w:p>
    <w:p w14:paraId="4156B1AA">
      <w:pPr>
        <w:autoSpaceDN w:val="0"/>
        <w:spacing w:line="480" w:lineRule="auto"/>
        <w:rPr>
          <w:rFonts w:ascii="Times New Roman" w:hAnsi="Times New Roman" w:eastAsia="宋体" w:cs="Times New Roman"/>
        </w:rPr>
      </w:pPr>
      <w:r>
        <w:rPr>
          <w:rFonts w:ascii="Times New Roman" w:hAnsi="Times New Roman" w:eastAsia="宋体" w:cs="Times New Roman"/>
          <w:szCs w:val="21"/>
        </w:rPr>
        <w:t> </w:t>
      </w:r>
    </w:p>
    <w:p w14:paraId="35EAABE9">
      <w:pPr>
        <w:autoSpaceDN w:val="0"/>
        <w:spacing w:line="480" w:lineRule="auto"/>
        <w:rPr>
          <w:rFonts w:ascii="Times New Roman" w:hAnsi="Times New Roman" w:eastAsia="宋体" w:cs="Times New Roman"/>
        </w:rPr>
      </w:pPr>
      <w:r>
        <w:rPr>
          <w:rFonts w:hint="eastAsia" w:ascii="Times New Roman" w:hAnsi="Times New Roman" w:eastAsia="宋体" w:cs="宋体"/>
          <w:szCs w:val="21"/>
        </w:rPr>
        <w:t>附：</w:t>
      </w:r>
    </w:p>
    <w:p w14:paraId="06D1EBBB">
      <w:pPr>
        <w:autoSpaceDN w:val="0"/>
        <w:spacing w:line="480" w:lineRule="auto"/>
        <w:ind w:firstLine="555"/>
        <w:rPr>
          <w:rFonts w:ascii="Times New Roman" w:hAnsi="Times New Roman" w:eastAsia="宋体" w:cs="Times New Roman"/>
        </w:rPr>
      </w:pPr>
      <w:r>
        <w:rPr>
          <w:rFonts w:hint="eastAsia" w:ascii="Times New Roman" w:hAnsi="Times New Roman" w:eastAsia="宋体" w:cs="宋体"/>
          <w:szCs w:val="21"/>
        </w:rPr>
        <w:t>授权代表姓名：</w:t>
      </w:r>
    </w:p>
    <w:p w14:paraId="3E4D0F7E">
      <w:pPr>
        <w:autoSpaceDN w:val="0"/>
        <w:spacing w:line="480" w:lineRule="auto"/>
        <w:ind w:firstLine="555"/>
        <w:rPr>
          <w:rFonts w:ascii="Times New Roman" w:hAnsi="Times New Roman" w:eastAsia="宋体" w:cs="Times New Roman"/>
        </w:rPr>
      </w:pPr>
      <w:r>
        <w:rPr>
          <w:rFonts w:hint="eastAsia" w:ascii="Times New Roman" w:hAnsi="Times New Roman" w:eastAsia="宋体" w:cs="宋体"/>
          <w:szCs w:val="21"/>
        </w:rPr>
        <w:t>授权代表身份证号码：</w:t>
      </w:r>
    </w:p>
    <w:p w14:paraId="2D583535">
      <w:pPr>
        <w:autoSpaceDN w:val="0"/>
        <w:spacing w:line="480" w:lineRule="auto"/>
        <w:rPr>
          <w:rFonts w:ascii="Times New Roman" w:hAnsi="Times New Roman" w:eastAsia="宋体" w:cs="Times New Roman"/>
        </w:rPr>
      </w:pPr>
      <w:r>
        <w:rPr>
          <w:rFonts w:hint="eastAsia" w:ascii="Times New Roman" w:hAnsi="Times New Roman" w:eastAsia="宋体" w:cs="宋体"/>
          <w:szCs w:val="21"/>
        </w:rPr>
        <w:t>职务：</w:t>
      </w:r>
      <w:r>
        <w:rPr>
          <w:rFonts w:hint="eastAsia" w:ascii="Times New Roman" w:hAnsi="Times New Roman" w:eastAsia="宋体" w:cs="宋体"/>
          <w:szCs w:val="21"/>
          <w:u w:val="single"/>
        </w:rPr>
        <w:t>　</w:t>
      </w:r>
    </w:p>
    <w:p w14:paraId="2BFE0354">
      <w:pPr>
        <w:autoSpaceDN w:val="0"/>
        <w:spacing w:line="480" w:lineRule="auto"/>
        <w:rPr>
          <w:rFonts w:ascii="Times New Roman" w:hAnsi="Times New Roman" w:eastAsia="宋体" w:cs="Times New Roman"/>
        </w:rPr>
      </w:pPr>
      <w:r>
        <w:rPr>
          <w:rFonts w:hint="eastAsia" w:ascii="Times New Roman" w:hAnsi="Times New Roman" w:eastAsia="宋体" w:cs="宋体"/>
          <w:szCs w:val="21"/>
        </w:rPr>
        <w:t>详细通讯地址：</w:t>
      </w:r>
    </w:p>
    <w:p w14:paraId="4AD27585">
      <w:pPr>
        <w:autoSpaceDN w:val="0"/>
        <w:spacing w:line="480" w:lineRule="auto"/>
        <w:ind w:firstLine="525" w:firstLineChars="250"/>
        <w:rPr>
          <w:rFonts w:ascii="Times New Roman" w:hAnsi="Times New Roman" w:eastAsia="宋体" w:cs="Times New Roman"/>
        </w:rPr>
      </w:pPr>
      <w:r>
        <w:rPr>
          <w:rFonts w:hint="eastAsia" w:ascii="Times New Roman" w:hAnsi="Times New Roman" w:eastAsia="宋体" w:cs="宋体"/>
          <w:szCs w:val="21"/>
        </w:rPr>
        <w:t>传真：电话：邮编：</w:t>
      </w:r>
    </w:p>
    <w:p w14:paraId="06F35E84">
      <w:pPr>
        <w:autoSpaceDN w:val="0"/>
        <w:spacing w:line="480" w:lineRule="auto"/>
        <w:ind w:firstLine="525" w:firstLineChars="250"/>
        <w:rPr>
          <w:rFonts w:ascii="Times New Roman" w:hAnsi="Times New Roman" w:eastAsia="宋体" w:cs="Times New Roman"/>
        </w:rPr>
      </w:pPr>
      <w:r>
        <w:rPr>
          <w:rFonts w:ascii="Times New Roman" w:hAnsi="Times New Roman" w:eastAsia="宋体" w:cs="Times New Roman"/>
          <w:szCs w:val="21"/>
          <w:u w:val="single"/>
        </w:rPr>
        <w:t> </w:t>
      </w:r>
    </w:p>
    <w:p w14:paraId="417D9058">
      <w:pPr>
        <w:autoSpaceDN w:val="0"/>
        <w:spacing w:line="440" w:lineRule="exact"/>
        <w:ind w:firstLine="525" w:firstLineChars="250"/>
        <w:rPr>
          <w:rFonts w:ascii="Times New Roman" w:hAnsi="Times New Roman" w:eastAsia="宋体" w:cs="Times New Roman"/>
        </w:rPr>
      </w:pPr>
      <w:r>
        <w:rPr>
          <w:rFonts w:ascii="Times New Roman" w:hAnsi="Times New Roman" w:eastAsia="宋体" w:cs="Times New Roman"/>
          <w:szCs w:val="21"/>
          <w:u w:val="single"/>
        </w:rPr>
        <w:t> </w:t>
      </w:r>
    </w:p>
    <w:p w14:paraId="0917681F">
      <w:pPr>
        <w:autoSpaceDN w:val="0"/>
        <w:spacing w:line="440" w:lineRule="exact"/>
        <w:ind w:firstLine="525" w:firstLineChars="250"/>
        <w:rPr>
          <w:rFonts w:ascii="Times New Roman" w:hAnsi="Times New Roman" w:eastAsia="宋体" w:cs="Times New Roman"/>
        </w:rPr>
      </w:pPr>
      <w:r>
        <w:rPr>
          <w:rFonts w:ascii="Times New Roman" w:hAnsi="Times New Roman" w:eastAsia="宋体" w:cs="Times New Roman"/>
          <w:szCs w:val="21"/>
          <w:u w:val="single"/>
        </w:rPr>
        <w:t> </w:t>
      </w:r>
    </w:p>
    <w:p w14:paraId="6202332B">
      <w:pPr>
        <w:autoSpaceDN w:val="0"/>
        <w:spacing w:line="360" w:lineRule="auto"/>
        <w:ind w:firstLine="525" w:firstLineChars="250"/>
        <w:rPr>
          <w:rFonts w:ascii="Times New Roman" w:hAnsi="Times New Roman" w:eastAsia="宋体" w:cs="Times New Roman"/>
        </w:rPr>
      </w:pPr>
      <w:r>
        <w:rPr>
          <w:rFonts w:hint="eastAsia" w:ascii="Times New Roman" w:hAnsi="Times New Roman" w:eastAsia="宋体" w:cs="宋体"/>
          <w:szCs w:val="21"/>
        </w:rPr>
        <w:t>后附：</w:t>
      </w:r>
    </w:p>
    <w:p w14:paraId="0971E486">
      <w:pPr>
        <w:autoSpaceDN w:val="0"/>
        <w:spacing w:line="360" w:lineRule="auto"/>
        <w:ind w:firstLine="527" w:firstLineChars="250"/>
        <w:rPr>
          <w:rFonts w:ascii="Times New Roman" w:hAnsi="Times New Roman" w:eastAsia="宋体" w:cs="Times New Roman"/>
          <w:b/>
        </w:rPr>
      </w:pPr>
      <w:r>
        <w:rPr>
          <w:rFonts w:ascii="Times New Roman" w:hAnsi="Times New Roman" w:eastAsia="宋体" w:cs="Times New Roman"/>
          <w:b/>
          <w:szCs w:val="21"/>
        </w:rPr>
        <w:t>1</w:t>
      </w:r>
      <w:r>
        <w:rPr>
          <w:rFonts w:hint="eastAsia" w:ascii="Times New Roman" w:hAnsi="Times New Roman" w:eastAsia="宋体" w:cs="宋体"/>
          <w:b/>
          <w:szCs w:val="21"/>
        </w:rPr>
        <w:t>、授权代表身份证扫描件；</w:t>
      </w:r>
    </w:p>
    <w:p w14:paraId="71588B5E">
      <w:pPr>
        <w:autoSpaceDN w:val="0"/>
        <w:spacing w:line="440" w:lineRule="exact"/>
        <w:jc w:val="center"/>
        <w:rPr>
          <w:rFonts w:hint="eastAsia" w:ascii="宋体" w:hAnsi="宋体" w:eastAsia="宋体" w:cs="宋体"/>
        </w:rPr>
      </w:pPr>
      <w:r>
        <w:rPr>
          <w:rStyle w:val="47"/>
          <w:rFonts w:hint="eastAsia" w:ascii="宋体" w:hAnsi="宋体" w:cs="宋体"/>
          <w:szCs w:val="21"/>
        </w:rPr>
        <w:br w:type="page"/>
      </w:r>
      <w:bookmarkStart w:id="588" w:name="_Hlk35437321"/>
      <w:r>
        <w:rPr>
          <w:rFonts w:hint="eastAsia" w:ascii="宋体" w:hAnsi="宋体" w:eastAsia="宋体" w:cs="宋体"/>
          <w:b/>
          <w:spacing w:val="20"/>
          <w:szCs w:val="21"/>
        </w:rPr>
        <w:t>B5.商务条款响应表</w:t>
      </w:r>
    </w:p>
    <w:p w14:paraId="6CE7992B">
      <w:pPr>
        <w:autoSpaceDN w:val="0"/>
        <w:snapToGrid w:val="0"/>
        <w:spacing w:line="440" w:lineRule="exact"/>
        <w:rPr>
          <w:rFonts w:hint="eastAsia" w:ascii="宋体" w:hAnsi="宋体" w:eastAsia="宋体" w:cs="宋体"/>
        </w:rPr>
      </w:pPr>
      <w:r>
        <w:rPr>
          <w:rFonts w:hint="eastAsia" w:ascii="宋体" w:hAnsi="宋体" w:eastAsia="宋体" w:cs="宋体"/>
          <w:szCs w:val="21"/>
        </w:rPr>
        <w:t>项目编号：</w:t>
      </w:r>
      <w:r>
        <w:rPr>
          <w:rFonts w:hint="eastAsia" w:ascii="宋体" w:hAnsi="宋体" w:eastAsia="宋体" w:cs="宋体"/>
          <w:szCs w:val="21"/>
          <w:u w:val="single"/>
        </w:rPr>
        <w:t>ZGTZZB2025-0410</w:t>
      </w:r>
    </w:p>
    <w:p w14:paraId="0BEC08ED">
      <w:pPr>
        <w:autoSpaceDN w:val="0"/>
        <w:snapToGrid w:val="0"/>
        <w:spacing w:line="440" w:lineRule="exact"/>
        <w:rPr>
          <w:rFonts w:hint="eastAsia" w:ascii="宋体" w:hAnsi="宋体" w:eastAsia="宋体" w:cs="宋体"/>
        </w:rPr>
      </w:pPr>
      <w:r>
        <w:rPr>
          <w:rFonts w:hint="eastAsia" w:ascii="宋体" w:hAnsi="宋体" w:eastAsia="宋体" w:cs="宋体"/>
          <w:szCs w:val="21"/>
        </w:rPr>
        <w:t>项目名称：</w:t>
      </w:r>
      <w:r>
        <w:rPr>
          <w:rFonts w:hint="eastAsia" w:ascii="宋体" w:hAnsi="宋体" w:eastAsia="宋体" w:cs="宋体"/>
          <w:szCs w:val="21"/>
          <w:u w:val="single"/>
        </w:rPr>
        <w:t xml:space="preserve">椒江区第五中学体育馆提升及室外配套工程 </w:t>
      </w:r>
    </w:p>
    <w:tbl>
      <w:tblPr>
        <w:tblStyle w:val="25"/>
        <w:tblW w:w="944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70"/>
        <w:gridCol w:w="6728"/>
        <w:gridCol w:w="926"/>
        <w:gridCol w:w="1122"/>
      </w:tblGrid>
      <w:tr w14:paraId="40A836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791F1AC6">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序号</w:t>
            </w:r>
          </w:p>
        </w:tc>
        <w:tc>
          <w:tcPr>
            <w:tcW w:w="6728" w:type="dxa"/>
            <w:tcBorders>
              <w:top w:val="single" w:color="auto" w:sz="4" w:space="0"/>
              <w:left w:val="single" w:color="auto" w:sz="4" w:space="0"/>
              <w:bottom w:val="single" w:color="auto" w:sz="4" w:space="0"/>
              <w:right w:val="single" w:color="auto" w:sz="4" w:space="0"/>
            </w:tcBorders>
            <w:vAlign w:val="center"/>
          </w:tcPr>
          <w:p w14:paraId="3953245A">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磋商要求</w:t>
            </w:r>
          </w:p>
        </w:tc>
        <w:tc>
          <w:tcPr>
            <w:tcW w:w="926" w:type="dxa"/>
            <w:tcBorders>
              <w:top w:val="single" w:color="auto" w:sz="4" w:space="0"/>
              <w:left w:val="single" w:color="auto" w:sz="4" w:space="0"/>
              <w:bottom w:val="single" w:color="auto" w:sz="4" w:space="0"/>
              <w:right w:val="single" w:color="auto" w:sz="4" w:space="0"/>
            </w:tcBorders>
            <w:vAlign w:val="center"/>
          </w:tcPr>
          <w:p w14:paraId="45A66570">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磋商响应</w:t>
            </w:r>
          </w:p>
        </w:tc>
        <w:tc>
          <w:tcPr>
            <w:tcW w:w="1122" w:type="dxa"/>
            <w:tcBorders>
              <w:top w:val="single" w:color="auto" w:sz="4" w:space="0"/>
              <w:left w:val="single" w:color="auto" w:sz="4" w:space="0"/>
              <w:bottom w:val="single" w:color="auto" w:sz="4" w:space="0"/>
              <w:right w:val="single" w:color="auto" w:sz="4" w:space="0"/>
            </w:tcBorders>
            <w:vAlign w:val="center"/>
          </w:tcPr>
          <w:p w14:paraId="1B8E643D">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偏离说明</w:t>
            </w:r>
          </w:p>
        </w:tc>
      </w:tr>
      <w:tr w14:paraId="30CD42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104E0A7E">
            <w:pPr>
              <w:spacing w:line="360" w:lineRule="exact"/>
              <w:contextualSpacing/>
              <w:jc w:val="center"/>
              <w:rPr>
                <w:rFonts w:ascii="Calibri" w:hAnsi="Calibri" w:eastAsia="宋体" w:cs="Times New Roman"/>
              </w:rPr>
            </w:pPr>
            <w:r>
              <w:rPr>
                <w:rFonts w:hint="eastAsia" w:ascii="Calibri" w:hAnsi="Calibri" w:eastAsia="宋体" w:cs="Times New Roman"/>
              </w:rPr>
              <w:t>1</w:t>
            </w:r>
          </w:p>
        </w:tc>
        <w:tc>
          <w:tcPr>
            <w:tcW w:w="6728" w:type="dxa"/>
            <w:tcBorders>
              <w:top w:val="single" w:color="auto" w:sz="4" w:space="0"/>
              <w:left w:val="single" w:color="auto" w:sz="4" w:space="0"/>
              <w:bottom w:val="single" w:color="auto" w:sz="4" w:space="0"/>
              <w:right w:val="single" w:color="auto" w:sz="4" w:space="0"/>
            </w:tcBorders>
            <w:vAlign w:val="center"/>
          </w:tcPr>
          <w:p w14:paraId="1CF53275">
            <w:pPr>
              <w:autoSpaceDE w:val="0"/>
              <w:autoSpaceDN w:val="0"/>
              <w:adjustRightInd w:val="0"/>
              <w:spacing w:line="440" w:lineRule="exact"/>
              <w:contextualSpacing/>
              <w:rPr>
                <w:rFonts w:ascii="Calibri" w:hAnsi="Calibri" w:eastAsia="宋体" w:cs="宋体"/>
                <w:szCs w:val="21"/>
              </w:rPr>
            </w:pPr>
            <w:r>
              <w:rPr>
                <w:rFonts w:hint="eastAsia" w:ascii="Calibri" w:hAnsi="Calibri" w:eastAsia="宋体" w:cs="宋体"/>
                <w:szCs w:val="21"/>
              </w:rPr>
              <w:t>工期：</w:t>
            </w:r>
            <w:r>
              <w:rPr>
                <w:rFonts w:hint="eastAsia" w:ascii="宋体" w:hAnsi="宋体" w:cs="宋体"/>
                <w:szCs w:val="21"/>
              </w:rPr>
              <w:t>下达开工令后</w:t>
            </w:r>
            <w:r>
              <w:rPr>
                <w:rFonts w:hint="eastAsia" w:ascii="宋体" w:hAnsi="宋体" w:cs="宋体"/>
                <w:szCs w:val="21"/>
                <w:u w:val="single"/>
              </w:rPr>
              <w:t xml:space="preserve">  90  </w:t>
            </w:r>
            <w:r>
              <w:rPr>
                <w:rFonts w:hint="eastAsia" w:ascii="宋体" w:hAnsi="宋体" w:cs="宋体"/>
                <w:szCs w:val="21"/>
              </w:rPr>
              <w:t xml:space="preserve">天内完成施工图示和工程量清单包含的所有内容并提请采购人验收。 </w:t>
            </w:r>
          </w:p>
        </w:tc>
        <w:tc>
          <w:tcPr>
            <w:tcW w:w="926" w:type="dxa"/>
            <w:tcBorders>
              <w:top w:val="single" w:color="auto" w:sz="4" w:space="0"/>
              <w:left w:val="single" w:color="auto" w:sz="4" w:space="0"/>
              <w:bottom w:val="single" w:color="auto" w:sz="4" w:space="0"/>
              <w:right w:val="single" w:color="auto" w:sz="4" w:space="0"/>
            </w:tcBorders>
            <w:vAlign w:val="center"/>
          </w:tcPr>
          <w:p w14:paraId="059D6C34">
            <w:pPr>
              <w:autoSpaceDN w:val="0"/>
              <w:adjustRightInd w:val="0"/>
              <w:snapToGrid w:val="0"/>
              <w:spacing w:line="400" w:lineRule="exact"/>
              <w:jc w:val="center"/>
              <w:rPr>
                <w:rFonts w:hint="eastAsia" w:ascii="宋体" w:hAnsi="宋体" w:eastAsia="宋体" w:cs="宋体"/>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034CB520">
            <w:pPr>
              <w:autoSpaceDN w:val="0"/>
              <w:adjustRightInd w:val="0"/>
              <w:snapToGrid w:val="0"/>
              <w:spacing w:line="400" w:lineRule="exact"/>
              <w:jc w:val="center"/>
              <w:rPr>
                <w:rFonts w:hint="eastAsia" w:ascii="宋体" w:hAnsi="宋体" w:eastAsia="宋体" w:cs="宋体"/>
                <w:szCs w:val="21"/>
              </w:rPr>
            </w:pPr>
          </w:p>
        </w:tc>
      </w:tr>
      <w:tr w14:paraId="5D6B3E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4D8B5255">
            <w:pPr>
              <w:spacing w:line="360" w:lineRule="exact"/>
              <w:contextualSpacing/>
              <w:jc w:val="center"/>
              <w:rPr>
                <w:rFonts w:ascii="Calibri" w:hAnsi="Calibri" w:eastAsia="宋体" w:cs="Times New Roman"/>
              </w:rPr>
            </w:pPr>
            <w:r>
              <w:rPr>
                <w:rFonts w:hint="eastAsia" w:ascii="Calibri" w:hAnsi="Calibri" w:eastAsia="宋体" w:cs="Times New Roman"/>
              </w:rPr>
              <w:t>2</w:t>
            </w:r>
          </w:p>
        </w:tc>
        <w:tc>
          <w:tcPr>
            <w:tcW w:w="6728" w:type="dxa"/>
            <w:tcBorders>
              <w:top w:val="single" w:color="auto" w:sz="4" w:space="0"/>
              <w:left w:val="single" w:color="auto" w:sz="4" w:space="0"/>
              <w:bottom w:val="single" w:color="auto" w:sz="4" w:space="0"/>
              <w:right w:val="single" w:color="auto" w:sz="4" w:space="0"/>
            </w:tcBorders>
            <w:vAlign w:val="center"/>
          </w:tcPr>
          <w:p w14:paraId="74E2783E">
            <w:pPr>
              <w:autoSpaceDE w:val="0"/>
              <w:autoSpaceDN w:val="0"/>
              <w:adjustRightInd w:val="0"/>
              <w:spacing w:line="440" w:lineRule="exact"/>
              <w:contextualSpacing/>
              <w:rPr>
                <w:rFonts w:ascii="Calibri" w:hAnsi="Calibri" w:eastAsia="宋体" w:cs="宋体"/>
                <w:szCs w:val="21"/>
              </w:rPr>
            </w:pPr>
            <w:r>
              <w:rPr>
                <w:rFonts w:hint="eastAsia" w:cs="宋体"/>
                <w:szCs w:val="21"/>
              </w:rPr>
              <w:t>服务地点</w:t>
            </w:r>
            <w:r>
              <w:rPr>
                <w:rFonts w:hint="eastAsia" w:ascii="Calibri" w:hAnsi="Calibri" w:eastAsia="宋体" w:cs="宋体"/>
                <w:szCs w:val="21"/>
              </w:rPr>
              <w:t>：</w:t>
            </w:r>
            <w:r>
              <w:rPr>
                <w:rFonts w:hint="eastAsia" w:cs="宋体"/>
                <w:szCs w:val="21"/>
              </w:rPr>
              <w:t>采购人指定地点</w:t>
            </w:r>
            <w:r>
              <w:rPr>
                <w:rFonts w:hint="eastAsia" w:ascii="Calibri" w:hAnsi="Calibri" w:eastAsia="宋体" w:cs="宋体"/>
                <w:szCs w:val="21"/>
              </w:rPr>
              <w:t>。</w:t>
            </w:r>
          </w:p>
        </w:tc>
        <w:tc>
          <w:tcPr>
            <w:tcW w:w="926" w:type="dxa"/>
            <w:tcBorders>
              <w:top w:val="single" w:color="auto" w:sz="4" w:space="0"/>
              <w:left w:val="single" w:color="auto" w:sz="4" w:space="0"/>
              <w:bottom w:val="single" w:color="auto" w:sz="4" w:space="0"/>
              <w:right w:val="single" w:color="auto" w:sz="4" w:space="0"/>
            </w:tcBorders>
            <w:vAlign w:val="center"/>
          </w:tcPr>
          <w:p w14:paraId="2F2BDBE9">
            <w:pPr>
              <w:autoSpaceDN w:val="0"/>
              <w:adjustRightInd w:val="0"/>
              <w:snapToGrid w:val="0"/>
              <w:spacing w:line="400" w:lineRule="exact"/>
              <w:jc w:val="center"/>
              <w:rPr>
                <w:rFonts w:hint="eastAsia" w:ascii="宋体" w:hAnsi="宋体" w:eastAsia="宋体" w:cs="宋体"/>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40A03703">
            <w:pPr>
              <w:autoSpaceDN w:val="0"/>
              <w:adjustRightInd w:val="0"/>
              <w:snapToGrid w:val="0"/>
              <w:spacing w:line="400" w:lineRule="exact"/>
              <w:jc w:val="center"/>
              <w:rPr>
                <w:rFonts w:hint="eastAsia" w:ascii="宋体" w:hAnsi="宋体" w:eastAsia="宋体" w:cs="宋体"/>
                <w:szCs w:val="21"/>
              </w:rPr>
            </w:pPr>
          </w:p>
        </w:tc>
      </w:tr>
      <w:tr w14:paraId="3BEEB4A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765776C7">
            <w:pPr>
              <w:spacing w:line="360" w:lineRule="exact"/>
              <w:contextualSpacing/>
              <w:jc w:val="center"/>
            </w:pPr>
            <w:r>
              <w:rPr>
                <w:rFonts w:hint="eastAsia"/>
              </w:rPr>
              <w:t>3</w:t>
            </w:r>
          </w:p>
        </w:tc>
        <w:tc>
          <w:tcPr>
            <w:tcW w:w="6728" w:type="dxa"/>
            <w:tcBorders>
              <w:top w:val="single" w:color="auto" w:sz="4" w:space="0"/>
              <w:left w:val="single" w:color="auto" w:sz="4" w:space="0"/>
              <w:bottom w:val="single" w:color="auto" w:sz="4" w:space="0"/>
              <w:right w:val="single" w:color="auto" w:sz="4" w:space="0"/>
            </w:tcBorders>
            <w:vAlign w:val="center"/>
          </w:tcPr>
          <w:p w14:paraId="1474AFF9">
            <w:pPr>
              <w:spacing w:line="440" w:lineRule="exact"/>
              <w:contextualSpacing/>
              <w:rPr>
                <w:szCs w:val="21"/>
              </w:rPr>
            </w:pPr>
            <w:r>
              <w:rPr>
                <w:rFonts w:hint="eastAsia" w:ascii="Calibri" w:hAnsi="Calibri" w:eastAsia="宋体" w:cs="Times New Roman"/>
                <w:szCs w:val="21"/>
              </w:rPr>
              <w:t>履约保证金的收取及退还: 合同履约保证金为成交价的1%，履约保证金可以银行、保险公司等担保机构出具的保函等非现金形式交至采购人处。工期结束后【5】个工作日内，经验收且扣除违约产生的金额（如有）后，无息退还履约保证金剩余部分，履约保函的有效期应保持至验收合格后【30】日。</w:t>
            </w:r>
          </w:p>
        </w:tc>
        <w:tc>
          <w:tcPr>
            <w:tcW w:w="926" w:type="dxa"/>
            <w:tcBorders>
              <w:top w:val="single" w:color="auto" w:sz="4" w:space="0"/>
              <w:left w:val="single" w:color="auto" w:sz="4" w:space="0"/>
              <w:bottom w:val="single" w:color="auto" w:sz="4" w:space="0"/>
              <w:right w:val="single" w:color="auto" w:sz="4" w:space="0"/>
            </w:tcBorders>
            <w:vAlign w:val="center"/>
          </w:tcPr>
          <w:p w14:paraId="5B8FAAB6">
            <w:pPr>
              <w:autoSpaceDN w:val="0"/>
              <w:adjustRightInd w:val="0"/>
              <w:snapToGrid w:val="0"/>
              <w:spacing w:line="400" w:lineRule="exact"/>
              <w:jc w:val="center"/>
              <w:rPr>
                <w:rFonts w:hint="eastAsia" w:ascii="宋体" w:hAnsi="宋体" w:eastAsia="宋体" w:cs="宋体"/>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3194FE5B">
            <w:pPr>
              <w:autoSpaceDN w:val="0"/>
              <w:adjustRightInd w:val="0"/>
              <w:snapToGrid w:val="0"/>
              <w:spacing w:line="400" w:lineRule="exact"/>
              <w:jc w:val="center"/>
              <w:rPr>
                <w:rFonts w:hint="eastAsia" w:ascii="宋体" w:hAnsi="宋体" w:eastAsia="宋体" w:cs="宋体"/>
                <w:szCs w:val="21"/>
              </w:rPr>
            </w:pPr>
          </w:p>
        </w:tc>
      </w:tr>
      <w:tr w14:paraId="52F5A3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4F959BCC">
            <w:pPr>
              <w:spacing w:line="360" w:lineRule="exact"/>
              <w:contextualSpacing/>
              <w:jc w:val="center"/>
              <w:rPr>
                <w:rFonts w:ascii="Calibri" w:hAnsi="Calibri" w:eastAsia="宋体" w:cs="Times New Roman"/>
              </w:rPr>
            </w:pPr>
            <w:r>
              <w:rPr>
                <w:rFonts w:hint="eastAsia"/>
              </w:rPr>
              <w:t>4</w:t>
            </w:r>
          </w:p>
        </w:tc>
        <w:tc>
          <w:tcPr>
            <w:tcW w:w="6728" w:type="dxa"/>
            <w:tcBorders>
              <w:top w:val="single" w:color="auto" w:sz="4" w:space="0"/>
              <w:left w:val="single" w:color="auto" w:sz="4" w:space="0"/>
              <w:bottom w:val="single" w:color="auto" w:sz="4" w:space="0"/>
              <w:right w:val="single" w:color="auto" w:sz="4" w:space="0"/>
            </w:tcBorders>
            <w:vAlign w:val="center"/>
          </w:tcPr>
          <w:p w14:paraId="57BDAC98">
            <w:pPr>
              <w:spacing w:line="360" w:lineRule="auto"/>
              <w:ind w:firstLine="0" w:firstLineChars="0"/>
              <w:contextualSpacing w:val="0"/>
              <w:rPr>
                <w:rFonts w:ascii="Calibri" w:hAnsi="Calibri" w:eastAsia="宋体" w:cs="Times New Roman"/>
                <w:szCs w:val="21"/>
              </w:rPr>
            </w:pPr>
            <w:r>
              <w:rPr>
                <w:rFonts w:ascii="Calibri" w:hAnsi="Calibri" w:eastAsia="宋体" w:cs="Times New Roman"/>
                <w:szCs w:val="21"/>
              </w:rPr>
              <w:t>付款</w:t>
            </w:r>
            <w:r>
              <w:rPr>
                <w:rFonts w:hint="eastAsia" w:ascii="Calibri" w:hAnsi="Calibri" w:eastAsia="宋体" w:cs="Times New Roman"/>
                <w:szCs w:val="21"/>
              </w:rPr>
              <w:t>方式</w:t>
            </w:r>
            <w:r>
              <w:rPr>
                <w:rFonts w:ascii="Calibri" w:hAnsi="Calibri" w:eastAsia="宋体" w:cs="Times New Roman"/>
                <w:szCs w:val="21"/>
              </w:rPr>
              <w:t>：</w:t>
            </w:r>
          </w:p>
          <w:p w14:paraId="1BB5A675">
            <w:pPr>
              <w:spacing w:line="360" w:lineRule="auto"/>
              <w:ind w:firstLine="0" w:firstLineChars="0"/>
              <w:contextualSpacing w:val="0"/>
              <w:rPr>
                <w:rFonts w:hint="eastAsia" w:ascii="宋体" w:hAnsi="宋体" w:cs="宋体"/>
                <w:szCs w:val="21"/>
                <w:u w:val="none"/>
              </w:rPr>
            </w:pPr>
            <w:r>
              <w:rPr>
                <w:rFonts w:hint="eastAsia" w:ascii="宋体" w:hAnsi="宋体" w:cs="宋体"/>
                <w:szCs w:val="21"/>
                <w:u w:val="none"/>
              </w:rPr>
              <w:t>合同签订且人员、机械设备进场后</w:t>
            </w:r>
            <w:r>
              <w:rPr>
                <w:rFonts w:hint="eastAsia" w:ascii="宋体" w:hAnsi="宋体" w:cs="宋体"/>
                <w:szCs w:val="21"/>
                <w:u w:val="none"/>
                <w:lang w:eastAsia="zh-CN"/>
              </w:rPr>
              <w:t>并收到成交供应商开具的等额正规税务发票后</w:t>
            </w:r>
            <w:r>
              <w:rPr>
                <w:rFonts w:hint="eastAsia" w:ascii="宋体" w:hAnsi="宋体" w:cs="宋体"/>
                <w:szCs w:val="21"/>
                <w:u w:val="none"/>
              </w:rPr>
              <w:t>7</w:t>
            </w:r>
            <w:r>
              <w:rPr>
                <w:rFonts w:ascii="宋体" w:hAnsi="宋体" w:cs="宋体"/>
                <w:szCs w:val="21"/>
                <w:u w:val="none"/>
              </w:rPr>
              <w:t>个工作日内支付合同总价的</w:t>
            </w:r>
            <w:r>
              <w:rPr>
                <w:rFonts w:hint="eastAsia" w:ascii="宋体" w:hAnsi="宋体" w:cs="宋体"/>
                <w:szCs w:val="21"/>
                <w:u w:val="none"/>
                <w:lang w:val="en-US" w:eastAsia="zh-CN"/>
              </w:rPr>
              <w:t>4</w:t>
            </w:r>
            <w:r>
              <w:rPr>
                <w:rFonts w:hint="eastAsia" w:ascii="宋体" w:hAnsi="宋体" w:cs="宋体"/>
                <w:szCs w:val="21"/>
                <w:u w:val="none"/>
              </w:rPr>
              <w:t>0</w:t>
            </w:r>
            <w:r>
              <w:rPr>
                <w:rFonts w:ascii="宋体" w:hAnsi="宋体" w:cs="宋体"/>
                <w:szCs w:val="21"/>
                <w:u w:val="none"/>
              </w:rPr>
              <w:t>%作为预付款；</w:t>
            </w:r>
            <w:r>
              <w:rPr>
                <w:rFonts w:hint="eastAsia" w:ascii="宋体" w:hAnsi="宋体" w:cs="宋体"/>
                <w:szCs w:val="21"/>
                <w:u w:val="none"/>
              </w:rPr>
              <w:t>合同范围内施工内容施工完成且工程验收并签署工程质量合格文件后，收到</w:t>
            </w:r>
            <w:r>
              <w:rPr>
                <w:rFonts w:hint="eastAsia" w:ascii="宋体" w:hAnsi="宋体" w:cs="宋体"/>
                <w:szCs w:val="21"/>
                <w:u w:val="none"/>
                <w:lang w:eastAsia="zh-CN"/>
              </w:rPr>
              <w:t>成交供应商</w:t>
            </w:r>
            <w:r>
              <w:rPr>
                <w:rFonts w:hint="eastAsia" w:ascii="宋体" w:hAnsi="宋体" w:cs="宋体"/>
                <w:szCs w:val="21"/>
                <w:u w:val="none"/>
              </w:rPr>
              <w:t>开具的正式发票后7</w:t>
            </w:r>
            <w:r>
              <w:rPr>
                <w:rFonts w:ascii="宋体" w:hAnsi="宋体" w:cs="宋体"/>
                <w:szCs w:val="21"/>
                <w:u w:val="none"/>
              </w:rPr>
              <w:t>个工作日内</w:t>
            </w:r>
            <w:r>
              <w:rPr>
                <w:rFonts w:hint="eastAsia" w:ascii="宋体" w:hAnsi="宋体" w:cs="宋体"/>
                <w:szCs w:val="21"/>
                <w:u w:val="none"/>
              </w:rPr>
              <w:t>支付至合同价格的85%，经有关部门结算审核后且收到</w:t>
            </w:r>
            <w:r>
              <w:rPr>
                <w:rFonts w:hint="eastAsia" w:ascii="宋体" w:hAnsi="宋体" w:cs="宋体"/>
                <w:szCs w:val="21"/>
                <w:u w:val="none"/>
                <w:lang w:eastAsia="zh-CN"/>
              </w:rPr>
              <w:t>成交供应商</w:t>
            </w:r>
            <w:r>
              <w:rPr>
                <w:rFonts w:hint="eastAsia" w:ascii="宋体" w:hAnsi="宋体" w:cs="宋体"/>
                <w:szCs w:val="21"/>
                <w:u w:val="none"/>
              </w:rPr>
              <w:t>递交的工程质量保证金保函（（保证金额为1.5%的工程结算审定价））</w:t>
            </w:r>
            <w:r>
              <w:rPr>
                <w:rFonts w:hint="eastAsia" w:ascii="宋体" w:hAnsi="宋体" w:cs="宋体"/>
                <w:szCs w:val="21"/>
                <w:u w:val="none"/>
                <w:lang w:eastAsia="zh-CN"/>
              </w:rPr>
              <w:t>及等额正规税务发票后</w:t>
            </w:r>
            <w:r>
              <w:rPr>
                <w:rFonts w:hint="eastAsia" w:ascii="宋体" w:hAnsi="宋体" w:cs="宋体"/>
                <w:szCs w:val="21"/>
                <w:u w:val="none"/>
                <w:lang w:val="en-US" w:eastAsia="zh-CN"/>
              </w:rPr>
              <w:t>7个工作日内</w:t>
            </w:r>
            <w:r>
              <w:rPr>
                <w:rFonts w:hint="eastAsia" w:ascii="宋体" w:hAnsi="宋体" w:cs="宋体"/>
                <w:szCs w:val="21"/>
                <w:u w:val="none"/>
              </w:rPr>
              <w:t>支付至结算价款的100%。</w:t>
            </w:r>
          </w:p>
          <w:p w14:paraId="3B4ED2DD">
            <w:pPr>
              <w:spacing w:line="360" w:lineRule="auto"/>
              <w:ind w:firstLine="0" w:firstLineChars="0"/>
              <w:contextualSpacing w:val="0"/>
              <w:rPr>
                <w:rFonts w:ascii="Calibri" w:hAnsi="Calibri" w:eastAsia="宋体" w:cs="Times New Roman"/>
                <w:szCs w:val="21"/>
              </w:rPr>
            </w:pPr>
            <w:r>
              <w:rPr>
                <w:rFonts w:hint="eastAsia" w:ascii="Calibri" w:hAnsi="Calibri" w:eastAsia="宋体" w:cs="Times New Roman"/>
                <w:sz w:val="21"/>
                <w:szCs w:val="21"/>
              </w:rPr>
              <w:t>注：在签订合同时，</w:t>
            </w:r>
            <w:r>
              <w:rPr>
                <w:rFonts w:hint="eastAsia" w:ascii="宋体" w:hAnsi="宋体" w:cs="宋体"/>
                <w:szCs w:val="21"/>
                <w:u w:val="none"/>
                <w:lang w:eastAsia="zh-CN"/>
              </w:rPr>
              <w:t>成交供应商</w:t>
            </w:r>
            <w:r>
              <w:rPr>
                <w:rFonts w:hint="eastAsia" w:ascii="Calibri" w:hAnsi="Calibri" w:eastAsia="宋体" w:cs="Times New Roman"/>
                <w:sz w:val="21"/>
                <w:szCs w:val="21"/>
              </w:rPr>
              <w:t>明确表示无需预付款或者主动要求降低预付款比例的，采购合同可不适用前述规定。采购人在向</w:t>
            </w:r>
            <w:r>
              <w:rPr>
                <w:rFonts w:hint="eastAsia" w:ascii="Calibri" w:hAnsi="Calibri" w:eastAsia="宋体" w:cs="Times New Roman"/>
                <w:sz w:val="21"/>
                <w:szCs w:val="21"/>
                <w:lang w:eastAsia="zh-CN"/>
              </w:rPr>
              <w:t>成交</w:t>
            </w:r>
            <w:r>
              <w:rPr>
                <w:rFonts w:hint="eastAsia" w:ascii="Calibri" w:hAnsi="Calibri" w:eastAsia="宋体" w:cs="Times New Roman"/>
                <w:sz w:val="21"/>
                <w:szCs w:val="21"/>
              </w:rPr>
              <w:t>供应商支付预付款之前，有权要求</w:t>
            </w:r>
            <w:r>
              <w:rPr>
                <w:rFonts w:hint="eastAsia" w:ascii="Calibri" w:hAnsi="Calibri" w:eastAsia="宋体" w:cs="Times New Roman"/>
                <w:sz w:val="21"/>
                <w:szCs w:val="21"/>
                <w:lang w:eastAsia="zh-CN"/>
              </w:rPr>
              <w:t>成交</w:t>
            </w:r>
            <w:r>
              <w:rPr>
                <w:rFonts w:hint="eastAsia" w:ascii="Calibri" w:hAnsi="Calibri" w:eastAsia="宋体" w:cs="Times New Roman"/>
                <w:sz w:val="21"/>
                <w:szCs w:val="21"/>
              </w:rPr>
              <w:t>供应商向采购人提供与预付款金额相对应的担保措施，担保措施可以是银行、保险公司等金融机构出具的预付款保函或其他担保措施。</w:t>
            </w:r>
          </w:p>
        </w:tc>
        <w:tc>
          <w:tcPr>
            <w:tcW w:w="926" w:type="dxa"/>
            <w:tcBorders>
              <w:top w:val="single" w:color="auto" w:sz="4" w:space="0"/>
              <w:left w:val="single" w:color="auto" w:sz="4" w:space="0"/>
              <w:bottom w:val="single" w:color="auto" w:sz="4" w:space="0"/>
              <w:right w:val="single" w:color="auto" w:sz="4" w:space="0"/>
            </w:tcBorders>
            <w:vAlign w:val="center"/>
          </w:tcPr>
          <w:p w14:paraId="03093392">
            <w:pPr>
              <w:autoSpaceDN w:val="0"/>
              <w:adjustRightInd w:val="0"/>
              <w:snapToGrid w:val="0"/>
              <w:spacing w:line="400" w:lineRule="exact"/>
              <w:jc w:val="center"/>
              <w:rPr>
                <w:rFonts w:hint="eastAsia" w:ascii="宋体" w:hAnsi="宋体" w:eastAsia="宋体" w:cs="宋体"/>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130C1E5D">
            <w:pPr>
              <w:autoSpaceDN w:val="0"/>
              <w:adjustRightInd w:val="0"/>
              <w:snapToGrid w:val="0"/>
              <w:spacing w:line="400" w:lineRule="exact"/>
              <w:jc w:val="center"/>
              <w:rPr>
                <w:rFonts w:hint="eastAsia" w:ascii="宋体" w:hAnsi="宋体" w:eastAsia="宋体" w:cs="宋体"/>
                <w:szCs w:val="21"/>
              </w:rPr>
            </w:pPr>
          </w:p>
        </w:tc>
      </w:tr>
      <w:tr w14:paraId="3776DD9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34966A5D">
            <w:pPr>
              <w:spacing w:line="360" w:lineRule="exact"/>
              <w:contextualSpacing/>
              <w:jc w:val="center"/>
            </w:pPr>
            <w:r>
              <w:rPr>
                <w:rFonts w:hint="eastAsia"/>
              </w:rPr>
              <w:t>5</w:t>
            </w:r>
          </w:p>
        </w:tc>
        <w:tc>
          <w:tcPr>
            <w:tcW w:w="6728" w:type="dxa"/>
            <w:tcBorders>
              <w:top w:val="single" w:color="auto" w:sz="4" w:space="0"/>
              <w:left w:val="single" w:color="auto" w:sz="4" w:space="0"/>
              <w:bottom w:val="single" w:color="auto" w:sz="4" w:space="0"/>
              <w:right w:val="single" w:color="auto" w:sz="4" w:space="0"/>
            </w:tcBorders>
            <w:vAlign w:val="center"/>
          </w:tcPr>
          <w:p w14:paraId="4760E3BE">
            <w:pPr>
              <w:spacing w:line="440" w:lineRule="exact"/>
              <w:contextualSpacing/>
              <w:rPr>
                <w:rFonts w:ascii="Calibri" w:hAnsi="Calibri" w:eastAsia="宋体" w:cs="宋体"/>
              </w:rPr>
            </w:pPr>
            <w:r>
              <w:rPr>
                <w:rFonts w:hint="eastAsia" w:ascii="Calibri" w:hAnsi="Calibri" w:eastAsia="宋体" w:cs="宋体"/>
              </w:rPr>
              <w:t>报价：</w:t>
            </w:r>
          </w:p>
          <w:p w14:paraId="5A564383">
            <w:pPr>
              <w:spacing w:line="440" w:lineRule="exact"/>
              <w:contextualSpacing/>
              <w:rPr>
                <w:rFonts w:ascii="Calibri" w:hAnsi="Calibri" w:eastAsia="宋体" w:cs="Times New Roman"/>
                <w:szCs w:val="21"/>
              </w:rPr>
            </w:pPr>
            <w:r>
              <w:rPr>
                <w:rFonts w:hint="eastAsia" w:ascii="宋体"/>
                <w:bCs/>
                <w:color w:val="auto"/>
                <w:kern w:val="0"/>
                <w:sz w:val="24"/>
                <w:highlight w:val="none"/>
                <w:lang w:val="en-US" w:eastAsia="zh-CN"/>
              </w:rPr>
              <w:t>▲</w:t>
            </w:r>
            <w:r>
              <w:rPr>
                <w:rFonts w:hint="eastAsia" w:ascii="Calibri" w:hAnsi="Calibri" w:eastAsia="宋体" w:cs="Times New Roman"/>
                <w:szCs w:val="21"/>
              </w:rPr>
              <w:t>1、最高限价：本项目设置总价最高限价人民币</w:t>
            </w:r>
            <w:r>
              <w:rPr>
                <w:rFonts w:hint="eastAsia" w:ascii="Calibri" w:hAnsi="Calibri" w:eastAsia="宋体" w:cs="Times New Roman"/>
                <w:szCs w:val="21"/>
                <w:u w:val="single"/>
              </w:rPr>
              <w:t>（ 3890873  ）</w:t>
            </w:r>
            <w:r>
              <w:rPr>
                <w:rFonts w:hint="eastAsia" w:ascii="Calibri" w:hAnsi="Calibri" w:eastAsia="宋体" w:cs="Times New Roman"/>
                <w:szCs w:val="21"/>
              </w:rPr>
              <w:t>元整，供应商报价超过最高限价的，均作无效投标处理。</w:t>
            </w:r>
          </w:p>
          <w:p w14:paraId="48A6A4C6">
            <w:pPr>
              <w:autoSpaceDN w:val="0"/>
              <w:snapToGrid w:val="0"/>
              <w:spacing w:line="440" w:lineRule="exact"/>
              <w:rPr>
                <w:rFonts w:ascii="Calibri" w:hAnsi="Calibri" w:eastAsia="宋体" w:cs="Times New Roman"/>
                <w:szCs w:val="21"/>
              </w:rPr>
            </w:pPr>
            <w:r>
              <w:rPr>
                <w:rFonts w:hint="eastAsia" w:ascii="Calibri" w:hAnsi="Calibri" w:eastAsia="宋体" w:cs="Times New Roman"/>
                <w:szCs w:val="21"/>
              </w:rPr>
              <w:t>2、投标报价包含完成竞争性磋商文件所确定的招标范围内全部工作内容的价格表现。包括但不限于完成项目内容所需的一切人工费、材料费、机械费、措施费、管理费、利润、规费、税金、施工安全生产责任保险等政策性文件规定及合同明示或暗示的所有风险、责任、义务等各项应有的费用，具体内容详见具体详见采购人提供的工程量清单及编制说明。各投标供应商应根据采购人提供的全套施工图纸、工程量清单，以及本工程实际情况和自身的综合实力，竞报投标报价。</w:t>
            </w:r>
          </w:p>
          <w:p w14:paraId="38EC18EF">
            <w:pPr>
              <w:autoSpaceDN w:val="0"/>
              <w:snapToGrid w:val="0"/>
              <w:spacing w:line="440" w:lineRule="exact"/>
              <w:rPr>
                <w:rFonts w:ascii="Calibri" w:hAnsi="Calibri" w:eastAsia="宋体" w:cs="Times New Roman"/>
                <w:szCs w:val="21"/>
              </w:rPr>
            </w:pPr>
            <w:r>
              <w:rPr>
                <w:rFonts w:hint="eastAsia" w:ascii="Calibri" w:hAnsi="Calibri" w:eastAsia="宋体" w:cs="Times New Roman"/>
                <w:szCs w:val="21"/>
              </w:rPr>
              <w:t>3、本工程采用固定结算率方式结算【结算率：中标价/招标控制价*100%】。</w:t>
            </w:r>
          </w:p>
          <w:p w14:paraId="4BE10411">
            <w:pPr>
              <w:spacing w:line="400" w:lineRule="exact"/>
              <w:rPr>
                <w:rFonts w:hint="eastAsia" w:asciiTheme="minorEastAsia" w:hAnsiTheme="minorEastAsia"/>
                <w:bCs/>
                <w:kern w:val="0"/>
                <w:szCs w:val="21"/>
              </w:rPr>
            </w:pPr>
            <w:r>
              <w:rPr>
                <w:rFonts w:hint="eastAsia" w:ascii="Calibri" w:hAnsi="Calibri" w:eastAsia="宋体" w:cs="Times New Roman"/>
                <w:szCs w:val="21"/>
              </w:rPr>
              <w:t>4、</w:t>
            </w:r>
            <w:r>
              <w:rPr>
                <w:rFonts w:hint="eastAsia" w:asciiTheme="minorEastAsia" w:hAnsiTheme="minorEastAsia"/>
                <w:bCs/>
                <w:kern w:val="0"/>
                <w:szCs w:val="21"/>
              </w:rPr>
              <w:t>投标供应商自行踏勘现场，采购人按现场地交付，施工过程中用水、电由</w:t>
            </w:r>
            <w:r>
              <w:rPr>
                <w:rFonts w:hint="eastAsia" w:ascii="宋体" w:hAnsi="宋体" w:cs="宋体"/>
                <w:szCs w:val="21"/>
              </w:rPr>
              <w:t>投标供应商</w:t>
            </w:r>
            <w:r>
              <w:rPr>
                <w:rFonts w:hint="eastAsia" w:asciiTheme="minorEastAsia" w:hAnsiTheme="minorEastAsia"/>
                <w:bCs/>
                <w:kern w:val="0"/>
                <w:szCs w:val="21"/>
              </w:rPr>
              <w:t>自行协商解决，在报价时综合考虑，实际发生时不再另行计费。</w:t>
            </w:r>
          </w:p>
          <w:p w14:paraId="714C9B13">
            <w:pPr>
              <w:autoSpaceDN w:val="0"/>
              <w:snapToGrid w:val="0"/>
              <w:spacing w:line="440" w:lineRule="exact"/>
              <w:rPr>
                <w:szCs w:val="21"/>
              </w:rPr>
            </w:pPr>
            <w:r>
              <w:rPr>
                <w:rFonts w:hint="eastAsia" w:ascii="Calibri" w:hAnsi="Calibri" w:eastAsia="宋体" w:cs="Times New Roman"/>
                <w:szCs w:val="21"/>
              </w:rPr>
              <w:t>5、不论投标结果如何，供应商均应自行承担所有与投标有关的全部费用。</w:t>
            </w:r>
          </w:p>
        </w:tc>
        <w:tc>
          <w:tcPr>
            <w:tcW w:w="926" w:type="dxa"/>
            <w:tcBorders>
              <w:top w:val="single" w:color="auto" w:sz="4" w:space="0"/>
              <w:left w:val="single" w:color="auto" w:sz="4" w:space="0"/>
              <w:bottom w:val="single" w:color="auto" w:sz="4" w:space="0"/>
              <w:right w:val="single" w:color="auto" w:sz="4" w:space="0"/>
            </w:tcBorders>
            <w:vAlign w:val="center"/>
          </w:tcPr>
          <w:p w14:paraId="03621298">
            <w:pPr>
              <w:autoSpaceDN w:val="0"/>
              <w:adjustRightInd w:val="0"/>
              <w:snapToGrid w:val="0"/>
              <w:spacing w:line="400" w:lineRule="exact"/>
              <w:jc w:val="center"/>
              <w:rPr>
                <w:rFonts w:hint="eastAsia" w:ascii="宋体" w:hAnsi="宋体" w:eastAsia="宋体" w:cs="宋体"/>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646FFE2D">
            <w:pPr>
              <w:autoSpaceDN w:val="0"/>
              <w:adjustRightInd w:val="0"/>
              <w:snapToGrid w:val="0"/>
              <w:spacing w:line="400" w:lineRule="exact"/>
              <w:jc w:val="center"/>
              <w:rPr>
                <w:rFonts w:hint="eastAsia" w:ascii="宋体" w:hAnsi="宋体" w:eastAsia="宋体" w:cs="宋体"/>
                <w:szCs w:val="21"/>
              </w:rPr>
            </w:pPr>
          </w:p>
        </w:tc>
      </w:tr>
      <w:tr w14:paraId="7300D0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661FAA24">
            <w:pPr>
              <w:spacing w:line="360" w:lineRule="exact"/>
              <w:contextualSpacing/>
              <w:jc w:val="center"/>
              <w:rPr>
                <w:rFonts w:ascii="Calibri" w:hAnsi="Calibri" w:eastAsia="宋体" w:cs="Times New Roman"/>
              </w:rPr>
            </w:pPr>
            <w:r>
              <w:rPr>
                <w:rFonts w:hint="eastAsia" w:eastAsia="宋体"/>
              </w:rPr>
              <w:t>6</w:t>
            </w:r>
          </w:p>
        </w:tc>
        <w:tc>
          <w:tcPr>
            <w:tcW w:w="6728" w:type="dxa"/>
            <w:tcBorders>
              <w:top w:val="single" w:color="auto" w:sz="4" w:space="0"/>
              <w:left w:val="single" w:color="auto" w:sz="4" w:space="0"/>
              <w:bottom w:val="single" w:color="auto" w:sz="4" w:space="0"/>
              <w:right w:val="single" w:color="auto" w:sz="4" w:space="0"/>
            </w:tcBorders>
            <w:vAlign w:val="center"/>
          </w:tcPr>
          <w:p w14:paraId="67CF216F">
            <w:pPr>
              <w:spacing w:line="440" w:lineRule="exact"/>
              <w:contextualSpacing/>
              <w:rPr>
                <w:rFonts w:ascii="Calibri" w:hAnsi="Calibri" w:eastAsia="宋体" w:cs="Times New Roman"/>
                <w:szCs w:val="21"/>
              </w:rPr>
            </w:pPr>
            <w:r>
              <w:rPr>
                <w:rFonts w:hint="eastAsia" w:ascii="宋体"/>
                <w:bCs/>
                <w:color w:val="auto"/>
                <w:kern w:val="0"/>
                <w:sz w:val="24"/>
                <w:highlight w:val="none"/>
                <w:lang w:val="en-US" w:eastAsia="zh-CN"/>
              </w:rPr>
              <w:t>▲</w:t>
            </w:r>
            <w:r>
              <w:rPr>
                <w:rFonts w:hint="eastAsia" w:ascii="Calibri" w:hAnsi="Calibri" w:eastAsia="宋体" w:cs="Times New Roman"/>
                <w:szCs w:val="21"/>
              </w:rPr>
              <w:t>转包与分包：不允许。</w:t>
            </w:r>
          </w:p>
        </w:tc>
        <w:tc>
          <w:tcPr>
            <w:tcW w:w="926" w:type="dxa"/>
            <w:tcBorders>
              <w:top w:val="single" w:color="auto" w:sz="4" w:space="0"/>
              <w:left w:val="single" w:color="auto" w:sz="4" w:space="0"/>
              <w:bottom w:val="single" w:color="auto" w:sz="4" w:space="0"/>
              <w:right w:val="single" w:color="auto" w:sz="4" w:space="0"/>
            </w:tcBorders>
            <w:vAlign w:val="center"/>
          </w:tcPr>
          <w:p w14:paraId="104290EB">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1122" w:type="dxa"/>
            <w:tcBorders>
              <w:top w:val="single" w:color="auto" w:sz="4" w:space="0"/>
              <w:left w:val="single" w:color="auto" w:sz="4" w:space="0"/>
              <w:bottom w:val="single" w:color="auto" w:sz="4" w:space="0"/>
              <w:right w:val="single" w:color="auto" w:sz="4" w:space="0"/>
            </w:tcBorders>
            <w:vAlign w:val="center"/>
          </w:tcPr>
          <w:p w14:paraId="64BE48EE">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r>
      <w:tr w14:paraId="28E837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013FB9B4">
            <w:pPr>
              <w:spacing w:line="360" w:lineRule="exact"/>
              <w:contextualSpacing/>
              <w:jc w:val="center"/>
              <w:rPr>
                <w:rFonts w:ascii="Calibri" w:hAnsi="Calibri" w:eastAsia="宋体" w:cs="Times New Roman"/>
              </w:rPr>
            </w:pPr>
            <w:r>
              <w:rPr>
                <w:rFonts w:hint="eastAsia" w:eastAsia="宋体"/>
              </w:rPr>
              <w:t>7</w:t>
            </w:r>
          </w:p>
        </w:tc>
        <w:tc>
          <w:tcPr>
            <w:tcW w:w="6728" w:type="dxa"/>
            <w:tcBorders>
              <w:top w:val="single" w:color="auto" w:sz="4" w:space="0"/>
              <w:left w:val="single" w:color="auto" w:sz="4" w:space="0"/>
              <w:bottom w:val="single" w:color="auto" w:sz="4" w:space="0"/>
              <w:right w:val="single" w:color="auto" w:sz="4" w:space="0"/>
            </w:tcBorders>
            <w:vAlign w:val="center"/>
          </w:tcPr>
          <w:p w14:paraId="0893E4A4">
            <w:pPr>
              <w:autoSpaceDE w:val="0"/>
              <w:autoSpaceDN w:val="0"/>
              <w:adjustRightInd w:val="0"/>
              <w:spacing w:line="440" w:lineRule="exact"/>
              <w:contextualSpacing/>
              <w:rPr>
                <w:rFonts w:ascii="Calibri" w:hAnsi="Calibri" w:eastAsia="宋体" w:cs="Times New Roman"/>
                <w:szCs w:val="21"/>
                <w:lang w:val="zh-CN"/>
              </w:rPr>
            </w:pPr>
            <w:r>
              <w:rPr>
                <w:rFonts w:hint="eastAsia" w:ascii="Calibri" w:hAnsi="Calibri" w:eastAsia="宋体" w:cs="Times New Roman"/>
                <w:szCs w:val="21"/>
                <w:lang w:val="zh-CN"/>
              </w:rPr>
              <w:t>授予合同：</w:t>
            </w:r>
          </w:p>
          <w:p w14:paraId="37D4AC6E">
            <w:pPr>
              <w:autoSpaceDE w:val="0"/>
              <w:autoSpaceDN w:val="0"/>
              <w:adjustRightInd w:val="0"/>
              <w:spacing w:line="440" w:lineRule="exact"/>
              <w:contextualSpacing/>
              <w:rPr>
                <w:rFonts w:ascii="Calibri" w:hAnsi="Calibri" w:eastAsia="宋体" w:cs="Times New Roman"/>
                <w:szCs w:val="21"/>
                <w:lang w:val="zh-CN"/>
              </w:rPr>
            </w:pPr>
            <w:r>
              <w:rPr>
                <w:rFonts w:hint="eastAsia" w:ascii="Calibri" w:hAnsi="Calibri" w:eastAsia="宋体" w:cs="Times New Roman"/>
                <w:szCs w:val="21"/>
                <w:lang w:val="zh-CN"/>
              </w:rPr>
              <w:t>1、成交通知书发出之日起30天内，成交供应商应按照竞争性磋商文件的规定、成交供应商的磋商响应及成交通知书确定的金额签订合同。</w:t>
            </w:r>
          </w:p>
          <w:p w14:paraId="4CD3C31E">
            <w:pPr>
              <w:autoSpaceDE w:val="0"/>
              <w:autoSpaceDN w:val="0"/>
              <w:adjustRightInd w:val="0"/>
              <w:spacing w:line="440" w:lineRule="exact"/>
              <w:contextualSpacing/>
              <w:rPr>
                <w:rFonts w:ascii="Calibri" w:hAnsi="Calibri" w:eastAsia="宋体" w:cs="Times New Roman"/>
                <w:szCs w:val="21"/>
                <w:lang w:val="zh-CN"/>
              </w:rPr>
            </w:pPr>
            <w:r>
              <w:rPr>
                <w:rFonts w:hint="eastAsia" w:ascii="Calibri" w:hAnsi="Calibri" w:eastAsia="宋体" w:cs="Times New Roman"/>
                <w:szCs w:val="21"/>
                <w:lang w:val="zh-CN"/>
              </w:rPr>
              <w:t>2、成交供应商如不遵守竞争性磋商文件或磋商响应文件各项条款的邀约与要约，或在接到成交通知书后借故拖延，拒签合同的，采购人将按《浙江省政府采购供应商注册及诚信管理暂行办法》的规定上报诚信状况。给采购人造成的损失的还应当予以赔偿。</w:t>
            </w:r>
          </w:p>
        </w:tc>
        <w:tc>
          <w:tcPr>
            <w:tcW w:w="926" w:type="dxa"/>
            <w:tcBorders>
              <w:top w:val="single" w:color="auto" w:sz="4" w:space="0"/>
              <w:left w:val="single" w:color="auto" w:sz="4" w:space="0"/>
              <w:bottom w:val="single" w:color="auto" w:sz="4" w:space="0"/>
              <w:right w:val="single" w:color="auto" w:sz="4" w:space="0"/>
            </w:tcBorders>
            <w:vAlign w:val="center"/>
          </w:tcPr>
          <w:p w14:paraId="793692DB">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1122" w:type="dxa"/>
            <w:tcBorders>
              <w:top w:val="single" w:color="auto" w:sz="4" w:space="0"/>
              <w:left w:val="single" w:color="auto" w:sz="4" w:space="0"/>
              <w:bottom w:val="single" w:color="auto" w:sz="4" w:space="0"/>
              <w:right w:val="single" w:color="auto" w:sz="4" w:space="0"/>
            </w:tcBorders>
            <w:vAlign w:val="center"/>
          </w:tcPr>
          <w:p w14:paraId="3DACCAAD">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r>
    </w:tbl>
    <w:p w14:paraId="6F95A0C7">
      <w:pPr>
        <w:autoSpaceDN w:val="0"/>
        <w:adjustRightInd w:val="0"/>
        <w:snapToGrid w:val="0"/>
        <w:spacing w:line="440" w:lineRule="exact"/>
        <w:ind w:left="210"/>
        <w:rPr>
          <w:rFonts w:hint="eastAsia" w:ascii="宋体" w:hAnsi="宋体" w:eastAsia="宋体" w:cs="宋体"/>
        </w:rPr>
      </w:pPr>
      <w:r>
        <w:rPr>
          <w:rFonts w:hint="eastAsia" w:ascii="宋体" w:hAnsi="宋体" w:eastAsia="宋体" w:cs="宋体"/>
          <w:szCs w:val="21"/>
        </w:rPr>
        <w:t>注：须与商务条款逐项比较填写，如不填写，视同为完全响应且无偏离。</w:t>
      </w:r>
    </w:p>
    <w:p w14:paraId="5A45DA11">
      <w:pPr>
        <w:autoSpaceDN w:val="0"/>
        <w:adjustRightInd w:val="0"/>
        <w:snapToGrid w:val="0"/>
        <w:spacing w:line="440" w:lineRule="exact"/>
        <w:rPr>
          <w:rFonts w:hint="eastAsia" w:ascii="宋体" w:hAnsi="宋体" w:eastAsia="宋体" w:cs="宋体"/>
        </w:rPr>
      </w:pPr>
      <w:r>
        <w:rPr>
          <w:rFonts w:hint="eastAsia" w:ascii="宋体" w:hAnsi="宋体" w:eastAsia="宋体" w:cs="宋体"/>
          <w:szCs w:val="21"/>
        </w:rPr>
        <w:t> 供应商（盖章）：</w:t>
      </w:r>
    </w:p>
    <w:p w14:paraId="44CBAE0B">
      <w:pPr>
        <w:autoSpaceDN w:val="0"/>
        <w:snapToGrid w:val="0"/>
        <w:spacing w:line="440" w:lineRule="exact"/>
        <w:rPr>
          <w:rFonts w:hint="eastAsia" w:ascii="宋体" w:hAnsi="宋体" w:eastAsia="宋体" w:cs="宋体"/>
          <w:szCs w:val="21"/>
        </w:rPr>
      </w:pPr>
      <w:r>
        <w:rPr>
          <w:rFonts w:hint="eastAsia" w:ascii="宋体" w:hAnsi="宋体" w:eastAsia="宋体" w:cs="宋体"/>
          <w:szCs w:val="21"/>
        </w:rPr>
        <w:t>法定代表人或授权委托人签字或电子印章：</w:t>
      </w:r>
    </w:p>
    <w:p w14:paraId="54E0BD1A">
      <w:pPr>
        <w:autoSpaceDN w:val="0"/>
        <w:snapToGrid w:val="0"/>
        <w:spacing w:line="440" w:lineRule="exact"/>
        <w:rPr>
          <w:rFonts w:hint="eastAsia" w:ascii="宋体" w:hAnsi="宋体" w:eastAsia="宋体" w:cs="宋体"/>
        </w:rPr>
      </w:pPr>
      <w:r>
        <w:rPr>
          <w:rFonts w:hint="eastAsia" w:ascii="宋体" w:hAnsi="宋体" w:eastAsia="宋体" w:cs="宋体"/>
          <w:szCs w:val="21"/>
        </w:rPr>
        <w:t>日期：</w:t>
      </w:r>
    </w:p>
    <w:p w14:paraId="4CC377DE">
      <w:pPr>
        <w:autoSpaceDN w:val="0"/>
        <w:spacing w:line="440" w:lineRule="exact"/>
        <w:jc w:val="center"/>
        <w:rPr>
          <w:rFonts w:hint="eastAsia" w:ascii="宋体" w:hAnsi="宋体" w:eastAsia="宋体" w:cs="宋体"/>
        </w:rPr>
      </w:pPr>
      <w:r>
        <w:rPr>
          <w:rFonts w:hint="eastAsia" w:ascii="宋体" w:hAnsi="宋体" w:eastAsia="宋体" w:cs="宋体"/>
          <w:szCs w:val="21"/>
          <w:u w:val="single"/>
        </w:rPr>
        <w:br w:type="page"/>
      </w:r>
      <w:r>
        <w:rPr>
          <w:rFonts w:hint="eastAsia" w:ascii="宋体" w:hAnsi="宋体" w:eastAsia="宋体" w:cs="宋体"/>
          <w:b/>
          <w:spacing w:val="20"/>
          <w:szCs w:val="21"/>
        </w:rPr>
        <w:t>B6.用户需求书响应表</w:t>
      </w:r>
    </w:p>
    <w:p w14:paraId="01DA6F4C">
      <w:pPr>
        <w:autoSpaceDN w:val="0"/>
        <w:snapToGrid w:val="0"/>
        <w:spacing w:line="440" w:lineRule="exact"/>
        <w:rPr>
          <w:rFonts w:hint="eastAsia" w:ascii="宋体" w:hAnsi="宋体" w:eastAsia="宋体" w:cs="宋体"/>
        </w:rPr>
      </w:pPr>
      <w:r>
        <w:rPr>
          <w:rFonts w:hint="eastAsia" w:ascii="宋体" w:hAnsi="宋体" w:eastAsia="宋体" w:cs="宋体"/>
          <w:szCs w:val="21"/>
        </w:rPr>
        <w:t>项目编号：</w:t>
      </w:r>
      <w:r>
        <w:rPr>
          <w:rFonts w:hint="eastAsia" w:ascii="宋体" w:hAnsi="宋体" w:eastAsia="宋体" w:cs="宋体"/>
          <w:szCs w:val="21"/>
          <w:u w:val="single"/>
        </w:rPr>
        <w:t>ZGTZZB2025-0410</w:t>
      </w:r>
    </w:p>
    <w:p w14:paraId="33EC5C73">
      <w:pPr>
        <w:autoSpaceDN w:val="0"/>
        <w:snapToGrid w:val="0"/>
        <w:spacing w:line="440" w:lineRule="exact"/>
        <w:rPr>
          <w:rFonts w:hint="eastAsia" w:ascii="宋体" w:hAnsi="宋体" w:eastAsia="宋体" w:cs="宋体"/>
        </w:rPr>
      </w:pPr>
      <w:r>
        <w:rPr>
          <w:rFonts w:hint="eastAsia" w:ascii="宋体" w:hAnsi="宋体" w:eastAsia="宋体" w:cs="宋体"/>
          <w:szCs w:val="21"/>
        </w:rPr>
        <w:t>项目名称：</w:t>
      </w:r>
      <w:r>
        <w:rPr>
          <w:rFonts w:hint="eastAsia" w:ascii="宋体" w:hAnsi="宋体" w:eastAsia="宋体" w:cs="宋体"/>
          <w:szCs w:val="21"/>
          <w:u w:val="single"/>
        </w:rPr>
        <w:t xml:space="preserve">椒江区第五中学体育馆提升及室外配套工程 </w:t>
      </w:r>
    </w:p>
    <w:tbl>
      <w:tblPr>
        <w:tblStyle w:val="25"/>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18"/>
        <w:gridCol w:w="2824"/>
        <w:gridCol w:w="2835"/>
        <w:gridCol w:w="2369"/>
      </w:tblGrid>
      <w:tr w14:paraId="39E6F0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0DA37735">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5320E50C">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磋商要求</w:t>
            </w:r>
          </w:p>
        </w:tc>
        <w:tc>
          <w:tcPr>
            <w:tcW w:w="2835" w:type="dxa"/>
            <w:tcBorders>
              <w:top w:val="single" w:color="auto" w:sz="4" w:space="0"/>
              <w:left w:val="single" w:color="auto" w:sz="4" w:space="0"/>
              <w:bottom w:val="single" w:color="auto" w:sz="4" w:space="0"/>
              <w:right w:val="single" w:color="auto" w:sz="4" w:space="0"/>
            </w:tcBorders>
            <w:vAlign w:val="center"/>
          </w:tcPr>
          <w:p w14:paraId="2FFFF16D">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磋商响应</w:t>
            </w:r>
          </w:p>
        </w:tc>
        <w:tc>
          <w:tcPr>
            <w:tcW w:w="2369" w:type="dxa"/>
            <w:tcBorders>
              <w:top w:val="single" w:color="auto" w:sz="4" w:space="0"/>
              <w:left w:val="single" w:color="auto" w:sz="4" w:space="0"/>
              <w:bottom w:val="single" w:color="auto" w:sz="4" w:space="0"/>
              <w:right w:val="single" w:color="auto" w:sz="4" w:space="0"/>
            </w:tcBorders>
            <w:vAlign w:val="center"/>
          </w:tcPr>
          <w:p w14:paraId="08DDA3F0">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偏离说明</w:t>
            </w:r>
          </w:p>
        </w:tc>
      </w:tr>
      <w:tr w14:paraId="0F8A66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6BAAEE90">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2824" w:type="dxa"/>
            <w:tcBorders>
              <w:top w:val="single" w:color="auto" w:sz="4" w:space="0"/>
              <w:left w:val="single" w:color="auto" w:sz="4" w:space="0"/>
              <w:bottom w:val="single" w:color="auto" w:sz="4" w:space="0"/>
              <w:right w:val="single" w:color="auto" w:sz="4" w:space="0"/>
            </w:tcBorders>
            <w:vAlign w:val="center"/>
          </w:tcPr>
          <w:p w14:paraId="178EF77C">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2835" w:type="dxa"/>
            <w:tcBorders>
              <w:top w:val="single" w:color="auto" w:sz="4" w:space="0"/>
              <w:left w:val="single" w:color="auto" w:sz="4" w:space="0"/>
              <w:bottom w:val="single" w:color="auto" w:sz="4" w:space="0"/>
              <w:right w:val="single" w:color="auto" w:sz="4" w:space="0"/>
            </w:tcBorders>
            <w:vAlign w:val="center"/>
          </w:tcPr>
          <w:p w14:paraId="62B91C8C">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2369" w:type="dxa"/>
            <w:tcBorders>
              <w:top w:val="single" w:color="auto" w:sz="4" w:space="0"/>
              <w:left w:val="single" w:color="auto" w:sz="4" w:space="0"/>
              <w:bottom w:val="single" w:color="auto" w:sz="4" w:space="0"/>
              <w:right w:val="single" w:color="auto" w:sz="4" w:space="0"/>
            </w:tcBorders>
            <w:vAlign w:val="center"/>
          </w:tcPr>
          <w:p w14:paraId="72891227">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r>
      <w:tr w14:paraId="394845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4B8DA104">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2824" w:type="dxa"/>
            <w:tcBorders>
              <w:top w:val="single" w:color="auto" w:sz="4" w:space="0"/>
              <w:left w:val="single" w:color="auto" w:sz="4" w:space="0"/>
              <w:bottom w:val="single" w:color="auto" w:sz="4" w:space="0"/>
              <w:right w:val="single" w:color="auto" w:sz="4" w:space="0"/>
            </w:tcBorders>
            <w:vAlign w:val="center"/>
          </w:tcPr>
          <w:p w14:paraId="1366F637">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2835" w:type="dxa"/>
            <w:tcBorders>
              <w:top w:val="single" w:color="auto" w:sz="4" w:space="0"/>
              <w:left w:val="single" w:color="auto" w:sz="4" w:space="0"/>
              <w:bottom w:val="single" w:color="auto" w:sz="4" w:space="0"/>
              <w:right w:val="single" w:color="auto" w:sz="4" w:space="0"/>
            </w:tcBorders>
            <w:vAlign w:val="center"/>
          </w:tcPr>
          <w:p w14:paraId="700054B3">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2369" w:type="dxa"/>
            <w:tcBorders>
              <w:top w:val="single" w:color="auto" w:sz="4" w:space="0"/>
              <w:left w:val="single" w:color="auto" w:sz="4" w:space="0"/>
              <w:bottom w:val="single" w:color="auto" w:sz="4" w:space="0"/>
              <w:right w:val="single" w:color="auto" w:sz="4" w:space="0"/>
            </w:tcBorders>
            <w:vAlign w:val="center"/>
          </w:tcPr>
          <w:p w14:paraId="57BE441F">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r>
      <w:tr w14:paraId="204515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248F1F15">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2824" w:type="dxa"/>
            <w:tcBorders>
              <w:top w:val="single" w:color="auto" w:sz="4" w:space="0"/>
              <w:left w:val="single" w:color="auto" w:sz="4" w:space="0"/>
              <w:bottom w:val="single" w:color="auto" w:sz="4" w:space="0"/>
              <w:right w:val="single" w:color="auto" w:sz="4" w:space="0"/>
            </w:tcBorders>
            <w:vAlign w:val="center"/>
          </w:tcPr>
          <w:p w14:paraId="21A8240D">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2835" w:type="dxa"/>
            <w:tcBorders>
              <w:top w:val="single" w:color="auto" w:sz="4" w:space="0"/>
              <w:left w:val="single" w:color="auto" w:sz="4" w:space="0"/>
              <w:bottom w:val="single" w:color="auto" w:sz="4" w:space="0"/>
              <w:right w:val="single" w:color="auto" w:sz="4" w:space="0"/>
            </w:tcBorders>
            <w:vAlign w:val="center"/>
          </w:tcPr>
          <w:p w14:paraId="4A7BBBC6">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2369" w:type="dxa"/>
            <w:tcBorders>
              <w:top w:val="single" w:color="auto" w:sz="4" w:space="0"/>
              <w:left w:val="single" w:color="auto" w:sz="4" w:space="0"/>
              <w:bottom w:val="single" w:color="auto" w:sz="4" w:space="0"/>
              <w:right w:val="single" w:color="auto" w:sz="4" w:space="0"/>
            </w:tcBorders>
            <w:vAlign w:val="center"/>
          </w:tcPr>
          <w:p w14:paraId="07DF657D">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r>
      <w:tr w14:paraId="11555F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55B4ADB">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2824" w:type="dxa"/>
            <w:tcBorders>
              <w:top w:val="single" w:color="auto" w:sz="4" w:space="0"/>
              <w:left w:val="single" w:color="auto" w:sz="4" w:space="0"/>
              <w:bottom w:val="single" w:color="auto" w:sz="4" w:space="0"/>
              <w:right w:val="single" w:color="auto" w:sz="4" w:space="0"/>
            </w:tcBorders>
            <w:vAlign w:val="center"/>
          </w:tcPr>
          <w:p w14:paraId="6A538215">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2835" w:type="dxa"/>
            <w:tcBorders>
              <w:top w:val="single" w:color="auto" w:sz="4" w:space="0"/>
              <w:left w:val="single" w:color="auto" w:sz="4" w:space="0"/>
              <w:bottom w:val="single" w:color="auto" w:sz="4" w:space="0"/>
              <w:right w:val="single" w:color="auto" w:sz="4" w:space="0"/>
            </w:tcBorders>
            <w:vAlign w:val="center"/>
          </w:tcPr>
          <w:p w14:paraId="20B24742">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2369" w:type="dxa"/>
            <w:tcBorders>
              <w:top w:val="single" w:color="auto" w:sz="4" w:space="0"/>
              <w:left w:val="single" w:color="auto" w:sz="4" w:space="0"/>
              <w:bottom w:val="single" w:color="auto" w:sz="4" w:space="0"/>
              <w:right w:val="single" w:color="auto" w:sz="4" w:space="0"/>
            </w:tcBorders>
            <w:vAlign w:val="center"/>
          </w:tcPr>
          <w:p w14:paraId="72646A78">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r>
      <w:tr w14:paraId="7632ED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34FC055">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2824" w:type="dxa"/>
            <w:tcBorders>
              <w:top w:val="single" w:color="auto" w:sz="4" w:space="0"/>
              <w:left w:val="single" w:color="auto" w:sz="4" w:space="0"/>
              <w:bottom w:val="single" w:color="auto" w:sz="4" w:space="0"/>
              <w:right w:val="single" w:color="auto" w:sz="4" w:space="0"/>
            </w:tcBorders>
            <w:vAlign w:val="center"/>
          </w:tcPr>
          <w:p w14:paraId="75922D6E">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2835" w:type="dxa"/>
            <w:tcBorders>
              <w:top w:val="single" w:color="auto" w:sz="4" w:space="0"/>
              <w:left w:val="single" w:color="auto" w:sz="4" w:space="0"/>
              <w:bottom w:val="single" w:color="auto" w:sz="4" w:space="0"/>
              <w:right w:val="single" w:color="auto" w:sz="4" w:space="0"/>
            </w:tcBorders>
            <w:vAlign w:val="center"/>
          </w:tcPr>
          <w:p w14:paraId="03E5C9C7">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c>
          <w:tcPr>
            <w:tcW w:w="2369" w:type="dxa"/>
            <w:tcBorders>
              <w:top w:val="single" w:color="auto" w:sz="4" w:space="0"/>
              <w:left w:val="single" w:color="auto" w:sz="4" w:space="0"/>
              <w:bottom w:val="single" w:color="auto" w:sz="4" w:space="0"/>
              <w:right w:val="single" w:color="auto" w:sz="4" w:space="0"/>
            </w:tcBorders>
            <w:vAlign w:val="center"/>
          </w:tcPr>
          <w:p w14:paraId="217A91AA">
            <w:pPr>
              <w:autoSpaceDN w:val="0"/>
              <w:adjustRightInd w:val="0"/>
              <w:snapToGrid w:val="0"/>
              <w:spacing w:line="400" w:lineRule="exact"/>
              <w:jc w:val="center"/>
              <w:rPr>
                <w:rFonts w:hint="eastAsia" w:ascii="宋体" w:hAnsi="宋体" w:eastAsia="宋体" w:cs="宋体"/>
              </w:rPr>
            </w:pPr>
            <w:r>
              <w:rPr>
                <w:rFonts w:hint="eastAsia" w:ascii="宋体" w:hAnsi="宋体" w:eastAsia="宋体" w:cs="宋体"/>
                <w:szCs w:val="21"/>
              </w:rPr>
              <w:t> </w:t>
            </w:r>
          </w:p>
        </w:tc>
      </w:tr>
    </w:tbl>
    <w:p w14:paraId="1AC8007E">
      <w:pPr>
        <w:autoSpaceDN w:val="0"/>
        <w:adjustRightInd w:val="0"/>
        <w:snapToGrid w:val="0"/>
        <w:spacing w:line="440" w:lineRule="exact"/>
        <w:ind w:left="210"/>
        <w:rPr>
          <w:rFonts w:hint="eastAsia" w:ascii="宋体" w:hAnsi="宋体" w:eastAsia="宋体" w:cs="宋体"/>
        </w:rPr>
      </w:pPr>
      <w:r>
        <w:rPr>
          <w:rFonts w:hint="eastAsia" w:ascii="宋体" w:hAnsi="宋体" w:eastAsia="宋体" w:cs="宋体"/>
          <w:szCs w:val="21"/>
        </w:rPr>
        <w:t>注：须与第四章“用户需求书”逐项比较，如有偏离的，须在本表中列明，并提供详细的偏离说明。如供应商未在本表中列出偏离说明，即使其在磋商响应文件的其他部分说明与磋商文件要求有所不同或回避不答，亦视为完全符合磋商文件中所要求的最佳值并写入合同。若成交供应商在成交及合同签订前，以上述事项为借口而不履行合同签订手续及执行合同，则视作其放弃成交资格。</w:t>
      </w:r>
    </w:p>
    <w:p w14:paraId="05C7AC2E">
      <w:pPr>
        <w:autoSpaceDN w:val="0"/>
        <w:adjustRightInd w:val="0"/>
        <w:snapToGrid w:val="0"/>
        <w:spacing w:line="440" w:lineRule="exact"/>
        <w:rPr>
          <w:rFonts w:hint="eastAsia" w:ascii="宋体" w:hAnsi="宋体" w:eastAsia="宋体" w:cs="宋体"/>
        </w:rPr>
      </w:pPr>
      <w:r>
        <w:rPr>
          <w:rFonts w:hint="eastAsia" w:ascii="宋体" w:hAnsi="宋体" w:eastAsia="宋体" w:cs="宋体"/>
          <w:szCs w:val="21"/>
        </w:rPr>
        <w:t> </w:t>
      </w:r>
    </w:p>
    <w:p w14:paraId="58252259">
      <w:pPr>
        <w:autoSpaceDN w:val="0"/>
        <w:adjustRightInd w:val="0"/>
        <w:snapToGrid w:val="0"/>
        <w:spacing w:line="440" w:lineRule="exact"/>
        <w:rPr>
          <w:rFonts w:hint="eastAsia" w:ascii="宋体" w:hAnsi="宋体" w:eastAsia="宋体" w:cs="宋体"/>
        </w:rPr>
      </w:pPr>
      <w:r>
        <w:rPr>
          <w:rFonts w:hint="eastAsia" w:ascii="宋体" w:hAnsi="宋体" w:eastAsia="宋体" w:cs="宋体"/>
          <w:szCs w:val="21"/>
        </w:rPr>
        <w:t> </w:t>
      </w:r>
    </w:p>
    <w:p w14:paraId="23A38EAB">
      <w:pPr>
        <w:autoSpaceDN w:val="0"/>
        <w:adjustRightInd w:val="0"/>
        <w:snapToGrid w:val="0"/>
        <w:spacing w:line="440" w:lineRule="exact"/>
        <w:rPr>
          <w:rFonts w:hint="eastAsia" w:ascii="宋体" w:hAnsi="宋体" w:eastAsia="宋体" w:cs="宋体"/>
        </w:rPr>
      </w:pPr>
      <w:r>
        <w:rPr>
          <w:rFonts w:hint="eastAsia" w:ascii="宋体" w:hAnsi="宋体" w:eastAsia="宋体" w:cs="宋体"/>
          <w:szCs w:val="21"/>
        </w:rPr>
        <w:t> </w:t>
      </w:r>
    </w:p>
    <w:p w14:paraId="54A503E5">
      <w:pPr>
        <w:autoSpaceDN w:val="0"/>
        <w:spacing w:line="440" w:lineRule="exact"/>
        <w:jc w:val="left"/>
        <w:rPr>
          <w:rFonts w:hint="eastAsia" w:ascii="宋体" w:hAnsi="宋体" w:eastAsia="宋体" w:cs="宋体"/>
        </w:rPr>
      </w:pPr>
      <w:r>
        <w:rPr>
          <w:rFonts w:hint="eastAsia" w:ascii="宋体" w:hAnsi="宋体" w:eastAsia="宋体" w:cs="宋体"/>
          <w:szCs w:val="21"/>
        </w:rPr>
        <w:t>供应商（盖章）：</w:t>
      </w:r>
    </w:p>
    <w:p w14:paraId="599356DC">
      <w:pPr>
        <w:autoSpaceDN w:val="0"/>
        <w:snapToGrid w:val="0"/>
        <w:spacing w:line="440" w:lineRule="exact"/>
        <w:rPr>
          <w:rFonts w:hint="eastAsia" w:ascii="宋体" w:hAnsi="宋体" w:eastAsia="宋体" w:cs="宋体"/>
          <w:szCs w:val="21"/>
        </w:rPr>
      </w:pPr>
      <w:r>
        <w:rPr>
          <w:rFonts w:hint="eastAsia" w:ascii="宋体" w:hAnsi="宋体" w:eastAsia="宋体" w:cs="宋体"/>
          <w:szCs w:val="21"/>
        </w:rPr>
        <w:t>法定代表人或授权委托人签字或电子印章：</w:t>
      </w:r>
    </w:p>
    <w:p w14:paraId="04781AA1">
      <w:pPr>
        <w:autoSpaceDN w:val="0"/>
        <w:snapToGrid w:val="0"/>
        <w:spacing w:line="440" w:lineRule="exact"/>
        <w:rPr>
          <w:rFonts w:hint="eastAsia" w:ascii="宋体" w:hAnsi="宋体" w:eastAsia="宋体" w:cs="宋体"/>
        </w:rPr>
      </w:pPr>
      <w:r>
        <w:rPr>
          <w:rFonts w:hint="eastAsia" w:ascii="宋体" w:hAnsi="宋体" w:eastAsia="宋体" w:cs="宋体"/>
          <w:szCs w:val="21"/>
        </w:rPr>
        <w:t>日期：</w:t>
      </w:r>
    </w:p>
    <w:p w14:paraId="0EA24AC3">
      <w:pPr>
        <w:pageBreakBefore/>
        <w:autoSpaceDN w:val="0"/>
        <w:snapToGrid w:val="0"/>
        <w:spacing w:line="440" w:lineRule="exact"/>
        <w:rPr>
          <w:rFonts w:hint="eastAsia" w:ascii="宋体" w:hAnsi="宋体" w:eastAsia="宋体" w:cs="宋体"/>
        </w:rPr>
      </w:pPr>
      <w:r>
        <w:rPr>
          <w:rFonts w:hint="eastAsia" w:ascii="宋体" w:hAnsi="宋体" w:eastAsia="宋体" w:cs="宋体"/>
          <w:b/>
          <w:bCs/>
          <w:szCs w:val="21"/>
        </w:rPr>
        <w:t>B7.针对本项目拟定的人员配备情况</w:t>
      </w:r>
    </w:p>
    <w:tbl>
      <w:tblPr>
        <w:tblStyle w:val="25"/>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77"/>
        <w:gridCol w:w="1290"/>
        <w:gridCol w:w="770"/>
        <w:gridCol w:w="770"/>
        <w:gridCol w:w="770"/>
        <w:gridCol w:w="770"/>
        <w:gridCol w:w="1214"/>
        <w:gridCol w:w="1344"/>
        <w:gridCol w:w="1134"/>
      </w:tblGrid>
      <w:tr w14:paraId="521AB7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031ADE21">
            <w:pPr>
              <w:autoSpaceDN w:val="0"/>
              <w:spacing w:line="400" w:lineRule="exact"/>
              <w:jc w:val="center"/>
              <w:rPr>
                <w:rFonts w:hint="eastAsia" w:ascii="宋体" w:hAnsi="宋体" w:eastAsia="宋体" w:cs="宋体"/>
              </w:rPr>
            </w:pPr>
            <w:r>
              <w:rPr>
                <w:rFonts w:hint="eastAsia" w:ascii="宋体" w:hAnsi="宋体" w:eastAsia="宋体" w:cs="宋体"/>
                <w:b/>
                <w:bCs/>
                <w:szCs w:val="21"/>
              </w:rPr>
              <w:t>姓名</w:t>
            </w:r>
          </w:p>
        </w:tc>
        <w:tc>
          <w:tcPr>
            <w:tcW w:w="1290" w:type="dxa"/>
            <w:tcBorders>
              <w:top w:val="single" w:color="auto" w:sz="4" w:space="0"/>
              <w:left w:val="single" w:color="auto" w:sz="4" w:space="0"/>
              <w:bottom w:val="single" w:color="auto" w:sz="4" w:space="0"/>
              <w:right w:val="single" w:color="auto" w:sz="4" w:space="0"/>
            </w:tcBorders>
            <w:vAlign w:val="center"/>
          </w:tcPr>
          <w:p w14:paraId="38C84FD0">
            <w:pPr>
              <w:autoSpaceDN w:val="0"/>
              <w:spacing w:line="400" w:lineRule="exact"/>
              <w:jc w:val="center"/>
              <w:rPr>
                <w:rFonts w:hint="eastAsia" w:ascii="宋体" w:hAnsi="宋体" w:eastAsia="宋体" w:cs="宋体"/>
              </w:rPr>
            </w:pPr>
            <w:r>
              <w:rPr>
                <w:rFonts w:hint="eastAsia" w:ascii="宋体" w:hAnsi="宋体" w:eastAsia="宋体" w:cs="宋体"/>
                <w:b/>
                <w:bCs/>
                <w:szCs w:val="21"/>
              </w:rPr>
              <w:t>本项目拟任岗位</w:t>
            </w:r>
          </w:p>
        </w:tc>
        <w:tc>
          <w:tcPr>
            <w:tcW w:w="770" w:type="dxa"/>
            <w:tcBorders>
              <w:top w:val="single" w:color="auto" w:sz="4" w:space="0"/>
              <w:left w:val="single" w:color="auto" w:sz="4" w:space="0"/>
              <w:bottom w:val="single" w:color="auto" w:sz="4" w:space="0"/>
              <w:right w:val="single" w:color="auto" w:sz="4" w:space="0"/>
            </w:tcBorders>
            <w:vAlign w:val="center"/>
          </w:tcPr>
          <w:p w14:paraId="77AA9E67">
            <w:pPr>
              <w:autoSpaceDN w:val="0"/>
              <w:spacing w:line="400" w:lineRule="exact"/>
              <w:jc w:val="center"/>
              <w:rPr>
                <w:rFonts w:hint="eastAsia" w:ascii="宋体" w:hAnsi="宋体" w:eastAsia="宋体" w:cs="宋体"/>
              </w:rPr>
            </w:pPr>
            <w:r>
              <w:rPr>
                <w:rFonts w:hint="eastAsia" w:ascii="宋体" w:hAnsi="宋体" w:eastAsia="宋体" w:cs="宋体"/>
                <w:b/>
                <w:bCs/>
                <w:szCs w:val="21"/>
              </w:rPr>
              <w:t>性别</w:t>
            </w:r>
          </w:p>
        </w:tc>
        <w:tc>
          <w:tcPr>
            <w:tcW w:w="770" w:type="dxa"/>
            <w:tcBorders>
              <w:top w:val="single" w:color="auto" w:sz="4" w:space="0"/>
              <w:left w:val="single" w:color="auto" w:sz="4" w:space="0"/>
              <w:bottom w:val="single" w:color="auto" w:sz="4" w:space="0"/>
              <w:right w:val="single" w:color="auto" w:sz="4" w:space="0"/>
            </w:tcBorders>
            <w:vAlign w:val="center"/>
          </w:tcPr>
          <w:p w14:paraId="678BBCF7">
            <w:pPr>
              <w:autoSpaceDN w:val="0"/>
              <w:spacing w:line="400" w:lineRule="exact"/>
              <w:jc w:val="center"/>
              <w:rPr>
                <w:rFonts w:hint="eastAsia" w:ascii="宋体" w:hAnsi="宋体" w:eastAsia="宋体" w:cs="宋体"/>
              </w:rPr>
            </w:pPr>
            <w:r>
              <w:rPr>
                <w:rFonts w:hint="eastAsia" w:ascii="宋体" w:hAnsi="宋体" w:eastAsia="宋体" w:cs="宋体"/>
                <w:b/>
                <w:bCs/>
                <w:szCs w:val="21"/>
              </w:rPr>
              <w:t>年龄</w:t>
            </w:r>
          </w:p>
        </w:tc>
        <w:tc>
          <w:tcPr>
            <w:tcW w:w="770" w:type="dxa"/>
            <w:tcBorders>
              <w:top w:val="single" w:color="auto" w:sz="4" w:space="0"/>
              <w:left w:val="single" w:color="auto" w:sz="4" w:space="0"/>
              <w:bottom w:val="single" w:color="auto" w:sz="4" w:space="0"/>
              <w:right w:val="single" w:color="auto" w:sz="4" w:space="0"/>
            </w:tcBorders>
            <w:vAlign w:val="center"/>
          </w:tcPr>
          <w:p w14:paraId="76DD5121">
            <w:pPr>
              <w:autoSpaceDN w:val="0"/>
              <w:spacing w:line="400" w:lineRule="exact"/>
              <w:jc w:val="center"/>
              <w:rPr>
                <w:rFonts w:hint="eastAsia" w:ascii="宋体" w:hAnsi="宋体" w:eastAsia="宋体" w:cs="宋体"/>
              </w:rPr>
            </w:pPr>
            <w:r>
              <w:rPr>
                <w:rFonts w:hint="eastAsia" w:ascii="宋体" w:hAnsi="宋体" w:eastAsia="宋体" w:cs="宋体"/>
                <w:b/>
                <w:bCs/>
                <w:szCs w:val="21"/>
              </w:rPr>
              <w:t>学历</w:t>
            </w:r>
          </w:p>
        </w:tc>
        <w:tc>
          <w:tcPr>
            <w:tcW w:w="770" w:type="dxa"/>
            <w:tcBorders>
              <w:top w:val="single" w:color="auto" w:sz="4" w:space="0"/>
              <w:left w:val="single" w:color="auto" w:sz="4" w:space="0"/>
              <w:bottom w:val="single" w:color="auto" w:sz="4" w:space="0"/>
              <w:right w:val="single" w:color="auto" w:sz="4" w:space="0"/>
            </w:tcBorders>
            <w:vAlign w:val="center"/>
          </w:tcPr>
          <w:p w14:paraId="237E536E">
            <w:pPr>
              <w:autoSpaceDN w:val="0"/>
              <w:spacing w:line="400" w:lineRule="exact"/>
              <w:jc w:val="center"/>
              <w:rPr>
                <w:rFonts w:hint="eastAsia" w:ascii="宋体" w:hAnsi="宋体" w:eastAsia="宋体" w:cs="宋体"/>
              </w:rPr>
            </w:pPr>
            <w:r>
              <w:rPr>
                <w:rFonts w:hint="eastAsia" w:ascii="宋体" w:hAnsi="宋体" w:eastAsia="宋体" w:cs="宋体"/>
                <w:b/>
                <w:bCs/>
                <w:szCs w:val="21"/>
              </w:rPr>
              <w:t>专业</w:t>
            </w:r>
          </w:p>
        </w:tc>
        <w:tc>
          <w:tcPr>
            <w:tcW w:w="1214" w:type="dxa"/>
            <w:tcBorders>
              <w:top w:val="single" w:color="auto" w:sz="4" w:space="0"/>
              <w:left w:val="single" w:color="auto" w:sz="4" w:space="0"/>
              <w:bottom w:val="single" w:color="auto" w:sz="4" w:space="0"/>
              <w:right w:val="single" w:color="auto" w:sz="4" w:space="0"/>
            </w:tcBorders>
            <w:vAlign w:val="center"/>
          </w:tcPr>
          <w:p w14:paraId="405360ED">
            <w:pPr>
              <w:autoSpaceDN w:val="0"/>
              <w:spacing w:line="400" w:lineRule="exact"/>
              <w:jc w:val="center"/>
              <w:rPr>
                <w:rFonts w:hint="eastAsia" w:ascii="宋体" w:hAnsi="宋体" w:eastAsia="宋体" w:cs="宋体"/>
              </w:rPr>
            </w:pPr>
            <w:r>
              <w:rPr>
                <w:rFonts w:hint="eastAsia" w:ascii="宋体" w:hAnsi="宋体" w:eastAsia="宋体" w:cs="宋体"/>
                <w:b/>
                <w:bCs/>
                <w:szCs w:val="21"/>
              </w:rPr>
              <w:t>职务</w:t>
            </w:r>
          </w:p>
          <w:p w14:paraId="59BA4641">
            <w:pPr>
              <w:autoSpaceDN w:val="0"/>
              <w:spacing w:line="400" w:lineRule="exact"/>
              <w:jc w:val="center"/>
              <w:rPr>
                <w:rFonts w:hint="eastAsia" w:ascii="宋体" w:hAnsi="宋体" w:eastAsia="宋体" w:cs="宋体"/>
              </w:rPr>
            </w:pPr>
            <w:r>
              <w:rPr>
                <w:rFonts w:hint="eastAsia" w:ascii="宋体" w:hAnsi="宋体" w:eastAsia="宋体" w:cs="宋体"/>
                <w:b/>
                <w:bCs/>
                <w:szCs w:val="21"/>
              </w:rPr>
              <w:t>/职称</w:t>
            </w:r>
          </w:p>
        </w:tc>
        <w:tc>
          <w:tcPr>
            <w:tcW w:w="1344" w:type="dxa"/>
            <w:tcBorders>
              <w:top w:val="single" w:color="auto" w:sz="4" w:space="0"/>
              <w:left w:val="single" w:color="auto" w:sz="4" w:space="0"/>
              <w:bottom w:val="single" w:color="auto" w:sz="4" w:space="0"/>
              <w:right w:val="single" w:color="auto" w:sz="4" w:space="0"/>
            </w:tcBorders>
            <w:vAlign w:val="center"/>
          </w:tcPr>
          <w:p w14:paraId="5A260381">
            <w:pPr>
              <w:autoSpaceDN w:val="0"/>
              <w:spacing w:line="400" w:lineRule="exact"/>
              <w:jc w:val="center"/>
              <w:rPr>
                <w:rFonts w:hint="eastAsia" w:ascii="宋体" w:hAnsi="宋体" w:eastAsia="宋体" w:cs="宋体"/>
              </w:rPr>
            </w:pPr>
            <w:r>
              <w:rPr>
                <w:rFonts w:hint="eastAsia" w:ascii="宋体" w:hAnsi="宋体" w:eastAsia="宋体" w:cs="宋体"/>
                <w:b/>
                <w:bCs/>
                <w:szCs w:val="21"/>
              </w:rPr>
              <w:t>工作年限</w:t>
            </w:r>
          </w:p>
        </w:tc>
        <w:tc>
          <w:tcPr>
            <w:tcW w:w="1134" w:type="dxa"/>
            <w:tcBorders>
              <w:top w:val="single" w:color="auto" w:sz="4" w:space="0"/>
              <w:left w:val="single" w:color="auto" w:sz="4" w:space="0"/>
              <w:bottom w:val="single" w:color="auto" w:sz="4" w:space="0"/>
              <w:right w:val="single" w:color="auto" w:sz="4" w:space="0"/>
            </w:tcBorders>
            <w:vAlign w:val="center"/>
          </w:tcPr>
          <w:p w14:paraId="7F61482C">
            <w:pPr>
              <w:autoSpaceDN w:val="0"/>
              <w:spacing w:line="400" w:lineRule="exact"/>
              <w:jc w:val="center"/>
              <w:rPr>
                <w:rFonts w:hint="eastAsia" w:ascii="宋体" w:hAnsi="宋体" w:eastAsia="宋体" w:cs="宋体"/>
              </w:rPr>
            </w:pPr>
            <w:r>
              <w:rPr>
                <w:rFonts w:hint="eastAsia" w:ascii="宋体" w:hAnsi="宋体" w:eastAsia="宋体" w:cs="宋体"/>
                <w:b/>
                <w:bCs/>
                <w:szCs w:val="21"/>
              </w:rPr>
              <w:t>备注</w:t>
            </w:r>
          </w:p>
        </w:tc>
      </w:tr>
      <w:tr w14:paraId="4634F4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6609D1AB">
            <w:pPr>
              <w:autoSpaceDN w:val="0"/>
              <w:spacing w:line="400" w:lineRule="exact"/>
              <w:jc w:val="center"/>
              <w:rPr>
                <w:rFonts w:hint="eastAsia" w:ascii="宋体" w:hAnsi="宋体" w:eastAsia="宋体" w:cs="宋体"/>
                <w:bCs/>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21BD6EAE">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7B4BCFB7">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266C9CC3">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2FC6B34B">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74D8FE8A">
            <w:pPr>
              <w:autoSpaceDN w:val="0"/>
              <w:spacing w:line="400" w:lineRule="exact"/>
              <w:jc w:val="center"/>
              <w:rPr>
                <w:rFonts w:hint="eastAsia" w:ascii="宋体" w:hAnsi="宋体" w:eastAsia="宋体" w:cs="宋体"/>
                <w:bCs/>
                <w:szCs w:val="21"/>
              </w:rPr>
            </w:pPr>
          </w:p>
        </w:tc>
        <w:tc>
          <w:tcPr>
            <w:tcW w:w="1214" w:type="dxa"/>
            <w:tcBorders>
              <w:top w:val="single" w:color="auto" w:sz="4" w:space="0"/>
              <w:left w:val="single" w:color="auto" w:sz="4" w:space="0"/>
              <w:bottom w:val="single" w:color="auto" w:sz="4" w:space="0"/>
              <w:right w:val="single" w:color="auto" w:sz="4" w:space="0"/>
            </w:tcBorders>
            <w:vAlign w:val="center"/>
          </w:tcPr>
          <w:p w14:paraId="43A9DA1C">
            <w:pPr>
              <w:autoSpaceDN w:val="0"/>
              <w:spacing w:line="400" w:lineRule="exact"/>
              <w:jc w:val="center"/>
              <w:rPr>
                <w:rFonts w:hint="eastAsia" w:ascii="宋体" w:hAnsi="宋体" w:eastAsia="宋体" w:cs="宋体"/>
                <w:bCs/>
                <w:szCs w:val="21"/>
              </w:rPr>
            </w:pPr>
          </w:p>
        </w:tc>
        <w:tc>
          <w:tcPr>
            <w:tcW w:w="1344" w:type="dxa"/>
            <w:tcBorders>
              <w:top w:val="single" w:color="auto" w:sz="4" w:space="0"/>
              <w:left w:val="single" w:color="auto" w:sz="4" w:space="0"/>
              <w:bottom w:val="single" w:color="auto" w:sz="4" w:space="0"/>
              <w:right w:val="single" w:color="auto" w:sz="4" w:space="0"/>
            </w:tcBorders>
          </w:tcPr>
          <w:p w14:paraId="66214640">
            <w:pPr>
              <w:autoSpaceDN w:val="0"/>
              <w:spacing w:line="400" w:lineRule="exact"/>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590FC8A">
            <w:pPr>
              <w:autoSpaceDN w:val="0"/>
              <w:spacing w:line="400" w:lineRule="exact"/>
              <w:jc w:val="center"/>
              <w:rPr>
                <w:rFonts w:hint="eastAsia" w:ascii="宋体" w:hAnsi="宋体" w:eastAsia="宋体" w:cs="宋体"/>
                <w:szCs w:val="21"/>
              </w:rPr>
            </w:pPr>
          </w:p>
        </w:tc>
      </w:tr>
      <w:tr w14:paraId="433A19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78893FF6">
            <w:pPr>
              <w:autoSpaceDN w:val="0"/>
              <w:spacing w:line="400" w:lineRule="exact"/>
              <w:jc w:val="center"/>
              <w:rPr>
                <w:rFonts w:hint="eastAsia" w:ascii="宋体" w:hAnsi="宋体" w:eastAsia="宋体" w:cs="宋体"/>
                <w:bCs/>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4467AEBD">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58A75190">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25F0F767">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284FE816">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1C875A47">
            <w:pPr>
              <w:autoSpaceDN w:val="0"/>
              <w:spacing w:line="400" w:lineRule="exact"/>
              <w:jc w:val="center"/>
              <w:rPr>
                <w:rFonts w:hint="eastAsia" w:ascii="宋体" w:hAnsi="宋体" w:eastAsia="宋体" w:cs="宋体"/>
                <w:bCs/>
                <w:szCs w:val="21"/>
              </w:rPr>
            </w:pPr>
          </w:p>
        </w:tc>
        <w:tc>
          <w:tcPr>
            <w:tcW w:w="1214" w:type="dxa"/>
            <w:tcBorders>
              <w:top w:val="single" w:color="auto" w:sz="4" w:space="0"/>
              <w:left w:val="single" w:color="auto" w:sz="4" w:space="0"/>
              <w:bottom w:val="single" w:color="auto" w:sz="4" w:space="0"/>
              <w:right w:val="single" w:color="auto" w:sz="4" w:space="0"/>
            </w:tcBorders>
            <w:vAlign w:val="center"/>
          </w:tcPr>
          <w:p w14:paraId="0F9F17CF">
            <w:pPr>
              <w:autoSpaceDN w:val="0"/>
              <w:spacing w:line="400" w:lineRule="exact"/>
              <w:jc w:val="center"/>
              <w:rPr>
                <w:rFonts w:hint="eastAsia" w:ascii="宋体" w:hAnsi="宋体" w:eastAsia="宋体" w:cs="宋体"/>
                <w:bCs/>
                <w:szCs w:val="21"/>
              </w:rPr>
            </w:pPr>
          </w:p>
        </w:tc>
        <w:tc>
          <w:tcPr>
            <w:tcW w:w="1344" w:type="dxa"/>
            <w:tcBorders>
              <w:top w:val="single" w:color="auto" w:sz="4" w:space="0"/>
              <w:left w:val="single" w:color="auto" w:sz="4" w:space="0"/>
              <w:bottom w:val="single" w:color="auto" w:sz="4" w:space="0"/>
              <w:right w:val="single" w:color="auto" w:sz="4" w:space="0"/>
            </w:tcBorders>
          </w:tcPr>
          <w:p w14:paraId="656114A6">
            <w:pPr>
              <w:autoSpaceDN w:val="0"/>
              <w:spacing w:line="400" w:lineRule="exact"/>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86203D6">
            <w:pPr>
              <w:autoSpaceDN w:val="0"/>
              <w:spacing w:line="400" w:lineRule="exact"/>
              <w:jc w:val="center"/>
              <w:rPr>
                <w:rFonts w:hint="eastAsia" w:ascii="宋体" w:hAnsi="宋体" w:eastAsia="宋体" w:cs="宋体"/>
                <w:szCs w:val="21"/>
              </w:rPr>
            </w:pPr>
          </w:p>
        </w:tc>
      </w:tr>
      <w:tr w14:paraId="088548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26E8D89E">
            <w:pPr>
              <w:autoSpaceDN w:val="0"/>
              <w:spacing w:line="400" w:lineRule="exact"/>
              <w:jc w:val="center"/>
              <w:rPr>
                <w:rFonts w:hint="eastAsia" w:ascii="宋体" w:hAnsi="宋体" w:eastAsia="宋体" w:cs="宋体"/>
                <w:bCs/>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4DCAE9BC">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7C759DF2">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47394626">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7B44F5BF">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1F948757">
            <w:pPr>
              <w:autoSpaceDN w:val="0"/>
              <w:spacing w:line="400" w:lineRule="exact"/>
              <w:jc w:val="center"/>
              <w:rPr>
                <w:rFonts w:hint="eastAsia" w:ascii="宋体" w:hAnsi="宋体" w:eastAsia="宋体" w:cs="宋体"/>
                <w:bCs/>
                <w:szCs w:val="21"/>
              </w:rPr>
            </w:pPr>
          </w:p>
        </w:tc>
        <w:tc>
          <w:tcPr>
            <w:tcW w:w="1214" w:type="dxa"/>
            <w:tcBorders>
              <w:top w:val="single" w:color="auto" w:sz="4" w:space="0"/>
              <w:left w:val="single" w:color="auto" w:sz="4" w:space="0"/>
              <w:bottom w:val="single" w:color="auto" w:sz="4" w:space="0"/>
              <w:right w:val="single" w:color="auto" w:sz="4" w:space="0"/>
            </w:tcBorders>
            <w:vAlign w:val="center"/>
          </w:tcPr>
          <w:p w14:paraId="2018DE43">
            <w:pPr>
              <w:autoSpaceDN w:val="0"/>
              <w:spacing w:line="400" w:lineRule="exact"/>
              <w:jc w:val="center"/>
              <w:rPr>
                <w:rFonts w:hint="eastAsia" w:ascii="宋体" w:hAnsi="宋体" w:eastAsia="宋体" w:cs="宋体"/>
                <w:bCs/>
                <w:szCs w:val="21"/>
              </w:rPr>
            </w:pPr>
          </w:p>
        </w:tc>
        <w:tc>
          <w:tcPr>
            <w:tcW w:w="1344" w:type="dxa"/>
            <w:tcBorders>
              <w:top w:val="single" w:color="auto" w:sz="4" w:space="0"/>
              <w:left w:val="single" w:color="auto" w:sz="4" w:space="0"/>
              <w:bottom w:val="single" w:color="auto" w:sz="4" w:space="0"/>
              <w:right w:val="single" w:color="auto" w:sz="4" w:space="0"/>
            </w:tcBorders>
          </w:tcPr>
          <w:p w14:paraId="75137904">
            <w:pPr>
              <w:autoSpaceDN w:val="0"/>
              <w:spacing w:line="400" w:lineRule="exact"/>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7169601">
            <w:pPr>
              <w:autoSpaceDN w:val="0"/>
              <w:spacing w:line="400" w:lineRule="exact"/>
              <w:jc w:val="center"/>
              <w:rPr>
                <w:rFonts w:hint="eastAsia" w:ascii="宋体" w:hAnsi="宋体" w:eastAsia="宋体" w:cs="宋体"/>
                <w:szCs w:val="21"/>
              </w:rPr>
            </w:pPr>
          </w:p>
        </w:tc>
      </w:tr>
      <w:tr w14:paraId="388B92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7C2BFFEF">
            <w:pPr>
              <w:autoSpaceDN w:val="0"/>
              <w:spacing w:line="400" w:lineRule="exact"/>
              <w:jc w:val="center"/>
              <w:rPr>
                <w:rFonts w:hint="eastAsia" w:ascii="宋体" w:hAnsi="宋体" w:eastAsia="宋体" w:cs="宋体"/>
                <w:bCs/>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3F0662A5">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7303204A">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59FABA9B">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02D5B2BD">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5B36BBC0">
            <w:pPr>
              <w:autoSpaceDN w:val="0"/>
              <w:spacing w:line="400" w:lineRule="exact"/>
              <w:jc w:val="center"/>
              <w:rPr>
                <w:rFonts w:hint="eastAsia" w:ascii="宋体" w:hAnsi="宋体" w:eastAsia="宋体" w:cs="宋体"/>
                <w:bCs/>
                <w:szCs w:val="21"/>
              </w:rPr>
            </w:pPr>
          </w:p>
        </w:tc>
        <w:tc>
          <w:tcPr>
            <w:tcW w:w="1214" w:type="dxa"/>
            <w:tcBorders>
              <w:top w:val="single" w:color="auto" w:sz="4" w:space="0"/>
              <w:left w:val="single" w:color="auto" w:sz="4" w:space="0"/>
              <w:bottom w:val="single" w:color="auto" w:sz="4" w:space="0"/>
              <w:right w:val="single" w:color="auto" w:sz="4" w:space="0"/>
            </w:tcBorders>
            <w:vAlign w:val="center"/>
          </w:tcPr>
          <w:p w14:paraId="5DCD8C58">
            <w:pPr>
              <w:autoSpaceDN w:val="0"/>
              <w:spacing w:line="400" w:lineRule="exact"/>
              <w:jc w:val="center"/>
              <w:rPr>
                <w:rFonts w:hint="eastAsia" w:ascii="宋体" w:hAnsi="宋体" w:eastAsia="宋体" w:cs="宋体"/>
                <w:bCs/>
                <w:szCs w:val="21"/>
              </w:rPr>
            </w:pPr>
          </w:p>
        </w:tc>
        <w:tc>
          <w:tcPr>
            <w:tcW w:w="1344" w:type="dxa"/>
            <w:tcBorders>
              <w:top w:val="single" w:color="auto" w:sz="4" w:space="0"/>
              <w:left w:val="single" w:color="auto" w:sz="4" w:space="0"/>
              <w:bottom w:val="single" w:color="auto" w:sz="4" w:space="0"/>
              <w:right w:val="single" w:color="auto" w:sz="4" w:space="0"/>
            </w:tcBorders>
          </w:tcPr>
          <w:p w14:paraId="318DE369">
            <w:pPr>
              <w:autoSpaceDN w:val="0"/>
              <w:spacing w:line="400" w:lineRule="exact"/>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B5A0C03">
            <w:pPr>
              <w:autoSpaceDN w:val="0"/>
              <w:spacing w:line="400" w:lineRule="exact"/>
              <w:jc w:val="center"/>
              <w:rPr>
                <w:rFonts w:hint="eastAsia" w:ascii="宋体" w:hAnsi="宋体" w:eastAsia="宋体" w:cs="宋体"/>
                <w:szCs w:val="21"/>
              </w:rPr>
            </w:pPr>
          </w:p>
        </w:tc>
      </w:tr>
      <w:tr w14:paraId="09A026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5D8F6A27">
            <w:pPr>
              <w:autoSpaceDN w:val="0"/>
              <w:spacing w:line="400" w:lineRule="exact"/>
              <w:jc w:val="center"/>
              <w:rPr>
                <w:rFonts w:hint="eastAsia" w:ascii="宋体" w:hAnsi="宋体" w:eastAsia="宋体" w:cs="宋体"/>
                <w:bCs/>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61E849E2">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27675CA3">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4359A485">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61094AD8">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3C893A14">
            <w:pPr>
              <w:autoSpaceDN w:val="0"/>
              <w:spacing w:line="400" w:lineRule="exact"/>
              <w:jc w:val="center"/>
              <w:rPr>
                <w:rFonts w:hint="eastAsia" w:ascii="宋体" w:hAnsi="宋体" w:eastAsia="宋体" w:cs="宋体"/>
                <w:bCs/>
                <w:szCs w:val="21"/>
              </w:rPr>
            </w:pPr>
          </w:p>
        </w:tc>
        <w:tc>
          <w:tcPr>
            <w:tcW w:w="1214" w:type="dxa"/>
            <w:tcBorders>
              <w:top w:val="single" w:color="auto" w:sz="4" w:space="0"/>
              <w:left w:val="single" w:color="auto" w:sz="4" w:space="0"/>
              <w:bottom w:val="single" w:color="auto" w:sz="4" w:space="0"/>
              <w:right w:val="single" w:color="auto" w:sz="4" w:space="0"/>
            </w:tcBorders>
            <w:vAlign w:val="center"/>
          </w:tcPr>
          <w:p w14:paraId="7785E389">
            <w:pPr>
              <w:autoSpaceDN w:val="0"/>
              <w:spacing w:line="400" w:lineRule="exact"/>
              <w:jc w:val="center"/>
              <w:rPr>
                <w:rFonts w:hint="eastAsia" w:ascii="宋体" w:hAnsi="宋体" w:eastAsia="宋体" w:cs="宋体"/>
                <w:bCs/>
                <w:szCs w:val="21"/>
              </w:rPr>
            </w:pPr>
          </w:p>
        </w:tc>
        <w:tc>
          <w:tcPr>
            <w:tcW w:w="1344" w:type="dxa"/>
            <w:tcBorders>
              <w:top w:val="single" w:color="auto" w:sz="4" w:space="0"/>
              <w:left w:val="single" w:color="auto" w:sz="4" w:space="0"/>
              <w:bottom w:val="single" w:color="auto" w:sz="4" w:space="0"/>
              <w:right w:val="single" w:color="auto" w:sz="4" w:space="0"/>
            </w:tcBorders>
          </w:tcPr>
          <w:p w14:paraId="6676E98A">
            <w:pPr>
              <w:autoSpaceDN w:val="0"/>
              <w:spacing w:line="400" w:lineRule="exact"/>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AEA4D30">
            <w:pPr>
              <w:autoSpaceDN w:val="0"/>
              <w:spacing w:line="400" w:lineRule="exact"/>
              <w:jc w:val="center"/>
              <w:rPr>
                <w:rFonts w:hint="eastAsia" w:ascii="宋体" w:hAnsi="宋体" w:eastAsia="宋体" w:cs="宋体"/>
                <w:szCs w:val="21"/>
              </w:rPr>
            </w:pPr>
          </w:p>
        </w:tc>
      </w:tr>
      <w:tr w14:paraId="778765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5FF28E5C">
            <w:pPr>
              <w:autoSpaceDN w:val="0"/>
              <w:spacing w:line="400" w:lineRule="exact"/>
              <w:jc w:val="center"/>
              <w:rPr>
                <w:rFonts w:hint="eastAsia" w:ascii="宋体" w:hAnsi="宋体" w:eastAsia="宋体" w:cs="宋体"/>
                <w:bCs/>
                <w:szCs w:val="21"/>
              </w:rPr>
            </w:pPr>
          </w:p>
        </w:tc>
        <w:tc>
          <w:tcPr>
            <w:tcW w:w="1290" w:type="dxa"/>
            <w:tcBorders>
              <w:top w:val="single" w:color="auto" w:sz="4" w:space="0"/>
              <w:left w:val="single" w:color="auto" w:sz="4" w:space="0"/>
              <w:bottom w:val="single" w:color="auto" w:sz="4" w:space="0"/>
              <w:right w:val="single" w:color="auto" w:sz="4" w:space="0"/>
            </w:tcBorders>
            <w:vAlign w:val="center"/>
          </w:tcPr>
          <w:p w14:paraId="774C5BA6">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4764F5A7">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0730D55F">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77765ED9">
            <w:pPr>
              <w:autoSpaceDN w:val="0"/>
              <w:spacing w:line="400" w:lineRule="exact"/>
              <w:jc w:val="center"/>
              <w:rPr>
                <w:rFonts w:hint="eastAsia" w:ascii="宋体" w:hAnsi="宋体" w:eastAsia="宋体" w:cs="宋体"/>
                <w:bCs/>
                <w:szCs w:val="21"/>
              </w:rPr>
            </w:pPr>
          </w:p>
        </w:tc>
        <w:tc>
          <w:tcPr>
            <w:tcW w:w="770" w:type="dxa"/>
            <w:tcBorders>
              <w:top w:val="single" w:color="auto" w:sz="4" w:space="0"/>
              <w:left w:val="single" w:color="auto" w:sz="4" w:space="0"/>
              <w:bottom w:val="single" w:color="auto" w:sz="4" w:space="0"/>
              <w:right w:val="single" w:color="auto" w:sz="4" w:space="0"/>
            </w:tcBorders>
            <w:vAlign w:val="center"/>
          </w:tcPr>
          <w:p w14:paraId="132193A9">
            <w:pPr>
              <w:autoSpaceDN w:val="0"/>
              <w:spacing w:line="400" w:lineRule="exact"/>
              <w:jc w:val="center"/>
              <w:rPr>
                <w:rFonts w:hint="eastAsia" w:ascii="宋体" w:hAnsi="宋体" w:eastAsia="宋体" w:cs="宋体"/>
                <w:bCs/>
                <w:szCs w:val="21"/>
              </w:rPr>
            </w:pPr>
          </w:p>
        </w:tc>
        <w:tc>
          <w:tcPr>
            <w:tcW w:w="1214" w:type="dxa"/>
            <w:tcBorders>
              <w:top w:val="single" w:color="auto" w:sz="4" w:space="0"/>
              <w:left w:val="single" w:color="auto" w:sz="4" w:space="0"/>
              <w:bottom w:val="single" w:color="auto" w:sz="4" w:space="0"/>
              <w:right w:val="single" w:color="auto" w:sz="4" w:space="0"/>
            </w:tcBorders>
            <w:vAlign w:val="center"/>
          </w:tcPr>
          <w:p w14:paraId="0A2A725F">
            <w:pPr>
              <w:autoSpaceDN w:val="0"/>
              <w:spacing w:line="400" w:lineRule="exact"/>
              <w:jc w:val="center"/>
              <w:rPr>
                <w:rFonts w:hint="eastAsia" w:ascii="宋体" w:hAnsi="宋体" w:eastAsia="宋体" w:cs="宋体"/>
                <w:bCs/>
                <w:szCs w:val="21"/>
              </w:rPr>
            </w:pPr>
          </w:p>
        </w:tc>
        <w:tc>
          <w:tcPr>
            <w:tcW w:w="1344" w:type="dxa"/>
            <w:tcBorders>
              <w:top w:val="single" w:color="auto" w:sz="4" w:space="0"/>
              <w:left w:val="single" w:color="auto" w:sz="4" w:space="0"/>
              <w:bottom w:val="single" w:color="auto" w:sz="4" w:space="0"/>
              <w:right w:val="single" w:color="auto" w:sz="4" w:space="0"/>
            </w:tcBorders>
          </w:tcPr>
          <w:p w14:paraId="19724DED">
            <w:pPr>
              <w:autoSpaceDN w:val="0"/>
              <w:spacing w:line="400" w:lineRule="exact"/>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1244567">
            <w:pPr>
              <w:autoSpaceDN w:val="0"/>
              <w:spacing w:line="400" w:lineRule="exact"/>
              <w:jc w:val="center"/>
              <w:rPr>
                <w:rFonts w:hint="eastAsia" w:ascii="宋体" w:hAnsi="宋体" w:eastAsia="宋体" w:cs="宋体"/>
                <w:szCs w:val="21"/>
              </w:rPr>
            </w:pPr>
          </w:p>
        </w:tc>
      </w:tr>
      <w:tr w14:paraId="6F7925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203F34E6">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290" w:type="dxa"/>
            <w:tcBorders>
              <w:top w:val="single" w:color="auto" w:sz="4" w:space="0"/>
              <w:left w:val="single" w:color="auto" w:sz="4" w:space="0"/>
              <w:bottom w:val="single" w:color="auto" w:sz="4" w:space="0"/>
              <w:right w:val="single" w:color="auto" w:sz="4" w:space="0"/>
            </w:tcBorders>
            <w:vAlign w:val="center"/>
          </w:tcPr>
          <w:p w14:paraId="33DD1EEB">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44F7DC29">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73C5F2F9">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0C0731BF">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0B0C2676">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214" w:type="dxa"/>
            <w:tcBorders>
              <w:top w:val="single" w:color="auto" w:sz="4" w:space="0"/>
              <w:left w:val="single" w:color="auto" w:sz="4" w:space="0"/>
              <w:bottom w:val="single" w:color="auto" w:sz="4" w:space="0"/>
              <w:right w:val="single" w:color="auto" w:sz="4" w:space="0"/>
            </w:tcBorders>
            <w:vAlign w:val="center"/>
          </w:tcPr>
          <w:p w14:paraId="6C2C2793">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344" w:type="dxa"/>
            <w:tcBorders>
              <w:top w:val="single" w:color="auto" w:sz="4" w:space="0"/>
              <w:left w:val="single" w:color="auto" w:sz="4" w:space="0"/>
              <w:bottom w:val="single" w:color="auto" w:sz="4" w:space="0"/>
              <w:right w:val="single" w:color="auto" w:sz="4" w:space="0"/>
            </w:tcBorders>
          </w:tcPr>
          <w:p w14:paraId="74F720C5">
            <w:pPr>
              <w:autoSpaceDN w:val="0"/>
              <w:spacing w:line="400" w:lineRule="exact"/>
              <w:jc w:val="center"/>
              <w:rPr>
                <w:rFonts w:hint="eastAsia" w:ascii="宋体" w:hAnsi="宋体" w:eastAsia="宋体" w:cs="宋体"/>
              </w:rPr>
            </w:pPr>
            <w:r>
              <w:rPr>
                <w:rFonts w:hint="eastAsia" w:ascii="宋体" w:hAnsi="宋体" w:eastAsia="宋体" w:cs="宋体"/>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14:paraId="47B114D6">
            <w:pPr>
              <w:autoSpaceDN w:val="0"/>
              <w:spacing w:line="400" w:lineRule="exact"/>
              <w:jc w:val="center"/>
              <w:rPr>
                <w:rFonts w:hint="eastAsia" w:ascii="宋体" w:hAnsi="宋体" w:eastAsia="宋体" w:cs="宋体"/>
              </w:rPr>
            </w:pPr>
            <w:r>
              <w:rPr>
                <w:rFonts w:hint="eastAsia" w:ascii="宋体" w:hAnsi="宋体" w:eastAsia="宋体" w:cs="宋体"/>
                <w:szCs w:val="21"/>
              </w:rPr>
              <w:t> </w:t>
            </w:r>
          </w:p>
        </w:tc>
      </w:tr>
      <w:tr w14:paraId="5C19A7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15A20A22">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290" w:type="dxa"/>
            <w:tcBorders>
              <w:top w:val="single" w:color="auto" w:sz="4" w:space="0"/>
              <w:left w:val="single" w:color="auto" w:sz="4" w:space="0"/>
              <w:bottom w:val="single" w:color="auto" w:sz="4" w:space="0"/>
              <w:right w:val="single" w:color="auto" w:sz="4" w:space="0"/>
            </w:tcBorders>
            <w:vAlign w:val="center"/>
          </w:tcPr>
          <w:p w14:paraId="046B7C84">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2A949657">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21585EE6">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563D687B">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0CDE291A">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214" w:type="dxa"/>
            <w:tcBorders>
              <w:top w:val="single" w:color="auto" w:sz="4" w:space="0"/>
              <w:left w:val="single" w:color="auto" w:sz="4" w:space="0"/>
              <w:bottom w:val="single" w:color="auto" w:sz="4" w:space="0"/>
              <w:right w:val="single" w:color="auto" w:sz="4" w:space="0"/>
            </w:tcBorders>
            <w:vAlign w:val="center"/>
          </w:tcPr>
          <w:p w14:paraId="41DB8BEF">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344" w:type="dxa"/>
            <w:tcBorders>
              <w:top w:val="single" w:color="auto" w:sz="4" w:space="0"/>
              <w:left w:val="single" w:color="auto" w:sz="4" w:space="0"/>
              <w:bottom w:val="single" w:color="auto" w:sz="4" w:space="0"/>
              <w:right w:val="single" w:color="auto" w:sz="4" w:space="0"/>
            </w:tcBorders>
          </w:tcPr>
          <w:p w14:paraId="1E94203A">
            <w:pPr>
              <w:autoSpaceDN w:val="0"/>
              <w:spacing w:line="400" w:lineRule="exact"/>
              <w:jc w:val="center"/>
              <w:rPr>
                <w:rFonts w:hint="eastAsia" w:ascii="宋体" w:hAnsi="宋体" w:eastAsia="宋体" w:cs="宋体"/>
              </w:rPr>
            </w:pPr>
            <w:r>
              <w:rPr>
                <w:rFonts w:hint="eastAsia" w:ascii="宋体" w:hAnsi="宋体" w:eastAsia="宋体" w:cs="宋体"/>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14:paraId="33A500BA">
            <w:pPr>
              <w:autoSpaceDN w:val="0"/>
              <w:spacing w:line="400" w:lineRule="exact"/>
              <w:jc w:val="center"/>
              <w:rPr>
                <w:rFonts w:hint="eastAsia" w:ascii="宋体" w:hAnsi="宋体" w:eastAsia="宋体" w:cs="宋体"/>
              </w:rPr>
            </w:pPr>
            <w:r>
              <w:rPr>
                <w:rFonts w:hint="eastAsia" w:ascii="宋体" w:hAnsi="宋体" w:eastAsia="宋体" w:cs="宋体"/>
                <w:szCs w:val="21"/>
              </w:rPr>
              <w:t> </w:t>
            </w:r>
          </w:p>
        </w:tc>
      </w:tr>
      <w:tr w14:paraId="56962C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5F2D625F">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290" w:type="dxa"/>
            <w:tcBorders>
              <w:top w:val="single" w:color="auto" w:sz="4" w:space="0"/>
              <w:left w:val="single" w:color="auto" w:sz="4" w:space="0"/>
              <w:bottom w:val="single" w:color="auto" w:sz="4" w:space="0"/>
              <w:right w:val="single" w:color="auto" w:sz="4" w:space="0"/>
            </w:tcBorders>
            <w:vAlign w:val="center"/>
          </w:tcPr>
          <w:p w14:paraId="6B23B7FE">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5456712D">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1340A663">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323BF20B">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40C14DD0">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214" w:type="dxa"/>
            <w:tcBorders>
              <w:top w:val="single" w:color="auto" w:sz="4" w:space="0"/>
              <w:left w:val="single" w:color="auto" w:sz="4" w:space="0"/>
              <w:bottom w:val="single" w:color="auto" w:sz="4" w:space="0"/>
              <w:right w:val="single" w:color="auto" w:sz="4" w:space="0"/>
            </w:tcBorders>
            <w:vAlign w:val="center"/>
          </w:tcPr>
          <w:p w14:paraId="52D2F8C8">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344" w:type="dxa"/>
            <w:tcBorders>
              <w:top w:val="single" w:color="auto" w:sz="4" w:space="0"/>
              <w:left w:val="single" w:color="auto" w:sz="4" w:space="0"/>
              <w:bottom w:val="single" w:color="auto" w:sz="4" w:space="0"/>
              <w:right w:val="single" w:color="auto" w:sz="4" w:space="0"/>
            </w:tcBorders>
          </w:tcPr>
          <w:p w14:paraId="029EF0CB">
            <w:pPr>
              <w:autoSpaceDN w:val="0"/>
              <w:spacing w:line="400" w:lineRule="exact"/>
              <w:jc w:val="center"/>
              <w:rPr>
                <w:rFonts w:hint="eastAsia" w:ascii="宋体" w:hAnsi="宋体" w:eastAsia="宋体" w:cs="宋体"/>
              </w:rPr>
            </w:pPr>
            <w:r>
              <w:rPr>
                <w:rFonts w:hint="eastAsia" w:ascii="宋体" w:hAnsi="宋体" w:eastAsia="宋体" w:cs="宋体"/>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14:paraId="268850F2">
            <w:pPr>
              <w:autoSpaceDN w:val="0"/>
              <w:spacing w:line="400" w:lineRule="exact"/>
              <w:jc w:val="center"/>
              <w:rPr>
                <w:rFonts w:hint="eastAsia" w:ascii="宋体" w:hAnsi="宋体" w:eastAsia="宋体" w:cs="宋体"/>
              </w:rPr>
            </w:pPr>
            <w:r>
              <w:rPr>
                <w:rFonts w:hint="eastAsia" w:ascii="宋体" w:hAnsi="宋体" w:eastAsia="宋体" w:cs="宋体"/>
                <w:szCs w:val="21"/>
              </w:rPr>
              <w:t> </w:t>
            </w:r>
          </w:p>
        </w:tc>
      </w:tr>
      <w:tr w14:paraId="54DD0D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5A32701D">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290" w:type="dxa"/>
            <w:tcBorders>
              <w:top w:val="single" w:color="auto" w:sz="4" w:space="0"/>
              <w:left w:val="single" w:color="auto" w:sz="4" w:space="0"/>
              <w:bottom w:val="single" w:color="auto" w:sz="4" w:space="0"/>
              <w:right w:val="single" w:color="auto" w:sz="4" w:space="0"/>
            </w:tcBorders>
            <w:vAlign w:val="center"/>
          </w:tcPr>
          <w:p w14:paraId="5C03FCAC">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20014128">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6B2D59DF">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45DD9EA5">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621C09AA">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214" w:type="dxa"/>
            <w:tcBorders>
              <w:top w:val="single" w:color="auto" w:sz="4" w:space="0"/>
              <w:left w:val="single" w:color="auto" w:sz="4" w:space="0"/>
              <w:bottom w:val="single" w:color="auto" w:sz="4" w:space="0"/>
              <w:right w:val="single" w:color="auto" w:sz="4" w:space="0"/>
            </w:tcBorders>
            <w:vAlign w:val="center"/>
          </w:tcPr>
          <w:p w14:paraId="68ABA3E9">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344" w:type="dxa"/>
            <w:tcBorders>
              <w:top w:val="single" w:color="auto" w:sz="4" w:space="0"/>
              <w:left w:val="single" w:color="auto" w:sz="4" w:space="0"/>
              <w:bottom w:val="single" w:color="auto" w:sz="4" w:space="0"/>
              <w:right w:val="single" w:color="auto" w:sz="4" w:space="0"/>
            </w:tcBorders>
          </w:tcPr>
          <w:p w14:paraId="1BBC03BA">
            <w:pPr>
              <w:autoSpaceDN w:val="0"/>
              <w:spacing w:line="400" w:lineRule="exact"/>
              <w:jc w:val="center"/>
              <w:rPr>
                <w:rFonts w:hint="eastAsia" w:ascii="宋体" w:hAnsi="宋体" w:eastAsia="宋体" w:cs="宋体"/>
              </w:rPr>
            </w:pPr>
            <w:r>
              <w:rPr>
                <w:rFonts w:hint="eastAsia" w:ascii="宋体" w:hAnsi="宋体" w:eastAsia="宋体" w:cs="宋体"/>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14:paraId="16E7C77F">
            <w:pPr>
              <w:autoSpaceDN w:val="0"/>
              <w:spacing w:line="400" w:lineRule="exact"/>
              <w:jc w:val="center"/>
              <w:rPr>
                <w:rFonts w:hint="eastAsia" w:ascii="宋体" w:hAnsi="宋体" w:eastAsia="宋体" w:cs="宋体"/>
              </w:rPr>
            </w:pPr>
            <w:r>
              <w:rPr>
                <w:rFonts w:hint="eastAsia" w:ascii="宋体" w:hAnsi="宋体" w:eastAsia="宋体" w:cs="宋体"/>
                <w:szCs w:val="21"/>
              </w:rPr>
              <w:t> </w:t>
            </w:r>
          </w:p>
        </w:tc>
      </w:tr>
      <w:tr w14:paraId="2AFE9F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3F507B54">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290" w:type="dxa"/>
            <w:tcBorders>
              <w:top w:val="single" w:color="auto" w:sz="4" w:space="0"/>
              <w:left w:val="single" w:color="auto" w:sz="4" w:space="0"/>
              <w:bottom w:val="single" w:color="auto" w:sz="4" w:space="0"/>
              <w:right w:val="single" w:color="auto" w:sz="4" w:space="0"/>
            </w:tcBorders>
            <w:vAlign w:val="center"/>
          </w:tcPr>
          <w:p w14:paraId="0D980D86">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1D4B9683">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77D9E858">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7DB3601E">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657B4B51">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214" w:type="dxa"/>
            <w:tcBorders>
              <w:top w:val="single" w:color="auto" w:sz="4" w:space="0"/>
              <w:left w:val="single" w:color="auto" w:sz="4" w:space="0"/>
              <w:bottom w:val="single" w:color="auto" w:sz="4" w:space="0"/>
              <w:right w:val="single" w:color="auto" w:sz="4" w:space="0"/>
            </w:tcBorders>
            <w:vAlign w:val="center"/>
          </w:tcPr>
          <w:p w14:paraId="46055C56">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344" w:type="dxa"/>
            <w:tcBorders>
              <w:top w:val="single" w:color="auto" w:sz="4" w:space="0"/>
              <w:left w:val="single" w:color="auto" w:sz="4" w:space="0"/>
              <w:bottom w:val="single" w:color="auto" w:sz="4" w:space="0"/>
              <w:right w:val="single" w:color="auto" w:sz="4" w:space="0"/>
            </w:tcBorders>
          </w:tcPr>
          <w:p w14:paraId="56B41706">
            <w:pPr>
              <w:autoSpaceDN w:val="0"/>
              <w:spacing w:line="400" w:lineRule="exact"/>
              <w:jc w:val="center"/>
              <w:rPr>
                <w:rFonts w:hint="eastAsia" w:ascii="宋体" w:hAnsi="宋体" w:eastAsia="宋体" w:cs="宋体"/>
              </w:rPr>
            </w:pPr>
            <w:r>
              <w:rPr>
                <w:rFonts w:hint="eastAsia" w:ascii="宋体" w:hAnsi="宋体" w:eastAsia="宋体" w:cs="宋体"/>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14:paraId="55E41B78">
            <w:pPr>
              <w:autoSpaceDN w:val="0"/>
              <w:spacing w:line="400" w:lineRule="exact"/>
              <w:jc w:val="center"/>
              <w:rPr>
                <w:rFonts w:hint="eastAsia" w:ascii="宋体" w:hAnsi="宋体" w:eastAsia="宋体" w:cs="宋体"/>
              </w:rPr>
            </w:pPr>
            <w:r>
              <w:rPr>
                <w:rFonts w:hint="eastAsia" w:ascii="宋体" w:hAnsi="宋体" w:eastAsia="宋体" w:cs="宋体"/>
                <w:szCs w:val="21"/>
              </w:rPr>
              <w:t> </w:t>
            </w:r>
          </w:p>
        </w:tc>
      </w:tr>
      <w:tr w14:paraId="0A6F32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0541F026">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290" w:type="dxa"/>
            <w:tcBorders>
              <w:top w:val="single" w:color="auto" w:sz="4" w:space="0"/>
              <w:left w:val="single" w:color="auto" w:sz="4" w:space="0"/>
              <w:bottom w:val="single" w:color="auto" w:sz="4" w:space="0"/>
              <w:right w:val="single" w:color="auto" w:sz="4" w:space="0"/>
            </w:tcBorders>
            <w:vAlign w:val="center"/>
          </w:tcPr>
          <w:p w14:paraId="4DA68BEA">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09526CFF">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3A2C3613">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4D233CA9">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770" w:type="dxa"/>
            <w:tcBorders>
              <w:top w:val="single" w:color="auto" w:sz="4" w:space="0"/>
              <w:left w:val="single" w:color="auto" w:sz="4" w:space="0"/>
              <w:bottom w:val="single" w:color="auto" w:sz="4" w:space="0"/>
              <w:right w:val="single" w:color="auto" w:sz="4" w:space="0"/>
            </w:tcBorders>
            <w:vAlign w:val="center"/>
          </w:tcPr>
          <w:p w14:paraId="5BDAFD5A">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214" w:type="dxa"/>
            <w:tcBorders>
              <w:top w:val="single" w:color="auto" w:sz="4" w:space="0"/>
              <w:left w:val="single" w:color="auto" w:sz="4" w:space="0"/>
              <w:bottom w:val="single" w:color="auto" w:sz="4" w:space="0"/>
              <w:right w:val="single" w:color="auto" w:sz="4" w:space="0"/>
            </w:tcBorders>
            <w:vAlign w:val="center"/>
          </w:tcPr>
          <w:p w14:paraId="7B365D5A">
            <w:pPr>
              <w:autoSpaceDN w:val="0"/>
              <w:spacing w:line="400" w:lineRule="exact"/>
              <w:jc w:val="center"/>
              <w:rPr>
                <w:rFonts w:hint="eastAsia" w:ascii="宋体" w:hAnsi="宋体" w:eastAsia="宋体" w:cs="宋体"/>
              </w:rPr>
            </w:pPr>
            <w:r>
              <w:rPr>
                <w:rFonts w:hint="eastAsia" w:ascii="宋体" w:hAnsi="宋体" w:eastAsia="宋体" w:cs="宋体"/>
                <w:bCs/>
                <w:szCs w:val="21"/>
              </w:rPr>
              <w:t> </w:t>
            </w:r>
          </w:p>
        </w:tc>
        <w:tc>
          <w:tcPr>
            <w:tcW w:w="1344" w:type="dxa"/>
            <w:tcBorders>
              <w:top w:val="single" w:color="auto" w:sz="4" w:space="0"/>
              <w:left w:val="single" w:color="auto" w:sz="4" w:space="0"/>
              <w:bottom w:val="single" w:color="auto" w:sz="4" w:space="0"/>
              <w:right w:val="single" w:color="auto" w:sz="4" w:space="0"/>
            </w:tcBorders>
          </w:tcPr>
          <w:p w14:paraId="6FA848F8">
            <w:pPr>
              <w:autoSpaceDN w:val="0"/>
              <w:spacing w:line="400" w:lineRule="exact"/>
              <w:jc w:val="center"/>
              <w:rPr>
                <w:rFonts w:hint="eastAsia" w:ascii="宋体" w:hAnsi="宋体" w:eastAsia="宋体" w:cs="宋体"/>
              </w:rPr>
            </w:pPr>
            <w:r>
              <w:rPr>
                <w:rFonts w:hint="eastAsia" w:ascii="宋体" w:hAnsi="宋体" w:eastAsia="宋体" w:cs="宋体"/>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14:paraId="260434ED">
            <w:pPr>
              <w:autoSpaceDN w:val="0"/>
              <w:spacing w:line="400" w:lineRule="exact"/>
              <w:jc w:val="center"/>
              <w:rPr>
                <w:rFonts w:hint="eastAsia" w:ascii="宋体" w:hAnsi="宋体" w:eastAsia="宋体" w:cs="宋体"/>
              </w:rPr>
            </w:pPr>
            <w:r>
              <w:rPr>
                <w:rFonts w:hint="eastAsia" w:ascii="宋体" w:hAnsi="宋体" w:eastAsia="宋体" w:cs="宋体"/>
                <w:szCs w:val="21"/>
              </w:rPr>
              <w:t> </w:t>
            </w:r>
          </w:p>
        </w:tc>
      </w:tr>
    </w:tbl>
    <w:p w14:paraId="66E00146">
      <w:pPr>
        <w:autoSpaceDN w:val="0"/>
        <w:snapToGrid w:val="0"/>
        <w:spacing w:line="440" w:lineRule="exact"/>
        <w:jc w:val="left"/>
        <w:rPr>
          <w:rFonts w:hint="eastAsia" w:ascii="宋体" w:hAnsi="宋体" w:eastAsia="宋体" w:cs="宋体"/>
          <w:b/>
          <w:bCs/>
          <w:szCs w:val="21"/>
        </w:rPr>
      </w:pPr>
      <w:r>
        <w:rPr>
          <w:rFonts w:hint="eastAsia" w:ascii="宋体" w:hAnsi="宋体" w:eastAsia="宋体" w:cs="宋体"/>
          <w:b/>
          <w:bCs/>
          <w:szCs w:val="21"/>
        </w:rPr>
        <w:t>注：</w:t>
      </w:r>
    </w:p>
    <w:p w14:paraId="3A9DD17E">
      <w:pPr>
        <w:autoSpaceDN w:val="0"/>
        <w:snapToGrid w:val="0"/>
        <w:spacing w:line="440" w:lineRule="exact"/>
        <w:jc w:val="left"/>
        <w:rPr>
          <w:rFonts w:hint="eastAsia" w:ascii="宋体" w:hAnsi="宋体" w:eastAsia="宋体" w:cs="宋体"/>
          <w:b/>
          <w:bCs/>
          <w:szCs w:val="21"/>
        </w:rPr>
      </w:pPr>
      <w:r>
        <w:rPr>
          <w:rFonts w:hint="eastAsia" w:ascii="宋体" w:hAnsi="宋体" w:eastAsia="宋体" w:cs="宋体"/>
          <w:b/>
          <w:bCs/>
          <w:szCs w:val="21"/>
        </w:rPr>
        <w:t>1.在填写时，如本表格不适合投标单位的实际情况，可根据本表格式自行划表填写。</w:t>
      </w:r>
    </w:p>
    <w:p w14:paraId="537A9A4D">
      <w:pPr>
        <w:autoSpaceDN w:val="0"/>
        <w:snapToGrid w:val="0"/>
        <w:spacing w:line="440" w:lineRule="exact"/>
        <w:jc w:val="left"/>
        <w:rPr>
          <w:rFonts w:hint="eastAsia" w:ascii="宋体" w:hAnsi="宋体" w:eastAsia="宋体" w:cs="宋体"/>
          <w:b/>
          <w:bCs/>
          <w:szCs w:val="21"/>
        </w:rPr>
      </w:pPr>
      <w:r>
        <w:rPr>
          <w:rFonts w:hint="eastAsia" w:ascii="宋体" w:hAnsi="宋体" w:eastAsia="宋体" w:cs="宋体"/>
          <w:b/>
          <w:bCs/>
          <w:szCs w:val="21"/>
        </w:rPr>
        <w:t>2.需按竞争性磋商文件需求、评分标准要求提供证书材料及其他相关证明材料。</w:t>
      </w:r>
    </w:p>
    <w:p w14:paraId="217E5969">
      <w:pPr>
        <w:autoSpaceDN w:val="0"/>
        <w:snapToGrid w:val="0"/>
        <w:spacing w:line="440" w:lineRule="exact"/>
        <w:jc w:val="left"/>
        <w:rPr>
          <w:rFonts w:hint="eastAsia" w:ascii="宋体" w:hAnsi="宋体" w:eastAsia="宋体" w:cs="宋体"/>
        </w:rPr>
      </w:pPr>
      <w:r>
        <w:rPr>
          <w:rFonts w:hint="eastAsia" w:ascii="宋体" w:hAnsi="宋体" w:eastAsia="宋体" w:cs="宋体"/>
          <w:b/>
          <w:bCs/>
          <w:szCs w:val="21"/>
        </w:rPr>
        <w:t> </w:t>
      </w:r>
    </w:p>
    <w:p w14:paraId="0738D808">
      <w:pPr>
        <w:autoSpaceDN w:val="0"/>
        <w:snapToGrid w:val="0"/>
        <w:spacing w:line="440" w:lineRule="exact"/>
        <w:jc w:val="left"/>
        <w:rPr>
          <w:rFonts w:hint="eastAsia" w:ascii="宋体" w:hAnsi="宋体" w:eastAsia="宋体" w:cs="宋体"/>
        </w:rPr>
      </w:pPr>
      <w:r>
        <w:rPr>
          <w:rFonts w:hint="eastAsia" w:ascii="宋体" w:hAnsi="宋体" w:eastAsia="宋体" w:cs="宋体"/>
          <w:b/>
          <w:bCs/>
          <w:szCs w:val="21"/>
        </w:rPr>
        <w:t> </w:t>
      </w:r>
    </w:p>
    <w:p w14:paraId="2AC457F1">
      <w:pPr>
        <w:autoSpaceDN w:val="0"/>
        <w:snapToGrid w:val="0"/>
        <w:spacing w:line="440" w:lineRule="exact"/>
        <w:jc w:val="left"/>
        <w:rPr>
          <w:rFonts w:hint="eastAsia" w:ascii="宋体" w:hAnsi="宋体" w:eastAsia="宋体" w:cs="宋体"/>
        </w:rPr>
      </w:pPr>
      <w:r>
        <w:rPr>
          <w:rFonts w:hint="eastAsia" w:ascii="宋体" w:hAnsi="宋体" w:eastAsia="宋体" w:cs="宋体"/>
          <w:b/>
          <w:bCs/>
          <w:szCs w:val="21"/>
        </w:rPr>
        <w:t> </w:t>
      </w:r>
    </w:p>
    <w:p w14:paraId="496E7265">
      <w:pPr>
        <w:autoSpaceDN w:val="0"/>
        <w:spacing w:line="440" w:lineRule="exact"/>
        <w:jc w:val="left"/>
        <w:rPr>
          <w:rFonts w:hint="eastAsia" w:ascii="宋体" w:hAnsi="宋体" w:eastAsia="宋体" w:cs="宋体"/>
        </w:rPr>
      </w:pPr>
      <w:r>
        <w:rPr>
          <w:rFonts w:hint="eastAsia" w:ascii="宋体" w:hAnsi="宋体" w:eastAsia="宋体" w:cs="宋体"/>
          <w:szCs w:val="21"/>
        </w:rPr>
        <w:t>供应商（盖章）：</w:t>
      </w:r>
    </w:p>
    <w:p w14:paraId="2D276F39">
      <w:pPr>
        <w:autoSpaceDN w:val="0"/>
        <w:snapToGrid w:val="0"/>
        <w:spacing w:line="440" w:lineRule="exact"/>
        <w:rPr>
          <w:rFonts w:hint="eastAsia" w:ascii="宋体" w:hAnsi="宋体" w:eastAsia="宋体" w:cs="宋体"/>
          <w:szCs w:val="21"/>
        </w:rPr>
      </w:pPr>
      <w:r>
        <w:rPr>
          <w:rFonts w:hint="eastAsia" w:ascii="宋体" w:hAnsi="宋体" w:eastAsia="宋体" w:cs="宋体"/>
          <w:szCs w:val="21"/>
        </w:rPr>
        <w:t>法定代表人或授权委托人签字或电子印章：</w:t>
      </w:r>
    </w:p>
    <w:p w14:paraId="5CE2B213">
      <w:pPr>
        <w:autoSpaceDN w:val="0"/>
        <w:snapToGrid w:val="0"/>
        <w:spacing w:line="440" w:lineRule="exact"/>
        <w:rPr>
          <w:rFonts w:hint="eastAsia" w:ascii="宋体" w:hAnsi="宋体" w:eastAsia="宋体" w:cs="宋体"/>
        </w:rPr>
      </w:pPr>
      <w:r>
        <w:rPr>
          <w:rFonts w:hint="eastAsia" w:ascii="宋体" w:hAnsi="宋体" w:eastAsia="宋体" w:cs="宋体"/>
          <w:szCs w:val="21"/>
        </w:rPr>
        <w:t>日期：</w:t>
      </w:r>
    </w:p>
    <w:p w14:paraId="7FD670F8">
      <w:pPr>
        <w:autoSpaceDN w:val="0"/>
        <w:snapToGrid w:val="0"/>
        <w:spacing w:line="440" w:lineRule="exact"/>
        <w:jc w:val="left"/>
        <w:rPr>
          <w:rFonts w:hint="eastAsia" w:ascii="宋体" w:hAnsi="宋体" w:eastAsia="宋体" w:cs="宋体"/>
        </w:rPr>
      </w:pPr>
      <w:r>
        <w:rPr>
          <w:rFonts w:hint="eastAsia" w:ascii="宋体" w:hAnsi="宋体" w:eastAsia="宋体" w:cs="宋体"/>
          <w:b/>
          <w:bCs/>
          <w:szCs w:val="21"/>
        </w:rPr>
        <w:t> </w:t>
      </w:r>
    </w:p>
    <w:p w14:paraId="46681531">
      <w:pPr>
        <w:pageBreakBefore/>
        <w:autoSpaceDN w:val="0"/>
        <w:snapToGrid w:val="0"/>
        <w:spacing w:line="440" w:lineRule="exact"/>
        <w:rPr>
          <w:rFonts w:hint="eastAsia" w:ascii="宋体" w:hAnsi="宋体" w:eastAsia="宋体" w:cs="宋体"/>
          <w:b/>
          <w:bCs/>
          <w:szCs w:val="21"/>
        </w:rPr>
      </w:pPr>
      <w:r>
        <w:rPr>
          <w:rFonts w:hint="eastAsia" w:ascii="宋体" w:hAnsi="宋体" w:eastAsia="宋体" w:cs="宋体"/>
          <w:b/>
          <w:bCs/>
          <w:szCs w:val="21"/>
        </w:rPr>
        <w:t>B</w:t>
      </w:r>
      <w:r>
        <w:rPr>
          <w:rFonts w:hint="eastAsia" w:ascii="宋体" w:hAnsi="宋体" w:eastAsia="宋体" w:cs="宋体"/>
          <w:b/>
          <w:bCs/>
          <w:szCs w:val="21"/>
          <w:lang w:val="en-US" w:eastAsia="zh-CN"/>
        </w:rPr>
        <w:t>8</w:t>
      </w:r>
      <w:r>
        <w:rPr>
          <w:rFonts w:hint="eastAsia" w:ascii="宋体" w:hAnsi="宋体" w:eastAsia="宋体" w:cs="宋体"/>
          <w:b/>
          <w:bCs/>
          <w:szCs w:val="21"/>
        </w:rPr>
        <w:t>.投标品牌匹配一览表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3537"/>
        <w:gridCol w:w="2008"/>
        <w:gridCol w:w="2233"/>
      </w:tblGrid>
      <w:tr w14:paraId="1DAD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2201C12F">
            <w:pPr>
              <w:spacing w:line="360" w:lineRule="auto"/>
              <w:rPr>
                <w:rFonts w:hint="eastAsia" w:ascii="宋体" w:hAnsi="宋体" w:cs="宋体"/>
                <w:b/>
                <w:bCs/>
                <w:color w:val="auto"/>
                <w:sz w:val="24"/>
              </w:rPr>
            </w:pPr>
            <w:r>
              <w:rPr>
                <w:rFonts w:hint="eastAsia" w:ascii="宋体" w:hAnsi="宋体" w:cs="宋体"/>
                <w:b/>
                <w:bCs/>
                <w:color w:val="auto"/>
                <w:sz w:val="24"/>
              </w:rPr>
              <w:t>序号</w:t>
            </w:r>
          </w:p>
        </w:tc>
        <w:tc>
          <w:tcPr>
            <w:tcW w:w="3537" w:type="dxa"/>
          </w:tcPr>
          <w:p w14:paraId="385CED62">
            <w:pPr>
              <w:spacing w:line="360" w:lineRule="auto"/>
              <w:jc w:val="center"/>
              <w:rPr>
                <w:rFonts w:hint="eastAsia" w:ascii="宋体" w:hAnsi="宋体" w:cs="宋体"/>
                <w:b/>
                <w:bCs/>
                <w:color w:val="auto"/>
                <w:sz w:val="24"/>
              </w:rPr>
            </w:pPr>
            <w:r>
              <w:rPr>
                <w:rFonts w:hint="eastAsia" w:ascii="宋体" w:hAnsi="宋体" w:cs="宋体"/>
                <w:b/>
                <w:bCs/>
                <w:color w:val="auto"/>
                <w:sz w:val="24"/>
              </w:rPr>
              <w:t>材料名称</w:t>
            </w:r>
          </w:p>
        </w:tc>
        <w:tc>
          <w:tcPr>
            <w:tcW w:w="2008" w:type="dxa"/>
          </w:tcPr>
          <w:p w14:paraId="600BA31D">
            <w:pPr>
              <w:spacing w:line="360" w:lineRule="auto"/>
              <w:jc w:val="center"/>
              <w:rPr>
                <w:rFonts w:hint="eastAsia" w:ascii="宋体" w:hAnsi="宋体" w:cs="宋体"/>
                <w:b/>
                <w:bCs/>
                <w:color w:val="auto"/>
                <w:sz w:val="24"/>
              </w:rPr>
            </w:pPr>
            <w:r>
              <w:rPr>
                <w:rFonts w:hint="eastAsia" w:ascii="宋体" w:hAnsi="宋体" w:cs="宋体"/>
                <w:b/>
                <w:bCs/>
                <w:color w:val="auto"/>
                <w:sz w:val="24"/>
                <w:lang w:eastAsia="zh-Hans"/>
              </w:rPr>
              <w:t>投标品牌</w:t>
            </w:r>
          </w:p>
        </w:tc>
        <w:tc>
          <w:tcPr>
            <w:tcW w:w="2233" w:type="dxa"/>
          </w:tcPr>
          <w:p w14:paraId="397D798F">
            <w:pPr>
              <w:spacing w:line="360" w:lineRule="auto"/>
              <w:jc w:val="center"/>
              <w:rPr>
                <w:rFonts w:hint="eastAsia" w:ascii="宋体" w:hAnsi="宋体" w:cs="宋体"/>
                <w:b/>
                <w:bCs/>
                <w:color w:val="auto"/>
                <w:sz w:val="24"/>
                <w:lang w:eastAsia="zh-Hans"/>
              </w:rPr>
            </w:pPr>
            <w:r>
              <w:rPr>
                <w:rFonts w:hint="eastAsia" w:ascii="宋体" w:hAnsi="宋体" w:cs="宋体"/>
                <w:b/>
                <w:bCs/>
                <w:color w:val="auto"/>
                <w:sz w:val="24"/>
              </w:rPr>
              <w:t>备选品牌或厂家</w:t>
            </w:r>
          </w:p>
        </w:tc>
      </w:tr>
      <w:tr w14:paraId="4712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1A2181A2">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3537" w:type="dxa"/>
            <w:vAlign w:val="center"/>
          </w:tcPr>
          <w:p w14:paraId="1276F647">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石膏板</w:t>
            </w:r>
          </w:p>
        </w:tc>
        <w:tc>
          <w:tcPr>
            <w:tcW w:w="2008" w:type="dxa"/>
            <w:vAlign w:val="center"/>
          </w:tcPr>
          <w:p w14:paraId="78D2ADC6">
            <w:pPr>
              <w:spacing w:line="240" w:lineRule="auto"/>
              <w:jc w:val="center"/>
              <w:rPr>
                <w:rFonts w:hint="eastAsia" w:ascii="宋体" w:hAnsi="宋体" w:cs="宋体"/>
                <w:color w:val="auto"/>
                <w:sz w:val="24"/>
              </w:rPr>
            </w:pPr>
          </w:p>
        </w:tc>
        <w:tc>
          <w:tcPr>
            <w:tcW w:w="2233" w:type="dxa"/>
          </w:tcPr>
          <w:p w14:paraId="456176AC">
            <w:pPr>
              <w:spacing w:line="360" w:lineRule="auto"/>
              <w:rPr>
                <w:rFonts w:hint="eastAsia" w:ascii="宋体" w:hAnsi="宋体" w:cs="宋体"/>
                <w:color w:val="auto"/>
                <w:sz w:val="24"/>
              </w:rPr>
            </w:pPr>
          </w:p>
        </w:tc>
      </w:tr>
      <w:tr w14:paraId="3756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29FE196A">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3537" w:type="dxa"/>
            <w:vAlign w:val="center"/>
          </w:tcPr>
          <w:p w14:paraId="1421C1EA">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阻燃板</w:t>
            </w:r>
          </w:p>
        </w:tc>
        <w:tc>
          <w:tcPr>
            <w:tcW w:w="2008" w:type="dxa"/>
            <w:vAlign w:val="center"/>
          </w:tcPr>
          <w:p w14:paraId="6E18EFA4">
            <w:pPr>
              <w:spacing w:line="240" w:lineRule="auto"/>
              <w:jc w:val="center"/>
              <w:rPr>
                <w:rFonts w:hint="eastAsia" w:ascii="宋体" w:hAnsi="宋体" w:cs="宋体"/>
                <w:color w:val="auto"/>
                <w:sz w:val="24"/>
              </w:rPr>
            </w:pPr>
          </w:p>
        </w:tc>
        <w:tc>
          <w:tcPr>
            <w:tcW w:w="2233" w:type="dxa"/>
          </w:tcPr>
          <w:p w14:paraId="4DAE6B47">
            <w:pPr>
              <w:spacing w:line="360" w:lineRule="auto"/>
              <w:rPr>
                <w:rFonts w:hint="eastAsia" w:ascii="宋体" w:hAnsi="宋体" w:cs="宋体"/>
                <w:color w:val="auto"/>
                <w:sz w:val="24"/>
              </w:rPr>
            </w:pPr>
          </w:p>
        </w:tc>
      </w:tr>
      <w:tr w14:paraId="5C88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05609938">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3537" w:type="dxa"/>
            <w:vAlign w:val="center"/>
          </w:tcPr>
          <w:p w14:paraId="65E2B390">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石膏基高性能纤维板</w:t>
            </w:r>
          </w:p>
        </w:tc>
        <w:tc>
          <w:tcPr>
            <w:tcW w:w="2008" w:type="dxa"/>
            <w:vAlign w:val="center"/>
          </w:tcPr>
          <w:p w14:paraId="450F7A52">
            <w:pPr>
              <w:spacing w:line="240" w:lineRule="auto"/>
              <w:jc w:val="center"/>
              <w:rPr>
                <w:rFonts w:hint="eastAsia" w:ascii="宋体" w:hAnsi="宋体" w:cs="宋体"/>
                <w:color w:val="auto"/>
                <w:sz w:val="24"/>
              </w:rPr>
            </w:pPr>
          </w:p>
        </w:tc>
        <w:tc>
          <w:tcPr>
            <w:tcW w:w="2233" w:type="dxa"/>
          </w:tcPr>
          <w:p w14:paraId="7DD481EA">
            <w:pPr>
              <w:spacing w:line="360" w:lineRule="auto"/>
              <w:rPr>
                <w:rFonts w:hint="eastAsia" w:ascii="宋体" w:hAnsi="宋体" w:cs="宋体"/>
                <w:color w:val="auto"/>
                <w:sz w:val="24"/>
              </w:rPr>
            </w:pPr>
          </w:p>
        </w:tc>
      </w:tr>
      <w:tr w14:paraId="6457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09B79B82">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3537" w:type="dxa"/>
            <w:vAlign w:val="center"/>
          </w:tcPr>
          <w:p w14:paraId="63D570BD">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地砖</w:t>
            </w:r>
          </w:p>
        </w:tc>
        <w:tc>
          <w:tcPr>
            <w:tcW w:w="2008" w:type="dxa"/>
            <w:vAlign w:val="center"/>
          </w:tcPr>
          <w:p w14:paraId="0E52EA70">
            <w:pPr>
              <w:spacing w:line="240" w:lineRule="auto"/>
              <w:jc w:val="center"/>
              <w:rPr>
                <w:rFonts w:hint="eastAsia" w:ascii="宋体" w:hAnsi="宋体" w:cs="宋体"/>
                <w:color w:val="auto"/>
                <w:sz w:val="24"/>
              </w:rPr>
            </w:pPr>
          </w:p>
        </w:tc>
        <w:tc>
          <w:tcPr>
            <w:tcW w:w="2233" w:type="dxa"/>
          </w:tcPr>
          <w:p w14:paraId="1DF8941F">
            <w:pPr>
              <w:spacing w:line="360" w:lineRule="auto"/>
              <w:rPr>
                <w:rFonts w:hint="eastAsia" w:ascii="宋体" w:hAnsi="宋体" w:cs="宋体"/>
                <w:color w:val="auto"/>
                <w:sz w:val="24"/>
              </w:rPr>
            </w:pPr>
          </w:p>
        </w:tc>
      </w:tr>
      <w:tr w14:paraId="5071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7D01CFD0">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3537" w:type="dxa"/>
            <w:vAlign w:val="center"/>
          </w:tcPr>
          <w:p w14:paraId="498E4DD5">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22mm枫木运动地板（A）级</w:t>
            </w:r>
          </w:p>
        </w:tc>
        <w:tc>
          <w:tcPr>
            <w:tcW w:w="2008" w:type="dxa"/>
            <w:vAlign w:val="center"/>
          </w:tcPr>
          <w:p w14:paraId="734CB42D">
            <w:pPr>
              <w:spacing w:line="240" w:lineRule="auto"/>
              <w:jc w:val="center"/>
              <w:rPr>
                <w:rFonts w:hint="eastAsia" w:ascii="宋体" w:hAnsi="宋体" w:cs="宋体"/>
                <w:color w:val="auto"/>
                <w:sz w:val="24"/>
              </w:rPr>
            </w:pPr>
          </w:p>
        </w:tc>
        <w:tc>
          <w:tcPr>
            <w:tcW w:w="2233" w:type="dxa"/>
          </w:tcPr>
          <w:p w14:paraId="60A90D58">
            <w:pPr>
              <w:spacing w:line="360" w:lineRule="auto"/>
              <w:rPr>
                <w:rFonts w:hint="eastAsia" w:ascii="宋体" w:hAnsi="宋体" w:cs="宋体"/>
                <w:color w:val="auto"/>
                <w:sz w:val="24"/>
              </w:rPr>
            </w:pPr>
          </w:p>
        </w:tc>
      </w:tr>
      <w:tr w14:paraId="47BA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397EB786">
            <w:pPr>
              <w:spacing w:line="360" w:lineRule="auto"/>
              <w:jc w:val="center"/>
              <w:rPr>
                <w:rFonts w:hint="eastAsia" w:ascii="宋体" w:hAnsi="宋体" w:cs="宋体"/>
                <w:color w:val="auto"/>
                <w:sz w:val="24"/>
              </w:rPr>
            </w:pPr>
            <w:r>
              <w:rPr>
                <w:rFonts w:hint="eastAsia" w:ascii="宋体" w:hAnsi="宋体" w:cs="宋体"/>
                <w:color w:val="auto"/>
                <w:sz w:val="24"/>
              </w:rPr>
              <w:t>6</w:t>
            </w:r>
          </w:p>
        </w:tc>
        <w:tc>
          <w:tcPr>
            <w:tcW w:w="3537" w:type="dxa"/>
            <w:vAlign w:val="center"/>
          </w:tcPr>
          <w:p w14:paraId="4D5366F8">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25mm舞台专用地板（枫木运动地板、A级）</w:t>
            </w:r>
          </w:p>
        </w:tc>
        <w:tc>
          <w:tcPr>
            <w:tcW w:w="2008" w:type="dxa"/>
            <w:vAlign w:val="center"/>
          </w:tcPr>
          <w:p w14:paraId="13A22963">
            <w:pPr>
              <w:spacing w:line="240" w:lineRule="auto"/>
              <w:jc w:val="center"/>
              <w:rPr>
                <w:rFonts w:hint="eastAsia" w:ascii="宋体" w:hAnsi="宋体" w:cs="宋体"/>
                <w:color w:val="auto"/>
                <w:sz w:val="24"/>
              </w:rPr>
            </w:pPr>
          </w:p>
        </w:tc>
        <w:tc>
          <w:tcPr>
            <w:tcW w:w="2233" w:type="dxa"/>
          </w:tcPr>
          <w:p w14:paraId="4F1A8704">
            <w:pPr>
              <w:spacing w:line="360" w:lineRule="auto"/>
              <w:rPr>
                <w:rFonts w:hint="eastAsia" w:ascii="宋体" w:hAnsi="宋体" w:cs="宋体"/>
                <w:color w:val="auto"/>
                <w:sz w:val="24"/>
              </w:rPr>
            </w:pPr>
          </w:p>
        </w:tc>
      </w:tr>
      <w:tr w14:paraId="5C86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1C47EFB5">
            <w:pPr>
              <w:spacing w:line="360" w:lineRule="auto"/>
              <w:jc w:val="center"/>
              <w:rPr>
                <w:rFonts w:hint="eastAsia" w:ascii="宋体" w:hAnsi="宋体" w:cs="宋体" w:eastAsiaTheme="minorEastAsia"/>
                <w:color w:val="auto"/>
                <w:sz w:val="24"/>
                <w:lang w:val="en-US" w:eastAsia="zh-CN"/>
              </w:rPr>
            </w:pPr>
            <w:r>
              <w:rPr>
                <w:rFonts w:hint="eastAsia" w:ascii="宋体" w:hAnsi="宋体" w:cs="宋体"/>
                <w:color w:val="auto"/>
                <w:sz w:val="24"/>
                <w:lang w:val="en-US" w:eastAsia="zh-CN"/>
              </w:rPr>
              <w:t>7</w:t>
            </w:r>
          </w:p>
        </w:tc>
        <w:tc>
          <w:tcPr>
            <w:tcW w:w="3537" w:type="dxa"/>
            <w:vAlign w:val="center"/>
          </w:tcPr>
          <w:p w14:paraId="0B33FB69">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15mm原木色免漆板</w:t>
            </w:r>
          </w:p>
        </w:tc>
        <w:tc>
          <w:tcPr>
            <w:tcW w:w="2008" w:type="dxa"/>
            <w:vAlign w:val="center"/>
          </w:tcPr>
          <w:p w14:paraId="4AF10CEA">
            <w:pPr>
              <w:spacing w:line="240" w:lineRule="auto"/>
              <w:jc w:val="center"/>
              <w:rPr>
                <w:rFonts w:hint="eastAsia" w:ascii="宋体" w:hAnsi="宋体" w:cs="宋体"/>
                <w:color w:val="auto"/>
                <w:sz w:val="24"/>
              </w:rPr>
            </w:pPr>
          </w:p>
        </w:tc>
        <w:tc>
          <w:tcPr>
            <w:tcW w:w="2233" w:type="dxa"/>
          </w:tcPr>
          <w:p w14:paraId="2862C17F">
            <w:pPr>
              <w:spacing w:line="360" w:lineRule="auto"/>
              <w:rPr>
                <w:rFonts w:hint="eastAsia" w:ascii="宋体" w:hAnsi="宋体" w:cs="宋体"/>
                <w:color w:val="auto"/>
                <w:sz w:val="24"/>
              </w:rPr>
            </w:pPr>
          </w:p>
        </w:tc>
      </w:tr>
      <w:tr w14:paraId="6C71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74466752">
            <w:pPr>
              <w:spacing w:line="360" w:lineRule="auto"/>
              <w:jc w:val="center"/>
              <w:rPr>
                <w:rFonts w:hint="eastAsia" w:ascii="宋体" w:hAnsi="宋体" w:cs="宋体" w:eastAsiaTheme="minorEastAsia"/>
                <w:color w:val="auto"/>
                <w:sz w:val="24"/>
                <w:lang w:val="en-US" w:eastAsia="zh-CN"/>
              </w:rPr>
            </w:pPr>
            <w:r>
              <w:rPr>
                <w:rFonts w:hint="eastAsia" w:ascii="宋体" w:hAnsi="宋体" w:cs="宋体"/>
                <w:color w:val="auto"/>
                <w:sz w:val="24"/>
                <w:lang w:val="en-US" w:eastAsia="zh-CN"/>
              </w:rPr>
              <w:t>8</w:t>
            </w:r>
          </w:p>
        </w:tc>
        <w:tc>
          <w:tcPr>
            <w:tcW w:w="3537" w:type="dxa"/>
            <w:vAlign w:val="center"/>
          </w:tcPr>
          <w:p w14:paraId="26E462A9">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铝扣板</w:t>
            </w:r>
          </w:p>
        </w:tc>
        <w:tc>
          <w:tcPr>
            <w:tcW w:w="2008" w:type="dxa"/>
            <w:vAlign w:val="center"/>
          </w:tcPr>
          <w:p w14:paraId="2392C4D5">
            <w:pPr>
              <w:spacing w:line="240" w:lineRule="auto"/>
              <w:jc w:val="center"/>
              <w:rPr>
                <w:rFonts w:hint="eastAsia" w:ascii="宋体" w:hAnsi="宋体" w:cs="宋体"/>
                <w:color w:val="auto"/>
                <w:sz w:val="24"/>
              </w:rPr>
            </w:pPr>
          </w:p>
        </w:tc>
        <w:tc>
          <w:tcPr>
            <w:tcW w:w="2233" w:type="dxa"/>
          </w:tcPr>
          <w:p w14:paraId="3BA53005">
            <w:pPr>
              <w:spacing w:line="360" w:lineRule="auto"/>
              <w:rPr>
                <w:rFonts w:hint="eastAsia" w:ascii="宋体" w:hAnsi="宋体" w:cs="宋体"/>
                <w:color w:val="auto"/>
                <w:sz w:val="24"/>
              </w:rPr>
            </w:pPr>
          </w:p>
        </w:tc>
      </w:tr>
      <w:tr w14:paraId="73A6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64B6E6CC">
            <w:pPr>
              <w:spacing w:line="360" w:lineRule="auto"/>
              <w:jc w:val="center"/>
              <w:rPr>
                <w:rFonts w:hint="eastAsia" w:ascii="宋体" w:hAnsi="宋体" w:cs="宋体" w:eastAsiaTheme="minorEastAsia"/>
                <w:color w:val="auto"/>
                <w:sz w:val="24"/>
                <w:lang w:val="en-US" w:eastAsia="zh-CN"/>
              </w:rPr>
            </w:pPr>
            <w:r>
              <w:rPr>
                <w:rFonts w:hint="eastAsia" w:ascii="宋体" w:hAnsi="宋体" w:cs="宋体"/>
                <w:color w:val="auto"/>
                <w:sz w:val="24"/>
                <w:lang w:val="en-US" w:eastAsia="zh-CN"/>
              </w:rPr>
              <w:t>9</w:t>
            </w:r>
          </w:p>
        </w:tc>
        <w:tc>
          <w:tcPr>
            <w:tcW w:w="3537" w:type="dxa"/>
            <w:vAlign w:val="center"/>
          </w:tcPr>
          <w:p w14:paraId="71AF939B">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轻型龙骨</w:t>
            </w:r>
          </w:p>
        </w:tc>
        <w:tc>
          <w:tcPr>
            <w:tcW w:w="2008" w:type="dxa"/>
            <w:vAlign w:val="center"/>
          </w:tcPr>
          <w:p w14:paraId="54212090">
            <w:pPr>
              <w:spacing w:line="240" w:lineRule="auto"/>
              <w:jc w:val="center"/>
              <w:rPr>
                <w:rFonts w:hint="eastAsia" w:ascii="宋体" w:hAnsi="宋体" w:cs="宋体"/>
                <w:color w:val="auto"/>
                <w:sz w:val="24"/>
              </w:rPr>
            </w:pPr>
          </w:p>
        </w:tc>
        <w:tc>
          <w:tcPr>
            <w:tcW w:w="2233" w:type="dxa"/>
          </w:tcPr>
          <w:p w14:paraId="6B12317B">
            <w:pPr>
              <w:spacing w:line="360" w:lineRule="auto"/>
              <w:rPr>
                <w:rFonts w:hint="eastAsia" w:ascii="宋体" w:hAnsi="宋体" w:cs="宋体"/>
                <w:color w:val="auto"/>
                <w:sz w:val="24"/>
              </w:rPr>
            </w:pPr>
          </w:p>
        </w:tc>
      </w:tr>
      <w:tr w14:paraId="0155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39810DED">
            <w:pPr>
              <w:spacing w:line="360" w:lineRule="auto"/>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10</w:t>
            </w:r>
          </w:p>
        </w:tc>
        <w:tc>
          <w:tcPr>
            <w:tcW w:w="3537" w:type="dxa"/>
            <w:vAlign w:val="center"/>
          </w:tcPr>
          <w:p w14:paraId="1EF8EC0F">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3mm灰色PVC地胶板</w:t>
            </w:r>
          </w:p>
        </w:tc>
        <w:tc>
          <w:tcPr>
            <w:tcW w:w="2008" w:type="dxa"/>
            <w:vAlign w:val="center"/>
          </w:tcPr>
          <w:p w14:paraId="0B041073">
            <w:pPr>
              <w:spacing w:line="240" w:lineRule="auto"/>
              <w:jc w:val="center"/>
              <w:rPr>
                <w:rFonts w:hint="eastAsia" w:ascii="宋体" w:hAnsi="宋体" w:cs="宋体"/>
                <w:color w:val="auto"/>
                <w:sz w:val="24"/>
              </w:rPr>
            </w:pPr>
          </w:p>
        </w:tc>
        <w:tc>
          <w:tcPr>
            <w:tcW w:w="2233" w:type="dxa"/>
          </w:tcPr>
          <w:p w14:paraId="3F2A1D4B">
            <w:pPr>
              <w:spacing w:line="360" w:lineRule="auto"/>
              <w:rPr>
                <w:rFonts w:hint="eastAsia" w:ascii="宋体" w:hAnsi="宋体" w:cs="宋体"/>
                <w:color w:val="auto"/>
                <w:sz w:val="24"/>
              </w:rPr>
            </w:pPr>
          </w:p>
        </w:tc>
      </w:tr>
      <w:tr w14:paraId="661C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40662BF6">
            <w:pPr>
              <w:spacing w:line="360" w:lineRule="auto"/>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11</w:t>
            </w:r>
          </w:p>
        </w:tc>
        <w:tc>
          <w:tcPr>
            <w:tcW w:w="3537" w:type="dxa"/>
            <w:vAlign w:val="center"/>
          </w:tcPr>
          <w:p w14:paraId="7A4E1CDB">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6.5mm运动地胶板</w:t>
            </w:r>
          </w:p>
        </w:tc>
        <w:tc>
          <w:tcPr>
            <w:tcW w:w="2008" w:type="dxa"/>
            <w:vAlign w:val="center"/>
          </w:tcPr>
          <w:p w14:paraId="47950FF7">
            <w:pPr>
              <w:spacing w:line="240" w:lineRule="auto"/>
              <w:jc w:val="center"/>
              <w:rPr>
                <w:rFonts w:hint="eastAsia" w:ascii="宋体" w:hAnsi="宋体" w:cs="宋体"/>
                <w:color w:val="auto"/>
                <w:sz w:val="24"/>
              </w:rPr>
            </w:pPr>
          </w:p>
        </w:tc>
        <w:tc>
          <w:tcPr>
            <w:tcW w:w="2233" w:type="dxa"/>
          </w:tcPr>
          <w:p w14:paraId="0B2F335A">
            <w:pPr>
              <w:spacing w:line="360" w:lineRule="auto"/>
              <w:rPr>
                <w:rFonts w:hint="eastAsia" w:ascii="宋体" w:hAnsi="宋体" w:cs="宋体"/>
                <w:color w:val="auto"/>
                <w:sz w:val="24"/>
              </w:rPr>
            </w:pPr>
          </w:p>
        </w:tc>
      </w:tr>
      <w:tr w14:paraId="40DE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13BACE39">
            <w:pPr>
              <w:spacing w:line="360" w:lineRule="auto"/>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12</w:t>
            </w:r>
          </w:p>
        </w:tc>
        <w:tc>
          <w:tcPr>
            <w:tcW w:w="3537" w:type="dxa"/>
            <w:vAlign w:val="center"/>
          </w:tcPr>
          <w:p w14:paraId="28E705EB">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8mm白色FC穿孔吸音板</w:t>
            </w:r>
          </w:p>
        </w:tc>
        <w:tc>
          <w:tcPr>
            <w:tcW w:w="2008" w:type="dxa"/>
            <w:vAlign w:val="center"/>
          </w:tcPr>
          <w:p w14:paraId="725935EB">
            <w:pPr>
              <w:spacing w:line="240" w:lineRule="auto"/>
              <w:jc w:val="center"/>
              <w:rPr>
                <w:rFonts w:hint="eastAsia" w:ascii="宋体" w:hAnsi="宋体" w:cs="宋体"/>
                <w:color w:val="auto"/>
                <w:sz w:val="24"/>
              </w:rPr>
            </w:pPr>
          </w:p>
        </w:tc>
        <w:tc>
          <w:tcPr>
            <w:tcW w:w="2233" w:type="dxa"/>
          </w:tcPr>
          <w:p w14:paraId="29927DB1">
            <w:pPr>
              <w:spacing w:line="360" w:lineRule="auto"/>
              <w:rPr>
                <w:rFonts w:hint="eastAsia" w:ascii="宋体" w:hAnsi="宋体" w:cs="宋体"/>
                <w:color w:val="auto"/>
                <w:sz w:val="24"/>
              </w:rPr>
            </w:pPr>
          </w:p>
        </w:tc>
      </w:tr>
      <w:tr w14:paraId="6D3E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6F3E4159">
            <w:pPr>
              <w:spacing w:line="360" w:lineRule="auto"/>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13</w:t>
            </w:r>
          </w:p>
        </w:tc>
        <w:tc>
          <w:tcPr>
            <w:tcW w:w="3537" w:type="dxa"/>
            <w:vAlign w:val="center"/>
          </w:tcPr>
          <w:p w14:paraId="6D7DED7B">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喷砂矿棉板300*1200*19</w:t>
            </w:r>
          </w:p>
        </w:tc>
        <w:tc>
          <w:tcPr>
            <w:tcW w:w="2008" w:type="dxa"/>
            <w:vAlign w:val="center"/>
          </w:tcPr>
          <w:p w14:paraId="49343D32">
            <w:pPr>
              <w:spacing w:line="240" w:lineRule="auto"/>
              <w:jc w:val="center"/>
              <w:rPr>
                <w:rFonts w:hint="eastAsia" w:ascii="宋体" w:hAnsi="宋体" w:cs="宋体"/>
                <w:color w:val="auto"/>
                <w:sz w:val="24"/>
              </w:rPr>
            </w:pPr>
          </w:p>
        </w:tc>
        <w:tc>
          <w:tcPr>
            <w:tcW w:w="2233" w:type="dxa"/>
          </w:tcPr>
          <w:p w14:paraId="769C4309">
            <w:pPr>
              <w:spacing w:line="360" w:lineRule="auto"/>
              <w:rPr>
                <w:rFonts w:hint="eastAsia" w:ascii="宋体" w:hAnsi="宋体" w:cs="宋体"/>
                <w:color w:val="auto"/>
                <w:sz w:val="24"/>
              </w:rPr>
            </w:pPr>
          </w:p>
        </w:tc>
      </w:tr>
      <w:tr w14:paraId="34DD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7FC1DCE0">
            <w:pPr>
              <w:spacing w:line="360" w:lineRule="auto"/>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14</w:t>
            </w:r>
          </w:p>
        </w:tc>
        <w:tc>
          <w:tcPr>
            <w:tcW w:w="3537" w:type="dxa"/>
            <w:vAlign w:val="center"/>
          </w:tcPr>
          <w:p w14:paraId="2D2A17AF">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玻纤吸音板吊顶1200*600*30</w:t>
            </w:r>
          </w:p>
        </w:tc>
        <w:tc>
          <w:tcPr>
            <w:tcW w:w="2008" w:type="dxa"/>
            <w:vAlign w:val="center"/>
          </w:tcPr>
          <w:p w14:paraId="4BBED717">
            <w:pPr>
              <w:spacing w:line="240" w:lineRule="auto"/>
              <w:jc w:val="center"/>
              <w:rPr>
                <w:rFonts w:hint="eastAsia" w:ascii="宋体" w:hAnsi="宋体" w:cs="宋体"/>
                <w:color w:val="auto"/>
                <w:sz w:val="24"/>
              </w:rPr>
            </w:pPr>
          </w:p>
        </w:tc>
        <w:tc>
          <w:tcPr>
            <w:tcW w:w="2233" w:type="dxa"/>
          </w:tcPr>
          <w:p w14:paraId="647094A3">
            <w:pPr>
              <w:spacing w:line="360" w:lineRule="auto"/>
              <w:rPr>
                <w:rFonts w:hint="eastAsia" w:ascii="宋体" w:hAnsi="宋体" w:cs="宋体"/>
                <w:color w:val="auto"/>
                <w:sz w:val="24"/>
              </w:rPr>
            </w:pPr>
          </w:p>
        </w:tc>
      </w:tr>
      <w:tr w14:paraId="46A1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06E5D84F">
            <w:pPr>
              <w:spacing w:line="360" w:lineRule="auto"/>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15</w:t>
            </w:r>
          </w:p>
        </w:tc>
        <w:tc>
          <w:tcPr>
            <w:tcW w:w="3537" w:type="dxa"/>
            <w:vAlign w:val="center"/>
          </w:tcPr>
          <w:p w14:paraId="5C29C1F3">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8mm木纹FC穿孔吸音板</w:t>
            </w:r>
          </w:p>
        </w:tc>
        <w:tc>
          <w:tcPr>
            <w:tcW w:w="2008" w:type="dxa"/>
            <w:vAlign w:val="center"/>
          </w:tcPr>
          <w:p w14:paraId="121D9245">
            <w:pPr>
              <w:spacing w:line="240" w:lineRule="auto"/>
              <w:jc w:val="center"/>
              <w:rPr>
                <w:rFonts w:hint="eastAsia" w:ascii="宋体" w:hAnsi="宋体" w:cs="宋体"/>
                <w:color w:val="auto"/>
                <w:sz w:val="24"/>
              </w:rPr>
            </w:pPr>
          </w:p>
        </w:tc>
        <w:tc>
          <w:tcPr>
            <w:tcW w:w="2233" w:type="dxa"/>
          </w:tcPr>
          <w:p w14:paraId="799BF676">
            <w:pPr>
              <w:spacing w:line="360" w:lineRule="auto"/>
              <w:rPr>
                <w:rFonts w:hint="eastAsia" w:ascii="宋体" w:hAnsi="宋体" w:cs="宋体"/>
                <w:color w:val="auto"/>
                <w:sz w:val="24"/>
              </w:rPr>
            </w:pPr>
          </w:p>
        </w:tc>
      </w:tr>
      <w:tr w14:paraId="7E6E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5AA55CBC">
            <w:pPr>
              <w:spacing w:line="360" w:lineRule="auto"/>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16</w:t>
            </w:r>
          </w:p>
        </w:tc>
        <w:tc>
          <w:tcPr>
            <w:tcW w:w="3537" w:type="dxa"/>
            <w:vAlign w:val="center"/>
          </w:tcPr>
          <w:p w14:paraId="14E36E51">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30mm厚木纹铝边框吸音模块</w:t>
            </w:r>
          </w:p>
        </w:tc>
        <w:tc>
          <w:tcPr>
            <w:tcW w:w="2008" w:type="dxa"/>
            <w:vAlign w:val="center"/>
          </w:tcPr>
          <w:p w14:paraId="740BE0FB">
            <w:pPr>
              <w:spacing w:line="240" w:lineRule="auto"/>
              <w:jc w:val="center"/>
              <w:rPr>
                <w:rFonts w:hint="eastAsia" w:ascii="宋体" w:hAnsi="宋体" w:cs="宋体"/>
                <w:color w:val="auto"/>
                <w:sz w:val="24"/>
              </w:rPr>
            </w:pPr>
          </w:p>
        </w:tc>
        <w:tc>
          <w:tcPr>
            <w:tcW w:w="2233" w:type="dxa"/>
          </w:tcPr>
          <w:p w14:paraId="06C2E8EF">
            <w:pPr>
              <w:spacing w:line="360" w:lineRule="auto"/>
              <w:rPr>
                <w:rFonts w:hint="eastAsia" w:ascii="宋体" w:hAnsi="宋体" w:cs="宋体"/>
                <w:color w:val="auto"/>
                <w:sz w:val="24"/>
              </w:rPr>
            </w:pPr>
          </w:p>
        </w:tc>
      </w:tr>
      <w:tr w14:paraId="0FB7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7CCB6A31">
            <w:pPr>
              <w:spacing w:line="360" w:lineRule="auto"/>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17</w:t>
            </w:r>
          </w:p>
        </w:tc>
        <w:tc>
          <w:tcPr>
            <w:tcW w:w="3537" w:type="dxa"/>
            <w:vAlign w:val="center"/>
          </w:tcPr>
          <w:p w14:paraId="22B5D31D">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1mm厚木纹微孔金属低频吸音板</w:t>
            </w:r>
          </w:p>
        </w:tc>
        <w:tc>
          <w:tcPr>
            <w:tcW w:w="2008" w:type="dxa"/>
            <w:vAlign w:val="center"/>
          </w:tcPr>
          <w:p w14:paraId="3470B602">
            <w:pPr>
              <w:spacing w:line="240" w:lineRule="auto"/>
              <w:jc w:val="center"/>
              <w:rPr>
                <w:rFonts w:hint="eastAsia" w:ascii="宋体" w:hAnsi="宋体" w:cs="宋体"/>
                <w:color w:val="auto"/>
                <w:sz w:val="24"/>
              </w:rPr>
            </w:pPr>
          </w:p>
        </w:tc>
        <w:tc>
          <w:tcPr>
            <w:tcW w:w="2233" w:type="dxa"/>
          </w:tcPr>
          <w:p w14:paraId="63034696">
            <w:pPr>
              <w:spacing w:line="360" w:lineRule="auto"/>
              <w:rPr>
                <w:rFonts w:hint="eastAsia" w:ascii="宋体" w:hAnsi="宋体" w:cs="宋体"/>
                <w:color w:val="auto"/>
                <w:sz w:val="24"/>
              </w:rPr>
            </w:pPr>
          </w:p>
        </w:tc>
      </w:tr>
      <w:tr w14:paraId="2565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1BA09AC6">
            <w:pPr>
              <w:spacing w:line="360" w:lineRule="auto"/>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18</w:t>
            </w:r>
          </w:p>
        </w:tc>
        <w:tc>
          <w:tcPr>
            <w:tcW w:w="3537" w:type="dxa"/>
            <w:vAlign w:val="center"/>
          </w:tcPr>
          <w:p w14:paraId="7B5E4FE7">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8mm石英纤维装饰板</w:t>
            </w:r>
          </w:p>
        </w:tc>
        <w:tc>
          <w:tcPr>
            <w:tcW w:w="2008" w:type="dxa"/>
            <w:vAlign w:val="center"/>
          </w:tcPr>
          <w:p w14:paraId="6C2C570A">
            <w:pPr>
              <w:spacing w:line="240" w:lineRule="auto"/>
              <w:jc w:val="center"/>
              <w:rPr>
                <w:rFonts w:hint="eastAsia" w:ascii="宋体" w:hAnsi="宋体" w:cs="宋体"/>
                <w:color w:val="auto"/>
                <w:sz w:val="24"/>
              </w:rPr>
            </w:pPr>
          </w:p>
        </w:tc>
        <w:tc>
          <w:tcPr>
            <w:tcW w:w="2233" w:type="dxa"/>
          </w:tcPr>
          <w:p w14:paraId="7C13F9DD">
            <w:pPr>
              <w:spacing w:line="360" w:lineRule="auto"/>
              <w:rPr>
                <w:rFonts w:hint="eastAsia" w:ascii="宋体" w:hAnsi="宋体" w:cs="宋体"/>
                <w:color w:val="auto"/>
                <w:sz w:val="24"/>
              </w:rPr>
            </w:pPr>
          </w:p>
        </w:tc>
      </w:tr>
      <w:tr w14:paraId="5C22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44147CF3">
            <w:pPr>
              <w:spacing w:line="360" w:lineRule="auto"/>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19</w:t>
            </w:r>
          </w:p>
        </w:tc>
        <w:tc>
          <w:tcPr>
            <w:tcW w:w="3537" w:type="dxa"/>
            <w:vAlign w:val="center"/>
          </w:tcPr>
          <w:p w14:paraId="610A6252">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人工草坪50mm</w:t>
            </w:r>
          </w:p>
        </w:tc>
        <w:tc>
          <w:tcPr>
            <w:tcW w:w="2008" w:type="dxa"/>
            <w:vAlign w:val="center"/>
          </w:tcPr>
          <w:p w14:paraId="666AE124">
            <w:pPr>
              <w:spacing w:line="240" w:lineRule="auto"/>
              <w:jc w:val="center"/>
              <w:rPr>
                <w:rFonts w:hint="eastAsia" w:ascii="宋体" w:hAnsi="宋体" w:cs="宋体"/>
                <w:color w:val="auto"/>
                <w:sz w:val="24"/>
              </w:rPr>
            </w:pPr>
          </w:p>
        </w:tc>
        <w:tc>
          <w:tcPr>
            <w:tcW w:w="2233" w:type="dxa"/>
          </w:tcPr>
          <w:p w14:paraId="2D4C1DDC">
            <w:pPr>
              <w:spacing w:line="360" w:lineRule="auto"/>
              <w:rPr>
                <w:rFonts w:hint="eastAsia" w:ascii="宋体" w:hAnsi="宋体" w:cs="宋体"/>
                <w:color w:val="auto"/>
                <w:sz w:val="24"/>
              </w:rPr>
            </w:pPr>
          </w:p>
        </w:tc>
      </w:tr>
      <w:tr w14:paraId="45BC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2D6837DB">
            <w:pPr>
              <w:spacing w:line="360" w:lineRule="auto"/>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20</w:t>
            </w:r>
          </w:p>
        </w:tc>
        <w:tc>
          <w:tcPr>
            <w:tcW w:w="3537" w:type="dxa"/>
            <w:vAlign w:val="center"/>
          </w:tcPr>
          <w:p w14:paraId="1233AB0C">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无机涂料</w:t>
            </w:r>
          </w:p>
        </w:tc>
        <w:tc>
          <w:tcPr>
            <w:tcW w:w="2008" w:type="dxa"/>
            <w:vAlign w:val="center"/>
          </w:tcPr>
          <w:p w14:paraId="6335A0B5">
            <w:pPr>
              <w:spacing w:line="240" w:lineRule="auto"/>
              <w:jc w:val="center"/>
              <w:rPr>
                <w:rFonts w:hint="eastAsia" w:ascii="宋体" w:hAnsi="宋体" w:cs="宋体"/>
                <w:color w:val="auto"/>
                <w:sz w:val="24"/>
              </w:rPr>
            </w:pPr>
          </w:p>
        </w:tc>
        <w:tc>
          <w:tcPr>
            <w:tcW w:w="2233" w:type="dxa"/>
          </w:tcPr>
          <w:p w14:paraId="1B63262F">
            <w:pPr>
              <w:spacing w:line="360" w:lineRule="auto"/>
              <w:rPr>
                <w:rFonts w:hint="eastAsia" w:ascii="宋体" w:hAnsi="宋体" w:cs="宋体"/>
                <w:color w:val="auto"/>
                <w:sz w:val="24"/>
              </w:rPr>
            </w:pPr>
          </w:p>
        </w:tc>
      </w:tr>
      <w:tr w14:paraId="0EE2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6F265AD9">
            <w:pPr>
              <w:spacing w:line="360" w:lineRule="auto"/>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21</w:t>
            </w:r>
          </w:p>
        </w:tc>
        <w:tc>
          <w:tcPr>
            <w:tcW w:w="3537" w:type="dxa"/>
            <w:vAlign w:val="center"/>
          </w:tcPr>
          <w:p w14:paraId="2D781DA3">
            <w:pPr>
              <w:spacing w:line="240" w:lineRule="auto"/>
              <w:jc w:val="center"/>
              <w:rPr>
                <w:rFonts w:hint="eastAsia" w:ascii="宋体" w:hAnsi="宋体" w:cs="宋体"/>
                <w:color w:val="auto"/>
                <w:sz w:val="24"/>
              </w:rPr>
            </w:pPr>
            <w:r>
              <w:rPr>
                <w:rFonts w:hint="default" w:ascii="宋体" w:hAnsi="宋体" w:cs="宋体"/>
                <w:color w:val="auto"/>
                <w:sz w:val="24"/>
                <w:lang w:val="en-US" w:eastAsia="zh-CN"/>
              </w:rPr>
              <w:t>灯具</w:t>
            </w:r>
          </w:p>
        </w:tc>
        <w:tc>
          <w:tcPr>
            <w:tcW w:w="2008" w:type="dxa"/>
            <w:vAlign w:val="center"/>
          </w:tcPr>
          <w:p w14:paraId="7415B1C8">
            <w:pPr>
              <w:spacing w:line="240" w:lineRule="auto"/>
              <w:jc w:val="center"/>
              <w:rPr>
                <w:rFonts w:hint="eastAsia" w:ascii="宋体" w:hAnsi="宋体" w:cs="宋体"/>
                <w:color w:val="auto"/>
                <w:sz w:val="24"/>
              </w:rPr>
            </w:pPr>
          </w:p>
        </w:tc>
        <w:tc>
          <w:tcPr>
            <w:tcW w:w="2233" w:type="dxa"/>
          </w:tcPr>
          <w:p w14:paraId="7F522F00">
            <w:pPr>
              <w:spacing w:line="360" w:lineRule="auto"/>
              <w:rPr>
                <w:rFonts w:hint="eastAsia" w:ascii="宋体" w:hAnsi="宋体" w:cs="宋体"/>
                <w:color w:val="auto"/>
                <w:sz w:val="24"/>
              </w:rPr>
            </w:pPr>
          </w:p>
        </w:tc>
      </w:tr>
      <w:tr w14:paraId="02A1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4" w:type="dxa"/>
          </w:tcPr>
          <w:p w14:paraId="144669C6">
            <w:pPr>
              <w:spacing w:line="360" w:lineRule="auto"/>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22</w:t>
            </w:r>
          </w:p>
        </w:tc>
        <w:tc>
          <w:tcPr>
            <w:tcW w:w="3537" w:type="dxa"/>
            <w:vAlign w:val="center"/>
          </w:tcPr>
          <w:p w14:paraId="6C549EB4">
            <w:pPr>
              <w:spacing w:line="240" w:lineRule="auto"/>
              <w:jc w:val="center"/>
              <w:rPr>
                <w:rFonts w:hint="eastAsia" w:ascii="宋体" w:hAnsi="宋体" w:cs="宋体"/>
                <w:color w:val="auto"/>
                <w:sz w:val="24"/>
              </w:rPr>
            </w:pPr>
            <w:r>
              <w:rPr>
                <w:rFonts w:hint="default" w:ascii="宋体" w:hAnsi="宋体" w:cs="宋体"/>
                <w:color w:val="auto"/>
                <w:sz w:val="24"/>
                <w:lang w:val="en-US" w:eastAsia="zh-CN"/>
              </w:rPr>
              <w:t>元器件</w:t>
            </w:r>
          </w:p>
        </w:tc>
        <w:tc>
          <w:tcPr>
            <w:tcW w:w="2008" w:type="dxa"/>
            <w:vAlign w:val="center"/>
          </w:tcPr>
          <w:p w14:paraId="05594E10">
            <w:pPr>
              <w:spacing w:line="240" w:lineRule="auto"/>
              <w:jc w:val="center"/>
              <w:rPr>
                <w:rFonts w:hint="eastAsia" w:ascii="宋体" w:hAnsi="宋体" w:cs="宋体"/>
                <w:color w:val="auto"/>
                <w:sz w:val="24"/>
              </w:rPr>
            </w:pPr>
          </w:p>
        </w:tc>
        <w:tc>
          <w:tcPr>
            <w:tcW w:w="2233" w:type="dxa"/>
          </w:tcPr>
          <w:p w14:paraId="4E147A3A">
            <w:pPr>
              <w:spacing w:line="360" w:lineRule="auto"/>
              <w:rPr>
                <w:rFonts w:hint="eastAsia" w:ascii="宋体" w:hAnsi="宋体" w:cs="宋体"/>
                <w:color w:val="auto"/>
                <w:sz w:val="24"/>
              </w:rPr>
            </w:pPr>
          </w:p>
        </w:tc>
      </w:tr>
    </w:tbl>
    <w:p w14:paraId="4E15F793">
      <w:pPr>
        <w:autoSpaceDN w:val="0"/>
        <w:snapToGrid w:val="0"/>
        <w:spacing w:line="240" w:lineRule="auto"/>
        <w:jc w:val="left"/>
        <w:rPr>
          <w:rFonts w:hint="eastAsia" w:ascii="宋体" w:hAnsi="宋体"/>
          <w:color w:val="auto"/>
          <w:sz w:val="24"/>
        </w:rPr>
      </w:pPr>
      <w:r>
        <w:rPr>
          <w:rFonts w:hint="eastAsia" w:ascii="宋体" w:hAnsi="宋体" w:eastAsia="宋体" w:cs="宋体"/>
          <w:b/>
          <w:bCs/>
          <w:szCs w:val="21"/>
        </w:rPr>
        <w:t>注：1、</w:t>
      </w:r>
      <w:r>
        <w:rPr>
          <w:rFonts w:hint="eastAsia" w:ascii="宋体" w:hAnsi="宋体" w:eastAsia="宋体" w:cs="宋体"/>
          <w:b/>
          <w:bCs/>
          <w:szCs w:val="21"/>
          <w:lang w:eastAsia="zh-CN"/>
        </w:rPr>
        <w:t>供应商</w:t>
      </w:r>
      <w:r>
        <w:rPr>
          <w:rFonts w:hint="eastAsia" w:ascii="宋体" w:hAnsi="宋体" w:eastAsia="宋体" w:cs="宋体"/>
          <w:b/>
          <w:bCs/>
          <w:szCs w:val="21"/>
        </w:rPr>
        <w:t>在</w:t>
      </w:r>
      <w:r>
        <w:rPr>
          <w:rFonts w:hint="eastAsia" w:ascii="宋体" w:hAnsi="宋体" w:eastAsia="宋体" w:cs="宋体"/>
          <w:b/>
          <w:bCs/>
          <w:szCs w:val="21"/>
          <w:lang w:eastAsia="zh-CN"/>
        </w:rPr>
        <w:t>投标响应</w:t>
      </w:r>
      <w:r>
        <w:rPr>
          <w:rFonts w:hint="eastAsia" w:ascii="宋体" w:hAnsi="宋体" w:eastAsia="宋体" w:cs="宋体"/>
          <w:b/>
          <w:bCs/>
          <w:szCs w:val="21"/>
        </w:rPr>
        <w:t>时应优先采用以上推荐品牌的品牌（明确其中一个），若选用推荐品牌以外的，替代产品品质不得低于推荐品牌产品档次，在评标过程中的设备选型及材料采用以评标委员会评定结果为准。</w:t>
      </w:r>
    </w:p>
    <w:p w14:paraId="24913B39">
      <w:pPr>
        <w:autoSpaceDN w:val="0"/>
        <w:spacing w:line="440" w:lineRule="exact"/>
        <w:jc w:val="left"/>
        <w:rPr>
          <w:rFonts w:hint="eastAsia" w:ascii="宋体" w:hAnsi="宋体" w:eastAsia="宋体" w:cs="宋体"/>
        </w:rPr>
      </w:pPr>
      <w:r>
        <w:rPr>
          <w:rFonts w:hint="eastAsia" w:ascii="宋体" w:hAnsi="宋体" w:eastAsia="宋体" w:cs="宋体"/>
          <w:szCs w:val="21"/>
        </w:rPr>
        <w:t>供应商（盖章）：</w:t>
      </w:r>
    </w:p>
    <w:p w14:paraId="5DE25198">
      <w:pPr>
        <w:autoSpaceDN w:val="0"/>
        <w:snapToGrid w:val="0"/>
        <w:spacing w:line="440" w:lineRule="exact"/>
        <w:rPr>
          <w:rFonts w:hint="eastAsia" w:ascii="宋体" w:hAnsi="宋体" w:eastAsia="宋体" w:cs="宋体"/>
          <w:szCs w:val="21"/>
        </w:rPr>
      </w:pPr>
      <w:r>
        <w:rPr>
          <w:rFonts w:hint="eastAsia" w:ascii="宋体" w:hAnsi="宋体" w:eastAsia="宋体" w:cs="宋体"/>
          <w:szCs w:val="21"/>
        </w:rPr>
        <w:t>法定代表人或授权委托人签字或电子印章：</w:t>
      </w:r>
    </w:p>
    <w:p w14:paraId="70F80B7E">
      <w:pPr>
        <w:autoSpaceDN w:val="0"/>
        <w:snapToGrid w:val="0"/>
        <w:spacing w:line="440" w:lineRule="exact"/>
        <w:rPr>
          <w:rFonts w:hint="eastAsia" w:ascii="宋体" w:hAnsi="宋体" w:eastAsia="宋体" w:cs="宋体"/>
        </w:rPr>
      </w:pPr>
      <w:r>
        <w:rPr>
          <w:rFonts w:hint="eastAsia" w:ascii="宋体" w:hAnsi="宋体" w:eastAsia="宋体" w:cs="宋体"/>
          <w:szCs w:val="21"/>
        </w:rPr>
        <w:t>日期：</w:t>
      </w:r>
    </w:p>
    <w:p w14:paraId="60B8D3C7">
      <w:pPr>
        <w:pageBreakBefore/>
        <w:autoSpaceDN w:val="0"/>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B</w:t>
      </w:r>
      <w:r>
        <w:rPr>
          <w:rFonts w:hint="eastAsia" w:ascii="宋体" w:hAnsi="宋体" w:eastAsia="宋体" w:cs="宋体"/>
          <w:b/>
          <w:bCs/>
          <w:szCs w:val="21"/>
          <w:lang w:val="en-US" w:eastAsia="zh-CN"/>
        </w:rPr>
        <w:t>9</w:t>
      </w:r>
      <w:r>
        <w:rPr>
          <w:rFonts w:hint="eastAsia" w:ascii="宋体" w:hAnsi="宋体" w:eastAsia="宋体" w:cs="宋体"/>
          <w:b/>
          <w:bCs/>
          <w:szCs w:val="21"/>
        </w:rPr>
        <w:t>.针对本项目制定的各项服务方案；</w:t>
      </w:r>
    </w:p>
    <w:p w14:paraId="2DA15289">
      <w:pPr>
        <w:autoSpaceDN w:val="0"/>
        <w:spacing w:line="360" w:lineRule="auto"/>
        <w:ind w:firstLine="422" w:firstLineChars="200"/>
        <w:jc w:val="left"/>
        <w:rPr>
          <w:rFonts w:hint="eastAsia" w:ascii="宋体" w:hAnsi="宋体" w:eastAsia="宋体" w:cs="宋体"/>
          <w:b/>
          <w:bCs/>
          <w:szCs w:val="21"/>
        </w:rPr>
      </w:pPr>
    </w:p>
    <w:p w14:paraId="20E8120F">
      <w:pPr>
        <w:autoSpaceDN w:val="0"/>
        <w:spacing w:line="360" w:lineRule="auto"/>
        <w:ind w:firstLine="422" w:firstLineChars="200"/>
        <w:jc w:val="left"/>
        <w:rPr>
          <w:rFonts w:hint="eastAsia" w:ascii="宋体" w:hAnsi="宋体" w:eastAsia="宋体" w:cs="宋体"/>
          <w:b/>
          <w:bCs/>
          <w:szCs w:val="21"/>
        </w:rPr>
      </w:pPr>
    </w:p>
    <w:p w14:paraId="02099D73">
      <w:pPr>
        <w:autoSpaceDN w:val="0"/>
        <w:spacing w:line="360" w:lineRule="auto"/>
        <w:ind w:firstLine="422" w:firstLineChars="200"/>
        <w:jc w:val="left"/>
        <w:rPr>
          <w:rFonts w:hint="eastAsia" w:ascii="宋体" w:hAnsi="宋体" w:eastAsia="宋体" w:cs="宋体"/>
          <w:b/>
          <w:bCs/>
          <w:szCs w:val="21"/>
        </w:rPr>
      </w:pPr>
    </w:p>
    <w:p w14:paraId="45E9E9A4">
      <w:pPr>
        <w:autoSpaceDN w:val="0"/>
        <w:spacing w:line="360" w:lineRule="auto"/>
        <w:ind w:firstLine="422" w:firstLineChars="200"/>
        <w:jc w:val="left"/>
        <w:rPr>
          <w:rFonts w:hint="eastAsia" w:ascii="宋体" w:hAnsi="宋体" w:eastAsia="宋体" w:cs="宋体"/>
          <w:b/>
          <w:bCs/>
          <w:szCs w:val="21"/>
        </w:rPr>
      </w:pPr>
    </w:p>
    <w:p w14:paraId="39B52082">
      <w:pPr>
        <w:autoSpaceDN w:val="0"/>
        <w:spacing w:line="360" w:lineRule="auto"/>
        <w:ind w:firstLine="422" w:firstLineChars="200"/>
        <w:jc w:val="left"/>
        <w:rPr>
          <w:rFonts w:hint="eastAsia" w:ascii="宋体" w:hAnsi="宋体" w:eastAsia="宋体" w:cs="宋体"/>
          <w:b/>
          <w:bCs/>
          <w:szCs w:val="21"/>
        </w:rPr>
      </w:pPr>
    </w:p>
    <w:p w14:paraId="74ACE33B">
      <w:pPr>
        <w:autoSpaceDN w:val="0"/>
        <w:spacing w:line="360" w:lineRule="auto"/>
        <w:ind w:firstLine="422" w:firstLineChars="200"/>
        <w:jc w:val="left"/>
        <w:rPr>
          <w:rFonts w:hint="eastAsia" w:ascii="宋体" w:hAnsi="宋体" w:eastAsia="宋体" w:cs="宋体"/>
          <w:b/>
          <w:bCs/>
          <w:szCs w:val="21"/>
        </w:rPr>
      </w:pPr>
    </w:p>
    <w:p w14:paraId="27963DA1">
      <w:pPr>
        <w:autoSpaceDN w:val="0"/>
        <w:spacing w:line="360" w:lineRule="auto"/>
        <w:ind w:firstLine="422" w:firstLineChars="200"/>
        <w:jc w:val="left"/>
        <w:rPr>
          <w:rFonts w:hint="eastAsia" w:ascii="宋体" w:hAnsi="宋体" w:eastAsia="宋体" w:cs="宋体"/>
          <w:b/>
          <w:bCs/>
          <w:szCs w:val="21"/>
        </w:rPr>
      </w:pPr>
    </w:p>
    <w:p w14:paraId="49C7123E">
      <w:pPr>
        <w:autoSpaceDN w:val="0"/>
        <w:spacing w:line="360" w:lineRule="auto"/>
        <w:ind w:firstLine="422" w:firstLineChars="200"/>
        <w:jc w:val="left"/>
        <w:rPr>
          <w:rFonts w:hint="eastAsia" w:ascii="宋体" w:hAnsi="宋体" w:eastAsia="宋体" w:cs="宋体"/>
          <w:b/>
          <w:bCs/>
          <w:szCs w:val="21"/>
        </w:rPr>
      </w:pPr>
    </w:p>
    <w:p w14:paraId="7513BCAC">
      <w:pPr>
        <w:autoSpaceDN w:val="0"/>
        <w:spacing w:line="360" w:lineRule="auto"/>
        <w:ind w:firstLine="422" w:firstLineChars="200"/>
        <w:jc w:val="left"/>
        <w:rPr>
          <w:rFonts w:hint="eastAsia" w:ascii="宋体" w:hAnsi="宋体" w:eastAsia="宋体" w:cs="宋体"/>
          <w:b/>
          <w:bCs/>
          <w:szCs w:val="21"/>
        </w:rPr>
      </w:pPr>
    </w:p>
    <w:p w14:paraId="1139FEC2">
      <w:pPr>
        <w:autoSpaceDN w:val="0"/>
        <w:spacing w:line="360" w:lineRule="auto"/>
        <w:ind w:firstLine="422" w:firstLineChars="200"/>
        <w:jc w:val="left"/>
        <w:rPr>
          <w:rFonts w:hint="eastAsia" w:ascii="宋体" w:hAnsi="宋体" w:eastAsia="宋体" w:cs="宋体"/>
          <w:b/>
          <w:bCs/>
          <w:szCs w:val="21"/>
        </w:rPr>
      </w:pPr>
    </w:p>
    <w:p w14:paraId="78EF1E15">
      <w:pPr>
        <w:autoSpaceDN w:val="0"/>
        <w:spacing w:line="360" w:lineRule="auto"/>
        <w:ind w:firstLine="422" w:firstLineChars="200"/>
        <w:jc w:val="left"/>
        <w:rPr>
          <w:rFonts w:hint="eastAsia" w:ascii="宋体" w:hAnsi="宋体" w:eastAsia="宋体" w:cs="宋体"/>
          <w:b/>
          <w:bCs/>
          <w:szCs w:val="21"/>
        </w:rPr>
      </w:pPr>
    </w:p>
    <w:p w14:paraId="08620205">
      <w:pPr>
        <w:autoSpaceDN w:val="0"/>
        <w:spacing w:line="360" w:lineRule="auto"/>
        <w:ind w:firstLine="422" w:firstLineChars="200"/>
        <w:jc w:val="left"/>
        <w:rPr>
          <w:rFonts w:hint="eastAsia" w:ascii="宋体" w:hAnsi="宋体" w:eastAsia="宋体" w:cs="宋体"/>
          <w:b/>
          <w:bCs/>
          <w:szCs w:val="21"/>
        </w:rPr>
      </w:pPr>
    </w:p>
    <w:p w14:paraId="32F42CFE">
      <w:pPr>
        <w:autoSpaceDN w:val="0"/>
        <w:spacing w:line="360" w:lineRule="auto"/>
        <w:ind w:firstLine="422" w:firstLineChars="200"/>
        <w:jc w:val="left"/>
        <w:rPr>
          <w:rFonts w:hint="eastAsia" w:ascii="宋体" w:hAnsi="宋体" w:eastAsia="宋体" w:cs="宋体"/>
          <w:b/>
          <w:bCs/>
          <w:szCs w:val="21"/>
        </w:rPr>
      </w:pPr>
    </w:p>
    <w:p w14:paraId="5C6EE86F">
      <w:pPr>
        <w:autoSpaceDN w:val="0"/>
        <w:spacing w:line="360" w:lineRule="auto"/>
        <w:ind w:firstLine="422" w:firstLineChars="200"/>
        <w:jc w:val="left"/>
        <w:rPr>
          <w:rFonts w:hint="eastAsia" w:ascii="宋体" w:hAnsi="宋体" w:eastAsia="宋体" w:cs="宋体"/>
          <w:b/>
          <w:bCs/>
          <w:szCs w:val="21"/>
        </w:rPr>
      </w:pPr>
    </w:p>
    <w:p w14:paraId="25D7D433">
      <w:pPr>
        <w:autoSpaceDN w:val="0"/>
        <w:spacing w:line="360" w:lineRule="auto"/>
        <w:ind w:firstLine="422" w:firstLineChars="200"/>
        <w:jc w:val="left"/>
        <w:rPr>
          <w:rFonts w:hint="eastAsia" w:ascii="宋体" w:hAnsi="宋体" w:eastAsia="宋体" w:cs="宋体"/>
          <w:b/>
          <w:bCs/>
          <w:szCs w:val="21"/>
        </w:rPr>
      </w:pPr>
    </w:p>
    <w:p w14:paraId="63F47541">
      <w:pPr>
        <w:autoSpaceDN w:val="0"/>
        <w:spacing w:line="360" w:lineRule="auto"/>
        <w:ind w:firstLine="422" w:firstLineChars="200"/>
        <w:jc w:val="left"/>
        <w:rPr>
          <w:rFonts w:hint="eastAsia" w:ascii="宋体" w:hAnsi="宋体" w:eastAsia="宋体" w:cs="宋体"/>
          <w:b/>
          <w:bCs/>
          <w:szCs w:val="21"/>
        </w:rPr>
      </w:pPr>
    </w:p>
    <w:p w14:paraId="34431874">
      <w:pPr>
        <w:autoSpaceDN w:val="0"/>
        <w:spacing w:line="360" w:lineRule="auto"/>
        <w:ind w:firstLine="422" w:firstLineChars="200"/>
        <w:jc w:val="left"/>
        <w:rPr>
          <w:rFonts w:hint="eastAsia" w:ascii="宋体" w:hAnsi="宋体" w:eastAsia="宋体" w:cs="宋体"/>
          <w:b/>
          <w:bCs/>
          <w:szCs w:val="21"/>
        </w:rPr>
      </w:pPr>
    </w:p>
    <w:p w14:paraId="0D0DEBD1">
      <w:pPr>
        <w:autoSpaceDN w:val="0"/>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rPr>
        <w:t>B</w:t>
      </w:r>
      <w:r>
        <w:rPr>
          <w:rFonts w:hint="eastAsia" w:ascii="宋体" w:hAnsi="宋体" w:eastAsia="宋体" w:cs="宋体"/>
          <w:b/>
          <w:bCs/>
          <w:szCs w:val="21"/>
          <w:lang w:val="en-US" w:eastAsia="zh-CN"/>
        </w:rPr>
        <w:t>10</w:t>
      </w:r>
      <w:r>
        <w:rPr>
          <w:rFonts w:hint="eastAsia" w:ascii="宋体" w:hAnsi="宋体" w:eastAsia="宋体" w:cs="宋体"/>
          <w:b/>
          <w:bCs/>
          <w:szCs w:val="21"/>
        </w:rPr>
        <w:t>.第三章“评定成交的标准”中“商务技术评分表”要求提供的资料（如有需提供）；</w:t>
      </w:r>
    </w:p>
    <w:p w14:paraId="6A1C63F3">
      <w:pPr>
        <w:autoSpaceDN w:val="0"/>
        <w:snapToGrid w:val="0"/>
        <w:spacing w:line="440" w:lineRule="exact"/>
        <w:rPr>
          <w:rFonts w:hint="eastAsia" w:ascii="宋体" w:hAnsi="宋体" w:eastAsia="宋体" w:cs="宋体"/>
        </w:rPr>
      </w:pPr>
      <w:r>
        <w:rPr>
          <w:rFonts w:hint="eastAsia" w:ascii="宋体" w:hAnsi="宋体" w:eastAsia="宋体" w:cs="宋体"/>
          <w:b/>
          <w:bCs/>
          <w:szCs w:val="21"/>
        </w:rPr>
        <w:br w:type="page"/>
      </w:r>
    </w:p>
    <w:p w14:paraId="5E3355DD">
      <w:pPr>
        <w:pageBreakBefore/>
        <w:autoSpaceDN w:val="0"/>
        <w:spacing w:line="360" w:lineRule="auto"/>
        <w:rPr>
          <w:rFonts w:hint="eastAsia" w:ascii="宋体" w:hAnsi="宋体" w:eastAsia="宋体" w:cs="宋体"/>
        </w:rPr>
      </w:pPr>
      <w:r>
        <w:rPr>
          <w:rFonts w:hint="eastAsia" w:ascii="宋体" w:hAnsi="宋体" w:eastAsia="宋体" w:cs="宋体"/>
          <w:b/>
          <w:sz w:val="32"/>
          <w:szCs w:val="32"/>
        </w:rPr>
        <w:t>封面</w:t>
      </w:r>
    </w:p>
    <w:p w14:paraId="7271F166">
      <w:pPr>
        <w:autoSpaceDN w:val="0"/>
        <w:spacing w:line="360" w:lineRule="auto"/>
        <w:rPr>
          <w:rFonts w:hint="eastAsia" w:ascii="宋体" w:hAnsi="宋体" w:eastAsia="宋体" w:cs="宋体"/>
        </w:rPr>
      </w:pPr>
      <w:r>
        <w:rPr>
          <w:rFonts w:hint="eastAsia" w:ascii="宋体" w:hAnsi="宋体" w:eastAsia="宋体" w:cs="宋体"/>
          <w:b/>
          <w:sz w:val="32"/>
          <w:szCs w:val="32"/>
        </w:rPr>
        <w:t> </w:t>
      </w:r>
    </w:p>
    <w:p w14:paraId="1846C866">
      <w:pPr>
        <w:autoSpaceDN w:val="0"/>
        <w:spacing w:line="360" w:lineRule="auto"/>
        <w:rPr>
          <w:rFonts w:hint="eastAsia" w:ascii="宋体" w:hAnsi="宋体" w:eastAsia="宋体" w:cs="宋体"/>
        </w:rPr>
      </w:pPr>
      <w:r>
        <w:rPr>
          <w:rFonts w:hint="eastAsia" w:ascii="宋体" w:hAnsi="宋体" w:eastAsia="宋体" w:cs="宋体"/>
          <w:sz w:val="28"/>
          <w:szCs w:val="28"/>
        </w:rPr>
        <w:t> </w:t>
      </w:r>
    </w:p>
    <w:p w14:paraId="6E82ABB9">
      <w:pPr>
        <w:autoSpaceDN w:val="0"/>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椒江区第五中学体育馆提升及室外配套工程  </w:t>
      </w:r>
    </w:p>
    <w:p w14:paraId="2602BAAA">
      <w:pPr>
        <w:autoSpaceDN w:val="0"/>
        <w:spacing w:line="360" w:lineRule="auto"/>
        <w:jc w:val="center"/>
        <w:rPr>
          <w:rFonts w:hint="eastAsia" w:ascii="宋体" w:hAnsi="宋体" w:eastAsia="宋体" w:cs="宋体"/>
        </w:rPr>
      </w:pPr>
      <w:r>
        <w:rPr>
          <w:rFonts w:hint="eastAsia" w:ascii="宋体" w:hAnsi="宋体" w:eastAsia="宋体" w:cs="宋体"/>
          <w:sz w:val="36"/>
          <w:szCs w:val="36"/>
        </w:rPr>
        <w:t> </w:t>
      </w:r>
    </w:p>
    <w:p w14:paraId="51BFD94F">
      <w:pPr>
        <w:autoSpaceDN w:val="0"/>
        <w:spacing w:line="360" w:lineRule="auto"/>
        <w:jc w:val="center"/>
        <w:rPr>
          <w:rFonts w:hint="eastAsia" w:ascii="宋体" w:hAnsi="宋体" w:eastAsia="宋体" w:cs="宋体"/>
        </w:rPr>
      </w:pPr>
      <w:r>
        <w:rPr>
          <w:rFonts w:hint="eastAsia" w:ascii="宋体" w:hAnsi="宋体" w:eastAsia="宋体" w:cs="宋体"/>
          <w:sz w:val="36"/>
          <w:szCs w:val="36"/>
        </w:rPr>
        <w:t>项目编号：</w:t>
      </w:r>
      <w:r>
        <w:rPr>
          <w:rFonts w:hint="eastAsia" w:ascii="宋体" w:hAnsi="宋体" w:eastAsia="宋体" w:cs="宋体"/>
          <w:sz w:val="36"/>
          <w:szCs w:val="36"/>
          <w:u w:val="single"/>
        </w:rPr>
        <w:t>ZGTZZB2025-0410</w:t>
      </w:r>
    </w:p>
    <w:p w14:paraId="48008577">
      <w:pPr>
        <w:autoSpaceDN w:val="0"/>
        <w:rPr>
          <w:rFonts w:hint="eastAsia" w:ascii="宋体" w:hAnsi="宋体" w:eastAsia="宋体" w:cs="宋体"/>
        </w:rPr>
      </w:pPr>
      <w:r>
        <w:rPr>
          <w:rFonts w:hint="eastAsia" w:ascii="宋体" w:hAnsi="宋体" w:eastAsia="宋体" w:cs="宋体"/>
          <w:sz w:val="28"/>
          <w:szCs w:val="28"/>
        </w:rPr>
        <w:t> </w:t>
      </w:r>
    </w:p>
    <w:p w14:paraId="570CF0EF">
      <w:pPr>
        <w:autoSpaceDN w:val="0"/>
        <w:spacing w:line="360" w:lineRule="auto"/>
        <w:jc w:val="center"/>
        <w:rPr>
          <w:rFonts w:hint="eastAsia" w:ascii="宋体" w:hAnsi="宋体" w:eastAsia="宋体" w:cs="宋体"/>
        </w:rPr>
      </w:pPr>
      <w:r>
        <w:rPr>
          <w:rFonts w:hint="eastAsia" w:ascii="宋体" w:hAnsi="宋体" w:eastAsia="宋体" w:cs="宋体"/>
          <w:sz w:val="36"/>
          <w:szCs w:val="36"/>
        </w:rPr>
        <w:t>（报价文件）</w:t>
      </w:r>
    </w:p>
    <w:p w14:paraId="2683DE56">
      <w:pPr>
        <w:autoSpaceDN w:val="0"/>
        <w:jc w:val="center"/>
        <w:rPr>
          <w:rFonts w:hint="eastAsia" w:ascii="宋体" w:hAnsi="宋体" w:eastAsia="宋体" w:cs="宋体"/>
        </w:rPr>
      </w:pPr>
      <w:r>
        <w:rPr>
          <w:rFonts w:hint="eastAsia" w:ascii="宋体" w:hAnsi="宋体" w:eastAsia="宋体" w:cs="宋体"/>
          <w:sz w:val="28"/>
          <w:szCs w:val="28"/>
        </w:rPr>
        <w:t> </w:t>
      </w:r>
    </w:p>
    <w:p w14:paraId="2BF55718">
      <w:pPr>
        <w:autoSpaceDN w:val="0"/>
        <w:spacing w:line="360" w:lineRule="auto"/>
        <w:jc w:val="center"/>
        <w:rPr>
          <w:rFonts w:hint="eastAsia" w:ascii="宋体" w:hAnsi="宋体" w:eastAsia="宋体" w:cs="宋体"/>
        </w:rPr>
      </w:pPr>
      <w:r>
        <w:rPr>
          <w:rFonts w:hint="eastAsia" w:ascii="宋体" w:hAnsi="宋体" w:eastAsia="宋体" w:cs="宋体"/>
          <w:b/>
          <w:sz w:val="72"/>
          <w:szCs w:val="72"/>
        </w:rPr>
        <w:t>磋商响应文件</w:t>
      </w:r>
    </w:p>
    <w:p w14:paraId="7E1B02FD">
      <w:pPr>
        <w:autoSpaceDN w:val="0"/>
        <w:spacing w:line="360" w:lineRule="auto"/>
        <w:jc w:val="center"/>
        <w:rPr>
          <w:rFonts w:hint="eastAsia" w:ascii="宋体" w:hAnsi="宋体" w:eastAsia="宋体" w:cs="宋体"/>
        </w:rPr>
      </w:pPr>
      <w:r>
        <w:rPr>
          <w:rFonts w:hint="eastAsia" w:ascii="宋体" w:hAnsi="宋体" w:eastAsia="宋体" w:cs="宋体"/>
          <w:sz w:val="36"/>
          <w:szCs w:val="36"/>
        </w:rPr>
        <w:t> </w:t>
      </w:r>
    </w:p>
    <w:p w14:paraId="6D4EAADB">
      <w:pPr>
        <w:autoSpaceDN w:val="0"/>
        <w:spacing w:line="360" w:lineRule="auto"/>
        <w:jc w:val="center"/>
        <w:rPr>
          <w:rFonts w:hint="eastAsia" w:ascii="宋体" w:hAnsi="宋体" w:eastAsia="宋体" w:cs="宋体"/>
        </w:rPr>
      </w:pPr>
      <w:r>
        <w:rPr>
          <w:rFonts w:hint="eastAsia" w:ascii="宋体" w:hAnsi="宋体" w:eastAsia="宋体" w:cs="宋体"/>
          <w:sz w:val="36"/>
          <w:szCs w:val="36"/>
        </w:rPr>
        <w:t> </w:t>
      </w:r>
    </w:p>
    <w:p w14:paraId="7DFD72A4">
      <w:pPr>
        <w:autoSpaceDN w:val="0"/>
        <w:spacing w:line="360" w:lineRule="auto"/>
        <w:jc w:val="center"/>
        <w:rPr>
          <w:rFonts w:hint="eastAsia" w:ascii="宋体" w:hAnsi="宋体" w:eastAsia="宋体" w:cs="宋体"/>
        </w:rPr>
      </w:pPr>
      <w:r>
        <w:rPr>
          <w:rFonts w:hint="eastAsia" w:ascii="宋体" w:hAnsi="宋体" w:eastAsia="宋体" w:cs="宋体"/>
          <w:sz w:val="36"/>
          <w:szCs w:val="36"/>
        </w:rPr>
        <w:t> </w:t>
      </w:r>
    </w:p>
    <w:p w14:paraId="7F23EABF">
      <w:pPr>
        <w:autoSpaceDN w:val="0"/>
        <w:spacing w:line="360" w:lineRule="auto"/>
        <w:jc w:val="center"/>
        <w:rPr>
          <w:rFonts w:hint="eastAsia" w:ascii="宋体" w:hAnsi="宋体" w:eastAsia="宋体" w:cs="宋体"/>
        </w:rPr>
      </w:pPr>
      <w:r>
        <w:rPr>
          <w:rFonts w:hint="eastAsia" w:ascii="宋体" w:hAnsi="宋体" w:eastAsia="宋体" w:cs="宋体"/>
          <w:sz w:val="36"/>
          <w:szCs w:val="36"/>
        </w:rPr>
        <w:t>供应商全称：</w:t>
      </w:r>
      <w:r>
        <w:rPr>
          <w:rFonts w:hint="eastAsia" w:ascii="宋体" w:hAnsi="宋体" w:eastAsia="宋体" w:cs="宋体"/>
          <w:sz w:val="36"/>
          <w:szCs w:val="36"/>
          <w:u w:val="single"/>
        </w:rPr>
        <w:t>（加盖单位公章）</w:t>
      </w:r>
    </w:p>
    <w:p w14:paraId="1FF19441">
      <w:pPr>
        <w:autoSpaceDN w:val="0"/>
        <w:spacing w:line="360" w:lineRule="auto"/>
        <w:jc w:val="center"/>
        <w:rPr>
          <w:rFonts w:hint="eastAsia" w:ascii="宋体" w:hAnsi="宋体" w:eastAsia="宋体" w:cs="宋体"/>
        </w:rPr>
      </w:pPr>
      <w:r>
        <w:rPr>
          <w:rFonts w:hint="eastAsia" w:ascii="宋体" w:hAnsi="宋体" w:eastAsia="宋体" w:cs="宋体"/>
          <w:sz w:val="36"/>
          <w:szCs w:val="36"/>
        </w:rPr>
        <w:t>年  月    日</w:t>
      </w:r>
    </w:p>
    <w:p w14:paraId="11D146A0">
      <w:pPr>
        <w:pageBreakBefore/>
        <w:autoSpaceDN w:val="0"/>
        <w:spacing w:line="440" w:lineRule="exact"/>
        <w:jc w:val="center"/>
        <w:rPr>
          <w:rFonts w:hint="eastAsia" w:ascii="宋体" w:hAnsi="宋体" w:eastAsia="宋体" w:cs="宋体"/>
        </w:rPr>
      </w:pPr>
      <w:r>
        <w:rPr>
          <w:rFonts w:hint="eastAsia" w:ascii="宋体" w:hAnsi="宋体" w:eastAsia="宋体" w:cs="宋体"/>
          <w:b/>
          <w:szCs w:val="21"/>
        </w:rPr>
        <w:t>C1.报价一览表（初次）</w:t>
      </w:r>
    </w:p>
    <w:p w14:paraId="248F26C4">
      <w:pPr>
        <w:autoSpaceDN w:val="0"/>
        <w:snapToGrid w:val="0"/>
        <w:spacing w:line="440" w:lineRule="exact"/>
        <w:rPr>
          <w:rFonts w:hint="eastAsia" w:ascii="宋体" w:hAnsi="宋体" w:eastAsia="宋体" w:cs="宋体"/>
        </w:rPr>
      </w:pPr>
      <w:r>
        <w:rPr>
          <w:rFonts w:hint="eastAsia" w:ascii="宋体" w:hAnsi="宋体" w:eastAsia="宋体" w:cs="宋体"/>
          <w:szCs w:val="21"/>
        </w:rPr>
        <w:t>项目编号：</w:t>
      </w:r>
      <w:r>
        <w:rPr>
          <w:rFonts w:hint="eastAsia" w:ascii="宋体" w:hAnsi="宋体" w:eastAsia="宋体" w:cs="宋体"/>
          <w:szCs w:val="21"/>
          <w:u w:val="single"/>
        </w:rPr>
        <w:t>ZGTZZB2025-0410</w:t>
      </w:r>
    </w:p>
    <w:p w14:paraId="22CF015A">
      <w:pPr>
        <w:autoSpaceDN w:val="0"/>
        <w:snapToGrid w:val="0"/>
        <w:spacing w:line="440" w:lineRule="exact"/>
        <w:rPr>
          <w:rFonts w:hint="eastAsia" w:ascii="宋体" w:hAnsi="宋体" w:eastAsia="宋体" w:cs="宋体"/>
        </w:rPr>
      </w:pPr>
      <w:r>
        <w:rPr>
          <w:rFonts w:hint="eastAsia" w:ascii="宋体" w:hAnsi="宋体" w:eastAsia="宋体" w:cs="宋体"/>
          <w:szCs w:val="21"/>
        </w:rPr>
        <w:t>项目名称：</w:t>
      </w:r>
      <w:r>
        <w:rPr>
          <w:rFonts w:hint="eastAsia" w:ascii="宋体" w:hAnsi="宋体" w:eastAsia="宋体" w:cs="宋体"/>
          <w:szCs w:val="21"/>
          <w:u w:val="single"/>
        </w:rPr>
        <w:t xml:space="preserve">椒江区第五中学体育馆提升及室外配套工程 </w:t>
      </w:r>
    </w:p>
    <w:p w14:paraId="7A738C7E">
      <w:pPr>
        <w:autoSpaceDN w:val="0"/>
        <w:snapToGrid w:val="0"/>
        <w:spacing w:line="440" w:lineRule="exact"/>
        <w:jc w:val="right"/>
        <w:rPr>
          <w:rFonts w:hint="eastAsia" w:ascii="宋体" w:hAnsi="宋体" w:eastAsia="宋体" w:cs="宋体"/>
          <w:szCs w:val="21"/>
        </w:rPr>
      </w:pPr>
      <w:r>
        <w:rPr>
          <w:rFonts w:hint="eastAsia" w:ascii="宋体" w:hAnsi="宋体" w:eastAsia="宋体" w:cs="宋体"/>
          <w:szCs w:val="21"/>
        </w:rPr>
        <w:t>单位：人民币</w:t>
      </w:r>
    </w:p>
    <w:p w14:paraId="3DE1C3D2">
      <w:pPr>
        <w:tabs>
          <w:tab w:val="left" w:pos="8280"/>
        </w:tabs>
        <w:autoSpaceDE w:val="0"/>
        <w:autoSpaceDN w:val="0"/>
        <w:adjustRightInd w:val="0"/>
        <w:spacing w:line="300" w:lineRule="exact"/>
        <w:ind w:firstLine="315" w:firstLineChars="150"/>
        <w:rPr>
          <w:rFonts w:hint="eastAsia" w:ascii="宋体" w:hAnsi="宋体" w:cs="宋体"/>
          <w:szCs w:val="21"/>
        </w:rPr>
      </w:pPr>
    </w:p>
    <w:tbl>
      <w:tblPr>
        <w:tblStyle w:val="25"/>
        <w:tblW w:w="857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3077"/>
        <w:gridCol w:w="5502"/>
      </w:tblGrid>
      <w:tr w14:paraId="24961B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33" w:hRule="atLeast"/>
          <w:jc w:val="center"/>
        </w:trPr>
        <w:tc>
          <w:tcPr>
            <w:tcW w:w="3077" w:type="dxa"/>
            <w:tcBorders>
              <w:top w:val="single" w:color="auto" w:sz="4" w:space="0"/>
              <w:bottom w:val="single" w:color="auto" w:sz="4" w:space="0"/>
            </w:tcBorders>
            <w:tcMar>
              <w:left w:w="0" w:type="dxa"/>
              <w:right w:w="0" w:type="dxa"/>
            </w:tcMar>
            <w:vAlign w:val="center"/>
          </w:tcPr>
          <w:p w14:paraId="1922277B">
            <w:pPr>
              <w:pStyle w:val="7"/>
              <w:spacing w:line="360" w:lineRule="auto"/>
              <w:jc w:val="center"/>
              <w:rPr>
                <w:rFonts w:hint="eastAsia" w:ascii="宋体" w:hAnsi="宋体" w:cs="宋体" w:eastAsiaTheme="minorEastAsia"/>
                <w:b/>
                <w:bCs/>
                <w:szCs w:val="21"/>
              </w:rPr>
            </w:pPr>
            <w:r>
              <w:rPr>
                <w:rFonts w:hint="eastAsia" w:ascii="宋体" w:hAnsi="宋体" w:cs="宋体" w:eastAsiaTheme="minorEastAsia"/>
                <w:b/>
                <w:bCs/>
                <w:szCs w:val="21"/>
              </w:rPr>
              <w:t>名称</w:t>
            </w:r>
          </w:p>
        </w:tc>
        <w:tc>
          <w:tcPr>
            <w:tcW w:w="5502" w:type="dxa"/>
            <w:tcBorders>
              <w:top w:val="single" w:color="auto" w:sz="4" w:space="0"/>
              <w:bottom w:val="single" w:color="auto" w:sz="4" w:space="0"/>
            </w:tcBorders>
            <w:tcMar>
              <w:left w:w="0" w:type="dxa"/>
              <w:right w:w="0" w:type="dxa"/>
            </w:tcMar>
            <w:vAlign w:val="center"/>
          </w:tcPr>
          <w:p w14:paraId="4E516B81">
            <w:pPr>
              <w:pStyle w:val="7"/>
              <w:spacing w:line="360" w:lineRule="auto"/>
              <w:jc w:val="center"/>
              <w:rPr>
                <w:rFonts w:hint="eastAsia" w:ascii="宋体" w:hAnsi="宋体" w:cs="宋体" w:eastAsiaTheme="minorEastAsia"/>
                <w:b/>
                <w:bCs/>
                <w:szCs w:val="21"/>
              </w:rPr>
            </w:pPr>
            <w:r>
              <w:rPr>
                <w:rFonts w:hint="eastAsia" w:ascii="宋体" w:hAnsi="宋体" w:cs="宋体" w:eastAsiaTheme="minorEastAsia"/>
                <w:b/>
                <w:bCs/>
                <w:szCs w:val="21"/>
              </w:rPr>
              <w:t>内容</w:t>
            </w:r>
          </w:p>
        </w:tc>
      </w:tr>
      <w:tr w14:paraId="54D484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33" w:hRule="atLeast"/>
          <w:jc w:val="center"/>
        </w:trPr>
        <w:tc>
          <w:tcPr>
            <w:tcW w:w="3077" w:type="dxa"/>
            <w:vMerge w:val="restart"/>
            <w:tcBorders>
              <w:top w:val="single" w:color="auto" w:sz="4" w:space="0"/>
              <w:bottom w:val="single" w:color="auto" w:sz="2" w:space="0"/>
              <w:right w:val="single" w:color="auto" w:sz="2" w:space="0"/>
            </w:tcBorders>
            <w:tcMar>
              <w:left w:w="0" w:type="dxa"/>
              <w:right w:w="0" w:type="dxa"/>
            </w:tcMar>
            <w:vAlign w:val="center"/>
          </w:tcPr>
          <w:p w14:paraId="2D9DECC9">
            <w:pPr>
              <w:pStyle w:val="7"/>
              <w:spacing w:line="360" w:lineRule="auto"/>
              <w:jc w:val="center"/>
              <w:rPr>
                <w:rFonts w:hint="eastAsia" w:ascii="宋体" w:hAnsi="宋体" w:cs="宋体" w:eastAsiaTheme="minorEastAsia"/>
                <w:szCs w:val="21"/>
              </w:rPr>
            </w:pPr>
            <w:r>
              <w:rPr>
                <w:rFonts w:hint="eastAsia" w:ascii="宋体" w:hAnsi="宋体" w:cs="宋体" w:eastAsiaTheme="minorEastAsia"/>
                <w:szCs w:val="21"/>
              </w:rPr>
              <w:t>投标总价</w:t>
            </w:r>
          </w:p>
        </w:tc>
        <w:tc>
          <w:tcPr>
            <w:tcW w:w="5502" w:type="dxa"/>
            <w:tcBorders>
              <w:top w:val="single" w:color="auto" w:sz="4" w:space="0"/>
              <w:left w:val="single" w:color="auto" w:sz="2" w:space="0"/>
              <w:bottom w:val="single" w:color="auto" w:sz="2" w:space="0"/>
            </w:tcBorders>
            <w:vAlign w:val="center"/>
          </w:tcPr>
          <w:p w14:paraId="1E91A786">
            <w:pPr>
              <w:pStyle w:val="7"/>
              <w:spacing w:line="360" w:lineRule="auto"/>
              <w:jc w:val="left"/>
              <w:rPr>
                <w:rFonts w:hint="eastAsia" w:ascii="宋体" w:hAnsi="宋体" w:cs="宋体" w:eastAsiaTheme="minorEastAsia"/>
                <w:szCs w:val="21"/>
              </w:rPr>
            </w:pPr>
            <w:r>
              <w:rPr>
                <w:rFonts w:hint="eastAsia" w:ascii="宋体" w:hAnsi="宋体" w:cs="宋体" w:eastAsiaTheme="minorEastAsia"/>
                <w:szCs w:val="21"/>
              </w:rPr>
              <w:t>（小写）</w:t>
            </w:r>
          </w:p>
        </w:tc>
      </w:tr>
      <w:tr w14:paraId="42B7BA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3077" w:type="dxa"/>
            <w:vMerge w:val="continue"/>
            <w:tcBorders>
              <w:top w:val="single" w:color="auto" w:sz="2" w:space="0"/>
              <w:bottom w:val="single" w:color="auto" w:sz="4" w:space="0"/>
              <w:right w:val="single" w:color="auto" w:sz="2" w:space="0"/>
            </w:tcBorders>
            <w:tcMar>
              <w:left w:w="0" w:type="dxa"/>
              <w:right w:w="0" w:type="dxa"/>
            </w:tcMar>
            <w:vAlign w:val="center"/>
          </w:tcPr>
          <w:p w14:paraId="77F05911">
            <w:pPr>
              <w:pStyle w:val="7"/>
              <w:spacing w:line="360" w:lineRule="auto"/>
              <w:jc w:val="center"/>
              <w:rPr>
                <w:rFonts w:hint="eastAsia" w:ascii="宋体" w:hAnsi="宋体" w:cs="宋体" w:eastAsiaTheme="minorEastAsia"/>
                <w:szCs w:val="21"/>
              </w:rPr>
            </w:pPr>
          </w:p>
        </w:tc>
        <w:tc>
          <w:tcPr>
            <w:tcW w:w="5502" w:type="dxa"/>
            <w:tcBorders>
              <w:top w:val="single" w:color="auto" w:sz="2" w:space="0"/>
              <w:left w:val="single" w:color="auto" w:sz="2" w:space="0"/>
              <w:bottom w:val="single" w:color="auto" w:sz="4" w:space="0"/>
              <w:right w:val="single" w:color="auto" w:sz="4" w:space="0"/>
            </w:tcBorders>
            <w:vAlign w:val="center"/>
          </w:tcPr>
          <w:p w14:paraId="5A95DFCE">
            <w:pPr>
              <w:pStyle w:val="7"/>
              <w:spacing w:line="360" w:lineRule="auto"/>
              <w:jc w:val="left"/>
              <w:rPr>
                <w:rFonts w:hint="eastAsia" w:ascii="宋体" w:hAnsi="宋体" w:cs="宋体" w:eastAsiaTheme="minorEastAsia"/>
                <w:szCs w:val="21"/>
              </w:rPr>
            </w:pPr>
            <w:r>
              <w:rPr>
                <w:rFonts w:hint="eastAsia" w:ascii="宋体" w:hAnsi="宋体" w:cs="宋体" w:eastAsiaTheme="minorEastAsia"/>
                <w:szCs w:val="21"/>
              </w:rPr>
              <w:t>（大写）</w:t>
            </w:r>
          </w:p>
        </w:tc>
      </w:tr>
      <w:tr w14:paraId="52664B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33" w:hRule="atLeast"/>
          <w:jc w:val="center"/>
        </w:trPr>
        <w:tc>
          <w:tcPr>
            <w:tcW w:w="3077" w:type="dxa"/>
            <w:tcBorders>
              <w:top w:val="single" w:color="auto" w:sz="2" w:space="0"/>
              <w:bottom w:val="single" w:color="auto" w:sz="4" w:space="0"/>
              <w:right w:val="single" w:color="auto" w:sz="2" w:space="0"/>
            </w:tcBorders>
            <w:tcMar>
              <w:left w:w="0" w:type="dxa"/>
              <w:right w:w="0" w:type="dxa"/>
            </w:tcMar>
            <w:vAlign w:val="center"/>
          </w:tcPr>
          <w:p w14:paraId="1D852F13">
            <w:pPr>
              <w:pStyle w:val="7"/>
              <w:spacing w:line="360" w:lineRule="auto"/>
              <w:jc w:val="center"/>
              <w:rPr>
                <w:rFonts w:hint="eastAsia" w:ascii="宋体" w:hAnsi="宋体" w:cs="宋体" w:eastAsiaTheme="minorEastAsia"/>
                <w:szCs w:val="21"/>
              </w:rPr>
            </w:pPr>
            <w:r>
              <w:rPr>
                <w:rFonts w:hint="eastAsia" w:ascii="宋体" w:hAnsi="宋体" w:cs="宋体" w:eastAsiaTheme="minorEastAsia"/>
                <w:szCs w:val="21"/>
              </w:rPr>
              <w:t>项目负责人</w:t>
            </w:r>
          </w:p>
        </w:tc>
        <w:tc>
          <w:tcPr>
            <w:tcW w:w="5502" w:type="dxa"/>
            <w:tcBorders>
              <w:top w:val="single" w:color="auto" w:sz="2" w:space="0"/>
              <w:left w:val="single" w:color="auto" w:sz="2" w:space="0"/>
              <w:bottom w:val="single" w:color="auto" w:sz="4" w:space="0"/>
              <w:right w:val="single" w:color="auto" w:sz="4" w:space="0"/>
            </w:tcBorders>
            <w:vAlign w:val="center"/>
          </w:tcPr>
          <w:p w14:paraId="196BAA05">
            <w:pPr>
              <w:pStyle w:val="7"/>
              <w:spacing w:line="360" w:lineRule="auto"/>
              <w:jc w:val="center"/>
              <w:rPr>
                <w:rFonts w:hint="eastAsia" w:ascii="宋体" w:hAnsi="宋体" w:cs="宋体" w:eastAsiaTheme="minorEastAsia"/>
                <w:szCs w:val="21"/>
              </w:rPr>
            </w:pPr>
          </w:p>
        </w:tc>
      </w:tr>
      <w:tr w14:paraId="1028EA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33" w:hRule="atLeast"/>
          <w:jc w:val="center"/>
        </w:trPr>
        <w:tc>
          <w:tcPr>
            <w:tcW w:w="3077" w:type="dxa"/>
            <w:tcBorders>
              <w:top w:val="single" w:color="auto" w:sz="2" w:space="0"/>
              <w:bottom w:val="single" w:color="auto" w:sz="4" w:space="0"/>
              <w:right w:val="single" w:color="auto" w:sz="2" w:space="0"/>
            </w:tcBorders>
            <w:tcMar>
              <w:left w:w="0" w:type="dxa"/>
              <w:right w:w="0" w:type="dxa"/>
            </w:tcMar>
            <w:vAlign w:val="center"/>
          </w:tcPr>
          <w:p w14:paraId="396D0982">
            <w:pPr>
              <w:pStyle w:val="7"/>
              <w:spacing w:line="360" w:lineRule="auto"/>
              <w:jc w:val="center"/>
              <w:rPr>
                <w:rFonts w:hint="eastAsia" w:ascii="宋体" w:hAnsi="宋体" w:cs="宋体" w:eastAsiaTheme="minorEastAsia"/>
                <w:szCs w:val="21"/>
              </w:rPr>
            </w:pPr>
            <w:r>
              <w:rPr>
                <w:rFonts w:hint="eastAsia" w:ascii="宋体" w:hAnsi="宋体" w:cs="宋体" w:eastAsiaTheme="minorEastAsia"/>
                <w:szCs w:val="21"/>
              </w:rPr>
              <w:t>质量目标</w:t>
            </w:r>
          </w:p>
        </w:tc>
        <w:tc>
          <w:tcPr>
            <w:tcW w:w="5502" w:type="dxa"/>
            <w:tcBorders>
              <w:top w:val="single" w:color="auto" w:sz="2" w:space="0"/>
              <w:left w:val="single" w:color="auto" w:sz="2" w:space="0"/>
              <w:bottom w:val="single" w:color="auto" w:sz="4" w:space="0"/>
              <w:right w:val="single" w:color="auto" w:sz="4" w:space="0"/>
            </w:tcBorders>
            <w:vAlign w:val="center"/>
          </w:tcPr>
          <w:p w14:paraId="27129D4A">
            <w:pPr>
              <w:pStyle w:val="7"/>
              <w:spacing w:line="360" w:lineRule="auto"/>
              <w:jc w:val="center"/>
              <w:rPr>
                <w:rFonts w:hint="eastAsia" w:ascii="宋体" w:hAnsi="宋体" w:cs="宋体" w:eastAsiaTheme="minorEastAsia"/>
                <w:szCs w:val="21"/>
              </w:rPr>
            </w:pPr>
          </w:p>
        </w:tc>
      </w:tr>
      <w:tr w14:paraId="02251A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43" w:hRule="atLeast"/>
          <w:jc w:val="center"/>
        </w:trPr>
        <w:tc>
          <w:tcPr>
            <w:tcW w:w="3077" w:type="dxa"/>
            <w:tcBorders>
              <w:top w:val="single" w:color="auto" w:sz="4" w:space="0"/>
            </w:tcBorders>
            <w:tcMar>
              <w:left w:w="0" w:type="dxa"/>
              <w:right w:w="0" w:type="dxa"/>
            </w:tcMar>
            <w:vAlign w:val="center"/>
          </w:tcPr>
          <w:p w14:paraId="0CB0DA86">
            <w:pPr>
              <w:pStyle w:val="7"/>
              <w:spacing w:line="360" w:lineRule="auto"/>
              <w:jc w:val="center"/>
              <w:rPr>
                <w:rFonts w:hint="eastAsia" w:ascii="宋体" w:hAnsi="宋体" w:cs="宋体" w:eastAsiaTheme="minorEastAsia"/>
                <w:szCs w:val="21"/>
              </w:rPr>
            </w:pPr>
            <w:r>
              <w:rPr>
                <w:rFonts w:hint="eastAsia" w:ascii="宋体" w:hAnsi="宋体" w:cs="宋体" w:eastAsiaTheme="minorEastAsia"/>
                <w:szCs w:val="21"/>
              </w:rPr>
              <w:t>工期</w:t>
            </w:r>
          </w:p>
        </w:tc>
        <w:tc>
          <w:tcPr>
            <w:tcW w:w="5502" w:type="dxa"/>
            <w:tcBorders>
              <w:top w:val="single" w:color="auto" w:sz="4" w:space="0"/>
              <w:right w:val="single" w:color="auto" w:sz="4" w:space="0"/>
            </w:tcBorders>
            <w:vAlign w:val="center"/>
          </w:tcPr>
          <w:p w14:paraId="77BBFEA6">
            <w:pPr>
              <w:widowControl/>
              <w:spacing w:line="360" w:lineRule="auto"/>
              <w:ind w:left="103" w:right="100"/>
              <w:jc w:val="center"/>
              <w:rPr>
                <w:rFonts w:hint="eastAsia" w:ascii="宋体" w:hAnsi="宋体" w:cs="宋体"/>
                <w:szCs w:val="21"/>
              </w:rPr>
            </w:pPr>
            <w:r>
              <w:rPr>
                <w:rFonts w:hint="eastAsia" w:ascii="宋体" w:hAnsi="宋体" w:cs="宋体"/>
                <w:szCs w:val="21"/>
              </w:rPr>
              <w:t>下达开工令后</w:t>
            </w:r>
            <w:r>
              <w:rPr>
                <w:rFonts w:hint="eastAsia" w:ascii="宋体" w:hAnsi="宋体" w:cs="宋体"/>
                <w:szCs w:val="21"/>
                <w:u w:val="single"/>
              </w:rPr>
              <w:t xml:space="preserve">         </w:t>
            </w:r>
            <w:r>
              <w:rPr>
                <w:rFonts w:hint="eastAsia" w:ascii="宋体" w:hAnsi="宋体" w:cs="宋体"/>
                <w:szCs w:val="21"/>
              </w:rPr>
              <w:t xml:space="preserve">天内完成施工图示和工程量清单包含的所有内容并提请采购人验收。 </w:t>
            </w:r>
          </w:p>
        </w:tc>
      </w:tr>
    </w:tbl>
    <w:p w14:paraId="64744FDE">
      <w:pPr>
        <w:autoSpaceDN w:val="0"/>
        <w:snapToGrid w:val="0"/>
        <w:spacing w:line="440" w:lineRule="exact"/>
        <w:jc w:val="right"/>
        <w:rPr>
          <w:rFonts w:hint="eastAsia" w:ascii="宋体" w:hAnsi="宋体" w:eastAsia="宋体" w:cs="宋体"/>
          <w:szCs w:val="21"/>
        </w:rPr>
      </w:pPr>
    </w:p>
    <w:p w14:paraId="5D28EA4A">
      <w:pPr>
        <w:autoSpaceDN w:val="0"/>
        <w:snapToGrid w:val="0"/>
        <w:spacing w:line="440" w:lineRule="exact"/>
        <w:rPr>
          <w:rFonts w:hint="eastAsia" w:ascii="宋体" w:hAnsi="宋体" w:eastAsia="宋体" w:cs="宋体"/>
        </w:rPr>
      </w:pPr>
      <w:r>
        <w:rPr>
          <w:rFonts w:hint="eastAsia" w:ascii="宋体" w:hAnsi="宋体" w:eastAsia="宋体" w:cs="宋体"/>
          <w:szCs w:val="21"/>
        </w:rPr>
        <w:t> 1.</w:t>
      </w:r>
      <w:r>
        <w:rPr>
          <w:rFonts w:hint="eastAsia" w:ascii="宋体" w:hAnsi="宋体" w:cs="宋体"/>
          <w:kern w:val="0"/>
          <w:szCs w:val="21"/>
        </w:rPr>
        <w:t>注：报价包含完成竞争性磋商文件所确定的招标范围内全部工作内容的价格表现。包括但不限于完成项目内容所需的一切人工费、材料费、机械费、措施费、管理费、利润、规费、税金、施工安全生产责任保险等政策性文件规定及合同明示或暗示的所有风险、责任、义务等各项应有的费用，具体内容详见具体详见采购人提供的工程量清单及编制说明。各投标供应商应根据采购人提供的全套施工图纸、工程量清单，以及本工程实际情况和自身的综合实力，竞报投标报价。</w:t>
      </w:r>
    </w:p>
    <w:p w14:paraId="05B10648">
      <w:pPr>
        <w:autoSpaceDN w:val="0"/>
        <w:spacing w:line="440" w:lineRule="exact"/>
        <w:jc w:val="left"/>
        <w:rPr>
          <w:rFonts w:hint="eastAsia" w:ascii="宋体" w:hAnsi="宋体" w:eastAsia="宋体" w:cs="宋体"/>
        </w:rPr>
      </w:pPr>
      <w:r>
        <w:rPr>
          <w:rFonts w:hint="eastAsia" w:ascii="宋体" w:hAnsi="宋体" w:eastAsia="宋体" w:cs="宋体"/>
          <w:szCs w:val="21"/>
        </w:rPr>
        <w:t> 2.报价一经涂改，应在涂改处加盖单位公章或者由法定代表人或授权委托人签字或盖章，否则其投标作无效标处理。</w:t>
      </w:r>
    </w:p>
    <w:p w14:paraId="734AB31F">
      <w:pPr>
        <w:autoSpaceDN w:val="0"/>
        <w:spacing w:line="440" w:lineRule="exact"/>
        <w:jc w:val="left"/>
        <w:rPr>
          <w:rFonts w:hint="eastAsia" w:ascii="宋体" w:hAnsi="宋体" w:eastAsia="宋体" w:cs="宋体"/>
        </w:rPr>
      </w:pPr>
      <w:r>
        <w:rPr>
          <w:rFonts w:hint="eastAsia" w:ascii="宋体" w:hAnsi="宋体" w:eastAsia="宋体" w:cs="宋体"/>
          <w:szCs w:val="21"/>
        </w:rPr>
        <w:t> </w:t>
      </w:r>
    </w:p>
    <w:p w14:paraId="13C6AA98">
      <w:pPr>
        <w:autoSpaceDN w:val="0"/>
        <w:spacing w:line="440" w:lineRule="exact"/>
        <w:jc w:val="left"/>
        <w:rPr>
          <w:rFonts w:hint="eastAsia" w:ascii="宋体" w:hAnsi="宋体" w:eastAsia="宋体" w:cs="宋体"/>
        </w:rPr>
      </w:pPr>
      <w:r>
        <w:rPr>
          <w:rFonts w:hint="eastAsia" w:ascii="宋体" w:hAnsi="宋体" w:eastAsia="宋体" w:cs="宋体"/>
          <w:szCs w:val="21"/>
        </w:rPr>
        <w:t>供应商（盖章）：</w:t>
      </w:r>
    </w:p>
    <w:p w14:paraId="478B4649">
      <w:pPr>
        <w:autoSpaceDN w:val="0"/>
        <w:snapToGrid w:val="0"/>
        <w:spacing w:line="440" w:lineRule="exact"/>
        <w:rPr>
          <w:rFonts w:hint="eastAsia" w:ascii="宋体" w:hAnsi="宋体" w:eastAsia="宋体" w:cs="宋体"/>
          <w:szCs w:val="21"/>
        </w:rPr>
      </w:pPr>
      <w:r>
        <w:rPr>
          <w:rFonts w:hint="eastAsia" w:ascii="宋体" w:hAnsi="宋体" w:eastAsia="宋体" w:cs="宋体"/>
          <w:szCs w:val="21"/>
        </w:rPr>
        <w:t>法定代表人或授权委托人签字或电子印章：</w:t>
      </w:r>
    </w:p>
    <w:p w14:paraId="451439C8">
      <w:pPr>
        <w:autoSpaceDN w:val="0"/>
        <w:snapToGrid w:val="0"/>
        <w:spacing w:line="440" w:lineRule="exact"/>
        <w:rPr>
          <w:rFonts w:hint="eastAsia" w:ascii="宋体" w:hAnsi="宋体" w:eastAsia="宋体" w:cs="宋体"/>
        </w:rPr>
      </w:pPr>
      <w:r>
        <w:rPr>
          <w:rFonts w:hint="eastAsia" w:ascii="宋体" w:hAnsi="宋体" w:eastAsia="宋体" w:cs="宋体"/>
          <w:szCs w:val="21"/>
        </w:rPr>
        <w:t>日期：</w:t>
      </w:r>
      <w:bookmarkStart w:id="589" w:name="_Hlk35438624"/>
    </w:p>
    <w:bookmarkEnd w:id="588"/>
    <w:bookmarkEnd w:id="589"/>
    <w:tbl>
      <w:tblPr>
        <w:tblStyle w:val="25"/>
        <w:tblpPr w:leftFromText="180" w:rightFromText="180" w:vertAnchor="page" w:horzAnchor="margin" w:tblpXSpec="center" w:tblpY="886"/>
        <w:tblW w:w="1489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4894"/>
      </w:tblGrid>
      <w:tr w14:paraId="082E95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99" w:hRule="atLeast"/>
        </w:trPr>
        <w:tc>
          <w:tcPr>
            <w:tcW w:w="14894" w:type="dxa"/>
            <w:tcBorders>
              <w:top w:val="nil"/>
              <w:left w:val="nil"/>
              <w:bottom w:val="nil"/>
              <w:right w:val="nil"/>
            </w:tcBorders>
            <w:vAlign w:val="bottom"/>
          </w:tcPr>
          <w:p w14:paraId="33F990A3">
            <w:pPr>
              <w:widowControl/>
              <w:autoSpaceDN w:val="0"/>
              <w:jc w:val="center"/>
              <w:rPr>
                <w:rFonts w:hint="eastAsia" w:ascii="宋体" w:hAnsi="宋体" w:eastAsia="宋体" w:cs="宋体"/>
              </w:rPr>
            </w:pPr>
          </w:p>
        </w:tc>
      </w:tr>
    </w:tbl>
    <w:p w14:paraId="7E18293F">
      <w:pPr>
        <w:pStyle w:val="87"/>
        <w:ind w:firstLine="440"/>
        <w:rPr>
          <w:rFonts w:hint="eastAsia"/>
        </w:rPr>
      </w:pPr>
    </w:p>
    <w:p w14:paraId="7FF351D1">
      <w:pPr>
        <w:pStyle w:val="87"/>
        <w:spacing w:line="240" w:lineRule="auto"/>
        <w:ind w:firstLine="442"/>
        <w:rPr>
          <w:rFonts w:hint="eastAsia" w:eastAsia="宋体" w:cs="Times New Roman"/>
          <w:b/>
          <w:bCs/>
        </w:rPr>
      </w:pPr>
      <w:r>
        <w:rPr>
          <w:rFonts w:hint="eastAsia"/>
          <w:b/>
          <w:bCs/>
        </w:rPr>
        <w:t>投标文件解密结束，供应商通过电子邮件形式将经授权代表签署的《政府采购活动现场确认声明书》的扫描件（或图片）发至采购代理机构邮箱：zgtzfgs@163.com。开评标活动结束之前供应商拒不发送《政府采购活动现场确认声明书》的，由此产生的一切风险责任由供应商自行承担。</w:t>
      </w:r>
    </w:p>
    <w:p w14:paraId="3496A98D">
      <w:pPr>
        <w:pStyle w:val="45"/>
        <w:widowControl w:val="0"/>
        <w:snapToGrid w:val="0"/>
        <w:spacing w:line="500" w:lineRule="exact"/>
        <w:jc w:val="center"/>
        <w:rPr>
          <w:rFonts w:hAnsi="宋体" w:cs="宋体"/>
          <w:sz w:val="36"/>
          <w:szCs w:val="36"/>
        </w:rPr>
      </w:pPr>
      <w:r>
        <w:rPr>
          <w:rFonts w:hAnsi="宋体" w:cs="宋体"/>
          <w:sz w:val="36"/>
          <w:szCs w:val="36"/>
        </w:rPr>
        <w:t>政府采购活动现场确认声明书</w:t>
      </w:r>
    </w:p>
    <w:p w14:paraId="12F34BFC">
      <w:pPr>
        <w:pStyle w:val="45"/>
        <w:widowControl w:val="0"/>
        <w:snapToGrid w:val="0"/>
        <w:spacing w:line="520" w:lineRule="exact"/>
        <w:jc w:val="both"/>
        <w:rPr>
          <w:rFonts w:hAnsi="宋体" w:cs="宋体"/>
          <w:b/>
          <w:szCs w:val="21"/>
        </w:rPr>
      </w:pPr>
      <w:r>
        <w:rPr>
          <w:rFonts w:hAnsi="宋体" w:cs="宋体"/>
          <w:kern w:val="0"/>
          <w:szCs w:val="21"/>
          <w:u w:val="single"/>
        </w:rPr>
        <w:t>中冠工程管理咨询有限公司</w:t>
      </w:r>
      <w:r>
        <w:rPr>
          <w:rFonts w:hAnsi="宋体" w:cs="宋体"/>
          <w:kern w:val="0"/>
          <w:szCs w:val="21"/>
        </w:rPr>
        <w:t>：</w:t>
      </w:r>
    </w:p>
    <w:p w14:paraId="1AB6BA25">
      <w:pPr>
        <w:pStyle w:val="45"/>
        <w:widowControl w:val="0"/>
        <w:snapToGrid w:val="0"/>
        <w:spacing w:line="520" w:lineRule="exact"/>
        <w:ind w:firstLine="444" w:firstLineChars="200"/>
        <w:jc w:val="both"/>
        <w:rPr>
          <w:rFonts w:hAnsi="宋体" w:cs="宋体"/>
          <w:spacing w:val="6"/>
          <w:szCs w:val="21"/>
        </w:rPr>
      </w:pPr>
      <w:r>
        <w:rPr>
          <w:rFonts w:hAnsi="宋体" w:cs="宋体"/>
          <w:spacing w:val="6"/>
          <w:szCs w:val="21"/>
        </w:rPr>
        <w:t>本人经由</w:t>
      </w:r>
      <w:r>
        <w:rPr>
          <w:rFonts w:hAnsi="宋体" w:cs="宋体"/>
          <w:spacing w:val="6"/>
          <w:szCs w:val="21"/>
          <w:u w:val="single"/>
        </w:rPr>
        <w:t>（单位）</w:t>
      </w:r>
      <w:r>
        <w:rPr>
          <w:rFonts w:hAnsi="宋体" w:cs="宋体"/>
          <w:spacing w:val="6"/>
          <w:szCs w:val="21"/>
        </w:rPr>
        <w:t>法人代表（负责人）</w:t>
      </w:r>
      <w:r>
        <w:rPr>
          <w:rFonts w:hAnsi="宋体" w:cs="宋体"/>
          <w:spacing w:val="6"/>
          <w:szCs w:val="21"/>
          <w:u w:val="single"/>
        </w:rPr>
        <w:t>（姓名）</w:t>
      </w:r>
      <w:r>
        <w:rPr>
          <w:rFonts w:hAnsi="宋体" w:cs="宋体"/>
          <w:spacing w:val="6"/>
          <w:szCs w:val="21"/>
        </w:rPr>
        <w:t>合法授权参加</w:t>
      </w:r>
      <w:r>
        <w:rPr>
          <w:rFonts w:hAnsi="宋体" w:cs="宋体"/>
          <w:spacing w:val="6"/>
          <w:szCs w:val="21"/>
          <w:u w:val="single"/>
        </w:rPr>
        <w:t>（项目名称）（项目编号：          ）</w:t>
      </w:r>
      <w:r>
        <w:rPr>
          <w:rFonts w:hAnsi="宋体" w:cs="宋体"/>
          <w:spacing w:val="6"/>
          <w:szCs w:val="21"/>
        </w:rPr>
        <w:t>政府采购活动，经与本单位法人代表（负责人）联系确认，现就有关公平竞争事项郑重声明如下：</w:t>
      </w:r>
    </w:p>
    <w:p w14:paraId="6F0FEEBC">
      <w:pPr>
        <w:pStyle w:val="46"/>
        <w:widowControl/>
        <w:snapToGrid w:val="0"/>
        <w:spacing w:line="520" w:lineRule="exact"/>
        <w:rPr>
          <w:rFonts w:ascii="宋体" w:hAnsi="宋体" w:cs="宋体"/>
          <w:kern w:val="0"/>
          <w:szCs w:val="21"/>
        </w:rPr>
      </w:pPr>
      <w:r>
        <w:rPr>
          <w:rFonts w:ascii="宋体" w:hAnsi="宋体" w:cs="宋体"/>
          <w:kern w:val="0"/>
          <w:szCs w:val="21"/>
        </w:rPr>
        <w:t>一、本单位与采购人之间</w:t>
      </w:r>
      <w:r>
        <w:rPr>
          <w:rFonts w:ascii="宋体" w:hAnsi="宋体" w:cs="宋体"/>
          <w:kern w:val="0"/>
          <w:sz w:val="36"/>
          <w:szCs w:val="36"/>
        </w:rPr>
        <w:t>□</w:t>
      </w:r>
      <w:r>
        <w:rPr>
          <w:rFonts w:ascii="宋体" w:hAnsi="宋体" w:cs="宋体"/>
          <w:kern w:val="0"/>
          <w:szCs w:val="21"/>
        </w:rPr>
        <w:t>不存在利害关系</w:t>
      </w:r>
      <w:r>
        <w:rPr>
          <w:rFonts w:ascii="宋体" w:hAnsi="宋体" w:cs="宋体"/>
          <w:kern w:val="0"/>
          <w:sz w:val="36"/>
          <w:szCs w:val="36"/>
        </w:rPr>
        <w:t>□</w:t>
      </w:r>
      <w:r>
        <w:rPr>
          <w:rFonts w:ascii="宋体" w:hAnsi="宋体" w:cs="宋体"/>
          <w:kern w:val="0"/>
          <w:szCs w:val="21"/>
        </w:rPr>
        <w:t>存在下列利害关系：</w:t>
      </w:r>
    </w:p>
    <w:p w14:paraId="5146A592">
      <w:pPr>
        <w:pStyle w:val="46"/>
        <w:widowControl/>
        <w:snapToGrid w:val="0"/>
        <w:spacing w:line="520" w:lineRule="exact"/>
        <w:rPr>
          <w:rFonts w:ascii="宋体" w:hAnsi="宋体" w:cs="宋体"/>
          <w:kern w:val="0"/>
          <w:szCs w:val="21"/>
        </w:rPr>
      </w:pPr>
      <w:r>
        <w:rPr>
          <w:rFonts w:ascii="宋体" w:hAnsi="宋体" w:cs="宋体"/>
          <w:kern w:val="0"/>
          <w:szCs w:val="21"/>
        </w:rPr>
        <w:t xml:space="preserve">  A.投资关系    B.行政隶属关系    C.业务指导关系</w:t>
      </w:r>
    </w:p>
    <w:p w14:paraId="1E4AB4DF">
      <w:pPr>
        <w:pStyle w:val="46"/>
        <w:widowControl/>
        <w:snapToGrid w:val="0"/>
        <w:spacing w:line="520" w:lineRule="exact"/>
        <w:rPr>
          <w:rFonts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（如有，请如实说明）</w:t>
      </w:r>
      <w:r>
        <w:rPr>
          <w:rFonts w:ascii="宋体" w:hAnsi="宋体" w:cs="宋体"/>
          <w:kern w:val="0"/>
          <w:szCs w:val="21"/>
        </w:rPr>
        <w:t>。</w:t>
      </w:r>
    </w:p>
    <w:p w14:paraId="330998E4">
      <w:pPr>
        <w:pStyle w:val="46"/>
        <w:widowControl/>
        <w:snapToGrid w:val="0"/>
        <w:spacing w:line="520" w:lineRule="exact"/>
        <w:rPr>
          <w:rFonts w:ascii="宋体" w:hAnsi="宋体" w:cs="宋体"/>
          <w:kern w:val="0"/>
          <w:szCs w:val="21"/>
        </w:rPr>
      </w:pPr>
      <w:r>
        <w:rPr>
          <w:rFonts w:ascii="宋体" w:hAnsi="宋体" w:cs="宋体"/>
          <w:spacing w:val="6"/>
          <w:szCs w:val="21"/>
        </w:rPr>
        <w:t>二、</w:t>
      </w:r>
      <w:r>
        <w:rPr>
          <w:rFonts w:ascii="宋体" w:hAnsi="宋体" w:cs="宋体"/>
          <w:kern w:val="0"/>
          <w:szCs w:val="21"/>
        </w:rPr>
        <w:t>现已清楚知道参加本项目采购活动的其他所有供应商名称，本单位</w:t>
      </w:r>
      <w:r>
        <w:rPr>
          <w:rFonts w:ascii="宋体" w:hAnsi="宋体" w:cs="宋体"/>
          <w:kern w:val="0"/>
          <w:sz w:val="36"/>
          <w:szCs w:val="36"/>
        </w:rPr>
        <w:t>□</w:t>
      </w:r>
      <w:r>
        <w:rPr>
          <w:rFonts w:ascii="宋体" w:hAnsi="宋体" w:cs="宋体"/>
          <w:kern w:val="0"/>
          <w:szCs w:val="21"/>
        </w:rPr>
        <w:t>与其他所有供应商之间均不存在利害关系</w:t>
      </w:r>
      <w:r>
        <w:rPr>
          <w:rFonts w:ascii="宋体" w:hAnsi="宋体" w:cs="宋体"/>
          <w:kern w:val="0"/>
          <w:sz w:val="36"/>
          <w:szCs w:val="36"/>
        </w:rPr>
        <w:t>□</w:t>
      </w:r>
      <w:r>
        <w:rPr>
          <w:rFonts w:ascii="宋体" w:hAnsi="宋体" w:cs="宋体"/>
          <w:kern w:val="0"/>
          <w:szCs w:val="21"/>
        </w:rPr>
        <w:t>与</w:t>
      </w:r>
      <w:r>
        <w:rPr>
          <w:rFonts w:ascii="宋体" w:hAnsi="宋体" w:cs="宋体"/>
          <w:kern w:val="0"/>
          <w:szCs w:val="21"/>
          <w:u w:val="single"/>
        </w:rPr>
        <w:t>（供应商名称）</w:t>
      </w:r>
      <w:r>
        <w:rPr>
          <w:rFonts w:ascii="宋体" w:hAnsi="宋体" w:cs="宋体"/>
          <w:kern w:val="0"/>
          <w:szCs w:val="21"/>
        </w:rPr>
        <w:t>之间存在下列利害关系：</w:t>
      </w:r>
    </w:p>
    <w:p w14:paraId="123B406B">
      <w:pPr>
        <w:pStyle w:val="45"/>
        <w:widowControl w:val="0"/>
        <w:snapToGrid w:val="0"/>
        <w:spacing w:line="520" w:lineRule="exact"/>
        <w:jc w:val="both"/>
        <w:rPr>
          <w:rFonts w:hAnsi="宋体" w:cs="宋体"/>
          <w:kern w:val="0"/>
          <w:szCs w:val="21"/>
        </w:rPr>
      </w:pPr>
      <w:r>
        <w:rPr>
          <w:rFonts w:hAnsi="宋体" w:cs="宋体"/>
          <w:kern w:val="0"/>
          <w:szCs w:val="21"/>
        </w:rPr>
        <w:t xml:space="preserve">  A.法定代表人或负责人或实际控制人是同一人；</w:t>
      </w:r>
    </w:p>
    <w:p w14:paraId="0622F755">
      <w:pPr>
        <w:pStyle w:val="45"/>
        <w:widowControl w:val="0"/>
        <w:snapToGrid w:val="0"/>
        <w:spacing w:line="520" w:lineRule="exact"/>
        <w:jc w:val="both"/>
        <w:rPr>
          <w:rFonts w:hAnsi="宋体" w:cs="宋体"/>
          <w:spacing w:val="6"/>
          <w:szCs w:val="21"/>
        </w:rPr>
      </w:pPr>
      <w:r>
        <w:rPr>
          <w:rFonts w:hAnsi="宋体" w:cs="宋体"/>
          <w:kern w:val="0"/>
          <w:szCs w:val="21"/>
        </w:rPr>
        <w:t xml:space="preserve">  B.法定代表人或负责人或实际控制人是夫妻关系；</w:t>
      </w:r>
    </w:p>
    <w:p w14:paraId="06771CAC">
      <w:pPr>
        <w:pStyle w:val="45"/>
        <w:widowControl w:val="0"/>
        <w:snapToGrid w:val="0"/>
        <w:spacing w:line="520" w:lineRule="exact"/>
        <w:jc w:val="both"/>
        <w:rPr>
          <w:rFonts w:hAnsi="宋体" w:cs="宋体"/>
          <w:spacing w:val="6"/>
          <w:szCs w:val="21"/>
        </w:rPr>
      </w:pPr>
      <w:r>
        <w:rPr>
          <w:rFonts w:hAnsi="宋体" w:cs="宋体"/>
          <w:kern w:val="0"/>
          <w:szCs w:val="21"/>
        </w:rPr>
        <w:t xml:space="preserve">  C.法定代表人或负责人或实际控制人是直系血亲关系；</w:t>
      </w:r>
    </w:p>
    <w:p w14:paraId="2293AD15">
      <w:pPr>
        <w:pStyle w:val="45"/>
        <w:widowControl w:val="0"/>
        <w:snapToGrid w:val="0"/>
        <w:spacing w:line="520" w:lineRule="exact"/>
        <w:jc w:val="both"/>
        <w:rPr>
          <w:rFonts w:hAnsi="宋体" w:cs="宋体"/>
          <w:spacing w:val="6"/>
          <w:szCs w:val="21"/>
        </w:rPr>
      </w:pPr>
      <w:r>
        <w:rPr>
          <w:rFonts w:hAnsi="宋体" w:cs="宋体"/>
          <w:kern w:val="0"/>
          <w:szCs w:val="21"/>
        </w:rPr>
        <w:t xml:space="preserve">  D.法定代表人或负责人或实际控制人存在三代以内旁系血亲关系；</w:t>
      </w:r>
    </w:p>
    <w:p w14:paraId="1663B3C2">
      <w:pPr>
        <w:pStyle w:val="45"/>
        <w:widowControl w:val="0"/>
        <w:snapToGrid w:val="0"/>
        <w:spacing w:line="520" w:lineRule="exact"/>
        <w:jc w:val="both"/>
        <w:rPr>
          <w:rFonts w:hAnsi="宋体" w:cs="宋体"/>
          <w:kern w:val="0"/>
          <w:szCs w:val="21"/>
        </w:rPr>
      </w:pPr>
      <w:r>
        <w:rPr>
          <w:rFonts w:hAnsi="宋体" w:cs="宋体"/>
          <w:kern w:val="0"/>
          <w:szCs w:val="21"/>
        </w:rPr>
        <w:t xml:space="preserve">  E.法定代表人或负责人或实际控制人存在近姻亲关系；</w:t>
      </w:r>
    </w:p>
    <w:p w14:paraId="09F3C4A4">
      <w:pPr>
        <w:pStyle w:val="45"/>
        <w:widowControl w:val="0"/>
        <w:snapToGrid w:val="0"/>
        <w:spacing w:line="520" w:lineRule="exact"/>
        <w:jc w:val="both"/>
        <w:rPr>
          <w:rFonts w:hAnsi="宋体" w:cs="宋体"/>
          <w:kern w:val="0"/>
          <w:szCs w:val="21"/>
        </w:rPr>
      </w:pPr>
      <w:r>
        <w:rPr>
          <w:rFonts w:hAnsi="宋体" w:cs="宋体"/>
          <w:kern w:val="0"/>
          <w:szCs w:val="21"/>
        </w:rPr>
        <w:t xml:space="preserve">  F.法定代表人或负责人或实际控制人存在股份控制或实际控制关系；</w:t>
      </w:r>
      <w:bookmarkStart w:id="590" w:name="_Toc14475"/>
      <w:bookmarkStart w:id="591" w:name="_Toc13936"/>
    </w:p>
    <w:p w14:paraId="67CB6CAA">
      <w:pPr>
        <w:pStyle w:val="45"/>
        <w:widowControl w:val="0"/>
        <w:snapToGrid w:val="0"/>
        <w:spacing w:line="520" w:lineRule="exact"/>
        <w:ind w:firstLine="210" w:firstLineChars="100"/>
        <w:jc w:val="both"/>
        <w:rPr>
          <w:rFonts w:hAnsi="宋体" w:cs="宋体"/>
          <w:kern w:val="0"/>
          <w:szCs w:val="21"/>
        </w:rPr>
      </w:pPr>
      <w:r>
        <w:rPr>
          <w:rFonts w:hAnsi="宋体" w:cs="宋体"/>
          <w:kern w:val="0"/>
          <w:szCs w:val="21"/>
        </w:rPr>
        <w:t>G.存在共同直接或间接投资设立子公司、联营企业和合营企业情况；</w:t>
      </w:r>
      <w:bookmarkEnd w:id="590"/>
      <w:bookmarkEnd w:id="591"/>
    </w:p>
    <w:p w14:paraId="0214B298">
      <w:pPr>
        <w:pStyle w:val="45"/>
        <w:widowControl w:val="0"/>
        <w:snapToGrid w:val="0"/>
        <w:spacing w:line="520" w:lineRule="exact"/>
        <w:jc w:val="both"/>
        <w:rPr>
          <w:rFonts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14:paraId="6F1415DB">
      <w:pPr>
        <w:pStyle w:val="46"/>
        <w:widowControl/>
        <w:snapToGrid w:val="0"/>
        <w:spacing w:line="520" w:lineRule="exact"/>
        <w:rPr>
          <w:rFonts w:ascii="宋体" w:hAnsi="宋体" w:cs="宋体"/>
          <w:kern w:val="0"/>
          <w:szCs w:val="21"/>
        </w:rPr>
      </w:pPr>
      <w:r>
        <w:rPr>
          <w:rFonts w:ascii="宋体" w:hAnsi="宋体" w:cs="宋体"/>
          <w:szCs w:val="21"/>
        </w:rPr>
        <w:t xml:space="preserve">  I</w:t>
      </w:r>
      <w:r>
        <w:rPr>
          <w:rFonts w:ascii="宋体" w:hAnsi="宋体" w:cs="宋体"/>
          <w:kern w:val="0"/>
          <w:szCs w:val="21"/>
        </w:rPr>
        <w:t>.</w:t>
      </w:r>
      <w:r>
        <w:rPr>
          <w:rFonts w:ascii="宋体" w:hAnsi="宋体" w:cs="宋体"/>
          <w:szCs w:val="21"/>
        </w:rPr>
        <w:t>其他利害关系情况</w:t>
      </w:r>
      <w:r>
        <w:rPr>
          <w:rFonts w:ascii="仿宋" w:hAnsi="仿宋"/>
          <w:kern w:val="0"/>
          <w:sz w:val="24"/>
          <w:szCs w:val="24"/>
          <w:u w:val="single"/>
        </w:rPr>
        <w:t xml:space="preserve">                  </w:t>
      </w:r>
      <w:r>
        <w:rPr>
          <w:rFonts w:hint="default" w:ascii="仿宋" w:hAnsi="仿宋"/>
          <w:kern w:val="0"/>
          <w:sz w:val="24"/>
          <w:szCs w:val="24"/>
          <w:u w:val="single"/>
        </w:rPr>
        <w:t xml:space="preserve"> </w:t>
      </w:r>
      <w:r>
        <w:rPr>
          <w:rFonts w:ascii="仿宋" w:hAnsi="仿宋"/>
          <w:kern w:val="0"/>
          <w:sz w:val="24"/>
          <w:szCs w:val="24"/>
          <w:u w:val="single"/>
        </w:rPr>
        <w:t xml:space="preserve">      </w:t>
      </w:r>
      <w:r>
        <w:rPr>
          <w:rFonts w:ascii="宋体" w:hAnsi="宋体" w:cs="宋体"/>
          <w:kern w:val="0"/>
          <w:szCs w:val="21"/>
        </w:rPr>
        <w:t>。</w:t>
      </w:r>
    </w:p>
    <w:p w14:paraId="70976BF1">
      <w:pPr>
        <w:pStyle w:val="46"/>
        <w:widowControl/>
        <w:numPr>
          <w:ilvl w:val="0"/>
          <w:numId w:val="6"/>
        </w:numPr>
        <w:snapToGrid w:val="0"/>
        <w:spacing w:line="520" w:lineRule="exact"/>
        <w:ind w:firstLine="396" w:firstLineChars="189"/>
        <w:rPr>
          <w:rFonts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14:paraId="7C14F75B">
      <w:pPr>
        <w:pStyle w:val="46"/>
        <w:widowControl/>
        <w:numPr>
          <w:ilvl w:val="0"/>
          <w:numId w:val="6"/>
        </w:numPr>
        <w:snapToGrid w:val="0"/>
        <w:spacing w:line="520" w:lineRule="exact"/>
        <w:ind w:firstLine="396" w:firstLineChars="189"/>
        <w:rPr>
          <w:rFonts w:ascii="宋体" w:hAnsi="宋体" w:cs="宋体"/>
          <w:szCs w:val="21"/>
        </w:rPr>
      </w:pPr>
      <w:r>
        <w:rPr>
          <w:rFonts w:ascii="宋体" w:hAnsi="宋体" w:cs="宋体"/>
          <w:kern w:val="0"/>
          <w:szCs w:val="21"/>
        </w:rPr>
        <w:t>我发现供应商</w:t>
      </w:r>
      <w:r>
        <w:rPr>
          <w:rFonts w:ascii="宋体" w:hAnsi="宋体" w:cs="宋体"/>
          <w:kern w:val="0"/>
          <w:szCs w:val="21"/>
          <w:u w:val="single"/>
        </w:rPr>
        <w:t xml:space="preserve">              </w:t>
      </w:r>
      <w:r>
        <w:rPr>
          <w:rFonts w:ascii="宋体" w:hAnsi="宋体" w:cs="宋体"/>
          <w:kern w:val="0"/>
          <w:szCs w:val="21"/>
        </w:rPr>
        <w:t>之间存在或可能存在上述第二条第</w:t>
      </w:r>
      <w:r>
        <w:rPr>
          <w:rFonts w:ascii="仿宋" w:hAnsi="仿宋"/>
          <w:kern w:val="0"/>
          <w:sz w:val="24"/>
          <w:szCs w:val="24"/>
          <w:u w:val="single"/>
        </w:rPr>
        <w:t xml:space="preserve">   </w:t>
      </w:r>
      <w:r>
        <w:rPr>
          <w:rFonts w:hint="default" w:ascii="仿宋" w:hAnsi="仿宋"/>
          <w:kern w:val="0"/>
          <w:sz w:val="24"/>
          <w:szCs w:val="24"/>
          <w:u w:val="single"/>
        </w:rPr>
        <w:t xml:space="preserve"> </w:t>
      </w:r>
      <w:r>
        <w:rPr>
          <w:rFonts w:ascii="宋体" w:hAnsi="宋体" w:cs="宋体"/>
          <w:kern w:val="0"/>
          <w:szCs w:val="21"/>
        </w:rPr>
        <w:t>项利害关系。</w:t>
      </w:r>
    </w:p>
    <w:p w14:paraId="4B62532C">
      <w:pPr>
        <w:pStyle w:val="46"/>
        <w:widowControl/>
        <w:snapToGrid w:val="0"/>
        <w:spacing w:line="520" w:lineRule="exact"/>
        <w:jc w:val="right"/>
        <w:rPr>
          <w:rFonts w:ascii="宋体" w:hAnsi="宋体" w:cs="宋体"/>
          <w:szCs w:val="21"/>
        </w:rPr>
      </w:pPr>
      <w:r>
        <w:rPr>
          <w:rFonts w:ascii="宋体" w:hAnsi="宋体" w:cs="宋体"/>
          <w:szCs w:val="21"/>
        </w:rPr>
        <w:t>（供应商代表签名）：</w:t>
      </w:r>
    </w:p>
    <w:p w14:paraId="161D953B">
      <w:pPr>
        <w:jc w:val="right"/>
      </w:pPr>
      <w:r>
        <w:rPr>
          <w:rFonts w:hint="eastAsia" w:ascii="宋体" w:hAnsi="宋体" w:eastAsia="宋体" w:cs="宋体"/>
          <w:szCs w:val="21"/>
        </w:rPr>
        <w:t xml:space="preserve">                                 2025年  月  日</w:t>
      </w:r>
    </w:p>
    <w:sectPr>
      <w:pgSz w:w="11906" w:h="16838"/>
      <w:pgMar w:top="1213" w:right="1633" w:bottom="121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ingLiU_HKSCS">
    <w:panose1 w:val="02020500000000000000"/>
    <w:charset w:val="88"/>
    <w:family w:val="roman"/>
    <w:pitch w:val="default"/>
    <w:sig w:usb0="A00002FF" w:usb1="38CFFCFA" w:usb2="00000016" w:usb3="00000000" w:csb0="0010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8C14D">
    <w:pPr>
      <w:pStyle w:val="16"/>
      <w:jc w:val="right"/>
    </w:pPr>
  </w:p>
  <w:p w14:paraId="4BAC7F6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56444">
    <w:pPr>
      <w:snapToGrid w:val="0"/>
      <w:jc w:val="center"/>
      <w:rPr>
        <w:rFonts w:ascii="Times New Roman" w:hAnsi="Times New Roman" w:eastAsia="仿宋_GB2312" w:cs="Times New Roman"/>
        <w:sz w:val="18"/>
      </w:rPr>
    </w:pPr>
    <w:r>
      <w:rPr>
        <w:rFonts w:ascii="Times New Roman" w:hAnsi="Times New Roman" w:eastAsia="仿宋_GB2312" w:cs="Times New Roman"/>
        <w:sz w:val="18"/>
      </w:rPr>
      <w:fldChar w:fldCharType="begin"/>
    </w:r>
    <w:r>
      <w:rPr>
        <w:rFonts w:ascii="Times New Roman" w:hAnsi="Times New Roman" w:eastAsia="仿宋_GB2312" w:cs="Times New Roman"/>
        <w:sz w:val="18"/>
      </w:rPr>
      <w:instrText xml:space="preserve"> PAGE   \* MERGEFORMAT </w:instrText>
    </w:r>
    <w:r>
      <w:rPr>
        <w:rFonts w:ascii="Times New Roman" w:hAnsi="Times New Roman" w:eastAsia="仿宋_GB2312" w:cs="Times New Roman"/>
        <w:sz w:val="18"/>
      </w:rPr>
      <w:fldChar w:fldCharType="separate"/>
    </w:r>
    <w:r>
      <w:rPr>
        <w:rFonts w:ascii="Times New Roman" w:hAnsi="Times New Roman" w:eastAsia="仿宋_GB2312" w:cs="Times New Roman"/>
        <w:sz w:val="18"/>
        <w:lang w:val="zh-CN"/>
      </w:rPr>
      <w:t>-</w:t>
    </w:r>
    <w:r>
      <w:rPr>
        <w:rFonts w:ascii="Times New Roman" w:hAnsi="Times New Roman" w:eastAsia="仿宋_GB2312" w:cs="Times New Roman"/>
        <w:sz w:val="18"/>
      </w:rPr>
      <w:t xml:space="preserve"> 45 -</w:t>
    </w:r>
    <w:r>
      <w:rPr>
        <w:rFonts w:ascii="Times New Roman" w:hAnsi="Times New Roman" w:eastAsia="仿宋_GB2312" w:cs="Times New Roman"/>
        <w:sz w:val="18"/>
      </w:rPr>
      <w:fldChar w:fldCharType="end"/>
    </w:r>
  </w:p>
  <w:p w14:paraId="41F44BCF">
    <w:pPr>
      <w:snapToGrid w:val="0"/>
      <w:jc w:val="left"/>
      <w:rPr>
        <w:rFonts w:ascii="Times New Roman" w:hAnsi="Times New Roman" w:eastAsia="仿宋_GB2312" w:cs="Times New Roman"/>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85830"/>
    </w:sdtPr>
    <w:sdtContent>
      <w:p w14:paraId="1870FE59">
        <w:pPr>
          <w:pStyle w:val="16"/>
          <w:jc w:val="right"/>
        </w:pPr>
        <w:r>
          <w:fldChar w:fldCharType="begin"/>
        </w:r>
        <w:r>
          <w:instrText xml:space="preserve"> PAGE   \* MERGEFORMAT </w:instrText>
        </w:r>
        <w:r>
          <w:fldChar w:fldCharType="separate"/>
        </w:r>
        <w:r>
          <w:rPr>
            <w:lang w:val="zh-CN"/>
          </w:rPr>
          <w:t>2</w:t>
        </w:r>
        <w:r>
          <w:rPr>
            <w:lang w:val="zh-CN"/>
          </w:rPr>
          <w:fldChar w:fldCharType="end"/>
        </w:r>
      </w:p>
    </w:sdtContent>
  </w:sdt>
  <w:p w14:paraId="41DA59A0">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2">
    <w:nsid w:val="47320395"/>
    <w:multiLevelType w:val="multilevel"/>
    <w:tmpl w:val="47320395"/>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D1EA700"/>
    <w:multiLevelType w:val="multilevel"/>
    <w:tmpl w:val="5D1EA70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num w:numId="1">
    <w:abstractNumId w:val="5"/>
  </w:num>
  <w:num w:numId="2">
    <w:abstractNumId w:val="1"/>
  </w:num>
  <w:num w:numId="3">
    <w:abstractNumId w:val="0"/>
  </w:num>
  <w:num w:numId="4">
    <w:abstractNumId w:val="4"/>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GQ5YWI0Mzg3ZTBjMDY5Y2RmNWQ0MDVhMDRkN2UifQ=="/>
  </w:docVars>
  <w:rsids>
    <w:rsidRoot w:val="00A72B5A"/>
    <w:rsid w:val="0005529F"/>
    <w:rsid w:val="0008524C"/>
    <w:rsid w:val="00087FA5"/>
    <w:rsid w:val="000E57E8"/>
    <w:rsid w:val="001575CB"/>
    <w:rsid w:val="001919DF"/>
    <w:rsid w:val="001F47AA"/>
    <w:rsid w:val="00226F85"/>
    <w:rsid w:val="00251C36"/>
    <w:rsid w:val="00265514"/>
    <w:rsid w:val="00287344"/>
    <w:rsid w:val="002F3CB6"/>
    <w:rsid w:val="002F41A5"/>
    <w:rsid w:val="00315FF7"/>
    <w:rsid w:val="00320892"/>
    <w:rsid w:val="00322991"/>
    <w:rsid w:val="00326842"/>
    <w:rsid w:val="003344EC"/>
    <w:rsid w:val="0035540B"/>
    <w:rsid w:val="0036299F"/>
    <w:rsid w:val="00364CE3"/>
    <w:rsid w:val="00364F54"/>
    <w:rsid w:val="00366A22"/>
    <w:rsid w:val="003E3C49"/>
    <w:rsid w:val="003E4943"/>
    <w:rsid w:val="003E619A"/>
    <w:rsid w:val="00405891"/>
    <w:rsid w:val="0042052C"/>
    <w:rsid w:val="00440882"/>
    <w:rsid w:val="00454535"/>
    <w:rsid w:val="004561D9"/>
    <w:rsid w:val="00474787"/>
    <w:rsid w:val="00476C75"/>
    <w:rsid w:val="00490636"/>
    <w:rsid w:val="004914A7"/>
    <w:rsid w:val="00502C9B"/>
    <w:rsid w:val="00532CEC"/>
    <w:rsid w:val="00586050"/>
    <w:rsid w:val="00596C11"/>
    <w:rsid w:val="005B7294"/>
    <w:rsid w:val="00601191"/>
    <w:rsid w:val="00614831"/>
    <w:rsid w:val="00614D52"/>
    <w:rsid w:val="006428ED"/>
    <w:rsid w:val="00650FB8"/>
    <w:rsid w:val="006676C0"/>
    <w:rsid w:val="006868B6"/>
    <w:rsid w:val="006B215B"/>
    <w:rsid w:val="00710EF7"/>
    <w:rsid w:val="00712744"/>
    <w:rsid w:val="00712F8D"/>
    <w:rsid w:val="007339F8"/>
    <w:rsid w:val="00772B54"/>
    <w:rsid w:val="00780E4C"/>
    <w:rsid w:val="007A6841"/>
    <w:rsid w:val="007C769E"/>
    <w:rsid w:val="008044D0"/>
    <w:rsid w:val="00830203"/>
    <w:rsid w:val="008450A9"/>
    <w:rsid w:val="0085490E"/>
    <w:rsid w:val="00883092"/>
    <w:rsid w:val="00883852"/>
    <w:rsid w:val="00886F15"/>
    <w:rsid w:val="00893CBB"/>
    <w:rsid w:val="00896E2A"/>
    <w:rsid w:val="008C1343"/>
    <w:rsid w:val="008C5786"/>
    <w:rsid w:val="008E086A"/>
    <w:rsid w:val="009016B8"/>
    <w:rsid w:val="0090437B"/>
    <w:rsid w:val="009048C3"/>
    <w:rsid w:val="00957F38"/>
    <w:rsid w:val="00965C3C"/>
    <w:rsid w:val="00967936"/>
    <w:rsid w:val="009A309C"/>
    <w:rsid w:val="009B0F73"/>
    <w:rsid w:val="009B320B"/>
    <w:rsid w:val="009B47E9"/>
    <w:rsid w:val="009D21FB"/>
    <w:rsid w:val="009E33CF"/>
    <w:rsid w:val="009E65A0"/>
    <w:rsid w:val="009F22CC"/>
    <w:rsid w:val="00A01C05"/>
    <w:rsid w:val="00A249A7"/>
    <w:rsid w:val="00A430B3"/>
    <w:rsid w:val="00A6780B"/>
    <w:rsid w:val="00A72B5A"/>
    <w:rsid w:val="00A85E1C"/>
    <w:rsid w:val="00A9031A"/>
    <w:rsid w:val="00A92944"/>
    <w:rsid w:val="00AC72A1"/>
    <w:rsid w:val="00AD488F"/>
    <w:rsid w:val="00AE327B"/>
    <w:rsid w:val="00B06129"/>
    <w:rsid w:val="00B10E5E"/>
    <w:rsid w:val="00B148FC"/>
    <w:rsid w:val="00B23BA3"/>
    <w:rsid w:val="00B2482E"/>
    <w:rsid w:val="00B2505A"/>
    <w:rsid w:val="00B46C0E"/>
    <w:rsid w:val="00B47DEE"/>
    <w:rsid w:val="00B61E55"/>
    <w:rsid w:val="00B6522F"/>
    <w:rsid w:val="00B76E5D"/>
    <w:rsid w:val="00B9089B"/>
    <w:rsid w:val="00BA6BBE"/>
    <w:rsid w:val="00BB225B"/>
    <w:rsid w:val="00BB3EBD"/>
    <w:rsid w:val="00C167F1"/>
    <w:rsid w:val="00C3770B"/>
    <w:rsid w:val="00C510B1"/>
    <w:rsid w:val="00C73187"/>
    <w:rsid w:val="00CA61CB"/>
    <w:rsid w:val="00CE78B4"/>
    <w:rsid w:val="00CF6A82"/>
    <w:rsid w:val="00D15853"/>
    <w:rsid w:val="00D1644B"/>
    <w:rsid w:val="00D17C5D"/>
    <w:rsid w:val="00D42481"/>
    <w:rsid w:val="00D44471"/>
    <w:rsid w:val="00D4636C"/>
    <w:rsid w:val="00D503BE"/>
    <w:rsid w:val="00D51316"/>
    <w:rsid w:val="00D63228"/>
    <w:rsid w:val="00D77111"/>
    <w:rsid w:val="00DB23E2"/>
    <w:rsid w:val="00DC2912"/>
    <w:rsid w:val="00DC538E"/>
    <w:rsid w:val="00E0097A"/>
    <w:rsid w:val="00E30AF9"/>
    <w:rsid w:val="00E42702"/>
    <w:rsid w:val="00E44ED2"/>
    <w:rsid w:val="00E66C9B"/>
    <w:rsid w:val="00E86088"/>
    <w:rsid w:val="00E917F2"/>
    <w:rsid w:val="00EA72A2"/>
    <w:rsid w:val="00EB7B1D"/>
    <w:rsid w:val="00ED431D"/>
    <w:rsid w:val="00EE072E"/>
    <w:rsid w:val="00EE54CC"/>
    <w:rsid w:val="00EF114F"/>
    <w:rsid w:val="00EF271E"/>
    <w:rsid w:val="00EF722C"/>
    <w:rsid w:val="00F107B2"/>
    <w:rsid w:val="00F26157"/>
    <w:rsid w:val="00F4711D"/>
    <w:rsid w:val="00F52714"/>
    <w:rsid w:val="00F55771"/>
    <w:rsid w:val="00F80A10"/>
    <w:rsid w:val="00F86B7E"/>
    <w:rsid w:val="00F94B78"/>
    <w:rsid w:val="00FA0C98"/>
    <w:rsid w:val="00FA6708"/>
    <w:rsid w:val="011532A9"/>
    <w:rsid w:val="012A7A82"/>
    <w:rsid w:val="012F0CBD"/>
    <w:rsid w:val="019B2DA5"/>
    <w:rsid w:val="019D5326"/>
    <w:rsid w:val="01C31391"/>
    <w:rsid w:val="029C3B08"/>
    <w:rsid w:val="02A15CD2"/>
    <w:rsid w:val="0305345B"/>
    <w:rsid w:val="03200295"/>
    <w:rsid w:val="03C75CE6"/>
    <w:rsid w:val="03EE3EEF"/>
    <w:rsid w:val="040F20B8"/>
    <w:rsid w:val="04340BCF"/>
    <w:rsid w:val="047F0912"/>
    <w:rsid w:val="04BC223F"/>
    <w:rsid w:val="05FE395E"/>
    <w:rsid w:val="065414D0"/>
    <w:rsid w:val="07CC43E5"/>
    <w:rsid w:val="07E84894"/>
    <w:rsid w:val="083B791F"/>
    <w:rsid w:val="08DD3BC7"/>
    <w:rsid w:val="08E6152E"/>
    <w:rsid w:val="091971BC"/>
    <w:rsid w:val="091A5787"/>
    <w:rsid w:val="09521FEE"/>
    <w:rsid w:val="09C06F3C"/>
    <w:rsid w:val="0A794631"/>
    <w:rsid w:val="0B2F5825"/>
    <w:rsid w:val="0B6D20B4"/>
    <w:rsid w:val="0D1B387B"/>
    <w:rsid w:val="0E8B7E59"/>
    <w:rsid w:val="0EC41153"/>
    <w:rsid w:val="0F2F4E5F"/>
    <w:rsid w:val="0F5C38CF"/>
    <w:rsid w:val="10024649"/>
    <w:rsid w:val="103467A2"/>
    <w:rsid w:val="107F4121"/>
    <w:rsid w:val="10BD35C7"/>
    <w:rsid w:val="10E8039B"/>
    <w:rsid w:val="114535BD"/>
    <w:rsid w:val="126B1F8B"/>
    <w:rsid w:val="12AC3C7F"/>
    <w:rsid w:val="12B329C6"/>
    <w:rsid w:val="12E94B25"/>
    <w:rsid w:val="13082AF4"/>
    <w:rsid w:val="133A34B7"/>
    <w:rsid w:val="13584851"/>
    <w:rsid w:val="13AF1320"/>
    <w:rsid w:val="13B86E87"/>
    <w:rsid w:val="13C55BE9"/>
    <w:rsid w:val="142E658A"/>
    <w:rsid w:val="143040B0"/>
    <w:rsid w:val="1472396E"/>
    <w:rsid w:val="14950F9F"/>
    <w:rsid w:val="14F05DE7"/>
    <w:rsid w:val="14F1624C"/>
    <w:rsid w:val="15661082"/>
    <w:rsid w:val="15C00E49"/>
    <w:rsid w:val="162F4032"/>
    <w:rsid w:val="16A04862"/>
    <w:rsid w:val="175842DA"/>
    <w:rsid w:val="175E5EF7"/>
    <w:rsid w:val="17853C1F"/>
    <w:rsid w:val="17B64211"/>
    <w:rsid w:val="19721334"/>
    <w:rsid w:val="19C93003"/>
    <w:rsid w:val="1A693E78"/>
    <w:rsid w:val="1A6F1974"/>
    <w:rsid w:val="1A7D364E"/>
    <w:rsid w:val="1AF232D2"/>
    <w:rsid w:val="1B527002"/>
    <w:rsid w:val="1BC22D4C"/>
    <w:rsid w:val="1C136A38"/>
    <w:rsid w:val="1CBD29FF"/>
    <w:rsid w:val="1D111050"/>
    <w:rsid w:val="1D4E4338"/>
    <w:rsid w:val="1D513315"/>
    <w:rsid w:val="1D707149"/>
    <w:rsid w:val="1EB9574B"/>
    <w:rsid w:val="1EF7500C"/>
    <w:rsid w:val="1EFA1543"/>
    <w:rsid w:val="1F2E7802"/>
    <w:rsid w:val="1F875157"/>
    <w:rsid w:val="1FF36898"/>
    <w:rsid w:val="203925B0"/>
    <w:rsid w:val="207F2392"/>
    <w:rsid w:val="21B1323F"/>
    <w:rsid w:val="21BE0F4D"/>
    <w:rsid w:val="21D342CD"/>
    <w:rsid w:val="21F44DAC"/>
    <w:rsid w:val="22D93E8C"/>
    <w:rsid w:val="2315751E"/>
    <w:rsid w:val="23645B24"/>
    <w:rsid w:val="25361FF8"/>
    <w:rsid w:val="25F57B6D"/>
    <w:rsid w:val="264F0E67"/>
    <w:rsid w:val="266924C2"/>
    <w:rsid w:val="26997A1F"/>
    <w:rsid w:val="27C378A9"/>
    <w:rsid w:val="28494B1E"/>
    <w:rsid w:val="28CF6BE9"/>
    <w:rsid w:val="29862C06"/>
    <w:rsid w:val="29C25353"/>
    <w:rsid w:val="29EC14D1"/>
    <w:rsid w:val="2B394B81"/>
    <w:rsid w:val="2B606BD1"/>
    <w:rsid w:val="2B905372"/>
    <w:rsid w:val="2B986D7B"/>
    <w:rsid w:val="2BB5796E"/>
    <w:rsid w:val="2C4E1981"/>
    <w:rsid w:val="2C8C5BB0"/>
    <w:rsid w:val="2CB405D1"/>
    <w:rsid w:val="2CED1093"/>
    <w:rsid w:val="2D8114FB"/>
    <w:rsid w:val="2D850B71"/>
    <w:rsid w:val="2D9F5148"/>
    <w:rsid w:val="2DAD1E76"/>
    <w:rsid w:val="2E0F48DF"/>
    <w:rsid w:val="2EE23DA1"/>
    <w:rsid w:val="2F252CC5"/>
    <w:rsid w:val="2F893734"/>
    <w:rsid w:val="2FCE7E34"/>
    <w:rsid w:val="30B95872"/>
    <w:rsid w:val="30DA7426"/>
    <w:rsid w:val="30E23621"/>
    <w:rsid w:val="30EF5893"/>
    <w:rsid w:val="3131518A"/>
    <w:rsid w:val="313908AB"/>
    <w:rsid w:val="31513433"/>
    <w:rsid w:val="315C6645"/>
    <w:rsid w:val="31777451"/>
    <w:rsid w:val="32092F98"/>
    <w:rsid w:val="32687971"/>
    <w:rsid w:val="328E671A"/>
    <w:rsid w:val="32D93EDF"/>
    <w:rsid w:val="33182487"/>
    <w:rsid w:val="33E47794"/>
    <w:rsid w:val="344E59CC"/>
    <w:rsid w:val="349D1E22"/>
    <w:rsid w:val="34F605A6"/>
    <w:rsid w:val="35327830"/>
    <w:rsid w:val="35896E09"/>
    <w:rsid w:val="358C69B7"/>
    <w:rsid w:val="372911C6"/>
    <w:rsid w:val="38267FCD"/>
    <w:rsid w:val="38926838"/>
    <w:rsid w:val="38A17BAB"/>
    <w:rsid w:val="38C8225A"/>
    <w:rsid w:val="3A1D3D9C"/>
    <w:rsid w:val="3A241712"/>
    <w:rsid w:val="3A2D6818"/>
    <w:rsid w:val="3A473CE4"/>
    <w:rsid w:val="3A5E23D3"/>
    <w:rsid w:val="3A8A2E0E"/>
    <w:rsid w:val="3AB61099"/>
    <w:rsid w:val="3AC52EF5"/>
    <w:rsid w:val="3B2411A3"/>
    <w:rsid w:val="3BE377BA"/>
    <w:rsid w:val="3C096E11"/>
    <w:rsid w:val="3CB40973"/>
    <w:rsid w:val="3CB84BBF"/>
    <w:rsid w:val="3CD64F45"/>
    <w:rsid w:val="3D015FDB"/>
    <w:rsid w:val="3DCB066F"/>
    <w:rsid w:val="3DF27B4F"/>
    <w:rsid w:val="3E433976"/>
    <w:rsid w:val="3E952BDE"/>
    <w:rsid w:val="3F466E5E"/>
    <w:rsid w:val="3F653138"/>
    <w:rsid w:val="40234946"/>
    <w:rsid w:val="40A67324"/>
    <w:rsid w:val="41683B7B"/>
    <w:rsid w:val="41E974C9"/>
    <w:rsid w:val="42DF08CC"/>
    <w:rsid w:val="443C367F"/>
    <w:rsid w:val="449565C2"/>
    <w:rsid w:val="451505D5"/>
    <w:rsid w:val="45B47DEE"/>
    <w:rsid w:val="45C767DD"/>
    <w:rsid w:val="45E702E2"/>
    <w:rsid w:val="461C5FE5"/>
    <w:rsid w:val="46410708"/>
    <w:rsid w:val="46544495"/>
    <w:rsid w:val="46B739C7"/>
    <w:rsid w:val="474B4782"/>
    <w:rsid w:val="476C5487"/>
    <w:rsid w:val="47B651E6"/>
    <w:rsid w:val="47CD4295"/>
    <w:rsid w:val="49324954"/>
    <w:rsid w:val="493C2BF3"/>
    <w:rsid w:val="493E4F4B"/>
    <w:rsid w:val="4A541B9F"/>
    <w:rsid w:val="4B893ACB"/>
    <w:rsid w:val="4BAB1C93"/>
    <w:rsid w:val="4BAE1C60"/>
    <w:rsid w:val="4C193AAC"/>
    <w:rsid w:val="4C1B5BC3"/>
    <w:rsid w:val="4CA62BE0"/>
    <w:rsid w:val="4D2D700E"/>
    <w:rsid w:val="4D3A1520"/>
    <w:rsid w:val="4F466723"/>
    <w:rsid w:val="4FBF5B4D"/>
    <w:rsid w:val="4FE95CAE"/>
    <w:rsid w:val="509B6C36"/>
    <w:rsid w:val="50C25AB5"/>
    <w:rsid w:val="50DD0B60"/>
    <w:rsid w:val="51087240"/>
    <w:rsid w:val="510D731C"/>
    <w:rsid w:val="51E47CAD"/>
    <w:rsid w:val="528C3333"/>
    <w:rsid w:val="52FC2DD4"/>
    <w:rsid w:val="5352510C"/>
    <w:rsid w:val="54085E3B"/>
    <w:rsid w:val="547F6C57"/>
    <w:rsid w:val="54A02DFD"/>
    <w:rsid w:val="551238C5"/>
    <w:rsid w:val="557F33B9"/>
    <w:rsid w:val="55A04916"/>
    <w:rsid w:val="56850611"/>
    <w:rsid w:val="571702AF"/>
    <w:rsid w:val="5730129E"/>
    <w:rsid w:val="576B22D6"/>
    <w:rsid w:val="57C7226D"/>
    <w:rsid w:val="57C765F6"/>
    <w:rsid w:val="57DC3E1D"/>
    <w:rsid w:val="586E6522"/>
    <w:rsid w:val="5934038E"/>
    <w:rsid w:val="594600F6"/>
    <w:rsid w:val="59913D40"/>
    <w:rsid w:val="59EC40FE"/>
    <w:rsid w:val="59F6128D"/>
    <w:rsid w:val="5A493FB1"/>
    <w:rsid w:val="5A5314EA"/>
    <w:rsid w:val="5AFD4D32"/>
    <w:rsid w:val="5B932D95"/>
    <w:rsid w:val="5BA52D78"/>
    <w:rsid w:val="5C01393D"/>
    <w:rsid w:val="5C050881"/>
    <w:rsid w:val="5C104C14"/>
    <w:rsid w:val="5C390BF5"/>
    <w:rsid w:val="5C682E83"/>
    <w:rsid w:val="5CB07754"/>
    <w:rsid w:val="5D75056A"/>
    <w:rsid w:val="5DAB78D0"/>
    <w:rsid w:val="5DAC2B03"/>
    <w:rsid w:val="5E4E6BDA"/>
    <w:rsid w:val="5E9948B7"/>
    <w:rsid w:val="5FC51376"/>
    <w:rsid w:val="601507C4"/>
    <w:rsid w:val="605562C0"/>
    <w:rsid w:val="6070777B"/>
    <w:rsid w:val="613A51F3"/>
    <w:rsid w:val="61555D61"/>
    <w:rsid w:val="61E416D8"/>
    <w:rsid w:val="62C31E94"/>
    <w:rsid w:val="62E465AF"/>
    <w:rsid w:val="63422A85"/>
    <w:rsid w:val="638210D3"/>
    <w:rsid w:val="6477675E"/>
    <w:rsid w:val="64CD3760"/>
    <w:rsid w:val="650A6F52"/>
    <w:rsid w:val="651C3311"/>
    <w:rsid w:val="6547411E"/>
    <w:rsid w:val="6557674D"/>
    <w:rsid w:val="65843322"/>
    <w:rsid w:val="65A96DEB"/>
    <w:rsid w:val="65BF6A4D"/>
    <w:rsid w:val="65ED22DD"/>
    <w:rsid w:val="65F21201"/>
    <w:rsid w:val="665C0C2E"/>
    <w:rsid w:val="666D7E19"/>
    <w:rsid w:val="66D76900"/>
    <w:rsid w:val="677C4F1D"/>
    <w:rsid w:val="67944E2C"/>
    <w:rsid w:val="67C77037"/>
    <w:rsid w:val="68120C78"/>
    <w:rsid w:val="68563069"/>
    <w:rsid w:val="68A04A02"/>
    <w:rsid w:val="68E90C63"/>
    <w:rsid w:val="6974326C"/>
    <w:rsid w:val="69AA4EE0"/>
    <w:rsid w:val="69CF4947"/>
    <w:rsid w:val="69F82DD5"/>
    <w:rsid w:val="69FE3FF9"/>
    <w:rsid w:val="6A057161"/>
    <w:rsid w:val="6A8376CF"/>
    <w:rsid w:val="6CCB5E5C"/>
    <w:rsid w:val="6D073BD8"/>
    <w:rsid w:val="6D287D18"/>
    <w:rsid w:val="6DFC62F0"/>
    <w:rsid w:val="6E0C76AD"/>
    <w:rsid w:val="6EBB6D90"/>
    <w:rsid w:val="6F8D3F04"/>
    <w:rsid w:val="6FD1766A"/>
    <w:rsid w:val="6FD47851"/>
    <w:rsid w:val="6FF70753"/>
    <w:rsid w:val="70375B9C"/>
    <w:rsid w:val="727662A7"/>
    <w:rsid w:val="72AC3A77"/>
    <w:rsid w:val="739764D5"/>
    <w:rsid w:val="73E00E2F"/>
    <w:rsid w:val="746565D3"/>
    <w:rsid w:val="75091449"/>
    <w:rsid w:val="75316F6C"/>
    <w:rsid w:val="75A7395C"/>
    <w:rsid w:val="75F70ED9"/>
    <w:rsid w:val="762A7AD4"/>
    <w:rsid w:val="77C81E5A"/>
    <w:rsid w:val="78165609"/>
    <w:rsid w:val="78564F09"/>
    <w:rsid w:val="786A7E92"/>
    <w:rsid w:val="79925B49"/>
    <w:rsid w:val="79AF73B4"/>
    <w:rsid w:val="7A0378F7"/>
    <w:rsid w:val="7A6D1D3E"/>
    <w:rsid w:val="7B3300CF"/>
    <w:rsid w:val="7B944CB6"/>
    <w:rsid w:val="7BDF78F4"/>
    <w:rsid w:val="7BFA3AA5"/>
    <w:rsid w:val="7CE145AF"/>
    <w:rsid w:val="7D602DAC"/>
    <w:rsid w:val="7D6C47B9"/>
    <w:rsid w:val="7D722672"/>
    <w:rsid w:val="7D9879F5"/>
    <w:rsid w:val="7DE764EB"/>
    <w:rsid w:val="7E3F3E40"/>
    <w:rsid w:val="7E680CEE"/>
    <w:rsid w:val="7E8568A3"/>
    <w:rsid w:val="7EA96C46"/>
    <w:rsid w:val="7F01339C"/>
    <w:rsid w:val="7F022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0" w:semiHidden="0" w:name="toc 2"/>
    <w:lsdException w:uiPriority="39" w:name="toc 3"/>
    <w:lsdException w:qFormat="1" w:unhideWhenUsed="0" w:uiPriority="0" w:semiHidden="0" w:name="toc 4"/>
    <w:lsdException w:uiPriority="39" w:name="toc 5"/>
    <w:lsdException w:qFormat="1" w:uiPriority="39" w:semiHidden="0" w:name="toc 6"/>
    <w:lsdException w:uiPriority="39" w:name="toc 7"/>
    <w:lsdException w:qFormat="1" w:uiPriority="0"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9"/>
    <w:pPr>
      <w:keepNext/>
      <w:keepLines/>
      <w:numPr>
        <w:ilvl w:val="0"/>
        <w:numId w:val="1"/>
      </w:numPr>
      <w:spacing w:before="60" w:after="60"/>
      <w:ind w:firstLine="0"/>
      <w:jc w:val="center"/>
      <w:outlineLvl w:val="0"/>
    </w:pPr>
    <w:rPr>
      <w:rFonts w:ascii="Times New Roman" w:hAnsi="Times New Roman" w:eastAsia="宋体" w:cs="Times New Roman"/>
      <w:b/>
      <w:bCs/>
      <w:kern w:val="44"/>
      <w:sz w:val="44"/>
      <w:szCs w:val="44"/>
    </w:rPr>
  </w:style>
  <w:style w:type="paragraph" w:styleId="3">
    <w:name w:val="heading 2"/>
    <w:basedOn w:val="1"/>
    <w:next w:val="1"/>
    <w:link w:val="55"/>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link w:val="56"/>
    <w:semiHidden/>
    <w:unhideWhenUsed/>
    <w:qFormat/>
    <w:uiPriority w:val="0"/>
    <w:pPr>
      <w:keepNext/>
      <w:keepLines/>
      <w:tabs>
        <w:tab w:val="left" w:pos="8280"/>
      </w:tabs>
      <w:spacing w:before="260" w:after="260" w:line="416" w:lineRule="auto"/>
      <w:outlineLvl w:val="2"/>
    </w:pPr>
    <w:rPr>
      <w:rFonts w:ascii="Times New Roman" w:hAnsi="Times New Roman" w:eastAsia="宋体" w:cs="Times New Roman"/>
      <w:bCs/>
      <w:szCs w:val="32"/>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rPr>
      <w:rFonts w:ascii="Times New Roman" w:hAnsi="Times New Roman" w:eastAsia="宋体" w:cs="Times New Roman"/>
      <w:szCs w:val="24"/>
    </w:rPr>
  </w:style>
  <w:style w:type="paragraph" w:styleId="6">
    <w:name w:val="Normal Indent"/>
    <w:basedOn w:val="1"/>
    <w:next w:val="7"/>
    <w:link w:val="42"/>
    <w:autoRedefine/>
    <w:qFormat/>
    <w:uiPriority w:val="0"/>
    <w:pPr>
      <w:ind w:firstLine="420" w:firstLineChars="200"/>
    </w:pPr>
    <w:rPr>
      <w:rFonts w:ascii="等线" w:hAnsi="等线" w:eastAsia="宋体" w:cs="Times New Roman"/>
      <w:szCs w:val="24"/>
    </w:rPr>
  </w:style>
  <w:style w:type="paragraph" w:styleId="7">
    <w:name w:val="Body Text Indent"/>
    <w:basedOn w:val="1"/>
    <w:next w:val="1"/>
    <w:link w:val="38"/>
    <w:unhideWhenUsed/>
    <w:qFormat/>
    <w:uiPriority w:val="0"/>
    <w:pPr>
      <w:spacing w:after="120"/>
      <w:ind w:left="420" w:leftChars="200"/>
    </w:pPr>
    <w:rPr>
      <w:rFonts w:ascii="等线" w:hAnsi="等线" w:eastAsia="宋体" w:cs="Times New Roman"/>
      <w:szCs w:val="24"/>
    </w:rPr>
  </w:style>
  <w:style w:type="paragraph" w:styleId="8">
    <w:name w:val="annotation text"/>
    <w:basedOn w:val="1"/>
    <w:link w:val="57"/>
    <w:qFormat/>
    <w:uiPriority w:val="99"/>
    <w:pPr>
      <w:jc w:val="left"/>
    </w:pPr>
    <w:rPr>
      <w:rFonts w:ascii="Times New Roman" w:hAnsi="Times New Roman" w:eastAsia="宋体" w:cs="Times New Roman"/>
      <w:szCs w:val="24"/>
    </w:rPr>
  </w:style>
  <w:style w:type="paragraph" w:styleId="9">
    <w:name w:val="Body Text"/>
    <w:basedOn w:val="1"/>
    <w:next w:val="10"/>
    <w:link w:val="49"/>
    <w:unhideWhenUsed/>
    <w:qFormat/>
    <w:uiPriority w:val="0"/>
    <w:pPr>
      <w:spacing w:after="120"/>
    </w:pPr>
  </w:style>
  <w:style w:type="paragraph" w:styleId="10">
    <w:name w:val="toc 4"/>
    <w:basedOn w:val="1"/>
    <w:next w:val="1"/>
    <w:qFormat/>
    <w:uiPriority w:val="0"/>
    <w:pPr>
      <w:wordWrap w:val="0"/>
      <w:ind w:left="850"/>
    </w:pPr>
    <w:rPr>
      <w:rFonts w:ascii="Calibri" w:hAnsi="Calibri" w:eastAsia="宋体" w:cs="Times New Roman"/>
    </w:rPr>
  </w:style>
  <w:style w:type="paragraph" w:styleId="11">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Times New Roman" w:eastAsia="宋体" w:cs="Times New Roman"/>
      <w:color w:val="000000"/>
      <w:kern w:val="0"/>
      <w:sz w:val="24"/>
      <w:szCs w:val="24"/>
    </w:rPr>
  </w:style>
  <w:style w:type="paragraph" w:styleId="12">
    <w:name w:val="Plain Text"/>
    <w:basedOn w:val="1"/>
    <w:next w:val="13"/>
    <w:link w:val="40"/>
    <w:autoRedefine/>
    <w:qFormat/>
    <w:uiPriority w:val="0"/>
    <w:rPr>
      <w:rFonts w:ascii="??" w:hAnsi="??" w:eastAsia="??" w:cs="宋体"/>
      <w:szCs w:val="21"/>
    </w:rPr>
  </w:style>
  <w:style w:type="paragraph" w:styleId="13">
    <w:name w:val="Date"/>
    <w:basedOn w:val="1"/>
    <w:next w:val="1"/>
    <w:link w:val="43"/>
    <w:unhideWhenUsed/>
    <w:qFormat/>
    <w:uiPriority w:val="99"/>
    <w:pPr>
      <w:ind w:left="100" w:leftChars="2500"/>
    </w:pPr>
  </w:style>
  <w:style w:type="paragraph" w:styleId="14">
    <w:name w:val="toc 8"/>
    <w:basedOn w:val="1"/>
    <w:next w:val="1"/>
    <w:unhideWhenUsed/>
    <w:qFormat/>
    <w:uiPriority w:val="0"/>
    <w:pPr>
      <w:ind w:left="2940" w:leftChars="1400"/>
    </w:pPr>
    <w:rPr>
      <w:rFonts w:ascii="等线" w:hAnsi="等线" w:eastAsia="宋体" w:cs="Times New Roman"/>
      <w:szCs w:val="24"/>
    </w:rPr>
  </w:style>
  <w:style w:type="paragraph" w:styleId="15">
    <w:name w:val="Balloon Text"/>
    <w:basedOn w:val="1"/>
    <w:link w:val="39"/>
    <w:unhideWhenUsed/>
    <w:qFormat/>
    <w:uiPriority w:val="0"/>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middleDot" w:pos="8789"/>
      </w:tabs>
      <w:spacing w:line="360" w:lineRule="auto"/>
    </w:pPr>
    <w:rPr>
      <w:rFonts w:ascii="Times New Roman" w:hAnsi="Times New Roman" w:eastAsia="宋体" w:cs="Times New Roman"/>
      <w:sz w:val="24"/>
      <w:szCs w:val="20"/>
    </w:rPr>
  </w:style>
  <w:style w:type="paragraph" w:styleId="19">
    <w:name w:val="toc 6"/>
    <w:basedOn w:val="1"/>
    <w:next w:val="1"/>
    <w:unhideWhenUsed/>
    <w:qFormat/>
    <w:uiPriority w:val="39"/>
    <w:pPr>
      <w:ind w:left="2100" w:leftChars="1000"/>
    </w:pPr>
    <w:rPr>
      <w:rFonts w:ascii="等线" w:hAnsi="等线" w:eastAsia="宋体" w:cs="Times New Roman"/>
      <w:szCs w:val="24"/>
    </w:rPr>
  </w:style>
  <w:style w:type="paragraph" w:styleId="20">
    <w:name w:val="toc 2"/>
    <w:basedOn w:val="1"/>
    <w:next w:val="1"/>
    <w:autoRedefine/>
    <w:unhideWhenUsed/>
    <w:qFormat/>
    <w:uiPriority w:val="0"/>
    <w:pPr>
      <w:ind w:left="420" w:leftChars="200"/>
    </w:pPr>
  </w:style>
  <w:style w:type="paragraph" w:styleId="21">
    <w:name w:val="Normal (Web)"/>
    <w:basedOn w:val="1"/>
    <w:link w:val="41"/>
    <w:autoRedefine/>
    <w:qFormat/>
    <w:uiPriority w:val="0"/>
    <w:pPr>
      <w:widowControl/>
      <w:spacing w:before="100" w:beforeAutospacing="1" w:after="100" w:afterAutospacing="1" w:line="300" w:lineRule="atLeast"/>
      <w:jc w:val="left"/>
    </w:pPr>
    <w:rPr>
      <w:rFonts w:ascii="宋体" w:hAnsi="宋体" w:eastAsia="宋体" w:cs="Times New Roman"/>
      <w:kern w:val="0"/>
      <w:sz w:val="24"/>
      <w:szCs w:val="24"/>
    </w:rPr>
  </w:style>
  <w:style w:type="paragraph" w:styleId="22">
    <w:name w:val="annotation subject"/>
    <w:basedOn w:val="8"/>
    <w:next w:val="8"/>
    <w:link w:val="59"/>
    <w:qFormat/>
    <w:uiPriority w:val="0"/>
    <w:rPr>
      <w:b/>
      <w:bCs/>
    </w:rPr>
  </w:style>
  <w:style w:type="paragraph" w:styleId="23">
    <w:name w:val="Body Text First Indent"/>
    <w:basedOn w:val="9"/>
    <w:link w:val="60"/>
    <w:qFormat/>
    <w:uiPriority w:val="99"/>
    <w:pPr>
      <w:spacing w:after="0" w:line="360" w:lineRule="exact"/>
      <w:ind w:firstLine="200" w:firstLineChars="200"/>
    </w:pPr>
    <w:rPr>
      <w:rFonts w:ascii="Times New Roman" w:hAnsi="Times New Roman" w:eastAsia="宋体" w:cs="Times New Roman"/>
      <w:sz w:val="24"/>
      <w:szCs w:val="24"/>
    </w:rPr>
  </w:style>
  <w:style w:type="paragraph" w:styleId="24">
    <w:name w:val="Body Text First Indent 2"/>
    <w:basedOn w:val="7"/>
    <w:next w:val="1"/>
    <w:link w:val="44"/>
    <w:unhideWhenUsed/>
    <w:qFormat/>
    <w:uiPriority w:val="0"/>
    <w:pPr>
      <w:ind w:firstLine="420" w:firstLineChars="200"/>
    </w:pPr>
    <w:rPr>
      <w:rFonts w:asciiTheme="minorHAnsi" w:hAnsiTheme="minorHAnsi" w:eastAsiaTheme="minorEastAsia" w:cstheme="minorBidi"/>
      <w:szCs w:val="22"/>
    </w:r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Hyperlink"/>
    <w:autoRedefine/>
    <w:qFormat/>
    <w:uiPriority w:val="99"/>
    <w:rPr>
      <w:color w:val="0000FF"/>
      <w:u w:val="single"/>
    </w:rPr>
  </w:style>
  <w:style w:type="character" w:styleId="31">
    <w:name w:val="annotation reference"/>
    <w:basedOn w:val="28"/>
    <w:qFormat/>
    <w:uiPriority w:val="0"/>
    <w:rPr>
      <w:sz w:val="21"/>
      <w:szCs w:val="21"/>
    </w:rPr>
  </w:style>
  <w:style w:type="character" w:styleId="32">
    <w:name w:val="HTML Sample"/>
    <w:basedOn w:val="28"/>
    <w:semiHidden/>
    <w:unhideWhenUsed/>
    <w:qFormat/>
    <w:uiPriority w:val="99"/>
    <w:rPr>
      <w:rFonts w:ascii="Courier New" w:hAnsi="Courier New"/>
    </w:rPr>
  </w:style>
  <w:style w:type="paragraph" w:customStyle="1" w:styleId="33">
    <w:name w:val="正文空2字"/>
    <w:basedOn w:val="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4">
    <w:name w:val="左对齐正文"/>
    <w:qFormat/>
    <w:uiPriority w:val="99"/>
    <w:rPr>
      <w:rFonts w:ascii="Calibri" w:hAnsi="Calibri" w:eastAsia="仿宋_GB2312" w:cs="Calibri"/>
      <w:kern w:val="2"/>
      <w:sz w:val="32"/>
      <w:szCs w:val="32"/>
      <w:lang w:val="en-US" w:eastAsia="zh-CN" w:bidi="ar-SA"/>
    </w:rPr>
  </w:style>
  <w:style w:type="paragraph" w:customStyle="1" w:styleId="35">
    <w:name w:val="目录 21"/>
    <w:basedOn w:val="1"/>
    <w:next w:val="1"/>
    <w:qFormat/>
    <w:uiPriority w:val="39"/>
    <w:pPr>
      <w:ind w:left="420"/>
    </w:pPr>
    <w:rPr>
      <w:rFonts w:ascii="Times New Roman" w:hAnsi="Times New Roman" w:eastAsia="宋体" w:cs="Times New Roman"/>
      <w:szCs w:val="24"/>
    </w:rPr>
  </w:style>
  <w:style w:type="character" w:customStyle="1" w:styleId="36">
    <w:name w:val="页眉 字符"/>
    <w:basedOn w:val="28"/>
    <w:link w:val="17"/>
    <w:qFormat/>
    <w:uiPriority w:val="0"/>
    <w:rPr>
      <w:sz w:val="18"/>
      <w:szCs w:val="18"/>
    </w:rPr>
  </w:style>
  <w:style w:type="character" w:customStyle="1" w:styleId="37">
    <w:name w:val="页脚 字符"/>
    <w:basedOn w:val="28"/>
    <w:link w:val="16"/>
    <w:qFormat/>
    <w:uiPriority w:val="99"/>
    <w:rPr>
      <w:sz w:val="18"/>
      <w:szCs w:val="18"/>
    </w:rPr>
  </w:style>
  <w:style w:type="character" w:customStyle="1" w:styleId="38">
    <w:name w:val="正文文本缩进 字符"/>
    <w:basedOn w:val="28"/>
    <w:link w:val="7"/>
    <w:qFormat/>
    <w:uiPriority w:val="0"/>
    <w:rPr>
      <w:rFonts w:ascii="等线" w:hAnsi="等线" w:eastAsia="宋体" w:cs="Times New Roman"/>
      <w:szCs w:val="24"/>
    </w:rPr>
  </w:style>
  <w:style w:type="character" w:customStyle="1" w:styleId="39">
    <w:name w:val="批注框文本 字符"/>
    <w:basedOn w:val="28"/>
    <w:link w:val="15"/>
    <w:qFormat/>
    <w:uiPriority w:val="0"/>
    <w:rPr>
      <w:sz w:val="18"/>
      <w:szCs w:val="18"/>
    </w:rPr>
  </w:style>
  <w:style w:type="character" w:customStyle="1" w:styleId="40">
    <w:name w:val="纯文本 字符"/>
    <w:basedOn w:val="28"/>
    <w:link w:val="12"/>
    <w:qFormat/>
    <w:uiPriority w:val="0"/>
    <w:rPr>
      <w:rFonts w:ascii="??" w:hAnsi="??" w:eastAsia="??" w:cs="宋体"/>
      <w:szCs w:val="21"/>
    </w:rPr>
  </w:style>
  <w:style w:type="character" w:customStyle="1" w:styleId="41">
    <w:name w:val="普通(网站) 字符"/>
    <w:link w:val="21"/>
    <w:autoRedefine/>
    <w:qFormat/>
    <w:uiPriority w:val="0"/>
    <w:rPr>
      <w:rFonts w:ascii="宋体" w:hAnsi="宋体" w:eastAsia="宋体" w:cs="Times New Roman"/>
      <w:kern w:val="0"/>
      <w:sz w:val="24"/>
      <w:szCs w:val="24"/>
    </w:rPr>
  </w:style>
  <w:style w:type="character" w:customStyle="1" w:styleId="42">
    <w:name w:val="正文缩进 字符"/>
    <w:link w:val="6"/>
    <w:autoRedefine/>
    <w:qFormat/>
    <w:uiPriority w:val="0"/>
    <w:rPr>
      <w:rFonts w:ascii="等线" w:hAnsi="等线" w:eastAsia="宋体" w:cs="Times New Roman"/>
      <w:szCs w:val="24"/>
    </w:rPr>
  </w:style>
  <w:style w:type="character" w:customStyle="1" w:styleId="43">
    <w:name w:val="日期 字符"/>
    <w:basedOn w:val="28"/>
    <w:link w:val="13"/>
    <w:qFormat/>
    <w:uiPriority w:val="99"/>
  </w:style>
  <w:style w:type="character" w:customStyle="1" w:styleId="44">
    <w:name w:val="正文文本首行缩进 2 字符"/>
    <w:basedOn w:val="38"/>
    <w:link w:val="24"/>
    <w:qFormat/>
    <w:uiPriority w:val="0"/>
    <w:rPr>
      <w:rFonts w:ascii="等线" w:hAnsi="等线" w:eastAsia="宋体" w:cs="Times New Roman"/>
      <w:szCs w:val="24"/>
    </w:rPr>
  </w:style>
  <w:style w:type="paragraph" w:customStyle="1" w:styleId="45">
    <w:name w:val="纯文本1"/>
    <w:basedOn w:val="46"/>
    <w:autoRedefine/>
    <w:qFormat/>
    <w:uiPriority w:val="0"/>
    <w:pPr>
      <w:widowControl/>
      <w:jc w:val="left"/>
    </w:pPr>
    <w:rPr>
      <w:rFonts w:ascii="宋体" w:hAnsi="Courier New"/>
    </w:rPr>
  </w:style>
  <w:style w:type="paragraph" w:customStyle="1" w:styleId="4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7">
    <w:name w:val="标题 1 Char Char"/>
    <w:autoRedefine/>
    <w:qFormat/>
    <w:uiPriority w:val="0"/>
    <w:rPr>
      <w:rFonts w:eastAsia="宋体"/>
      <w:b/>
      <w:spacing w:val="-2"/>
      <w:sz w:val="24"/>
      <w:lang w:val="en-US" w:eastAsia="zh-CN" w:bidi="ar-SA"/>
    </w:rPr>
  </w:style>
  <w:style w:type="paragraph" w:customStyle="1" w:styleId="48">
    <w:name w:val="纯文本2"/>
    <w:basedOn w:val="1"/>
    <w:autoRedefine/>
    <w:qFormat/>
    <w:uiPriority w:val="0"/>
    <w:rPr>
      <w:rFonts w:hint="eastAsia" w:ascii="宋体" w:hAnsi="宋体" w:eastAsia="宋体" w:cs="Times New Roman"/>
      <w:szCs w:val="20"/>
    </w:rPr>
  </w:style>
  <w:style w:type="character" w:customStyle="1" w:styleId="49">
    <w:name w:val="正文文本 字符"/>
    <w:basedOn w:val="28"/>
    <w:link w:val="9"/>
    <w:semiHidden/>
    <w:qFormat/>
    <w:uiPriority w:val="99"/>
  </w:style>
  <w:style w:type="paragraph" w:customStyle="1" w:styleId="50">
    <w:name w:val="4、正文"/>
    <w:basedOn w:val="1"/>
    <w:qFormat/>
    <w:uiPriority w:val="99"/>
    <w:pPr>
      <w:ind w:firstLine="200" w:firstLineChars="200"/>
    </w:pPr>
    <w:rPr>
      <w:rFonts w:ascii="宋体" w:hAnsi="Times New Roman" w:eastAsia="宋体" w:cs="Times New Roman"/>
      <w:sz w:val="24"/>
      <w:szCs w:val="28"/>
    </w:rPr>
  </w:style>
  <w:style w:type="paragraph" w:customStyle="1" w:styleId="51">
    <w:name w:val="样式 样式1 + 首行缩进:  2 字符"/>
    <w:basedOn w:val="1"/>
    <w:qFormat/>
    <w:uiPriority w:val="0"/>
    <w:pPr>
      <w:spacing w:line="360" w:lineRule="exact"/>
      <w:ind w:firstLine="420" w:firstLineChars="200"/>
    </w:pPr>
    <w:rPr>
      <w:rFonts w:ascii="Arial" w:hAnsi="Arial" w:eastAsia="宋体" w:cs="宋体"/>
      <w:szCs w:val="20"/>
    </w:rPr>
  </w:style>
  <w:style w:type="character" w:customStyle="1" w:styleId="52">
    <w:name w:val="列表段落 字符"/>
    <w:link w:val="53"/>
    <w:qFormat/>
    <w:uiPriority w:val="34"/>
    <w:rPr>
      <w:sz w:val="24"/>
      <w:szCs w:val="24"/>
    </w:rPr>
  </w:style>
  <w:style w:type="paragraph" w:styleId="53">
    <w:name w:val="List Paragraph"/>
    <w:basedOn w:val="1"/>
    <w:link w:val="52"/>
    <w:qFormat/>
    <w:uiPriority w:val="34"/>
    <w:pPr>
      <w:spacing w:line="360" w:lineRule="auto"/>
      <w:ind w:firstLine="420" w:firstLineChars="200"/>
    </w:pPr>
    <w:rPr>
      <w:sz w:val="24"/>
      <w:szCs w:val="24"/>
    </w:rPr>
  </w:style>
  <w:style w:type="character" w:customStyle="1" w:styleId="54">
    <w:name w:val="标题 1 字符"/>
    <w:basedOn w:val="28"/>
    <w:link w:val="2"/>
    <w:qFormat/>
    <w:uiPriority w:val="9"/>
    <w:rPr>
      <w:rFonts w:ascii="Times New Roman" w:hAnsi="Times New Roman" w:eastAsia="宋体" w:cs="Times New Roman"/>
      <w:b/>
      <w:bCs/>
      <w:kern w:val="44"/>
      <w:sz w:val="44"/>
      <w:szCs w:val="44"/>
    </w:rPr>
  </w:style>
  <w:style w:type="character" w:customStyle="1" w:styleId="55">
    <w:name w:val="标题 2 字符"/>
    <w:basedOn w:val="28"/>
    <w:link w:val="3"/>
    <w:qFormat/>
    <w:uiPriority w:val="0"/>
    <w:rPr>
      <w:rFonts w:ascii="宋体" w:hAnsi="宋体" w:eastAsia="宋体" w:cs="Times New Roman"/>
      <w:b/>
      <w:sz w:val="32"/>
      <w:szCs w:val="28"/>
    </w:rPr>
  </w:style>
  <w:style w:type="character" w:customStyle="1" w:styleId="56">
    <w:name w:val="标题 3 字符"/>
    <w:basedOn w:val="28"/>
    <w:link w:val="4"/>
    <w:semiHidden/>
    <w:qFormat/>
    <w:uiPriority w:val="0"/>
    <w:rPr>
      <w:rFonts w:ascii="Times New Roman" w:hAnsi="Times New Roman" w:eastAsia="宋体" w:cs="Times New Roman"/>
      <w:bCs/>
      <w:szCs w:val="32"/>
    </w:rPr>
  </w:style>
  <w:style w:type="character" w:customStyle="1" w:styleId="57">
    <w:name w:val="批注文字 字符"/>
    <w:basedOn w:val="28"/>
    <w:link w:val="8"/>
    <w:qFormat/>
    <w:uiPriority w:val="99"/>
    <w:rPr>
      <w:rFonts w:ascii="Times New Roman" w:hAnsi="Times New Roman" w:eastAsia="宋体" w:cs="Times New Roman"/>
      <w:szCs w:val="24"/>
    </w:rPr>
  </w:style>
  <w:style w:type="paragraph" w:customStyle="1" w:styleId="58">
    <w:name w:val="Quote1"/>
    <w:next w:val="1"/>
    <w:qFormat/>
    <w:uiPriority w:val="99"/>
    <w:pPr>
      <w:wordWrap w:val="0"/>
      <w:spacing w:before="200" w:after="160"/>
      <w:ind w:left="864" w:right="864"/>
      <w:jc w:val="center"/>
    </w:pPr>
    <w:rPr>
      <w:rFonts w:ascii="宋体" w:hAnsi="Times New Roman" w:eastAsia="宋体" w:cs="Times New Roman"/>
      <w:i/>
      <w:color w:val="404040"/>
      <w:kern w:val="2"/>
      <w:sz w:val="21"/>
      <w:szCs w:val="24"/>
      <w:lang w:val="en-US" w:eastAsia="zh-CN" w:bidi="ar-SA"/>
    </w:rPr>
  </w:style>
  <w:style w:type="character" w:customStyle="1" w:styleId="59">
    <w:name w:val="批注主题 字符"/>
    <w:basedOn w:val="57"/>
    <w:link w:val="22"/>
    <w:qFormat/>
    <w:uiPriority w:val="0"/>
    <w:rPr>
      <w:rFonts w:ascii="Times New Roman" w:hAnsi="Times New Roman" w:eastAsia="宋体" w:cs="Times New Roman"/>
      <w:b/>
      <w:bCs/>
      <w:szCs w:val="24"/>
    </w:rPr>
  </w:style>
  <w:style w:type="character" w:customStyle="1" w:styleId="60">
    <w:name w:val="正文文本首行缩进 字符"/>
    <w:basedOn w:val="49"/>
    <w:link w:val="23"/>
    <w:qFormat/>
    <w:uiPriority w:val="99"/>
    <w:rPr>
      <w:rFonts w:ascii="Times New Roman" w:hAnsi="Times New Roman" w:eastAsia="宋体" w:cs="Times New Roman"/>
      <w:sz w:val="24"/>
      <w:szCs w:val="24"/>
    </w:rPr>
  </w:style>
  <w:style w:type="paragraph" w:customStyle="1" w:styleId="61">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6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6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6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14"/>
    <w:qFormat/>
    <w:uiPriority w:val="0"/>
    <w:rPr>
      <w:rFonts w:ascii="Times New Roman" w:hAnsi="Times New Roman" w:eastAsia="宋体" w:cs="Times New Roman"/>
      <w:sz w:val="21"/>
      <w:szCs w:val="22"/>
      <w:lang w:val="en-US" w:eastAsia="zh-CN" w:bidi="ar-SA"/>
    </w:rPr>
  </w:style>
  <w:style w:type="paragraph" w:customStyle="1" w:styleId="6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纯文本_3"/>
    <w:basedOn w:val="69"/>
    <w:qFormat/>
    <w:uiPriority w:val="0"/>
    <w:pPr>
      <w:widowControl/>
      <w:jc w:val="left"/>
    </w:pPr>
    <w:rPr>
      <w:rFonts w:ascii="宋体" w:hAnsi="Courier New" w:eastAsiaTheme="minorEastAsia" w:cstheme="minorBidi"/>
      <w:szCs w:val="21"/>
    </w:rPr>
  </w:style>
  <w:style w:type="paragraph" w:customStyle="1" w:styleId="71">
    <w:name w:val="纯文本_0_1"/>
    <w:basedOn w:val="1"/>
    <w:qFormat/>
    <w:uiPriority w:val="0"/>
    <w:pPr>
      <w:widowControl/>
      <w:jc w:val="left"/>
    </w:pPr>
    <w:rPr>
      <w:rFonts w:ascii="宋体" w:hAnsi="Courier New"/>
      <w:szCs w:val="21"/>
    </w:rPr>
  </w:style>
  <w:style w:type="paragraph" w:customStyle="1" w:styleId="7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font21"/>
    <w:basedOn w:val="28"/>
    <w:qFormat/>
    <w:uiPriority w:val="0"/>
    <w:rPr>
      <w:rFonts w:hint="default" w:ascii="Arial" w:hAnsi="Arial" w:cs="Arial"/>
      <w:color w:val="000000"/>
      <w:sz w:val="20"/>
      <w:szCs w:val="20"/>
      <w:u w:val="none"/>
    </w:rPr>
  </w:style>
  <w:style w:type="character" w:customStyle="1" w:styleId="77">
    <w:name w:val="font01"/>
    <w:basedOn w:val="28"/>
    <w:qFormat/>
    <w:uiPriority w:val="0"/>
    <w:rPr>
      <w:rFonts w:hint="eastAsia" w:ascii="宋体" w:hAnsi="宋体" w:eastAsia="宋体" w:cs="宋体"/>
      <w:color w:val="000000"/>
      <w:sz w:val="20"/>
      <w:szCs w:val="20"/>
      <w:u w:val="none"/>
    </w:rPr>
  </w:style>
  <w:style w:type="paragraph" w:customStyle="1" w:styleId="78">
    <w:name w:val="Table Paragraph"/>
    <w:basedOn w:val="1"/>
    <w:qFormat/>
    <w:uiPriority w:val="1"/>
    <w:rPr>
      <w:rFonts w:ascii="宋体" w:hAnsi="宋体" w:eastAsia="宋体" w:cs="宋体"/>
      <w:szCs w:val="24"/>
    </w:rPr>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customStyle="1" w:styleId="80">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1">
    <w:name w:val="正文ok"/>
    <w:basedOn w:val="1"/>
    <w:qFormat/>
    <w:uiPriority w:val="0"/>
    <w:pPr>
      <w:widowControl/>
      <w:spacing w:line="360" w:lineRule="auto"/>
      <w:ind w:firstLine="200" w:firstLineChars="200"/>
      <w:jc w:val="left"/>
    </w:pPr>
    <w:rPr>
      <w:rFonts w:hint="eastAsia" w:ascii="宋体" w:hAnsi="Times New Roman" w:eastAsia="宋体" w:cs="Times New Roman"/>
      <w:kern w:val="0"/>
      <w:sz w:val="24"/>
      <w:szCs w:val="20"/>
    </w:rPr>
  </w:style>
  <w:style w:type="paragraph" w:customStyle="1" w:styleId="82">
    <w:name w:val="样式 标题 2 + Times New Roman 四号 非加粗 段前: 5 磅 段后: 0 磅 行距: 固定值 20..."/>
    <w:basedOn w:val="3"/>
    <w:qFormat/>
    <w:uiPriority w:val="99"/>
    <w:pPr>
      <w:spacing w:before="100" w:line="400" w:lineRule="exact"/>
    </w:pPr>
    <w:rPr>
      <w:rFonts w:ascii="Times New Roman" w:hAnsi="Times New Roman" w:cs="宋体"/>
      <w:b w:val="0"/>
      <w:sz w:val="28"/>
      <w:szCs w:val="20"/>
    </w:rPr>
  </w:style>
  <w:style w:type="paragraph" w:customStyle="1" w:styleId="83">
    <w:name w:val="签发人"/>
    <w:basedOn w:val="1"/>
    <w:qFormat/>
    <w:uiPriority w:val="0"/>
    <w:rPr>
      <w:rFonts w:ascii="Times New Roman" w:hAnsi="Times New Roman" w:eastAsia="楷体" w:cs="Times New Roman"/>
      <w:sz w:val="32"/>
      <w:szCs w:val="24"/>
    </w:rPr>
  </w:style>
  <w:style w:type="paragraph" w:customStyle="1" w:styleId="84">
    <w:name w:val="列出段落2"/>
    <w:basedOn w:val="1"/>
    <w:qFormat/>
    <w:uiPriority w:val="0"/>
    <w:pPr>
      <w:ind w:firstLine="420" w:firstLineChars="200"/>
    </w:pPr>
    <w:rPr>
      <w:rFonts w:ascii="Calibri" w:hAnsi="Calibri" w:eastAsia="楷体_GB2312" w:cs="Times New Roman"/>
    </w:rPr>
  </w:style>
  <w:style w:type="paragraph" w:customStyle="1" w:styleId="85">
    <w:name w:val="须知二级小标题"/>
    <w:basedOn w:val="1"/>
    <w:qFormat/>
    <w:uiPriority w:val="0"/>
    <w:pPr>
      <w:spacing w:line="500" w:lineRule="exact"/>
    </w:pPr>
    <w:rPr>
      <w:rFonts w:ascii="宋体" w:hAnsi="Calibri" w:eastAsia="宋体" w:cs="Times New Roman"/>
      <w:b/>
      <w:sz w:val="24"/>
      <w:szCs w:val="20"/>
    </w:rPr>
  </w:style>
  <w:style w:type="paragraph" w:customStyle="1" w:styleId="86">
    <w:name w:val="Char1"/>
    <w:basedOn w:val="1"/>
    <w:qFormat/>
    <w:uiPriority w:val="0"/>
    <w:pPr>
      <w:jc w:val="center"/>
    </w:pPr>
    <w:rPr>
      <w:rFonts w:ascii="仿宋_GB2312" w:hAnsi="Times New Roman" w:eastAsia="仿宋_GB2312" w:cs="Times New Roman"/>
      <w:b/>
      <w:kern w:val="0"/>
      <w:sz w:val="32"/>
      <w:szCs w:val="32"/>
      <w:lang w:val="en-GB"/>
    </w:rPr>
  </w:style>
  <w:style w:type="paragraph" w:customStyle="1" w:styleId="87">
    <w:name w:val="*正文"/>
    <w:basedOn w:val="1"/>
    <w:autoRedefine/>
    <w:qFormat/>
    <w:uiPriority w:val="0"/>
    <w:pPr>
      <w:spacing w:line="360" w:lineRule="auto"/>
      <w:ind w:left="420" w:leftChars="200" w:firstLine="200" w:firstLineChars="200"/>
    </w:pPr>
    <w:rPr>
      <w:rFonts w:ascii="宋体" w:hAnsi="宋体"/>
      <w:sz w:val="22"/>
    </w:rPr>
  </w:style>
  <w:style w:type="paragraph" w:customStyle="1" w:styleId="88">
    <w:name w:val="正文2"/>
    <w:basedOn w:val="1"/>
    <w:qFormat/>
    <w:uiPriority w:val="0"/>
    <w:pPr>
      <w:adjustRightInd w:val="0"/>
      <w:spacing w:line="318" w:lineRule="atLeast"/>
      <w:ind w:left="369" w:firstLine="369"/>
      <w:textAlignment w:val="baseline"/>
    </w:pPr>
    <w:rPr>
      <w:rFonts w:ascii="宋体"/>
    </w:rPr>
  </w:style>
  <w:style w:type="paragraph" w:customStyle="1" w:styleId="89">
    <w:name w:val="表格文字"/>
    <w:basedOn w:val="1"/>
    <w:qFormat/>
    <w:uiPriority w:val="99"/>
    <w:pPr>
      <w:adjustRightInd w:val="0"/>
      <w:spacing w:line="420" w:lineRule="atLeast"/>
      <w:textAlignment w:val="baseline"/>
    </w:pPr>
    <w:rPr>
      <w:rFonts w:ascii="Times New Roman" w:hAnsi="Times New Roman" w:cs="Times New Roman"/>
    </w:rPr>
  </w:style>
  <w:style w:type="paragraph" w:customStyle="1" w:styleId="90">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9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2722</Words>
  <Characters>3317</Characters>
  <Lines>1456</Lines>
  <Paragraphs>1530</Paragraphs>
  <TotalTime>1</TotalTime>
  <ScaleCrop>false</ScaleCrop>
  <LinksUpToDate>false</LinksUpToDate>
  <CharactersWithSpaces>3451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2024-04-08T07:48:00Z</dcterms:created>
  <dc:creator>戴艳燕</dc:creator>
  <cp:lastModifiedBy>WPS_1686713146</cp:lastModifiedBy>
  <cp:lastPrinted>2025-06-26T01:13:00Z</cp:lastPrinted>
  <dcterms:modified xsi:type="dcterms:W3CDTF">2025-07-02T08:30:37Z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2B24B1FAC19A4C53B0F132CF38B5CB21_13</vt:lpwstr>
  </property>
  <property fmtid="{D5CDD505-2E9C-101B-9397-08002B2CF9AE}" pid="4" name="KSOTemplateDocerSaveRecord">
    <vt:lpwstr>eyJoZGlkIjoiNDgyMGQ5YWI0Mzg3ZTBjMDY5Y2RmNWQ0MDVhMDRkN2UiLCJ1c2VySWQiOiIxNTA5MDM2Njc5In0=</vt:lpwstr>
  </property>
</Properties>
</file>