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42494">
      <w:pPr>
        <w:spacing w:line="360" w:lineRule="auto"/>
        <w:jc w:val="center"/>
        <w:rPr>
          <w:rFonts w:hint="eastAsia" w:cs="仿宋_GB2312" w:asciiTheme="minorEastAsia" w:hAnsiTheme="minorEastAsia" w:eastAsiaTheme="minorEastAsia"/>
          <w:b/>
          <w:sz w:val="24"/>
          <w:highlight w:val="none"/>
        </w:rPr>
      </w:pPr>
    </w:p>
    <w:p w14:paraId="500C26B2">
      <w:pPr>
        <w:adjustRightInd/>
        <w:spacing w:line="360" w:lineRule="auto"/>
        <w:jc w:val="center"/>
        <w:rPr>
          <w:rFonts w:hint="eastAsia" w:cs="仿宋_GB2312" w:asciiTheme="minorEastAsia" w:hAnsiTheme="minorEastAsia" w:eastAsiaTheme="minorEastAsia"/>
          <w:b/>
          <w:sz w:val="52"/>
          <w:szCs w:val="52"/>
          <w:highlight w:val="none"/>
          <w:lang w:eastAsia="zh-CN"/>
        </w:rPr>
      </w:pPr>
      <w:bookmarkStart w:id="0" w:name="_Hlk157273589"/>
      <w:r>
        <w:rPr>
          <w:rFonts w:hint="eastAsia" w:cs="仿宋_GB2312" w:asciiTheme="minorEastAsia" w:hAnsiTheme="minorEastAsia" w:eastAsiaTheme="minorEastAsia"/>
          <w:b/>
          <w:sz w:val="52"/>
          <w:szCs w:val="52"/>
          <w:highlight w:val="none"/>
          <w:lang w:eastAsia="zh-CN"/>
        </w:rPr>
        <w:t>海曙区信创化政务应用开发测试环境提升服务</w:t>
      </w:r>
    </w:p>
    <w:p w14:paraId="7D3547E9">
      <w:pPr>
        <w:adjustRightInd/>
        <w:spacing w:line="360" w:lineRule="auto"/>
        <w:jc w:val="center"/>
        <w:rPr>
          <w:rFonts w:hint="eastAsia"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014C044">
      <w:pPr>
        <w:adjustRightInd/>
        <w:spacing w:line="360" w:lineRule="auto"/>
        <w:jc w:val="center"/>
        <w:rPr>
          <w:rFonts w:hint="eastAsia"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3720A5AE">
      <w:pPr>
        <w:snapToGrid w:val="0"/>
        <w:spacing w:line="360" w:lineRule="auto"/>
        <w:jc w:val="center"/>
        <w:rPr>
          <w:rFonts w:hint="eastAsia" w:cs="仿宋_GB2312" w:asciiTheme="minorEastAsia" w:hAnsiTheme="minorEastAsia" w:eastAsiaTheme="minorEastAsia"/>
          <w:sz w:val="30"/>
          <w:szCs w:val="30"/>
          <w:highlight w:val="none"/>
        </w:rPr>
      </w:pPr>
    </w:p>
    <w:p w14:paraId="7A80C7CB">
      <w:pPr>
        <w:snapToGrid w:val="0"/>
        <w:spacing w:line="360" w:lineRule="auto"/>
        <w:jc w:val="center"/>
        <w:rPr>
          <w:rFonts w:hint="eastAsia" w:cs="仿宋_GB2312" w:asciiTheme="minorEastAsia" w:hAnsiTheme="minorEastAsia" w:eastAsiaTheme="minorEastAsia"/>
          <w:sz w:val="30"/>
          <w:szCs w:val="30"/>
          <w:highlight w:val="none"/>
          <w:lang w:eastAsia="zh-CN"/>
        </w:rPr>
      </w:pPr>
      <w:r>
        <w:rPr>
          <w:rFonts w:hint="eastAsia" w:cs="仿宋_GB2312" w:asciiTheme="minorEastAsia" w:hAnsiTheme="minorEastAsia" w:eastAsiaTheme="minorEastAsia"/>
          <w:sz w:val="30"/>
          <w:szCs w:val="30"/>
          <w:highlight w:val="none"/>
        </w:rPr>
        <w:t>项目编号:2025NBHSW</w:t>
      </w:r>
      <w:r>
        <w:rPr>
          <w:rFonts w:hint="eastAsia" w:cs="仿宋_GB2312" w:asciiTheme="minorEastAsia" w:hAnsiTheme="minorEastAsia" w:eastAsiaTheme="minorEastAsia"/>
          <w:sz w:val="30"/>
          <w:szCs w:val="30"/>
          <w:highlight w:val="none"/>
          <w:lang w:eastAsia="zh-CN"/>
        </w:rPr>
        <w:t>CS337</w:t>
      </w:r>
      <w:r>
        <w:rPr>
          <w:rFonts w:hint="eastAsia" w:cs="仿宋_GB2312" w:asciiTheme="minorEastAsia" w:hAnsiTheme="minorEastAsia" w:eastAsiaTheme="minorEastAsia"/>
          <w:sz w:val="30"/>
          <w:szCs w:val="30"/>
          <w:highlight w:val="none"/>
          <w:lang w:val="en-US" w:eastAsia="zh-CN"/>
        </w:rPr>
        <w:t xml:space="preserve"> </w:t>
      </w:r>
    </w:p>
    <w:p w14:paraId="397DBE71">
      <w:pPr>
        <w:adjustRightInd/>
        <w:spacing w:line="360" w:lineRule="auto"/>
        <w:rPr>
          <w:rFonts w:hint="eastAsia" w:cs="仿宋_GB2312" w:asciiTheme="minorEastAsia" w:hAnsiTheme="minorEastAsia" w:eastAsiaTheme="minorEastAsia"/>
          <w:sz w:val="28"/>
          <w:szCs w:val="20"/>
          <w:highlight w:val="none"/>
        </w:rPr>
      </w:pPr>
    </w:p>
    <w:p w14:paraId="27FFCD18">
      <w:pPr>
        <w:spacing w:line="360" w:lineRule="auto"/>
        <w:jc w:val="center"/>
        <w:rPr>
          <w:rFonts w:hint="eastAsia" w:cs="仿宋_GB2312" w:asciiTheme="minorEastAsia" w:hAnsiTheme="minorEastAsia" w:eastAsiaTheme="minorEastAsia"/>
          <w:sz w:val="24"/>
          <w:highlight w:val="none"/>
        </w:rPr>
      </w:pPr>
    </w:p>
    <w:p w14:paraId="1B6BD59B">
      <w:pPr>
        <w:spacing w:line="360" w:lineRule="auto"/>
        <w:jc w:val="center"/>
        <w:rPr>
          <w:rFonts w:hint="eastAsia" w:cs="仿宋_GB2312" w:asciiTheme="minorEastAsia" w:hAnsiTheme="minorEastAsia" w:eastAsiaTheme="minorEastAsia"/>
          <w:sz w:val="24"/>
          <w:highlight w:val="none"/>
        </w:rPr>
      </w:pPr>
    </w:p>
    <w:p w14:paraId="12EE6484">
      <w:pPr>
        <w:pStyle w:val="186"/>
        <w:widowControl w:val="0"/>
        <w:spacing w:before="0" w:beforeAutospacing="0" w:after="0" w:afterAutospacing="0" w:line="360" w:lineRule="auto"/>
        <w:ind w:firstLine="480"/>
        <w:textAlignment w:val="auto"/>
        <w:rPr>
          <w:rFonts w:cs="仿宋_GB2312" w:asciiTheme="minorEastAsia" w:hAnsiTheme="minorEastAsia" w:eastAsiaTheme="minorEastAsia"/>
          <w:kern w:val="2"/>
          <w:highlight w:val="none"/>
        </w:rPr>
      </w:pPr>
    </w:p>
    <w:p w14:paraId="5E92E12F">
      <w:pPr>
        <w:pStyle w:val="186"/>
        <w:widowControl w:val="0"/>
        <w:spacing w:before="0" w:beforeAutospacing="0" w:after="0" w:afterAutospacing="0" w:line="360" w:lineRule="auto"/>
        <w:ind w:firstLine="480"/>
        <w:jc w:val="both"/>
        <w:textAlignment w:val="auto"/>
        <w:rPr>
          <w:rFonts w:cs="仿宋_GB2312" w:asciiTheme="minorEastAsia" w:hAnsiTheme="minorEastAsia" w:eastAsiaTheme="minorEastAsia"/>
          <w:kern w:val="2"/>
          <w:highlight w:val="none"/>
        </w:rPr>
      </w:pPr>
    </w:p>
    <w:p w14:paraId="43D5C1FC">
      <w:pPr>
        <w:spacing w:line="360" w:lineRule="auto"/>
        <w:rPr>
          <w:rFonts w:hint="eastAsia"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7A7FA853">
      <w:pPr>
        <w:snapToGrid w:val="0"/>
        <w:spacing w:line="360" w:lineRule="auto"/>
        <w:jc w:val="center"/>
        <w:rPr>
          <w:rFonts w:hint="eastAsia" w:cs="仿宋_GB2312" w:asciiTheme="minorEastAsia" w:hAnsiTheme="minorEastAsia" w:eastAsiaTheme="minorEastAsia"/>
          <w:sz w:val="32"/>
          <w:szCs w:val="32"/>
          <w:highlight w:val="none"/>
        </w:rPr>
      </w:pPr>
    </w:p>
    <w:p w14:paraId="0E6978CF">
      <w:pPr>
        <w:snapToGrid w:val="0"/>
        <w:spacing w:line="360" w:lineRule="auto"/>
        <w:jc w:val="center"/>
        <w:rPr>
          <w:rFonts w:hint="eastAsia" w:ascii="宋体" w:hAnsi="宋体" w:cs="宋体" w:eastAsiaTheme="minorEastAsia"/>
          <w:sz w:val="32"/>
          <w:szCs w:val="32"/>
          <w:highlight w:val="none"/>
          <w:lang w:eastAsia="zh-CN"/>
        </w:rPr>
      </w:pPr>
      <w:r>
        <w:rPr>
          <w:rFonts w:hint="eastAsia" w:ascii="宋体" w:hAnsi="宋体" w:cs="宋体" w:eastAsiaTheme="minorEastAsia"/>
          <w:sz w:val="32"/>
          <w:szCs w:val="32"/>
          <w:highlight w:val="none"/>
        </w:rPr>
        <w:t>采购人：</w:t>
      </w:r>
      <w:r>
        <w:rPr>
          <w:rFonts w:hint="eastAsia" w:ascii="宋体" w:hAnsi="宋体" w:cs="宋体" w:eastAsiaTheme="minorEastAsia"/>
          <w:sz w:val="32"/>
          <w:szCs w:val="32"/>
          <w:highlight w:val="none"/>
          <w:lang w:eastAsia="zh-CN"/>
        </w:rPr>
        <w:t>宁波市海曙区数据局</w:t>
      </w:r>
    </w:p>
    <w:p w14:paraId="7F4C4C07">
      <w:pPr>
        <w:snapToGrid w:val="0"/>
        <w:spacing w:line="360" w:lineRule="auto"/>
        <w:jc w:val="center"/>
        <w:rPr>
          <w:rFonts w:hint="eastAsia" w:cs="仿宋_GB2312" w:asciiTheme="minorEastAsia" w:hAnsiTheme="minorEastAsia" w:eastAsiaTheme="minorEastAsia"/>
          <w:sz w:val="32"/>
          <w:szCs w:val="32"/>
          <w:highlight w:val="none"/>
        </w:rPr>
      </w:pPr>
    </w:p>
    <w:p w14:paraId="2D0D968A">
      <w:pPr>
        <w:spacing w:line="360" w:lineRule="auto"/>
        <w:jc w:val="center"/>
        <w:rPr>
          <w:rFonts w:hint="eastAsia" w:ascii="宋体" w:hAnsi="宋体" w:cs="宋体" w:eastAsiaTheme="minorEastAsia"/>
          <w:bCs/>
          <w:sz w:val="32"/>
          <w:szCs w:val="32"/>
          <w:highlight w:val="none"/>
        </w:rPr>
      </w:pPr>
      <w:r>
        <w:rPr>
          <w:rFonts w:hint="eastAsia" w:ascii="宋体" w:hAnsi="宋体" w:cs="宋体" w:eastAsiaTheme="minorEastAsia"/>
          <w:bCs/>
          <w:sz w:val="32"/>
          <w:szCs w:val="32"/>
          <w:highlight w:val="none"/>
        </w:rPr>
        <w:t>采购代理机构：宁波市科翔工程项目管理有限公司</w:t>
      </w:r>
    </w:p>
    <w:p w14:paraId="7D54F87B">
      <w:pPr>
        <w:spacing w:line="360" w:lineRule="auto"/>
        <w:jc w:val="center"/>
        <w:rPr>
          <w:rFonts w:hint="eastAsia" w:cs="仿宋_GB2312" w:asciiTheme="minorEastAsia" w:hAnsiTheme="minorEastAsia" w:eastAsiaTheme="minorEastAsia"/>
          <w:bCs/>
          <w:sz w:val="32"/>
          <w:szCs w:val="32"/>
          <w:highlight w:val="none"/>
        </w:rPr>
      </w:pPr>
    </w:p>
    <w:p w14:paraId="3FCD8A68">
      <w:pPr>
        <w:snapToGrid w:val="0"/>
        <w:spacing w:line="360" w:lineRule="auto"/>
        <w:jc w:val="center"/>
        <w:rPr>
          <w:rFonts w:hint="eastAsia"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二五年</w:t>
      </w:r>
      <w:r>
        <w:rPr>
          <w:rFonts w:hint="eastAsia" w:cs="仿宋_GB2312" w:asciiTheme="minorEastAsia" w:hAnsiTheme="minorEastAsia" w:eastAsiaTheme="minorEastAsia"/>
          <w:bCs/>
          <w:sz w:val="32"/>
          <w:szCs w:val="32"/>
          <w:highlight w:val="none"/>
          <w:lang w:val="en-US" w:eastAsia="zh-CN"/>
        </w:rPr>
        <w:t>七</w:t>
      </w:r>
      <w:r>
        <w:rPr>
          <w:rFonts w:hint="eastAsia" w:cs="仿宋_GB2312" w:asciiTheme="minorEastAsia" w:hAnsiTheme="minorEastAsia" w:eastAsiaTheme="minorEastAsia"/>
          <w:bCs/>
          <w:sz w:val="32"/>
          <w:szCs w:val="32"/>
          <w:highlight w:val="none"/>
        </w:rPr>
        <w:t>月</w:t>
      </w:r>
    </w:p>
    <w:bookmarkEnd w:id="0"/>
    <w:p w14:paraId="4B439E35">
      <w:pPr>
        <w:adjustRightInd/>
        <w:spacing w:line="360" w:lineRule="auto"/>
        <w:rPr>
          <w:rFonts w:hint="eastAsia" w:cs="仿宋_GB2312" w:asciiTheme="minorEastAsia" w:hAnsiTheme="minorEastAsia" w:eastAsiaTheme="minorEastAsia"/>
          <w:b/>
          <w:sz w:val="44"/>
          <w:szCs w:val="44"/>
          <w:highlight w:val="none"/>
        </w:rPr>
      </w:pPr>
    </w:p>
    <w:p w14:paraId="7C193CB4">
      <w:pPr>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1" w:name="_Hlt67893495"/>
      <w:bookmarkEnd w:id="1"/>
    </w:p>
    <w:p w14:paraId="6F3AC358">
      <w:pPr>
        <w:tabs>
          <w:tab w:val="left" w:pos="2268"/>
        </w:tabs>
        <w:spacing w:line="360" w:lineRule="auto"/>
        <w:jc w:val="center"/>
        <w:rPr>
          <w:rFonts w:hint="eastAsia" w:cs="仿宋_GB2312" w:asciiTheme="minorEastAsia" w:hAnsiTheme="minorEastAsia" w:eastAsiaTheme="minorEastAsia"/>
          <w:sz w:val="24"/>
          <w:highlight w:val="none"/>
        </w:rPr>
      </w:pPr>
    </w:p>
    <w:p w14:paraId="3C64EDD9">
      <w:pPr>
        <w:spacing w:line="360" w:lineRule="auto"/>
        <w:jc w:val="center"/>
        <w:rPr>
          <w:rFonts w:hint="eastAsia"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07056072">
      <w:pPr>
        <w:spacing w:line="360" w:lineRule="auto"/>
        <w:rPr>
          <w:rFonts w:hint="eastAsia" w:cs="仿宋_GB2312" w:asciiTheme="minorEastAsia" w:hAnsiTheme="minorEastAsia" w:eastAsiaTheme="minorEastAsia"/>
          <w:sz w:val="32"/>
          <w:szCs w:val="32"/>
          <w:highlight w:val="none"/>
        </w:rPr>
      </w:pPr>
    </w:p>
    <w:p w14:paraId="7451BB3F">
      <w:pPr>
        <w:spacing w:line="360" w:lineRule="auto"/>
        <w:rPr>
          <w:rFonts w:hint="eastAsia" w:cs="仿宋_GB2312" w:asciiTheme="minorEastAsia" w:hAnsiTheme="minorEastAsia" w:eastAsiaTheme="minorEastAsia"/>
          <w:sz w:val="32"/>
          <w:szCs w:val="32"/>
          <w:highlight w:val="none"/>
        </w:rPr>
      </w:pPr>
    </w:p>
    <w:p w14:paraId="7E8944D0">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7321D32D">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3AF49AC">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26AA5415">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6F686232">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28C1DB0">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245BB6CA">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6D8032A8">
      <w:pPr>
        <w:spacing w:line="360" w:lineRule="auto"/>
        <w:ind w:firstLine="1280" w:firstLineChars="400"/>
        <w:rPr>
          <w:rFonts w:hint="eastAsia"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6A24379D">
      <w:pPr>
        <w:spacing w:line="360" w:lineRule="auto"/>
        <w:ind w:firstLine="549" w:firstLineChars="229"/>
        <w:rPr>
          <w:rFonts w:hint="eastAsia" w:cs="仿宋_GB2312" w:asciiTheme="minorEastAsia" w:hAnsiTheme="minorEastAsia" w:eastAsiaTheme="minorEastAsia"/>
          <w:sz w:val="24"/>
          <w:highlight w:val="none"/>
        </w:rPr>
      </w:pPr>
      <w:bookmarkStart w:id="2" w:name="_Hlt91233176"/>
      <w:bookmarkEnd w:id="2"/>
      <w:bookmarkStart w:id="3" w:name="_Toc91899869"/>
    </w:p>
    <w:p w14:paraId="0A76611F">
      <w:pPr>
        <w:spacing w:line="360" w:lineRule="auto"/>
        <w:ind w:firstLine="549" w:firstLineChars="229"/>
        <w:rPr>
          <w:rFonts w:hint="eastAsia" w:cs="仿宋_GB2312" w:asciiTheme="minorEastAsia" w:hAnsiTheme="minorEastAsia" w:eastAsiaTheme="minorEastAsia"/>
          <w:sz w:val="24"/>
          <w:highlight w:val="none"/>
        </w:rPr>
      </w:pPr>
    </w:p>
    <w:p w14:paraId="7A78A8FE">
      <w:pPr>
        <w:spacing w:line="360" w:lineRule="auto"/>
        <w:ind w:firstLine="549" w:firstLineChars="229"/>
        <w:rPr>
          <w:rFonts w:hint="eastAsia" w:cs="仿宋_GB2312" w:asciiTheme="minorEastAsia" w:hAnsiTheme="minorEastAsia" w:eastAsiaTheme="minorEastAsia"/>
          <w:sz w:val="24"/>
          <w:highlight w:val="none"/>
        </w:rPr>
      </w:pPr>
    </w:p>
    <w:p w14:paraId="01F80419">
      <w:pPr>
        <w:spacing w:line="360" w:lineRule="auto"/>
        <w:ind w:firstLine="549" w:firstLineChars="229"/>
        <w:rPr>
          <w:rFonts w:hint="eastAsia" w:cs="仿宋_GB2312" w:asciiTheme="minorEastAsia" w:hAnsiTheme="minorEastAsia" w:eastAsiaTheme="minorEastAsia"/>
          <w:sz w:val="24"/>
          <w:highlight w:val="none"/>
        </w:rPr>
      </w:pPr>
    </w:p>
    <w:p w14:paraId="22C1F53F">
      <w:pPr>
        <w:spacing w:line="360" w:lineRule="auto"/>
        <w:ind w:firstLine="549" w:firstLineChars="229"/>
        <w:rPr>
          <w:rFonts w:hint="eastAsia" w:cs="仿宋_GB2312" w:asciiTheme="minorEastAsia" w:hAnsiTheme="minorEastAsia" w:eastAsiaTheme="minorEastAsia"/>
          <w:sz w:val="24"/>
          <w:highlight w:val="none"/>
        </w:rPr>
      </w:pPr>
    </w:p>
    <w:p w14:paraId="05EA3448">
      <w:pPr>
        <w:spacing w:line="360" w:lineRule="auto"/>
        <w:ind w:firstLine="549" w:firstLineChars="229"/>
        <w:rPr>
          <w:rFonts w:hint="eastAsia" w:cs="仿宋_GB2312" w:asciiTheme="minorEastAsia" w:hAnsiTheme="minorEastAsia" w:eastAsiaTheme="minorEastAsia"/>
          <w:sz w:val="24"/>
          <w:highlight w:val="none"/>
        </w:rPr>
      </w:pPr>
    </w:p>
    <w:p w14:paraId="04E44FBA">
      <w:pPr>
        <w:spacing w:line="360" w:lineRule="auto"/>
        <w:ind w:firstLine="549" w:firstLineChars="229"/>
        <w:rPr>
          <w:rFonts w:hint="eastAsia" w:cs="仿宋_GB2312" w:asciiTheme="minorEastAsia" w:hAnsiTheme="minorEastAsia" w:eastAsiaTheme="minorEastAsia"/>
          <w:sz w:val="24"/>
          <w:highlight w:val="none"/>
        </w:rPr>
      </w:pPr>
    </w:p>
    <w:p w14:paraId="45D3546F">
      <w:pPr>
        <w:spacing w:line="360" w:lineRule="auto"/>
        <w:ind w:firstLine="549" w:firstLineChars="229"/>
        <w:rPr>
          <w:rFonts w:hint="eastAsia" w:cs="仿宋_GB2312" w:asciiTheme="minorEastAsia" w:hAnsiTheme="minorEastAsia" w:eastAsiaTheme="minorEastAsia"/>
          <w:sz w:val="24"/>
          <w:highlight w:val="none"/>
        </w:rPr>
      </w:pPr>
    </w:p>
    <w:p w14:paraId="575AF333">
      <w:pPr>
        <w:spacing w:line="360" w:lineRule="auto"/>
        <w:ind w:firstLine="549" w:firstLineChars="229"/>
        <w:rPr>
          <w:rFonts w:hint="eastAsia" w:cs="仿宋_GB2312" w:asciiTheme="minorEastAsia" w:hAnsiTheme="minorEastAsia" w:eastAsiaTheme="minorEastAsia"/>
          <w:sz w:val="24"/>
          <w:highlight w:val="none"/>
        </w:rPr>
      </w:pPr>
    </w:p>
    <w:p w14:paraId="5730D34D">
      <w:pPr>
        <w:spacing w:line="360" w:lineRule="auto"/>
        <w:ind w:firstLine="549" w:firstLineChars="229"/>
        <w:rPr>
          <w:rFonts w:hint="eastAsia" w:cs="仿宋_GB2312" w:asciiTheme="minorEastAsia" w:hAnsiTheme="minorEastAsia" w:eastAsiaTheme="minorEastAsia"/>
          <w:sz w:val="24"/>
          <w:highlight w:val="none"/>
        </w:rPr>
      </w:pPr>
    </w:p>
    <w:p w14:paraId="072720C5">
      <w:pPr>
        <w:spacing w:line="360" w:lineRule="auto"/>
        <w:ind w:firstLine="549" w:firstLineChars="229"/>
        <w:rPr>
          <w:rFonts w:hint="eastAsia" w:cs="仿宋_GB2312" w:asciiTheme="minorEastAsia" w:hAnsiTheme="minorEastAsia" w:eastAsiaTheme="minorEastAsia"/>
          <w:sz w:val="24"/>
          <w:highlight w:val="none"/>
        </w:rPr>
      </w:pPr>
    </w:p>
    <w:p w14:paraId="0320D959">
      <w:pPr>
        <w:spacing w:line="360" w:lineRule="auto"/>
        <w:ind w:firstLine="549" w:firstLineChars="229"/>
        <w:rPr>
          <w:rFonts w:hint="eastAsia" w:cs="仿宋_GB2312" w:asciiTheme="minorEastAsia" w:hAnsiTheme="minorEastAsia" w:eastAsiaTheme="minorEastAsia"/>
          <w:sz w:val="24"/>
          <w:highlight w:val="none"/>
        </w:rPr>
      </w:pPr>
    </w:p>
    <w:p w14:paraId="1E3ECC27">
      <w:pPr>
        <w:spacing w:line="360" w:lineRule="auto"/>
        <w:ind w:firstLine="549" w:firstLineChars="229"/>
        <w:rPr>
          <w:rFonts w:hint="eastAsia" w:cs="仿宋_GB2312" w:asciiTheme="minorEastAsia" w:hAnsiTheme="minorEastAsia" w:eastAsiaTheme="minorEastAsia"/>
          <w:sz w:val="24"/>
          <w:highlight w:val="none"/>
        </w:rPr>
      </w:pPr>
    </w:p>
    <w:p w14:paraId="6A2ABD13">
      <w:pPr>
        <w:spacing w:line="360" w:lineRule="auto"/>
        <w:rPr>
          <w:rFonts w:hint="eastAsia" w:cs="仿宋_GB2312" w:asciiTheme="minorEastAsia" w:hAnsiTheme="minorEastAsia" w:eastAsiaTheme="minorEastAsia"/>
          <w:sz w:val="24"/>
          <w:highlight w:val="none"/>
        </w:rPr>
      </w:pPr>
    </w:p>
    <w:bookmarkEnd w:id="3"/>
    <w:p w14:paraId="04A468A2">
      <w:pPr>
        <w:adjustRightInd/>
        <w:spacing w:line="360" w:lineRule="auto"/>
        <w:jc w:val="center"/>
        <w:outlineLvl w:val="0"/>
        <w:rPr>
          <w:rFonts w:hint="eastAsia" w:cs="仿宋_GB2312" w:asciiTheme="minorEastAsia" w:hAnsiTheme="minorEastAsia" w:eastAsiaTheme="minorEastAsia"/>
          <w:b/>
          <w:sz w:val="36"/>
          <w:szCs w:val="20"/>
          <w:highlight w:val="none"/>
        </w:rPr>
      </w:pPr>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324EC374">
      <w:pPr>
        <w:adjustRightInd/>
        <w:spacing w:line="360" w:lineRule="auto"/>
        <w:jc w:val="center"/>
        <w:outlineLvl w:val="0"/>
        <w:rPr>
          <w:rFonts w:hint="eastAsia"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竞争性磋商采购公告</w:t>
      </w:r>
    </w:p>
    <w:p w14:paraId="12AD0040">
      <w:pPr>
        <w:pBdr>
          <w:top w:val="single" w:color="auto" w:sz="4" w:space="1"/>
          <w:left w:val="single" w:color="auto" w:sz="4" w:space="4"/>
          <w:bottom w:val="single" w:color="auto" w:sz="4" w:space="1"/>
          <w:right w:val="single" w:color="auto" w:sz="4" w:space="4"/>
        </w:pBd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项目概况</w:t>
      </w:r>
    </w:p>
    <w:p w14:paraId="11EF593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lang w:eastAsia="zh-CN"/>
        </w:rPr>
        <w:t>海曙区信创化政务应用开发测试环境提升服务</w:t>
      </w:r>
      <w:r>
        <w:rPr>
          <w:rFonts w:hint="eastAsia" w:asciiTheme="minorEastAsia" w:hAnsiTheme="minorEastAsia" w:eastAsiaTheme="minorEastAsia"/>
          <w:szCs w:val="21"/>
          <w:highlight w:val="none"/>
        </w:rPr>
        <w:t>采购项目的潜在供应商应在</w:t>
      </w:r>
      <w:r>
        <w:rPr>
          <w:rFonts w:hint="eastAsia" w:cs="仿宋_GB2312" w:asciiTheme="minorEastAsia" w:hAnsiTheme="minorEastAsia" w:eastAsiaTheme="minorEastAsia"/>
          <w:szCs w:val="21"/>
          <w:highlight w:val="none"/>
          <w:u w:val="single"/>
        </w:rPr>
        <w:t>政采云平台（</w:t>
      </w:r>
      <w:r>
        <w:rPr>
          <w:rFonts w:hint="eastAsia" w:cs="仿宋_GB2312" w:asciiTheme="minorEastAsia" w:hAnsiTheme="minorEastAsia" w:eastAsiaTheme="minorEastAsia"/>
          <w:snapToGrid w:val="0"/>
          <w:kern w:val="0"/>
          <w:szCs w:val="21"/>
          <w:highlight w:val="none"/>
          <w:u w:val="single"/>
        </w:rPr>
        <w:t>https://www.zcygov.cn/</w:t>
      </w:r>
      <w:r>
        <w:rPr>
          <w:rFonts w:hint="eastAsia" w:cs="仿宋_GB2312"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rPr>
        <w:t>获取（下载）采购文件，并于</w:t>
      </w:r>
      <w:r>
        <w:rPr>
          <w:rFonts w:hint="eastAsia" w:asciiTheme="minorEastAsia" w:hAnsiTheme="minorEastAsia" w:eastAsiaTheme="minorEastAsia"/>
          <w:szCs w:val="21"/>
          <w:highlight w:val="none"/>
          <w:u w:val="single"/>
        </w:rPr>
        <w:t>2025</w:t>
      </w:r>
      <w:r>
        <w:rPr>
          <w:rFonts w:hint="eastAsia" w:asciiTheme="minorEastAsia" w:hAnsiTheme="minorEastAsia" w:eastAsiaTheme="minorEastAsia"/>
          <w:bCs/>
          <w:szCs w:val="21"/>
          <w:highlight w:val="none"/>
          <w:u w:val="single"/>
        </w:rPr>
        <w:t>年</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月</w:t>
      </w:r>
      <w:r>
        <w:rPr>
          <w:rFonts w:hint="eastAsia" w:asciiTheme="minorEastAsia" w:hAnsiTheme="minorEastAsia" w:eastAsiaTheme="minorEastAsia"/>
          <w:bCs/>
          <w:szCs w:val="21"/>
          <w:highlight w:val="none"/>
          <w:u w:val="single"/>
          <w:lang w:val="en-US" w:eastAsia="zh-CN"/>
        </w:rPr>
        <w:t>14</w:t>
      </w:r>
      <w:r>
        <w:rPr>
          <w:rFonts w:hint="eastAsia" w:asciiTheme="minorEastAsia" w:hAnsiTheme="minorEastAsia" w:eastAsiaTheme="minorEastAsia"/>
          <w:bCs/>
          <w:szCs w:val="21"/>
          <w:highlight w:val="none"/>
          <w:u w:val="single"/>
        </w:rPr>
        <w:t>日</w:t>
      </w:r>
      <w:r>
        <w:rPr>
          <w:rFonts w:hint="eastAsia" w:asciiTheme="minorEastAsia" w:hAnsiTheme="minorEastAsia" w:eastAsiaTheme="minorEastAsia"/>
          <w:bCs/>
          <w:szCs w:val="21"/>
          <w:highlight w:val="none"/>
          <w:u w:val="single"/>
          <w:lang w:val="en-US" w:eastAsia="zh-CN"/>
        </w:rPr>
        <w:t>14</w:t>
      </w:r>
      <w:r>
        <w:rPr>
          <w:rFonts w:hint="eastAsia" w:asciiTheme="minorEastAsia" w:hAnsiTheme="minorEastAsia" w:eastAsiaTheme="minorEastAsia"/>
          <w:bCs/>
          <w:szCs w:val="21"/>
          <w:highlight w:val="none"/>
          <w:u w:val="single"/>
        </w:rPr>
        <w:t>:</w:t>
      </w:r>
      <w:r>
        <w:rPr>
          <w:rFonts w:hint="eastAsia" w:asciiTheme="minorEastAsia" w:hAnsiTheme="minorEastAsia" w:eastAsiaTheme="minorEastAsia"/>
          <w:bCs/>
          <w:szCs w:val="21"/>
          <w:highlight w:val="none"/>
          <w:u w:val="single"/>
          <w:lang w:val="en-US" w:eastAsia="zh-CN"/>
        </w:rPr>
        <w:t>0</w:t>
      </w:r>
      <w:r>
        <w:rPr>
          <w:rFonts w:hint="eastAsia" w:asciiTheme="minorEastAsia" w:hAnsiTheme="minorEastAsia" w:eastAsiaTheme="minorEastAsia"/>
          <w:bCs/>
          <w:szCs w:val="21"/>
          <w:highlight w:val="none"/>
          <w:u w:val="single"/>
        </w:rPr>
        <w:t>0</w:t>
      </w:r>
      <w:r>
        <w:rPr>
          <w:rFonts w:hint="eastAsia" w:asciiTheme="minorEastAsia" w:hAnsiTheme="minorEastAsia" w:eastAsiaTheme="minorEastAsia"/>
          <w:bCs/>
          <w:szCs w:val="21"/>
          <w:highlight w:val="none"/>
        </w:rPr>
        <w:t>（北京时间）前提交（上传）响应文件</w:t>
      </w:r>
      <w:r>
        <w:rPr>
          <w:rFonts w:hint="eastAsia" w:asciiTheme="minorEastAsia" w:hAnsiTheme="minorEastAsia" w:eastAsiaTheme="minorEastAsia"/>
          <w:szCs w:val="21"/>
          <w:highlight w:val="none"/>
        </w:rPr>
        <w:t>。</w:t>
      </w:r>
    </w:p>
    <w:p w14:paraId="263D5A49">
      <w:pPr>
        <w:tabs>
          <w:tab w:val="left" w:pos="432"/>
        </w:tabs>
        <w:adjustRightInd/>
        <w:spacing w:line="360" w:lineRule="auto"/>
        <w:rPr>
          <w:rFonts w:hint="eastAsia" w:cs="宋体" w:asciiTheme="minorEastAsia" w:hAnsiTheme="minorEastAsia" w:eastAsiaTheme="minorEastAsia"/>
          <w:b/>
          <w:bCs/>
          <w:szCs w:val="21"/>
          <w:highlight w:val="none"/>
        </w:rPr>
      </w:pPr>
      <w:bookmarkStart w:id="11" w:name="_Toc35393629"/>
      <w:bookmarkStart w:id="12" w:name="_Toc35393798"/>
      <w:bookmarkStart w:id="13" w:name="_Toc28359089"/>
      <w:bookmarkStart w:id="14" w:name="_Toc28359012"/>
      <w:r>
        <w:rPr>
          <w:rFonts w:hint="eastAsia" w:cs="宋体" w:asciiTheme="minorEastAsia" w:hAnsiTheme="minorEastAsia" w:eastAsiaTheme="minorEastAsia"/>
          <w:b/>
          <w:bCs/>
          <w:szCs w:val="21"/>
          <w:highlight w:val="none"/>
        </w:rPr>
        <w:t>一、项目基本情况</w:t>
      </w:r>
      <w:bookmarkEnd w:id="11"/>
      <w:bookmarkEnd w:id="12"/>
      <w:bookmarkEnd w:id="13"/>
      <w:bookmarkEnd w:id="14"/>
    </w:p>
    <w:p w14:paraId="1ABD5FD0">
      <w:pPr>
        <w:adjustRightInd/>
        <w:spacing w:line="360" w:lineRule="auto"/>
        <w:ind w:firstLine="422" w:firstLineChars="200"/>
        <w:rPr>
          <w:rFonts w:hint="eastAsia" w:asciiTheme="minorEastAsia" w:hAnsiTheme="minorEastAsia" w:eastAsiaTheme="minorEastAsia"/>
          <w:szCs w:val="21"/>
          <w:highlight w:val="none"/>
          <w:lang w:eastAsia="zh-CN"/>
        </w:rPr>
      </w:pPr>
      <w:bookmarkStart w:id="15" w:name="_Hlk135324631"/>
      <w:r>
        <w:rPr>
          <w:rFonts w:hint="eastAsia" w:asciiTheme="minorEastAsia" w:hAnsiTheme="minorEastAsia" w:eastAsiaTheme="minorEastAsia"/>
          <w:b/>
          <w:szCs w:val="21"/>
          <w:highlight w:val="none"/>
        </w:rPr>
        <w:t>项目编号：</w:t>
      </w:r>
      <w:r>
        <w:rPr>
          <w:rFonts w:hint="eastAsia" w:asciiTheme="minorEastAsia" w:hAnsiTheme="minorEastAsia" w:eastAsiaTheme="minorEastAsia"/>
          <w:szCs w:val="21"/>
          <w:highlight w:val="none"/>
        </w:rPr>
        <w:t>2025NBHSW</w:t>
      </w:r>
      <w:r>
        <w:rPr>
          <w:rFonts w:hint="eastAsia" w:asciiTheme="minorEastAsia" w:hAnsiTheme="minorEastAsia" w:eastAsiaTheme="minorEastAsia"/>
          <w:szCs w:val="21"/>
          <w:highlight w:val="none"/>
          <w:lang w:eastAsia="zh-CN"/>
        </w:rPr>
        <w:t>CS337</w:t>
      </w:r>
    </w:p>
    <w:p w14:paraId="6E11785D">
      <w:pPr>
        <w:adjustRightInd/>
        <w:spacing w:line="360" w:lineRule="auto"/>
        <w:ind w:firstLine="422" w:firstLineChars="200"/>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b/>
          <w:szCs w:val="21"/>
          <w:highlight w:val="none"/>
        </w:rPr>
        <w:t>项目名称：</w:t>
      </w:r>
      <w:r>
        <w:rPr>
          <w:rFonts w:hint="eastAsia" w:asciiTheme="minorEastAsia" w:hAnsiTheme="minorEastAsia" w:eastAsiaTheme="minorEastAsia"/>
          <w:szCs w:val="21"/>
          <w:highlight w:val="none"/>
          <w:lang w:eastAsia="zh-CN"/>
        </w:rPr>
        <w:t>海曙区信创化政务应用开发测试环境提升服务</w:t>
      </w:r>
    </w:p>
    <w:p w14:paraId="2F4384C4">
      <w:pPr>
        <w:adjustRightInd/>
        <w:spacing w:line="360" w:lineRule="auto"/>
        <w:ind w:firstLine="422" w:firstLineChars="200"/>
        <w:rPr>
          <w:rFonts w:hint="eastAsia" w:asciiTheme="minorEastAsia" w:hAnsiTheme="minorEastAsia" w:eastAsiaTheme="minorEastAsia"/>
          <w:bCs/>
          <w:szCs w:val="21"/>
          <w:highlight w:val="none"/>
        </w:rPr>
      </w:pPr>
      <w:r>
        <w:rPr>
          <w:rFonts w:hint="eastAsia" w:asciiTheme="minorEastAsia" w:hAnsiTheme="minorEastAsia" w:eastAsiaTheme="minorEastAsia"/>
          <w:b/>
          <w:szCs w:val="21"/>
          <w:highlight w:val="none"/>
        </w:rPr>
        <w:t>采购方式：</w:t>
      </w:r>
      <w:bookmarkStart w:id="16" w:name="_Hlk147917650"/>
      <w:r>
        <w:rPr>
          <w:rFonts w:hint="eastAsia" w:asciiTheme="minorEastAsia" w:hAnsiTheme="minorEastAsia" w:eastAsiaTheme="minorEastAsia"/>
          <w:bCs/>
          <w:szCs w:val="21"/>
          <w:highlight w:val="none"/>
        </w:rPr>
        <w:t>竞争性磋商</w:t>
      </w:r>
      <w:bookmarkEnd w:id="16"/>
    </w:p>
    <w:p w14:paraId="4C492C25">
      <w:pPr>
        <w:adjustRightInd/>
        <w:spacing w:line="360" w:lineRule="auto"/>
        <w:ind w:firstLine="422" w:firstLineChars="200"/>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rPr>
        <w:t>预算金额（元）：</w:t>
      </w:r>
      <w:r>
        <w:rPr>
          <w:rFonts w:hint="eastAsia" w:asciiTheme="minorEastAsia" w:hAnsiTheme="minorEastAsia" w:eastAsiaTheme="minorEastAsia"/>
          <w:bCs/>
          <w:szCs w:val="21"/>
          <w:highlight w:val="none"/>
          <w:lang w:val="en-US" w:eastAsia="zh-CN"/>
        </w:rPr>
        <w:t>3000000</w:t>
      </w:r>
    </w:p>
    <w:p w14:paraId="2E2F5239">
      <w:pPr>
        <w:adjustRightInd/>
        <w:spacing w:line="360" w:lineRule="auto"/>
        <w:ind w:firstLine="422" w:firstLineChars="200"/>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rPr>
        <w:t>最高限价（元）：</w:t>
      </w:r>
      <w:r>
        <w:rPr>
          <w:rFonts w:hint="eastAsia" w:asciiTheme="minorEastAsia" w:hAnsiTheme="minorEastAsia" w:eastAsiaTheme="minorEastAsia"/>
          <w:bCs/>
          <w:szCs w:val="21"/>
          <w:highlight w:val="none"/>
          <w:lang w:val="en-US" w:eastAsia="zh-CN"/>
        </w:rPr>
        <w:t>3000000</w:t>
      </w:r>
    </w:p>
    <w:p w14:paraId="687212D2">
      <w:pPr>
        <w:adjustRightInd/>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采购需求：</w:t>
      </w:r>
    </w:p>
    <w:p w14:paraId="7B48F261">
      <w:pPr>
        <w:adjustRightInd/>
        <w:spacing w:line="360" w:lineRule="auto"/>
        <w:ind w:firstLine="422" w:firstLineChars="200"/>
        <w:rPr>
          <w:rFonts w:hint="eastAsia" w:asciiTheme="minorEastAsia" w:hAnsiTheme="minorEastAsia" w:eastAsiaTheme="minorEastAsia"/>
          <w:b/>
          <w:szCs w:val="21"/>
          <w:highlight w:val="none"/>
          <w:lang w:eastAsia="zh-CN"/>
        </w:rPr>
      </w:pPr>
      <w:r>
        <w:rPr>
          <w:rFonts w:hint="eastAsia" w:asciiTheme="minorEastAsia" w:hAnsiTheme="minorEastAsia" w:eastAsiaTheme="minorEastAsia"/>
          <w:b/>
          <w:szCs w:val="21"/>
          <w:highlight w:val="none"/>
        </w:rPr>
        <w:t>标项名称：</w:t>
      </w:r>
      <w:r>
        <w:rPr>
          <w:rFonts w:hint="eastAsia" w:asciiTheme="minorEastAsia" w:hAnsiTheme="minorEastAsia" w:eastAsiaTheme="minorEastAsia"/>
          <w:bCs/>
          <w:szCs w:val="21"/>
          <w:highlight w:val="none"/>
          <w:lang w:eastAsia="zh-CN"/>
        </w:rPr>
        <w:t>海曙区信创化政务应用开发测试环境提升服务</w:t>
      </w:r>
    </w:p>
    <w:p w14:paraId="38876940">
      <w:pPr>
        <w:adjustRightInd/>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数量：</w:t>
      </w:r>
      <w:r>
        <w:rPr>
          <w:rFonts w:hint="eastAsia" w:asciiTheme="minorEastAsia" w:hAnsiTheme="minorEastAsia" w:eastAsiaTheme="minorEastAsia"/>
          <w:bCs/>
          <w:szCs w:val="21"/>
          <w:highlight w:val="none"/>
        </w:rPr>
        <w:t>1</w:t>
      </w:r>
    </w:p>
    <w:p w14:paraId="3DDD9963">
      <w:pPr>
        <w:adjustRightInd/>
        <w:spacing w:line="360" w:lineRule="auto"/>
        <w:ind w:firstLine="422" w:firstLineChars="200"/>
        <w:rPr>
          <w:rFonts w:hint="eastAsia" w:asciiTheme="minorEastAsia" w:hAnsiTheme="minorEastAsia" w:eastAsiaTheme="minorEastAsia"/>
          <w:bCs/>
          <w:szCs w:val="21"/>
          <w:highlight w:val="none"/>
          <w:lang w:eastAsia="zh-CN"/>
        </w:rPr>
      </w:pPr>
      <w:r>
        <w:rPr>
          <w:rFonts w:hint="eastAsia" w:asciiTheme="minorEastAsia" w:hAnsiTheme="minorEastAsia" w:eastAsiaTheme="minorEastAsia"/>
          <w:b/>
          <w:szCs w:val="21"/>
          <w:highlight w:val="none"/>
        </w:rPr>
        <w:t>预算金额（元）：</w:t>
      </w:r>
      <w:r>
        <w:rPr>
          <w:rFonts w:hint="eastAsia" w:asciiTheme="minorEastAsia" w:hAnsiTheme="minorEastAsia" w:eastAsiaTheme="minorEastAsia"/>
          <w:bCs/>
          <w:szCs w:val="21"/>
          <w:highlight w:val="none"/>
          <w:lang w:eastAsia="zh-CN"/>
        </w:rPr>
        <w:t>3000000</w:t>
      </w:r>
    </w:p>
    <w:p w14:paraId="79523C55">
      <w:pPr>
        <w:adjustRightInd/>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单位：</w:t>
      </w:r>
      <w:r>
        <w:rPr>
          <w:rFonts w:hint="eastAsia" w:asciiTheme="minorEastAsia" w:hAnsiTheme="minorEastAsia" w:eastAsiaTheme="minorEastAsia"/>
          <w:bCs/>
          <w:szCs w:val="21"/>
          <w:highlight w:val="none"/>
        </w:rPr>
        <w:t>项</w:t>
      </w:r>
    </w:p>
    <w:p w14:paraId="62E1931F">
      <w:pPr>
        <w:adjustRightInd/>
        <w:spacing w:line="360" w:lineRule="auto"/>
        <w:ind w:firstLine="422" w:firstLineChars="200"/>
        <w:rPr>
          <w:rFonts w:hint="eastAsia" w:asciiTheme="minorEastAsia" w:hAnsiTheme="minorEastAsia" w:eastAsiaTheme="minorEastAsia"/>
          <w:bCs/>
          <w:szCs w:val="21"/>
          <w:highlight w:val="none"/>
        </w:rPr>
      </w:pPr>
      <w:r>
        <w:rPr>
          <w:rFonts w:hint="eastAsia" w:asciiTheme="minorEastAsia" w:hAnsiTheme="minorEastAsia" w:eastAsiaTheme="minorEastAsia"/>
          <w:b/>
          <w:szCs w:val="21"/>
          <w:highlight w:val="none"/>
        </w:rPr>
        <w:t>简要规格描述：</w:t>
      </w:r>
      <w:r>
        <w:rPr>
          <w:rFonts w:hint="eastAsia" w:asciiTheme="minorEastAsia" w:hAnsiTheme="minorEastAsia" w:eastAsiaTheme="minorEastAsia"/>
          <w:bCs/>
          <w:szCs w:val="21"/>
          <w:highlight w:val="none"/>
        </w:rPr>
        <w:t>具体工作内容见磋商文件第四部分采购需求。</w:t>
      </w:r>
    </w:p>
    <w:bookmarkEnd w:id="15"/>
    <w:p w14:paraId="02D5EB0D">
      <w:pPr>
        <w:adjustRightInd/>
        <w:spacing w:line="360" w:lineRule="auto"/>
        <w:ind w:firstLine="422" w:firstLineChars="200"/>
        <w:rPr>
          <w:rFonts w:hint="eastAsia" w:asciiTheme="minorEastAsia" w:hAnsiTheme="minorEastAsia" w:eastAsiaTheme="minorEastAsia"/>
          <w:b/>
          <w:szCs w:val="21"/>
          <w:highlight w:val="none"/>
          <w:lang w:eastAsia="zh-CN"/>
        </w:rPr>
      </w:pPr>
      <w:r>
        <w:rPr>
          <w:rFonts w:hint="eastAsia" w:asciiTheme="minorEastAsia" w:hAnsiTheme="minorEastAsia" w:eastAsiaTheme="minorEastAsia"/>
          <w:b/>
          <w:szCs w:val="21"/>
          <w:highlight w:val="none"/>
        </w:rPr>
        <w:t>备注：</w:t>
      </w:r>
      <w:r>
        <w:rPr>
          <w:rFonts w:hint="eastAsia" w:hAnsi="宋体" w:cs="宋体" w:eastAsiaTheme="minorEastAsia"/>
          <w:highlight w:val="none"/>
          <w:lang w:val="en-US" w:eastAsia="zh-CN"/>
        </w:rPr>
        <w:t>/</w:t>
      </w:r>
    </w:p>
    <w:p w14:paraId="63A6FC94">
      <w:pPr>
        <w:adjustRightInd/>
        <w:spacing w:line="360" w:lineRule="auto"/>
        <w:ind w:firstLine="422" w:firstLineChars="200"/>
        <w:rPr>
          <w:rFonts w:hint="eastAsia" w:cs="Times New Roman" w:asciiTheme="minorEastAsia" w:hAnsiTheme="minorEastAsia" w:eastAsiaTheme="minorEastAsia"/>
          <w:bCs/>
          <w:szCs w:val="21"/>
          <w:highlight w:val="none"/>
        </w:rPr>
      </w:pPr>
      <w:r>
        <w:rPr>
          <w:rFonts w:hint="eastAsia" w:asciiTheme="minorEastAsia" w:hAnsiTheme="minorEastAsia" w:eastAsiaTheme="minorEastAsia"/>
          <w:b/>
          <w:szCs w:val="21"/>
          <w:highlight w:val="none"/>
        </w:rPr>
        <w:t>合同履约期限</w:t>
      </w:r>
      <w:r>
        <w:rPr>
          <w:rFonts w:hint="eastAsia" w:asciiTheme="minorEastAsia" w:hAnsiTheme="minorEastAsia" w:eastAsiaTheme="minorEastAsia"/>
          <w:szCs w:val="21"/>
          <w:highlight w:val="none"/>
        </w:rPr>
        <w:t xml:space="preserve">： </w:t>
      </w:r>
      <w:r>
        <w:rPr>
          <w:rFonts w:hint="eastAsia" w:cs="Times New Roman" w:asciiTheme="minorEastAsia" w:hAnsiTheme="minorEastAsia" w:eastAsiaTheme="minorEastAsia"/>
          <w:bCs/>
          <w:szCs w:val="21"/>
          <w:highlight w:val="none"/>
          <w:lang w:val="en-US" w:eastAsia="zh-CN"/>
        </w:rPr>
        <w:t>合同签订后一个月内完成各项服务及设备的安装和部署，之后进行两个月的试运行，试运行完成并通过验收后转入3年服务期</w:t>
      </w:r>
      <w:r>
        <w:rPr>
          <w:rFonts w:hint="eastAsia" w:cs="Times New Roman" w:asciiTheme="minorEastAsia" w:hAnsiTheme="minorEastAsia" w:eastAsiaTheme="minorEastAsia"/>
          <w:bCs/>
          <w:szCs w:val="21"/>
          <w:highlight w:val="none"/>
        </w:rPr>
        <w:t>。</w:t>
      </w:r>
    </w:p>
    <w:p w14:paraId="1834B614">
      <w:pPr>
        <w:adjustRightInd/>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本项目（否）接受联合体投标。</w:t>
      </w:r>
    </w:p>
    <w:p w14:paraId="3939CE7F">
      <w:pPr>
        <w:adjustRightInd/>
        <w:spacing w:line="360" w:lineRule="auto"/>
        <w:rPr>
          <w:rFonts w:hint="eastAsia" w:cs="宋体" w:asciiTheme="minorEastAsia" w:hAnsiTheme="minorEastAsia" w:eastAsiaTheme="minorEastAsia"/>
          <w:b/>
          <w:bCs/>
          <w:szCs w:val="21"/>
          <w:highlight w:val="none"/>
        </w:rPr>
      </w:pPr>
      <w:bookmarkStart w:id="17" w:name="_Toc35393630"/>
      <w:bookmarkStart w:id="18" w:name="_Toc28359013"/>
      <w:bookmarkStart w:id="19" w:name="_Toc28359090"/>
      <w:bookmarkStart w:id="20" w:name="_Toc35393799"/>
      <w:r>
        <w:rPr>
          <w:rFonts w:hint="eastAsia" w:cs="宋体" w:asciiTheme="minorEastAsia" w:hAnsiTheme="minorEastAsia" w:eastAsiaTheme="minorEastAsia"/>
          <w:b/>
          <w:bCs/>
          <w:szCs w:val="21"/>
          <w:highlight w:val="none"/>
        </w:rPr>
        <w:t>二、申请人的资格要求：</w:t>
      </w:r>
      <w:bookmarkEnd w:id="17"/>
      <w:bookmarkEnd w:id="18"/>
      <w:bookmarkEnd w:id="19"/>
      <w:bookmarkEnd w:id="20"/>
    </w:p>
    <w:p w14:paraId="79B39E92">
      <w:pPr>
        <w:adjustRightInd/>
        <w:spacing w:line="360" w:lineRule="auto"/>
        <w:ind w:firstLine="420" w:firstLineChars="200"/>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1.满足《中华人民共和国政府采购法》第二十二条规定；未被“信用中国”（www.creditchina.gov.cn)、中国政府采购网（www.ccgp.gov.cn）列入失信被执行人、</w:t>
      </w:r>
      <w:r>
        <w:rPr>
          <w:rFonts w:hint="eastAsia" w:cs="Arial" w:asciiTheme="minorEastAsia" w:hAnsiTheme="minorEastAsia" w:eastAsiaTheme="minorEastAsia"/>
          <w:kern w:val="0"/>
          <w:szCs w:val="21"/>
          <w:highlight w:val="none"/>
        </w:rPr>
        <w:t>重大税收违法案件当事人名单</w:t>
      </w:r>
      <w:r>
        <w:rPr>
          <w:rFonts w:hint="eastAsia" w:cs="宋体" w:asciiTheme="minorEastAsia" w:hAnsiTheme="minorEastAsia" w:eastAsiaTheme="minorEastAsia"/>
          <w:snapToGrid w:val="0"/>
          <w:kern w:val="28"/>
          <w:szCs w:val="21"/>
          <w:highlight w:val="none"/>
        </w:rPr>
        <w:t>、政府采购严重违法失信行为记录名单；</w:t>
      </w:r>
    </w:p>
    <w:p w14:paraId="7AD74F55">
      <w:pPr>
        <w:adjustRightInd/>
        <w:spacing w:line="360" w:lineRule="auto"/>
        <w:ind w:firstLine="420" w:firstLineChars="200"/>
        <w:rPr>
          <w:rFonts w:hint="eastAsia" w:cs="宋体" w:asciiTheme="minorEastAsia" w:hAnsiTheme="minorEastAsia" w:eastAsiaTheme="minorEastAsia"/>
          <w:snapToGrid w:val="0"/>
          <w:kern w:val="28"/>
          <w:szCs w:val="21"/>
          <w:highlight w:val="none"/>
        </w:rPr>
      </w:pPr>
      <w:r>
        <w:rPr>
          <w:rFonts w:cs="宋体" w:asciiTheme="minorEastAsia" w:hAnsiTheme="minorEastAsia" w:eastAsiaTheme="minorEastAsia"/>
          <w:snapToGrid w:val="0"/>
          <w:kern w:val="28"/>
          <w:szCs w:val="21"/>
          <w:highlight w:val="none"/>
        </w:rPr>
        <w:t>2</w:t>
      </w:r>
      <w:r>
        <w:rPr>
          <w:rFonts w:hint="eastAsia" w:cs="宋体" w:asciiTheme="minorEastAsia" w:hAnsiTheme="minorEastAsia" w:eastAsiaTheme="minorEastAsia"/>
          <w:snapToGrid w:val="0"/>
          <w:kern w:val="28"/>
          <w:szCs w:val="21"/>
          <w:highlight w:val="none"/>
        </w:rPr>
        <w:t>.落实政府采购政策需满足的资格要求：</w:t>
      </w:r>
      <w:r>
        <w:rPr>
          <w:rFonts w:hint="eastAsia" w:ascii="宋体" w:hAnsi="宋体" w:cs="宋体"/>
          <w:szCs w:val="21"/>
          <w:highlight w:val="none"/>
          <w:shd w:val="clear" w:color="auto" w:fill="FFFFFF"/>
        </w:rPr>
        <w:t>无</w:t>
      </w:r>
      <w:r>
        <w:rPr>
          <w:rFonts w:hint="eastAsia" w:cs="宋体" w:asciiTheme="minorEastAsia" w:hAnsiTheme="minorEastAsia" w:eastAsiaTheme="minorEastAsia"/>
          <w:snapToGrid w:val="0"/>
          <w:kern w:val="28"/>
          <w:szCs w:val="21"/>
          <w:highlight w:val="none"/>
        </w:rPr>
        <w:t>；</w:t>
      </w:r>
    </w:p>
    <w:p w14:paraId="310B594E">
      <w:pPr>
        <w:adjustRightInd/>
        <w:spacing w:line="360" w:lineRule="auto"/>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.本项目的特定资格要求：</w:t>
      </w:r>
      <w:r>
        <w:rPr>
          <w:rFonts w:hint="eastAsia" w:hAnsi="宋体" w:cs="宋体" w:eastAsiaTheme="minorEastAsia"/>
          <w:highlight w:val="none"/>
          <w:lang w:val="en-US" w:eastAsia="zh-CN"/>
        </w:rPr>
        <w:t>无</w:t>
      </w:r>
      <w:r>
        <w:rPr>
          <w:rFonts w:hint="eastAsia" w:ascii="宋体" w:hAnsi="宋体" w:cs="宋体"/>
          <w:szCs w:val="21"/>
          <w:highlight w:val="none"/>
          <w:shd w:val="clear" w:color="auto" w:fill="FFFFFF"/>
        </w:rPr>
        <w:t>；</w:t>
      </w:r>
    </w:p>
    <w:p w14:paraId="1B6DCEB1">
      <w:pPr>
        <w:adjustRightInd/>
        <w:spacing w:line="360" w:lineRule="auto"/>
        <w:rPr>
          <w:rFonts w:hint="eastAsia" w:cs="宋体" w:asciiTheme="minorEastAsia" w:hAnsiTheme="minorEastAsia" w:eastAsiaTheme="minorEastAsia"/>
          <w:b/>
          <w:bCs/>
          <w:szCs w:val="21"/>
          <w:highlight w:val="none"/>
        </w:rPr>
      </w:pPr>
      <w:bookmarkStart w:id="21" w:name="_Toc28359091"/>
      <w:bookmarkStart w:id="22" w:name="_Toc35393631"/>
      <w:bookmarkStart w:id="23" w:name="_Toc35393800"/>
      <w:bookmarkStart w:id="24" w:name="_Toc28359014"/>
      <w:r>
        <w:rPr>
          <w:rFonts w:hint="eastAsia" w:cs="宋体" w:asciiTheme="minorEastAsia" w:hAnsiTheme="minorEastAsia" w:eastAsiaTheme="minorEastAsia"/>
          <w:b/>
          <w:bCs/>
          <w:szCs w:val="21"/>
          <w:highlight w:val="none"/>
        </w:rPr>
        <w:t>三、获取（下载）采购文件</w:t>
      </w:r>
      <w:bookmarkEnd w:id="21"/>
      <w:bookmarkEnd w:id="22"/>
      <w:bookmarkEnd w:id="23"/>
      <w:bookmarkEnd w:id="24"/>
    </w:p>
    <w:p w14:paraId="5E9F2F78">
      <w:pPr>
        <w:adjustRightInd/>
        <w:spacing w:line="360" w:lineRule="auto"/>
        <w:ind w:firstLine="422"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cs="宋体" w:asciiTheme="minorEastAsia" w:hAnsiTheme="minorEastAsia" w:eastAsiaTheme="minorEastAsia"/>
          <w:szCs w:val="21"/>
          <w:highlight w:val="none"/>
        </w:rPr>
        <w:t>2025年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日至2025年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日，每天上午</w:t>
      </w:r>
      <w:r>
        <w:rPr>
          <w:rFonts w:hint="eastAsia" w:asciiTheme="minorEastAsia" w:hAnsiTheme="minorEastAsia" w:eastAsiaTheme="minorEastAsia"/>
          <w:szCs w:val="21"/>
          <w:highlight w:val="none"/>
        </w:rPr>
        <w:t>00:00至12:00 ，下午12:00至23:59</w:t>
      </w:r>
      <w:r>
        <w:rPr>
          <w:rFonts w:hint="eastAsia" w:cs="宋体" w:asciiTheme="minorEastAsia" w:hAnsiTheme="minorEastAsia" w:eastAsiaTheme="minorEastAsia"/>
          <w:szCs w:val="21"/>
          <w:highlight w:val="none"/>
        </w:rPr>
        <w:t>（北京时间</w:t>
      </w:r>
      <w:r>
        <w:rPr>
          <w:rFonts w:hint="eastAsia" w:asciiTheme="minorEastAsia" w:hAnsiTheme="minorEastAsia" w:eastAsiaTheme="minorEastAsia"/>
          <w:szCs w:val="21"/>
          <w:highlight w:val="none"/>
        </w:rPr>
        <w:t>，线上获取法定节假日均可，线下获取文件法定节假日除外</w:t>
      </w:r>
      <w:r>
        <w:rPr>
          <w:rFonts w:hint="eastAsia" w:cs="宋体" w:asciiTheme="minorEastAsia" w:hAnsiTheme="minorEastAsia" w:eastAsiaTheme="minorEastAsia"/>
          <w:szCs w:val="21"/>
          <w:highlight w:val="none"/>
        </w:rPr>
        <w:t>）；</w:t>
      </w:r>
    </w:p>
    <w:p w14:paraId="1BED0043">
      <w:pPr>
        <w:adjustRightInd/>
        <w:spacing w:line="360" w:lineRule="auto"/>
        <w:ind w:firstLine="422" w:firstLineChars="20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地点（网址）：</w:t>
      </w:r>
      <w:r>
        <w:rPr>
          <w:rFonts w:hint="eastAsia" w:cs="仿宋_GB2312" w:asciiTheme="minorEastAsia" w:hAnsiTheme="minorEastAsia" w:eastAsiaTheme="minorEastAsia"/>
          <w:bCs/>
          <w:szCs w:val="21"/>
          <w:highlight w:val="none"/>
        </w:rPr>
        <w:t>政采云平台（</w:t>
      </w:r>
      <w:r>
        <w:rPr>
          <w:rFonts w:hint="eastAsia" w:cs="仿宋_GB2312" w:asciiTheme="minorEastAsia" w:hAnsiTheme="minorEastAsia" w:eastAsiaTheme="minorEastAsia"/>
          <w:bCs/>
          <w:snapToGrid w:val="0"/>
          <w:kern w:val="0"/>
          <w:szCs w:val="21"/>
          <w:highlight w:val="none"/>
        </w:rPr>
        <w:t>https://www.zcygov.cn/</w:t>
      </w:r>
      <w:r>
        <w:rPr>
          <w:rFonts w:hint="eastAsia" w:cs="仿宋_GB2312" w:asciiTheme="minorEastAsia" w:hAnsiTheme="minorEastAsia" w:eastAsiaTheme="minorEastAsia"/>
          <w:bCs/>
          <w:szCs w:val="21"/>
          <w:highlight w:val="none"/>
        </w:rPr>
        <w:t>）</w:t>
      </w:r>
    </w:p>
    <w:p w14:paraId="6E2FD2DE">
      <w:pPr>
        <w:adjustRightInd/>
        <w:spacing w:line="360" w:lineRule="auto"/>
        <w:ind w:firstLine="422" w:firstLineChars="20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供应商登录政采云平台https://www.zcygov.cn/在线申请获取采购文件（进入“项目采购”应用，在获取采购文件菜单中选择项目，申请获取采购文件）。</w:t>
      </w:r>
    </w:p>
    <w:p w14:paraId="3BB98842">
      <w:pPr>
        <w:adjustRightInd/>
        <w:spacing w:line="360" w:lineRule="auto"/>
        <w:ind w:firstLine="422"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售价（元）：</w:t>
      </w:r>
      <w:r>
        <w:rPr>
          <w:rFonts w:hint="eastAsia" w:cs="仿宋_GB2312" w:asciiTheme="minorEastAsia" w:hAnsiTheme="minorEastAsia" w:eastAsiaTheme="minorEastAsia"/>
          <w:szCs w:val="21"/>
          <w:highlight w:val="none"/>
        </w:rPr>
        <w:t>0。</w:t>
      </w:r>
    </w:p>
    <w:p w14:paraId="57AD1E52">
      <w:pPr>
        <w:tabs>
          <w:tab w:val="left" w:pos="432"/>
        </w:tabs>
        <w:adjustRightInd/>
        <w:spacing w:line="360" w:lineRule="auto"/>
        <w:rPr>
          <w:rFonts w:hint="eastAsia" w:cs="宋体" w:asciiTheme="minorEastAsia" w:hAnsiTheme="minorEastAsia" w:eastAsiaTheme="minorEastAsia"/>
          <w:b/>
          <w:bCs/>
          <w:szCs w:val="21"/>
          <w:highlight w:val="none"/>
        </w:rPr>
      </w:pPr>
      <w:bookmarkStart w:id="25" w:name="_Toc28359015"/>
      <w:bookmarkStart w:id="26" w:name="_Toc35393632"/>
      <w:bookmarkStart w:id="27" w:name="_Toc35393801"/>
      <w:bookmarkStart w:id="28" w:name="_Toc28359092"/>
      <w:r>
        <w:rPr>
          <w:rFonts w:hint="eastAsia" w:cs="宋体" w:asciiTheme="minorEastAsia" w:hAnsiTheme="minorEastAsia" w:eastAsiaTheme="minorEastAsia"/>
          <w:b/>
          <w:bCs/>
          <w:szCs w:val="21"/>
          <w:highlight w:val="none"/>
        </w:rPr>
        <w:t>四、响应文件提交</w:t>
      </w:r>
      <w:bookmarkEnd w:id="25"/>
      <w:bookmarkEnd w:id="26"/>
      <w:bookmarkEnd w:id="27"/>
      <w:bookmarkEnd w:id="28"/>
      <w:r>
        <w:rPr>
          <w:rFonts w:hint="eastAsia" w:cs="宋体" w:asciiTheme="minorEastAsia" w:hAnsiTheme="minorEastAsia" w:eastAsiaTheme="minorEastAsia"/>
          <w:b/>
          <w:bCs/>
          <w:szCs w:val="21"/>
          <w:highlight w:val="none"/>
        </w:rPr>
        <w:t>（上传）</w:t>
      </w:r>
    </w:p>
    <w:p w14:paraId="27712188">
      <w:pPr>
        <w:adjustRightInd/>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截止时间：2025年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0（北京时间）</w:t>
      </w:r>
    </w:p>
    <w:p w14:paraId="3A202DE8">
      <w:pPr>
        <w:adjustRightInd/>
        <w:spacing w:line="360" w:lineRule="auto"/>
        <w:ind w:firstLine="420" w:firstLineChars="200"/>
        <w:rPr>
          <w:rFonts w:hint="eastAsia" w:cs="宋体" w:asciiTheme="minorEastAsia" w:hAnsiTheme="minorEastAsia" w:eastAsiaTheme="minorEastAsia"/>
          <w:b/>
          <w:bCs/>
          <w:szCs w:val="21"/>
          <w:highlight w:val="none"/>
        </w:rPr>
      </w:pPr>
      <w:r>
        <w:rPr>
          <w:rFonts w:hint="eastAsia" w:cs="宋体" w:asciiTheme="minorEastAsia" w:hAnsiTheme="minorEastAsia" w:eastAsiaTheme="minorEastAsia"/>
          <w:szCs w:val="21"/>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宋体" w:asciiTheme="minorEastAsia" w:hAnsiTheme="minorEastAsia" w:eastAsiaTheme="minorEastAsia"/>
          <w:snapToGrid/>
          <w:color w:val="auto"/>
          <w:kern w:val="2"/>
          <w:sz w:val="21"/>
          <w:szCs w:val="21"/>
          <w:highlight w:val="none"/>
        </w:rPr>
        <w:t>https://www.zcygov.cn/</w:t>
      </w:r>
      <w:r>
        <w:rPr>
          <w:rStyle w:val="70"/>
          <w:rFonts w:hint="eastAsia" w:cs="宋体" w:asciiTheme="minorEastAsia" w:hAnsiTheme="minorEastAsia" w:eastAsiaTheme="minorEastAsia"/>
          <w:snapToGrid/>
          <w:color w:val="auto"/>
          <w:kern w:val="2"/>
          <w:sz w:val="21"/>
          <w:szCs w:val="21"/>
          <w:highlight w:val="none"/>
        </w:rPr>
        <w:fldChar w:fldCharType="end"/>
      </w:r>
      <w:r>
        <w:rPr>
          <w:rFonts w:hint="eastAsia" w:cs="宋体" w:asciiTheme="minorEastAsia" w:hAnsiTheme="minorEastAsia" w:eastAsiaTheme="minorEastAsia"/>
          <w:szCs w:val="21"/>
          <w:highlight w:val="none"/>
        </w:rPr>
        <w:t>）。</w:t>
      </w:r>
    </w:p>
    <w:p w14:paraId="7F8DEC67">
      <w:pPr>
        <w:tabs>
          <w:tab w:val="left" w:pos="432"/>
        </w:tabs>
        <w:adjustRightInd/>
        <w:spacing w:line="360" w:lineRule="auto"/>
        <w:rPr>
          <w:rFonts w:hint="eastAsia"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五、响应文件开启</w:t>
      </w:r>
    </w:p>
    <w:p w14:paraId="02B3246E">
      <w:pPr>
        <w:adjustRightInd/>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开启时间：2025年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0（北京时间）</w:t>
      </w:r>
    </w:p>
    <w:p w14:paraId="2D8950ED">
      <w:pPr>
        <w:adjustRightInd/>
        <w:spacing w:line="360" w:lineRule="auto"/>
        <w:ind w:firstLine="420" w:firstLineChars="200"/>
        <w:rPr>
          <w:rFonts w:hint="eastAsia"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地点（网址）：政采云平台（https://www.zcygov.cn/）。</w:t>
      </w:r>
    </w:p>
    <w:p w14:paraId="07F25A16">
      <w:pPr>
        <w:tabs>
          <w:tab w:val="left" w:pos="432"/>
        </w:tabs>
        <w:adjustRightInd/>
        <w:spacing w:line="360" w:lineRule="auto"/>
        <w:rPr>
          <w:rFonts w:hint="eastAsia" w:cs="宋体" w:asciiTheme="minorEastAsia" w:hAnsiTheme="minorEastAsia" w:eastAsiaTheme="minorEastAsia"/>
          <w:b/>
          <w:bCs/>
          <w:szCs w:val="21"/>
          <w:highlight w:val="none"/>
        </w:rPr>
      </w:pPr>
      <w:bookmarkStart w:id="29" w:name="_Toc28359017"/>
      <w:bookmarkStart w:id="30" w:name="_Toc35393803"/>
      <w:bookmarkStart w:id="31" w:name="_Toc28359094"/>
      <w:bookmarkStart w:id="32" w:name="_Toc35393634"/>
      <w:r>
        <w:rPr>
          <w:rFonts w:hint="eastAsia" w:cs="宋体" w:asciiTheme="minorEastAsia" w:hAnsiTheme="minorEastAsia" w:eastAsiaTheme="minorEastAsia"/>
          <w:b/>
          <w:bCs/>
          <w:szCs w:val="21"/>
          <w:highlight w:val="none"/>
        </w:rPr>
        <w:t>六、公告期限</w:t>
      </w:r>
      <w:bookmarkEnd w:id="29"/>
      <w:bookmarkEnd w:id="30"/>
      <w:bookmarkEnd w:id="31"/>
      <w:bookmarkEnd w:id="32"/>
    </w:p>
    <w:p w14:paraId="7776BB21">
      <w:pPr>
        <w:adjustRightInd/>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自本公告发布之日起3个工作日。</w:t>
      </w:r>
    </w:p>
    <w:p w14:paraId="20F5E996">
      <w:pPr>
        <w:tabs>
          <w:tab w:val="left" w:pos="432"/>
        </w:tabs>
        <w:adjustRightInd/>
        <w:spacing w:line="360" w:lineRule="auto"/>
        <w:rPr>
          <w:rFonts w:hint="eastAsia" w:cs="宋体" w:asciiTheme="minorEastAsia" w:hAnsiTheme="minorEastAsia" w:eastAsiaTheme="minorEastAsia"/>
          <w:b/>
          <w:bCs/>
          <w:szCs w:val="21"/>
          <w:highlight w:val="none"/>
        </w:rPr>
      </w:pPr>
      <w:bookmarkStart w:id="33" w:name="_Toc35393804"/>
      <w:bookmarkStart w:id="34" w:name="_Toc35393635"/>
      <w:r>
        <w:rPr>
          <w:rFonts w:hint="eastAsia" w:cs="宋体" w:asciiTheme="minorEastAsia" w:hAnsiTheme="minorEastAsia" w:eastAsiaTheme="minorEastAsia"/>
          <w:b/>
          <w:bCs/>
          <w:szCs w:val="21"/>
          <w:highlight w:val="none"/>
        </w:rPr>
        <w:t>七、其他补充事宜</w:t>
      </w:r>
      <w:bookmarkEnd w:id="33"/>
      <w:bookmarkEnd w:id="34"/>
    </w:p>
    <w:p w14:paraId="150ED811">
      <w:pPr>
        <w:adjustRightInd/>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83BCF8">
      <w:pPr>
        <w:adjustRightInd/>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56A28">
      <w:pPr>
        <w:adjustRightInd/>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F6684F">
      <w:pPr>
        <w:adjustRightInd/>
        <w:spacing w:line="360" w:lineRule="auto"/>
        <w:ind w:firstLine="422" w:firstLineChars="200"/>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4.其他事项：</w:t>
      </w:r>
    </w:p>
    <w:p w14:paraId="260C6821">
      <w:pPr>
        <w:adjustRightInd/>
        <w:spacing w:line="360" w:lineRule="auto"/>
        <w:ind w:firstLine="422"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b/>
          <w:kern w:val="0"/>
          <w:szCs w:val="21"/>
          <w:highlight w:val="none"/>
        </w:rPr>
        <w:t>（1）需要落实的政府采购政策：</w:t>
      </w:r>
      <w:r>
        <w:rPr>
          <w:rFonts w:hint="eastAsia" w:cs="宋体" w:asciiTheme="minorEastAsia" w:hAnsiTheme="minorEastAsia" w:eastAsiaTheme="minorEastAsia"/>
          <w:kern w:val="0"/>
          <w:szCs w:val="21"/>
          <w:highlight w:val="none"/>
        </w:rPr>
        <w:t>包括节约资源、保护环境、</w:t>
      </w:r>
      <w:r>
        <w:rPr>
          <w:rFonts w:hint="eastAsia" w:cs="宋体" w:asciiTheme="minorEastAsia" w:hAnsiTheme="minorEastAsia" w:eastAsiaTheme="minorEastAsia"/>
          <w:szCs w:val="21"/>
          <w:highlight w:val="none"/>
        </w:rPr>
        <w:t>支持创新、</w:t>
      </w:r>
      <w:r>
        <w:rPr>
          <w:rFonts w:hint="eastAsia" w:cs="宋体" w:asciiTheme="minorEastAsia" w:hAnsiTheme="minorEastAsia" w:eastAsiaTheme="minorEastAsia"/>
          <w:kern w:val="0"/>
          <w:szCs w:val="21"/>
          <w:highlight w:val="none"/>
        </w:rPr>
        <w:t>促进中小企业发展等，详见磋商文件第三部分。</w:t>
      </w:r>
    </w:p>
    <w:p w14:paraId="45039421">
      <w:pPr>
        <w:adjustRightInd/>
        <w:spacing w:line="360" w:lineRule="auto"/>
        <w:ind w:firstLine="422" w:firstLineChars="200"/>
        <w:rPr>
          <w:rFonts w:hint="eastAsia" w:cs="仿宋_GB2312"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（2）</w:t>
      </w:r>
      <w:r>
        <w:rPr>
          <w:rFonts w:hint="eastAsia" w:cs="仿宋_GB2312" w:asciiTheme="minorEastAsia" w:hAnsiTheme="minorEastAsia" w:eastAsiaTheme="minorEastAsia"/>
          <w:b/>
          <w:szCs w:val="21"/>
          <w:highlight w:val="none"/>
        </w:rPr>
        <w:t>电子交易的说明: 1）电子交易：</w:t>
      </w:r>
      <w:r>
        <w:rPr>
          <w:rFonts w:hint="eastAsia" w:cs="仿宋_GB2312" w:asciiTheme="minorEastAsia" w:hAnsiTheme="minorEastAsia" w:eastAsiaTheme="minorEastAsia"/>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szCs w:val="21"/>
          <w:highlight w:val="none"/>
        </w:rPr>
        <w:t>2）响应准备：</w:t>
      </w:r>
      <w:r>
        <w:rPr>
          <w:rFonts w:hint="eastAsia" w:cs="仿宋_GB2312" w:asciiTheme="minorEastAsia" w:hAnsiTheme="minorEastAsia" w:eastAsiaTheme="minorEastAsia"/>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Cs w:val="21"/>
          <w:highlight w:val="none"/>
        </w:rPr>
        <w:t>3）磋商文件的获取：</w:t>
      </w:r>
      <w:r>
        <w:rPr>
          <w:rFonts w:hint="eastAsia" w:cs="仿宋_GB2312" w:asciiTheme="minorEastAsia" w:hAnsiTheme="minorEastAsia" w:eastAsiaTheme="minorEastAsia"/>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Cs w:val="21"/>
          <w:highlight w:val="none"/>
        </w:rPr>
        <w:t>4）响应文件的制作：</w:t>
      </w:r>
      <w:r>
        <w:rPr>
          <w:rFonts w:hint="eastAsia" w:cs="仿宋_GB2312" w:asciiTheme="minorEastAsia" w:hAnsiTheme="minorEastAsia" w:eastAsiaTheme="minorEastAsia"/>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Cs w:val="21"/>
          <w:highlight w:val="none"/>
        </w:rPr>
        <w:t>5）</w:t>
      </w:r>
      <w:r>
        <w:rPr>
          <w:rFonts w:hint="eastAsia" w:cs="仿宋_GB2312" w:asciiTheme="minorEastAsia" w:hAnsiTheme="minorEastAsia" w:eastAsiaTheme="minorEastAsia"/>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Cs w:val="21"/>
          <w:highlight w:val="none"/>
        </w:rPr>
        <w:t>6）</w:t>
      </w:r>
      <w:r>
        <w:rPr>
          <w:rFonts w:hint="eastAsia" w:cs="仿宋_GB2312" w:asciiTheme="minorEastAsia" w:hAnsiTheme="minorEastAsia" w:eastAsiaTheme="minorEastAsia"/>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Cs w:val="21"/>
          <w:highlight w:val="none"/>
        </w:rPr>
        <w:t>；</w:t>
      </w:r>
      <w:r>
        <w:rPr>
          <w:rFonts w:cs="仿宋_GB2312" w:asciiTheme="minorEastAsia" w:hAnsiTheme="minorEastAsia" w:eastAsiaTheme="minorEastAsia"/>
          <w:b/>
          <w:szCs w:val="21"/>
          <w:highlight w:val="none"/>
        </w:rPr>
        <w:t>7）</w:t>
      </w:r>
      <w:r>
        <w:rPr>
          <w:rFonts w:hint="eastAsia" w:cs="仿宋_GB2312" w:asciiTheme="minorEastAsia" w:hAnsiTheme="minorEastAsia" w:eastAsiaTheme="minorEastAsia"/>
          <w:szCs w:val="21"/>
          <w:highlight w:val="none"/>
        </w:rPr>
        <w:t>不提供磋商文件纸质版；</w:t>
      </w:r>
      <w:r>
        <w:rPr>
          <w:rFonts w:cs="仿宋_GB2312" w:asciiTheme="minorEastAsia" w:hAnsiTheme="minorEastAsia" w:eastAsiaTheme="minorEastAsia"/>
          <w:b/>
          <w:szCs w:val="21"/>
          <w:highlight w:val="none"/>
        </w:rPr>
        <w:t>8</w:t>
      </w:r>
      <w:r>
        <w:rPr>
          <w:rFonts w:hint="eastAsia" w:cs="仿宋_GB2312" w:asciiTheme="minorEastAsia" w:hAnsiTheme="minorEastAsia" w:eastAsiaTheme="minorEastAsia"/>
          <w:b/>
          <w:szCs w:val="21"/>
          <w:highlight w:val="none"/>
        </w:rPr>
        <w:t>）响应文件的传输提交：</w:t>
      </w:r>
      <w:r>
        <w:rPr>
          <w:rFonts w:hint="eastAsia" w:cs="仿宋_GB2312" w:asciiTheme="minorEastAsia" w:hAnsiTheme="minorEastAsia" w:eastAsiaTheme="minorEastAsia"/>
          <w:szCs w:val="21"/>
          <w:highlight w:val="none"/>
        </w:rPr>
        <w:t>供应商在提交响应文件的截止时间前将加密的响应文件上传至政府采购云平台，还可以在提交响应文件的截止时间前直接提交或者以邮寄方式提交备份响应文件1份。备份响应文件的制作、存储、密封详见磋商文件第三部分 “备份响应文件”；</w:t>
      </w:r>
      <w:r>
        <w:rPr>
          <w:rFonts w:hint="eastAsia" w:cs="仿宋_GB2312" w:asciiTheme="minorEastAsia" w:hAnsiTheme="minorEastAsia" w:eastAsiaTheme="minorEastAsia"/>
          <w:b/>
          <w:szCs w:val="21"/>
          <w:highlight w:val="none"/>
        </w:rPr>
        <w:t>9）响应文件的解密：</w:t>
      </w:r>
      <w:r>
        <w:rPr>
          <w:rFonts w:hint="eastAsia" w:cs="仿宋_GB2312" w:asciiTheme="minorEastAsia" w:hAnsiTheme="minorEastAsia" w:eastAsiaTheme="minorEastAsia"/>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Cs w:val="21"/>
          <w:highlight w:val="none"/>
        </w:rPr>
        <w:t>）具体操作指南</w:t>
      </w:r>
      <w:r>
        <w:rPr>
          <w:rFonts w:hint="eastAsia" w:cs="仿宋_GB2312" w:asciiTheme="minorEastAsia" w:hAnsiTheme="minorEastAsia" w:eastAsiaTheme="minorEastAsia"/>
          <w:szCs w:val="21"/>
          <w:highlight w:val="none"/>
        </w:rPr>
        <w:t>：详见政采云平台“服务中心-帮助文档-项目采购-操作流程-电子招投标-政府采购项目电子交易管理操作指南-供应商”。</w:t>
      </w:r>
    </w:p>
    <w:p w14:paraId="35567D2C">
      <w:pPr>
        <w:adjustRightInd/>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（3）磋商文件公告期限与磋商公告的公告期限一致。</w:t>
      </w:r>
    </w:p>
    <w:p w14:paraId="520CC9E4">
      <w:pPr>
        <w:adjustRightInd/>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海曙区“政采贷”助力中小企业金融服务，有需要的中标（成交）供应商</w:t>
      </w:r>
      <w:r>
        <w:rPr>
          <w:rFonts w:hint="eastAsia" w:cs="宋体" w:asciiTheme="minorEastAsia" w:hAnsiTheme="minorEastAsia" w:eastAsiaTheme="minorEastAsia"/>
          <w:szCs w:val="21"/>
          <w:highlight w:val="none"/>
        </w:rPr>
        <w:t>请于网站</w:t>
      </w:r>
      <w:r>
        <w:rPr>
          <w:rFonts w:cs="宋体" w:asciiTheme="minorEastAsia" w:hAnsiTheme="minorEastAsia" w:eastAsiaTheme="minorEastAsia"/>
          <w:szCs w:val="21"/>
          <w:highlight w:val="none"/>
        </w:rPr>
        <w:t>https://jyxt.zwb.ningbo.gov.cn:4011/website/announcementDetails?article_ID=9174636&amp;code=0101&amp;project_ID=N&amp;isShowTypeSteps=false&amp;project_NO=N&amp;sidebarID办理具体业务</w:t>
      </w:r>
      <w:r>
        <w:rPr>
          <w:rFonts w:hint="eastAsia" w:cs="宋体" w:asciiTheme="minorEastAsia" w:hAnsiTheme="minorEastAsia" w:eastAsiaTheme="minorEastAsia"/>
          <w:szCs w:val="21"/>
          <w:highlight w:val="none"/>
        </w:rPr>
        <w:t>。</w:t>
      </w:r>
    </w:p>
    <w:p w14:paraId="4FA9FF8D">
      <w:pPr>
        <w:adjustRightInd/>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）本公告发布媒体：</w:t>
      </w:r>
      <w:r>
        <w:rPr>
          <w:rFonts w:hint="eastAsia" w:hAnsi="宋体"/>
          <w:highlight w:val="none"/>
        </w:rPr>
        <w:t>中国政府采购网（www.ccgp.gov.cn）、浙江政府采购网（zfcg.czt.zj.gov.cn）、浙江省公共资源交易服务平台（https://ggzy.zj.gov.cn）、宁波政府采购网(https://zfcg.czj.ningbo.gov.cn/)、宁波市公共资源交易电子服务系统（甬易阳光）（https://jyxt.zwb.ningbo.gov.cn:4011/website/home）</w:t>
      </w:r>
      <w:r>
        <w:rPr>
          <w:rFonts w:hint="eastAsia" w:cs="宋体" w:asciiTheme="minorEastAsia" w:hAnsiTheme="minorEastAsia" w:eastAsiaTheme="minorEastAsia"/>
          <w:szCs w:val="21"/>
          <w:highlight w:val="none"/>
        </w:rPr>
        <w:t>。</w:t>
      </w:r>
    </w:p>
    <w:p w14:paraId="47BDA840">
      <w:pPr>
        <w:tabs>
          <w:tab w:val="left" w:pos="432"/>
        </w:tabs>
        <w:adjustRightInd/>
        <w:spacing w:line="360" w:lineRule="auto"/>
        <w:rPr>
          <w:rFonts w:hint="eastAsia" w:cs="宋体" w:asciiTheme="minorEastAsia" w:hAnsiTheme="minorEastAsia" w:eastAsiaTheme="minorEastAsia"/>
          <w:b/>
          <w:bCs/>
          <w:szCs w:val="21"/>
          <w:highlight w:val="none"/>
        </w:rPr>
      </w:pPr>
      <w:bookmarkStart w:id="35" w:name="_Toc35393805"/>
      <w:bookmarkStart w:id="36" w:name="_Toc35393636"/>
      <w:bookmarkStart w:id="37" w:name="_Toc28359095"/>
      <w:bookmarkStart w:id="38" w:name="_Toc28359018"/>
      <w:r>
        <w:rPr>
          <w:rFonts w:hint="eastAsia" w:cs="宋体" w:asciiTheme="minorEastAsia" w:hAnsiTheme="minorEastAsia" w:eastAsiaTheme="minorEastAsia"/>
          <w:b/>
          <w:bCs/>
          <w:szCs w:val="21"/>
          <w:highlight w:val="none"/>
        </w:rPr>
        <w:t>八、凡对本次采购提出询问、质疑、投诉，请按以下方式联系</w:t>
      </w:r>
      <w:bookmarkEnd w:id="35"/>
      <w:bookmarkEnd w:id="36"/>
      <w:bookmarkEnd w:id="37"/>
      <w:bookmarkEnd w:id="38"/>
    </w:p>
    <w:p w14:paraId="51EC8BE5">
      <w:pPr>
        <w:tabs>
          <w:tab w:val="left" w:pos="432"/>
        </w:tabs>
        <w:adjustRightInd/>
        <w:spacing w:line="360" w:lineRule="auto"/>
        <w:ind w:firstLine="420" w:firstLineChars="200"/>
        <w:rPr>
          <w:rFonts w:hint="eastAsia" w:cs="宋体" w:asciiTheme="minorEastAsia" w:hAnsiTheme="minorEastAsia" w:eastAsiaTheme="minorEastAsia"/>
          <w:szCs w:val="21"/>
          <w:highlight w:val="none"/>
        </w:rPr>
      </w:pPr>
      <w:bookmarkStart w:id="39" w:name="_Toc35393637"/>
      <w:bookmarkStart w:id="40" w:name="_Toc28359019"/>
      <w:bookmarkStart w:id="41" w:name="_Toc35393806"/>
      <w:bookmarkStart w:id="42" w:name="_Toc28359096"/>
      <w:r>
        <w:rPr>
          <w:rFonts w:hint="eastAsia" w:cs="宋体" w:asciiTheme="minorEastAsia" w:hAnsiTheme="minorEastAsia" w:eastAsiaTheme="minorEastAsia"/>
          <w:szCs w:val="21"/>
          <w:highlight w:val="none"/>
        </w:rPr>
        <w:t>1.采购人信息</w:t>
      </w:r>
      <w:bookmarkEnd w:id="39"/>
      <w:bookmarkEnd w:id="40"/>
      <w:bookmarkEnd w:id="41"/>
      <w:bookmarkEnd w:id="42"/>
      <w:r>
        <w:rPr>
          <w:rFonts w:hint="eastAsia" w:cs="宋体" w:asciiTheme="minorEastAsia" w:hAnsiTheme="minorEastAsia" w:eastAsiaTheme="minorEastAsia"/>
          <w:szCs w:val="21"/>
          <w:highlight w:val="none"/>
        </w:rPr>
        <w:t>：</w:t>
      </w:r>
    </w:p>
    <w:p w14:paraId="3719F4F3">
      <w:pPr>
        <w:adjustRightInd/>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名称：</w:t>
      </w:r>
      <w:r>
        <w:rPr>
          <w:rFonts w:hint="eastAsia" w:asciiTheme="minorEastAsia" w:hAnsiTheme="minorEastAsia" w:eastAsiaTheme="minorEastAsia"/>
          <w:color w:val="auto"/>
          <w:szCs w:val="21"/>
          <w:highlight w:val="none"/>
          <w:lang w:eastAsia="zh-CN"/>
        </w:rPr>
        <w:t>宁波市海曙区数据局</w:t>
      </w:r>
    </w:p>
    <w:p w14:paraId="79D6EEC8">
      <w:pPr>
        <w:adjustRightInd/>
        <w:spacing w:line="360" w:lineRule="auto"/>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地址：海曙区县前街61号</w:t>
      </w:r>
    </w:p>
    <w:p w14:paraId="45936D0F">
      <w:pPr>
        <w:adjustRightInd/>
        <w:spacing w:line="360" w:lineRule="auto"/>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传真： /</w:t>
      </w:r>
    </w:p>
    <w:p w14:paraId="22FAE392">
      <w:pPr>
        <w:adjustRightInd/>
        <w:spacing w:line="360" w:lineRule="auto"/>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项目联系人（询问）：</w:t>
      </w:r>
      <w:r>
        <w:rPr>
          <w:rFonts w:hint="eastAsia" w:cs="Times New Roman" w:asciiTheme="minorEastAsia" w:hAnsiTheme="minorEastAsia" w:eastAsiaTheme="minorEastAsia"/>
          <w:color w:val="auto"/>
          <w:szCs w:val="21"/>
          <w:highlight w:val="none"/>
          <w:lang w:val="en-US" w:eastAsia="zh-CN"/>
        </w:rPr>
        <w:t>叶</w:t>
      </w:r>
      <w:r>
        <w:rPr>
          <w:rFonts w:hint="eastAsia" w:cs="Times New Roman" w:asciiTheme="minorEastAsia" w:hAnsiTheme="minorEastAsia" w:eastAsiaTheme="minorEastAsia"/>
          <w:color w:val="auto"/>
          <w:szCs w:val="21"/>
          <w:highlight w:val="none"/>
          <w:lang w:eastAsia="zh-CN"/>
        </w:rPr>
        <w:t>老师</w:t>
      </w:r>
    </w:p>
    <w:p w14:paraId="0BF297F6">
      <w:pPr>
        <w:adjustRightInd/>
        <w:spacing w:line="360" w:lineRule="auto"/>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项目联系方式（询问）：0574-89297085</w:t>
      </w:r>
    </w:p>
    <w:p w14:paraId="2CF01CB6">
      <w:pPr>
        <w:adjustRightInd/>
        <w:spacing w:line="360" w:lineRule="auto"/>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 xml:space="preserve">质疑联系人：周老师 </w:t>
      </w:r>
    </w:p>
    <w:p w14:paraId="5E95A0F0">
      <w:pPr>
        <w:adjustRightInd/>
        <w:spacing w:line="360" w:lineRule="auto"/>
        <w:ind w:firstLine="420" w:firstLineChars="200"/>
        <w:rPr>
          <w:rFonts w:hint="eastAsia" w:asciiTheme="minorEastAsia" w:hAnsiTheme="minorEastAsia" w:eastAsiaTheme="minorEastAsia"/>
          <w:szCs w:val="21"/>
          <w:highlight w:val="none"/>
        </w:rPr>
      </w:pPr>
      <w:r>
        <w:rPr>
          <w:rFonts w:hint="eastAsia" w:cs="Times New Roman" w:asciiTheme="minorEastAsia" w:hAnsiTheme="minorEastAsia" w:eastAsiaTheme="minorEastAsia"/>
          <w:color w:val="auto"/>
          <w:szCs w:val="21"/>
          <w:highlight w:val="none"/>
          <w:lang w:eastAsia="zh-CN"/>
        </w:rPr>
        <w:t>质疑联系方式：0574-89297432</w:t>
      </w:r>
      <w:r>
        <w:rPr>
          <w:rFonts w:hint="eastAsia" w:cs="Times New Roman"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szCs w:val="21"/>
          <w:highlight w:val="none"/>
        </w:rPr>
        <w:t xml:space="preserve"> </w:t>
      </w:r>
    </w:p>
    <w:p w14:paraId="2D4BECE8">
      <w:pPr>
        <w:tabs>
          <w:tab w:val="left" w:pos="432"/>
        </w:tabs>
        <w:adjustRightInd/>
        <w:spacing w:line="360" w:lineRule="auto"/>
        <w:ind w:firstLine="420" w:firstLineChars="200"/>
        <w:rPr>
          <w:rFonts w:hint="eastAsia" w:cs="宋体" w:asciiTheme="minorEastAsia" w:hAnsiTheme="minorEastAsia" w:eastAsiaTheme="minorEastAsia"/>
          <w:szCs w:val="21"/>
          <w:highlight w:val="none"/>
        </w:rPr>
      </w:pPr>
      <w:bookmarkStart w:id="43" w:name="_Toc35393638"/>
      <w:bookmarkStart w:id="44" w:name="_Toc28359020"/>
      <w:bookmarkStart w:id="45" w:name="_Toc35393807"/>
      <w:bookmarkStart w:id="46" w:name="_Toc28359097"/>
      <w:r>
        <w:rPr>
          <w:rFonts w:hint="eastAsia" w:cs="宋体" w:asciiTheme="minorEastAsia" w:hAnsiTheme="minorEastAsia" w:eastAsiaTheme="minorEastAsia"/>
          <w:szCs w:val="21"/>
          <w:highlight w:val="none"/>
        </w:rPr>
        <w:t>2.采购代理机构信息</w:t>
      </w:r>
      <w:bookmarkEnd w:id="43"/>
      <w:bookmarkEnd w:id="44"/>
      <w:bookmarkEnd w:id="45"/>
      <w:bookmarkEnd w:id="46"/>
      <w:r>
        <w:rPr>
          <w:rFonts w:hint="eastAsia" w:cs="宋体" w:asciiTheme="minorEastAsia" w:hAnsiTheme="minorEastAsia" w:eastAsiaTheme="minorEastAsia"/>
          <w:szCs w:val="21"/>
          <w:highlight w:val="none"/>
        </w:rPr>
        <w:t>：</w:t>
      </w:r>
    </w:p>
    <w:p w14:paraId="54CC5254">
      <w:pPr>
        <w:adjustRightInd/>
        <w:spacing w:line="360" w:lineRule="auto"/>
        <w:ind w:firstLine="420" w:firstLineChars="200"/>
        <w:rPr>
          <w:rFonts w:hint="eastAsia" w:asciiTheme="minorEastAsia" w:hAnsiTheme="minorEastAsia" w:eastAsiaTheme="minorEastAsia"/>
          <w:szCs w:val="21"/>
          <w:highlight w:val="none"/>
        </w:rPr>
      </w:pPr>
      <w:bookmarkStart w:id="47" w:name="_Toc35393808"/>
      <w:bookmarkStart w:id="48" w:name="_Toc35393639"/>
      <w:bookmarkStart w:id="49" w:name="_Toc28359021"/>
      <w:bookmarkStart w:id="50" w:name="_Toc28359098"/>
      <w:r>
        <w:rPr>
          <w:rFonts w:hint="eastAsia" w:asciiTheme="minorEastAsia" w:hAnsiTheme="minorEastAsia" w:eastAsiaTheme="minorEastAsia"/>
          <w:szCs w:val="21"/>
          <w:highlight w:val="none"/>
        </w:rPr>
        <w:t>名称：宁波市科翔工程项目管理有限公司</w:t>
      </w:r>
    </w:p>
    <w:p w14:paraId="3D7F3662">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地址：宁波市海曙区薛家南路499号11层</w:t>
      </w:r>
    </w:p>
    <w:p w14:paraId="54562D95">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传真：0574-87300371</w:t>
      </w:r>
    </w:p>
    <w:p w14:paraId="091FA11F">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项目联系人（询问）：张时雄、蒲廷军、吕园英、何欣、陈浩</w:t>
      </w:r>
    </w:p>
    <w:p w14:paraId="1D74DCA2">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项目联系方式（询问）：0574-</w:t>
      </w:r>
      <w:r>
        <w:rPr>
          <w:rFonts w:asciiTheme="minorEastAsia" w:hAnsiTheme="minorEastAsia" w:eastAsiaTheme="minorEastAsia"/>
          <w:szCs w:val="21"/>
          <w:highlight w:val="none"/>
        </w:rPr>
        <w:t>83885614</w:t>
      </w:r>
    </w:p>
    <w:p w14:paraId="2740F970">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质疑联系人：邱科杰</w:t>
      </w:r>
    </w:p>
    <w:p w14:paraId="02ADF537">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质疑联系方式：</w:t>
      </w:r>
      <w:r>
        <w:rPr>
          <w:rFonts w:asciiTheme="minorEastAsia" w:hAnsiTheme="minorEastAsia" w:eastAsiaTheme="minorEastAsia"/>
          <w:szCs w:val="21"/>
          <w:highlight w:val="none"/>
        </w:rPr>
        <w:t>0574-87300371</w:t>
      </w:r>
    </w:p>
    <w:p w14:paraId="66A4E2F2">
      <w:pPr>
        <w:adjustRightInd/>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szCs w:val="21"/>
          <w:highlight w:val="none"/>
        </w:rPr>
        <w:t xml:space="preserve"> 同级政府采购监督管理部门：            </w:t>
      </w:r>
    </w:p>
    <w:bookmarkEnd w:id="47"/>
    <w:bookmarkEnd w:id="48"/>
    <w:bookmarkEnd w:id="49"/>
    <w:bookmarkEnd w:id="50"/>
    <w:p w14:paraId="5EA33EF2">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名称：宁波市海曙区政府采购管理办公室</w:t>
      </w:r>
    </w:p>
    <w:p w14:paraId="37B2C360">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地址：宁波市海曙区大梁街48号天之海大厦214</w:t>
      </w:r>
    </w:p>
    <w:p w14:paraId="5FFDFE35">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传真：/</w:t>
      </w:r>
    </w:p>
    <w:p w14:paraId="2E0E2A45">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联系人：王老师</w:t>
      </w:r>
    </w:p>
    <w:p w14:paraId="70786BEF">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监督投诉电话：0574-87</w:t>
      </w:r>
      <w:r>
        <w:rPr>
          <w:rFonts w:asciiTheme="minorEastAsia" w:hAnsiTheme="minorEastAsia" w:eastAsiaTheme="minorEastAsia"/>
          <w:szCs w:val="21"/>
          <w:highlight w:val="none"/>
        </w:rPr>
        <w:t>297540</w:t>
      </w:r>
    </w:p>
    <w:p w14:paraId="56D1ABFB">
      <w:pPr>
        <w:adjustRightInd/>
        <w:spacing w:line="360" w:lineRule="auto"/>
        <w:ind w:firstLine="420" w:firstLineChars="200"/>
        <w:rPr>
          <w:rFonts w:hint="eastAsia" w:asciiTheme="minorEastAsia" w:hAnsiTheme="minorEastAsia" w:eastAsiaTheme="minorEastAsia"/>
          <w:szCs w:val="21"/>
          <w:highlight w:val="none"/>
        </w:rPr>
      </w:pPr>
    </w:p>
    <w:p w14:paraId="44BF9546">
      <w:pPr>
        <w:adjustRightInd/>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若对项目采购电子交易系统操作有疑问，可登录政采云（</w:t>
      </w:r>
      <w:r>
        <w:rPr>
          <w:rFonts w:asciiTheme="minorEastAsia" w:hAnsiTheme="minorEastAsia" w:eastAsiaTheme="minorEastAsia"/>
          <w:szCs w:val="21"/>
          <w:highlight w:val="none"/>
        </w:rPr>
        <w:t>https://www.zcygov.cn/），点击右侧咨询小采，获取采小蜜智能服务管家帮助，或拨打政</w:t>
      </w:r>
      <w:r>
        <w:rPr>
          <w:rFonts w:hint="eastAsia" w:asciiTheme="minorEastAsia" w:hAnsiTheme="minorEastAsia" w:eastAsiaTheme="minorEastAsia"/>
          <w:szCs w:val="21"/>
          <w:highlight w:val="none"/>
        </w:rPr>
        <w:t>采云服务热线95763</w:t>
      </w:r>
      <w:r>
        <w:rPr>
          <w:rFonts w:asciiTheme="minorEastAsia" w:hAnsiTheme="minorEastAsia" w:eastAsiaTheme="minorEastAsia"/>
          <w:szCs w:val="21"/>
          <w:highlight w:val="none"/>
        </w:rPr>
        <w:t>获取热线服务帮助。</w:t>
      </w:r>
      <w:r>
        <w:rPr>
          <w:rFonts w:hint="eastAsia" w:cs="Times New Roman" w:asciiTheme="minorEastAsia" w:hAnsiTheme="minorEastAsia" w:eastAsiaTheme="minorEastAsia"/>
          <w:color w:val="auto"/>
          <w:szCs w:val="21"/>
          <w:highlight w:val="none"/>
          <w:lang w:eastAsia="zh-CN"/>
        </w:rPr>
        <w:t>        </w:t>
      </w:r>
    </w:p>
    <w:p w14:paraId="04CE7726">
      <w:pPr>
        <w:adjustRightInd/>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CA问题联系电话（人工）：</w:t>
      </w:r>
      <w:r>
        <w:rPr>
          <w:rFonts w:hint="eastAsia" w:asciiTheme="minorEastAsia" w:hAnsiTheme="minorEastAsia" w:eastAsiaTheme="minorEastAsia"/>
          <w:szCs w:val="21"/>
          <w:highlight w:val="none"/>
        </w:rPr>
        <w:t>汇信</w:t>
      </w:r>
      <w:r>
        <w:rPr>
          <w:rFonts w:asciiTheme="minorEastAsia" w:hAnsiTheme="minorEastAsia" w:eastAsiaTheme="minorEastAsia"/>
          <w:szCs w:val="21"/>
          <w:highlight w:val="none"/>
        </w:rPr>
        <w:t>CA 400-888-4636；天谷CA 400-087-8198。</w:t>
      </w:r>
    </w:p>
    <w:p w14:paraId="7FBDA2AD">
      <w:pPr>
        <w:adjustRightInd/>
        <w:spacing w:line="360" w:lineRule="auto"/>
        <w:outlineLvl w:val="0"/>
        <w:rPr>
          <w:rFonts w:hint="eastAsia" w:cs="仿宋_GB2312" w:asciiTheme="minorEastAsia" w:hAnsiTheme="minorEastAsia" w:eastAsiaTheme="minorEastAsia"/>
          <w:b/>
          <w:sz w:val="36"/>
          <w:szCs w:val="20"/>
          <w:highlight w:val="none"/>
        </w:rPr>
      </w:pPr>
    </w:p>
    <w:p w14:paraId="2916B7B1">
      <w:pPr>
        <w:adjustRightInd/>
        <w:spacing w:line="360" w:lineRule="auto"/>
        <w:outlineLvl w:val="0"/>
        <w:rPr>
          <w:rFonts w:hint="eastAsia" w:cs="仿宋_GB2312" w:asciiTheme="minorEastAsia" w:hAnsiTheme="minorEastAsia" w:eastAsiaTheme="minorEastAsia"/>
          <w:b/>
          <w:sz w:val="36"/>
          <w:szCs w:val="20"/>
          <w:highlight w:val="none"/>
        </w:rPr>
      </w:pPr>
    </w:p>
    <w:p w14:paraId="6791CA0E">
      <w:pPr>
        <w:adjustRightInd/>
        <w:spacing w:line="360" w:lineRule="auto"/>
        <w:outlineLvl w:val="0"/>
        <w:rPr>
          <w:rFonts w:hint="eastAsia" w:cs="仿宋_GB2312" w:asciiTheme="minorEastAsia" w:hAnsiTheme="minorEastAsia" w:eastAsiaTheme="minorEastAsia"/>
          <w:b/>
          <w:sz w:val="36"/>
          <w:szCs w:val="20"/>
          <w:highlight w:val="none"/>
        </w:rPr>
      </w:pPr>
    </w:p>
    <w:p w14:paraId="5F01633C">
      <w:pPr>
        <w:adjustRightInd/>
        <w:spacing w:line="360" w:lineRule="auto"/>
        <w:outlineLvl w:val="0"/>
        <w:rPr>
          <w:rFonts w:hint="eastAsia" w:cs="仿宋_GB2312" w:asciiTheme="minorEastAsia" w:hAnsiTheme="minorEastAsia" w:eastAsiaTheme="minorEastAsia"/>
          <w:b/>
          <w:sz w:val="36"/>
          <w:szCs w:val="20"/>
          <w:highlight w:val="none"/>
        </w:rPr>
      </w:pPr>
    </w:p>
    <w:p w14:paraId="5348E111">
      <w:pPr>
        <w:adjustRightInd/>
        <w:spacing w:line="360" w:lineRule="auto"/>
        <w:outlineLvl w:val="0"/>
        <w:rPr>
          <w:rFonts w:hint="eastAsia" w:cs="仿宋_GB2312" w:asciiTheme="minorEastAsia" w:hAnsiTheme="minorEastAsia" w:eastAsiaTheme="minorEastAsia"/>
          <w:b/>
          <w:sz w:val="36"/>
          <w:szCs w:val="20"/>
          <w:highlight w:val="none"/>
        </w:rPr>
      </w:pPr>
    </w:p>
    <w:p w14:paraId="2DEF3513">
      <w:pPr>
        <w:adjustRightInd/>
        <w:spacing w:line="360" w:lineRule="auto"/>
        <w:outlineLvl w:val="0"/>
        <w:rPr>
          <w:rFonts w:hint="eastAsia" w:cs="仿宋_GB2312" w:asciiTheme="minorEastAsia" w:hAnsiTheme="minorEastAsia" w:eastAsiaTheme="minorEastAsia"/>
          <w:b/>
          <w:sz w:val="36"/>
          <w:szCs w:val="20"/>
          <w:highlight w:val="none"/>
        </w:rPr>
      </w:pPr>
    </w:p>
    <w:p w14:paraId="4CD3E2F5">
      <w:pPr>
        <w:adjustRightInd/>
        <w:spacing w:line="360" w:lineRule="auto"/>
        <w:outlineLvl w:val="0"/>
        <w:rPr>
          <w:rFonts w:hint="eastAsia" w:cs="仿宋_GB2312" w:asciiTheme="minorEastAsia" w:hAnsiTheme="minorEastAsia" w:eastAsiaTheme="minorEastAsia"/>
          <w:b/>
          <w:sz w:val="36"/>
          <w:szCs w:val="20"/>
          <w:highlight w:val="none"/>
        </w:rPr>
      </w:pPr>
    </w:p>
    <w:p w14:paraId="4D256F9D">
      <w:pPr>
        <w:adjustRightInd/>
        <w:spacing w:line="360" w:lineRule="auto"/>
        <w:outlineLvl w:val="0"/>
        <w:rPr>
          <w:rFonts w:hint="eastAsia" w:cs="仿宋_GB2312" w:asciiTheme="minorEastAsia" w:hAnsiTheme="minorEastAsia" w:eastAsiaTheme="minorEastAsia"/>
          <w:b/>
          <w:sz w:val="36"/>
          <w:szCs w:val="20"/>
          <w:highlight w:val="none"/>
        </w:rPr>
      </w:pPr>
    </w:p>
    <w:p w14:paraId="2D412AB5">
      <w:pPr>
        <w:pStyle w:val="23"/>
        <w:rPr>
          <w:rFonts w:hint="eastAsia" w:cs="仿宋_GB2312" w:asciiTheme="minorEastAsia" w:hAnsiTheme="minorEastAsia" w:eastAsiaTheme="minorEastAsia"/>
          <w:b/>
          <w:sz w:val="36"/>
          <w:szCs w:val="20"/>
          <w:highlight w:val="none"/>
        </w:rPr>
      </w:pPr>
    </w:p>
    <w:p w14:paraId="25415DAD">
      <w:pPr>
        <w:pStyle w:val="24"/>
        <w:rPr>
          <w:rFonts w:hint="eastAsia"/>
          <w:highlight w:val="none"/>
        </w:rPr>
      </w:pPr>
    </w:p>
    <w:p w14:paraId="77B6AEA9">
      <w:pPr>
        <w:adjustRightInd/>
        <w:spacing w:line="360" w:lineRule="auto"/>
        <w:outlineLvl w:val="0"/>
        <w:rPr>
          <w:rFonts w:hint="eastAsia" w:cs="仿宋_GB2312" w:asciiTheme="minorEastAsia" w:hAnsiTheme="minorEastAsia" w:eastAsiaTheme="minorEastAsia"/>
          <w:b/>
          <w:sz w:val="36"/>
          <w:szCs w:val="20"/>
          <w:highlight w:val="none"/>
        </w:rPr>
      </w:pPr>
    </w:p>
    <w:p w14:paraId="36578B8C">
      <w:pPr>
        <w:adjustRightInd/>
        <w:spacing w:line="360" w:lineRule="auto"/>
        <w:outlineLvl w:val="0"/>
        <w:rPr>
          <w:rFonts w:hint="eastAsia" w:cs="仿宋_GB2312" w:asciiTheme="minorEastAsia" w:hAnsiTheme="minorEastAsia" w:eastAsiaTheme="minorEastAsia"/>
          <w:b/>
          <w:sz w:val="36"/>
          <w:szCs w:val="20"/>
          <w:highlight w:val="none"/>
        </w:rPr>
      </w:pPr>
    </w:p>
    <w:p w14:paraId="579140F7">
      <w:pPr>
        <w:adjustRightInd/>
        <w:spacing w:line="360" w:lineRule="auto"/>
        <w:outlineLvl w:val="0"/>
        <w:rPr>
          <w:rFonts w:hint="eastAsia" w:cs="仿宋_GB2312" w:asciiTheme="minorEastAsia" w:hAnsiTheme="minorEastAsia" w:eastAsiaTheme="minorEastAsia"/>
          <w:b/>
          <w:sz w:val="36"/>
          <w:szCs w:val="20"/>
          <w:highlight w:val="none"/>
        </w:rPr>
      </w:pPr>
    </w:p>
    <w:p w14:paraId="7A762C07">
      <w:pPr>
        <w:adjustRightInd/>
        <w:spacing w:line="360" w:lineRule="auto"/>
        <w:outlineLvl w:val="0"/>
        <w:rPr>
          <w:rFonts w:hint="eastAsia" w:cs="仿宋_GB2312" w:asciiTheme="minorEastAsia" w:hAnsiTheme="minorEastAsia" w:eastAsiaTheme="minorEastAsia"/>
          <w:b/>
          <w:sz w:val="36"/>
          <w:szCs w:val="20"/>
          <w:highlight w:val="none"/>
        </w:rPr>
      </w:pPr>
    </w:p>
    <w:p w14:paraId="228402C1">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3D6A637B">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1.征集供应商</w:t>
      </w:r>
    </w:p>
    <w:p w14:paraId="35773675">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1.1邀请供应商。</w:t>
      </w:r>
    </w:p>
    <w:p w14:paraId="3970F900">
      <w:pPr>
        <w:pStyle w:val="396"/>
        <w:spacing w:before="0"/>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b/>
          <w:sz w:val="21"/>
          <w:szCs w:val="21"/>
          <w:highlight w:val="none"/>
        </w:rPr>
        <w:t>采用公告方式邀请供应商的，</w:t>
      </w:r>
      <w:r>
        <w:rPr>
          <w:rFonts w:hint="eastAsia" w:asciiTheme="minorEastAsia" w:hAnsiTheme="minorEastAsia" w:eastAsiaTheme="minorEastAsia"/>
          <w:sz w:val="21"/>
          <w:szCs w:val="21"/>
          <w:highlight w:val="none"/>
        </w:rPr>
        <w:t>由采购人、采购代理机构在省级以上人民政府财政部门指定的政府采购信息发布媒体上发布磋商公告，邀请符合相应资格条件的供应商参与竞争性磋商采购活动。</w:t>
      </w:r>
    </w:p>
    <w:p w14:paraId="3E0D4E51">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1.2供应商获取磋商文件。</w:t>
      </w:r>
    </w:p>
    <w:p w14:paraId="1F8240AF">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1.3组织现场考察或召开答疑会（如果有）。</w:t>
      </w:r>
    </w:p>
    <w:p w14:paraId="62F84972">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1.4发布更正（延期）公告，澄清或修改磋商文件（如果有）。</w:t>
      </w:r>
    </w:p>
    <w:p w14:paraId="6A268C61">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1.5供应商按磋商文件要求编制响应文件。</w:t>
      </w:r>
    </w:p>
    <w:p w14:paraId="63E449A4">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2.响应文件开启与信用信息查询</w:t>
      </w:r>
    </w:p>
    <w:p w14:paraId="47EA01B4">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2.1供应商依据“提交响应文件的截止时间与地点”通过政采云平台在线提交响应文件。供应商在提交响应文件的截止时间前，可以补充、修改或撤回响应文件。</w:t>
      </w:r>
    </w:p>
    <w:p w14:paraId="77502A28">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2.2</w:t>
      </w:r>
      <w:r>
        <w:rPr>
          <w:rFonts w:hint="eastAsia" w:cs="Arial" w:asciiTheme="minorEastAsia" w:hAnsiTheme="minorEastAsia" w:eastAsiaTheme="minorEastAsia"/>
          <w:kern w:val="0"/>
          <w:sz w:val="21"/>
          <w:szCs w:val="21"/>
          <w:highlight w:val="none"/>
        </w:rPr>
        <w:t>采购代理机构将通过“信用中国”网站(www.creditchina.gov.cn)和中国政府采购网(www.ccgp.gov.cn)渠道查询供应商响应截止时间当日的信用记录。</w:t>
      </w:r>
    </w:p>
    <w:p w14:paraId="596E4394">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3.磋商与评审</w:t>
      </w:r>
    </w:p>
    <w:p w14:paraId="76237920">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3.1磋商小组签到。</w:t>
      </w:r>
    </w:p>
    <w:p w14:paraId="49EAC433">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3.2采购代理机构宣布有关纪律以及磋商、评审工作程序。</w:t>
      </w:r>
    </w:p>
    <w:p w14:paraId="4E75B0DE">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3.3磋商小组审查确认磋商文件。磋商文件内容违反国家有关强制性规定的，磋商小组应当停止评审并向采购代理机构说明情况。</w:t>
      </w:r>
    </w:p>
    <w:p w14:paraId="140F146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3.4采购人（或其委托的采购代理机构）对供应商的资格进行审查。</w:t>
      </w:r>
    </w:p>
    <w:p w14:paraId="218EB8DE">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3.5磋商小组审查响应文件。</w:t>
      </w:r>
    </w:p>
    <w:p w14:paraId="7B56E361">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3.6对于未实质性响应磋商文件的响应文件由磋商小组认定响应无效，并告知该供应商。</w:t>
      </w:r>
    </w:p>
    <w:p w14:paraId="4F5DEC0F">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的澄清、说明或者更正不得超出响应文件的范围或者改变响应文件的实质性内容。</w:t>
      </w:r>
    </w:p>
    <w:p w14:paraId="6135E3F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6B77B034">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本项目开标室通过视频会议系统或自备CA数字证书、笔记本电脑等开展磋商活动。</w:t>
      </w:r>
    </w:p>
    <w:p w14:paraId="69AFB88B">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对于不具备视频磋商条件的评标室，磋商时由采购代理机构利用政采云平台发起磋商响应函，供应商通过政采云进行回复。</w:t>
      </w:r>
    </w:p>
    <w:p w14:paraId="15479DDE">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3.9在磋商过程中，磋商小组可以根据磋商文件和磋商情况实质性变动采购需求中的技术、服务要求以及合同草案条款，但不得变动磋商文件中的其他内容。实质性变动的内容，须经采购人代表确认。</w:t>
      </w:r>
    </w:p>
    <w:p w14:paraId="777FFA4D">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经磋商确定磋商文件的变动情况。对磋商文件作出的实质性变动是磋商文件的有效组成部分，磋商小组应当及时以书面形式同时通知所有参加磋商的供应商。</w:t>
      </w:r>
    </w:p>
    <w:p w14:paraId="03B26612">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E026B05">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3.11磋商小组按照下列方式确定提交最后报价的供应商，有特殊规定的从其规定：</w:t>
      </w:r>
    </w:p>
    <w:p w14:paraId="6DD09EA4">
      <w:pPr>
        <w:pStyle w:val="396"/>
        <w:spacing w:before="0" w:line="336" w:lineRule="auto"/>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根据磋商补充通知，政府购买服务项目（含政府和社会资本合作项目），在采购过程中符合要求的供应商（社会资本）只有2家的，竞争性磋商采购活动可以继续进行。</w:t>
      </w:r>
    </w:p>
    <w:p w14:paraId="7762F548">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A68C72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3.12确定进入最后报价的供应商在规定时间内提交最后报价。</w:t>
      </w:r>
    </w:p>
    <w:p w14:paraId="10AD616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67EDA1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3.14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B81F2EF">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4. 成交</w:t>
      </w:r>
    </w:p>
    <w:p w14:paraId="33518C5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4.1</w:t>
      </w:r>
      <w:r>
        <w:rPr>
          <w:rFonts w:hint="eastAsia" w:ascii="宋体" w:hAnsi="宋体" w:cs="宋体"/>
          <w:sz w:val="21"/>
          <w:szCs w:val="21"/>
          <w:highlight w:val="none"/>
        </w:rPr>
        <w:t>政府采购项目实行全流程电子化，评审报告送交、采购结果确定和结果公告均在线完成。</w:t>
      </w:r>
      <w:r>
        <w:rPr>
          <w:rFonts w:hint="eastAsia" w:asciiTheme="minorEastAsia" w:hAnsiTheme="minorEastAsia" w:eastAsiaTheme="minorEastAsia"/>
          <w:sz w:val="21"/>
          <w:szCs w:val="21"/>
          <w:highlight w:val="none"/>
        </w:rPr>
        <w:t>采购代理机构应当</w:t>
      </w:r>
      <w:r>
        <w:rPr>
          <w:rFonts w:hint="eastAsia" w:ascii="宋体" w:hAnsi="宋体" w:cs="宋体"/>
          <w:sz w:val="21"/>
          <w:szCs w:val="21"/>
          <w:highlight w:val="none"/>
        </w:rPr>
        <w:t>依法及时</w:t>
      </w:r>
      <w:r>
        <w:rPr>
          <w:rFonts w:hint="eastAsia" w:asciiTheme="minorEastAsia" w:hAnsiTheme="minorEastAsia" w:eastAsiaTheme="minorEastAsia"/>
          <w:sz w:val="21"/>
          <w:szCs w:val="21"/>
          <w:highlight w:val="none"/>
        </w:rPr>
        <w:t>将评审报告在线送交采购人确认。采购人应当在收到评审报告后5个工作日内，从评审报告提出的成交候选供应商中，按照排序由高到低的原则确定排名第一为成交供应商，采购人也可以书面授权磋商小组直接确定成交供应商。</w:t>
      </w:r>
    </w:p>
    <w:p w14:paraId="5A81FDC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7F1DE7D">
      <w:pPr>
        <w:pStyle w:val="396"/>
        <w:spacing w:before="0"/>
        <w:ind w:firstLine="0" w:firstLineChars="0"/>
        <w:rPr>
          <w:rFonts w:hint="eastAsia" w:cs="宋体" w:asciiTheme="minorEastAsia" w:hAnsiTheme="minorEastAsia" w:eastAsiaTheme="minorEastAsia"/>
          <w:kern w:val="0"/>
          <w:sz w:val="21"/>
          <w:szCs w:val="21"/>
          <w:highlight w:val="none"/>
        </w:rPr>
      </w:pPr>
      <w:r>
        <w:rPr>
          <w:rFonts w:hint="eastAsia" w:asciiTheme="minorEastAsia" w:hAnsiTheme="minorEastAsia" w:eastAsiaTheme="minorEastAsia"/>
          <w:b/>
          <w:sz w:val="21"/>
          <w:szCs w:val="21"/>
          <w:highlight w:val="none"/>
        </w:rPr>
        <w:t>5.合同及履约验收</w:t>
      </w:r>
    </w:p>
    <w:p w14:paraId="24F12C6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5.1采购人与成交供应商应当在成交通知书发出之日起30个工作日内签订政府采购合同。</w:t>
      </w:r>
    </w:p>
    <w:p w14:paraId="5341B187">
      <w:pPr>
        <w:tabs>
          <w:tab w:val="left" w:pos="0"/>
        </w:tabs>
        <w:spacing w:line="360" w:lineRule="auto"/>
        <w:ind w:firstLine="482"/>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5.2成交供应商按照政策要求及合同约定缴纳履约保证金（本项目不适用）。</w:t>
      </w:r>
    </w:p>
    <w:p w14:paraId="1A446BC6">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5.3合同履约。</w:t>
      </w:r>
    </w:p>
    <w:p w14:paraId="4DE75BB4">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5.4采购人组织验收。</w:t>
      </w:r>
    </w:p>
    <w:p w14:paraId="3FB5DAE3">
      <w:pPr>
        <w:widowControl/>
        <w:adjustRightInd/>
        <w:jc w:val="left"/>
        <w:rPr>
          <w:rFonts w:hint="eastAsia" w:asciiTheme="minorEastAsia" w:hAnsiTheme="minorEastAsia" w:eastAsiaTheme="minorEastAsia"/>
          <w:b/>
          <w:sz w:val="24"/>
          <w:szCs w:val="20"/>
          <w:highlight w:val="none"/>
        </w:rPr>
      </w:pPr>
      <w:r>
        <w:rPr>
          <w:rFonts w:hint="eastAsia" w:asciiTheme="minorEastAsia" w:hAnsiTheme="minorEastAsia" w:eastAsiaTheme="minorEastAsia"/>
          <w:b/>
          <w:szCs w:val="21"/>
          <w:highlight w:val="none"/>
        </w:rPr>
        <w:t>6.竞争性磋商流程图</w:t>
      </w:r>
    </w:p>
    <w:p w14:paraId="3E9B0FC8">
      <w:pPr>
        <w:widowControl/>
        <w:adjustRightInd/>
        <w:jc w:val="left"/>
        <w:rPr>
          <w:rFonts w:hint="eastAsia"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E3957">
                            <w:pPr>
                              <w:rPr>
                                <w:rFonts w:hint="eastAsia" w:asciiTheme="minorEastAsia" w:hAnsiTheme="minorEastAsia" w:eastAsiaTheme="minorEastAsia"/>
                              </w:rPr>
                            </w:pPr>
                            <w:r>
                              <w:rPr>
                                <w:rFonts w:hint="eastAsia" w:asciiTheme="minorEastAsia" w:hAnsiTheme="minorEastAsia" w:eastAsiaTheme="minorEastAsia"/>
                              </w:rPr>
                              <w:t>验收</w:t>
                            </w:r>
                          </w:p>
                          <w:p w14:paraId="271A7B13">
                            <w:pPr>
                              <w:rPr>
                                <w:rFonts w:ascii="仿宋_GB2312" w:eastAsia="仿宋_GB2312"/>
                              </w:rPr>
                            </w:pPr>
                            <w:r>
                              <w:rPr>
                                <w:rFonts w:hint="eastAsia" w:ascii="仿宋_GB2312" w:eastAsia="仿宋_GB2312"/>
                              </w:rPr>
                              <w:t>立项</w:t>
                            </w:r>
                          </w:p>
                          <w:p w14:paraId="3DF051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DEE3957">
                      <w:pPr>
                        <w:rPr>
                          <w:rFonts w:hint="eastAsia" w:asciiTheme="minorEastAsia" w:hAnsiTheme="minorEastAsia" w:eastAsiaTheme="minorEastAsia"/>
                        </w:rPr>
                      </w:pPr>
                      <w:r>
                        <w:rPr>
                          <w:rFonts w:hint="eastAsia" w:asciiTheme="minorEastAsia" w:hAnsiTheme="minorEastAsia" w:eastAsiaTheme="minorEastAsia"/>
                        </w:rPr>
                        <w:t>验收</w:t>
                      </w:r>
                    </w:p>
                    <w:p w14:paraId="271A7B13">
                      <w:pPr>
                        <w:rPr>
                          <w:rFonts w:ascii="仿宋_GB2312" w:eastAsia="仿宋_GB2312"/>
                        </w:rPr>
                      </w:pPr>
                      <w:r>
                        <w:rPr>
                          <w:rFonts w:hint="eastAsia" w:ascii="仿宋_GB2312" w:eastAsia="仿宋_GB2312"/>
                        </w:rPr>
                        <w:t>立项</w:t>
                      </w:r>
                    </w:p>
                    <w:p w14:paraId="3DF051C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67657">
                            <w:pPr>
                              <w:rPr>
                                <w:rFonts w:hint="eastAsia" w:asciiTheme="minorEastAsia" w:hAnsiTheme="minorEastAsia" w:eastAsiaTheme="minorEastAsia"/>
                              </w:rPr>
                            </w:pPr>
                            <w:r>
                              <w:rPr>
                                <w:rFonts w:hint="eastAsia" w:asciiTheme="minorEastAsia" w:hAnsiTheme="minorEastAsia" w:eastAsiaTheme="minorEastAsia"/>
                              </w:rPr>
                              <w:t>履约</w:t>
                            </w:r>
                          </w:p>
                          <w:p w14:paraId="1156D920">
                            <w:pPr>
                              <w:rPr>
                                <w:rFonts w:ascii="仿宋_GB2312" w:eastAsia="仿宋_GB2312"/>
                              </w:rPr>
                            </w:pPr>
                            <w:r>
                              <w:rPr>
                                <w:rFonts w:hint="eastAsia" w:ascii="仿宋_GB2312" w:eastAsia="仿宋_GB2312"/>
                              </w:rPr>
                              <w:t>立项</w:t>
                            </w:r>
                          </w:p>
                          <w:p w14:paraId="4BD45B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1E67657">
                      <w:pPr>
                        <w:rPr>
                          <w:rFonts w:hint="eastAsia" w:asciiTheme="minorEastAsia" w:hAnsiTheme="minorEastAsia" w:eastAsiaTheme="minorEastAsia"/>
                        </w:rPr>
                      </w:pPr>
                      <w:r>
                        <w:rPr>
                          <w:rFonts w:hint="eastAsia" w:asciiTheme="minorEastAsia" w:hAnsiTheme="minorEastAsia" w:eastAsiaTheme="minorEastAsia"/>
                        </w:rPr>
                        <w:t>履约</w:t>
                      </w:r>
                    </w:p>
                    <w:p w14:paraId="1156D920">
                      <w:pPr>
                        <w:rPr>
                          <w:rFonts w:ascii="仿宋_GB2312" w:eastAsia="仿宋_GB2312"/>
                        </w:rPr>
                      </w:pPr>
                      <w:r>
                        <w:rPr>
                          <w:rFonts w:hint="eastAsia" w:ascii="仿宋_GB2312" w:eastAsia="仿宋_GB2312"/>
                        </w:rPr>
                        <w:t>立项</w:t>
                      </w:r>
                    </w:p>
                    <w:p w14:paraId="4BD45B3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912E6">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75C6F35E">
                            <w:pPr>
                              <w:rPr>
                                <w:rFonts w:ascii="仿宋_GB2312" w:eastAsia="仿宋_GB2312"/>
                              </w:rPr>
                            </w:pPr>
                            <w:r>
                              <w:rPr>
                                <w:rFonts w:hint="eastAsia" w:ascii="仿宋_GB2312" w:eastAsia="仿宋_GB2312"/>
                              </w:rPr>
                              <w:t>立项</w:t>
                            </w:r>
                          </w:p>
                          <w:p w14:paraId="6C7359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F2912E6">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75C6F35E">
                      <w:pPr>
                        <w:rPr>
                          <w:rFonts w:ascii="仿宋_GB2312" w:eastAsia="仿宋_GB2312"/>
                        </w:rPr>
                      </w:pPr>
                      <w:r>
                        <w:rPr>
                          <w:rFonts w:hint="eastAsia" w:ascii="仿宋_GB2312" w:eastAsia="仿宋_GB2312"/>
                        </w:rPr>
                        <w:t>立项</w:t>
                      </w:r>
                    </w:p>
                    <w:p w14:paraId="6C7359F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F6D47">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6AFF8E4">
                            <w:pPr>
                              <w:rPr>
                                <w:rFonts w:ascii="仿宋_GB2312" w:eastAsia="仿宋_GB2312"/>
                              </w:rPr>
                            </w:pPr>
                            <w:r>
                              <w:rPr>
                                <w:rFonts w:hint="eastAsia" w:ascii="仿宋_GB2312" w:eastAsia="仿宋_GB2312"/>
                              </w:rPr>
                              <w:t>立项</w:t>
                            </w:r>
                          </w:p>
                          <w:p w14:paraId="27EBE9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E1F6D47">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6AFF8E4">
                      <w:pPr>
                        <w:rPr>
                          <w:rFonts w:ascii="仿宋_GB2312" w:eastAsia="仿宋_GB2312"/>
                        </w:rPr>
                      </w:pPr>
                      <w:r>
                        <w:rPr>
                          <w:rFonts w:hint="eastAsia" w:ascii="仿宋_GB2312" w:eastAsia="仿宋_GB2312"/>
                        </w:rPr>
                        <w:t>立项</w:t>
                      </w:r>
                    </w:p>
                    <w:p w14:paraId="27EBE9D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9DC44">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7D03F976">
                            <w:pPr>
                              <w:rPr>
                                <w:rFonts w:ascii="仿宋_GB2312" w:eastAsia="仿宋_GB2312"/>
                              </w:rPr>
                            </w:pPr>
                            <w:r>
                              <w:rPr>
                                <w:rFonts w:hint="eastAsia" w:ascii="仿宋_GB2312" w:eastAsia="仿宋_GB2312"/>
                              </w:rPr>
                              <w:t>立项</w:t>
                            </w:r>
                          </w:p>
                          <w:p w14:paraId="1C861F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B79DC44">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7D03F976">
                      <w:pPr>
                        <w:rPr>
                          <w:rFonts w:ascii="仿宋_GB2312" w:eastAsia="仿宋_GB2312"/>
                        </w:rPr>
                      </w:pPr>
                      <w:r>
                        <w:rPr>
                          <w:rFonts w:hint="eastAsia" w:ascii="仿宋_GB2312" w:eastAsia="仿宋_GB2312"/>
                        </w:rPr>
                        <w:t>立项</w:t>
                      </w:r>
                    </w:p>
                    <w:p w14:paraId="1C861F2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1BC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869BC75">
                            <w:pPr>
                              <w:rPr>
                                <w:rFonts w:ascii="仿宋_GB2312" w:eastAsia="仿宋_GB2312"/>
                              </w:rPr>
                            </w:pPr>
                            <w:r>
                              <w:rPr>
                                <w:rFonts w:hint="eastAsia" w:ascii="仿宋_GB2312" w:eastAsia="仿宋_GB2312"/>
                              </w:rPr>
                              <w:t>立项</w:t>
                            </w:r>
                          </w:p>
                          <w:p w14:paraId="6B6FC9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911BC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869BC75">
                      <w:pPr>
                        <w:rPr>
                          <w:rFonts w:ascii="仿宋_GB2312" w:eastAsia="仿宋_GB2312"/>
                        </w:rPr>
                      </w:pPr>
                      <w:r>
                        <w:rPr>
                          <w:rFonts w:hint="eastAsia" w:ascii="仿宋_GB2312" w:eastAsia="仿宋_GB2312"/>
                        </w:rPr>
                        <w:t>立项</w:t>
                      </w:r>
                    </w:p>
                    <w:p w14:paraId="6B6FC93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1E6C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221FBBFC">
                            <w:pPr>
                              <w:rPr>
                                <w:rFonts w:ascii="仿宋_GB2312" w:eastAsia="仿宋_GB2312"/>
                              </w:rPr>
                            </w:pPr>
                            <w:r>
                              <w:rPr>
                                <w:rFonts w:hint="eastAsia" w:ascii="仿宋_GB2312" w:eastAsia="仿宋_GB2312"/>
                              </w:rPr>
                              <w:t>立项</w:t>
                            </w:r>
                          </w:p>
                          <w:p w14:paraId="367B7B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4A1E6C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221FBBFC">
                      <w:pPr>
                        <w:rPr>
                          <w:rFonts w:ascii="仿宋_GB2312" w:eastAsia="仿宋_GB2312"/>
                        </w:rPr>
                      </w:pPr>
                      <w:r>
                        <w:rPr>
                          <w:rFonts w:hint="eastAsia" w:ascii="仿宋_GB2312" w:eastAsia="仿宋_GB2312"/>
                        </w:rPr>
                        <w:t>立项</w:t>
                      </w:r>
                    </w:p>
                    <w:p w14:paraId="367B7B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4DDA9">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BD4DDA9">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4AB58">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5F3E2150">
                            <w:pPr>
                              <w:jc w:val="center"/>
                              <w:rPr>
                                <w:rFonts w:ascii="仿宋_GB2312" w:eastAsia="仿宋_GB2312"/>
                              </w:rPr>
                            </w:pPr>
                          </w:p>
                          <w:p w14:paraId="6D90EBCD">
                            <w:pPr>
                              <w:rPr>
                                <w:rFonts w:ascii="仿宋_GB2312" w:eastAsia="仿宋_GB2312"/>
                              </w:rPr>
                            </w:pPr>
                            <w:r>
                              <w:rPr>
                                <w:rFonts w:hint="eastAsia" w:ascii="仿宋_GB2312" w:eastAsia="仿宋_GB2312"/>
                              </w:rPr>
                              <w:t>立项</w:t>
                            </w:r>
                          </w:p>
                          <w:p w14:paraId="6BB30D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454AB58">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5F3E2150">
                      <w:pPr>
                        <w:jc w:val="center"/>
                        <w:rPr>
                          <w:rFonts w:ascii="仿宋_GB2312" w:eastAsia="仿宋_GB2312"/>
                        </w:rPr>
                      </w:pPr>
                    </w:p>
                    <w:p w14:paraId="6D90EBCD">
                      <w:pPr>
                        <w:rPr>
                          <w:rFonts w:ascii="仿宋_GB2312" w:eastAsia="仿宋_GB2312"/>
                        </w:rPr>
                      </w:pPr>
                      <w:r>
                        <w:rPr>
                          <w:rFonts w:hint="eastAsia" w:ascii="仿宋_GB2312" w:eastAsia="仿宋_GB2312"/>
                        </w:rPr>
                        <w:t>立项</w:t>
                      </w:r>
                    </w:p>
                    <w:p w14:paraId="6BB30D55">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DA7B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70DA7B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FDF1B">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EEF02A6">
                            <w:pPr>
                              <w:rPr>
                                <w:rFonts w:ascii="仿宋_GB2312" w:eastAsia="仿宋_GB2312"/>
                              </w:rPr>
                            </w:pPr>
                            <w:r>
                              <w:rPr>
                                <w:rFonts w:hint="eastAsia" w:ascii="仿宋_GB2312" w:eastAsia="仿宋_GB2312"/>
                              </w:rPr>
                              <w:t>立项</w:t>
                            </w:r>
                          </w:p>
                          <w:p w14:paraId="52456D4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F0FDF1B">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EEF02A6">
                      <w:pPr>
                        <w:rPr>
                          <w:rFonts w:ascii="仿宋_GB2312" w:eastAsia="仿宋_GB2312"/>
                        </w:rPr>
                      </w:pPr>
                      <w:r>
                        <w:rPr>
                          <w:rFonts w:hint="eastAsia" w:ascii="仿宋_GB2312" w:eastAsia="仿宋_GB2312"/>
                        </w:rPr>
                        <w:t>立项</w:t>
                      </w:r>
                    </w:p>
                    <w:p w14:paraId="52456D4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900FB">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B5795AA">
                            <w:pPr>
                              <w:rPr>
                                <w:rFonts w:ascii="仿宋_GB2312" w:eastAsia="仿宋_GB2312"/>
                              </w:rPr>
                            </w:pPr>
                            <w:r>
                              <w:rPr>
                                <w:rFonts w:hint="eastAsia" w:ascii="仿宋_GB2312" w:eastAsia="仿宋_GB2312"/>
                              </w:rPr>
                              <w:t>立项</w:t>
                            </w:r>
                          </w:p>
                          <w:p w14:paraId="6A159D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46900FB">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B5795AA">
                      <w:pPr>
                        <w:rPr>
                          <w:rFonts w:ascii="仿宋_GB2312" w:eastAsia="仿宋_GB2312"/>
                        </w:rPr>
                      </w:pPr>
                      <w:r>
                        <w:rPr>
                          <w:rFonts w:hint="eastAsia" w:ascii="仿宋_GB2312" w:eastAsia="仿宋_GB2312"/>
                        </w:rPr>
                        <w:t>立项</w:t>
                      </w:r>
                    </w:p>
                    <w:p w14:paraId="6A159DF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DB932E9">
      <w:pPr>
        <w:adjustRightInd/>
        <w:spacing w:line="360" w:lineRule="auto"/>
        <w:jc w:val="center"/>
        <w:outlineLvl w:val="0"/>
        <w:rPr>
          <w:rFonts w:hint="eastAsia"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24E30AE2">
      <w:pPr>
        <w:adjustRightInd/>
        <w:spacing w:line="360" w:lineRule="auto"/>
        <w:jc w:val="center"/>
        <w:rPr>
          <w:rFonts w:hint="eastAsia"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2"/>
        <w:tblW w:w="97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7106"/>
      </w:tblGrid>
      <w:tr w14:paraId="092B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35254BB5">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72D61CCB">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事项</w:t>
            </w:r>
          </w:p>
        </w:tc>
        <w:tc>
          <w:tcPr>
            <w:tcW w:w="7106" w:type="dxa"/>
            <w:tcBorders>
              <w:top w:val="single" w:color="000000" w:sz="8" w:space="0"/>
              <w:left w:val="single" w:color="000000" w:sz="2" w:space="0"/>
              <w:bottom w:val="single" w:color="000000" w:sz="8" w:space="0"/>
              <w:right w:val="single" w:color="000000" w:sz="8" w:space="0"/>
            </w:tcBorders>
            <w:vAlign w:val="center"/>
          </w:tcPr>
          <w:p w14:paraId="1B1B80E0">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本项目的特别规定</w:t>
            </w:r>
          </w:p>
        </w:tc>
      </w:tr>
      <w:tr w14:paraId="1F434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E45BB36">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042BF6CA">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项目属性</w:t>
            </w:r>
          </w:p>
        </w:tc>
        <w:tc>
          <w:tcPr>
            <w:tcW w:w="7106" w:type="dxa"/>
            <w:tcBorders>
              <w:top w:val="single" w:color="000000" w:sz="8" w:space="0"/>
              <w:left w:val="single" w:color="000000" w:sz="2" w:space="0"/>
              <w:bottom w:val="single" w:color="000000" w:sz="8" w:space="0"/>
              <w:right w:val="single" w:color="000000" w:sz="8" w:space="0"/>
            </w:tcBorders>
            <w:vAlign w:val="center"/>
          </w:tcPr>
          <w:p w14:paraId="25A753B7">
            <w:pPr>
              <w:spacing w:line="400" w:lineRule="exac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服务类。</w:t>
            </w:r>
          </w:p>
        </w:tc>
      </w:tr>
      <w:tr w14:paraId="6B2E9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3EECC33">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2B1CA562">
            <w:pPr>
              <w:snapToGrid w:val="0"/>
              <w:spacing w:line="400" w:lineRule="exact"/>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采购标的及其对应的中小企业划分标准所属行业</w:t>
            </w:r>
          </w:p>
        </w:tc>
        <w:tc>
          <w:tcPr>
            <w:tcW w:w="7106" w:type="dxa"/>
            <w:tcBorders>
              <w:top w:val="single" w:color="000000" w:sz="8" w:space="0"/>
              <w:left w:val="single" w:color="000000" w:sz="2" w:space="0"/>
              <w:bottom w:val="single" w:color="000000" w:sz="8" w:space="0"/>
              <w:right w:val="single" w:color="000000" w:sz="8" w:space="0"/>
            </w:tcBorders>
            <w:vAlign w:val="center"/>
          </w:tcPr>
          <w:p w14:paraId="21D7B459">
            <w:pPr>
              <w:spacing w:line="400" w:lineRule="exact"/>
              <w:rPr>
                <w:szCs w:val="21"/>
                <w:highlight w:val="none"/>
              </w:rPr>
            </w:pPr>
            <w:r>
              <w:rPr>
                <w:rFonts w:hint="eastAsia" w:cs="宋体" w:asciiTheme="minorEastAsia" w:hAnsiTheme="minorEastAsia" w:eastAsiaTheme="minorEastAsia"/>
                <w:b/>
                <w:bCs/>
                <w:kern w:val="0"/>
                <w:szCs w:val="21"/>
                <w:highlight w:val="none"/>
              </w:rPr>
              <w:t>标的：</w:t>
            </w:r>
            <w:r>
              <w:rPr>
                <w:rFonts w:hint="eastAsia" w:ascii="宋体" w:hAnsi="宋体" w:eastAsia="宋体" w:cs="宋体"/>
                <w:b/>
                <w:bCs/>
                <w:kern w:val="0"/>
                <w:szCs w:val="21"/>
                <w:highlight w:val="none"/>
                <w:u w:val="single"/>
                <w:lang w:eastAsia="zh-CN"/>
              </w:rPr>
              <w:t>海曙区信创化政务应用开发测试环境提升服务</w:t>
            </w:r>
            <w:r>
              <w:rPr>
                <w:rFonts w:hint="eastAsia" w:ascii="宋体" w:hAnsi="宋体" w:cs="宋体"/>
                <w:b/>
                <w:bCs/>
                <w:kern w:val="0"/>
                <w:szCs w:val="21"/>
                <w:highlight w:val="none"/>
              </w:rPr>
              <w:t>，属于</w:t>
            </w:r>
            <w:r>
              <w:rPr>
                <w:rFonts w:hint="eastAsia" w:ascii="宋体" w:hAnsi="宋体" w:cs="宋体"/>
                <w:b/>
                <w:bCs/>
                <w:kern w:val="0"/>
                <w:szCs w:val="21"/>
                <w:highlight w:val="none"/>
                <w:u w:val="single"/>
                <w:lang w:eastAsia="zh-CN"/>
              </w:rPr>
              <w:t>软件和信息技术服务业</w:t>
            </w:r>
            <w:r>
              <w:rPr>
                <w:rFonts w:hint="eastAsia" w:ascii="宋体" w:hAnsi="宋体" w:cs="宋体"/>
                <w:b/>
                <w:bCs/>
                <w:kern w:val="0"/>
                <w:szCs w:val="21"/>
                <w:highlight w:val="none"/>
              </w:rPr>
              <w:t>。</w:t>
            </w:r>
          </w:p>
        </w:tc>
      </w:tr>
      <w:tr w14:paraId="3BB2E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47E7316">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32120004">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是否允许采购进口产品</w:t>
            </w:r>
          </w:p>
        </w:tc>
        <w:tc>
          <w:tcPr>
            <w:tcW w:w="7106" w:type="dxa"/>
            <w:tcBorders>
              <w:top w:val="single" w:color="000000" w:sz="8" w:space="0"/>
              <w:left w:val="single" w:color="000000" w:sz="2" w:space="0"/>
              <w:bottom w:val="single" w:color="000000" w:sz="8" w:space="0"/>
              <w:right w:val="single" w:color="000000" w:sz="8" w:space="0"/>
            </w:tcBorders>
            <w:vAlign w:val="center"/>
          </w:tcPr>
          <w:p w14:paraId="77975804">
            <w:pPr>
              <w:spacing w:line="400" w:lineRule="exact"/>
              <w:rPr>
                <w:rFonts w:hint="eastAsia" w:cs="宋体" w:asciiTheme="minorEastAsia" w:hAnsiTheme="minorEastAsia" w:eastAsiaTheme="minorEastAsia"/>
                <w:kern w:val="0"/>
                <w:szCs w:val="21"/>
                <w:highlight w:val="none"/>
              </w:rPr>
            </w:pPr>
            <w:sdt>
              <w:sdtPr>
                <w:rPr>
                  <w:rFonts w:hint="eastAsia" w:cs="宋体" w:asciiTheme="minorEastAsia" w:hAnsiTheme="minorEastAsia" w:eastAsiaTheme="minorEastAsia"/>
                  <w:kern w:val="0"/>
                  <w:szCs w:val="21"/>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Wingdings" w:hAnsi="Wingdings" w:eastAsia="MS Gothic" w:cs="宋体"/>
                    <w:kern w:val="0"/>
                    <w:szCs w:val="21"/>
                    <w:highlight w:val="none"/>
                  </w:rPr>
                  <w:t>þ</w:t>
                </w:r>
              </w:sdtContent>
            </w:sdt>
            <w:r>
              <w:rPr>
                <w:rFonts w:hint="eastAsia" w:cs="宋体" w:asciiTheme="minorEastAsia" w:hAnsiTheme="minorEastAsia" w:eastAsiaTheme="minorEastAsia"/>
                <w:kern w:val="0"/>
                <w:szCs w:val="21"/>
                <w:highlight w:val="none"/>
              </w:rPr>
              <w:t>本项目不允许采购进口产品。</w:t>
            </w:r>
          </w:p>
          <w:p w14:paraId="041884FF">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可以就</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采购进口产品。</w:t>
            </w:r>
          </w:p>
        </w:tc>
      </w:tr>
      <w:tr w14:paraId="64F36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889CA00">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39173565">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分包</w:t>
            </w:r>
          </w:p>
        </w:tc>
        <w:tc>
          <w:tcPr>
            <w:tcW w:w="7106" w:type="dxa"/>
            <w:tcBorders>
              <w:top w:val="single" w:color="000000" w:sz="8" w:space="0"/>
              <w:left w:val="single" w:color="000000" w:sz="2" w:space="0"/>
              <w:bottom w:val="single" w:color="000000" w:sz="8" w:space="0"/>
              <w:right w:val="single" w:color="000000" w:sz="8" w:space="0"/>
            </w:tcBorders>
            <w:vAlign w:val="center"/>
          </w:tcPr>
          <w:p w14:paraId="4A6843E6">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Gothic" w:cs="宋体"/>
                    <w:kern w:val="0"/>
                    <w:szCs w:val="21"/>
                    <w:highlight w:val="none"/>
                  </w:rPr>
                  <w:t>☐</w:t>
                </w:r>
              </w:sdtContent>
            </w:sdt>
            <w:r>
              <w:rPr>
                <w:rFonts w:hint="eastAsia" w:cs="宋体" w:asciiTheme="minorEastAsia" w:hAnsiTheme="minorEastAsia" w:eastAsiaTheme="minorEastAsia"/>
                <w:kern w:val="0"/>
                <w:szCs w:val="21"/>
                <w:highlight w:val="none"/>
              </w:rPr>
              <w:t xml:space="preserve"> A</w:t>
            </w:r>
            <w:r>
              <w:rPr>
                <w:rFonts w:hint="eastAsia" w:cs="宋体" w:asciiTheme="minorEastAsia" w:hAnsiTheme="minorEastAsia" w:eastAsiaTheme="minorEastAsia"/>
                <w:szCs w:val="21"/>
                <w:highlight w:val="none"/>
              </w:rPr>
              <w:t>同意将非主体、非关键性的</w:t>
            </w:r>
            <w:r>
              <w:rPr>
                <w:rFonts w:hint="eastAsia" w:cs="宋体" w:asciiTheme="minorEastAsia" w:hAnsiTheme="minorEastAsia" w:eastAsiaTheme="minorEastAsia"/>
                <w:szCs w:val="21"/>
                <w:highlight w:val="none"/>
                <w:u w:val="single"/>
              </w:rPr>
              <w:t>/</w:t>
            </w:r>
            <w:r>
              <w:rPr>
                <w:rFonts w:hint="eastAsia" w:cs="宋体" w:asciiTheme="minorEastAsia" w:hAnsiTheme="minorEastAsia" w:eastAsiaTheme="minorEastAsia"/>
                <w:szCs w:val="21"/>
                <w:highlight w:val="none"/>
              </w:rPr>
              <w:t>工作分包。</w:t>
            </w:r>
          </w:p>
          <w:p w14:paraId="1D01B116">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cs="宋体" w:asciiTheme="minorEastAsia" w:hAnsiTheme="minorEastAsia" w:eastAsiaTheme="minorEastAsia"/>
                    <w:kern w:val="0"/>
                    <w:szCs w:val="21"/>
                    <w:highlight w:val="none"/>
                  </w:rPr>
                  <w:sym w:font="Wingdings" w:char="F0FE"/>
                </w:r>
              </w:sdtContent>
            </w:sdt>
            <w:r>
              <w:rPr>
                <w:rFonts w:hint="eastAsia" w:cs="宋体" w:asciiTheme="minorEastAsia" w:hAnsiTheme="minorEastAsia" w:eastAsiaTheme="minorEastAsia"/>
                <w:kern w:val="0"/>
                <w:szCs w:val="21"/>
                <w:highlight w:val="none"/>
              </w:rPr>
              <w:t xml:space="preserve"> B</w:t>
            </w:r>
            <w:r>
              <w:rPr>
                <w:rFonts w:hint="eastAsia" w:cs="宋体" w:asciiTheme="minorEastAsia" w:hAnsiTheme="minorEastAsia" w:eastAsiaTheme="minorEastAsia"/>
                <w:szCs w:val="21"/>
                <w:highlight w:val="none"/>
              </w:rPr>
              <w:t>不同意分包。</w:t>
            </w:r>
          </w:p>
        </w:tc>
      </w:tr>
      <w:tr w14:paraId="17AE9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9B7507D">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3897C518">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开标前答疑会或现场考察</w:t>
            </w:r>
          </w:p>
        </w:tc>
        <w:tc>
          <w:tcPr>
            <w:tcW w:w="7106" w:type="dxa"/>
            <w:tcBorders>
              <w:top w:val="single" w:color="000000" w:sz="8" w:space="0"/>
              <w:left w:val="single" w:color="000000" w:sz="2" w:space="0"/>
              <w:bottom w:val="single" w:color="000000" w:sz="8" w:space="0"/>
              <w:right w:val="single" w:color="000000" w:sz="8" w:space="0"/>
            </w:tcBorders>
            <w:vAlign w:val="center"/>
          </w:tcPr>
          <w:p w14:paraId="317102F6">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Wingdings" w:hAnsi="Wingdings" w:eastAsia="MS Gothic" w:cs="宋体"/>
                    <w:kern w:val="0"/>
                    <w:szCs w:val="21"/>
                    <w:highlight w:val="none"/>
                  </w:rPr>
                  <w:t>þ</w:t>
                </w:r>
              </w:sdtContent>
            </w:sdt>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不组织。</w:t>
            </w:r>
          </w:p>
          <w:p w14:paraId="578B57A8">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B组织，</w:t>
            </w:r>
            <w:r>
              <w:rPr>
                <w:rFonts w:hint="eastAsia" w:cs="宋体" w:asciiTheme="minorEastAsia" w:hAnsiTheme="minorEastAsia" w:eastAsiaTheme="minorEastAsia"/>
                <w:szCs w:val="21"/>
                <w:highlight w:val="none"/>
              </w:rPr>
              <w:t>时间：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xml:space="preserve"> ，地点：</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，联系方式：</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p>
        </w:tc>
      </w:tr>
      <w:tr w14:paraId="3FA5C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0A483C6">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6260047D">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样品提供</w:t>
            </w:r>
          </w:p>
        </w:tc>
        <w:tc>
          <w:tcPr>
            <w:tcW w:w="7106" w:type="dxa"/>
            <w:tcBorders>
              <w:top w:val="single" w:color="000000" w:sz="8" w:space="0"/>
              <w:left w:val="single" w:color="000000" w:sz="2" w:space="0"/>
              <w:bottom w:val="single" w:color="000000" w:sz="8" w:space="0"/>
              <w:right w:val="single" w:color="000000" w:sz="8" w:space="0"/>
            </w:tcBorders>
            <w:vAlign w:val="center"/>
          </w:tcPr>
          <w:p w14:paraId="18992D24">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Wingdings" w:hAnsi="Wingdings" w:eastAsia="MS Gothic" w:cs="宋体"/>
                    <w:kern w:val="0"/>
                    <w:szCs w:val="21"/>
                    <w:highlight w:val="none"/>
                  </w:rPr>
                  <w:t>þ</w:t>
                </w:r>
              </w:sdtContent>
            </w:sdt>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不要求提供。</w:t>
            </w:r>
          </w:p>
          <w:p w14:paraId="47658FFA">
            <w:pPr>
              <w:spacing w:line="400" w:lineRule="exact"/>
              <w:rPr>
                <w:rFonts w:hint="eastAsia" w:cs="宋体" w:asciiTheme="minorEastAsia" w:hAnsiTheme="minorEastAsia" w:eastAsiaTheme="minorEastAsia"/>
                <w:kern w:val="0"/>
                <w:szCs w:val="21"/>
                <w:highlight w:val="none"/>
              </w:rPr>
            </w:pPr>
            <w:sdt>
              <w:sdtPr>
                <w:rPr>
                  <w:rFonts w:hint="eastAsia" w:cs="宋体" w:asciiTheme="minorEastAsia" w:hAnsiTheme="minorEastAsia" w:eastAsiaTheme="minorEastAsia"/>
                  <w:kern w:val="0"/>
                  <w:szCs w:val="21"/>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B要求提供，</w:t>
            </w:r>
          </w:p>
          <w:p w14:paraId="1E5131C1">
            <w:pPr>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cs="宋体" w:asciiTheme="minorEastAsia" w:hAnsiTheme="minorEastAsia" w:eastAsiaTheme="minorEastAsia"/>
                <w:snapToGrid w:val="0"/>
                <w:kern w:val="28"/>
                <w:szCs w:val="21"/>
                <w:highlight w:val="none"/>
              </w:rPr>
              <w:t>样品：</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14:paraId="2BEE7AFA">
            <w:pPr>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snapToGrid w:val="0"/>
                <w:kern w:val="28"/>
                <w:szCs w:val="21"/>
                <w:highlight w:val="none"/>
              </w:rPr>
              <w:t>样品制作的标准和要求：</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14:paraId="76F095B2">
            <w:pPr>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（3）样品的评审方法以及评审标准</w:t>
            </w:r>
            <w:r>
              <w:rPr>
                <w:rFonts w:hint="eastAsia" w:cs="宋体" w:asciiTheme="minorEastAsia" w:hAnsiTheme="minorEastAsia" w:eastAsiaTheme="minorEastAsia"/>
                <w:snapToGrid w:val="0"/>
                <w:kern w:val="28"/>
                <w:szCs w:val="21"/>
                <w:highlight w:val="none"/>
              </w:rPr>
              <w:t>：详见</w:t>
            </w:r>
            <w:r>
              <w:rPr>
                <w:rFonts w:hint="eastAsia" w:cs="宋体" w:asciiTheme="minorEastAsia" w:hAnsiTheme="minorEastAsia" w:eastAsiaTheme="minorEastAsia"/>
                <w:szCs w:val="21"/>
                <w:highlight w:val="none"/>
                <w:u w:val="single"/>
              </w:rPr>
              <w:t>评审标准</w:t>
            </w:r>
            <w:r>
              <w:rPr>
                <w:rFonts w:hint="eastAsia" w:cs="宋体" w:asciiTheme="minorEastAsia" w:hAnsiTheme="minorEastAsia" w:eastAsiaTheme="minorEastAsia"/>
                <w:kern w:val="0"/>
                <w:szCs w:val="21"/>
                <w:highlight w:val="none"/>
              </w:rPr>
              <w:t>；</w:t>
            </w:r>
          </w:p>
          <w:p w14:paraId="06ABB572">
            <w:pPr>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（4）是否需要随样品提交检测报告：</w:t>
            </w:r>
            <w:sdt>
              <w:sdtPr>
                <w:rPr>
                  <w:rFonts w:hint="eastAsia" w:cs="宋体" w:asciiTheme="minorEastAsia" w:hAnsiTheme="minorEastAsia" w:eastAsiaTheme="minorEastAsia"/>
                  <w:kern w:val="0"/>
                  <w:szCs w:val="21"/>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否；</w:t>
            </w:r>
            <w:sdt>
              <w:sdtPr>
                <w:rPr>
                  <w:rFonts w:hint="eastAsia" w:cs="宋体" w:asciiTheme="minorEastAsia" w:hAnsiTheme="minorEastAsia" w:eastAsiaTheme="minorEastAsia"/>
                  <w:kern w:val="0"/>
                  <w:szCs w:val="21"/>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是，检测机构的要求</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；检测内容</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14:paraId="045C798F">
            <w:pPr>
              <w:spacing w:line="400" w:lineRule="exac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（5）提供样品的时间：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；地点：</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；联系人</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kern w:val="28"/>
                <w:szCs w:val="21"/>
                <w:highlight w:val="none"/>
              </w:rPr>
              <w:t>联系电话：</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。请供应商在上述时间内提供样品并按规定位置安装完毕。超过截止时间的，采购人或采购代理机构将不予接收，并将清场并封闭样品现场。</w:t>
            </w:r>
          </w:p>
          <w:p w14:paraId="6AB01DB1">
            <w:pPr>
              <w:spacing w:line="400" w:lineRule="exac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16FF8BB">
            <w:pPr>
              <w:spacing w:line="400" w:lineRule="exact"/>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（7）制作、运输、安装和保管样品所发生的一切费用由供应商自理。</w:t>
            </w:r>
          </w:p>
        </w:tc>
      </w:tr>
      <w:tr w14:paraId="7AF65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4E43766">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522E1EF1">
            <w:pPr>
              <w:snapToGrid w:val="0"/>
              <w:spacing w:line="400" w:lineRule="exact"/>
              <w:jc w:val="center"/>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
                <w:szCs w:val="21"/>
                <w:highlight w:val="none"/>
              </w:rPr>
              <w:t>方案讲解演示</w:t>
            </w:r>
          </w:p>
        </w:tc>
        <w:tc>
          <w:tcPr>
            <w:tcW w:w="7106" w:type="dxa"/>
            <w:tcBorders>
              <w:top w:val="single" w:color="000000" w:sz="8" w:space="0"/>
              <w:left w:val="single" w:color="000000" w:sz="2" w:space="0"/>
              <w:bottom w:val="single" w:color="000000" w:sz="8" w:space="0"/>
              <w:right w:val="single" w:color="000000" w:sz="8" w:space="0"/>
            </w:tcBorders>
            <w:vAlign w:val="center"/>
          </w:tcPr>
          <w:p w14:paraId="4E65EA0D">
            <w:pPr>
              <w:spacing w:line="400" w:lineRule="exact"/>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Wingdings" w:hAnsi="Wingdings" w:eastAsia="MS Gothic" w:cs="宋体"/>
                    <w:kern w:val="0"/>
                    <w:szCs w:val="21"/>
                    <w:highlight w:val="none"/>
                  </w:rPr>
                  <w:t>þ</w:t>
                </w:r>
              </w:sdtContent>
            </w:sdt>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不组织。</w:t>
            </w:r>
          </w:p>
          <w:p w14:paraId="36D0E125">
            <w:pPr>
              <w:spacing w:line="400" w:lineRule="exact"/>
              <w:rPr>
                <w:rFonts w:hint="eastAsia" w:cs="宋体" w:asciiTheme="minorEastAsia" w:hAnsiTheme="minorEastAsia" w:eastAsiaTheme="minorEastAsia"/>
                <w:kern w:val="0"/>
                <w:szCs w:val="21"/>
                <w:highlight w:val="none"/>
              </w:rPr>
            </w:pPr>
            <w:sdt>
              <w:sdtPr>
                <w:rPr>
                  <w:rFonts w:hint="eastAsia" w:cs="宋体" w:asciiTheme="minorEastAsia" w:hAnsiTheme="minorEastAsia" w:eastAsiaTheme="minorEastAsia"/>
                  <w:kern w:val="0"/>
                  <w:szCs w:val="21"/>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eastAsia="MS Mincho" w:cs="Segoe UI Symbol"/>
                    <w:kern w:val="0"/>
                    <w:szCs w:val="21"/>
                    <w:highlight w:val="none"/>
                  </w:rPr>
                  <w:t>☐</w:t>
                </w:r>
              </w:sdtContent>
            </w:sdt>
            <w:r>
              <w:rPr>
                <w:rFonts w:hint="eastAsia" w:cs="宋体" w:asciiTheme="minorEastAsia" w:hAnsiTheme="minorEastAsia" w:eastAsiaTheme="minorEastAsia"/>
                <w:kern w:val="0"/>
                <w:szCs w:val="21"/>
                <w:highlight w:val="none"/>
              </w:rPr>
              <w:t>B组织。</w:t>
            </w:r>
          </w:p>
          <w:p w14:paraId="065A1BEA">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（1）在评审时安排每个供应商进行方案讲解演示。每个供应商时间不超过</w:t>
            </w:r>
            <w:r>
              <w:rPr>
                <w:rFonts w:hint="eastAsia" w:cs="宋体" w:asciiTheme="minorEastAsia" w:hAnsiTheme="minorEastAsia" w:eastAsiaTheme="minorEastAsia"/>
                <w:kern w:val="0"/>
                <w:szCs w:val="21"/>
                <w:highlight w:val="none"/>
                <w:u w:val="single"/>
              </w:rPr>
              <w:t>20</w:t>
            </w:r>
            <w:r>
              <w:rPr>
                <w:rFonts w:hint="eastAsia" w:ascii="宋体" w:hAnsi="宋体" w:cs="宋体"/>
                <w:kern w:val="0"/>
                <w:szCs w:val="21"/>
                <w:highlight w:val="none"/>
                <w:u w:val="single"/>
              </w:rPr>
              <w:t>（编制时可根据项目情况进行调整）</w:t>
            </w:r>
            <w:r>
              <w:rPr>
                <w:rFonts w:hint="eastAsia" w:cs="宋体" w:asciiTheme="minorEastAsia" w:hAnsiTheme="minorEastAsia" w:eastAsiaTheme="minorEastAsia"/>
                <w:kern w:val="0"/>
                <w:szCs w:val="21"/>
                <w:highlight w:val="none"/>
              </w:rPr>
              <w:t>分钟，讲解次序以响应文件解密时间先后次序为准，讲解演示人员不超过</w:t>
            </w:r>
            <w:r>
              <w:rPr>
                <w:rFonts w:hint="eastAsia" w:cs="宋体" w:asciiTheme="minorEastAsia" w:hAnsiTheme="minorEastAsia" w:eastAsiaTheme="minorEastAsia"/>
                <w:kern w:val="0"/>
                <w:szCs w:val="21"/>
                <w:highlight w:val="none"/>
                <w:u w:val="single"/>
              </w:rPr>
              <w:t>3</w:t>
            </w:r>
            <w:r>
              <w:rPr>
                <w:rFonts w:hint="eastAsia" w:ascii="宋体" w:hAnsi="宋体" w:cs="宋体"/>
                <w:kern w:val="0"/>
                <w:szCs w:val="21"/>
                <w:highlight w:val="none"/>
                <w:u w:val="single"/>
              </w:rPr>
              <w:t>（编制时可根据项目情况进行调整）</w:t>
            </w:r>
            <w:r>
              <w:rPr>
                <w:rFonts w:hint="eastAsia" w:cs="宋体" w:asciiTheme="minorEastAsia" w:hAnsiTheme="minorEastAsia" w:eastAsiaTheme="minorEastAsia"/>
                <w:kern w:val="0"/>
                <w:szCs w:val="21"/>
                <w:highlight w:val="none"/>
              </w:rPr>
              <w:t>人。讲解演示结束后按要求解答评标委员会提问。</w:t>
            </w:r>
          </w:p>
          <w:p w14:paraId="49EDA0D2">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（2）方案讲解演示可选择以下其中一种方式：</w:t>
            </w:r>
          </w:p>
          <w:p w14:paraId="3C3F76B3">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方式一：政采云平台在线讲解演示。政采云平台在线讲解需供应商根据政采云平台操作要求做好准备工作，提前完善软硬件配置环境。</w:t>
            </w:r>
          </w:p>
          <w:p w14:paraId="69B985C5">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方式二：交易中心现场讲解演示。现场讲解地点为</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，讲解演示所用电脑等设备由供应商自备。现场讲解演示人员进场时提供讲解人员名单（加盖公章或授权代表签名）及身份证明，否则不得讲解演示。</w:t>
            </w:r>
          </w:p>
          <w:p w14:paraId="0D4DC11E">
            <w:pPr>
              <w:snapToGrid w:val="0"/>
              <w:spacing w:line="400" w:lineRule="exact"/>
              <w:rPr>
                <w:rFonts w:hint="eastAsia" w:cs="宋体" w:asciiTheme="minorEastAsia" w:hAnsiTheme="minorEastAsia" w:eastAsiaTheme="minorEastAsia"/>
                <w:b/>
                <w:kern w:val="0"/>
                <w:szCs w:val="21"/>
                <w:highlight w:val="none"/>
                <w:lang w:val="zh-CN"/>
              </w:rPr>
            </w:pPr>
            <w:r>
              <w:rPr>
                <w:rFonts w:hint="eastAsia" w:cs="宋体" w:asciiTheme="minorEastAsia" w:hAnsiTheme="minorEastAsia" w:eastAsiaTheme="minorEastAsia"/>
                <w:kern w:val="0"/>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DEE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vMerge w:val="restart"/>
            <w:tcBorders>
              <w:top w:val="single" w:color="auto" w:sz="4" w:space="0"/>
              <w:left w:val="single" w:color="auto" w:sz="4" w:space="0"/>
              <w:right w:val="single" w:color="auto" w:sz="4" w:space="0"/>
            </w:tcBorders>
            <w:vAlign w:val="center"/>
          </w:tcPr>
          <w:p w14:paraId="57FF1426">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w:t>
            </w:r>
          </w:p>
        </w:tc>
        <w:tc>
          <w:tcPr>
            <w:tcW w:w="2005" w:type="dxa"/>
            <w:vMerge w:val="restart"/>
            <w:tcBorders>
              <w:top w:val="single" w:color="000000" w:sz="8" w:space="0"/>
              <w:left w:val="single" w:color="auto" w:sz="4" w:space="0"/>
              <w:right w:val="single" w:color="000000" w:sz="8" w:space="0"/>
            </w:tcBorders>
            <w:vAlign w:val="center"/>
          </w:tcPr>
          <w:p w14:paraId="6FB4CAD9">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供应商应当提供的资格、资信证明文件</w:t>
            </w:r>
          </w:p>
        </w:tc>
        <w:tc>
          <w:tcPr>
            <w:tcW w:w="7106" w:type="dxa"/>
            <w:tcBorders>
              <w:top w:val="single" w:color="000000" w:sz="8" w:space="0"/>
              <w:left w:val="single" w:color="000000" w:sz="2" w:space="0"/>
              <w:bottom w:val="single" w:color="auto" w:sz="4" w:space="0"/>
              <w:right w:val="single" w:color="000000" w:sz="8" w:space="0"/>
            </w:tcBorders>
            <w:vAlign w:val="center"/>
          </w:tcPr>
          <w:p w14:paraId="05D6C6E5">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（1）资格证明文件：见磋商文件第三部分“六、响应文件的编制”。</w:t>
            </w:r>
          </w:p>
          <w:p w14:paraId="1B98ED93">
            <w:pPr>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供应商未提供有效的资格证明文件的，视为供应商不具备磋商文件中规定的资格要求，响应无效。</w:t>
            </w:r>
          </w:p>
        </w:tc>
      </w:tr>
      <w:tr w14:paraId="5C3A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vMerge w:val="continue"/>
            <w:tcBorders>
              <w:left w:val="single" w:color="auto" w:sz="4" w:space="0"/>
              <w:bottom w:val="single" w:color="auto" w:sz="4" w:space="0"/>
              <w:right w:val="single" w:color="auto" w:sz="4" w:space="0"/>
            </w:tcBorders>
            <w:vAlign w:val="center"/>
          </w:tcPr>
          <w:p w14:paraId="05F43393">
            <w:pPr>
              <w:snapToGrid w:val="0"/>
              <w:spacing w:line="400" w:lineRule="exact"/>
              <w:jc w:val="center"/>
              <w:rPr>
                <w:rFonts w:hint="eastAsia" w:cs="宋体" w:asciiTheme="minorEastAsia" w:hAnsiTheme="minorEastAsia" w:eastAsiaTheme="minorEastAsia"/>
                <w:szCs w:val="21"/>
                <w:highlight w:val="none"/>
              </w:rPr>
            </w:pPr>
          </w:p>
        </w:tc>
        <w:tc>
          <w:tcPr>
            <w:tcW w:w="2005" w:type="dxa"/>
            <w:vMerge w:val="continue"/>
            <w:tcBorders>
              <w:left w:val="single" w:color="auto" w:sz="4" w:space="0"/>
              <w:bottom w:val="single" w:color="000000" w:sz="8" w:space="0"/>
              <w:right w:val="single" w:color="000000" w:sz="8" w:space="0"/>
            </w:tcBorders>
            <w:vAlign w:val="center"/>
          </w:tcPr>
          <w:p w14:paraId="046B4328">
            <w:pPr>
              <w:snapToGrid w:val="0"/>
              <w:spacing w:line="400" w:lineRule="exact"/>
              <w:jc w:val="center"/>
              <w:rPr>
                <w:rFonts w:hint="eastAsia" w:cs="宋体" w:asciiTheme="minorEastAsia" w:hAnsiTheme="minorEastAsia" w:eastAsiaTheme="minorEastAsia"/>
                <w:b/>
                <w:szCs w:val="21"/>
                <w:highlight w:val="none"/>
              </w:rPr>
            </w:pPr>
          </w:p>
        </w:tc>
        <w:tc>
          <w:tcPr>
            <w:tcW w:w="7106" w:type="dxa"/>
            <w:tcBorders>
              <w:top w:val="single" w:color="auto" w:sz="4" w:space="0"/>
              <w:left w:val="single" w:color="000000" w:sz="2" w:space="0"/>
              <w:bottom w:val="single" w:color="000000" w:sz="8" w:space="0"/>
              <w:right w:val="single" w:color="000000" w:sz="8" w:space="0"/>
            </w:tcBorders>
            <w:vAlign w:val="center"/>
          </w:tcPr>
          <w:p w14:paraId="21FC0437">
            <w:pPr>
              <w:spacing w:line="400" w:lineRule="exac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（2）资信证明文件：根据磋商文件第五部分评审标准提供。</w:t>
            </w:r>
          </w:p>
        </w:tc>
      </w:tr>
      <w:tr w14:paraId="147D6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841A071">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18B4EBAA">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最后报价要求</w:t>
            </w:r>
          </w:p>
        </w:tc>
        <w:tc>
          <w:tcPr>
            <w:tcW w:w="7106" w:type="dxa"/>
            <w:tcBorders>
              <w:top w:val="single" w:color="000000" w:sz="8" w:space="0"/>
              <w:left w:val="single" w:color="000000" w:sz="2" w:space="0"/>
              <w:bottom w:val="single" w:color="000000" w:sz="8" w:space="0"/>
              <w:right w:val="single" w:color="000000" w:sz="8" w:space="0"/>
            </w:tcBorders>
            <w:vAlign w:val="center"/>
          </w:tcPr>
          <w:p w14:paraId="6FC19FB6">
            <w:pPr>
              <w:snapToGrid w:val="0"/>
              <w:spacing w:line="400" w:lineRule="exact"/>
              <w:jc w:val="left"/>
              <w:rPr>
                <w:rFonts w:hint="eastAsia" w:cs="宋体" w:asciiTheme="minorEastAsia" w:hAnsiTheme="minorEastAsia" w:eastAsiaTheme="minorEastAsia"/>
                <w:b/>
                <w:kern w:val="0"/>
                <w:szCs w:val="21"/>
                <w:highlight w:val="none"/>
                <w:lang w:val="zh-CN"/>
              </w:rPr>
            </w:pPr>
            <w:r>
              <w:rPr>
                <w:rFonts w:hint="eastAsia" w:cs="宋体" w:asciiTheme="minorEastAsia" w:hAnsiTheme="minorEastAsia" w:eastAsiaTheme="minorEastAsia"/>
                <w:kern w:val="0"/>
                <w:szCs w:val="21"/>
                <w:highlight w:val="none"/>
                <w:lang w:val="zh-CN"/>
              </w:rPr>
              <w:t>有关本项目实施所需的所有费用（含税费）均计入最后报价。《最后报价</w:t>
            </w:r>
            <w:r>
              <w:rPr>
                <w:rFonts w:hint="eastAsia" w:cs="宋体" w:asciiTheme="minorEastAsia" w:hAnsiTheme="minorEastAsia" w:eastAsiaTheme="minorEastAsia"/>
                <w:szCs w:val="21"/>
                <w:highlight w:val="none"/>
              </w:rPr>
              <w:t>一览表（报价表）</w:t>
            </w:r>
            <w:r>
              <w:rPr>
                <w:rFonts w:hint="eastAsia" w:cs="宋体" w:asciiTheme="minorEastAsia" w:hAnsiTheme="minorEastAsia" w:eastAsiaTheme="minorEastAsia"/>
                <w:kern w:val="0"/>
                <w:szCs w:val="21"/>
                <w:highlight w:val="none"/>
                <w:lang w:val="zh-CN"/>
              </w:rPr>
              <w:t>》</w:t>
            </w:r>
            <w:r>
              <w:rPr>
                <w:rFonts w:hint="eastAsia" w:cs="宋体" w:asciiTheme="minorEastAsia" w:hAnsiTheme="minorEastAsia" w:eastAsiaTheme="minorEastAsia"/>
                <w:szCs w:val="21"/>
                <w:highlight w:val="none"/>
              </w:rPr>
              <w:t>是最后报价的唯一载体</w:t>
            </w:r>
            <w:r>
              <w:rPr>
                <w:rFonts w:hint="eastAsia" w:cs="宋体" w:asciiTheme="minorEastAsia" w:hAnsiTheme="minorEastAsia" w:eastAsiaTheme="minorEastAsia"/>
                <w:kern w:val="0"/>
                <w:szCs w:val="21"/>
                <w:highlight w:val="none"/>
                <w:lang w:val="zh-CN"/>
              </w:rPr>
              <w:t>。响应文件中价格全部采用人民币报价。磋商文件未列明，而供应商认为必需的费用也需列入报价。</w:t>
            </w:r>
          </w:p>
          <w:p w14:paraId="721909D7">
            <w:pPr>
              <w:snapToGrid w:val="0"/>
              <w:spacing w:line="400" w:lineRule="exact"/>
              <w:jc w:val="left"/>
              <w:rPr>
                <w:rFonts w:hint="eastAsia" w:cs="宋体" w:asciiTheme="minorEastAsia" w:hAnsiTheme="minorEastAsia" w:eastAsiaTheme="minorEastAsia"/>
                <w:b/>
                <w:kern w:val="0"/>
                <w:szCs w:val="21"/>
                <w:highlight w:val="none"/>
                <w:lang w:val="zh-CN"/>
              </w:rPr>
            </w:pPr>
            <w:r>
              <w:rPr>
                <w:rFonts w:hint="eastAsia" w:cs="宋体" w:asciiTheme="minorEastAsia" w:hAnsiTheme="minorEastAsia" w:eastAsiaTheme="minorEastAsia"/>
                <w:b/>
                <w:kern w:val="0"/>
                <w:szCs w:val="21"/>
                <w:highlight w:val="none"/>
                <w:lang w:val="zh-CN"/>
              </w:rPr>
              <w:t>最后报价出现下列情形的，响应无效：</w:t>
            </w:r>
          </w:p>
          <w:p w14:paraId="459B7FB5">
            <w:pPr>
              <w:snapToGrid w:val="0"/>
              <w:spacing w:line="400" w:lineRule="exact"/>
              <w:ind w:firstLine="211" w:firstLineChars="100"/>
              <w:jc w:val="left"/>
              <w:rPr>
                <w:rFonts w:hint="eastAsia" w:cs="宋体" w:asciiTheme="minorEastAsia" w:hAnsiTheme="minorEastAsia" w:eastAsiaTheme="minorEastAsia"/>
                <w:b/>
                <w:kern w:val="0"/>
                <w:szCs w:val="21"/>
                <w:highlight w:val="none"/>
                <w:lang w:val="zh-CN"/>
              </w:rPr>
            </w:pPr>
            <w:r>
              <w:rPr>
                <w:rFonts w:hint="eastAsia" w:cs="宋体" w:asciiTheme="minorEastAsia" w:hAnsiTheme="minorEastAsia" w:eastAsiaTheme="minorEastAsia"/>
                <w:b/>
                <w:kern w:val="0"/>
                <w:szCs w:val="21"/>
                <w:highlight w:val="none"/>
                <w:lang w:val="zh-CN"/>
              </w:rPr>
              <w:t>响应文件出现不是唯一的、有选择性的最后报价的；</w:t>
            </w:r>
          </w:p>
          <w:p w14:paraId="797F0D4E">
            <w:pPr>
              <w:snapToGrid w:val="0"/>
              <w:spacing w:line="400" w:lineRule="exact"/>
              <w:ind w:firstLine="211" w:firstLineChars="100"/>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b/>
                <w:kern w:val="0"/>
                <w:szCs w:val="21"/>
                <w:highlight w:val="none"/>
                <w:lang w:val="zh-CN"/>
              </w:rPr>
              <w:t>最后报价超过磋商文件中规定的预算金额或者最高限价的；</w:t>
            </w:r>
          </w:p>
          <w:p w14:paraId="1A2E5F47">
            <w:pPr>
              <w:spacing w:line="400" w:lineRule="exact"/>
              <w:ind w:firstLine="211" w:firstLineChars="1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最后报价明显低于其他通过符合性审查供应商的报价，有可能影响产品质量或者不能诚信履约的，未能按要求提供书面说明或者提交相关证明材料证明其报价合理性的；</w:t>
            </w:r>
          </w:p>
          <w:p w14:paraId="0009D6AD">
            <w:pPr>
              <w:spacing w:line="400" w:lineRule="exact"/>
              <w:ind w:firstLine="211" w:firstLineChars="1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供应商对根据修正原则修正后的报价不确认的</w:t>
            </w:r>
            <w:r>
              <w:rPr>
                <w:rFonts w:hint="eastAsia" w:cs="宋体" w:asciiTheme="minorEastAsia" w:hAnsiTheme="minorEastAsia" w:eastAsiaTheme="minorEastAsia"/>
                <w:b/>
                <w:szCs w:val="21"/>
                <w:highlight w:val="none"/>
              </w:rPr>
              <w:t>。</w:t>
            </w:r>
          </w:p>
        </w:tc>
      </w:tr>
      <w:tr w14:paraId="711F5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8FD034D">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p>
        </w:tc>
        <w:tc>
          <w:tcPr>
            <w:tcW w:w="2005" w:type="dxa"/>
            <w:tcBorders>
              <w:top w:val="single" w:color="000000" w:sz="8" w:space="0"/>
              <w:left w:val="single" w:color="000000" w:sz="2" w:space="0"/>
              <w:bottom w:val="single" w:color="auto" w:sz="4" w:space="0"/>
              <w:right w:val="single" w:color="000000" w:sz="8" w:space="0"/>
            </w:tcBorders>
            <w:vAlign w:val="center"/>
          </w:tcPr>
          <w:p w14:paraId="0D746AE0">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中小企业信用融资</w:t>
            </w:r>
          </w:p>
        </w:tc>
        <w:tc>
          <w:tcPr>
            <w:tcW w:w="7106" w:type="dxa"/>
            <w:tcBorders>
              <w:top w:val="single" w:color="000000" w:sz="8" w:space="0"/>
              <w:left w:val="single" w:color="000000" w:sz="2" w:space="0"/>
              <w:bottom w:val="single" w:color="auto" w:sz="4" w:space="0"/>
              <w:right w:val="single" w:color="000000" w:sz="8" w:space="0"/>
            </w:tcBorders>
            <w:vAlign w:val="center"/>
          </w:tcPr>
          <w:p w14:paraId="4634C2BB">
            <w:pPr>
              <w:pStyle w:val="20"/>
              <w:spacing w:line="400" w:lineRule="exact"/>
              <w:rPr>
                <w:rFonts w:hint="eastAsia" w:cs="宋体" w:asciiTheme="minorEastAsia" w:hAnsiTheme="minorEastAsia" w:eastAsiaTheme="minorEastAsia"/>
                <w:kern w:val="28"/>
                <w:szCs w:val="21"/>
                <w:highlight w:val="none"/>
              </w:rPr>
            </w:pPr>
            <w:r>
              <w:rPr>
                <w:rFonts w:hint="eastAsia" w:cs="宋体" w:asciiTheme="minorEastAsia" w:hAnsiTheme="minorEastAsia" w:eastAsiaTheme="minorEastAsia"/>
                <w:kern w:val="0"/>
                <w:szCs w:val="21"/>
                <w:highlight w:val="none"/>
                <w:lang w:val="zh-CN"/>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2AC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998E00D">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58D832DB">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备份响应文件送达地点和签收人员 </w:t>
            </w:r>
          </w:p>
        </w:tc>
        <w:tc>
          <w:tcPr>
            <w:tcW w:w="7106" w:type="dxa"/>
            <w:tcBorders>
              <w:top w:val="single" w:color="000000" w:sz="8" w:space="0"/>
              <w:left w:val="single" w:color="000000" w:sz="2" w:space="0"/>
              <w:bottom w:val="single" w:color="auto" w:sz="4" w:space="0"/>
              <w:right w:val="single" w:color="000000" w:sz="8" w:space="0"/>
            </w:tcBorders>
            <w:vAlign w:val="center"/>
          </w:tcPr>
          <w:p w14:paraId="7923D71E">
            <w:pPr>
              <w:pStyle w:val="34"/>
              <w:adjustRightInd/>
              <w:spacing w:line="300" w:lineRule="exact"/>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1）供应商如提供备份响应文件的，可采用邮寄（含快递）方式或直接提交方式递交备份响应文件，供应商需将以U盘存储的备份响应文件密封递交，逾期送达或未密封将予以拒收。供应商仅提供备份响应文件的，响应文件无效。</w:t>
            </w:r>
          </w:p>
          <w:p w14:paraId="6F0098C0">
            <w:pPr>
              <w:pStyle w:val="34"/>
              <w:adjustRightInd/>
              <w:spacing w:line="300" w:lineRule="exact"/>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kern w:val="28"/>
                <w:szCs w:val="21"/>
                <w:highlight w:val="none"/>
                <w14:textFill>
                  <w14:solidFill>
                    <w14:schemeClr w14:val="tx1"/>
                  </w14:solidFill>
                </w14:textFill>
              </w:rPr>
              <w:t>采用邮寄方式递交备份响应文件，需按以下要求递交：</w:t>
            </w:r>
          </w:p>
          <w:p w14:paraId="04F0EB86">
            <w:pPr>
              <w:pStyle w:val="34"/>
              <w:adjustRightInd/>
              <w:spacing w:line="300" w:lineRule="exact"/>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供应商应在响应文件提交（上传）截止日前一个工作日16:00点前将备份响应文件邮寄至规定地点，邮寄地址为：</w:t>
            </w:r>
            <w:r>
              <w:rPr>
                <w:rFonts w:hint="eastAsia" w:asciiTheme="minorEastAsia" w:hAnsiTheme="minorEastAsia" w:eastAsiaTheme="minorEastAsia" w:cstheme="minorEastAsia"/>
                <w:color w:val="000000" w:themeColor="text1"/>
                <w:kern w:val="28"/>
                <w:szCs w:val="21"/>
                <w:highlight w:val="none"/>
                <w:u w:val="single"/>
                <w14:textFill>
                  <w14:solidFill>
                    <w14:schemeClr w14:val="tx1"/>
                  </w14:solidFill>
                </w14:textFill>
              </w:rPr>
              <w:t>宁波市海曙区薛家南路499号11层</w:t>
            </w: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8"/>
                <w:szCs w:val="21"/>
                <w:highlight w:val="none"/>
                <w:u w:val="single"/>
                <w14:textFill>
                  <w14:solidFill>
                    <w14:schemeClr w14:val="tx1"/>
                  </w14:solidFill>
                </w14:textFill>
              </w:rPr>
              <w:t>收件人：张时雄，联系方式：</w:t>
            </w:r>
            <w:r>
              <w:rPr>
                <w:rFonts w:asciiTheme="minorEastAsia" w:hAnsiTheme="minorEastAsia" w:eastAsiaTheme="minorEastAsia" w:cstheme="minorEastAsia"/>
                <w:color w:val="000000" w:themeColor="text1"/>
                <w:kern w:val="28"/>
                <w:szCs w:val="21"/>
                <w:highlight w:val="none"/>
                <w:u w:val="single"/>
                <w14:textFill>
                  <w14:solidFill>
                    <w14:schemeClr w14:val="tx1"/>
                  </w14:solidFill>
                </w14:textFill>
              </w:rPr>
              <w:t>0574-83885614</w:t>
            </w: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9882B34">
            <w:pPr>
              <w:pStyle w:val="34"/>
              <w:adjustRightInd/>
              <w:spacing w:line="300" w:lineRule="exact"/>
              <w:ind w:firstLine="420" w:firstLineChars="200"/>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请各供应商确保密封包装在邮寄过程密封包装完好，因邮寄过程的密封破损造成不符合采购文件要求的，本采购代理及采购人概不负责。</w:t>
            </w:r>
          </w:p>
          <w:p w14:paraId="67EE3438">
            <w:pPr>
              <w:pStyle w:val="34"/>
              <w:adjustRightInd/>
              <w:spacing w:line="300" w:lineRule="exact"/>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kern w:val="28"/>
                <w:szCs w:val="21"/>
                <w:highlight w:val="none"/>
                <w14:textFill>
                  <w14:solidFill>
                    <w14:schemeClr w14:val="tx1"/>
                  </w14:solidFill>
                </w14:textFill>
              </w:rPr>
              <w:t>采用直接提交送达备份响应文件，需按以下要求递交：</w:t>
            </w:r>
          </w:p>
          <w:p w14:paraId="38562960">
            <w:pPr>
              <w:pStyle w:val="34"/>
              <w:adjustRightInd/>
              <w:spacing w:line="300" w:lineRule="exact"/>
              <w:rPr>
                <w:rFonts w:hint="eastAsia" w:asciiTheme="minorEastAsia" w:hAnsiTheme="minorEastAsia" w:eastAsiaTheme="minorEastAsia" w:cstheme="minorEastAsia"/>
                <w:b/>
                <w:bCs/>
                <w:color w:val="000000" w:themeColor="text1"/>
                <w:kern w:val="28"/>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8"/>
                <w:szCs w:val="21"/>
                <w:highlight w:val="none"/>
                <w14:textFill>
                  <w14:solidFill>
                    <w14:schemeClr w14:val="tx1"/>
                  </w14:solidFill>
                </w14:textFill>
              </w:rPr>
              <w:t>在响应文件提交截止时间前将备份响应文件送至线下响应文件提交地点：</w:t>
            </w:r>
            <w:r>
              <w:rPr>
                <w:rFonts w:hint="eastAsia" w:asciiTheme="minorEastAsia" w:hAnsiTheme="minorEastAsia" w:eastAsiaTheme="minorEastAsia" w:cstheme="minorEastAsia"/>
                <w:b/>
                <w:bCs/>
                <w:color w:val="000000" w:themeColor="text1"/>
                <w:kern w:val="28"/>
                <w:szCs w:val="21"/>
                <w:highlight w:val="none"/>
                <w:u w:val="single"/>
                <w14:textFill>
                  <w14:solidFill>
                    <w14:schemeClr w14:val="tx1"/>
                  </w14:solidFill>
                </w14:textFill>
              </w:rPr>
              <w:t>宁波市海曙区营商环境服务中心二楼开标室</w:t>
            </w:r>
            <w:r>
              <w:rPr>
                <w:rFonts w:hint="eastAsia" w:asciiTheme="minorEastAsia" w:hAnsiTheme="minorEastAsia" w:eastAsiaTheme="minorEastAsia" w:cstheme="minorEastAsia"/>
                <w:b/>
                <w:bCs/>
                <w:color w:val="000000" w:themeColor="text1"/>
                <w:kern w:val="28"/>
                <w:szCs w:val="21"/>
                <w:highlight w:val="none"/>
                <w:u w:val="single"/>
                <w:lang w:val="en-US" w:eastAsia="zh-CN"/>
                <w14:textFill>
                  <w14:solidFill>
                    <w14:schemeClr w14:val="tx1"/>
                  </w14:solidFill>
                </w14:textFill>
              </w:rPr>
              <w:t xml:space="preserve"> 5</w:t>
            </w:r>
            <w:bookmarkStart w:id="198" w:name="_GoBack"/>
            <w:bookmarkEnd w:id="198"/>
            <w:r>
              <w:rPr>
                <w:rFonts w:hint="eastAsia" w:asciiTheme="minorEastAsia" w:hAnsiTheme="minorEastAsia" w:eastAsiaTheme="minorEastAsia" w:cstheme="minorEastAsia"/>
                <w:b/>
                <w:bCs/>
                <w:color w:val="000000" w:themeColor="text1"/>
                <w:kern w:val="28"/>
                <w:szCs w:val="21"/>
                <w:highlight w:val="none"/>
                <w:u w:val="single"/>
                <w14:textFill>
                  <w14:solidFill>
                    <w14:schemeClr w14:val="tx1"/>
                  </w14:solidFill>
                </w14:textFill>
              </w:rPr>
              <w:t>[宁波市海曙区气象路58号（南门上）]</w:t>
            </w:r>
            <w:r>
              <w:rPr>
                <w:rFonts w:hint="eastAsia" w:asciiTheme="minorEastAsia" w:hAnsiTheme="minorEastAsia" w:eastAsiaTheme="minorEastAsia" w:cstheme="minorEastAsia"/>
                <w:b/>
                <w:bCs/>
                <w:color w:val="000000" w:themeColor="text1"/>
                <w:kern w:val="28"/>
                <w:szCs w:val="21"/>
                <w:highlight w:val="none"/>
                <w14:textFill>
                  <w14:solidFill>
                    <w14:schemeClr w14:val="tx1"/>
                  </w14:solidFill>
                </w14:textFill>
              </w:rPr>
              <w:t>。</w:t>
            </w:r>
          </w:p>
          <w:p w14:paraId="5C7E2A54">
            <w:pPr>
              <w:pStyle w:val="34"/>
              <w:spacing w:line="400" w:lineRule="exact"/>
              <w:rPr>
                <w:szCs w:val="21"/>
                <w:highlight w:val="none"/>
              </w:rPr>
            </w:pPr>
            <w:r>
              <w:rPr>
                <w:rFonts w:hint="eastAsia" w:cs="仿宋_GB2312" w:asciiTheme="minorEastAsia" w:hAnsiTheme="minorEastAsia" w:eastAsiaTheme="minorEastAsia"/>
                <w:b/>
                <w:color w:val="000000" w:themeColor="text1"/>
                <w:szCs w:val="21"/>
                <w:highlight w:val="none"/>
                <w14:textFill>
                  <w14:solidFill>
                    <w14:schemeClr w14:val="tx1"/>
                  </w14:solidFill>
                </w14:textFill>
              </w:rPr>
              <w:t>采购人、采购代理机构不强制或变相强制供应商提交备份响应文件</w:t>
            </w:r>
            <w:r>
              <w:rPr>
                <w:rFonts w:hint="eastAsia" w:asciiTheme="minorEastAsia" w:hAnsiTheme="minorEastAsia" w:eastAsiaTheme="minorEastAsia" w:cstheme="minorEastAsia"/>
                <w:b/>
                <w:bCs/>
                <w:color w:val="000000" w:themeColor="text1"/>
                <w:kern w:val="28"/>
                <w:szCs w:val="21"/>
                <w:highlight w:val="none"/>
                <w14:textFill>
                  <w14:solidFill>
                    <w14:schemeClr w14:val="tx1"/>
                  </w14:solidFill>
                </w14:textFill>
              </w:rPr>
              <w:t>。</w:t>
            </w:r>
          </w:p>
        </w:tc>
      </w:tr>
      <w:tr w14:paraId="51EE5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7EBB1FC">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12</w:t>
            </w:r>
          </w:p>
        </w:tc>
        <w:tc>
          <w:tcPr>
            <w:tcW w:w="2005" w:type="dxa"/>
            <w:tcBorders>
              <w:top w:val="single" w:color="auto" w:sz="4" w:space="0"/>
              <w:left w:val="single" w:color="auto" w:sz="4" w:space="0"/>
              <w:bottom w:val="single" w:color="auto" w:sz="4" w:space="0"/>
              <w:right w:val="single" w:color="auto" w:sz="4" w:space="0"/>
            </w:tcBorders>
            <w:vAlign w:val="center"/>
          </w:tcPr>
          <w:p w14:paraId="0817E37F">
            <w:pPr>
              <w:snapToGrid w:val="0"/>
              <w:spacing w:line="400" w:lineRule="exact"/>
              <w:jc w:val="center"/>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特别说明</w:t>
            </w:r>
          </w:p>
        </w:tc>
        <w:tc>
          <w:tcPr>
            <w:tcW w:w="7106" w:type="dxa"/>
            <w:tcBorders>
              <w:top w:val="single" w:color="auto" w:sz="4" w:space="0"/>
              <w:left w:val="single" w:color="auto" w:sz="4" w:space="0"/>
              <w:right w:val="single" w:color="auto" w:sz="4" w:space="0"/>
            </w:tcBorders>
            <w:vAlign w:val="center"/>
          </w:tcPr>
          <w:p w14:paraId="177F358A">
            <w:pPr>
              <w:adjustRightInd/>
              <w:spacing w:line="300" w:lineRule="exact"/>
              <w:rPr>
                <w:rFonts w:hint="eastAsia" w:cs="宋体" w:asciiTheme="minorEastAsia" w:hAnsiTheme="minorEastAsia" w:eastAsiaTheme="minorEastAsia"/>
                <w:kern w:val="28"/>
                <w:szCs w:val="21"/>
                <w:highlight w:val="none"/>
              </w:rPr>
            </w:pPr>
            <w:r>
              <w:rPr>
                <w:rFonts w:hint="eastAsia" w:cs="宋体" w:asciiTheme="minorEastAsia" w:hAnsiTheme="minorEastAsia" w:eastAsiaTheme="minorEastAsia"/>
                <w:kern w:val="28"/>
                <w:szCs w:val="21"/>
                <w:highlight w:val="none"/>
              </w:rPr>
              <w:t>（1）单位负责人为同一人或者存在直接控股、管理关系的不同供应商，不得参加同一合同项下的政府采购活动。</w:t>
            </w:r>
          </w:p>
          <w:p w14:paraId="06359DAB">
            <w:pPr>
              <w:adjustRightInd/>
              <w:spacing w:line="300" w:lineRule="exact"/>
              <w:rPr>
                <w:rFonts w:hint="eastAsia" w:cs="宋体" w:asciiTheme="minorEastAsia" w:hAnsiTheme="minorEastAsia" w:eastAsiaTheme="minorEastAsia"/>
                <w:kern w:val="28"/>
                <w:szCs w:val="21"/>
                <w:highlight w:val="none"/>
              </w:rPr>
            </w:pPr>
            <w:r>
              <w:rPr>
                <w:rFonts w:hint="eastAsia" w:cs="宋体" w:asciiTheme="minorEastAsia" w:hAnsiTheme="minorEastAsia" w:eastAsiaTheme="minorEastAsia"/>
                <w:kern w:val="28"/>
                <w:szCs w:val="21"/>
                <w:highlight w:val="none"/>
              </w:rPr>
              <w:t>（2）除单一来源采购项目外，为采购项目提供整体设计、规范编制或者项目管理、监理、检测等服务的供应商，不得再参加该采购项目的其他采购活动。</w:t>
            </w:r>
          </w:p>
        </w:tc>
      </w:tr>
      <w:tr w14:paraId="62C0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F3B1893">
            <w:pPr>
              <w:snapToGrid w:val="0"/>
              <w:spacing w:line="400" w:lineRule="exact"/>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13</w:t>
            </w:r>
          </w:p>
        </w:tc>
        <w:tc>
          <w:tcPr>
            <w:tcW w:w="2005" w:type="dxa"/>
            <w:tcBorders>
              <w:top w:val="single" w:color="auto" w:sz="4" w:space="0"/>
              <w:left w:val="single" w:color="000000" w:sz="2" w:space="0"/>
              <w:bottom w:val="single" w:color="auto" w:sz="4" w:space="0"/>
              <w:right w:val="single" w:color="000000" w:sz="8" w:space="0"/>
            </w:tcBorders>
            <w:vAlign w:val="center"/>
          </w:tcPr>
          <w:p w14:paraId="592A9B43">
            <w:pPr>
              <w:snapToGrid w:val="0"/>
              <w:spacing w:line="400" w:lineRule="exact"/>
              <w:jc w:val="center"/>
              <w:rPr>
                <w:rFonts w:hint="eastAsia" w:ascii="宋体" w:hAnsi="宋体" w:cs="宋体"/>
                <w:b/>
                <w:szCs w:val="21"/>
                <w:highlight w:val="none"/>
              </w:rPr>
            </w:pPr>
            <w:r>
              <w:rPr>
                <w:rFonts w:hint="eastAsia" w:ascii="宋体" w:hAnsi="宋体" w:cs="宋体"/>
                <w:b/>
                <w:szCs w:val="21"/>
                <w:highlight w:val="none"/>
              </w:rPr>
              <w:t>采购代理服务费</w:t>
            </w:r>
          </w:p>
        </w:tc>
        <w:tc>
          <w:tcPr>
            <w:tcW w:w="7106" w:type="dxa"/>
            <w:tcBorders>
              <w:top w:val="single" w:color="auto" w:sz="4" w:space="0"/>
              <w:left w:val="single" w:color="000000" w:sz="2" w:space="0"/>
              <w:bottom w:val="single" w:color="auto" w:sz="4" w:space="0"/>
              <w:right w:val="single" w:color="000000" w:sz="8" w:space="0"/>
            </w:tcBorders>
            <w:vAlign w:val="center"/>
          </w:tcPr>
          <w:p w14:paraId="52934DB4">
            <w:pPr>
              <w:autoSpaceDE w:val="0"/>
              <w:autoSpaceDN w:val="0"/>
              <w:spacing w:line="360" w:lineRule="auto"/>
              <w:textAlignment w:val="bottom"/>
              <w:rPr>
                <w:rFonts w:hint="eastAsia" w:ascii="宋体" w:hAnsi="宋体" w:cs="宋体"/>
                <w:szCs w:val="21"/>
                <w:highlight w:val="none"/>
              </w:rPr>
            </w:pPr>
            <w:r>
              <w:rPr>
                <w:rFonts w:hint="eastAsia" w:ascii="宋体" w:hAnsi="宋体" w:cs="宋体"/>
                <w:bCs/>
                <w:color w:val="000000"/>
                <w:szCs w:val="21"/>
                <w:highlight w:val="none"/>
              </w:rPr>
              <w:t>采购代理服务费</w:t>
            </w:r>
            <w:r>
              <w:rPr>
                <w:rFonts w:hint="eastAsia" w:ascii="宋体" w:hAnsi="宋体" w:cs="宋体"/>
                <w:snapToGrid w:val="0"/>
                <w:color w:val="000000"/>
                <w:kern w:val="28"/>
                <w:szCs w:val="21"/>
                <w:highlight w:val="none"/>
              </w:rPr>
              <w:t>的收取标准：</w:t>
            </w:r>
            <w:r>
              <w:rPr>
                <w:rFonts w:hint="eastAsia" w:ascii="宋体" w:hAnsi="宋体" w:cs="宋体"/>
                <w:szCs w:val="21"/>
                <w:highlight w:val="none"/>
              </w:rPr>
              <w:t>根据本项目的中标金额（按差额定率累进法计算），向中标人收取招标代理服务费。</w:t>
            </w:r>
          </w:p>
          <w:tbl>
            <w:tblPr>
              <w:tblStyle w:val="62"/>
              <w:tblW w:w="0" w:type="auto"/>
              <w:jc w:val="center"/>
              <w:tblLayout w:type="fixed"/>
              <w:tblCellMar>
                <w:top w:w="15" w:type="dxa"/>
                <w:left w:w="15" w:type="dxa"/>
                <w:bottom w:w="15" w:type="dxa"/>
                <w:right w:w="15" w:type="dxa"/>
              </w:tblCellMar>
            </w:tblPr>
            <w:tblGrid>
              <w:gridCol w:w="2068"/>
              <w:gridCol w:w="1523"/>
              <w:gridCol w:w="1548"/>
              <w:gridCol w:w="1539"/>
            </w:tblGrid>
            <w:tr w14:paraId="38F2D882">
              <w:tblPrEx>
                <w:tblCellMar>
                  <w:top w:w="15" w:type="dxa"/>
                  <w:left w:w="15" w:type="dxa"/>
                  <w:bottom w:w="15" w:type="dxa"/>
                  <w:right w:w="15" w:type="dxa"/>
                </w:tblCellMar>
              </w:tblPrEx>
              <w:trPr>
                <w:trHeight w:val="899" w:hRule="atLeast"/>
                <w:jc w:val="center"/>
              </w:trPr>
              <w:tc>
                <w:tcPr>
                  <w:tcW w:w="2068"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818CF99">
                  <w:pPr>
                    <w:spacing w:line="300" w:lineRule="exact"/>
                    <w:ind w:firstLine="840" w:firstLineChars="400"/>
                    <w:rPr>
                      <w:rFonts w:hint="eastAsia" w:ascii="宋体" w:hAnsi="宋体" w:cs="宋体"/>
                      <w:bCs/>
                      <w:szCs w:val="21"/>
                      <w:highlight w:val="none"/>
                    </w:rPr>
                  </w:pPr>
                  <w:r>
                    <w:rPr>
                      <w:rFonts w:hint="eastAsia" w:ascii="宋体" w:hAnsi="宋体" w:cs="宋体"/>
                      <w:bCs/>
                      <w:szCs w:val="21"/>
                      <w:highlight w:val="none"/>
                    </w:rPr>
                    <w:t>服费类型</w:t>
                  </w:r>
                </w:p>
                <w:p w14:paraId="6AE11F49">
                  <w:pPr>
                    <w:spacing w:line="300" w:lineRule="exact"/>
                    <w:rPr>
                      <w:rFonts w:hint="eastAsia" w:ascii="宋体" w:hAnsi="宋体" w:cs="宋体"/>
                      <w:bCs/>
                      <w:szCs w:val="21"/>
                      <w:highlight w:val="none"/>
                    </w:rPr>
                  </w:pPr>
                  <w:r>
                    <w:rPr>
                      <w:rFonts w:hint="eastAsia" w:ascii="宋体" w:hAnsi="宋体" w:cs="宋体"/>
                      <w:bCs/>
                      <w:szCs w:val="21"/>
                      <w:highlight w:val="none"/>
                    </w:rPr>
                    <w:t>金额（万元）</w:t>
                  </w:r>
                </w:p>
              </w:tc>
              <w:tc>
                <w:tcPr>
                  <w:tcW w:w="152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7A135A">
                  <w:pPr>
                    <w:spacing w:line="300" w:lineRule="exact"/>
                    <w:rPr>
                      <w:rFonts w:hint="eastAsia" w:ascii="宋体" w:hAnsi="宋体" w:cs="宋体"/>
                      <w:bCs/>
                      <w:szCs w:val="21"/>
                      <w:highlight w:val="none"/>
                    </w:rPr>
                  </w:pPr>
                  <w:r>
                    <w:rPr>
                      <w:rFonts w:hint="eastAsia" w:ascii="宋体" w:hAnsi="宋体" w:cs="宋体"/>
                      <w:bCs/>
                      <w:szCs w:val="21"/>
                      <w:highlight w:val="none"/>
                    </w:rPr>
                    <w:t>货物招标</w:t>
                  </w:r>
                </w:p>
              </w:tc>
              <w:tc>
                <w:tcPr>
                  <w:tcW w:w="154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4549D3">
                  <w:pPr>
                    <w:spacing w:line="300" w:lineRule="exact"/>
                    <w:rPr>
                      <w:rFonts w:hint="eastAsia" w:ascii="宋体" w:hAnsi="宋体" w:cs="宋体"/>
                      <w:bCs/>
                      <w:szCs w:val="21"/>
                      <w:highlight w:val="none"/>
                    </w:rPr>
                  </w:pPr>
                  <w:r>
                    <w:rPr>
                      <w:rFonts w:hint="eastAsia" w:ascii="宋体" w:hAnsi="宋体" w:cs="宋体"/>
                      <w:bCs/>
                      <w:szCs w:val="21"/>
                      <w:highlight w:val="none"/>
                    </w:rPr>
                    <w:t>服务招标</w:t>
                  </w:r>
                </w:p>
              </w:tc>
              <w:tc>
                <w:tcPr>
                  <w:tcW w:w="153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C2DED3B">
                  <w:pPr>
                    <w:spacing w:line="300" w:lineRule="exact"/>
                    <w:rPr>
                      <w:rFonts w:hint="eastAsia" w:ascii="宋体" w:hAnsi="宋体" w:cs="宋体"/>
                      <w:bCs/>
                      <w:szCs w:val="21"/>
                      <w:highlight w:val="none"/>
                    </w:rPr>
                  </w:pPr>
                  <w:r>
                    <w:rPr>
                      <w:rFonts w:hint="eastAsia" w:ascii="宋体" w:hAnsi="宋体" w:cs="宋体"/>
                      <w:bCs/>
                      <w:szCs w:val="21"/>
                      <w:highlight w:val="none"/>
                    </w:rPr>
                    <w:t>工程招标</w:t>
                  </w:r>
                </w:p>
              </w:tc>
            </w:tr>
            <w:tr w14:paraId="66C9FF46">
              <w:tblPrEx>
                <w:tblCellMar>
                  <w:top w:w="15" w:type="dxa"/>
                  <w:left w:w="15" w:type="dxa"/>
                  <w:bottom w:w="15" w:type="dxa"/>
                  <w:right w:w="15" w:type="dxa"/>
                </w:tblCellMar>
              </w:tblPrEx>
              <w:trPr>
                <w:trHeight w:val="512" w:hRule="atLeast"/>
                <w:jc w:val="center"/>
              </w:trPr>
              <w:tc>
                <w:tcPr>
                  <w:tcW w:w="20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768D89A">
                  <w:pPr>
                    <w:spacing w:line="300" w:lineRule="exact"/>
                    <w:rPr>
                      <w:rFonts w:hint="eastAsia" w:ascii="宋体" w:hAnsi="宋体" w:cs="宋体"/>
                      <w:bCs/>
                      <w:szCs w:val="21"/>
                      <w:highlight w:val="none"/>
                    </w:rPr>
                  </w:pPr>
                  <w:r>
                    <w:rPr>
                      <w:rFonts w:hint="eastAsia" w:ascii="宋体" w:hAnsi="宋体" w:cs="宋体"/>
                      <w:bCs/>
                      <w:szCs w:val="21"/>
                      <w:highlight w:val="none"/>
                    </w:rPr>
                    <w:t>100以下（含）</w:t>
                  </w:r>
                </w:p>
              </w:tc>
              <w:tc>
                <w:tcPr>
                  <w:tcW w:w="152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C4A82EE">
                  <w:pPr>
                    <w:spacing w:line="300" w:lineRule="exact"/>
                    <w:rPr>
                      <w:rFonts w:hint="eastAsia" w:ascii="宋体" w:hAnsi="宋体" w:cs="宋体"/>
                      <w:bCs/>
                      <w:szCs w:val="21"/>
                      <w:highlight w:val="none"/>
                    </w:rPr>
                  </w:pPr>
                  <w:r>
                    <w:rPr>
                      <w:rFonts w:hint="eastAsia" w:ascii="宋体" w:hAnsi="宋体" w:cs="宋体"/>
                      <w:bCs/>
                      <w:szCs w:val="21"/>
                      <w:highlight w:val="none"/>
                    </w:rPr>
                    <w:t>1.6%</w:t>
                  </w:r>
                </w:p>
              </w:tc>
              <w:tc>
                <w:tcPr>
                  <w:tcW w:w="154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18DCF63">
                  <w:pPr>
                    <w:spacing w:line="300" w:lineRule="exact"/>
                    <w:rPr>
                      <w:rFonts w:hint="eastAsia" w:ascii="宋体" w:hAnsi="宋体" w:cs="宋体"/>
                      <w:bCs/>
                      <w:szCs w:val="21"/>
                      <w:highlight w:val="none"/>
                    </w:rPr>
                  </w:pPr>
                  <w:r>
                    <w:rPr>
                      <w:rFonts w:hint="eastAsia" w:ascii="宋体" w:hAnsi="宋体" w:cs="宋体"/>
                      <w:bCs/>
                      <w:szCs w:val="21"/>
                      <w:highlight w:val="none"/>
                    </w:rPr>
                    <w:t>1.6%</w:t>
                  </w:r>
                </w:p>
              </w:tc>
              <w:tc>
                <w:tcPr>
                  <w:tcW w:w="153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59C43C">
                  <w:pPr>
                    <w:spacing w:line="300" w:lineRule="exact"/>
                    <w:rPr>
                      <w:rFonts w:hint="eastAsia" w:ascii="宋体" w:hAnsi="宋体" w:cs="宋体"/>
                      <w:bCs/>
                      <w:szCs w:val="21"/>
                      <w:highlight w:val="none"/>
                    </w:rPr>
                  </w:pPr>
                  <w:r>
                    <w:rPr>
                      <w:rFonts w:hint="eastAsia" w:ascii="宋体" w:hAnsi="宋体" w:cs="宋体"/>
                      <w:bCs/>
                      <w:szCs w:val="21"/>
                      <w:highlight w:val="none"/>
                    </w:rPr>
                    <w:t>1.0%</w:t>
                  </w:r>
                </w:p>
              </w:tc>
            </w:tr>
            <w:tr w14:paraId="6D3C7C31">
              <w:tblPrEx>
                <w:tblCellMar>
                  <w:top w:w="15" w:type="dxa"/>
                  <w:left w:w="15" w:type="dxa"/>
                  <w:bottom w:w="15" w:type="dxa"/>
                  <w:right w:w="15" w:type="dxa"/>
                </w:tblCellMar>
              </w:tblPrEx>
              <w:trPr>
                <w:trHeight w:val="523" w:hRule="atLeast"/>
                <w:jc w:val="center"/>
              </w:trPr>
              <w:tc>
                <w:tcPr>
                  <w:tcW w:w="20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E52FEB0">
                  <w:pPr>
                    <w:spacing w:line="300" w:lineRule="exact"/>
                    <w:rPr>
                      <w:rFonts w:hint="eastAsia" w:ascii="宋体" w:hAnsi="宋体" w:cs="宋体"/>
                      <w:bCs/>
                      <w:szCs w:val="21"/>
                      <w:highlight w:val="none"/>
                    </w:rPr>
                  </w:pPr>
                  <w:r>
                    <w:rPr>
                      <w:rFonts w:hint="eastAsia" w:ascii="宋体" w:hAnsi="宋体" w:cs="宋体"/>
                      <w:bCs/>
                      <w:szCs w:val="21"/>
                      <w:highlight w:val="none"/>
                    </w:rPr>
                    <w:t>100-500（含）</w:t>
                  </w:r>
                </w:p>
              </w:tc>
              <w:tc>
                <w:tcPr>
                  <w:tcW w:w="152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101931D">
                  <w:pPr>
                    <w:spacing w:line="300" w:lineRule="exact"/>
                    <w:rPr>
                      <w:rFonts w:hint="eastAsia" w:ascii="宋体" w:hAnsi="宋体" w:cs="宋体"/>
                      <w:bCs/>
                      <w:szCs w:val="21"/>
                      <w:highlight w:val="none"/>
                    </w:rPr>
                  </w:pPr>
                  <w:r>
                    <w:rPr>
                      <w:rFonts w:hint="eastAsia" w:ascii="宋体" w:hAnsi="宋体" w:cs="宋体"/>
                      <w:bCs/>
                      <w:szCs w:val="21"/>
                      <w:highlight w:val="none"/>
                    </w:rPr>
                    <w:t>1.2%</w:t>
                  </w:r>
                </w:p>
              </w:tc>
              <w:tc>
                <w:tcPr>
                  <w:tcW w:w="154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47565AD">
                  <w:pPr>
                    <w:spacing w:line="300" w:lineRule="exact"/>
                    <w:rPr>
                      <w:rFonts w:hint="eastAsia" w:ascii="宋体" w:hAnsi="宋体" w:cs="宋体"/>
                      <w:bCs/>
                      <w:szCs w:val="21"/>
                      <w:highlight w:val="none"/>
                    </w:rPr>
                  </w:pPr>
                  <w:r>
                    <w:rPr>
                      <w:rFonts w:hint="eastAsia" w:ascii="宋体" w:hAnsi="宋体" w:cs="宋体"/>
                      <w:bCs/>
                      <w:szCs w:val="21"/>
                      <w:highlight w:val="none"/>
                    </w:rPr>
                    <w:t>0.9%</w:t>
                  </w:r>
                </w:p>
              </w:tc>
              <w:tc>
                <w:tcPr>
                  <w:tcW w:w="153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CA62C9">
                  <w:pPr>
                    <w:spacing w:line="300" w:lineRule="exact"/>
                    <w:rPr>
                      <w:rFonts w:hint="eastAsia" w:ascii="宋体" w:hAnsi="宋体" w:cs="宋体"/>
                      <w:bCs/>
                      <w:szCs w:val="21"/>
                      <w:highlight w:val="none"/>
                    </w:rPr>
                  </w:pPr>
                  <w:r>
                    <w:rPr>
                      <w:rFonts w:hint="eastAsia" w:ascii="宋体" w:hAnsi="宋体" w:cs="宋体"/>
                      <w:bCs/>
                      <w:szCs w:val="21"/>
                      <w:highlight w:val="none"/>
                    </w:rPr>
                    <w:t>0.7%</w:t>
                  </w:r>
                </w:p>
              </w:tc>
            </w:tr>
          </w:tbl>
          <w:p w14:paraId="44754AB7">
            <w:pPr>
              <w:pStyle w:val="20"/>
              <w:spacing w:line="400" w:lineRule="exact"/>
              <w:rPr>
                <w:rFonts w:hint="eastAsia" w:cs="宋体" w:asciiTheme="minorEastAsia" w:hAnsiTheme="minorEastAsia" w:eastAsiaTheme="minorEastAsia"/>
                <w:kern w:val="28"/>
                <w:szCs w:val="21"/>
                <w:highlight w:val="none"/>
              </w:rPr>
            </w:pPr>
          </w:p>
        </w:tc>
      </w:tr>
    </w:tbl>
    <w:p w14:paraId="00C0A480">
      <w:pPr>
        <w:snapToGrid w:val="0"/>
        <w:jc w:val="center"/>
        <w:rPr>
          <w:rFonts w:hint="eastAsia" w:cs="仿宋_GB2312" w:asciiTheme="minorEastAsia" w:hAnsiTheme="minorEastAsia" w:eastAsiaTheme="minorEastAsia"/>
          <w:b/>
          <w:sz w:val="32"/>
          <w:szCs w:val="20"/>
          <w:highlight w:val="none"/>
        </w:rPr>
      </w:pPr>
    </w:p>
    <w:p w14:paraId="79737021">
      <w:pPr>
        <w:snapToGrid w:val="0"/>
        <w:jc w:val="center"/>
        <w:rPr>
          <w:rFonts w:hint="eastAsia" w:cs="仿宋_GB2312" w:asciiTheme="minorEastAsia" w:hAnsiTheme="minorEastAsia" w:eastAsiaTheme="minorEastAsia"/>
          <w:b/>
          <w:sz w:val="32"/>
          <w:szCs w:val="20"/>
          <w:highlight w:val="none"/>
        </w:rPr>
      </w:pPr>
    </w:p>
    <w:p w14:paraId="5CA19394">
      <w:pPr>
        <w:snapToGrid w:val="0"/>
        <w:jc w:val="center"/>
        <w:rPr>
          <w:rFonts w:hint="eastAsia" w:cs="仿宋_GB2312" w:asciiTheme="minorEastAsia" w:hAnsiTheme="minorEastAsia" w:eastAsiaTheme="minorEastAsia"/>
          <w:b/>
          <w:sz w:val="32"/>
          <w:szCs w:val="20"/>
          <w:highlight w:val="none"/>
        </w:rPr>
      </w:pPr>
    </w:p>
    <w:p w14:paraId="3DA7883B">
      <w:pPr>
        <w:pStyle w:val="73"/>
        <w:ind w:firstLine="460"/>
        <w:rPr>
          <w:highlight w:val="none"/>
        </w:rPr>
      </w:pPr>
    </w:p>
    <w:p w14:paraId="5F2215C0">
      <w:pPr>
        <w:pStyle w:val="23"/>
        <w:rPr>
          <w:highlight w:val="none"/>
          <w:lang w:val="en-US"/>
        </w:rPr>
      </w:pPr>
    </w:p>
    <w:p w14:paraId="39A94A2E">
      <w:pPr>
        <w:rPr>
          <w:highlight w:val="none"/>
        </w:rPr>
      </w:pPr>
    </w:p>
    <w:p w14:paraId="2E8FA1FA">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17A7EF1D">
      <w:pPr>
        <w:pStyle w:val="23"/>
        <w:rPr>
          <w:rFonts w:hint="eastAsia" w:cs="仿宋_GB2312" w:asciiTheme="minorEastAsia" w:hAnsiTheme="minorEastAsia" w:eastAsiaTheme="minorEastAsia"/>
          <w:b/>
          <w:sz w:val="32"/>
          <w:szCs w:val="20"/>
          <w:highlight w:val="none"/>
        </w:rPr>
      </w:pPr>
    </w:p>
    <w:p w14:paraId="29E3E22F">
      <w:pPr>
        <w:pStyle w:val="24"/>
        <w:rPr>
          <w:rFonts w:hint="eastAsia"/>
          <w:highlight w:val="none"/>
        </w:rPr>
      </w:pPr>
    </w:p>
    <w:p w14:paraId="253E8E26">
      <w:pPr>
        <w:pStyle w:val="24"/>
        <w:rPr>
          <w:rFonts w:hint="eastAsia"/>
          <w:highlight w:val="none"/>
        </w:rPr>
      </w:pPr>
    </w:p>
    <w:p w14:paraId="5745B070">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278E9081">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234A7A35">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7B3F18D2">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3EA81AC3">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p>
    <w:p w14:paraId="52178906">
      <w:pPr>
        <w:adjustRightInd/>
        <w:spacing w:line="360" w:lineRule="auto"/>
        <w:ind w:firstLine="3845" w:firstLineChars="1197"/>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6BF09161">
      <w:pPr>
        <w:snapToGrid w:val="0"/>
        <w:spacing w:line="360" w:lineRule="auto"/>
        <w:jc w:val="left"/>
        <w:outlineLvl w:val="1"/>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1. 适用范围</w:t>
      </w:r>
    </w:p>
    <w:p w14:paraId="07062D27">
      <w:pPr>
        <w:snapToGrid w:val="0"/>
        <w:spacing w:line="360" w:lineRule="auto"/>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本磋商文件适用于该项目的邀请、响应、开启响应文件、信用信息查询、资格性审查、评审、成交、合同、验收等行为（法律、法规另有规定的，从其规定）。</w:t>
      </w:r>
    </w:p>
    <w:p w14:paraId="12FEEED6">
      <w:pPr>
        <w:adjustRightInd/>
        <w:spacing w:line="360" w:lineRule="auto"/>
        <w:outlineLvl w:val="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b/>
          <w:szCs w:val="21"/>
          <w:highlight w:val="none"/>
        </w:rPr>
        <w:t>2.定义</w:t>
      </w:r>
    </w:p>
    <w:p w14:paraId="591D4E06">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 “采购人”系指磋商邀请公告中载明的本项目的采购人。</w:t>
      </w:r>
    </w:p>
    <w:p w14:paraId="5447248E">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2.2 “采购代理机构”系指磋商邀请公告中载明的本项目的采购代理机构。</w:t>
      </w:r>
    </w:p>
    <w:p w14:paraId="48523666">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2.3 “供应商”系指响应磋商、参加本次竞争的法人、其他组织或自然人。</w:t>
      </w:r>
    </w:p>
    <w:p w14:paraId="14FDC69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2.4 “负责人”系指法人企业的法定负责人，或其他组织为法律、行政法规规定代表单位行使职权的主要负责人，或自然人本人。</w:t>
      </w:r>
    </w:p>
    <w:p w14:paraId="66B85908">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2.5 “成交人”系指经评审确定的成交供应商。</w:t>
      </w:r>
    </w:p>
    <w:p w14:paraId="493C815D">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2.6“响应文件”系指供应商提交的商务技术文件。供应商提交最后报价后，最后报价是供应商响应文件的有效组成部分。</w:t>
      </w:r>
    </w:p>
    <w:p w14:paraId="313BB77C">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2.7“电子交易平台”系指本项目政府采购活动所依托的政府采购云平台（https://www.zcygov.cn/）。</w:t>
      </w:r>
    </w:p>
    <w:p w14:paraId="5AFADCB2">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2.8“电子签名”系指数据电文中以电子形式所含、所附用于识别签名人身份并表明签名人认可其中内容的数据；“公章”系指单位法定名称章。</w:t>
      </w:r>
    </w:p>
    <w:p w14:paraId="64F191E5">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2.9 “书面形式”包括数据电文形式与纸质形式。数据电文形式与纸质形式的采购活动具有同等法律效力。</w:t>
      </w:r>
    </w:p>
    <w:p w14:paraId="2276FA5A">
      <w:pPr>
        <w:snapToGrid w:val="0"/>
        <w:spacing w:line="360" w:lineRule="auto"/>
        <w:ind w:firstLine="420" w:firstLineChars="200"/>
        <w:jc w:val="left"/>
        <w:rPr>
          <w:rFonts w:hint="eastAsia" w:asciiTheme="minorEastAsia" w:hAnsiTheme="minorEastAsia" w:eastAsiaTheme="minorEastAsia"/>
          <w:b/>
          <w:szCs w:val="21"/>
          <w:highlight w:val="none"/>
        </w:rPr>
      </w:pPr>
      <w:r>
        <w:rPr>
          <w:rFonts w:hint="eastAsia" w:asciiTheme="minorEastAsia" w:hAnsiTheme="minorEastAsia" w:eastAsiaTheme="minorEastAsia"/>
          <w:szCs w:val="21"/>
          <w:highlight w:val="none"/>
        </w:rPr>
        <w:t xml:space="preserve">2.10 </w:t>
      </w:r>
      <w:r>
        <w:rPr>
          <w:rFonts w:hint="eastAsia" w:ascii="宋体" w:hAnsi="宋体" w:cs="宋体"/>
          <w:szCs w:val="21"/>
          <w:highlight w:val="none"/>
        </w:rPr>
        <w:t>“▲”系指实质性要求条款，“</w:t>
      </w:r>
      <w:r>
        <w:rPr>
          <w:rFonts w:ascii="Wingdings" w:hAnsi="Wingdings" w:cs="宋体"/>
          <w:kern w:val="0"/>
          <w:szCs w:val="21"/>
          <w:highlight w:val="none"/>
        </w:rPr>
        <w:t></w:t>
      </w:r>
      <w:r>
        <w:rPr>
          <w:rFonts w:hint="eastAsia" w:ascii="宋体" w:hAnsi="宋体" w:cs="宋体"/>
          <w:szCs w:val="21"/>
          <w:highlight w:val="none"/>
        </w:rPr>
        <w:t>”系指适用本项目的要求，“</w:t>
      </w:r>
      <w:r>
        <w:rPr>
          <w:rFonts w:hint="eastAsia" w:ascii="宋体" w:hAnsi="宋体" w:cs="宋体"/>
          <w:kern w:val="0"/>
          <w:szCs w:val="21"/>
          <w:highlight w:val="none"/>
        </w:rPr>
        <w:t>☐</w:t>
      </w:r>
      <w:r>
        <w:rPr>
          <w:rFonts w:hint="eastAsia" w:ascii="宋体" w:hAnsi="宋体" w:cs="宋体"/>
          <w:szCs w:val="21"/>
          <w:highlight w:val="none"/>
        </w:rPr>
        <w:t>”系指不适用本项目的要求。</w:t>
      </w:r>
    </w:p>
    <w:p w14:paraId="496F0159">
      <w:pPr>
        <w:adjustRightInd/>
        <w:spacing w:line="360" w:lineRule="auto"/>
        <w:outlineLvl w:val="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b/>
          <w:szCs w:val="21"/>
          <w:highlight w:val="none"/>
        </w:rPr>
        <w:t>3. 响应有效期</w:t>
      </w:r>
    </w:p>
    <w:p w14:paraId="42938514">
      <w:pPr>
        <w:spacing w:line="360" w:lineRule="auto"/>
        <w:ind w:firstLine="420" w:firstLineChars="20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szCs w:val="21"/>
          <w:highlight w:val="none"/>
        </w:rPr>
        <w:t>▲3.1</w:t>
      </w:r>
      <w:r>
        <w:rPr>
          <w:rFonts w:hint="eastAsia" w:cs="仿宋_GB2312" w:asciiTheme="minorEastAsia" w:hAnsiTheme="minorEastAsia" w:eastAsiaTheme="minorEastAsia"/>
          <w:b/>
          <w:szCs w:val="21"/>
          <w:highlight w:val="none"/>
        </w:rPr>
        <w:t>响应有效期为从提交响应文件的截止之日起90天。供应商的响应文件中承诺的响应有效期少于磋商文件中载明的磋商有效期的，响应无效。</w:t>
      </w:r>
    </w:p>
    <w:p w14:paraId="306530A0">
      <w:pPr>
        <w:pStyle w:val="396"/>
        <w:spacing w:before="0"/>
        <w:ind w:firstLine="420"/>
        <w:rPr>
          <w:rFonts w:hint="eastAsia"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3.2响应文件合格提交后，自响应截止日期起，在响应有效期内有效。</w:t>
      </w:r>
    </w:p>
    <w:p w14:paraId="3507343B">
      <w:pPr>
        <w:pStyle w:val="396"/>
        <w:spacing w:before="0"/>
        <w:ind w:firstLine="420"/>
        <w:rPr>
          <w:rFonts w:hint="eastAsia"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highlight w:val="none"/>
        </w:rPr>
        <w:t>拒绝延长磋商有效期的供应商不得再参与该项目后续采购活动。</w:t>
      </w:r>
    </w:p>
    <w:p w14:paraId="706B878F">
      <w:pPr>
        <w:tabs>
          <w:tab w:val="left" w:pos="3780"/>
        </w:tabs>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4．响应费用</w:t>
      </w:r>
    </w:p>
    <w:p w14:paraId="683C67C4">
      <w:pPr>
        <w:pStyle w:val="34"/>
        <w:spacing w:line="360" w:lineRule="auto"/>
        <w:ind w:firstLine="315" w:firstLineChars="150"/>
        <w:rPr>
          <w:rFonts w:hint="eastAsia" w:asciiTheme="minorEastAsia" w:hAnsiTheme="minorEastAsia" w:eastAsiaTheme="minorEastAsia"/>
          <w:szCs w:val="21"/>
          <w:highlight w:val="none"/>
          <w:lang w:val="zh-CN"/>
        </w:rPr>
      </w:pPr>
      <w:r>
        <w:rPr>
          <w:rFonts w:hint="eastAsia" w:asciiTheme="minorEastAsia" w:hAnsiTheme="minorEastAsia" w:eastAsiaTheme="minorEastAsia"/>
          <w:szCs w:val="21"/>
          <w:highlight w:val="none"/>
        </w:rPr>
        <w:t>供应商需自行承担涉及响应的一切费用</w:t>
      </w:r>
      <w:r>
        <w:rPr>
          <w:rFonts w:hint="eastAsia" w:asciiTheme="minorEastAsia" w:hAnsiTheme="minorEastAsia" w:eastAsiaTheme="minorEastAsia"/>
          <w:szCs w:val="21"/>
          <w:highlight w:val="none"/>
          <w:lang w:val="zh-CN"/>
        </w:rPr>
        <w:t>。</w:t>
      </w:r>
    </w:p>
    <w:p w14:paraId="7065BCEA">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0A0D60BC">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1.是否允许采购进口产品要求</w:t>
      </w:r>
    </w:p>
    <w:p w14:paraId="3E44CC5C">
      <w:pPr>
        <w:pStyle w:val="34"/>
        <w:spacing w:line="360" w:lineRule="auto"/>
        <w:ind w:firstLine="315" w:firstLineChars="15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kern w:val="0"/>
          <w:szCs w:val="21"/>
          <w:highlight w:val="none"/>
        </w:rPr>
        <w:t>优先采购向我国企业转让技术、与我国企业签订消化吸收再创新方案的供应商的进口产品</w:t>
      </w:r>
      <w:r>
        <w:rPr>
          <w:rFonts w:hint="eastAsia" w:asciiTheme="minorEastAsia" w:hAnsiTheme="minorEastAsia" w:eastAsiaTheme="minorEastAsia"/>
          <w:szCs w:val="21"/>
          <w:highlight w:val="none"/>
        </w:rPr>
        <w:t>。</w:t>
      </w:r>
    </w:p>
    <w:p w14:paraId="7060CADF">
      <w:pPr>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2.支持绿色发展</w:t>
      </w:r>
    </w:p>
    <w:p w14:paraId="4C53CAF7">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2</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Cs/>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459E4C9B">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4EDBF35">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FCD397C">
      <w:pPr>
        <w:spacing w:line="360" w:lineRule="auto"/>
        <w:ind w:firstLine="420" w:firstLineChars="200"/>
        <w:rPr>
          <w:rFonts w:hint="eastAsia" w:cs="宋体" w:asciiTheme="minorEastAsia" w:hAnsiTheme="minorEastAsia" w:eastAsiaTheme="minorEastAsia"/>
          <w:bCs/>
          <w:szCs w:val="21"/>
          <w:highlight w:val="none"/>
        </w:rPr>
      </w:pPr>
      <w:r>
        <w:rPr>
          <w:rFonts w:cs="宋体" w:asciiTheme="minorEastAsia" w:hAnsiTheme="minorEastAsia" w:eastAsiaTheme="minorEastAsia"/>
          <w:szCs w:val="21"/>
          <w:highlight w:val="none"/>
        </w:rPr>
        <w:t>2.4</w:t>
      </w:r>
      <w:r>
        <w:rPr>
          <w:rFonts w:hint="eastAsia" w:cs="宋体" w:asciiTheme="minorEastAsia" w:hAnsiTheme="minorEastAsia" w:eastAsiaTheme="minorEastAsia"/>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230CBC">
      <w:pPr>
        <w:pStyle w:val="34"/>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3.支持中小企业发展。</w:t>
      </w:r>
    </w:p>
    <w:p w14:paraId="0EAC551A">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44980E5">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符合中小企业划分标准的个体工商户，在政府采购活动中视同中小企业。</w:t>
      </w:r>
    </w:p>
    <w:p w14:paraId="12E27862">
      <w:pPr>
        <w:widowControl/>
        <w:spacing w:line="360" w:lineRule="auto"/>
        <w:ind w:firstLine="420" w:firstLineChars="200"/>
        <w:jc w:val="left"/>
        <w:rPr>
          <w:rFonts w:hint="eastAsia" w:cs="宋体" w:asciiTheme="minorEastAsia" w:hAnsiTheme="minorEastAsia" w:eastAsiaTheme="minorEastAsia"/>
          <w:kern w:val="0"/>
          <w:szCs w:val="21"/>
          <w:highlight w:val="none"/>
        </w:rPr>
      </w:pPr>
      <w:r>
        <w:rPr>
          <w:rFonts w:cs="宋体" w:asciiTheme="minorEastAsia" w:hAnsiTheme="minorEastAsia" w:eastAsiaTheme="minorEastAsia"/>
          <w:bCs/>
          <w:szCs w:val="21"/>
          <w:highlight w:val="none"/>
        </w:rPr>
        <w:t>3.2</w:t>
      </w:r>
      <w:r>
        <w:rPr>
          <w:rFonts w:hint="eastAsia" w:cs="宋体" w:asciiTheme="minorEastAsia" w:hAnsiTheme="minorEastAsia" w:eastAsiaTheme="minorEastAsia"/>
          <w:kern w:val="0"/>
          <w:szCs w:val="21"/>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Cs w:val="21"/>
          <w:highlight w:val="none"/>
        </w:rPr>
        <w:t>享受中小企业扶持政策。</w:t>
      </w:r>
    </w:p>
    <w:p w14:paraId="1530FB01">
      <w:pPr>
        <w:widowControl/>
        <w:spacing w:line="360" w:lineRule="auto"/>
        <w:ind w:firstLine="420" w:firstLineChars="200"/>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以联合体形式参加政府采购活动，联合体各方均为中小企业的，联合体视同中小企业。其中，联合体各方均为小微企业的，联合体视同小微企业。</w:t>
      </w:r>
    </w:p>
    <w:p w14:paraId="131A201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3.3对于未预留份额专门面向中小企业的政府采购服务项目，以及预留份额政府采购服务项目中的非预留部分标项，对小型和微型企业的最后报价给予</w:t>
      </w:r>
      <w:r>
        <w:rPr>
          <w:rFonts w:cs="宋体" w:asciiTheme="minorEastAsia" w:hAnsiTheme="minorEastAsia" w:eastAsiaTheme="minorEastAsia"/>
          <w:szCs w:val="21"/>
          <w:highlight w:val="none"/>
        </w:rPr>
        <w:t>10</w:t>
      </w:r>
      <w:r>
        <w:rPr>
          <w:rFonts w:hint="eastAsia" w:cs="宋体" w:asciiTheme="minorEastAsia" w:hAnsiTheme="minorEastAsia" w:eastAsiaTheme="minorEastAsia"/>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C4D09A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3.4符合《关于促进残疾人就业政府采购政策的通知》（财库〔2017〕141号）规定的条件并提供《残疾人福利性单位声明函》的残疾人福利性单位视同小型、微型企业；</w:t>
      </w:r>
    </w:p>
    <w:p w14:paraId="627972C9">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357EB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74BB37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3.7中小企业享受扶持政策获得政府采购合同的，小微企业不得将合同分包给大中型企业，中型企业不得将合同分包给大型企业。</w:t>
      </w:r>
    </w:p>
    <w:p w14:paraId="5E3176EF">
      <w:pPr>
        <w:spacing w:line="360" w:lineRule="auto"/>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w:t>
      </w:r>
      <w:r>
        <w:rPr>
          <w:rFonts w:hint="eastAsia" w:cs="宋体" w:asciiTheme="minorEastAsia" w:hAnsiTheme="minorEastAsia" w:eastAsiaTheme="minorEastAsia"/>
          <w:b/>
          <w:bCs/>
          <w:szCs w:val="21"/>
          <w:highlight w:val="none"/>
        </w:rPr>
        <w:t>支持创新发展</w:t>
      </w:r>
    </w:p>
    <w:p w14:paraId="2AAC9554">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 采购人优先采购被认定为首台套产品和“制造精品”的自主创新产品。</w:t>
      </w:r>
    </w:p>
    <w:p w14:paraId="39E97D93">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8343DF">
      <w:pPr>
        <w:spacing w:line="360" w:lineRule="auto"/>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5.平等对待内外资企业和符合条件的破产重整企业</w:t>
      </w:r>
    </w:p>
    <w:p w14:paraId="3FCFA930">
      <w:pPr>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平等对待内外资企业和符合条件的破产重整企业，切实保障企业公平竞争，平等维护企业的合法利益。</w:t>
      </w:r>
    </w:p>
    <w:p w14:paraId="1C9A74DA">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6C817D93">
      <w:pPr>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1. 供应商询问</w:t>
      </w:r>
    </w:p>
    <w:p w14:paraId="3EBB5AF3">
      <w:pPr>
        <w:autoSpaceDE w:val="0"/>
        <w:autoSpaceDN w:val="0"/>
        <w:spacing w:line="360" w:lineRule="auto"/>
        <w:ind w:firstLine="420" w:firstLineChars="200"/>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9D0182">
      <w:pPr>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2. 供应商质疑</w:t>
      </w:r>
    </w:p>
    <w:p w14:paraId="064F9AEB">
      <w:pPr>
        <w:pStyle w:val="34"/>
        <w:spacing w:line="360" w:lineRule="auto"/>
        <w:ind w:firstLine="422" w:firstLineChars="200"/>
        <w:rPr>
          <w:rFonts w:hint="eastAsia" w:asciiTheme="minorEastAsia" w:hAnsiTheme="minorEastAsia" w:eastAsiaTheme="minorEastAsia"/>
          <w:b/>
          <w:szCs w:val="21"/>
          <w:highlight w:val="none"/>
        </w:rPr>
      </w:pPr>
      <w:r>
        <w:rPr>
          <w:rFonts w:hint="eastAsia" w:cs="微软雅黑" w:asciiTheme="minorEastAsia" w:hAnsiTheme="minorEastAsia" w:eastAsiaTheme="minorEastAsia"/>
          <w:b/>
          <w:kern w:val="0"/>
          <w:szCs w:val="21"/>
          <w:highlight w:val="none"/>
          <w:lang w:val="zh-CN"/>
        </w:rPr>
        <w:t>2.</w:t>
      </w:r>
      <w:r>
        <w:rPr>
          <w:rFonts w:hint="eastAsia" w:asciiTheme="minorEastAsia" w:hAnsiTheme="minorEastAsia" w:eastAsiaTheme="minorEastAsia"/>
          <w:b/>
          <w:szCs w:val="21"/>
          <w:highlight w:val="none"/>
        </w:rPr>
        <w:t>1质疑提出时效</w:t>
      </w:r>
    </w:p>
    <w:p w14:paraId="36F6CFCF">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2.1.1提出质疑的供应商应当是参与所质疑项目采购活动的供应商。潜在供应商已依法获取其可质疑的采购文件的，可以对该文件提出质疑。</w:t>
      </w:r>
    </w:p>
    <w:p w14:paraId="358F1902">
      <w:pPr>
        <w:pStyle w:val="34"/>
        <w:spacing w:line="360" w:lineRule="auto"/>
        <w:ind w:firstLine="420" w:firstLineChars="200"/>
        <w:rPr>
          <w:rFonts w:hint="eastAsia" w:asciiTheme="minorEastAsia" w:hAnsiTheme="minorEastAsia" w:eastAsiaTheme="minorEastAsia"/>
          <w:szCs w:val="21"/>
          <w:highlight w:val="none"/>
        </w:rPr>
      </w:pPr>
      <w:r>
        <w:rPr>
          <w:rFonts w:hint="eastAsia" w:cs="微软雅黑" w:asciiTheme="minorEastAsia" w:hAnsiTheme="minorEastAsia" w:eastAsiaTheme="minorEastAsia"/>
          <w:kern w:val="0"/>
          <w:szCs w:val="21"/>
          <w:highlight w:val="none"/>
          <w:lang w:val="zh-CN"/>
        </w:rPr>
        <w:t>2.</w:t>
      </w:r>
      <w:r>
        <w:rPr>
          <w:rFonts w:hint="eastAsia" w:asciiTheme="minorEastAsia" w:hAnsiTheme="minorEastAsia" w:eastAsiaTheme="minorEastAsia"/>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DBF2F47">
      <w:pPr>
        <w:pStyle w:val="16"/>
        <w:spacing w:line="360" w:lineRule="auto"/>
        <w:ind w:firstLine="380" w:firstLineChars="181"/>
        <w:rPr>
          <w:rFonts w:hint="eastAsia" w:asciiTheme="minorEastAsia" w:hAnsiTheme="minorEastAsia" w:eastAsiaTheme="minorEastAsia"/>
          <w:snapToGrid/>
          <w:color w:val="auto"/>
          <w:kern w:val="2"/>
          <w:sz w:val="21"/>
          <w:szCs w:val="21"/>
          <w:highlight w:val="none"/>
        </w:rPr>
      </w:pPr>
      <w:r>
        <w:rPr>
          <w:rFonts w:hint="eastAsia" w:asciiTheme="minorEastAsia" w:hAnsiTheme="minorEastAsia" w:eastAsiaTheme="minorEastAsia"/>
          <w:snapToGrid/>
          <w:color w:val="auto"/>
          <w:kern w:val="2"/>
          <w:sz w:val="21"/>
          <w:szCs w:val="21"/>
          <w:highlight w:val="none"/>
        </w:rPr>
        <w:t>2.1.2.1对采购文件提出质疑的，质疑期限为供应商获得采购文件之日或者采购文件公告期限届满之日起计算，采购文件在获取截止之日后获得的，应当自采购文件公告期限届满之日起计算。</w:t>
      </w:r>
    </w:p>
    <w:p w14:paraId="3A85908F">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2.1.2.2对采购过程提出质疑的，质疑期限为各采购程序环节结束之日起计算。</w:t>
      </w:r>
    </w:p>
    <w:p w14:paraId="310788A7">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2.1.2.3对采购结果提出质疑的，质疑期限自采购结果公告期限届满之日起计算。</w:t>
      </w:r>
    </w:p>
    <w:p w14:paraId="09124C2F">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2.1.2.4对同一采购程序环节的质疑，供应商须一次性提出。</w:t>
      </w:r>
    </w:p>
    <w:p w14:paraId="1E014E90">
      <w:pPr>
        <w:pStyle w:val="34"/>
        <w:spacing w:line="360" w:lineRule="auto"/>
        <w:ind w:firstLine="422" w:firstLineChars="200"/>
        <w:rPr>
          <w:rFonts w:hint="eastAsia" w:asciiTheme="minorEastAsia" w:hAnsiTheme="minorEastAsia" w:eastAsiaTheme="minorEastAsia"/>
          <w:szCs w:val="21"/>
          <w:highlight w:val="none"/>
        </w:rPr>
      </w:pPr>
      <w:r>
        <w:rPr>
          <w:rFonts w:hint="eastAsia" w:cs="微软雅黑" w:asciiTheme="minorEastAsia" w:hAnsiTheme="minorEastAsia" w:eastAsiaTheme="minorEastAsia"/>
          <w:b/>
          <w:kern w:val="0"/>
          <w:szCs w:val="21"/>
          <w:highlight w:val="none"/>
          <w:lang w:val="zh-CN"/>
        </w:rPr>
        <w:t>2.</w:t>
      </w:r>
      <w:r>
        <w:rPr>
          <w:rFonts w:hint="eastAsia" w:cs="微软雅黑" w:asciiTheme="minorEastAsia" w:hAnsiTheme="minorEastAsia" w:eastAsiaTheme="minorEastAsia"/>
          <w:b/>
          <w:kern w:val="0"/>
          <w:szCs w:val="21"/>
          <w:highlight w:val="none"/>
        </w:rPr>
        <w:t>2</w:t>
      </w:r>
      <w:r>
        <w:rPr>
          <w:rFonts w:hint="eastAsia" w:cs="微软雅黑" w:asciiTheme="minorEastAsia" w:hAnsiTheme="minorEastAsia" w:eastAsiaTheme="minorEastAsia"/>
          <w:b/>
          <w:kern w:val="0"/>
          <w:szCs w:val="21"/>
          <w:highlight w:val="none"/>
          <w:lang w:val="zh-CN"/>
        </w:rPr>
        <w:t>质疑函</w:t>
      </w:r>
    </w:p>
    <w:p w14:paraId="332FB996">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2.2.1供应商提出质疑应当提交质疑函和必要的证明材料。质疑函应当包括下列内容：</w:t>
      </w:r>
    </w:p>
    <w:p w14:paraId="48EF9013">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供应商的姓名或者名称、地址、邮编、联系人及联系电话；</w:t>
      </w:r>
    </w:p>
    <w:p w14:paraId="297707EA">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质疑项目的名称、编号；</w:t>
      </w:r>
    </w:p>
    <w:p w14:paraId="56775BC5">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具体、明确的质疑事项和与质疑事项相关的请求；</w:t>
      </w:r>
    </w:p>
    <w:p w14:paraId="3C088483">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事实依据；</w:t>
      </w:r>
    </w:p>
    <w:p w14:paraId="2DD0574E">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必要的法律依据；</w:t>
      </w:r>
    </w:p>
    <w:p w14:paraId="2CB20A47">
      <w:pPr>
        <w:pStyle w:val="34"/>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提出质疑的日期。</w:t>
      </w:r>
    </w:p>
    <w:p w14:paraId="45410F73">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BFA7775">
      <w:pPr>
        <w:pStyle w:val="34"/>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质疑函范本请到浙江政府采购网下载专区下载。</w:t>
      </w:r>
    </w:p>
    <w:p w14:paraId="02C5A4B1">
      <w:pPr>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3</w:t>
      </w:r>
      <w:r>
        <w:rPr>
          <w:rFonts w:asciiTheme="minorEastAsia" w:hAnsiTheme="minorEastAsia" w:eastAsiaTheme="minorEastAsia"/>
          <w:b/>
          <w:szCs w:val="21"/>
          <w:highlight w:val="none"/>
        </w:rPr>
        <w:t>.供应商投诉</w:t>
      </w:r>
    </w:p>
    <w:p w14:paraId="734BBE0A">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.1质疑供应商对采购人、</w:t>
      </w:r>
      <w:r>
        <w:rPr>
          <w:rFonts w:hint="eastAsia" w:asciiTheme="minorEastAsia" w:hAnsiTheme="minorEastAsia" w:eastAsiaTheme="minorEastAsia"/>
          <w:szCs w:val="21"/>
          <w:highlight w:val="none"/>
        </w:rPr>
        <w:t>采购代理机构</w:t>
      </w:r>
      <w:r>
        <w:rPr>
          <w:rFonts w:asciiTheme="minorEastAsia" w:hAnsiTheme="minorEastAsia" w:eastAsiaTheme="minorEastAsia"/>
          <w:szCs w:val="21"/>
          <w:highlight w:val="none"/>
        </w:rPr>
        <w:t>的答复不满意或者采购人、</w:t>
      </w:r>
      <w:r>
        <w:rPr>
          <w:rFonts w:hint="eastAsia" w:asciiTheme="minorEastAsia" w:hAnsiTheme="minorEastAsia" w:eastAsiaTheme="minorEastAsia"/>
          <w:szCs w:val="21"/>
          <w:highlight w:val="none"/>
        </w:rPr>
        <w:t>采购代理机构</w:t>
      </w:r>
      <w:r>
        <w:rPr>
          <w:rFonts w:asciiTheme="minorEastAsia" w:hAnsiTheme="minorEastAsia" w:eastAsiaTheme="minorEastAsia"/>
          <w:szCs w:val="21"/>
          <w:highlight w:val="none"/>
        </w:rPr>
        <w:t>未在规定的时间内</w:t>
      </w:r>
      <w:r>
        <w:rPr>
          <w:rFonts w:hint="eastAsia" w:asciiTheme="minorEastAsia" w:hAnsiTheme="minorEastAsia" w:eastAsiaTheme="minorEastAsia"/>
          <w:szCs w:val="21"/>
          <w:highlight w:val="none"/>
        </w:rPr>
        <w:t>作出答复的，可以在答复期满后十五个工作日内向同级政府采购监督管理部门提出投诉。</w:t>
      </w:r>
    </w:p>
    <w:p w14:paraId="3BC67820">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.2供应</w:t>
      </w:r>
      <w:r>
        <w:rPr>
          <w:rFonts w:hint="eastAsia" w:asciiTheme="minorEastAsia" w:hAnsiTheme="minorEastAsia" w:eastAsiaTheme="minorEastAsia"/>
          <w:szCs w:val="21"/>
          <w:highlight w:val="none"/>
        </w:rPr>
        <w:t>商投诉的事项不得超出已质疑事项的范围，基于质疑答复内容提出的投诉事项除外。</w:t>
      </w:r>
    </w:p>
    <w:p w14:paraId="47FB4329">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.3供应</w:t>
      </w:r>
      <w:r>
        <w:rPr>
          <w:rFonts w:hint="eastAsia" w:asciiTheme="minorEastAsia" w:hAnsiTheme="minorEastAsia" w:eastAsiaTheme="minorEastAsia"/>
          <w:szCs w:val="21"/>
          <w:highlight w:val="none"/>
        </w:rPr>
        <w:t>商投诉应当有明确的请求和必要的证明材料。</w:t>
      </w:r>
    </w:p>
    <w:p w14:paraId="0D4C4614">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.4以联合体形</w:t>
      </w:r>
      <w:r>
        <w:rPr>
          <w:rFonts w:hint="eastAsia" w:asciiTheme="minorEastAsia" w:hAnsiTheme="minorEastAsia" w:eastAsiaTheme="minorEastAsia"/>
          <w:szCs w:val="21"/>
          <w:highlight w:val="none"/>
        </w:rPr>
        <w:t>式参加政府采购活动的，其投诉应当由组成联合体的所有供应商共同提出。</w:t>
      </w:r>
    </w:p>
    <w:p w14:paraId="422919FF">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3.5</w:t>
      </w:r>
      <w:r>
        <w:rPr>
          <w:rFonts w:hint="eastAsia"/>
          <w:szCs w:val="21"/>
          <w:highlight w:val="none"/>
        </w:rPr>
        <w:t>投诉材料寄送至</w:t>
      </w:r>
      <w:r>
        <w:rPr>
          <w:rFonts w:hint="eastAsia" w:asciiTheme="minorEastAsia" w:hAnsiTheme="minorEastAsia" w:eastAsiaTheme="minorEastAsia"/>
          <w:szCs w:val="21"/>
          <w:highlight w:val="none"/>
        </w:rPr>
        <w:t>：宁波市海曙区政府采购管理办公室，地址：宁波市海曙区大梁街48号天之海大厦2</w:t>
      </w:r>
      <w:r>
        <w:rPr>
          <w:rFonts w:asciiTheme="minorEastAsia" w:hAnsiTheme="minorEastAsia" w:eastAsiaTheme="minorEastAsia"/>
          <w:szCs w:val="21"/>
          <w:highlight w:val="none"/>
        </w:rPr>
        <w:t>14</w:t>
      </w:r>
      <w:r>
        <w:rPr>
          <w:rFonts w:hint="eastAsia" w:asciiTheme="minorEastAsia" w:hAnsiTheme="minorEastAsia" w:eastAsiaTheme="minorEastAsia"/>
          <w:szCs w:val="21"/>
          <w:highlight w:val="none"/>
        </w:rPr>
        <w:t>室，联系人：王老师，电话：0574-87297540。</w:t>
      </w:r>
    </w:p>
    <w:p w14:paraId="3DD73656">
      <w:pPr>
        <w:pStyle w:val="34"/>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3.6投诉书范本请到浙江政府采购网下载专区下载。</w:t>
      </w:r>
    </w:p>
    <w:p w14:paraId="044C4DE6">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7E551D0F">
      <w:pPr>
        <w:autoSpaceDE w:val="0"/>
        <w:autoSpaceDN w:val="0"/>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1．磋商文件的构成</w:t>
      </w:r>
    </w:p>
    <w:p w14:paraId="2248C49C">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1.1 磋商文件包括下列文件及附件</w:t>
      </w:r>
    </w:p>
    <w:p w14:paraId="5CAB4766">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第一部分  邀请供应商</w:t>
      </w:r>
    </w:p>
    <w:p w14:paraId="31DEECC5">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第二部分  竞争性磋商流程</w:t>
      </w:r>
    </w:p>
    <w:p w14:paraId="502E1DCD">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第三部分  供应商须知</w:t>
      </w:r>
    </w:p>
    <w:p w14:paraId="143A3251">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第四部分  采购需求</w:t>
      </w:r>
    </w:p>
    <w:p w14:paraId="17A91609">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第五部分  评审方法及评审标准</w:t>
      </w:r>
    </w:p>
    <w:p w14:paraId="4CBF0B1F">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第六部分  拟签订的合同文本</w:t>
      </w:r>
    </w:p>
    <w:p w14:paraId="581A7269">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第七部分  应提交的有关格式范例</w:t>
      </w:r>
    </w:p>
    <w:p w14:paraId="09A4114C">
      <w:pPr>
        <w:pStyle w:val="34"/>
        <w:numPr>
          <w:ilvl w:val="0"/>
          <w:numId w:val="4"/>
        </w:numPr>
        <w:spacing w:line="360" w:lineRule="auto"/>
        <w:ind w:left="839"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第八部分  最后报价格式</w:t>
      </w:r>
    </w:p>
    <w:p w14:paraId="76383A57">
      <w:pPr>
        <w:pStyle w:val="34"/>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1.2 与本项目有关的</w:t>
      </w:r>
      <w:r>
        <w:rPr>
          <w:rFonts w:hint="eastAsia" w:asciiTheme="minorEastAsia" w:hAnsiTheme="minorEastAsia" w:eastAsiaTheme="minorEastAsia"/>
          <w:bCs/>
          <w:szCs w:val="21"/>
          <w:highlight w:val="none"/>
        </w:rPr>
        <w:t>澄清或者修改的内容为磋商文件的组成部分</w:t>
      </w:r>
      <w:r>
        <w:rPr>
          <w:rFonts w:hint="eastAsia" w:cs="仿宋_GB2312" w:asciiTheme="minorEastAsia" w:hAnsiTheme="minorEastAsia" w:eastAsiaTheme="minorEastAsia"/>
          <w:szCs w:val="21"/>
          <w:highlight w:val="none"/>
        </w:rPr>
        <w:t>。</w:t>
      </w:r>
    </w:p>
    <w:p w14:paraId="66232279">
      <w:pPr>
        <w:pStyle w:val="34"/>
        <w:spacing w:line="360" w:lineRule="auto"/>
        <w:rPr>
          <w:rFonts w:hint="eastAsia" w:cs="仿宋_GB2312" w:asciiTheme="minorEastAsia" w:hAnsiTheme="minorEastAsia" w:eastAsiaTheme="minorEastAsia"/>
          <w:b/>
          <w:szCs w:val="21"/>
          <w:highlight w:val="none"/>
        </w:rPr>
      </w:pPr>
      <w:r>
        <w:rPr>
          <w:rFonts w:hint="eastAsia" w:asciiTheme="minorEastAsia" w:hAnsiTheme="minorEastAsia" w:eastAsiaTheme="minorEastAsia"/>
          <w:b/>
          <w:szCs w:val="21"/>
          <w:highlight w:val="none"/>
        </w:rPr>
        <w:t>2. 磋商文件的</w:t>
      </w:r>
      <w:r>
        <w:rPr>
          <w:rFonts w:hint="eastAsia" w:cs="仿宋_GB2312" w:asciiTheme="minorEastAsia" w:hAnsiTheme="minorEastAsia" w:eastAsiaTheme="minorEastAsia"/>
          <w:b/>
          <w:szCs w:val="21"/>
          <w:highlight w:val="none"/>
        </w:rPr>
        <w:t>澄清、修改</w:t>
      </w:r>
    </w:p>
    <w:p w14:paraId="6CEE7A5C">
      <w:pPr>
        <w:pStyle w:val="396"/>
        <w:snapToGrid w:val="0"/>
        <w:spacing w:before="0"/>
        <w:ind w:firstLine="420"/>
        <w:rPr>
          <w:rFonts w:hint="eastAsia"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2.1已获取磋商文件的潜在供应商，若有问题需要澄清，应于提交首次响应文件截止时间前，以书面形式向采购代理机构提出。</w:t>
      </w:r>
    </w:p>
    <w:p w14:paraId="13D905AC">
      <w:pPr>
        <w:pStyle w:val="396"/>
        <w:snapToGrid w:val="0"/>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2.2</w:t>
      </w:r>
      <w:r>
        <w:rPr>
          <w:rFonts w:hint="eastAsia" w:cs="宋体" w:asciiTheme="minorEastAsia" w:hAnsiTheme="minorEastAsia" w:eastAsiaTheme="minorEastAsia"/>
          <w:sz w:val="21"/>
          <w:szCs w:val="21"/>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highlight w:val="none"/>
        </w:rPr>
        <w:t>提交首次</w:t>
      </w:r>
      <w:r>
        <w:rPr>
          <w:rFonts w:hint="eastAsia" w:cs="宋体" w:asciiTheme="minorEastAsia" w:hAnsiTheme="minorEastAsia" w:eastAsiaTheme="minorEastAsia"/>
          <w:sz w:val="21"/>
          <w:szCs w:val="21"/>
          <w:highlight w:val="none"/>
        </w:rPr>
        <w:t>响应文件截止时间和响应文件开启时间。该澄清或者修改的内容为磋商文件的组成部分。</w:t>
      </w:r>
    </w:p>
    <w:p w14:paraId="07BB60D8">
      <w:pPr>
        <w:pStyle w:val="396"/>
        <w:snapToGrid w:val="0"/>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highlight w:val="none"/>
        </w:rPr>
        <w:t>通过电子交易平台</w:t>
      </w:r>
      <w:r>
        <w:rPr>
          <w:rFonts w:hint="eastAsia" w:asciiTheme="minorEastAsia" w:hAnsiTheme="minorEastAsia" w:eastAsiaTheme="minorEastAsia"/>
          <w:sz w:val="21"/>
          <w:szCs w:val="21"/>
          <w:highlight w:val="none"/>
        </w:rPr>
        <w:t>通知所有获取磋商文件的供应商；不足5日的，采购人、采购代理机构应当顺延提交首次响应文件截止时间。</w:t>
      </w:r>
    </w:p>
    <w:p w14:paraId="3A7EEB47">
      <w:pPr>
        <w:pStyle w:val="396"/>
        <w:snapToGrid w:val="0"/>
        <w:spacing w:before="0"/>
        <w:ind w:firstLine="422"/>
        <w:rPr>
          <w:rFonts w:hint="eastAsia" w:asciiTheme="minorEastAsia" w:hAnsiTheme="minorEastAsia" w:eastAsiaTheme="minorEastAsia"/>
          <w:sz w:val="21"/>
          <w:szCs w:val="21"/>
          <w:highlight w:val="none"/>
        </w:rPr>
      </w:pPr>
      <w:r>
        <w:rPr>
          <w:rFonts w:hint="eastAsia" w:asciiTheme="minorEastAsia" w:hAnsiTheme="minorEastAsia" w:eastAsiaTheme="minorEastAsia"/>
          <w:b/>
          <w:sz w:val="21"/>
          <w:szCs w:val="21"/>
          <w:highlight w:val="none"/>
        </w:rPr>
        <w:t>▲</w:t>
      </w:r>
      <w:r>
        <w:rPr>
          <w:rFonts w:hint="eastAsia" w:cs="仿宋_GB2312" w:asciiTheme="minorEastAsia" w:hAnsiTheme="minorEastAsia" w:eastAsiaTheme="minorEastAsia"/>
          <w:b/>
          <w:sz w:val="21"/>
          <w:szCs w:val="21"/>
          <w:highlight w:val="none"/>
        </w:rPr>
        <w:t>响应文件未按磋商文件的澄清、修改的内容编制，又不符合实质性要求的，响应无效。</w:t>
      </w:r>
    </w:p>
    <w:p w14:paraId="3214CE19">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3335D9C">
      <w:pPr>
        <w:pStyle w:val="34"/>
        <w:spacing w:line="360" w:lineRule="auto"/>
        <w:rPr>
          <w:rFonts w:hint="eastAsia" w:cs="仿宋_GB2312" w:asciiTheme="minorEastAsia" w:hAnsiTheme="minorEastAsia" w:eastAsiaTheme="minorEastAsia"/>
          <w:b/>
          <w:szCs w:val="21"/>
          <w:highlight w:val="none"/>
        </w:rPr>
      </w:pPr>
      <w:r>
        <w:rPr>
          <w:rFonts w:hint="eastAsia" w:asciiTheme="minorEastAsia" w:hAnsiTheme="minorEastAsia" w:eastAsiaTheme="minorEastAsia"/>
          <w:b/>
          <w:szCs w:val="21"/>
          <w:highlight w:val="none"/>
        </w:rPr>
        <w:t>1. 响应文件的语言</w:t>
      </w:r>
    </w:p>
    <w:p w14:paraId="449B2348">
      <w:pPr>
        <w:pStyle w:val="34"/>
        <w:spacing w:line="360" w:lineRule="auto"/>
        <w:ind w:firstLine="420" w:firstLineChars="200"/>
        <w:rPr>
          <w:rFonts w:hint="eastAsia" w:cs="仿宋_GB2312" w:asciiTheme="minorEastAsia" w:hAnsiTheme="minorEastAsia" w:eastAsiaTheme="minorEastAsia"/>
          <w:b/>
          <w:szCs w:val="21"/>
          <w:highlight w:val="none"/>
        </w:rPr>
      </w:pPr>
      <w:r>
        <w:rPr>
          <w:rFonts w:hint="eastAsia" w:asciiTheme="minorEastAsia" w:hAnsiTheme="minorEastAsia" w:eastAsiaTheme="minorEastAsia"/>
          <w:szCs w:val="21"/>
          <w:highlight w:val="none"/>
        </w:rPr>
        <w:t>响应文件及供应商与采购有关的来往通知、函件和文件均应使用中文。</w:t>
      </w:r>
    </w:p>
    <w:p w14:paraId="0EA5536E">
      <w:pPr>
        <w:pStyle w:val="34"/>
        <w:spacing w:line="360" w:lineRule="auto"/>
        <w:rPr>
          <w:rFonts w:hint="eastAsia" w:cs="仿宋_GB2312" w:asciiTheme="minorEastAsia" w:hAnsiTheme="minorEastAsia" w:eastAsiaTheme="minorEastAsia"/>
          <w:b/>
          <w:szCs w:val="21"/>
          <w:highlight w:val="none"/>
        </w:rPr>
      </w:pPr>
      <w:bookmarkStart w:id="51" w:name="_Hlk181098456"/>
      <w:r>
        <w:rPr>
          <w:rFonts w:hint="eastAsia" w:asciiTheme="minorEastAsia" w:hAnsiTheme="minorEastAsia" w:eastAsiaTheme="minorEastAsia"/>
          <w:b/>
          <w:szCs w:val="21"/>
          <w:highlight w:val="none"/>
        </w:rPr>
        <w:t>2. 响应文件的组成</w:t>
      </w:r>
    </w:p>
    <w:p w14:paraId="777E675E">
      <w:pPr>
        <w:pStyle w:val="34"/>
        <w:spacing w:line="360" w:lineRule="auto"/>
        <w:ind w:firstLine="420" w:firstLineChars="200"/>
        <w:rPr>
          <w:rFonts w:hint="eastAsia" w:cs="仿宋_GB2312" w:asciiTheme="minorEastAsia" w:hAnsiTheme="minorEastAsia" w:eastAsiaTheme="minorEastAsia"/>
          <w:b/>
          <w:szCs w:val="21"/>
          <w:highlight w:val="none"/>
        </w:rPr>
      </w:pPr>
      <w:r>
        <w:rPr>
          <w:rFonts w:hint="eastAsia" w:asciiTheme="minorEastAsia" w:hAnsiTheme="minorEastAsia" w:eastAsiaTheme="minorEastAsia"/>
          <w:szCs w:val="21"/>
          <w:highlight w:val="none"/>
        </w:rPr>
        <w:t>响应文件应当包括以下主要内容：</w:t>
      </w:r>
    </w:p>
    <w:p w14:paraId="47507B22">
      <w:pPr>
        <w:spacing w:line="360" w:lineRule="auto"/>
        <w:ind w:firstLine="422" w:firstLineChars="200"/>
        <w:rPr>
          <w:rFonts w:hint="eastAsia" w:cs="仿宋_GB2312" w:asciiTheme="minorEastAsia" w:hAnsiTheme="minorEastAsia" w:eastAsiaTheme="minorEastAsia"/>
          <w:b/>
          <w:bCs/>
          <w:kern w:val="0"/>
          <w:szCs w:val="21"/>
          <w:highlight w:val="none"/>
          <w:lang w:val="zh-CN"/>
        </w:rPr>
      </w:pPr>
      <w:bookmarkStart w:id="52" w:name="_Hlk155177857"/>
      <w:r>
        <w:rPr>
          <w:rFonts w:hint="eastAsia" w:cs="仿宋_GB2312" w:asciiTheme="minorEastAsia" w:hAnsiTheme="minorEastAsia" w:eastAsiaTheme="minorEastAsia"/>
          <w:b/>
          <w:bCs/>
          <w:kern w:val="0"/>
          <w:szCs w:val="21"/>
          <w:highlight w:val="none"/>
          <w:lang w:val="zh-CN"/>
        </w:rPr>
        <w:t>（一）资格审查文件：</w:t>
      </w:r>
    </w:p>
    <w:p w14:paraId="75909619">
      <w:pPr>
        <w:spacing w:line="360" w:lineRule="auto"/>
        <w:ind w:firstLine="420" w:firstLineChars="200"/>
        <w:rPr>
          <w:rFonts w:hint="eastAsia" w:cs="仿宋_GB2312" w:asciiTheme="minorEastAsia" w:hAnsiTheme="minorEastAsia" w:eastAsiaTheme="minorEastAsia"/>
          <w:kern w:val="0"/>
          <w:szCs w:val="21"/>
          <w:highlight w:val="none"/>
          <w:lang w:val="zh-CN"/>
        </w:rPr>
      </w:pPr>
      <w:bookmarkStart w:id="53" w:name="_Hlk193592536"/>
      <w:r>
        <w:rPr>
          <w:rFonts w:cs="仿宋_GB2312" w:asciiTheme="minorEastAsia" w:hAnsiTheme="minorEastAsia" w:eastAsiaTheme="minorEastAsia"/>
          <w:kern w:val="0"/>
          <w:szCs w:val="21"/>
          <w:highlight w:val="none"/>
          <w:lang w:val="zh-CN"/>
        </w:rPr>
        <w:t>1</w:t>
      </w:r>
      <w:r>
        <w:rPr>
          <w:rFonts w:hint="eastAsia" w:cs="仿宋_GB2312" w:asciiTheme="minorEastAsia" w:hAnsiTheme="minorEastAsia" w:eastAsiaTheme="minorEastAsia"/>
          <w:kern w:val="0"/>
          <w:szCs w:val="21"/>
          <w:highlight w:val="none"/>
          <w:lang w:val="zh-CN"/>
        </w:rPr>
        <w:t>.符合参加政府采购活动应当具备的一般条件的承诺函；（格式见附件）</w:t>
      </w:r>
    </w:p>
    <w:p w14:paraId="46DB399D">
      <w:pPr>
        <w:spacing w:line="360" w:lineRule="auto"/>
        <w:ind w:firstLine="420" w:firstLineChars="200"/>
        <w:rPr>
          <w:rFonts w:hint="eastAsia" w:cs="仿宋_GB2312" w:asciiTheme="minorEastAsia" w:hAnsiTheme="minorEastAsia" w:eastAsiaTheme="minorEastAsia"/>
          <w:kern w:val="0"/>
          <w:szCs w:val="21"/>
          <w:highlight w:val="none"/>
          <w:lang w:val="zh-CN"/>
        </w:rPr>
      </w:pPr>
      <w:bookmarkStart w:id="54" w:name="_Hlk181095624"/>
      <w:r>
        <w:rPr>
          <w:rFonts w:cs="仿宋_GB2312" w:asciiTheme="minorEastAsia" w:hAnsiTheme="minorEastAsia" w:eastAsiaTheme="minorEastAsia"/>
          <w:kern w:val="0"/>
          <w:szCs w:val="21"/>
          <w:highlight w:val="none"/>
          <w:lang w:val="zh-CN"/>
        </w:rPr>
        <w:t>2</w:t>
      </w:r>
      <w:r>
        <w:rPr>
          <w:rFonts w:hint="eastAsia" w:cs="仿宋_GB2312" w:asciiTheme="minorEastAsia" w:hAnsiTheme="minorEastAsia" w:eastAsiaTheme="minorEastAsia"/>
          <w:kern w:val="0"/>
          <w:szCs w:val="21"/>
          <w:highlight w:val="none"/>
          <w:lang w:val="zh-CN"/>
        </w:rPr>
        <w:t>.有效的营业执照；</w:t>
      </w:r>
    </w:p>
    <w:bookmarkEnd w:id="54"/>
    <w:p w14:paraId="633E11AD">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cs="仿宋_GB2312" w:asciiTheme="minorEastAsia" w:hAnsiTheme="minorEastAsia" w:eastAsiaTheme="minorEastAsia"/>
          <w:kern w:val="0"/>
          <w:szCs w:val="21"/>
          <w:highlight w:val="none"/>
          <w:lang w:val="zh-CN"/>
        </w:rPr>
        <w:t>3.</w:t>
      </w:r>
      <w:r>
        <w:rPr>
          <w:rFonts w:hint="eastAsia" w:cs="仿宋_GB2312" w:asciiTheme="minorEastAsia" w:hAnsiTheme="minorEastAsia" w:eastAsiaTheme="minorEastAsia"/>
          <w:kern w:val="0"/>
          <w:szCs w:val="21"/>
          <w:highlight w:val="none"/>
          <w:lang w:val="zh-CN"/>
        </w:rPr>
        <w:t>落实政府采购政策需满足的资格要求：无；</w:t>
      </w:r>
    </w:p>
    <w:p w14:paraId="5F390B4A">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cs="仿宋_GB2312" w:asciiTheme="minorEastAsia" w:hAnsiTheme="minorEastAsia" w:eastAsiaTheme="minorEastAsia"/>
          <w:kern w:val="0"/>
          <w:szCs w:val="21"/>
          <w:highlight w:val="none"/>
          <w:lang w:val="zh-CN"/>
        </w:rPr>
        <w:t>4.</w:t>
      </w:r>
      <w:r>
        <w:rPr>
          <w:rFonts w:hint="eastAsia" w:cs="仿宋_GB2312" w:asciiTheme="minorEastAsia" w:hAnsiTheme="minorEastAsia" w:eastAsiaTheme="minorEastAsia"/>
          <w:kern w:val="0"/>
          <w:szCs w:val="21"/>
          <w:highlight w:val="none"/>
          <w:lang w:val="zh-CN"/>
        </w:rPr>
        <w:t>本项目的特定资格要求：无</w:t>
      </w:r>
      <w:r>
        <w:rPr>
          <w:rFonts w:hint="eastAsia" w:ascii="宋体" w:hAnsi="宋体" w:cs="宋体"/>
          <w:szCs w:val="21"/>
          <w:highlight w:val="none"/>
          <w:shd w:val="clear" w:color="auto" w:fill="FFFFFF"/>
        </w:rPr>
        <w:t>。</w:t>
      </w:r>
    </w:p>
    <w:p w14:paraId="2A72EFE0">
      <w:pPr>
        <w:spacing w:line="360" w:lineRule="auto"/>
        <w:ind w:firstLine="422" w:firstLineChars="200"/>
        <w:rPr>
          <w:rFonts w:hint="eastAsia" w:cs="仿宋_GB2312" w:asciiTheme="minorEastAsia" w:hAnsiTheme="minorEastAsia" w:eastAsiaTheme="minorEastAsia"/>
          <w:b/>
          <w:bCs/>
          <w:kern w:val="0"/>
          <w:szCs w:val="21"/>
          <w:highlight w:val="none"/>
          <w:lang w:val="zh-CN"/>
        </w:rPr>
      </w:pPr>
      <w:r>
        <w:rPr>
          <w:rFonts w:hint="eastAsia" w:cs="仿宋_GB2312" w:asciiTheme="minorEastAsia" w:hAnsiTheme="minorEastAsia" w:eastAsiaTheme="minorEastAsia"/>
          <w:b/>
          <w:bCs/>
          <w:kern w:val="0"/>
          <w:szCs w:val="21"/>
          <w:highlight w:val="none"/>
          <w:lang w:val="zh-CN"/>
        </w:rPr>
        <w:t>（二）商务技术文件：</w:t>
      </w:r>
    </w:p>
    <w:p w14:paraId="16691DA0">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1.评分索引表；（格式见附件）</w:t>
      </w:r>
    </w:p>
    <w:p w14:paraId="59A22DE8">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2</w:t>
      </w:r>
      <w:r>
        <w:rPr>
          <w:rFonts w:cs="仿宋_GB2312" w:asciiTheme="minorEastAsia" w:hAnsiTheme="minorEastAsia" w:eastAsiaTheme="minorEastAsia"/>
          <w:kern w:val="0"/>
          <w:szCs w:val="21"/>
          <w:highlight w:val="none"/>
          <w:lang w:val="zh-CN"/>
        </w:rPr>
        <w:t>.</w:t>
      </w:r>
      <w:r>
        <w:rPr>
          <w:rFonts w:hint="eastAsia" w:cs="仿宋_GB2312" w:asciiTheme="minorEastAsia" w:hAnsiTheme="minorEastAsia" w:eastAsiaTheme="minorEastAsia"/>
          <w:kern w:val="0"/>
          <w:szCs w:val="21"/>
          <w:highlight w:val="none"/>
          <w:lang w:val="zh-CN"/>
        </w:rPr>
        <w:t>响应函；（格式见附件）</w:t>
      </w:r>
    </w:p>
    <w:p w14:paraId="3DC8129F">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3.法人授权书或法定代表人（单位负责人）身份证明（格式见附件）</w:t>
      </w:r>
    </w:p>
    <w:p w14:paraId="3F7F2279">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4</w:t>
      </w:r>
      <w:r>
        <w:rPr>
          <w:rFonts w:cs="仿宋_GB2312" w:asciiTheme="minorEastAsia" w:hAnsiTheme="minorEastAsia" w:eastAsiaTheme="minorEastAsia"/>
          <w:kern w:val="0"/>
          <w:szCs w:val="21"/>
          <w:highlight w:val="none"/>
          <w:lang w:val="zh-CN"/>
        </w:rPr>
        <w:t>.</w:t>
      </w:r>
      <w:r>
        <w:rPr>
          <w:rFonts w:hint="eastAsia" w:asciiTheme="minorEastAsia" w:hAnsiTheme="minorEastAsia" w:eastAsiaTheme="minorEastAsia"/>
          <w:szCs w:val="21"/>
          <w:highlight w:val="none"/>
        </w:rPr>
        <w:t>不存在“禁止参与政府采购生态环境服务项目”处罚情形的承诺书</w:t>
      </w:r>
      <w:r>
        <w:rPr>
          <w:rFonts w:hint="eastAsia" w:cs="仿宋_GB2312" w:asciiTheme="minorEastAsia" w:hAnsiTheme="minorEastAsia" w:eastAsiaTheme="minorEastAsia"/>
          <w:kern w:val="0"/>
          <w:szCs w:val="21"/>
          <w:highlight w:val="none"/>
          <w:lang w:val="zh-CN"/>
        </w:rPr>
        <w:t>（格式见附件）</w:t>
      </w:r>
    </w:p>
    <w:p w14:paraId="0B5A4517">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5</w:t>
      </w:r>
      <w:r>
        <w:rPr>
          <w:rFonts w:cs="仿宋_GB2312" w:asciiTheme="minorEastAsia" w:hAnsiTheme="minorEastAsia" w:eastAsiaTheme="minorEastAsia"/>
          <w:kern w:val="0"/>
          <w:szCs w:val="21"/>
          <w:highlight w:val="none"/>
          <w:lang w:val="zh-CN"/>
        </w:rPr>
        <w:t>.</w:t>
      </w:r>
      <w:r>
        <w:rPr>
          <w:rFonts w:hint="eastAsia" w:cs="仿宋_GB2312" w:asciiTheme="minorEastAsia" w:hAnsiTheme="minorEastAsia" w:eastAsiaTheme="minorEastAsia"/>
          <w:kern w:val="0"/>
          <w:szCs w:val="21"/>
          <w:highlight w:val="none"/>
          <w:lang w:val="zh-CN"/>
        </w:rPr>
        <w:t>商务条款响应（偏离）表（格式见附件）</w:t>
      </w:r>
    </w:p>
    <w:p w14:paraId="211941A0">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6</w:t>
      </w:r>
      <w:r>
        <w:rPr>
          <w:rFonts w:cs="仿宋_GB2312" w:asciiTheme="minorEastAsia" w:hAnsiTheme="minorEastAsia" w:eastAsiaTheme="minorEastAsia"/>
          <w:kern w:val="0"/>
          <w:szCs w:val="21"/>
          <w:highlight w:val="none"/>
          <w:lang w:val="zh-CN"/>
        </w:rPr>
        <w:t>.</w:t>
      </w:r>
      <w:r>
        <w:rPr>
          <w:rFonts w:hint="eastAsia" w:cs="仿宋_GB2312" w:asciiTheme="minorEastAsia" w:hAnsiTheme="minorEastAsia" w:eastAsiaTheme="minorEastAsia"/>
          <w:kern w:val="0"/>
          <w:szCs w:val="21"/>
          <w:highlight w:val="none"/>
          <w:lang w:val="zh-CN"/>
        </w:rPr>
        <w:t>所有资信证明文件（复印件）；</w:t>
      </w:r>
    </w:p>
    <w:p w14:paraId="60F7486D">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7.针对本项目《第四部分  采购需求》和“第五部分  评审方法及评审标准  评审方法前附表”中的条款拟定完整方案；（格式自拟）</w:t>
      </w:r>
    </w:p>
    <w:p w14:paraId="09A26B5F">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8.供应商认为需要的其他商务技术文件或说明（如果有，格式自拟）；</w:t>
      </w:r>
    </w:p>
    <w:p w14:paraId="36FDD2F6">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9.政府采购供应商廉洁自律承诺书（格式见附件）。</w:t>
      </w:r>
    </w:p>
    <w:p w14:paraId="4292EABA">
      <w:pPr>
        <w:spacing w:line="360" w:lineRule="auto"/>
        <w:ind w:firstLine="422" w:firstLineChars="200"/>
        <w:rPr>
          <w:rFonts w:hint="eastAsia" w:cs="仿宋_GB2312" w:asciiTheme="minorEastAsia" w:hAnsiTheme="minorEastAsia" w:eastAsiaTheme="minorEastAsia"/>
          <w:b/>
          <w:bCs/>
          <w:kern w:val="0"/>
          <w:szCs w:val="21"/>
          <w:highlight w:val="none"/>
          <w:lang w:val="zh-CN"/>
        </w:rPr>
      </w:pPr>
      <w:r>
        <w:rPr>
          <w:rFonts w:hint="eastAsia" w:cs="仿宋_GB2312" w:asciiTheme="minorEastAsia" w:hAnsiTheme="minorEastAsia" w:eastAsiaTheme="minorEastAsia"/>
          <w:b/>
          <w:bCs/>
          <w:kern w:val="0"/>
          <w:szCs w:val="21"/>
          <w:highlight w:val="none"/>
          <w:lang w:val="zh-CN"/>
        </w:rPr>
        <w:t>（三）报价文件：</w:t>
      </w:r>
    </w:p>
    <w:p w14:paraId="1943C6BA">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1.初次报价一览表（格式见附件）</w:t>
      </w:r>
    </w:p>
    <w:p w14:paraId="582B8949">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2.中小企业声明函（如有，格式见附件）；</w:t>
      </w:r>
    </w:p>
    <w:p w14:paraId="193EACCF">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残疾人福利性单位声明函(如有，格式见附件）；</w:t>
      </w:r>
    </w:p>
    <w:p w14:paraId="14783B46">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由省级以上监狱管理局、戒毒管理局（含新疆生产建设兵团）出具的属于监狱企业的证明文件（如有）；</w:t>
      </w:r>
    </w:p>
    <w:bookmarkEnd w:id="51"/>
    <w:bookmarkEnd w:id="52"/>
    <w:bookmarkEnd w:id="53"/>
    <w:p w14:paraId="63869723">
      <w:pPr>
        <w:pStyle w:val="34"/>
        <w:spacing w:line="360" w:lineRule="auto"/>
        <w:ind w:firstLine="422" w:firstLineChars="200"/>
        <w:rPr>
          <w:rFonts w:hint="eastAsia" w:cs="仿宋_GB2312" w:asciiTheme="minorEastAsia" w:hAnsiTheme="minorEastAsia" w:eastAsiaTheme="minorEastAsia"/>
          <w:b/>
          <w:szCs w:val="21"/>
          <w:highlight w:val="none"/>
        </w:rPr>
      </w:pPr>
      <w:r>
        <w:rPr>
          <w:rFonts w:hint="eastAsia" w:asciiTheme="minorEastAsia" w:hAnsiTheme="minorEastAsia" w:eastAsiaTheme="minorEastAsia"/>
          <w:b/>
          <w:szCs w:val="21"/>
          <w:highlight w:val="none"/>
        </w:rPr>
        <w:t>3. 响应文件的编制和签署</w:t>
      </w:r>
    </w:p>
    <w:p w14:paraId="3D610816">
      <w:pPr>
        <w:spacing w:line="360" w:lineRule="auto"/>
        <w:ind w:firstLine="420" w:firstLineChars="20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kern w:val="0"/>
          <w:szCs w:val="21"/>
          <w:highlight w:val="none"/>
          <w:lang w:val="zh-CN"/>
        </w:rPr>
        <w:t>3.1各供应商在编制响应文件时请按照磋商文件第七部分规定的格式进行，混乱的编排导致响应文件被误读或磋商小组查找不到有效文件是供应商的风险。</w:t>
      </w:r>
    </w:p>
    <w:p w14:paraId="4E7FFCD2">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F12F369">
      <w:pPr>
        <w:spacing w:line="360" w:lineRule="auto"/>
        <w:ind w:firstLine="420" w:firstLineChars="20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3.3使用“政采云电子交易客户端”需要提前申领CA数字证书，申领流程请自行前往“浙江政府采购网-下载专区-电子交易客户端-CA驱动和申领流程”进行查阅。</w:t>
      </w:r>
    </w:p>
    <w:p w14:paraId="3510C4EF">
      <w:pPr>
        <w:pStyle w:val="396"/>
        <w:snapToGrid w:val="0"/>
        <w:spacing w:before="0"/>
        <w:ind w:firstLine="420"/>
        <w:rPr>
          <w:rFonts w:hint="eastAsia" w:cs="仿宋_GB2312" w:asciiTheme="minorEastAsia" w:hAnsiTheme="minorEastAsia" w:eastAsiaTheme="minorEastAsia"/>
          <w:b/>
          <w:sz w:val="21"/>
          <w:szCs w:val="21"/>
          <w:highlight w:val="none"/>
        </w:rPr>
      </w:pPr>
      <w:r>
        <w:rPr>
          <w:rFonts w:hint="eastAsia" w:cs="仿宋_GB2312" w:asciiTheme="minorEastAsia" w:hAnsiTheme="minorEastAsia" w:eastAsiaTheme="minorEastAsia"/>
          <w:sz w:val="21"/>
          <w:szCs w:val="21"/>
          <w:highlight w:val="none"/>
        </w:rPr>
        <w:t>3.4响应文件按照磋商文件第七部分格式要求进行签署、盖章。</w:t>
      </w:r>
      <w:r>
        <w:rPr>
          <w:rFonts w:hint="eastAsia" w:asciiTheme="minorEastAsia" w:hAnsiTheme="minorEastAsia" w:eastAsiaTheme="minorEastAsia"/>
          <w:b/>
          <w:sz w:val="21"/>
          <w:szCs w:val="21"/>
          <w:highlight w:val="none"/>
        </w:rPr>
        <w:t>▲</w:t>
      </w:r>
      <w:r>
        <w:rPr>
          <w:rFonts w:hint="eastAsia" w:cs="仿宋_GB2312" w:asciiTheme="minorEastAsia" w:hAnsiTheme="minorEastAsia" w:eastAsiaTheme="minorEastAsia"/>
          <w:b/>
          <w:sz w:val="21"/>
          <w:szCs w:val="21"/>
          <w:highlight w:val="none"/>
        </w:rPr>
        <w:t>供应商的响应文件未按照磋商文件要求签署、盖章的，其响应无效</w:t>
      </w:r>
      <w:r>
        <w:rPr>
          <w:rFonts w:hint="eastAsia" w:cs="仿宋_GB2312" w:asciiTheme="minorEastAsia" w:hAnsiTheme="minorEastAsia" w:eastAsiaTheme="minorEastAsia"/>
          <w:sz w:val="21"/>
          <w:szCs w:val="21"/>
          <w:highlight w:val="none"/>
        </w:rPr>
        <w:t>。</w:t>
      </w:r>
    </w:p>
    <w:p w14:paraId="5F5FCABB">
      <w:pPr>
        <w:pStyle w:val="396"/>
        <w:snapToGrid w:val="0"/>
        <w:spacing w:before="0"/>
        <w:ind w:firstLine="420"/>
        <w:rPr>
          <w:rFonts w:hint="eastAsia" w:cs="宋体"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78F153D4">
      <w:pPr>
        <w:pStyle w:val="396"/>
        <w:snapToGrid w:val="0"/>
        <w:spacing w:before="0"/>
        <w:ind w:firstLine="420"/>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3.6磋商文件对响应文件签署、盖章的要求适用于电子签名。</w:t>
      </w:r>
    </w:p>
    <w:p w14:paraId="5D29DB6F">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29D40F10">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cs="仿宋_GB2312" w:asciiTheme="minorEastAsia" w:hAnsiTheme="minorEastAsia" w:eastAsiaTheme="minorEastAsia"/>
          <w:b/>
          <w:sz w:val="21"/>
          <w:szCs w:val="21"/>
          <w:highlight w:val="none"/>
        </w:rPr>
        <w:t>1.响应文件的提交、补充、修改、撤回</w:t>
      </w:r>
    </w:p>
    <w:p w14:paraId="47529534">
      <w:pPr>
        <w:pStyle w:val="396"/>
        <w:ind w:firstLine="420"/>
        <w:rPr>
          <w:rFonts w:hint="eastAsia"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632D52A">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1.2 在响应截止时间以后，不能补充、修改响应文件。</w:t>
      </w:r>
    </w:p>
    <w:p w14:paraId="27288DF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1.3 在提交“最后报价”后，供应商不能退出磋商。</w:t>
      </w:r>
    </w:p>
    <w:p w14:paraId="59DB112C">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442EBA06">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4FA34761">
      <w:pPr>
        <w:pStyle w:val="34"/>
        <w:spacing w:line="360" w:lineRule="auto"/>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b/>
          <w:szCs w:val="21"/>
          <w:highlight w:val="none"/>
        </w:rPr>
        <w:t>2.备份响应文件</w:t>
      </w:r>
    </w:p>
    <w:p w14:paraId="45F62DDA">
      <w:pPr>
        <w:pStyle w:val="34"/>
        <w:spacing w:line="360" w:lineRule="auto"/>
        <w:ind w:firstLine="315" w:firstLineChars="15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szCs w:val="21"/>
          <w:highlight w:val="none"/>
        </w:rPr>
        <w:t>2.1 供应商在电子交易平台传输提交响应文件后，还可以在响应截止时间前直接提交或者以邮寄方式递交备份响应文件1份，</w:t>
      </w:r>
      <w:r>
        <w:rPr>
          <w:rFonts w:hint="eastAsia" w:cs="仿宋_GB2312" w:asciiTheme="minorEastAsia" w:hAnsiTheme="minorEastAsia" w:eastAsiaTheme="minorEastAsia"/>
          <w:b/>
          <w:szCs w:val="21"/>
          <w:highlight w:val="none"/>
        </w:rPr>
        <w:t>但采购人、采购代理机构不强制或变相强制供应商提交备份响应文件。</w:t>
      </w:r>
    </w:p>
    <w:p w14:paraId="1049E754">
      <w:pPr>
        <w:pStyle w:val="34"/>
        <w:spacing w:line="360" w:lineRule="auto"/>
        <w:ind w:firstLine="315" w:firstLineChars="15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szCs w:val="21"/>
          <w:highlight w:val="none"/>
        </w:rPr>
        <w:t>2.2 备份响应文件须在“政采云投标客户端”制作生成，并储存在不可修改的</w:t>
      </w:r>
      <w:r>
        <w:rPr>
          <w:rFonts w:hint="eastAsia" w:asciiTheme="minorEastAsia" w:hAnsiTheme="minorEastAsia" w:eastAsiaTheme="minorEastAsia"/>
          <w:b/>
          <w:szCs w:val="21"/>
          <w:highlight w:val="none"/>
          <w:u w:val="single"/>
        </w:rPr>
        <w:t>U盘</w:t>
      </w:r>
      <w:r>
        <w:rPr>
          <w:rFonts w:hint="eastAsia" w:cs="仿宋_GB2312" w:asciiTheme="minorEastAsia" w:hAnsiTheme="minorEastAsia" w:eastAsiaTheme="minorEastAsia"/>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Cs w:val="21"/>
          <w:highlight w:val="none"/>
        </w:rPr>
        <w:t>▲不符合上述制作、</w:t>
      </w:r>
      <w:r>
        <w:rPr>
          <w:rFonts w:hint="eastAsia" w:cs="仿宋_GB2312" w:asciiTheme="minorEastAsia" w:hAnsiTheme="minorEastAsia" w:eastAsiaTheme="minorEastAsia"/>
          <w:b/>
          <w:szCs w:val="21"/>
          <w:highlight w:val="none"/>
        </w:rPr>
        <w:t>存储、密封规定的备份响应文件将被视为无效或者被拒绝接收。</w:t>
      </w:r>
    </w:p>
    <w:p w14:paraId="7E3C40E7">
      <w:pPr>
        <w:pStyle w:val="34"/>
        <w:spacing w:line="360" w:lineRule="auto"/>
        <w:ind w:firstLine="315" w:firstLineChars="15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2.3 直接提交备份响应文件的，供应商应于响应截止时间前</w:t>
      </w:r>
      <w:r>
        <w:rPr>
          <w:rFonts w:hint="eastAsia" w:cs="宋体" w:asciiTheme="minorEastAsia" w:hAnsiTheme="minorEastAsia" w:eastAsiaTheme="minorEastAsia"/>
          <w:szCs w:val="21"/>
          <w:highlight w:val="none"/>
        </w:rPr>
        <w:t>磋商文件第三部分供应商须知前附表规定</w:t>
      </w:r>
      <w:r>
        <w:rPr>
          <w:rFonts w:hint="eastAsia" w:cs="仿宋_GB2312" w:asciiTheme="minorEastAsia" w:hAnsiTheme="minorEastAsia" w:eastAsiaTheme="minorEastAsia"/>
          <w:szCs w:val="21"/>
          <w:highlight w:val="none"/>
        </w:rPr>
        <w:t>的地点将备份响应文件提交给采购代理机构，采购代理机构将拒绝接受逾期送达的备份响应文件。</w:t>
      </w:r>
    </w:p>
    <w:p w14:paraId="6892D161">
      <w:pPr>
        <w:pStyle w:val="34"/>
        <w:spacing w:line="360" w:lineRule="auto"/>
        <w:ind w:firstLine="315" w:firstLineChars="15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2.4 以邮寄方式递交备份响应文件的，供应商应先将备份响应文件按要求密封和标记，再进行邮政快递包装后邮寄。备份响应文件按磋商文件第三部分供应商须知前附表规定时间和地点送达备份响应文件；送达时间以签收人签收时间为准。采购代理机构将拒绝接受逾期送达的备份响应文件。邮寄过程中，电子备份响应文件发生泄露、遗失、损坏或延期送达等情况的，由供应商自行负责。</w:t>
      </w:r>
    </w:p>
    <w:p w14:paraId="637772FE">
      <w:pPr>
        <w:pStyle w:val="34"/>
        <w:spacing w:line="360" w:lineRule="auto"/>
        <w:ind w:firstLine="316" w:firstLineChars="15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b/>
          <w:szCs w:val="21"/>
          <w:highlight w:val="none"/>
        </w:rPr>
        <w:t xml:space="preserve">2.5 </w:t>
      </w:r>
      <w:r>
        <w:rPr>
          <w:rFonts w:hint="eastAsia" w:asciiTheme="minorEastAsia" w:hAnsiTheme="minorEastAsia" w:eastAsiaTheme="minorEastAsia"/>
          <w:b/>
          <w:szCs w:val="21"/>
          <w:highlight w:val="none"/>
        </w:rPr>
        <w:t>▲</w:t>
      </w:r>
      <w:r>
        <w:rPr>
          <w:rFonts w:hint="eastAsia" w:cs="仿宋_GB2312" w:asciiTheme="minorEastAsia" w:hAnsiTheme="minorEastAsia" w:eastAsiaTheme="minorEastAsia"/>
          <w:b/>
          <w:szCs w:val="21"/>
          <w:highlight w:val="none"/>
        </w:rPr>
        <w:t>供应商仅提交备份响应文件，未在电子交易平台传输提交响应文件的，响应无效。</w:t>
      </w:r>
    </w:p>
    <w:p w14:paraId="788364AB">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63B9F1A0">
      <w:pPr>
        <w:pStyle w:val="34"/>
        <w:spacing w:line="360" w:lineRule="auto"/>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b/>
          <w:szCs w:val="21"/>
          <w:highlight w:val="none"/>
        </w:rPr>
        <w:t>1. 开启响应文件</w:t>
      </w:r>
    </w:p>
    <w:p w14:paraId="6F776A8D">
      <w:pPr>
        <w:pStyle w:val="34"/>
        <w:spacing w:line="360" w:lineRule="auto"/>
        <w:ind w:firstLine="315" w:firstLineChars="15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1"/>
          <w:highlight w:val="none"/>
        </w:rPr>
        <w:t>供应商数量不符合规定的，不得开启响应文件。</w:t>
      </w:r>
    </w:p>
    <w:p w14:paraId="533FA4D9">
      <w:pPr>
        <w:pStyle w:val="34"/>
        <w:spacing w:line="360" w:lineRule="auto"/>
        <w:ind w:firstLine="315" w:firstLineChars="15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BA3FBF6">
      <w:pPr>
        <w:pStyle w:val="34"/>
        <w:spacing w:line="360" w:lineRule="auto"/>
        <w:ind w:firstLine="316" w:firstLineChars="150"/>
        <w:rPr>
          <w:rFonts w:hint="eastAsia" w:cs="仿宋_GB2312" w:asciiTheme="minorEastAsia" w:hAnsiTheme="minorEastAsia" w:eastAsiaTheme="minorEastAsia"/>
          <w:b/>
          <w:szCs w:val="21"/>
          <w:highlight w:val="none"/>
        </w:rPr>
      </w:pPr>
      <w:r>
        <w:rPr>
          <w:rFonts w:hint="eastAsia" w:cs="仿宋_GB2312" w:asciiTheme="minorEastAsia" w:hAnsiTheme="minorEastAsia" w:eastAsiaTheme="minorEastAsia"/>
          <w:b/>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6D05F21E">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cs="仿宋_GB2312" w:asciiTheme="minorEastAsia" w:hAnsiTheme="minorEastAsia" w:eastAsiaTheme="minorEastAsia"/>
          <w:b/>
          <w:sz w:val="21"/>
          <w:szCs w:val="21"/>
          <w:highlight w:val="none"/>
        </w:rPr>
        <w:t>2.信用信息查询</w:t>
      </w:r>
    </w:p>
    <w:p w14:paraId="18265C5E">
      <w:pPr>
        <w:pStyle w:val="396"/>
        <w:spacing w:before="0"/>
        <w:ind w:firstLine="495"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2.1信用信息查询渠道及截止时间：采购代理机构将通过“信用中国”网站(www.creditchina.gov.cn)、中国政府采购网(www.ccgp.gov.cn)渠道查询供应商响应截止时间前的信用记录。</w:t>
      </w:r>
    </w:p>
    <w:p w14:paraId="12B2322E">
      <w:pPr>
        <w:pStyle w:val="396"/>
        <w:spacing w:before="0"/>
        <w:ind w:firstLine="495"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2.2信用信息查询记录和证据留存的具体方式：现场查询的供应商的信用记录、查询结果经确认后存档。</w:t>
      </w:r>
    </w:p>
    <w:p w14:paraId="593BD2BF">
      <w:pPr>
        <w:pStyle w:val="396"/>
        <w:spacing w:before="0"/>
        <w:ind w:firstLine="495"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2.3信用信息的使用规则：经查询列入失信被执行人名单、重大税收违法失信主体、政府采购严重违法失信行为记录名单的供应商将被拒绝参与政府采购活动。</w:t>
      </w:r>
    </w:p>
    <w:p w14:paraId="6710C087">
      <w:pPr>
        <w:pStyle w:val="396"/>
        <w:spacing w:before="0"/>
        <w:ind w:firstLine="495"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B6DE67">
      <w:pPr>
        <w:adjustRightInd/>
        <w:spacing w:line="360" w:lineRule="auto"/>
        <w:jc w:val="center"/>
        <w:outlineLvl w:val="0"/>
        <w:rPr>
          <w:rFonts w:hint="eastAsia"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A7EC359">
      <w:pPr>
        <w:snapToGrid w:val="0"/>
        <w:spacing w:line="360" w:lineRule="auto"/>
        <w:rPr>
          <w:rFonts w:hint="eastAsia" w:cs="仿宋_GB2312" w:asciiTheme="minorEastAsia" w:hAnsiTheme="minorEastAsia" w:eastAsiaTheme="minorEastAsia"/>
          <w:szCs w:val="21"/>
          <w:highlight w:val="none"/>
          <w:u w:val="single"/>
          <w:lang w:val="zh-CN"/>
        </w:rPr>
      </w:pPr>
      <w:r>
        <w:rPr>
          <w:rFonts w:hint="eastAsia" w:asciiTheme="minorEastAsia" w:hAnsiTheme="minorEastAsia" w:eastAsiaTheme="minorEastAsia"/>
          <w:b/>
          <w:szCs w:val="21"/>
          <w:highlight w:val="none"/>
        </w:rPr>
        <w:t>1.</w:t>
      </w:r>
      <w:r>
        <w:rPr>
          <w:rFonts w:hint="eastAsia" w:cs="仿宋_GB2312" w:asciiTheme="minorEastAsia" w:hAnsiTheme="minorEastAsia" w:eastAsiaTheme="minorEastAsia"/>
          <w:szCs w:val="21"/>
          <w:highlight w:val="none"/>
        </w:rPr>
        <w:t>供应商的</w:t>
      </w:r>
      <w:r>
        <w:rPr>
          <w:rFonts w:hint="eastAsia" w:cs="仿宋_GB2312" w:asciiTheme="minorEastAsia" w:hAnsiTheme="minorEastAsia" w:eastAsiaTheme="minorEastAsia"/>
          <w:b/>
          <w:szCs w:val="21"/>
          <w:highlight w:val="none"/>
        </w:rPr>
        <w:t>最后报价文件</w:t>
      </w:r>
      <w:r>
        <w:rPr>
          <w:rFonts w:hint="eastAsia" w:cs="仿宋_GB2312" w:asciiTheme="minorEastAsia" w:hAnsiTheme="minorEastAsia" w:eastAsiaTheme="minorEastAsia"/>
          <w:szCs w:val="21"/>
          <w:highlight w:val="none"/>
        </w:rPr>
        <w:t>应包括以下内容（均需使用电子签名或签章）：</w:t>
      </w:r>
    </w:p>
    <w:p w14:paraId="1C191470">
      <w:pPr>
        <w:pStyle w:val="34"/>
        <w:snapToGrid w:val="0"/>
        <w:spacing w:line="360" w:lineRule="auto"/>
        <w:ind w:firstLine="420" w:firstLineChars="20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1.1最后报价一览表；</w:t>
      </w:r>
    </w:p>
    <w:p w14:paraId="0931BDC5">
      <w:pPr>
        <w:adjustRightInd/>
        <w:spacing w:line="360" w:lineRule="auto"/>
        <w:jc w:val="center"/>
        <w:outlineLvl w:val="0"/>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5449E111">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1.</w:t>
      </w:r>
      <w:r>
        <w:rPr>
          <w:rFonts w:hint="eastAsia" w:cs="仿宋_GB2312" w:asciiTheme="minorEastAsia" w:hAnsiTheme="minorEastAsia" w:eastAsiaTheme="minorEastAsia"/>
          <w:b/>
          <w:sz w:val="21"/>
          <w:szCs w:val="21"/>
          <w:highlight w:val="none"/>
        </w:rPr>
        <w:t xml:space="preserve"> 评审方法：</w:t>
      </w:r>
      <w:r>
        <w:rPr>
          <w:rFonts w:hint="eastAsia" w:cs="仿宋_GB2312" w:asciiTheme="minorEastAsia" w:hAnsiTheme="minorEastAsia" w:eastAsiaTheme="minorEastAsia"/>
          <w:sz w:val="21"/>
          <w:szCs w:val="21"/>
          <w:highlight w:val="none"/>
        </w:rPr>
        <w:t>综合评分法。</w:t>
      </w:r>
    </w:p>
    <w:p w14:paraId="314C335A">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cs="仿宋_GB2312" w:asciiTheme="minorEastAsia" w:hAnsiTheme="minorEastAsia" w:eastAsiaTheme="minorEastAsia"/>
          <w:b/>
          <w:sz w:val="21"/>
          <w:szCs w:val="21"/>
          <w:highlight w:val="none"/>
        </w:rPr>
        <w:t>2. 价格分计算方法：</w:t>
      </w:r>
      <w:r>
        <w:rPr>
          <w:rFonts w:hint="eastAsia" w:cs="仿宋_GB2312" w:asciiTheme="minorEastAsia" w:hAnsiTheme="minorEastAsia" w:eastAsiaTheme="minorEastAsia"/>
          <w:sz w:val="21"/>
          <w:szCs w:val="21"/>
          <w:highlight w:val="none"/>
        </w:rPr>
        <w:t>低价优先法。</w:t>
      </w:r>
    </w:p>
    <w:p w14:paraId="535AC5EE">
      <w:pPr>
        <w:pStyle w:val="396"/>
        <w:spacing w:before="0"/>
        <w:ind w:firstLine="0" w:firstLineChars="0"/>
        <w:rPr>
          <w:rFonts w:hint="eastAsia" w:asciiTheme="minorEastAsia" w:hAnsiTheme="minorEastAsia" w:eastAsiaTheme="minorEastAsia"/>
          <w:sz w:val="21"/>
          <w:szCs w:val="21"/>
          <w:highlight w:val="none"/>
        </w:rPr>
      </w:pPr>
      <w:r>
        <w:rPr>
          <w:rFonts w:hint="eastAsia" w:cs="仿宋_GB2312" w:asciiTheme="minorEastAsia" w:hAnsiTheme="minorEastAsia" w:eastAsiaTheme="minorEastAsia"/>
          <w:b/>
          <w:sz w:val="21"/>
          <w:szCs w:val="21"/>
          <w:highlight w:val="none"/>
        </w:rPr>
        <w:t>3. 评审要求：</w:t>
      </w:r>
      <w:r>
        <w:rPr>
          <w:rFonts w:hint="eastAsia" w:cs="仿宋_GB2312" w:asciiTheme="minorEastAsia" w:hAnsiTheme="minorEastAsia" w:eastAsiaTheme="minorEastAsia"/>
          <w:sz w:val="21"/>
          <w:szCs w:val="21"/>
          <w:highlight w:val="none"/>
        </w:rPr>
        <w:t>详见磋商文件第五部分“评审方法及评审标准”。</w:t>
      </w:r>
    </w:p>
    <w:p w14:paraId="5C682B2D">
      <w:pPr>
        <w:adjustRightInd/>
        <w:spacing w:line="360" w:lineRule="auto"/>
        <w:jc w:val="center"/>
        <w:outlineLvl w:val="0"/>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234D56E2">
      <w:pPr>
        <w:pStyle w:val="34"/>
        <w:spacing w:line="360" w:lineRule="auto"/>
        <w:rPr>
          <w:rFonts w:hint="eastAsia" w:cs="仿宋_GB2312" w:asciiTheme="minorEastAsia" w:hAnsiTheme="minorEastAsia" w:eastAsiaTheme="minorEastAsia"/>
          <w:b/>
          <w:szCs w:val="21"/>
          <w:highlight w:val="none"/>
        </w:rPr>
      </w:pPr>
      <w:r>
        <w:rPr>
          <w:rFonts w:hint="eastAsia" w:asciiTheme="minorEastAsia" w:hAnsiTheme="minorEastAsia" w:eastAsiaTheme="minorEastAsia"/>
          <w:b/>
          <w:szCs w:val="21"/>
          <w:highlight w:val="none"/>
        </w:rPr>
        <w:t>1. 推荐成交候选供应商</w:t>
      </w:r>
    </w:p>
    <w:p w14:paraId="690AE767">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25C494F">
      <w:pPr>
        <w:pStyle w:val="34"/>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2. 确定成交供应商</w:t>
      </w:r>
    </w:p>
    <w:p w14:paraId="09755550">
      <w:pPr>
        <w:spacing w:line="360" w:lineRule="auto"/>
        <w:ind w:firstLine="315" w:firstLineChars="15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个工作日内在线确定成交供应商。成交通知书和成交结果公告应当在规定时间内同时发出。注：按评审后得分由高到低顺序确定1名成交人。</w:t>
      </w:r>
    </w:p>
    <w:p w14:paraId="755689F8">
      <w:pPr>
        <w:tabs>
          <w:tab w:val="left" w:pos="0"/>
        </w:tabs>
        <w:spacing w:line="360" w:lineRule="auto"/>
        <w:rPr>
          <w:rFonts w:hint="eastAsia" w:cs="Helvetica" w:asciiTheme="minorEastAsia" w:hAnsiTheme="minorEastAsia" w:eastAsiaTheme="minorEastAsia"/>
          <w:kern w:val="0"/>
          <w:szCs w:val="21"/>
          <w:highlight w:val="none"/>
        </w:rPr>
      </w:pPr>
      <w:r>
        <w:rPr>
          <w:rFonts w:hint="eastAsia" w:asciiTheme="minorEastAsia" w:hAnsiTheme="minorEastAsia" w:eastAsiaTheme="minorEastAsia"/>
          <w:b/>
          <w:szCs w:val="21"/>
          <w:highlight w:val="none"/>
        </w:rPr>
        <w:t>3．成交通知及成交结果公告</w:t>
      </w:r>
    </w:p>
    <w:p w14:paraId="13F7D9DF">
      <w:pPr>
        <w:spacing w:line="360" w:lineRule="auto"/>
        <w:ind w:firstLine="315" w:firstLineChars="150"/>
        <w:rPr>
          <w:rFonts w:hint="eastAsia" w:ascii="宋体" w:hAnsi="宋体" w:cs="宋体"/>
          <w:szCs w:val="21"/>
          <w:highlight w:val="none"/>
        </w:rPr>
      </w:pPr>
      <w:r>
        <w:rPr>
          <w:rFonts w:hint="eastAsia" w:asciiTheme="minorEastAsia" w:hAnsiTheme="minorEastAsia" w:eastAsiaTheme="minorEastAsia"/>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szCs w:val="21"/>
          <w:highlight w:val="none"/>
        </w:rPr>
        <w:t>同时编制发布采购</w:t>
      </w:r>
      <w:r>
        <w:rPr>
          <w:rFonts w:hint="eastAsia" w:asciiTheme="minorEastAsia" w:hAnsiTheme="minorEastAsia" w:eastAsiaTheme="minorEastAsia"/>
          <w:szCs w:val="21"/>
          <w:highlight w:val="none"/>
        </w:rPr>
        <w:t>成交结果公告。</w:t>
      </w:r>
      <w:r>
        <w:rPr>
          <w:rFonts w:hint="eastAsia" w:ascii="宋体" w:hAnsi="宋体" w:cs="宋体" w:eastAsiaTheme="minorEastAsia"/>
          <w:szCs w:val="21"/>
          <w:highlight w:val="none"/>
        </w:rPr>
        <w:t>采购代理机构</w:t>
      </w:r>
      <w:r>
        <w:rPr>
          <w:rFonts w:hint="eastAsia" w:ascii="宋体" w:hAnsi="宋体" w:cs="宋体"/>
          <w:szCs w:val="21"/>
          <w:highlight w:val="none"/>
        </w:rPr>
        <w:t>也可以以纸质形式进行成交通知。</w:t>
      </w:r>
    </w:p>
    <w:p w14:paraId="266DED58">
      <w:pPr>
        <w:spacing w:line="360" w:lineRule="auto"/>
        <w:ind w:firstLine="315" w:firstLineChars="150"/>
        <w:rPr>
          <w:rFonts w:hint="eastAsia" w:asciiTheme="minorEastAsia" w:hAnsiTheme="minorEastAsia" w:eastAsiaTheme="minorEastAsia"/>
          <w:szCs w:val="21"/>
          <w:highlight w:val="none"/>
        </w:rPr>
      </w:pPr>
      <w:r>
        <w:rPr>
          <w:rFonts w:hint="eastAsia" w:ascii="宋体" w:hAnsi="宋体" w:cs="宋体"/>
          <w:szCs w:val="21"/>
          <w:highlight w:val="none"/>
        </w:rPr>
        <w:t>3.2</w:t>
      </w:r>
      <w:r>
        <w:rPr>
          <w:rFonts w:hint="eastAsia" w:asciiTheme="minorEastAsia" w:hAnsiTheme="minorEastAsia" w:eastAsiaTheme="minorEastAsia"/>
          <w:szCs w:val="21"/>
          <w:highlight w:val="none"/>
        </w:rPr>
        <w:t>成交</w:t>
      </w:r>
      <w:r>
        <w:rPr>
          <w:rFonts w:hint="eastAsia" w:cs="仿宋_GB2312" w:asciiTheme="minorEastAsia" w:hAnsiTheme="minorEastAsia" w:eastAsiaTheme="minorEastAsia"/>
          <w:szCs w:val="21"/>
          <w:highlight w:val="none"/>
        </w:rPr>
        <w:t>结果公告内容包括</w:t>
      </w:r>
      <w:r>
        <w:rPr>
          <w:rFonts w:hint="eastAsia" w:cs="宋体" w:asciiTheme="minorEastAsia" w:hAnsiTheme="minorEastAsia" w:eastAsiaTheme="minorEastAsia"/>
          <w:szCs w:val="21"/>
          <w:highlight w:val="none"/>
        </w:rPr>
        <w:t>采购人及其委托的采购代理机构的名称、地址、联系方式，项目名称和项目编号，成交人名称、地址和成交金额，主要中标标的的名称、规格型号、数量、单价、服务要求，开标记录、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szCs w:val="21"/>
          <w:highlight w:val="none"/>
        </w:rPr>
        <w:t>资格审查情况、评审专家抽取规则、符合性审查情况、</w:t>
      </w:r>
      <w:bookmarkEnd w:id="55"/>
      <w:r>
        <w:rPr>
          <w:rFonts w:hint="eastAsia" w:cs="宋体" w:asciiTheme="minorEastAsia" w:hAnsiTheme="minorEastAsia" w:eastAsiaTheme="minorEastAsia"/>
          <w:szCs w:val="21"/>
          <w:highlight w:val="none"/>
        </w:rPr>
        <w:t>未成交情况说明、成交公告期限以及评审专家名单、评分汇总及明细。</w:t>
      </w:r>
    </w:p>
    <w:p w14:paraId="62371EAF">
      <w:pPr>
        <w:spacing w:line="360" w:lineRule="auto"/>
        <w:ind w:firstLine="315" w:firstLineChars="15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3.3公告期限为1个工作日。</w:t>
      </w:r>
    </w:p>
    <w:p w14:paraId="77A117FB">
      <w:pPr>
        <w:snapToGrid w:val="0"/>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7A21F469">
      <w:pPr>
        <w:tabs>
          <w:tab w:val="left" w:pos="0"/>
        </w:tabs>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1.合同主要条款：</w:t>
      </w:r>
      <w:r>
        <w:rPr>
          <w:rFonts w:hint="eastAsia" w:asciiTheme="minorEastAsia" w:hAnsiTheme="minorEastAsia" w:eastAsiaTheme="minorEastAsia"/>
          <w:szCs w:val="21"/>
          <w:highlight w:val="none"/>
        </w:rPr>
        <w:t>详见“第六部分拟签订的合同文本”。</w:t>
      </w:r>
    </w:p>
    <w:p w14:paraId="03AA66A5">
      <w:pPr>
        <w:tabs>
          <w:tab w:val="left" w:pos="0"/>
        </w:tabs>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2.合同的签订</w:t>
      </w:r>
    </w:p>
    <w:p w14:paraId="3B307D37">
      <w:pPr>
        <w:widowControl/>
        <w:shd w:val="clear" w:color="auto" w:fill="FFFFFF"/>
        <w:spacing w:line="360" w:lineRule="auto"/>
        <w:ind w:firstLine="480"/>
        <w:jc w:val="left"/>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Cs w:val="21"/>
          <w:highlight w:val="none"/>
        </w:rPr>
        <w:t>除不可抗力等特殊情况外，原则上采购人应当在成交通知书发出之日起30个工作日内，与成交供应商按照磋商文件确定的事项签订政府采购合同，并在签订之日起2个工作日内将政府采购合同在浙江政府采购网上公告。</w:t>
      </w:r>
    </w:p>
    <w:p w14:paraId="4E408670">
      <w:pPr>
        <w:pStyle w:val="396"/>
        <w:snapToGrid w:val="0"/>
        <w:spacing w:before="0"/>
        <w:ind w:firstLine="420"/>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C726044">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AE3C18E">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E854EE9">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2.5如签订合同并生效后，供应商无故拒绝或延期，除按照合同条款处理外，列入不良行为记录一次，并给予通报。</w:t>
      </w:r>
    </w:p>
    <w:p w14:paraId="1B3110E5">
      <w:pPr>
        <w:pStyle w:val="396"/>
        <w:snapToGrid w:val="0"/>
        <w:spacing w:before="0" w:after="120"/>
        <w:ind w:firstLine="420"/>
        <w:rPr>
          <w:rFonts w:hint="eastAsia" w:cs="仿宋_GB2312" w:asciiTheme="minorEastAsia" w:hAnsiTheme="minorEastAsia" w:eastAsiaTheme="minorEastAsia"/>
          <w:sz w:val="21"/>
          <w:szCs w:val="21"/>
          <w:highlight w:val="none"/>
        </w:rPr>
      </w:pPr>
      <w:r>
        <w:rPr>
          <w:rFonts w:cs="仿宋_GB2312" w:asciiTheme="minorEastAsia" w:hAnsiTheme="minorEastAsia" w:eastAsiaTheme="minorEastAsia"/>
          <w:sz w:val="21"/>
          <w:szCs w:val="21"/>
          <w:highlight w:val="none"/>
        </w:rPr>
        <w:t>2.</w:t>
      </w:r>
      <w:r>
        <w:rPr>
          <w:rFonts w:hint="eastAsia" w:cs="仿宋_GB2312" w:asciiTheme="minorEastAsia" w:hAnsiTheme="minorEastAsia" w:eastAsiaTheme="minorEastAsia"/>
          <w:sz w:val="21"/>
          <w:szCs w:val="21"/>
          <w:highlight w:val="none"/>
        </w:rPr>
        <w:t>6</w:t>
      </w:r>
      <w:r>
        <w:rPr>
          <w:rFonts w:cs="仿宋_GB2312" w:asciiTheme="minorEastAsia" w:hAnsiTheme="minorEastAsia" w:eastAsiaTheme="minorEastAsia"/>
          <w:sz w:val="21"/>
          <w:szCs w:val="21"/>
          <w:highlight w:val="none"/>
        </w:rPr>
        <w:t>采购合同由采购人与</w:t>
      </w:r>
      <w:r>
        <w:rPr>
          <w:rFonts w:hint="eastAsia" w:cs="仿宋_GB2312" w:asciiTheme="minorEastAsia" w:hAnsiTheme="minorEastAsia" w:eastAsiaTheme="minorEastAsia"/>
          <w:sz w:val="21"/>
          <w:szCs w:val="21"/>
          <w:highlight w:val="none"/>
        </w:rPr>
        <w:t>成交</w:t>
      </w:r>
      <w:r>
        <w:rPr>
          <w:rFonts w:cs="仿宋_GB2312" w:asciiTheme="minorEastAsia" w:hAnsiTheme="minorEastAsia" w:eastAsiaTheme="minorEastAsia"/>
          <w:sz w:val="21"/>
          <w:szCs w:val="21"/>
          <w:highlight w:val="none"/>
        </w:rPr>
        <w:t>供应商根据</w:t>
      </w:r>
      <w:r>
        <w:rPr>
          <w:rFonts w:hint="eastAsia" w:cs="仿宋_GB2312" w:asciiTheme="minorEastAsia" w:hAnsiTheme="minorEastAsia" w:eastAsiaTheme="minorEastAsia"/>
          <w:sz w:val="21"/>
          <w:szCs w:val="21"/>
          <w:highlight w:val="none"/>
        </w:rPr>
        <w:t>磋商文件、响应文件等内容通过政府采购电子交易平台自动备案。</w:t>
      </w:r>
    </w:p>
    <w:p w14:paraId="4461E946">
      <w:pPr>
        <w:tabs>
          <w:tab w:val="left" w:pos="0"/>
        </w:tabs>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7B3EF23A">
      <w:pPr>
        <w:tabs>
          <w:tab w:val="left" w:pos="0"/>
        </w:tabs>
        <w:spacing w:line="360" w:lineRule="auto"/>
        <w:ind w:firstLine="482"/>
        <w:rPr>
          <w:rFonts w:hint="eastAsia"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Cs w:val="21"/>
          <w:highlight w:val="none"/>
        </w:rPr>
        <w:t>。履约保证金的数额不得超过政府采购合同金额的1%</w:t>
      </w:r>
      <w:r>
        <w:rPr>
          <w:rFonts w:hint="eastAsia" w:ascii="宋体" w:hAnsi="宋体" w:cs="宋体"/>
          <w:szCs w:val="21"/>
          <w:highlight w:val="none"/>
        </w:rPr>
        <w:t>，鼓励根据项目特点、供应商诚信等因素免收履约保证金或降低缴纳比例</w:t>
      </w:r>
      <w:r>
        <w:rPr>
          <w:rFonts w:hint="eastAsia" w:cs="宋体" w:asciiTheme="minorEastAsia" w:hAnsiTheme="minorEastAsia" w:eastAsiaTheme="minorEastAsia"/>
          <w:szCs w:val="21"/>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Cs w:val="21"/>
          <w:highlight w:val="none"/>
        </w:rPr>
        <w:t>延迟退还的，应当按照合同约定和法律规定承担相应的赔偿责任</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b/>
          <w:bCs/>
          <w:szCs w:val="21"/>
          <w:highlight w:val="none"/>
        </w:rPr>
        <w:t>（本项目无需缴纳履约保证金）</w:t>
      </w:r>
    </w:p>
    <w:p w14:paraId="38DF8612">
      <w:pPr>
        <w:tabs>
          <w:tab w:val="left" w:pos="0"/>
        </w:tabs>
        <w:spacing w:line="360" w:lineRule="auto"/>
        <w:ind w:firstLine="482"/>
        <w:rPr>
          <w:rFonts w:hint="eastAsia" w:ascii="宋体" w:hAnsi="宋体" w:cs="宋体"/>
          <w:szCs w:val="21"/>
          <w:highlight w:val="none"/>
        </w:rPr>
      </w:pPr>
      <w:r>
        <w:rPr>
          <w:rFonts w:hint="eastAsia" w:ascii="宋体" w:hAnsi="宋体" w:cs="宋体"/>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2722B3">
      <w:pPr>
        <w:pStyle w:val="3"/>
        <w:numPr>
          <w:ilvl w:val="255"/>
          <w:numId w:val="0"/>
        </w:numPr>
        <w:rPr>
          <w:rFonts w:hint="eastAsia"/>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626B15C6">
      <w:pPr>
        <w:tabs>
          <w:tab w:val="left" w:pos="0"/>
        </w:tabs>
        <w:spacing w:line="360" w:lineRule="auto"/>
        <w:ind w:firstLine="420" w:firstLineChars="200"/>
        <w:rPr>
          <w:rFonts w:hint="eastAsia" w:cs="仿宋_GB2312" w:asciiTheme="minorEastAsia" w:hAnsiTheme="minorEastAsia" w:eastAsiaTheme="minorEastAsia"/>
          <w:b/>
          <w:szCs w:val="21"/>
          <w:highlight w:val="none"/>
        </w:rPr>
      </w:pPr>
      <w:r>
        <w:rPr>
          <w:rFonts w:hint="eastAsia" w:cs="宋体" w:asciiTheme="minorEastAsia" w:hAnsiTheme="minorEastAsia" w:eastAsiaTheme="minorEastAsia"/>
          <w:kern w:val="0"/>
          <w:szCs w:val="21"/>
          <w:highlight w:val="none"/>
        </w:rPr>
        <w:t>采购单位应当在政府采购合同中约定预付款，对中小企业合同预付款比例原则上不低于合同金额的</w:t>
      </w:r>
      <w:r>
        <w:rPr>
          <w:rFonts w:cs="宋体" w:asciiTheme="minorEastAsia" w:hAnsiTheme="minorEastAsia" w:eastAsiaTheme="minorEastAsia"/>
          <w:kern w:val="0"/>
          <w:szCs w:val="21"/>
          <w:highlight w:val="none"/>
        </w:rPr>
        <w:t>40％</w:t>
      </w:r>
      <w:r>
        <w:rPr>
          <w:rFonts w:hint="eastAsia" w:cs="宋体" w:asciiTheme="minorEastAsia" w:hAnsiTheme="minorEastAsia" w:eastAsiaTheme="minorEastAsia"/>
          <w:kern w:val="0"/>
          <w:szCs w:val="21"/>
          <w:highlight w:val="none"/>
        </w:rPr>
        <w:t>，不高于合同金额的</w:t>
      </w:r>
      <w:r>
        <w:rPr>
          <w:rFonts w:cs="宋体" w:asciiTheme="minorEastAsia" w:hAnsiTheme="minorEastAsia" w:eastAsiaTheme="minorEastAsia"/>
          <w:kern w:val="0"/>
          <w:szCs w:val="21"/>
          <w:highlight w:val="none"/>
        </w:rPr>
        <w:t>70%；项目分年安排预算的，每年预付款比例</w:t>
      </w:r>
      <w:r>
        <w:rPr>
          <w:rFonts w:hint="eastAsia" w:cs="宋体" w:asciiTheme="minorEastAsia" w:hAnsiTheme="minorEastAsia" w:eastAsiaTheme="minorEastAsia"/>
          <w:kern w:val="0"/>
          <w:szCs w:val="21"/>
          <w:highlight w:val="none"/>
        </w:rPr>
        <w:t>不低于</w:t>
      </w:r>
      <w:r>
        <w:rPr>
          <w:rFonts w:cs="宋体" w:asciiTheme="minorEastAsia" w:hAnsiTheme="minorEastAsia" w:eastAsiaTheme="minorEastAsia"/>
          <w:kern w:val="0"/>
          <w:szCs w:val="21"/>
          <w:highlight w:val="none"/>
        </w:rPr>
        <w:t>项目年度计划支付资金额的40％</w:t>
      </w:r>
      <w:r>
        <w:rPr>
          <w:rFonts w:hint="eastAsia" w:cs="宋体" w:asciiTheme="minorEastAsia" w:hAnsiTheme="minorEastAsia" w:eastAsiaTheme="minorEastAsia"/>
          <w:kern w:val="0"/>
          <w:szCs w:val="21"/>
          <w:highlight w:val="none"/>
        </w:rPr>
        <w:t>，不高于合同金额的</w:t>
      </w:r>
      <w:r>
        <w:rPr>
          <w:rFonts w:cs="宋体" w:asciiTheme="minorEastAsia" w:hAnsiTheme="minorEastAsia" w:eastAsiaTheme="minorEastAsia"/>
          <w:kern w:val="0"/>
          <w:szCs w:val="21"/>
          <w:highlight w:val="none"/>
        </w:rPr>
        <w:t>70%；采购项目实施以人工投入为主的，</w:t>
      </w:r>
      <w:r>
        <w:rPr>
          <w:rFonts w:hint="eastAsia" w:cs="宋体" w:asciiTheme="minorEastAsia" w:hAnsiTheme="minorEastAsia" w:eastAsiaTheme="minorEastAsia"/>
          <w:kern w:val="0"/>
          <w:szCs w:val="21"/>
          <w:highlight w:val="none"/>
        </w:rPr>
        <w:t>可适当降低预付款比例，但不得低于</w:t>
      </w:r>
      <w:r>
        <w:rPr>
          <w:rFonts w:cs="宋体" w:asciiTheme="minorEastAsia" w:hAnsiTheme="minorEastAsia" w:eastAsiaTheme="minorEastAsia"/>
          <w:kern w:val="0"/>
          <w:szCs w:val="21"/>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kern w:val="0"/>
          <w:szCs w:val="21"/>
          <w:highlight w:val="none"/>
        </w:rPr>
        <w:t>供应商</w:t>
      </w:r>
      <w:r>
        <w:rPr>
          <w:rFonts w:cs="宋体" w:asciiTheme="minorEastAsia" w:hAnsiTheme="minorEastAsia" w:eastAsiaTheme="minorEastAsia"/>
          <w:kern w:val="0"/>
          <w:szCs w:val="21"/>
          <w:highlight w:val="none"/>
        </w:rPr>
        <w:t>明确表示无需预付款或者主动要求降低预付款比例的，</w:t>
      </w:r>
      <w:r>
        <w:rPr>
          <w:rFonts w:hint="eastAsia" w:cs="宋体" w:asciiTheme="minorEastAsia" w:hAnsiTheme="minorEastAsia" w:eastAsiaTheme="minorEastAsia"/>
          <w:kern w:val="0"/>
          <w:szCs w:val="21"/>
          <w:highlight w:val="none"/>
        </w:rPr>
        <w:t>采购单位</w:t>
      </w:r>
      <w:r>
        <w:rPr>
          <w:rFonts w:cs="宋体" w:asciiTheme="minorEastAsia" w:hAnsiTheme="minorEastAsia" w:eastAsiaTheme="minorEastAsia"/>
          <w:kern w:val="0"/>
          <w:szCs w:val="21"/>
          <w:highlight w:val="none"/>
        </w:rPr>
        <w:t>可不适用前述规定。</w:t>
      </w:r>
      <w:r>
        <w:rPr>
          <w:rFonts w:hint="eastAsia" w:cs="宋体" w:asciiTheme="minorEastAsia" w:hAnsiTheme="minorEastAsia" w:eastAsiaTheme="minorEastAsia"/>
          <w:kern w:val="0"/>
          <w:szCs w:val="21"/>
          <w:highlight w:val="none"/>
        </w:rPr>
        <w:t>采购单位</w:t>
      </w:r>
      <w:r>
        <w:rPr>
          <w:rFonts w:cs="宋体" w:asciiTheme="minorEastAsia" w:hAnsiTheme="minorEastAsia" w:eastAsiaTheme="minorEastAsia"/>
          <w:kern w:val="0"/>
          <w:szCs w:val="21"/>
          <w:highlight w:val="none"/>
        </w:rPr>
        <w:t>根据项目特点、供应商诚信等因素，可以要求</w:t>
      </w:r>
      <w:r>
        <w:rPr>
          <w:rFonts w:hint="eastAsia" w:cs="宋体" w:asciiTheme="minorEastAsia" w:hAnsiTheme="minorEastAsia" w:eastAsiaTheme="minorEastAsia"/>
          <w:kern w:val="0"/>
          <w:szCs w:val="21"/>
          <w:highlight w:val="none"/>
        </w:rPr>
        <w:t>供应商</w:t>
      </w:r>
      <w:r>
        <w:rPr>
          <w:rFonts w:cs="宋体" w:asciiTheme="minorEastAsia" w:hAnsiTheme="minorEastAsia" w:eastAsiaTheme="minorEastAsia"/>
          <w:kern w:val="0"/>
          <w:szCs w:val="21"/>
          <w:highlight w:val="none"/>
        </w:rPr>
        <w:t>提交银行、保险公司等金融机构出具的预付款保函或其他担保措施。政府采购预付款应在合同生效以及具备实施条件后7个工作日内支付。</w:t>
      </w:r>
      <w:r>
        <w:rPr>
          <w:rFonts w:hint="eastAsia" w:cs="宋体" w:asciiTheme="minorEastAsia" w:hAnsiTheme="minorEastAsia" w:eastAsiaTheme="minorEastAsia"/>
          <w:kern w:val="0"/>
          <w:szCs w:val="21"/>
          <w:highlight w:val="none"/>
        </w:rPr>
        <w:t>政府采购工程以及与工程建设有关的货物、服务，采用招标方式采购的，预付款从其相关规定。</w:t>
      </w:r>
    </w:p>
    <w:p w14:paraId="412F4ABC">
      <w:pPr>
        <w:snapToGrid w:val="0"/>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4E52E729">
      <w:pPr>
        <w:pStyle w:val="25"/>
        <w:spacing w:line="360" w:lineRule="auto"/>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1.验收</w:t>
      </w:r>
    </w:p>
    <w:p w14:paraId="5D7AFA11">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D846C6">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1.2采购人可以邀请参加本项目的其他供应商或者第三方机构参与验收。参与验收的供应商或者第三方机构的意见作为验收书的参考资料一并存档。</w:t>
      </w:r>
    </w:p>
    <w:p w14:paraId="712009A5">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1EF879">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2F2BC6">
      <w:pPr>
        <w:snapToGrid w:val="0"/>
        <w:spacing w:line="360" w:lineRule="auto"/>
        <w:jc w:val="center"/>
        <w:rPr>
          <w:rFonts w:hint="eastAsia"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6CAF2178">
      <w:pPr>
        <w:tabs>
          <w:tab w:val="left" w:pos="0"/>
        </w:tabs>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1. 电子交易活动的中止</w:t>
      </w:r>
    </w:p>
    <w:p w14:paraId="15A3F0EE">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采购过程中出现以下情形，导致电子交易平台无法正常运行，或者无法保证电子交易的公平、公正和安全时，采购代理机构可中止电子交易活动：</w:t>
      </w:r>
    </w:p>
    <w:p w14:paraId="4D5EA983">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 xml:space="preserve">1.1电子交易平台发生故障而无法登录、访问、解密的； </w:t>
      </w:r>
    </w:p>
    <w:p w14:paraId="4399D244">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1.2电子交易平台应用或数据库出现错误，不能进行正常操作的；</w:t>
      </w:r>
    </w:p>
    <w:p w14:paraId="7F246612">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1.3电子交易平台发现严重安全漏洞，有潜在泄密危险的；</w:t>
      </w:r>
    </w:p>
    <w:p w14:paraId="326CCBE8">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 xml:space="preserve">1.4病毒发作导致不能进行正常操作的； </w:t>
      </w:r>
    </w:p>
    <w:p w14:paraId="12D7576E">
      <w:pPr>
        <w:tabs>
          <w:tab w:val="left" w:pos="0"/>
        </w:tabs>
        <w:spacing w:line="360" w:lineRule="auto"/>
        <w:ind w:firstLine="480"/>
        <w:rPr>
          <w:rFonts w:hint="eastAsia" w:cs="Helvetica" w:asciiTheme="minorEastAsia" w:hAnsiTheme="minorEastAsia" w:eastAsiaTheme="minorEastAsia"/>
          <w:kern w:val="0"/>
          <w:szCs w:val="21"/>
          <w:highlight w:val="none"/>
        </w:rPr>
      </w:pPr>
      <w:r>
        <w:rPr>
          <w:rFonts w:hint="eastAsia" w:cs="Helvetica" w:asciiTheme="minorEastAsia" w:hAnsiTheme="minorEastAsia" w:eastAsiaTheme="minorEastAsia"/>
          <w:kern w:val="0"/>
          <w:szCs w:val="21"/>
          <w:highlight w:val="none"/>
        </w:rPr>
        <w:t>1.5其他无法保证电子交易的公平、公正和安全的情况。</w:t>
      </w:r>
    </w:p>
    <w:p w14:paraId="6A41C9C3">
      <w:pPr>
        <w:tabs>
          <w:tab w:val="left" w:pos="0"/>
        </w:tabs>
        <w:spacing w:line="360" w:lineRule="auto"/>
        <w:rPr>
          <w:rFonts w:hint="eastAsia"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Cs w:val="21"/>
          <w:highlight w:val="none"/>
        </w:rPr>
        <w:t>2.</w:t>
      </w:r>
      <w:r>
        <w:rPr>
          <w:rFonts w:hint="eastAsia" w:cs="Helvetica" w:asciiTheme="minorEastAsia" w:hAnsiTheme="minorEastAsia" w:eastAsiaTheme="minorEastAsia"/>
          <w:kern w:val="0"/>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6" w:name="_Hlt74707468"/>
      <w:bookmarkEnd w:id="56"/>
      <w:bookmarkStart w:id="57" w:name="_Hlt68057669"/>
      <w:bookmarkEnd w:id="57"/>
      <w:bookmarkStart w:id="58" w:name="_Hlt68072990"/>
      <w:bookmarkEnd w:id="58"/>
      <w:bookmarkStart w:id="59" w:name="_Hlt75236011"/>
      <w:bookmarkEnd w:id="59"/>
      <w:bookmarkStart w:id="60" w:name="_Hlt75236290"/>
      <w:bookmarkEnd w:id="60"/>
      <w:bookmarkStart w:id="61" w:name="_Hlt75236101"/>
      <w:bookmarkEnd w:id="61"/>
      <w:bookmarkStart w:id="62" w:name="_Hlt74729768"/>
      <w:bookmarkEnd w:id="62"/>
      <w:bookmarkStart w:id="63" w:name="_Hlt74714665"/>
      <w:bookmarkEnd w:id="63"/>
      <w:bookmarkStart w:id="64" w:name="_Hlt74730295"/>
      <w:bookmarkEnd w:id="64"/>
      <w:bookmarkStart w:id="65" w:name="_Toc164416483"/>
      <w:bookmarkStart w:id="66" w:name="第三部分"/>
      <w:r>
        <w:rPr>
          <w:rFonts w:cs="仿宋_GB2312" w:asciiTheme="minorEastAsia" w:hAnsiTheme="minorEastAsia" w:eastAsiaTheme="minorEastAsia"/>
          <w:b/>
          <w:sz w:val="36"/>
          <w:szCs w:val="36"/>
          <w:highlight w:val="none"/>
        </w:rPr>
        <w:br w:type="page"/>
      </w:r>
    </w:p>
    <w:p w14:paraId="78E61D85">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48F8B36D">
      <w:pPr>
        <w:widowControl/>
        <w:spacing w:line="360" w:lineRule="auto"/>
        <w:jc w:val="center"/>
        <w:outlineLvl w:val="2"/>
        <w:rPr>
          <w:rFonts w:hint="eastAsia" w:ascii="宋体" w:hAnsi="宋体" w:cs="宋体"/>
          <w:b/>
          <w:bCs/>
          <w:szCs w:val="21"/>
          <w:highlight w:val="none"/>
        </w:rPr>
      </w:pPr>
      <w:bookmarkStart w:id="67" w:name="_Toc298230958"/>
      <w:bookmarkStart w:id="68" w:name="_Toc520902392"/>
      <w:bookmarkStart w:id="69" w:name="_Hlk155177815"/>
      <w:bookmarkStart w:id="70" w:name="_Hlk135312549"/>
    </w:p>
    <w:p w14:paraId="5FB48B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一、项目背景</w:t>
      </w:r>
    </w:p>
    <w:p w14:paraId="247A903C">
      <w:pPr>
        <w:widowControl/>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为贯彻省、市数字政府2.0建设要求，安全稳妥有序地推进人工智能在政务领域的应用，坚决落实上级统筹集约部署要求积极响应基层信创化 AI赋能支撑需求,在前期决策咨询的基础上，拟以服务采购方式对海曙区信创化政务应用开发测试环境进行优化提升，以满足政务智能体开发测试需要。本服务的主要内容包括政务外网 AI+政务应用开发测试环境及办公软件的一体化供给等服务内容采购。</w:t>
      </w:r>
    </w:p>
    <w:p w14:paraId="143140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二、项目需求说明</w:t>
      </w:r>
    </w:p>
    <w:p w14:paraId="334E5DAF">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（一）项目服务期限</w:t>
      </w:r>
    </w:p>
    <w:p w14:paraId="4F4B47F9">
      <w:pPr>
        <w:widowControl/>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cs="Times New Roman" w:asciiTheme="minorEastAsia" w:hAnsiTheme="minorEastAsia" w:eastAsiaTheme="minorEastAsia"/>
          <w:bCs/>
          <w:szCs w:val="21"/>
          <w:highlight w:val="none"/>
          <w:lang w:val="en-US" w:eastAsia="zh-CN"/>
        </w:rPr>
        <w:t>合同签订后一个月内完成各项服务及设备的安装和部署，之后进行两个月的试运行，试运行完成并通过验收后转入3年服务期</w:t>
      </w:r>
      <w:r>
        <w:rPr>
          <w:rFonts w:hint="eastAsia" w:asciiTheme="minorEastAsia" w:hAnsiTheme="minorEastAsia" w:eastAsiaTheme="minorEastAsia" w:cstheme="minorEastAsia"/>
          <w:kern w:val="0"/>
          <w:sz w:val="21"/>
          <w:szCs w:val="21"/>
          <w:highlight w:val="none"/>
        </w:rPr>
        <w:t>，服务起始时间以招标人对项目验收通过时间为准。</w:t>
      </w:r>
    </w:p>
    <w:p w14:paraId="680CD4AB">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（二）采购内容概述</w:t>
      </w:r>
    </w:p>
    <w:tbl>
      <w:tblPr>
        <w:tblStyle w:val="62"/>
        <w:tblW w:w="8534" w:type="dxa"/>
        <w:tblInd w:w="250" w:type="dxa"/>
        <w:tblLayout w:type="fixed"/>
        <w:tblCellMar>
          <w:top w:w="0" w:type="dxa"/>
          <w:left w:w="108" w:type="dxa"/>
          <w:bottom w:w="0" w:type="dxa"/>
          <w:right w:w="108" w:type="dxa"/>
        </w:tblCellMar>
      </w:tblPr>
      <w:tblGrid>
        <w:gridCol w:w="879"/>
        <w:gridCol w:w="2835"/>
        <w:gridCol w:w="1418"/>
        <w:gridCol w:w="3402"/>
      </w:tblGrid>
      <w:tr w14:paraId="267457A8">
        <w:tblPrEx>
          <w:tblCellMar>
            <w:top w:w="0" w:type="dxa"/>
            <w:left w:w="108" w:type="dxa"/>
            <w:bottom w:w="0" w:type="dxa"/>
            <w:right w:w="108" w:type="dxa"/>
          </w:tblCellMar>
        </w:tblPrEx>
        <w:trPr>
          <w:trHeight w:val="634"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58D418AA">
            <w:pPr>
              <w:spacing w:line="360" w:lineRule="auto"/>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序号</w:t>
            </w:r>
          </w:p>
        </w:tc>
        <w:tc>
          <w:tcPr>
            <w:tcW w:w="2835" w:type="dxa"/>
            <w:tcBorders>
              <w:top w:val="single" w:color="auto" w:sz="4" w:space="0"/>
              <w:left w:val="nil"/>
              <w:bottom w:val="single" w:color="auto" w:sz="4" w:space="0"/>
              <w:right w:val="single" w:color="auto" w:sz="4" w:space="0"/>
            </w:tcBorders>
            <w:noWrap w:val="0"/>
            <w:vAlign w:val="center"/>
          </w:tcPr>
          <w:p w14:paraId="177338FB">
            <w:pPr>
              <w:spacing w:line="360" w:lineRule="auto"/>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服务内容</w:t>
            </w:r>
          </w:p>
        </w:tc>
        <w:tc>
          <w:tcPr>
            <w:tcW w:w="1418" w:type="dxa"/>
            <w:tcBorders>
              <w:top w:val="single" w:color="auto" w:sz="4" w:space="0"/>
              <w:left w:val="nil"/>
              <w:bottom w:val="single" w:color="auto" w:sz="4" w:space="0"/>
              <w:right w:val="single" w:color="auto" w:sz="4" w:space="0"/>
            </w:tcBorders>
            <w:noWrap w:val="0"/>
            <w:vAlign w:val="center"/>
          </w:tcPr>
          <w:p w14:paraId="2D288426">
            <w:pPr>
              <w:spacing w:line="360" w:lineRule="auto"/>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数量</w:t>
            </w:r>
          </w:p>
        </w:tc>
        <w:tc>
          <w:tcPr>
            <w:tcW w:w="3402" w:type="dxa"/>
            <w:tcBorders>
              <w:top w:val="single" w:color="auto" w:sz="4" w:space="0"/>
              <w:left w:val="nil"/>
              <w:bottom w:val="single" w:color="auto" w:sz="4" w:space="0"/>
              <w:right w:val="single" w:color="auto" w:sz="4" w:space="0"/>
            </w:tcBorders>
            <w:noWrap w:val="0"/>
            <w:vAlign w:val="center"/>
          </w:tcPr>
          <w:p w14:paraId="1CCD58A2">
            <w:pPr>
              <w:spacing w:line="360" w:lineRule="auto"/>
              <w:jc w:val="center"/>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val="en-US" w:eastAsia="zh-CN"/>
              </w:rPr>
              <w:t>内容</w:t>
            </w:r>
          </w:p>
        </w:tc>
      </w:tr>
      <w:tr w14:paraId="5AB6A270">
        <w:tblPrEx>
          <w:tblCellMar>
            <w:top w:w="0" w:type="dxa"/>
            <w:left w:w="108" w:type="dxa"/>
            <w:bottom w:w="0" w:type="dxa"/>
            <w:right w:w="108" w:type="dxa"/>
          </w:tblCellMar>
        </w:tblPrEx>
        <w:trPr>
          <w:trHeight w:val="82"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2242A8F">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12E2CAF8">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算力节点租赁</w:t>
            </w:r>
          </w:p>
        </w:tc>
        <w:tc>
          <w:tcPr>
            <w:tcW w:w="1418" w:type="dxa"/>
            <w:tcBorders>
              <w:top w:val="single" w:color="auto" w:sz="4" w:space="0"/>
              <w:left w:val="nil"/>
              <w:bottom w:val="single" w:color="auto" w:sz="4" w:space="0"/>
              <w:right w:val="single" w:color="auto" w:sz="4" w:space="0"/>
            </w:tcBorders>
            <w:noWrap w:val="0"/>
            <w:vAlign w:val="center"/>
          </w:tcPr>
          <w:p w14:paraId="1E63D443">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w:t>
            </w:r>
          </w:p>
        </w:tc>
        <w:tc>
          <w:tcPr>
            <w:tcW w:w="3402" w:type="dxa"/>
            <w:tcBorders>
              <w:top w:val="single" w:color="auto" w:sz="4" w:space="0"/>
              <w:left w:val="nil"/>
              <w:bottom w:val="single" w:color="auto" w:sz="4" w:space="0"/>
              <w:right w:val="single" w:color="auto" w:sz="4" w:space="0"/>
            </w:tcBorders>
            <w:noWrap w:val="0"/>
            <w:vAlign w:val="center"/>
          </w:tcPr>
          <w:p w14:paraId="65180719">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包括算力节点服务器、存储服务器、网络等设备的租赁。</w:t>
            </w:r>
          </w:p>
        </w:tc>
      </w:tr>
      <w:tr w14:paraId="1A32F060">
        <w:tblPrEx>
          <w:tblCellMar>
            <w:top w:w="0" w:type="dxa"/>
            <w:left w:w="108" w:type="dxa"/>
            <w:bottom w:w="0" w:type="dxa"/>
            <w:right w:w="108" w:type="dxa"/>
          </w:tblCellMar>
        </w:tblPrEx>
        <w:trPr>
          <w:trHeight w:val="82"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6523DDC">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2835" w:type="dxa"/>
            <w:tcBorders>
              <w:top w:val="single" w:color="auto" w:sz="4" w:space="0"/>
              <w:left w:val="nil"/>
              <w:bottom w:val="single" w:color="auto" w:sz="4" w:space="0"/>
              <w:right w:val="single" w:color="auto" w:sz="4" w:space="0"/>
            </w:tcBorders>
            <w:noWrap w:val="0"/>
            <w:vAlign w:val="center"/>
          </w:tcPr>
          <w:p w14:paraId="271847D6">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测试环境部署实施</w:t>
            </w:r>
          </w:p>
        </w:tc>
        <w:tc>
          <w:tcPr>
            <w:tcW w:w="1418" w:type="dxa"/>
            <w:tcBorders>
              <w:top w:val="single" w:color="auto" w:sz="4" w:space="0"/>
              <w:left w:val="nil"/>
              <w:bottom w:val="single" w:color="auto" w:sz="4" w:space="0"/>
              <w:right w:val="single" w:color="auto" w:sz="4" w:space="0"/>
            </w:tcBorders>
            <w:noWrap w:val="0"/>
            <w:vAlign w:val="center"/>
          </w:tcPr>
          <w:p w14:paraId="51D28A06">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w:t>
            </w:r>
          </w:p>
        </w:tc>
        <w:tc>
          <w:tcPr>
            <w:tcW w:w="3402" w:type="dxa"/>
            <w:tcBorders>
              <w:top w:val="single" w:color="auto" w:sz="4" w:space="0"/>
              <w:left w:val="nil"/>
              <w:bottom w:val="single" w:color="auto" w:sz="4" w:space="0"/>
              <w:right w:val="single" w:color="auto" w:sz="4" w:space="0"/>
            </w:tcBorders>
            <w:noWrap w:val="0"/>
            <w:vAlign w:val="center"/>
          </w:tcPr>
          <w:p w14:paraId="52A4E681">
            <w:pPr>
              <w:spacing w:line="360" w:lineRule="auto"/>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包括推理框架部署实施、开源大模型部署及优化</w:t>
            </w:r>
          </w:p>
        </w:tc>
      </w:tr>
      <w:tr w14:paraId="087EBDFE">
        <w:tblPrEx>
          <w:tblCellMar>
            <w:top w:w="0" w:type="dxa"/>
            <w:left w:w="108" w:type="dxa"/>
            <w:bottom w:w="0" w:type="dxa"/>
            <w:right w:w="108" w:type="dxa"/>
          </w:tblCellMar>
        </w:tblPrEx>
        <w:trPr>
          <w:trHeight w:val="82"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2A67B0F1">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2835" w:type="dxa"/>
            <w:tcBorders>
              <w:top w:val="single" w:color="auto" w:sz="4" w:space="0"/>
              <w:left w:val="nil"/>
              <w:bottom w:val="single" w:color="auto" w:sz="4" w:space="0"/>
              <w:right w:val="single" w:color="auto" w:sz="4" w:space="0"/>
            </w:tcBorders>
            <w:noWrap w:val="0"/>
            <w:vAlign w:val="center"/>
          </w:tcPr>
          <w:p w14:paraId="532D577D">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AI智能体服务</w:t>
            </w:r>
          </w:p>
        </w:tc>
        <w:tc>
          <w:tcPr>
            <w:tcW w:w="1418" w:type="dxa"/>
            <w:tcBorders>
              <w:top w:val="single" w:color="auto" w:sz="4" w:space="0"/>
              <w:left w:val="nil"/>
              <w:bottom w:val="single" w:color="auto" w:sz="4" w:space="0"/>
              <w:right w:val="single" w:color="auto" w:sz="4" w:space="0"/>
            </w:tcBorders>
            <w:noWrap w:val="0"/>
            <w:vAlign w:val="center"/>
          </w:tcPr>
          <w:p w14:paraId="5C2C8234">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w:t>
            </w:r>
          </w:p>
        </w:tc>
        <w:tc>
          <w:tcPr>
            <w:tcW w:w="3402" w:type="dxa"/>
            <w:tcBorders>
              <w:top w:val="single" w:color="auto" w:sz="4" w:space="0"/>
              <w:left w:val="nil"/>
              <w:bottom w:val="single" w:color="auto" w:sz="4" w:space="0"/>
              <w:right w:val="single" w:color="auto" w:sz="4" w:space="0"/>
            </w:tcBorders>
            <w:noWrap w:val="0"/>
            <w:vAlign w:val="center"/>
          </w:tcPr>
          <w:p w14:paraId="27ACB6D4">
            <w:pPr>
              <w:spacing w:line="360" w:lineRule="auto"/>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包括本地对话、辅助写作、文本校对、文档解析、智能检索、知识文库、录音转写、PPT生成、模型安全等功能模块。</w:t>
            </w:r>
          </w:p>
        </w:tc>
      </w:tr>
    </w:tbl>
    <w:p w14:paraId="5CCB5F42">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（三）详细服务内容</w:t>
      </w:r>
    </w:p>
    <w:p w14:paraId="40CC71A4">
      <w:pPr>
        <w:keepNext/>
        <w:keepLines/>
        <w:pageBreakBefore w:val="0"/>
        <w:widowControl w:val="0"/>
        <w:numPr>
          <w:ilvl w:val="1"/>
          <w:numId w:val="7"/>
        </w:numPr>
        <w:tabs>
          <w:tab w:val="left" w:pos="851"/>
        </w:tabs>
        <w:kinsoku/>
        <w:wordWrap/>
        <w:overflowPunct/>
        <w:topLinePunct w:val="0"/>
        <w:autoSpaceDE/>
        <w:autoSpaceDN/>
        <w:bidi w:val="0"/>
        <w:adjustRightInd w:val="0"/>
        <w:snapToGrid w:val="0"/>
        <w:spacing w:line="360" w:lineRule="auto"/>
        <w:ind w:firstLine="482" w:firstLineChars="0"/>
        <w:jc w:val="left"/>
        <w:textAlignment w:val="auto"/>
        <w:outlineLvl w:val="2"/>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算力节点租赁</w:t>
      </w:r>
    </w:p>
    <w:p w14:paraId="7744EFCF">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算力节点</w:t>
      </w:r>
      <w:r>
        <w:rPr>
          <w:rFonts w:hint="eastAsia" w:asciiTheme="minorEastAsia" w:hAnsiTheme="minorEastAsia" w:eastAsiaTheme="minorEastAsia" w:cstheme="minorEastAsia"/>
          <w:sz w:val="21"/>
          <w:szCs w:val="21"/>
          <w:highlight w:val="none"/>
          <w:lang w:val="en-US" w:eastAsia="zh-CN"/>
        </w:rPr>
        <w:t>租赁</w:t>
      </w:r>
      <w:r>
        <w:rPr>
          <w:rFonts w:hint="eastAsia" w:asciiTheme="minorEastAsia" w:hAnsiTheme="minorEastAsia" w:eastAsiaTheme="minorEastAsia" w:cstheme="minorEastAsia"/>
          <w:sz w:val="21"/>
          <w:szCs w:val="21"/>
          <w:highlight w:val="none"/>
        </w:rPr>
        <w:t>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3770"/>
        <w:gridCol w:w="1528"/>
        <w:gridCol w:w="1826"/>
      </w:tblGrid>
      <w:tr w14:paraId="00D7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64" w:type="pct"/>
            <w:noWrap w:val="0"/>
            <w:vAlign w:val="center"/>
          </w:tcPr>
          <w:p w14:paraId="385B96D2">
            <w:pPr>
              <w:adjustRightInd w:val="0"/>
              <w:snapToGrid w:val="0"/>
              <w:spacing w:line="240" w:lineRule="auto"/>
              <w:ind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序号</w:t>
            </w:r>
          </w:p>
        </w:tc>
        <w:tc>
          <w:tcPr>
            <w:tcW w:w="2030" w:type="pct"/>
            <w:noWrap w:val="0"/>
            <w:vAlign w:val="center"/>
          </w:tcPr>
          <w:p w14:paraId="77E0F3B1">
            <w:pPr>
              <w:adjustRightInd w:val="0"/>
              <w:snapToGrid w:val="0"/>
              <w:spacing w:line="240" w:lineRule="auto"/>
              <w:ind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sz w:val="21"/>
                <w:szCs w:val="21"/>
                <w:highlight w:val="none"/>
              </w:rPr>
              <w:t>设备名称</w:t>
            </w:r>
          </w:p>
        </w:tc>
        <w:tc>
          <w:tcPr>
            <w:tcW w:w="823" w:type="pct"/>
            <w:noWrap w:val="0"/>
            <w:vAlign w:val="center"/>
          </w:tcPr>
          <w:p w14:paraId="7130DC83">
            <w:pPr>
              <w:adjustRightInd w:val="0"/>
              <w:snapToGrid w:val="0"/>
              <w:spacing w:line="240" w:lineRule="auto"/>
              <w:ind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单位</w:t>
            </w:r>
          </w:p>
        </w:tc>
        <w:tc>
          <w:tcPr>
            <w:tcW w:w="983" w:type="pct"/>
            <w:noWrap w:val="0"/>
            <w:vAlign w:val="center"/>
          </w:tcPr>
          <w:p w14:paraId="3AD53E09">
            <w:pPr>
              <w:adjustRightInd w:val="0"/>
              <w:snapToGrid w:val="0"/>
              <w:spacing w:line="240" w:lineRule="auto"/>
              <w:ind w:firstLine="0" w:firstLineChars="0"/>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数量</w:t>
            </w:r>
          </w:p>
        </w:tc>
      </w:tr>
      <w:tr w14:paraId="39E0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pct"/>
            <w:noWrap w:val="0"/>
            <w:vAlign w:val="center"/>
          </w:tcPr>
          <w:p w14:paraId="6F3AE399">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2030" w:type="pct"/>
            <w:noWrap w:val="0"/>
            <w:vAlign w:val="center"/>
          </w:tcPr>
          <w:p w14:paraId="72BECA7B">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算力服务器</w:t>
            </w:r>
          </w:p>
        </w:tc>
        <w:tc>
          <w:tcPr>
            <w:tcW w:w="823" w:type="pct"/>
            <w:noWrap w:val="0"/>
            <w:vAlign w:val="center"/>
          </w:tcPr>
          <w:p w14:paraId="614626D8">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983" w:type="pct"/>
            <w:noWrap w:val="0"/>
            <w:vAlign w:val="center"/>
          </w:tcPr>
          <w:p w14:paraId="785003C3">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w:t>
            </w:r>
          </w:p>
        </w:tc>
      </w:tr>
      <w:tr w14:paraId="104E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64" w:type="pct"/>
            <w:noWrap w:val="0"/>
            <w:vAlign w:val="center"/>
          </w:tcPr>
          <w:p w14:paraId="79C32D5F">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2030" w:type="pct"/>
            <w:noWrap w:val="0"/>
            <w:vAlign w:val="center"/>
          </w:tcPr>
          <w:p w14:paraId="1331CCEA">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存储服务器</w:t>
            </w:r>
          </w:p>
        </w:tc>
        <w:tc>
          <w:tcPr>
            <w:tcW w:w="823" w:type="pct"/>
            <w:noWrap w:val="0"/>
            <w:vAlign w:val="center"/>
          </w:tcPr>
          <w:p w14:paraId="436A5715">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983" w:type="pct"/>
            <w:noWrap w:val="0"/>
            <w:vAlign w:val="center"/>
          </w:tcPr>
          <w:p w14:paraId="2A61D633">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r>
      <w:tr w14:paraId="2B13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64" w:type="pct"/>
            <w:noWrap w:val="0"/>
            <w:vAlign w:val="center"/>
          </w:tcPr>
          <w:p w14:paraId="498F978F">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2030" w:type="pct"/>
            <w:noWrap w:val="0"/>
            <w:vAlign w:val="center"/>
          </w:tcPr>
          <w:p w14:paraId="4070CBB0">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RoCE交换机</w:t>
            </w:r>
          </w:p>
        </w:tc>
        <w:tc>
          <w:tcPr>
            <w:tcW w:w="823" w:type="pct"/>
            <w:noWrap w:val="0"/>
            <w:vAlign w:val="center"/>
          </w:tcPr>
          <w:p w14:paraId="14045F3F">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983" w:type="pct"/>
            <w:noWrap w:val="0"/>
            <w:vAlign w:val="center"/>
          </w:tcPr>
          <w:p w14:paraId="5B7AD66E">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r>
      <w:tr w14:paraId="24C5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64" w:type="pct"/>
            <w:noWrap w:val="0"/>
            <w:vAlign w:val="center"/>
          </w:tcPr>
          <w:p w14:paraId="41728659">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w:t>
            </w:r>
          </w:p>
        </w:tc>
        <w:tc>
          <w:tcPr>
            <w:tcW w:w="2030" w:type="pct"/>
            <w:noWrap w:val="0"/>
            <w:vAlign w:val="center"/>
          </w:tcPr>
          <w:p w14:paraId="7C77FD8B">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业务交换机</w:t>
            </w:r>
          </w:p>
        </w:tc>
        <w:tc>
          <w:tcPr>
            <w:tcW w:w="823" w:type="pct"/>
            <w:noWrap w:val="0"/>
            <w:vAlign w:val="center"/>
          </w:tcPr>
          <w:p w14:paraId="4E8CF90E">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983" w:type="pct"/>
            <w:noWrap w:val="0"/>
            <w:vAlign w:val="center"/>
          </w:tcPr>
          <w:p w14:paraId="6AAE31C4">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r>
      <w:tr w14:paraId="0E9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64" w:type="pct"/>
            <w:noWrap w:val="0"/>
            <w:vAlign w:val="center"/>
          </w:tcPr>
          <w:p w14:paraId="242ABF2D">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w:t>
            </w:r>
          </w:p>
        </w:tc>
        <w:tc>
          <w:tcPr>
            <w:tcW w:w="2030" w:type="pct"/>
            <w:noWrap w:val="0"/>
            <w:vAlign w:val="center"/>
          </w:tcPr>
          <w:p w14:paraId="3F2F371D">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管理交换机</w:t>
            </w:r>
          </w:p>
        </w:tc>
        <w:tc>
          <w:tcPr>
            <w:tcW w:w="823" w:type="pct"/>
            <w:noWrap w:val="0"/>
            <w:vAlign w:val="center"/>
          </w:tcPr>
          <w:p w14:paraId="70C0EAB1">
            <w:pPr>
              <w:adjustRightInd w:val="0"/>
              <w:snapToGrid w:val="0"/>
              <w:spacing w:line="24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983" w:type="pct"/>
            <w:noWrap w:val="0"/>
            <w:vAlign w:val="center"/>
          </w:tcPr>
          <w:p w14:paraId="322E19A3">
            <w:pPr>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2</w:t>
            </w:r>
          </w:p>
        </w:tc>
      </w:tr>
    </w:tbl>
    <w:p w14:paraId="62409250">
      <w:pPr>
        <w:adjustRightInd w:val="0"/>
        <w:snapToGrid w:val="0"/>
        <w:spacing w:line="160" w:lineRule="exact"/>
        <w:ind w:firstLine="420" w:firstLineChars="200"/>
        <w:rPr>
          <w:rFonts w:hint="eastAsia" w:asciiTheme="minorEastAsia" w:hAnsiTheme="minorEastAsia" w:eastAsiaTheme="minorEastAsia" w:cstheme="minorEastAsia"/>
          <w:sz w:val="21"/>
          <w:szCs w:val="21"/>
          <w:highlight w:val="none"/>
        </w:rPr>
      </w:pPr>
    </w:p>
    <w:p w14:paraId="5D954B33">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技术</w:t>
      </w:r>
      <w:r>
        <w:rPr>
          <w:rFonts w:hint="eastAsia" w:asciiTheme="minorEastAsia" w:hAnsiTheme="minorEastAsia" w:eastAsiaTheme="minorEastAsia" w:cstheme="minorEastAsia"/>
          <w:sz w:val="21"/>
          <w:szCs w:val="21"/>
          <w:highlight w:val="none"/>
        </w:rPr>
        <w:t>参数</w:t>
      </w:r>
      <w:r>
        <w:rPr>
          <w:rFonts w:hint="eastAsia" w:asciiTheme="minorEastAsia" w:hAnsiTheme="minorEastAsia" w:eastAsiaTheme="minorEastAsia" w:cstheme="minorEastAsia"/>
          <w:sz w:val="21"/>
          <w:szCs w:val="21"/>
          <w:highlight w:val="none"/>
          <w:lang w:val="en-US" w:eastAsia="zh-CN"/>
        </w:rPr>
        <w:t>要求如下：</w:t>
      </w:r>
    </w:p>
    <w:tbl>
      <w:tblPr>
        <w:tblStyle w:val="62"/>
        <w:tblW w:w="5000" w:type="pct"/>
        <w:tblInd w:w="0" w:type="dxa"/>
        <w:tblLayout w:type="autofit"/>
        <w:tblCellMar>
          <w:top w:w="0" w:type="dxa"/>
          <w:left w:w="108" w:type="dxa"/>
          <w:bottom w:w="0" w:type="dxa"/>
          <w:right w:w="108" w:type="dxa"/>
        </w:tblCellMar>
      </w:tblPr>
      <w:tblGrid>
        <w:gridCol w:w="781"/>
        <w:gridCol w:w="1007"/>
        <w:gridCol w:w="7498"/>
      </w:tblGrid>
      <w:tr w14:paraId="41B9F3D5">
        <w:tblPrEx>
          <w:tblCellMar>
            <w:top w:w="0" w:type="dxa"/>
            <w:left w:w="108" w:type="dxa"/>
            <w:bottom w:w="0" w:type="dxa"/>
            <w:right w:w="108" w:type="dxa"/>
          </w:tblCellMar>
        </w:tblPrEx>
        <w:trPr>
          <w:trHeight w:val="459" w:hRule="atLeast"/>
          <w:tblHeader/>
        </w:trPr>
        <w:tc>
          <w:tcPr>
            <w:tcW w:w="42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948D63">
            <w:pPr>
              <w:widowControl/>
              <w:adjustRightInd/>
              <w:snapToGrid/>
              <w:spacing w:line="240" w:lineRule="auto"/>
              <w:ind w:firstLine="0" w:firstLineChars="0"/>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序号</w:t>
            </w:r>
          </w:p>
        </w:tc>
        <w:tc>
          <w:tcPr>
            <w:tcW w:w="542" w:type="pct"/>
            <w:tcBorders>
              <w:top w:val="single" w:color="auto" w:sz="4" w:space="0"/>
              <w:left w:val="nil"/>
              <w:bottom w:val="single" w:color="auto" w:sz="4" w:space="0"/>
              <w:right w:val="single" w:color="auto" w:sz="4" w:space="0"/>
            </w:tcBorders>
            <w:shd w:val="clear" w:color="000000" w:fill="FFFFFF"/>
            <w:noWrap/>
            <w:vAlign w:val="center"/>
          </w:tcPr>
          <w:p w14:paraId="66C3065D">
            <w:pPr>
              <w:widowControl/>
              <w:adjustRightInd/>
              <w:snapToGrid/>
              <w:spacing w:line="240" w:lineRule="auto"/>
              <w:ind w:firstLine="0" w:firstLineChars="0"/>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名称</w:t>
            </w:r>
          </w:p>
        </w:tc>
        <w:tc>
          <w:tcPr>
            <w:tcW w:w="4037" w:type="pct"/>
            <w:tcBorders>
              <w:top w:val="single" w:color="auto" w:sz="4" w:space="0"/>
              <w:left w:val="nil"/>
              <w:bottom w:val="single" w:color="auto" w:sz="4" w:space="0"/>
              <w:right w:val="single" w:color="auto" w:sz="4" w:space="0"/>
            </w:tcBorders>
            <w:shd w:val="clear" w:color="000000" w:fill="FFFFFF"/>
            <w:noWrap/>
            <w:vAlign w:val="center"/>
          </w:tcPr>
          <w:p w14:paraId="654C14B4">
            <w:pPr>
              <w:widowControl/>
              <w:adjustRightInd/>
              <w:snapToGrid/>
              <w:spacing w:line="240" w:lineRule="auto"/>
              <w:ind w:firstLine="0" w:firstLineChars="0"/>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技术参数要求</w:t>
            </w:r>
          </w:p>
        </w:tc>
      </w:tr>
      <w:tr w14:paraId="199E1E73">
        <w:tblPrEx>
          <w:tblCellMar>
            <w:top w:w="0" w:type="dxa"/>
            <w:left w:w="108" w:type="dxa"/>
            <w:bottom w:w="0" w:type="dxa"/>
            <w:right w:w="108" w:type="dxa"/>
          </w:tblCellMar>
        </w:tblPrEx>
        <w:trPr>
          <w:trHeight w:val="4488" w:hRule="atLeast"/>
        </w:trPr>
        <w:tc>
          <w:tcPr>
            <w:tcW w:w="421" w:type="pct"/>
            <w:tcBorders>
              <w:top w:val="nil"/>
              <w:left w:val="single" w:color="auto" w:sz="4" w:space="0"/>
              <w:bottom w:val="single" w:color="auto" w:sz="4" w:space="0"/>
              <w:right w:val="single" w:color="auto" w:sz="4" w:space="0"/>
            </w:tcBorders>
            <w:noWrap/>
            <w:vAlign w:val="center"/>
          </w:tcPr>
          <w:p w14:paraId="05A6C097">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p>
        </w:tc>
        <w:tc>
          <w:tcPr>
            <w:tcW w:w="542" w:type="pct"/>
            <w:tcBorders>
              <w:top w:val="nil"/>
              <w:left w:val="nil"/>
              <w:bottom w:val="single" w:color="auto" w:sz="4" w:space="0"/>
              <w:right w:val="single" w:color="auto" w:sz="4" w:space="0"/>
            </w:tcBorders>
            <w:noWrap w:val="0"/>
            <w:vAlign w:val="center"/>
          </w:tcPr>
          <w:p w14:paraId="4FF19AC7">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算力服务器</w:t>
            </w:r>
          </w:p>
        </w:tc>
        <w:tc>
          <w:tcPr>
            <w:tcW w:w="4037" w:type="pct"/>
            <w:tcBorders>
              <w:top w:val="nil"/>
              <w:left w:val="nil"/>
              <w:bottom w:val="single" w:color="auto" w:sz="4" w:space="0"/>
              <w:right w:val="single" w:color="auto" w:sz="4" w:space="0"/>
            </w:tcBorders>
            <w:noWrap w:val="0"/>
            <w:vAlign w:val="center"/>
          </w:tcPr>
          <w:p w14:paraId="0F0D000F">
            <w:pPr>
              <w:widowControl/>
              <w:adjustRightInd/>
              <w:snapToGrid/>
              <w:spacing w:line="24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0"/>
                <w:sz w:val="21"/>
                <w:szCs w:val="21"/>
                <w:highlight w:val="none"/>
              </w:rPr>
              <w:t>▲符合信创要求。</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设备高度不超过4U空间；</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CPU：配置≥4颗,ARM架构，单颗CPU主频≥2.6GHz，核数≥48核；</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内存：配置≥32*64GB;</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硬盘：≥2*480GB SATA SSD硬盘+≥2*3.84TB SSD硬盘；</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RAID卡：支持Raid0/1/5；</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CPU、AI处理器使用同厂家国产自研芯片；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AI处理器：配置≥8颗国产AI处理器，单颗AI处理器提供不低于64GBHBM，FP16峰值算力≥376TFLOPS；</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网卡：AI处理器支持直出≥200G网口，配置≥2*GE+≥2个10GE光口（含模块）+≥4个25GE光口(含模块)；</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服务器管理系统为服务器厂商自研国产管理芯片；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电源：满配冗余热插拔电源，并提供配套的电源连接线：4个热插拔2600W交流电源模块，支持2+2冗余</w:t>
            </w:r>
            <w:r>
              <w:rPr>
                <w:rFonts w:hint="eastAsia" w:asciiTheme="minorEastAsia" w:hAnsiTheme="minorEastAsia" w:eastAsiaTheme="minorEastAsia" w:cstheme="minorEastAsia"/>
                <w:kern w:val="0"/>
                <w:sz w:val="21"/>
                <w:szCs w:val="21"/>
                <w:highlight w:val="none"/>
                <w:lang w:eastAsia="zh-CN"/>
              </w:rPr>
              <w:t>。</w:t>
            </w:r>
          </w:p>
        </w:tc>
      </w:tr>
      <w:tr w14:paraId="180039F5">
        <w:tblPrEx>
          <w:tblCellMar>
            <w:top w:w="0" w:type="dxa"/>
            <w:left w:w="108" w:type="dxa"/>
            <w:bottom w:w="0" w:type="dxa"/>
            <w:right w:w="108" w:type="dxa"/>
          </w:tblCellMar>
        </w:tblPrEx>
        <w:trPr>
          <w:trHeight w:val="90" w:hRule="atLeast"/>
        </w:trPr>
        <w:tc>
          <w:tcPr>
            <w:tcW w:w="421" w:type="pct"/>
            <w:tcBorders>
              <w:top w:val="nil"/>
              <w:left w:val="single" w:color="auto" w:sz="4" w:space="0"/>
              <w:bottom w:val="single" w:color="auto" w:sz="4" w:space="0"/>
              <w:right w:val="single" w:color="auto" w:sz="4" w:space="0"/>
            </w:tcBorders>
            <w:noWrap/>
            <w:vAlign w:val="center"/>
          </w:tcPr>
          <w:p w14:paraId="0B69C416">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p>
        </w:tc>
        <w:tc>
          <w:tcPr>
            <w:tcW w:w="542" w:type="pct"/>
            <w:tcBorders>
              <w:top w:val="nil"/>
              <w:left w:val="nil"/>
              <w:bottom w:val="single" w:color="auto" w:sz="4" w:space="0"/>
              <w:right w:val="single" w:color="auto" w:sz="4" w:space="0"/>
            </w:tcBorders>
            <w:noWrap w:val="0"/>
            <w:vAlign w:val="center"/>
          </w:tcPr>
          <w:p w14:paraId="4B00F02F">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存储服务器</w:t>
            </w:r>
          </w:p>
        </w:tc>
        <w:tc>
          <w:tcPr>
            <w:tcW w:w="4037" w:type="pct"/>
            <w:tcBorders>
              <w:top w:val="nil"/>
              <w:left w:val="nil"/>
              <w:bottom w:val="single" w:color="auto" w:sz="4" w:space="0"/>
              <w:right w:val="single" w:color="auto" w:sz="4" w:space="0"/>
            </w:tcBorders>
            <w:noWrap w:val="0"/>
            <w:vAlign w:val="center"/>
          </w:tcPr>
          <w:p w14:paraId="29FE0B0D">
            <w:pPr>
              <w:widowControl/>
              <w:adjustRightInd/>
              <w:snapToGrid/>
              <w:spacing w:line="24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0"/>
                <w:sz w:val="21"/>
                <w:szCs w:val="21"/>
                <w:highlight w:val="none"/>
              </w:rPr>
              <w:t>▲符合信创要求。</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设备高度不超过2U空间；</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CPU：配置≥2颗, ARM架构，单颗CPU主频≥2.6GHz，核数≥64核；</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内存：配置≥16*32GB;</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硬盘：≥2*480GB SATA SSD硬盘+≥14*3.84TB SSD硬盘；</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RAID卡：2G缓存，支持Raid0/1/5，配置超级电容；</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网卡：配置≥2个GE电口,≥4个25GE光口(含模块)；</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服务器管理系统为服务器厂商自研国产管理芯片；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电源：满配冗余热插拔电源，并提供配套的电源连接线：2个热插拔900W交流电源模块</w:t>
            </w:r>
            <w:r>
              <w:rPr>
                <w:rFonts w:hint="eastAsia" w:asciiTheme="minorEastAsia" w:hAnsiTheme="minorEastAsia" w:eastAsiaTheme="minorEastAsia" w:cstheme="minorEastAsia"/>
                <w:kern w:val="0"/>
                <w:sz w:val="21"/>
                <w:szCs w:val="21"/>
                <w:highlight w:val="none"/>
                <w:lang w:eastAsia="zh-CN"/>
              </w:rPr>
              <w:t>。</w:t>
            </w:r>
          </w:p>
        </w:tc>
      </w:tr>
      <w:tr w14:paraId="3F52D1A0">
        <w:tblPrEx>
          <w:tblCellMar>
            <w:top w:w="0" w:type="dxa"/>
            <w:left w:w="108" w:type="dxa"/>
            <w:bottom w:w="0" w:type="dxa"/>
            <w:right w:w="108" w:type="dxa"/>
          </w:tblCellMar>
        </w:tblPrEx>
        <w:trPr>
          <w:trHeight w:val="5248" w:hRule="atLeast"/>
        </w:trPr>
        <w:tc>
          <w:tcPr>
            <w:tcW w:w="421" w:type="pct"/>
            <w:tcBorders>
              <w:top w:val="nil"/>
              <w:left w:val="single" w:color="auto" w:sz="4" w:space="0"/>
              <w:bottom w:val="single" w:color="auto" w:sz="4" w:space="0"/>
              <w:right w:val="single" w:color="auto" w:sz="4" w:space="0"/>
            </w:tcBorders>
            <w:noWrap/>
            <w:vAlign w:val="center"/>
          </w:tcPr>
          <w:p w14:paraId="0E148403">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p>
        </w:tc>
        <w:tc>
          <w:tcPr>
            <w:tcW w:w="542" w:type="pct"/>
            <w:tcBorders>
              <w:top w:val="nil"/>
              <w:left w:val="nil"/>
              <w:bottom w:val="single" w:color="auto" w:sz="4" w:space="0"/>
              <w:right w:val="single" w:color="auto" w:sz="4" w:space="0"/>
            </w:tcBorders>
            <w:noWrap w:val="0"/>
            <w:vAlign w:val="center"/>
          </w:tcPr>
          <w:p w14:paraId="435255AE">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RoCE交换机</w:t>
            </w:r>
          </w:p>
        </w:tc>
        <w:tc>
          <w:tcPr>
            <w:tcW w:w="4037" w:type="pct"/>
            <w:tcBorders>
              <w:top w:val="nil"/>
              <w:left w:val="nil"/>
              <w:bottom w:val="single" w:color="auto" w:sz="4" w:space="0"/>
              <w:right w:val="single" w:color="auto" w:sz="4" w:space="0"/>
            </w:tcBorders>
            <w:noWrap w:val="0"/>
            <w:vAlign w:val="center"/>
          </w:tcPr>
          <w:p w14:paraId="5E24B499">
            <w:pPr>
              <w:widowControl/>
              <w:adjustRightInd/>
              <w:snapToGrid/>
              <w:spacing w:line="240" w:lineRule="auto"/>
              <w:ind w:firstLine="0" w:firstLineChars="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CPU（处理器）、转发芯片均为国产芯片；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交换容量≥16Tbps，包转发率≥4800Mpps,若存在双指标以官网低指标为准；</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设备整机缓存≥64M；</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端口配置：交换机需具备不少于24个200GE QSFP56端口（兼容100GE/40GE）以及不少于8个 400GE QSFP-DD端口（兼容200GE/100GE/40GE）；</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风扇模块槽位≥5个 ，风扇模块4+1备份；</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MTBF≥30年；</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支持RIP、OSPF、ISIS、BGP等IPv4动态路由协议；</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支持PQ、DRR、PQ+DRR等队列调度方式；</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为方便运维，端口侧面板和电源侧面板都配备系统运行状态灯和远程运维ID指示灯（现场定位用指示灯，</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可远程控制ID灯开启和关闭）；</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支持并实配Netstream功能；</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Netstream满足10GE 1:1采样；</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支持AI ECN功能；</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电源配置：双电源；</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模块配置：</w:t>
            </w:r>
            <w:r>
              <w:rPr>
                <w:rFonts w:hint="eastAsia" w:asciiTheme="minorEastAsia" w:hAnsiTheme="minorEastAsia" w:eastAsiaTheme="minorEastAsia" w:cstheme="minorEastAsia"/>
                <w:kern w:val="0"/>
                <w:sz w:val="21"/>
                <w:szCs w:val="21"/>
                <w:highlight w:val="none"/>
              </w:rPr>
              <w:t>不少于8*400GE多模，16*200GE多模</w:t>
            </w:r>
          </w:p>
        </w:tc>
      </w:tr>
      <w:tr w14:paraId="1CCDA7ED">
        <w:tblPrEx>
          <w:tblCellMar>
            <w:top w:w="0" w:type="dxa"/>
            <w:left w:w="108" w:type="dxa"/>
            <w:bottom w:w="0" w:type="dxa"/>
            <w:right w:w="108" w:type="dxa"/>
          </w:tblCellMar>
        </w:tblPrEx>
        <w:trPr>
          <w:trHeight w:val="4542" w:hRule="atLeast"/>
        </w:trPr>
        <w:tc>
          <w:tcPr>
            <w:tcW w:w="421" w:type="pct"/>
            <w:tcBorders>
              <w:top w:val="nil"/>
              <w:left w:val="single" w:color="auto" w:sz="4" w:space="0"/>
              <w:bottom w:val="single" w:color="auto" w:sz="4" w:space="0"/>
              <w:right w:val="single" w:color="auto" w:sz="4" w:space="0"/>
            </w:tcBorders>
            <w:noWrap/>
            <w:vAlign w:val="center"/>
          </w:tcPr>
          <w:p w14:paraId="2632FB00">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w:t>
            </w:r>
          </w:p>
        </w:tc>
        <w:tc>
          <w:tcPr>
            <w:tcW w:w="542" w:type="pct"/>
            <w:tcBorders>
              <w:top w:val="nil"/>
              <w:left w:val="nil"/>
              <w:bottom w:val="single" w:color="auto" w:sz="4" w:space="0"/>
              <w:right w:val="single" w:color="auto" w:sz="4" w:space="0"/>
            </w:tcBorders>
            <w:noWrap w:val="0"/>
            <w:vAlign w:val="center"/>
          </w:tcPr>
          <w:p w14:paraId="742A88D8">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业务交换机</w:t>
            </w:r>
          </w:p>
        </w:tc>
        <w:tc>
          <w:tcPr>
            <w:tcW w:w="4037" w:type="pct"/>
            <w:tcBorders>
              <w:top w:val="nil"/>
              <w:left w:val="nil"/>
              <w:bottom w:val="single" w:color="auto" w:sz="4" w:space="0"/>
              <w:right w:val="single" w:color="auto" w:sz="4" w:space="0"/>
            </w:tcBorders>
            <w:noWrap w:val="0"/>
            <w:vAlign w:val="center"/>
          </w:tcPr>
          <w:p w14:paraId="2BF3015D">
            <w:pPr>
              <w:widowControl/>
              <w:adjustRightInd/>
              <w:snapToGrid/>
              <w:spacing w:line="240" w:lineRule="auto"/>
              <w:ind w:firstLine="0" w:firstLineChars="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CPU（处理器）、转发芯片均为国产芯片；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交换容量≥8Tbps，包转发率≥2400Mpps,若存在双指标以官网低指标为准；</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端口配置：交换机需具备不少于48个10GE/25GE SFP28端口以及不少于8个40GE/100GE QSFP28 端口；</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支持RIP、OSPF、ISIS、BGP等IPv4动态路由协议；</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支持PQ、DRR、PQ+DRR等队列调度方式；</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为方便运维，端口侧面板和电源侧面板都配备系统运行状态灯和远程运维ID指示灯（现场定位用指示灯，</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可远程控制ID灯开启和关闭）；</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支持并实配Netstream功能；</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Netstream满足10GE 1:1采样；</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支持AI ECN功能；</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电源配置：双电源；</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模块配置：</w:t>
            </w:r>
            <w:r>
              <w:rPr>
                <w:rFonts w:hint="eastAsia" w:asciiTheme="minorEastAsia" w:hAnsiTheme="minorEastAsia" w:eastAsiaTheme="minorEastAsia" w:cstheme="minorEastAsia"/>
                <w:kern w:val="0"/>
                <w:sz w:val="21"/>
                <w:szCs w:val="21"/>
                <w:highlight w:val="none"/>
              </w:rPr>
              <w:t>不少于4*40G单模，4*40G多模，20*25GE多模，20*10GE多模，8*10GE单模</w:t>
            </w:r>
          </w:p>
        </w:tc>
      </w:tr>
      <w:tr w14:paraId="6E9319BC">
        <w:tblPrEx>
          <w:tblCellMar>
            <w:top w:w="0" w:type="dxa"/>
            <w:left w:w="108" w:type="dxa"/>
            <w:bottom w:w="0" w:type="dxa"/>
            <w:right w:w="108" w:type="dxa"/>
          </w:tblCellMar>
        </w:tblPrEx>
        <w:trPr>
          <w:trHeight w:val="3432" w:hRule="atLeast"/>
        </w:trPr>
        <w:tc>
          <w:tcPr>
            <w:tcW w:w="421" w:type="pct"/>
            <w:tcBorders>
              <w:top w:val="nil"/>
              <w:left w:val="single" w:color="auto" w:sz="4" w:space="0"/>
              <w:bottom w:val="single" w:color="auto" w:sz="4" w:space="0"/>
              <w:right w:val="single" w:color="auto" w:sz="4" w:space="0"/>
            </w:tcBorders>
            <w:noWrap/>
            <w:vAlign w:val="center"/>
          </w:tcPr>
          <w:p w14:paraId="73A1964A">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w:t>
            </w:r>
          </w:p>
        </w:tc>
        <w:tc>
          <w:tcPr>
            <w:tcW w:w="542" w:type="pct"/>
            <w:tcBorders>
              <w:top w:val="nil"/>
              <w:left w:val="nil"/>
              <w:bottom w:val="single" w:color="auto" w:sz="4" w:space="0"/>
              <w:right w:val="single" w:color="auto" w:sz="4" w:space="0"/>
            </w:tcBorders>
            <w:noWrap w:val="0"/>
            <w:vAlign w:val="center"/>
          </w:tcPr>
          <w:p w14:paraId="3FA253F8">
            <w:pPr>
              <w:widowControl/>
              <w:adjustRightInd/>
              <w:snapToGrid/>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管理交换机</w:t>
            </w:r>
          </w:p>
        </w:tc>
        <w:tc>
          <w:tcPr>
            <w:tcW w:w="4037" w:type="pct"/>
            <w:tcBorders>
              <w:top w:val="nil"/>
              <w:left w:val="nil"/>
              <w:bottom w:val="single" w:color="auto" w:sz="4" w:space="0"/>
              <w:right w:val="single" w:color="auto" w:sz="4" w:space="0"/>
            </w:tcBorders>
            <w:noWrap w:val="0"/>
            <w:vAlign w:val="center"/>
          </w:tcPr>
          <w:p w14:paraId="2B999D55">
            <w:pPr>
              <w:widowControl/>
              <w:adjustRightInd/>
              <w:snapToGrid/>
              <w:spacing w:line="240" w:lineRule="auto"/>
              <w:ind w:firstLine="0" w:firstLineChars="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CPU（处理器）、转发芯片均为国产芯片；</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交换容量≥1.3Tbps，包转发率≥500Mpps,若存在双指标以官网低指标为准；</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端口配置：交换机需具备不少于 48 个千兆电口与4个万兆光口</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含模块</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支持MAC表项≥64K；</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支持RIP、OSPF、ISIS、BGP等IPv4动态路由协议；</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为方便运维，端口侧面板和电源侧面板都配备系统运行状态灯和远程运维ID指示灯（现场定位用指示灯，</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可远程控制ID灯开启和关闭）；</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kern w:val="0"/>
                <w:sz w:val="21"/>
                <w:szCs w:val="21"/>
                <w:highlight w:val="none"/>
              </w:rPr>
              <w:t>电源配置：双电源；</w:t>
            </w:r>
            <w:r>
              <w:rPr>
                <w:rFonts w:hint="eastAsia" w:asciiTheme="minorEastAsia" w:hAnsiTheme="minorEastAsia" w:eastAsiaTheme="minorEastAsia" w:cstheme="minorEastAsia"/>
                <w:kern w:val="0"/>
                <w:sz w:val="21"/>
                <w:szCs w:val="21"/>
                <w:highlight w:val="none"/>
              </w:rPr>
              <w:br w:type="textWrapping"/>
            </w:r>
            <w:r>
              <w:rPr>
                <w:rFonts w:hint="eastAsia" w:asciiTheme="minorEastAsia" w:hAnsiTheme="minorEastAsia" w:eastAsiaTheme="minorEastAsia" w:cstheme="minorEastAsia"/>
                <w:color w:val="000000"/>
                <w:kern w:val="0"/>
                <w:sz w:val="21"/>
                <w:szCs w:val="21"/>
                <w:highlight w:val="none"/>
              </w:rPr>
              <w:t>不少于4*10GE单模</w:t>
            </w:r>
          </w:p>
        </w:tc>
      </w:tr>
    </w:tbl>
    <w:p w14:paraId="75271DF2">
      <w:pPr>
        <w:keepNext/>
        <w:keepLines/>
        <w:pageBreakBefore w:val="0"/>
        <w:widowControl w:val="0"/>
        <w:numPr>
          <w:ilvl w:val="1"/>
          <w:numId w:val="7"/>
        </w:numPr>
        <w:tabs>
          <w:tab w:val="left" w:pos="851"/>
        </w:tabs>
        <w:kinsoku/>
        <w:wordWrap/>
        <w:overflowPunct/>
        <w:topLinePunct w:val="0"/>
        <w:autoSpaceDE/>
        <w:autoSpaceDN/>
        <w:bidi w:val="0"/>
        <w:adjustRightInd w:val="0"/>
        <w:snapToGrid w:val="0"/>
        <w:spacing w:line="360" w:lineRule="auto"/>
        <w:ind w:firstLine="482" w:firstLineChars="0"/>
        <w:jc w:val="left"/>
        <w:textAlignment w:val="auto"/>
        <w:outlineLvl w:val="2"/>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测试环境部署实施</w:t>
      </w:r>
    </w:p>
    <w:p w14:paraId="69B5A3A9">
      <w:pPr>
        <w:spacing w:line="360" w:lineRule="auto"/>
        <w:ind w:firstLine="420" w:firstLineChars="200"/>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测试环境部署实施及优化主要围绕开源大模型在政务场景的落地实施与持续优化，通过模型的部署和场景化调优，确保算力基础设施与政务业务需求深度融合。</w:t>
      </w:r>
    </w:p>
    <w:p w14:paraId="00314C81">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推理框架部署实施</w:t>
      </w:r>
    </w:p>
    <w:p w14:paraId="413B10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推理框架部署实施主要是进行推理框架的高性能部署，确保算力节点与存储系统协同运行，为开源大模型提供高效推理环境。具体服务内容如下：</w:t>
      </w:r>
    </w:p>
    <w:p w14:paraId="3AF2057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优化内存分配、I/O 调度等内核参数。</w:t>
      </w:r>
    </w:p>
    <w:p w14:paraId="1BD3AD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确保算力卡、存储控制器、网卡等硬件与操作系统的兼容性，提供驱动支持。</w:t>
      </w:r>
    </w:p>
    <w:p w14:paraId="2439A70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基于最终确定的算力节点设备和大模型类型，推荐适配的推理框架。</w:t>
      </w:r>
    </w:p>
    <w:p w14:paraId="02DBDDD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部署推理框架，支持多模型并行推理，通过动态批处理、算子融合等技术优化推理延迟。</w:t>
      </w:r>
    </w:p>
    <w:p w14:paraId="4DC9CAC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使用工具进行压力测试，确保性能和稳定。</w:t>
      </w:r>
    </w:p>
    <w:p w14:paraId="27F9D2E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针对显存带宽、CPU 调度等瓶颈进行参数调优，通过模型并行技术提升吞吐量。</w:t>
      </w:r>
    </w:p>
    <w:p w14:paraId="73AEA65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交付物包括推理框架部署手册、性能测试报告、兼容性清单等。</w:t>
      </w:r>
    </w:p>
    <w:p w14:paraId="499DD2A1">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开源大模型部署及优化</w:t>
      </w:r>
    </w:p>
    <w:p w14:paraId="0CB9FD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服务周期内，提供不限次数的模型部署服务，确保模型服务的稳定性与适配性。具体 服务内容如下：</w:t>
      </w:r>
    </w:p>
    <w:p w14:paraId="117FFD4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服务期内提供不限次数的模型部署服务</w:t>
      </w:r>
    </w:p>
    <w:p w14:paraId="00CBBA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配合选取合规开源大模型，避免合规性风险。</w:t>
      </w:r>
    </w:p>
    <w:p w14:paraId="74D6A72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将模型分类存储，通过模型管理系统实现版本管理、权限控制与灰度发布。</w:t>
      </w:r>
    </w:p>
    <w:p w14:paraId="6BCE075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提供 API 快速调用指定版本模型的服务能力，满足不同场景需求。</w:t>
      </w:r>
    </w:p>
    <w:p w14:paraId="1EFDB1A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定期进行效果评估，并完成大版本优化，通过重新量化、参数调优等方式持续提升性能。</w:t>
      </w:r>
    </w:p>
    <w:p w14:paraId="6E1C6EF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进行模型运行的检查测试，保障模型运行与数据安全安全。</w:t>
      </w:r>
    </w:p>
    <w:p w14:paraId="34CB90E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提供 7×24 小时技术支持，响应模型加载失败、推理异常等问题。</w:t>
      </w:r>
    </w:p>
    <w:p w14:paraId="4B8E800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0" w:firstLineChars="0"/>
        <w:textAlignment w:val="auto"/>
        <w:outlineLvl w:val="9"/>
        <w:rPr>
          <w:rFonts w:hint="eastAsia" w:asciiTheme="minorEastAsia" w:hAnsiTheme="minorEastAsia" w:eastAsiaTheme="minorEastAsia" w:cstheme="minorEastAsia"/>
          <w:b w:val="0"/>
          <w:bCs/>
          <w:kern w:val="0"/>
          <w:sz w:val="21"/>
          <w:szCs w:val="21"/>
          <w:highlight w:val="none"/>
          <w:lang w:val="en-US" w:eastAsia="zh-CN"/>
        </w:rPr>
      </w:pPr>
      <w:r>
        <w:rPr>
          <w:rFonts w:hint="eastAsia" w:asciiTheme="minorEastAsia" w:hAnsiTheme="minorEastAsia" w:eastAsiaTheme="minorEastAsia" w:cstheme="minorEastAsia"/>
          <w:b w:val="0"/>
          <w:bCs/>
          <w:kern w:val="0"/>
          <w:sz w:val="21"/>
          <w:szCs w:val="21"/>
          <w:highlight w:val="none"/>
          <w:lang w:val="en-US" w:eastAsia="zh-CN"/>
        </w:rPr>
        <w:t>交付物包括模型部署记录、模型优化报告等。</w:t>
      </w:r>
    </w:p>
    <w:p w14:paraId="3EB4F79B">
      <w:pPr>
        <w:keepNext/>
        <w:keepLines/>
        <w:pageBreakBefore w:val="0"/>
        <w:widowControl w:val="0"/>
        <w:numPr>
          <w:ilvl w:val="1"/>
          <w:numId w:val="7"/>
        </w:numPr>
        <w:tabs>
          <w:tab w:val="left" w:pos="851"/>
        </w:tabs>
        <w:kinsoku/>
        <w:wordWrap/>
        <w:overflowPunct/>
        <w:topLinePunct w:val="0"/>
        <w:autoSpaceDE/>
        <w:autoSpaceDN/>
        <w:bidi w:val="0"/>
        <w:adjustRightInd w:val="0"/>
        <w:snapToGrid w:val="0"/>
        <w:spacing w:line="360" w:lineRule="auto"/>
        <w:ind w:firstLine="482" w:firstLineChars="0"/>
        <w:jc w:val="left"/>
        <w:textAlignment w:val="auto"/>
        <w:outlineLvl w:val="2"/>
        <w:rPr>
          <w:rFonts w:hint="eastAsia" w:asciiTheme="minorEastAsia" w:hAnsiTheme="minorEastAsia" w:eastAsiaTheme="minorEastAsia" w:cstheme="minorEastAsia"/>
          <w:b/>
          <w:bCs/>
          <w:kern w:val="2"/>
          <w:sz w:val="21"/>
          <w:szCs w:val="21"/>
          <w:highlight w:val="none"/>
          <w:lang w:val="en-US" w:eastAsia="zh-CN" w:bidi="ar-SA"/>
        </w:rPr>
      </w:pPr>
      <w:bookmarkStart w:id="71" w:name="_Toc14602"/>
      <w:r>
        <w:rPr>
          <w:rFonts w:hint="eastAsia" w:asciiTheme="minorEastAsia" w:hAnsiTheme="minorEastAsia" w:eastAsiaTheme="minorEastAsia" w:cstheme="minorEastAsia"/>
          <w:b/>
          <w:bCs/>
          <w:kern w:val="2"/>
          <w:sz w:val="21"/>
          <w:szCs w:val="21"/>
          <w:highlight w:val="none"/>
          <w:lang w:val="en-US" w:eastAsia="zh-CN" w:bidi="ar-SA"/>
        </w:rPr>
        <w:t>AI智能体</w:t>
      </w:r>
      <w:bookmarkEnd w:id="71"/>
      <w:r>
        <w:rPr>
          <w:rFonts w:hint="eastAsia" w:asciiTheme="minorEastAsia" w:hAnsiTheme="minorEastAsia" w:eastAsiaTheme="minorEastAsia" w:cstheme="minorEastAsia"/>
          <w:b/>
          <w:bCs/>
          <w:kern w:val="2"/>
          <w:sz w:val="21"/>
          <w:szCs w:val="21"/>
          <w:highlight w:val="none"/>
          <w:lang w:val="en-US" w:eastAsia="zh-CN" w:bidi="ar-SA"/>
        </w:rPr>
        <w:t>服务</w:t>
      </w:r>
    </w:p>
    <w:p w14:paraId="79F9ABBB">
      <w:pPr>
        <w:adjustRightInd w:val="0"/>
        <w:snapToGrid w:val="0"/>
        <w:spacing w:line="360" w:lineRule="auto"/>
        <w:ind w:firstLine="420" w:firstLineChars="200"/>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AI智能体服务主要是为满足政务场景功能，包括本地对话、辅助写作、文本校对、文档解析、智能检索、知识文库、录音转写、PPT生成、模型安全等。</w:t>
      </w:r>
    </w:p>
    <w:p w14:paraId="00EA200B">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72" w:name="_Toc8121"/>
      <w:bookmarkStart w:id="73" w:name="_Toc3971"/>
      <w:r>
        <w:rPr>
          <w:rFonts w:hint="eastAsia" w:asciiTheme="minorEastAsia" w:hAnsiTheme="minorEastAsia" w:eastAsiaTheme="minorEastAsia" w:cstheme="minorEastAsia"/>
          <w:b/>
          <w:bCs/>
          <w:kern w:val="2"/>
          <w:sz w:val="21"/>
          <w:szCs w:val="21"/>
          <w:highlight w:val="none"/>
          <w:lang w:val="en-US" w:eastAsia="zh-CN" w:bidi="ar-SA"/>
        </w:rPr>
        <w:t>本地对话</w:t>
      </w:r>
      <w:bookmarkEnd w:id="72"/>
      <w:bookmarkEnd w:id="73"/>
    </w:p>
    <w:p w14:paraId="78F7F8C7">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1、新建对话</w:t>
      </w:r>
    </w:p>
    <w:p w14:paraId="43B42624">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新建对话支持在输入框中输入文字或者使用实时语音转写方式输入文字进行对话问答。同时也支持上传相关文件，基于文件进行问答。</w:t>
      </w:r>
    </w:p>
    <w:p w14:paraId="12867F7C">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2、历史对话</w:t>
      </w:r>
    </w:p>
    <w:p w14:paraId="2B42506F">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历史对话支持用户查看历史对话。</w:t>
      </w:r>
    </w:p>
    <w:p w14:paraId="67B25D51">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点击历史对话，支持回显对话内容。</w:t>
      </w:r>
    </w:p>
    <w:p w14:paraId="7F02C109">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点击更多，支持查看全部历史记录信息；支持对历史记录信息进行删除操作。</w:t>
      </w:r>
    </w:p>
    <w:p w14:paraId="061342E5">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74" w:name="_Toc5125"/>
      <w:bookmarkStart w:id="75" w:name="_Toc12616"/>
      <w:r>
        <w:rPr>
          <w:rFonts w:hint="eastAsia" w:asciiTheme="minorEastAsia" w:hAnsiTheme="minorEastAsia" w:eastAsiaTheme="minorEastAsia" w:cstheme="minorEastAsia"/>
          <w:b/>
          <w:bCs/>
          <w:kern w:val="2"/>
          <w:sz w:val="21"/>
          <w:szCs w:val="21"/>
          <w:highlight w:val="none"/>
          <w:lang w:val="en-US" w:eastAsia="zh-CN" w:bidi="ar-SA"/>
        </w:rPr>
        <w:t>辅助写作</w:t>
      </w:r>
      <w:bookmarkEnd w:id="74"/>
    </w:p>
    <w:p w14:paraId="0E1C9906">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1、公文写作</w:t>
      </w:r>
    </w:p>
    <w:p w14:paraId="2E0FC5C5">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结合自然语言处理（NLP）、知识图谱与专项训练模型，实现从模板调用、内容生成到格式排版的全程自动化，显著提升公文撰写效率与规范性，降低人工成本。公文写作功能操作便捷，全流程可视化交互，支持“选择写作模板-内容编辑-导出”三步完成创作。包括智能写作、写作空间、排版与输出等功能模块。</w:t>
      </w:r>
    </w:p>
    <w:p w14:paraId="50184E43">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2、公文润色</w:t>
      </w:r>
    </w:p>
    <w:p w14:paraId="6B4CEFD9">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文润色功能基于大模型技术实现智能化公文处理，支持用户上传文件，通过AI深度解析文本语义与政务场景需求，提供润色、扩写、缩写、续写四大核心处理模式，提供双栏对比视图实现版本差异比对，支持划词优化（局部改写/术语替换）、快捷指令（一键触发润色/改写等操作）、多轮迭代编辑等深度交互功能；同时保留原文格式要素，包括核心主题、关键要素、格式段落编号格式等。形成“上传-生成-对比-编辑-输出”的全流程闭环，规范公文写作思路、行业术语、政策关键词，精简冗余内容，统一格式风格，提升写作效率、文档专业性和合规性。包括全文润色、全文扩写、全文缩写、全文续写等功能。</w:t>
      </w:r>
    </w:p>
    <w:p w14:paraId="2278852A">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3、公文排版</w:t>
      </w:r>
    </w:p>
    <w:p w14:paraId="65209B8C">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在日常工作中经常需要撰写各类公文，为了高效准确的检查和完成排版，AI智能体提供高频的公文模版，只需选择对应的公文类型模板，即可点击“应用”一键自动按照模板格式完成排版。</w:t>
      </w:r>
    </w:p>
    <w:p w14:paraId="1AA81FDE">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76" w:name="_Toc19243"/>
      <w:r>
        <w:rPr>
          <w:rFonts w:hint="eastAsia" w:asciiTheme="minorEastAsia" w:hAnsiTheme="minorEastAsia" w:eastAsiaTheme="minorEastAsia" w:cstheme="minorEastAsia"/>
          <w:b/>
          <w:bCs/>
          <w:kern w:val="2"/>
          <w:sz w:val="21"/>
          <w:szCs w:val="21"/>
          <w:highlight w:val="none"/>
          <w:lang w:val="en-US" w:eastAsia="zh-CN" w:bidi="ar-SA"/>
        </w:rPr>
        <w:t>文本校对</w:t>
      </w:r>
      <w:bookmarkEnd w:id="76"/>
    </w:p>
    <w:p w14:paraId="50A330CE">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本校对功能基于政务场景深度优化的大模型技术，提供智能化公文质量检测与修正服务。支持上传Word等格式文件，通过AI自动识别、语法错误、格式偏差、政策术语误用等常见问题。系统提供修改建议对比视图，用户可自由选择应用AI建议。实现“智能检测-人工复核-持续优化-规范输出”全流程闭环管理。包括写作空间、文本输入、公文校正、自动排版、文本输出等功能模块。</w:t>
      </w:r>
    </w:p>
    <w:p w14:paraId="44234516">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77" w:name="_Toc615"/>
      <w:r>
        <w:rPr>
          <w:rFonts w:hint="eastAsia" w:asciiTheme="minorEastAsia" w:hAnsiTheme="minorEastAsia" w:eastAsiaTheme="minorEastAsia" w:cstheme="minorEastAsia"/>
          <w:b/>
          <w:bCs/>
          <w:kern w:val="2"/>
          <w:sz w:val="21"/>
          <w:szCs w:val="21"/>
          <w:highlight w:val="none"/>
          <w:lang w:val="en-US" w:eastAsia="zh-CN" w:bidi="ar-SA"/>
        </w:rPr>
        <w:t>文档解析</w:t>
      </w:r>
      <w:bookmarkEnd w:id="77"/>
    </w:p>
    <w:p w14:paraId="5F2D2412">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档解析功能模块为用户赋予基于大模型的阅读理解能力，助力政府部门在日常工作里迅速把握复杂文档的核心要点。通过精准捕捉文档中的关键信息，该功能模块能够显著提升政府部门处理大量文件资料的效率。无论是政策文件还是各类工作报告，它都能帮助工作人员快速提炼出核心内容，从而做出更加及时和准确的决策。具体功能包含文件摘要、文件解读、数据分析、多语种翻译、文件格式转换等。</w:t>
      </w:r>
    </w:p>
    <w:p w14:paraId="4245714F">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78" w:name="_Toc1779"/>
      <w:bookmarkStart w:id="79" w:name="_Toc1686"/>
      <w:r>
        <w:rPr>
          <w:rFonts w:hint="eastAsia" w:asciiTheme="minorEastAsia" w:hAnsiTheme="minorEastAsia" w:eastAsiaTheme="minorEastAsia" w:cstheme="minorEastAsia"/>
          <w:b/>
          <w:bCs/>
          <w:kern w:val="2"/>
          <w:sz w:val="21"/>
          <w:szCs w:val="21"/>
          <w:highlight w:val="none"/>
          <w:lang w:val="en-US" w:eastAsia="zh-CN" w:bidi="ar-SA"/>
        </w:rPr>
        <w:t>智能检索</w:t>
      </w:r>
      <w:bookmarkEnd w:id="78"/>
      <w:bookmarkEnd w:id="79"/>
    </w:p>
    <w:p w14:paraId="59303797">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智能检索，政务工作人员可以更加高效地获取所需信息，提升决策的科学性和准确性。本项目智能问答检索主要提供政策法规、制度及领导讲话的高效问答检索服务，工作人员通过问答的形式就能找到自己关注的相关文件，助力工作人员在公文写作时使用最新的政策法规，确保决策、公文写作等工作合法合规，避免因信息滞后或疏漏引发风险。</w:t>
      </w:r>
    </w:p>
    <w:p w14:paraId="05B523EB">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en-US" w:eastAsia="zh-CN" w:bidi="ar-SA"/>
        </w:rPr>
      </w:pPr>
      <w:bookmarkStart w:id="80" w:name="_Toc31889"/>
      <w:r>
        <w:rPr>
          <w:rFonts w:hint="eastAsia" w:asciiTheme="minorEastAsia" w:hAnsiTheme="minorEastAsia" w:eastAsiaTheme="minorEastAsia" w:cstheme="minorEastAsia"/>
          <w:b/>
          <w:bCs/>
          <w:kern w:val="2"/>
          <w:sz w:val="21"/>
          <w:szCs w:val="21"/>
          <w:highlight w:val="none"/>
          <w:lang w:val="en-US" w:eastAsia="zh-CN" w:bidi="ar-SA"/>
        </w:rPr>
        <w:t>知识文库</w:t>
      </w:r>
      <w:bookmarkEnd w:id="80"/>
    </w:p>
    <w:p w14:paraId="38481558">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知识文库支持对公共空间、个人空间、单位空间、主题空间的知识文档维护管理，在不同的知识库中设置不同的管理权限。知识文库支持知识文档的上传、预览以及对上传成功的文档进行知识切分和向量化的处理，使得上传的文档可以在系统大模型相关的功能里被使用，实现文档相关的智能化应用。</w:t>
      </w:r>
    </w:p>
    <w:p w14:paraId="4C57D2BA">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通过对知识文库的维护实现在本地对话、公文写作场景下进行文档知识引用，大幅提高从众多材料中检索的效率和准确性。</w:t>
      </w:r>
    </w:p>
    <w:bookmarkEnd w:id="75"/>
    <w:p w14:paraId="5D2622BA">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zh-CN" w:eastAsia="zh-CN" w:bidi="ar-SA"/>
        </w:rPr>
      </w:pPr>
      <w:bookmarkStart w:id="81" w:name="_Toc14411"/>
      <w:bookmarkStart w:id="82" w:name="_Toc21110"/>
      <w:r>
        <w:rPr>
          <w:rFonts w:hint="eastAsia" w:asciiTheme="minorEastAsia" w:hAnsiTheme="minorEastAsia" w:eastAsiaTheme="minorEastAsia" w:cstheme="minorEastAsia"/>
          <w:b/>
          <w:bCs/>
          <w:kern w:val="2"/>
          <w:sz w:val="21"/>
          <w:szCs w:val="21"/>
          <w:highlight w:val="none"/>
          <w:lang w:val="en-US" w:eastAsia="zh-CN" w:bidi="ar-SA"/>
        </w:rPr>
        <w:t>录音转写</w:t>
      </w:r>
      <w:bookmarkEnd w:id="81"/>
      <w:bookmarkEnd w:id="82"/>
    </w:p>
    <w:p w14:paraId="73683851">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针对会议场景中即兴发言整理难、效率低、安全风险高等痛点，打造集“高精度转写-智能润稿-摘要生成”于一体的自动化处理平台。</w:t>
      </w:r>
    </w:p>
    <w:p w14:paraId="4116A8E0">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该平台利用先进的语音识别技术，能够实时将会议录音转换为文字，大大提高了整理效率。此外，能对转写后的文字进行自动校对和优化，修正语法错误，调整句式结构，使文字表达更加流畅、准确。同时，摘要生成功能能够快速提炼出会议核心内容，帮助用户快速把握会议要点，有效降低了安全风险。实现原文转写、文档校对、摘要生成等功能。</w:t>
      </w:r>
    </w:p>
    <w:p w14:paraId="11BED281">
      <w:pPr>
        <w:pStyle w:val="108"/>
        <w:spacing w:line="360" w:lineRule="auto"/>
        <w:ind w:left="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提供的智能语音识别系统至少支持2种语言识别能力，包括普通话、英语语种识别功能，且识别率应不低于89%。</w:t>
      </w:r>
    </w:p>
    <w:p w14:paraId="34750C13">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zh-CN" w:eastAsia="zh-CN" w:bidi="ar-SA"/>
        </w:rPr>
      </w:pPr>
      <w:bookmarkStart w:id="83" w:name="_Toc11002"/>
      <w:r>
        <w:rPr>
          <w:rFonts w:hint="eastAsia" w:asciiTheme="minorEastAsia" w:hAnsiTheme="minorEastAsia" w:eastAsiaTheme="minorEastAsia" w:cstheme="minorEastAsia"/>
          <w:b/>
          <w:bCs/>
          <w:kern w:val="2"/>
          <w:sz w:val="21"/>
          <w:szCs w:val="21"/>
          <w:highlight w:val="none"/>
          <w:lang w:val="en-US" w:eastAsia="zh-CN" w:bidi="ar-SA"/>
        </w:rPr>
        <w:t>PPT生成</w:t>
      </w:r>
      <w:bookmarkEnd w:id="83"/>
    </w:p>
    <w:p w14:paraId="342EDA45">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只需简单输入演讲的主题和要点，系统即可智能分析并构建出逻辑清晰的PPT框架。从幻灯片的布局设计到配色方案，再到字体大小和图表样式，PPT生成功能都能根据用户偏好和行业特点进行个性化定制，确保每一页都既美观又专业。包括大纲生成、PPT生成、模板库管理、模板切换、导出和分享等功能。</w:t>
      </w:r>
    </w:p>
    <w:p w14:paraId="60E42112">
      <w:pPr>
        <w:keepNext/>
        <w:keepLines/>
        <w:pageBreakBefore w:val="0"/>
        <w:widowControl w:val="0"/>
        <w:numPr>
          <w:ilvl w:val="2"/>
          <w:numId w:val="7"/>
        </w:numPr>
        <w:kinsoku/>
        <w:wordWrap/>
        <w:overflowPunct/>
        <w:topLinePunct w:val="0"/>
        <w:autoSpaceDE/>
        <w:autoSpaceDN/>
        <w:bidi w:val="0"/>
        <w:adjustRightInd w:val="0"/>
        <w:snapToGrid w:val="0"/>
        <w:spacing w:line="360" w:lineRule="auto"/>
        <w:ind w:firstLine="482" w:firstLineChars="0"/>
        <w:jc w:val="left"/>
        <w:textAlignment w:val="auto"/>
        <w:outlineLvl w:val="3"/>
        <w:rPr>
          <w:rFonts w:hint="eastAsia" w:asciiTheme="minorEastAsia" w:hAnsiTheme="minorEastAsia" w:eastAsiaTheme="minorEastAsia" w:cstheme="minorEastAsia"/>
          <w:b/>
          <w:bCs/>
          <w:kern w:val="2"/>
          <w:sz w:val="21"/>
          <w:szCs w:val="21"/>
          <w:highlight w:val="none"/>
          <w:lang w:val="zh-CN" w:eastAsia="zh-CN" w:bidi="ar-SA"/>
        </w:rPr>
      </w:pPr>
      <w:bookmarkStart w:id="84" w:name="_Toc19911"/>
      <w:r>
        <w:rPr>
          <w:rFonts w:hint="eastAsia" w:asciiTheme="minorEastAsia" w:hAnsiTheme="minorEastAsia" w:eastAsiaTheme="minorEastAsia" w:cstheme="minorEastAsia"/>
          <w:b/>
          <w:bCs/>
          <w:kern w:val="2"/>
          <w:sz w:val="21"/>
          <w:szCs w:val="21"/>
          <w:highlight w:val="none"/>
          <w:lang w:val="en-US" w:eastAsia="zh-CN" w:bidi="ar-SA"/>
        </w:rPr>
        <w:t>模型安全</w:t>
      </w:r>
      <w:bookmarkEnd w:id="84"/>
    </w:p>
    <w:p w14:paraId="3AFC6F9A">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政务工作涉及大量敏感信息，如公民隐私数据、政策决策内容等，一旦模型遭受攻击或数据泄露，将严重损害政府公信力与公民权益。此外，稳定、安全的模型运行是确保政务服务连续性的基础，能有效避免因模型故障或恶意干扰导致的办公效率下降、决策失误等问题，为政务智能化转型筑牢安全防线。</w:t>
      </w:r>
    </w:p>
    <w:p w14:paraId="32E555D5">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模型安全是保障人工智能技术健康稳定运行的重要基础，其核心内容包括访问权限管控、会话安全隔离和敏感文件智能检测三个方面。</w:t>
      </w:r>
    </w:p>
    <w:p w14:paraId="6DF94FF2">
      <w:pPr>
        <w:spacing w:line="360" w:lineRule="auto"/>
        <w:ind w:firstLine="420" w:firstLineChars="200"/>
        <w:rPr>
          <w:rFonts w:hint="eastAsia" w:asciiTheme="minorEastAsia" w:hAnsiTheme="minorEastAsia" w:eastAsiaTheme="minorEastAsia" w:cstheme="minorEastAsia"/>
          <w:kern w:val="0"/>
          <w:sz w:val="21"/>
          <w:szCs w:val="21"/>
          <w:highlight w:val="none"/>
          <w:lang w:val="en-US" w:eastAsia="zh-CN"/>
        </w:rPr>
      </w:pPr>
    </w:p>
    <w:p w14:paraId="1CCC03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val="en-US" w:eastAsia="zh-CN"/>
        </w:rPr>
        <w:t>三</w:t>
      </w:r>
      <w:r>
        <w:rPr>
          <w:rFonts w:hint="eastAsia" w:asciiTheme="minorEastAsia" w:hAnsiTheme="minorEastAsia" w:eastAsiaTheme="minorEastAsia" w:cstheme="minorEastAsia"/>
          <w:b/>
          <w:bCs w:val="0"/>
          <w:sz w:val="21"/>
          <w:szCs w:val="21"/>
          <w:highlight w:val="none"/>
        </w:rPr>
        <w:t>、详细服务要求</w:t>
      </w:r>
    </w:p>
    <w:p w14:paraId="66B57D0F">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一</w:t>
      </w:r>
      <w:r>
        <w:rPr>
          <w:rFonts w:hint="eastAsia" w:asciiTheme="minorEastAsia" w:hAnsiTheme="minorEastAsia" w:eastAsiaTheme="minorEastAsia" w:cstheme="minorEastAsia"/>
          <w:b/>
          <w:kern w:val="0"/>
          <w:sz w:val="21"/>
          <w:szCs w:val="21"/>
          <w:highlight w:val="none"/>
        </w:rPr>
        <w:t>）项目</w:t>
      </w:r>
      <w:r>
        <w:rPr>
          <w:rFonts w:hint="eastAsia" w:asciiTheme="minorEastAsia" w:hAnsiTheme="minorEastAsia" w:eastAsiaTheme="minorEastAsia" w:cstheme="minorEastAsia"/>
          <w:b/>
          <w:kern w:val="0"/>
          <w:sz w:val="21"/>
          <w:szCs w:val="21"/>
          <w:highlight w:val="none"/>
          <w:lang w:val="en-US" w:eastAsia="zh-CN"/>
        </w:rPr>
        <w:t>服务</w:t>
      </w:r>
      <w:r>
        <w:rPr>
          <w:rFonts w:hint="eastAsia" w:asciiTheme="minorEastAsia" w:hAnsiTheme="minorEastAsia" w:eastAsiaTheme="minorEastAsia" w:cstheme="minorEastAsia"/>
          <w:b/>
          <w:kern w:val="0"/>
          <w:sz w:val="21"/>
          <w:szCs w:val="21"/>
          <w:highlight w:val="none"/>
        </w:rPr>
        <w:t>团队</w:t>
      </w:r>
      <w:r>
        <w:rPr>
          <w:rFonts w:hint="eastAsia" w:asciiTheme="minorEastAsia" w:hAnsiTheme="minorEastAsia" w:eastAsiaTheme="minorEastAsia" w:cstheme="minorEastAsia"/>
          <w:b/>
          <w:kern w:val="0"/>
          <w:sz w:val="21"/>
          <w:szCs w:val="21"/>
          <w:highlight w:val="none"/>
          <w:lang w:val="en-US" w:eastAsia="zh-CN"/>
        </w:rPr>
        <w:t>要求</w:t>
      </w:r>
    </w:p>
    <w:p w14:paraId="091E146F">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2"/>
          <w:sz w:val="21"/>
          <w:szCs w:val="21"/>
          <w:highlight w:val="none"/>
          <w:lang w:val="en-US" w:eastAsia="zh-CN" w:bidi="ar-SA"/>
        </w:rPr>
        <w:t>需具备算力中心运维能力，并提供相应证明材料；</w:t>
      </w:r>
      <w:r>
        <w:rPr>
          <w:rFonts w:hint="eastAsia" w:asciiTheme="minorEastAsia" w:hAnsiTheme="minorEastAsia" w:eastAsiaTheme="minorEastAsia" w:cstheme="minorEastAsia"/>
          <w:kern w:val="0"/>
          <w:sz w:val="21"/>
          <w:szCs w:val="21"/>
          <w:highlight w:val="none"/>
        </w:rPr>
        <w:t>必须提供针对本项目的技术人员名单，总人数不少于6人，配置项目负责人1名、技术负责人</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名、项目组其他成员</w:t>
      </w:r>
      <w:r>
        <w:rPr>
          <w:rFonts w:hint="eastAsia" w:asciiTheme="minorEastAsia" w:hAnsiTheme="minorEastAsia" w:eastAsiaTheme="minorEastAsia" w:cstheme="minorEastAsia"/>
          <w:kern w:val="0"/>
          <w:sz w:val="21"/>
          <w:szCs w:val="21"/>
          <w:highlight w:val="none"/>
          <w:lang w:val="en-US" w:eastAsia="zh-CN"/>
        </w:rPr>
        <w:t>4名</w:t>
      </w:r>
      <w:r>
        <w:rPr>
          <w:rFonts w:hint="eastAsia" w:asciiTheme="minorEastAsia" w:hAnsiTheme="minorEastAsia" w:eastAsiaTheme="minorEastAsia" w:cstheme="minorEastAsia"/>
          <w:kern w:val="0"/>
          <w:sz w:val="21"/>
          <w:szCs w:val="21"/>
          <w:highlight w:val="none"/>
        </w:rPr>
        <w:t>（包含</w:t>
      </w:r>
      <w:r>
        <w:rPr>
          <w:rFonts w:hint="eastAsia" w:asciiTheme="minorEastAsia" w:hAnsiTheme="minorEastAsia" w:eastAsiaTheme="minorEastAsia" w:cstheme="minorEastAsia"/>
          <w:kern w:val="0"/>
          <w:sz w:val="21"/>
          <w:szCs w:val="21"/>
          <w:highlight w:val="none"/>
          <w:lang w:val="en-US" w:eastAsia="zh-CN"/>
        </w:rPr>
        <w:t>开发技术人员2名，负责软件开发优化及数据安全保障等，运维巡检人员2名，负责网络日常维护巡检及日常信息安全保障</w:t>
      </w:r>
      <w:r>
        <w:rPr>
          <w:rFonts w:hint="eastAsia" w:asciiTheme="minorEastAsia" w:hAnsiTheme="minorEastAsia" w:eastAsiaTheme="minorEastAsia" w:cstheme="minorEastAsia"/>
          <w:kern w:val="0"/>
          <w:sz w:val="21"/>
          <w:szCs w:val="21"/>
          <w:highlight w:val="none"/>
        </w:rPr>
        <w:t>）。</w:t>
      </w:r>
    </w:p>
    <w:p w14:paraId="1E851BC3">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二</w:t>
      </w:r>
      <w:r>
        <w:rPr>
          <w:rFonts w:hint="eastAsia" w:asciiTheme="minorEastAsia" w:hAnsiTheme="minorEastAsia" w:eastAsiaTheme="minorEastAsia" w:cstheme="minorEastAsia"/>
          <w:b/>
          <w:kern w:val="0"/>
          <w:sz w:val="21"/>
          <w:szCs w:val="21"/>
          <w:highlight w:val="none"/>
        </w:rPr>
        <w:t>）项目实施要求</w:t>
      </w:r>
    </w:p>
    <w:p w14:paraId="5E1B90A9">
      <w:pPr>
        <w:widowControl w:val="0"/>
        <w:numPr>
          <w:ilvl w:val="0"/>
          <w:numId w:val="9"/>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本项目建设内容需在招标人指定地点和位置进行部署。</w:t>
      </w:r>
    </w:p>
    <w:p w14:paraId="4898B686">
      <w:pPr>
        <w:widowControl w:val="0"/>
        <w:numPr>
          <w:ilvl w:val="0"/>
          <w:numId w:val="9"/>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投标人需在AI智能体部署完成后，需通过网络安全等级保护测评，并在等保管理单位完成备案。测评所需费用由投标人承担。</w:t>
      </w:r>
    </w:p>
    <w:p w14:paraId="0DD86CC7">
      <w:pPr>
        <w:widowControl w:val="0"/>
        <w:numPr>
          <w:ilvl w:val="0"/>
          <w:numId w:val="9"/>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投标人进行实施过程中，应做好对现状设备设施的保护，如因投标人造成现状设备设施及成品的损坏或出现质量缺陷，投标人需承担相应赔偿责任。</w:t>
      </w:r>
    </w:p>
    <w:p w14:paraId="6A8907FF">
      <w:pPr>
        <w:widowControl w:val="0"/>
        <w:numPr>
          <w:ilvl w:val="0"/>
          <w:numId w:val="9"/>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投标人提供的投标产品应满足招标人当前安装环境的各项要求，并且有责任确定安装现场是否符合设备安装及使用条件。</w:t>
      </w:r>
    </w:p>
    <w:p w14:paraId="6F461F6A">
      <w:pPr>
        <w:widowControl w:val="0"/>
        <w:numPr>
          <w:ilvl w:val="0"/>
          <w:numId w:val="9"/>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应负责将所有投标产品运到招标人指定地点和位置，并承担运输费用和运输中发生的其它一切费用。软硬件需确保全新未开封，并提供产品厂商的证明材料，并由招标人进行开箱验收，将由投标人与招标人双方共同确认，并进行签字确认。若有差异，应由投标人承担责任。</w:t>
      </w:r>
    </w:p>
    <w:p w14:paraId="03A2DB9D">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三</w:t>
      </w:r>
      <w:r>
        <w:rPr>
          <w:rFonts w:hint="eastAsia" w:asciiTheme="minorEastAsia" w:hAnsiTheme="minorEastAsia" w:eastAsiaTheme="minorEastAsia" w:cstheme="minorEastAsia"/>
          <w:b/>
          <w:kern w:val="0"/>
          <w:sz w:val="21"/>
          <w:szCs w:val="21"/>
          <w:highlight w:val="none"/>
        </w:rPr>
        <w:t>）网络安全要求</w:t>
      </w:r>
    </w:p>
    <w:p w14:paraId="3CBF8DCB">
      <w:pPr>
        <w:autoSpaceDE w:val="0"/>
        <w:autoSpaceDN w:val="0"/>
        <w:adjustRightInd w:val="0"/>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投标人需承诺无条件履行以下条款规定，若投标人无故违反，招标人有权终止合同，造成招标人损失的，招标人有权追究投标人赔偿责任。</w:t>
      </w:r>
    </w:p>
    <w:p w14:paraId="7ADD5157">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投标人应加强安全意识及措施，从管理、技术、制度等方面保障招标人的网络和数据安全。</w:t>
      </w:r>
    </w:p>
    <w:p w14:paraId="75BE635C">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投标人在未经招标人书面许可的前提下，不得向任何单位和个人泄露招标人的任何资料信息，不得将相关保密信息通过存储介质、网络等途径，传播至招标人不可控制区域。</w:t>
      </w:r>
    </w:p>
    <w:p w14:paraId="1064CED4">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投标人不得利用招标人网络或相关业务系统平台从事危害国家安全、泄露国家机密等违法犯罪活动，不得侵犯国家的、社会的、集体的和任何第三方的合法权益。</w:t>
      </w:r>
    </w:p>
    <w:p w14:paraId="46C66891">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的网络操作行为均需严格遵守国家相关法律法规，并建立有效的网络信息安全管理制度和技术保障措施，负责自身的网络信息安全，设立信息安全责任人和信息安全审查员，并接受相关政府主管部门的管理、监督和检查。</w:t>
      </w:r>
    </w:p>
    <w:p w14:paraId="1A21AB28">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应建立网络安全、数据安全保护的管理制度和技术保障措施，负责项目实施范围所涉及的各项网络安全、数据安全的管理和维护。招标人组织相关人员进行检查评估，对不满足要求的情况提出整改要求，投标人应按要求及时完成整改。</w:t>
      </w:r>
    </w:p>
    <w:p w14:paraId="23942E2F">
      <w:pPr>
        <w:widowControl w:val="0"/>
        <w:numPr>
          <w:ilvl w:val="0"/>
          <w:numId w:val="10"/>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投标人需配合接受政府信息安全主管部门的监督和检查，如实提供安全防护相关的信息、资料及数据文件，积极配合调查网络违法犯罪行为。</w:t>
      </w:r>
    </w:p>
    <w:p w14:paraId="12B852EE">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四</w:t>
      </w:r>
      <w:r>
        <w:rPr>
          <w:rFonts w:hint="eastAsia" w:asciiTheme="minorEastAsia" w:hAnsiTheme="minorEastAsia" w:eastAsiaTheme="minorEastAsia" w:cstheme="minorEastAsia"/>
          <w:b/>
          <w:kern w:val="0"/>
          <w:sz w:val="21"/>
          <w:szCs w:val="21"/>
          <w:highlight w:val="none"/>
        </w:rPr>
        <w:t>）知识产权要求</w:t>
      </w:r>
    </w:p>
    <w:p w14:paraId="6527E0FF">
      <w:pPr>
        <w:autoSpaceDE w:val="0"/>
        <w:autoSpaceDN w:val="0"/>
        <w:adjustRightInd w:val="0"/>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应保证在中华人民共和国境内使用其提供的产品、技术、服务或其任何一部分时，不会产生因第三方提出侵犯其专利权、商标权或其它知识产权而引起的法律和经济纠纷。如法院裁定招标人侵权成立，则招标人有权向投标人追偿，投标人须无条件承担与此相关的所有责任和经济赔偿。</w:t>
      </w:r>
    </w:p>
    <w:p w14:paraId="5DBF4CC4">
      <w:pPr>
        <w:autoSpaceDE w:val="0"/>
        <w:autoSpaceDN w:val="0"/>
        <w:adjustRightInd w:val="0"/>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在本项目中所产生的解决方案等知识产权及相关权益归招标人所有，投标人不得将涉及知识产权的技术秘密透露给第三方。投标人有不可争议的义务确保招标人依据本次招标所获得的知识产权不存在任何瑕疵并且可以不受限制地行使相关权利，包括各项延伸权利。</w:t>
      </w:r>
    </w:p>
    <w:p w14:paraId="48B862D7">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五</w:t>
      </w:r>
      <w:r>
        <w:rPr>
          <w:rFonts w:hint="eastAsia" w:asciiTheme="minorEastAsia" w:hAnsiTheme="minorEastAsia" w:eastAsiaTheme="minorEastAsia" w:cstheme="minorEastAsia"/>
          <w:b/>
          <w:kern w:val="0"/>
          <w:sz w:val="21"/>
          <w:szCs w:val="21"/>
          <w:highlight w:val="none"/>
        </w:rPr>
        <w:t>）培训要求</w:t>
      </w:r>
    </w:p>
    <w:p w14:paraId="36D372B8">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为确保本项目得以顺利实施、正常运行和使用，投标人必须为招标人提供系统使用、系统操作和管理维护培训，培训规模按用户实际需求为准，培训形式包括现场培训、课堂培训，投标人必须列明相应的培训课程。</w:t>
      </w:r>
    </w:p>
    <w:p w14:paraId="73F4F76F">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投标人应在投标文件中提供详细的培训计划，包括培训项目、人数、地点、日程、资料、其它等详细内容，为所有被培训人员提供培训用文字资料和讲义等相关用品。</w:t>
      </w:r>
    </w:p>
    <w:p w14:paraId="1FBB4995">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技术培训的内容必须包含软件的日常操作和管理维护，以及基本的故障诊断与排错。投标人培训人员必须是公司的资深工程师。</w:t>
      </w:r>
    </w:p>
    <w:p w14:paraId="0D76B889">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所有培训费用（含培训教材费），已包括在投标总价中。</w:t>
      </w:r>
    </w:p>
    <w:p w14:paraId="2E0AE261">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实际培训时间、人数和地点按投标人与项目招标人商定的为准。</w:t>
      </w:r>
    </w:p>
    <w:p w14:paraId="541E8C05">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培训所使用的语言和教材必须是中文，否则投标人必须提供相应的翻译。投标人必须提供培训所需要的技术支持。</w:t>
      </w:r>
    </w:p>
    <w:p w14:paraId="59699D7F">
      <w:pPr>
        <w:widowControl w:val="0"/>
        <w:numPr>
          <w:ilvl w:val="0"/>
          <w:numId w:val="11"/>
        </w:numPr>
        <w:autoSpaceDE w:val="0"/>
        <w:autoSpaceDN w:val="0"/>
        <w:adjustRightInd w:val="0"/>
        <w:spacing w:line="360" w:lineRule="auto"/>
        <w:ind w:left="0" w:leftChars="0" w:firstLine="420" w:firstLineChars="0"/>
        <w:jc w:val="both"/>
        <w:rPr>
          <w:rFonts w:hint="eastAsia" w:asciiTheme="minorEastAsia" w:hAnsiTheme="minorEastAsia" w:eastAsiaTheme="minorEastAsia" w:cstheme="minorEastAsia"/>
          <w:kern w:val="2"/>
          <w:sz w:val="21"/>
          <w:szCs w:val="21"/>
          <w:highlight w:val="none"/>
          <w:lang w:val="en-US" w:eastAsia="zh-CN" w:bidi="ar-SA"/>
        </w:rPr>
      </w:pPr>
      <w:bookmarkStart w:id="85" w:name="_Hlk141907093"/>
      <w:r>
        <w:rPr>
          <w:rFonts w:hint="eastAsia" w:asciiTheme="minorEastAsia" w:hAnsiTheme="minorEastAsia" w:eastAsiaTheme="minorEastAsia" w:cstheme="minorEastAsia"/>
          <w:kern w:val="2"/>
          <w:sz w:val="21"/>
          <w:szCs w:val="21"/>
          <w:highlight w:val="none"/>
          <w:lang w:val="en-US" w:eastAsia="zh-CN" w:bidi="ar-SA"/>
        </w:rPr>
        <w:t>投标人为本项目提供的培训相关费用由投标人承担。</w:t>
      </w:r>
    </w:p>
    <w:bookmarkEnd w:id="85"/>
    <w:p w14:paraId="343853D3">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六</w:t>
      </w:r>
      <w:r>
        <w:rPr>
          <w:rFonts w:hint="eastAsia" w:asciiTheme="minorEastAsia" w:hAnsiTheme="minorEastAsia" w:eastAsiaTheme="minorEastAsia" w:cstheme="minorEastAsia"/>
          <w:b/>
          <w:kern w:val="0"/>
          <w:sz w:val="21"/>
          <w:szCs w:val="21"/>
          <w:highlight w:val="none"/>
        </w:rPr>
        <w:t>）验收要求</w:t>
      </w:r>
    </w:p>
    <w:p w14:paraId="15F877ED">
      <w:pPr>
        <w:spacing w:line="360" w:lineRule="auto"/>
        <w:ind w:firstLine="420" w:firstLineChars="200"/>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在合同约定的所有建设内容完成实施，通过等保测评和试运行，并准备好完整的项目建设资料和技术文档后，投标人向招标人提交验收申请和相关资料（签订合同后三个月内），招标人组织投标人、监理单位进行项目验收。竣工验收将对项目实施情况、投资情况、合同履行情况、进度情况、质量状况进行检查，并对项目建设成果进行功能性抽查和试验，对实施过程进行评价，形成竣工验收意见。竣工验收未通过的，投标人应在15日内完成整改工作并再次提出竣工验收申请。</w:t>
      </w:r>
    </w:p>
    <w:p w14:paraId="7A0038B9">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七</w:t>
      </w: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质量保证要求</w:t>
      </w:r>
    </w:p>
    <w:p w14:paraId="50E512D5">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kern w:val="0"/>
          <w:sz w:val="21"/>
          <w:szCs w:val="21"/>
          <w:highlight w:val="none"/>
        </w:rPr>
        <w:t>期内，由于设备质量因素而造成的损坏，均由</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负责免费维修及更换配件；在保修期结束前，须与</w:t>
      </w:r>
      <w:r>
        <w:rPr>
          <w:rFonts w:hint="eastAsia" w:asciiTheme="minorEastAsia" w:hAnsiTheme="minorEastAsia" w:eastAsiaTheme="minorEastAsia" w:cstheme="minorEastAsia"/>
          <w:kern w:val="0"/>
          <w:sz w:val="21"/>
          <w:szCs w:val="21"/>
          <w:highlight w:val="none"/>
          <w:lang w:eastAsia="zh-CN"/>
        </w:rPr>
        <w:t>招标人</w:t>
      </w:r>
      <w:r>
        <w:rPr>
          <w:rFonts w:hint="eastAsia" w:asciiTheme="minorEastAsia" w:hAnsiTheme="minorEastAsia" w:eastAsiaTheme="minorEastAsia" w:cstheme="minorEastAsia"/>
          <w:kern w:val="0"/>
          <w:sz w:val="21"/>
          <w:szCs w:val="21"/>
          <w:highlight w:val="none"/>
        </w:rPr>
        <w:t>进行一次全面检查，任何缺陷必须由</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负责修理或更换。</w:t>
      </w:r>
    </w:p>
    <w:p w14:paraId="36CB9435">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lang w:val="en-US" w:eastAsia="zh-CN"/>
        </w:rPr>
        <w:t>应</w:t>
      </w:r>
      <w:r>
        <w:rPr>
          <w:rFonts w:hint="eastAsia" w:asciiTheme="minorEastAsia" w:hAnsiTheme="minorEastAsia" w:eastAsiaTheme="minorEastAsia" w:cstheme="minorEastAsia"/>
          <w:kern w:val="0"/>
          <w:sz w:val="21"/>
          <w:szCs w:val="21"/>
          <w:highlight w:val="none"/>
        </w:rPr>
        <w:t>提供7×24小时售后技术支持服务，技术支持内容包括故障排除、问题解决、优化调整、技术咨询，主要方式包括电话、邮件、远程协助及现场服务。如在使用过程中发生问题，</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须在接到故障电话后半小时内做出响应，12小时以内解决问题，如不能保证12小时内解决问题需及时提供备品件确保设备正常投入使用。</w:t>
      </w:r>
    </w:p>
    <w:p w14:paraId="15A91BA3">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八</w:t>
      </w:r>
      <w:r>
        <w:rPr>
          <w:rFonts w:hint="eastAsia" w:asciiTheme="minorEastAsia" w:hAnsiTheme="minorEastAsia" w:eastAsiaTheme="minorEastAsia" w:cstheme="minorEastAsia"/>
          <w:b/>
          <w:kern w:val="0"/>
          <w:sz w:val="21"/>
          <w:szCs w:val="21"/>
          <w:highlight w:val="none"/>
        </w:rPr>
        <w:t>）其他要求</w:t>
      </w:r>
    </w:p>
    <w:p w14:paraId="53815B9D">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服务人员的工作分工由用户统一安排、调配，</w:t>
      </w:r>
      <w:r>
        <w:rPr>
          <w:rFonts w:hint="eastAsia" w:asciiTheme="minorEastAsia" w:hAnsiTheme="minorEastAsia" w:eastAsiaTheme="minorEastAsia" w:cstheme="minorEastAsia"/>
          <w:kern w:val="0"/>
          <w:sz w:val="21"/>
          <w:szCs w:val="21"/>
          <w:highlight w:val="none"/>
          <w:lang w:val="en-US" w:eastAsia="zh-CN"/>
        </w:rPr>
        <w:t>在</w:t>
      </w:r>
      <w:r>
        <w:rPr>
          <w:rFonts w:hint="eastAsia" w:asciiTheme="minorEastAsia" w:hAnsiTheme="minorEastAsia" w:eastAsiaTheme="minorEastAsia" w:cstheme="minorEastAsia"/>
          <w:kern w:val="0"/>
          <w:sz w:val="21"/>
          <w:szCs w:val="21"/>
          <w:highlight w:val="none"/>
        </w:rPr>
        <w:t>指定的场所开展</w:t>
      </w:r>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kern w:val="0"/>
          <w:sz w:val="21"/>
          <w:szCs w:val="21"/>
          <w:highlight w:val="none"/>
        </w:rPr>
        <w:t xml:space="preserve">工作，工作日服务时间由用户统一安排。 </w:t>
      </w:r>
    </w:p>
    <w:p w14:paraId="4B20C9C2">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 xml:space="preserve">保证当发生重大信息安全事故时，技术专家在2小时内到达现场协助用户分析、定位安全事故，快速抑制故障影响，恢复服务，提供修复和改进建议，协助完成该项工作。 </w:t>
      </w:r>
    </w:p>
    <w:p w14:paraId="237F1CC2">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 xml:space="preserve">在任何情况下都必须严格遵守职业操守，不向任何第三方泄露、使用或允许他人使用其所获知的用户技术资料、任何可能危及用户网络安全的资料、信息以及用户的任何非公开信息，也不能以任何方式造成用户系统的损害。 </w:t>
      </w:r>
    </w:p>
    <w:p w14:paraId="291098B7">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保证提供的服务工具不违反国家法律法规的规定，不侵犯任何第三方的专利、商标或版权。</w:t>
      </w:r>
    </w:p>
    <w:p w14:paraId="2AF1F9D2">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在工作过程中需要遵守用户的各类相关规定，与</w:t>
      </w:r>
      <w:r>
        <w:rPr>
          <w:rFonts w:hint="eastAsia" w:asciiTheme="minorEastAsia" w:hAnsiTheme="minorEastAsia" w:eastAsiaTheme="minorEastAsia" w:cstheme="minorEastAsia"/>
          <w:kern w:val="0"/>
          <w:sz w:val="21"/>
          <w:szCs w:val="21"/>
          <w:highlight w:val="none"/>
          <w:lang w:eastAsia="zh-CN"/>
        </w:rPr>
        <w:t>招标人</w:t>
      </w:r>
      <w:r>
        <w:rPr>
          <w:rFonts w:hint="eastAsia" w:asciiTheme="minorEastAsia" w:hAnsiTheme="minorEastAsia" w:eastAsiaTheme="minorEastAsia" w:cstheme="minorEastAsia"/>
          <w:kern w:val="0"/>
          <w:sz w:val="21"/>
          <w:szCs w:val="21"/>
          <w:highlight w:val="none"/>
        </w:rPr>
        <w:t>签订保密协议，做好数据安全和保密工作，并积极完成用户安排的工作任务，对于不合格的</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，用户有权向</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提出更换。</w:t>
      </w:r>
    </w:p>
    <w:p w14:paraId="5C2DFD47">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kern w:val="0"/>
          <w:sz w:val="21"/>
          <w:szCs w:val="21"/>
          <w:highlight w:val="none"/>
        </w:rPr>
        <w:t>工作所涉及的操作，需在用户认可、允许、指派的情形下进行，未经用户允许禁止进行维护操作，如由于未经允许进行的违规操作所导致的后果，</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将承担由此操作引起的责任。</w:t>
      </w:r>
    </w:p>
    <w:p w14:paraId="0F8BE7C7">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九</w:t>
      </w:r>
      <w:r>
        <w:rPr>
          <w:rFonts w:hint="eastAsia" w:asciiTheme="minorEastAsia" w:hAnsiTheme="minorEastAsia" w:eastAsiaTheme="minorEastAsia" w:cstheme="minorEastAsia"/>
          <w:b/>
          <w:kern w:val="0"/>
          <w:sz w:val="21"/>
          <w:szCs w:val="21"/>
          <w:highlight w:val="none"/>
        </w:rPr>
        <w:t>）职责范围</w:t>
      </w:r>
    </w:p>
    <w:p w14:paraId="3AA7BFBE">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在本项目中，</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承担服务的业务管理和协调工作，负责行使对服务的业务管理职责。</w:t>
      </w:r>
    </w:p>
    <w:p w14:paraId="11F7C639">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应服从</w:t>
      </w:r>
      <w:r>
        <w:rPr>
          <w:rFonts w:hint="eastAsia" w:asciiTheme="minorEastAsia" w:hAnsiTheme="minorEastAsia" w:eastAsiaTheme="minorEastAsia" w:cstheme="minorEastAsia"/>
          <w:kern w:val="0"/>
          <w:sz w:val="21"/>
          <w:szCs w:val="21"/>
          <w:highlight w:val="none"/>
          <w:lang w:val="en-US" w:eastAsia="zh-CN"/>
        </w:rPr>
        <w:t>招标人</w:t>
      </w:r>
      <w:r>
        <w:rPr>
          <w:rFonts w:hint="eastAsia" w:asciiTheme="minorEastAsia" w:hAnsiTheme="minorEastAsia" w:eastAsiaTheme="minorEastAsia" w:cstheme="minorEastAsia"/>
          <w:kern w:val="0"/>
          <w:sz w:val="21"/>
          <w:szCs w:val="21"/>
          <w:highlight w:val="none"/>
        </w:rPr>
        <w:t>建立的各种规章制度，接受</w:t>
      </w:r>
      <w:r>
        <w:rPr>
          <w:rFonts w:hint="eastAsia" w:asciiTheme="minorEastAsia" w:hAnsiTheme="minorEastAsia" w:eastAsiaTheme="minorEastAsia" w:cstheme="minorEastAsia"/>
          <w:kern w:val="0"/>
          <w:sz w:val="21"/>
          <w:szCs w:val="21"/>
          <w:highlight w:val="none"/>
          <w:lang w:eastAsia="zh-CN"/>
        </w:rPr>
        <w:t>招标人</w:t>
      </w:r>
      <w:r>
        <w:rPr>
          <w:rFonts w:hint="eastAsia" w:asciiTheme="minorEastAsia" w:hAnsiTheme="minorEastAsia" w:eastAsiaTheme="minorEastAsia" w:cstheme="minorEastAsia"/>
          <w:kern w:val="0"/>
          <w:sz w:val="21"/>
          <w:szCs w:val="21"/>
          <w:highlight w:val="none"/>
        </w:rPr>
        <w:t>对本项目所做的系统升级、项目管理、监督工作，共同对性能管理、服务管理、重大变更发布、紧急重大事故等进行风险评估和决策审批。对</w:t>
      </w:r>
      <w:r>
        <w:rPr>
          <w:rFonts w:hint="eastAsia" w:asciiTheme="minorEastAsia" w:hAnsiTheme="minorEastAsia" w:eastAsiaTheme="minorEastAsia" w:cstheme="minorEastAsia"/>
          <w:kern w:val="0"/>
          <w:sz w:val="21"/>
          <w:szCs w:val="21"/>
          <w:highlight w:val="none"/>
          <w:lang w:eastAsia="zh-CN"/>
        </w:rPr>
        <w:t>招标人</w:t>
      </w:r>
      <w:r>
        <w:rPr>
          <w:rFonts w:hint="eastAsia" w:asciiTheme="minorEastAsia" w:hAnsiTheme="minorEastAsia" w:eastAsiaTheme="minorEastAsia" w:cstheme="minorEastAsia"/>
          <w:kern w:val="0"/>
          <w:sz w:val="21"/>
          <w:szCs w:val="21"/>
          <w:highlight w:val="none"/>
        </w:rPr>
        <w:t>提出的改进管理的要求，</w:t>
      </w: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应该积极配合。</w:t>
      </w:r>
    </w:p>
    <w:p w14:paraId="620EF487">
      <w:pPr>
        <w:spacing w:line="360" w:lineRule="auto"/>
        <w:ind w:firstLine="422" w:firstLineChars="200"/>
        <w:outlineLvl w:val="1"/>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（十）安全管理</w:t>
      </w:r>
    </w:p>
    <w:p w14:paraId="005581CF">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投标人</w:t>
      </w:r>
      <w:r>
        <w:rPr>
          <w:rFonts w:hint="eastAsia" w:asciiTheme="minorEastAsia" w:hAnsiTheme="minorEastAsia" w:eastAsiaTheme="minorEastAsia" w:cstheme="minorEastAsia"/>
          <w:kern w:val="0"/>
          <w:sz w:val="21"/>
          <w:szCs w:val="21"/>
          <w:highlight w:val="none"/>
        </w:rPr>
        <w:t>必须服从</w:t>
      </w:r>
      <w:r>
        <w:rPr>
          <w:rFonts w:hint="eastAsia" w:asciiTheme="minorEastAsia" w:hAnsiTheme="minorEastAsia" w:eastAsiaTheme="minorEastAsia" w:cstheme="minorEastAsia"/>
          <w:kern w:val="0"/>
          <w:sz w:val="21"/>
          <w:szCs w:val="21"/>
          <w:highlight w:val="none"/>
          <w:lang w:eastAsia="zh-CN"/>
        </w:rPr>
        <w:t>招标人</w:t>
      </w:r>
      <w:r>
        <w:rPr>
          <w:rFonts w:hint="eastAsia" w:asciiTheme="minorEastAsia" w:hAnsiTheme="minorEastAsia" w:eastAsiaTheme="minorEastAsia" w:cstheme="minorEastAsia"/>
          <w:kern w:val="0"/>
          <w:sz w:val="21"/>
          <w:szCs w:val="21"/>
          <w:highlight w:val="none"/>
        </w:rPr>
        <w:t xml:space="preserve">对信息安全的各项管理规定和要求，对因工作疏失出现的信息安全责任事故，必须承担相应责任。 </w:t>
      </w:r>
    </w:p>
    <w:p w14:paraId="767B48F1">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服务人员每次对网站进行安全扫描、渗透测试之前必须要先提供相应的方案并与用户充分沟通，在用户许可的时间、环境下由经验丰富的专业技术人员进行，以确保系统的安全稳定运行。</w:t>
      </w:r>
    </w:p>
    <w:p w14:paraId="4B7CB682">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所进行的漏洞扫描、渗透测试、应急响应全过程产生的所有过程文档、原始数据、扫描报告、正式报告等必须进行电子和纸制双重归档，在项目结束后全部移交。</w:t>
      </w:r>
    </w:p>
    <w:p w14:paraId="525D6F16">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针对应急响应服务，</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需要能够提供详细的应急响应服务指标，包括故障优先级定义、问题升级流程等。</w:t>
      </w:r>
    </w:p>
    <w:p w14:paraId="6EB38419">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各项工作实施过程中应尽可能小的影响系统和网络的正常运行，做好备份和应急措施，不能对信息系统的正常运行产生影响，包括系统性能明显下降、网络拥塞、服务中断等，如无法避免出现这些情况应先停止项目实施，并向用户提供书面详细描述。</w:t>
      </w:r>
    </w:p>
    <w:p w14:paraId="22C308D5">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须对本次安全服务项目实施过程的数据和结果数据严格保密，未经授权，不得泄露给任何其他单位和个人，同时</w:t>
      </w:r>
      <w:r>
        <w:rPr>
          <w:rFonts w:hint="eastAsia" w:asciiTheme="minorEastAsia" w:hAnsiTheme="minorEastAsia" w:eastAsiaTheme="minorEastAsia" w:cstheme="minorEastAsia"/>
          <w:kern w:val="0"/>
          <w:sz w:val="21"/>
          <w:szCs w:val="21"/>
          <w:highlight w:val="none"/>
          <w:lang w:eastAsia="zh-CN"/>
        </w:rPr>
        <w:t>服务人员</w:t>
      </w:r>
      <w:r>
        <w:rPr>
          <w:rFonts w:hint="eastAsia" w:asciiTheme="minorEastAsia" w:hAnsiTheme="minorEastAsia" w:eastAsiaTheme="minorEastAsia" w:cstheme="minorEastAsia"/>
          <w:kern w:val="0"/>
          <w:sz w:val="21"/>
          <w:szCs w:val="21"/>
          <w:highlight w:val="none"/>
        </w:rPr>
        <w:t>应在此项目结束之后销毁所有和本项目有关的数据和文档。</w:t>
      </w:r>
    </w:p>
    <w:bookmarkEnd w:id="67"/>
    <w:bookmarkEnd w:id="68"/>
    <w:p w14:paraId="4EC5DDEF">
      <w:pPr>
        <w:pStyle w:val="378"/>
        <w:spacing w:after="120"/>
        <w:ind w:firstLine="0" w:firstLineChars="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、重要商务条款一览表：</w:t>
      </w:r>
    </w:p>
    <w:tbl>
      <w:tblPr>
        <w:tblStyle w:val="62"/>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5"/>
        <w:gridCol w:w="7123"/>
      </w:tblGrid>
      <w:tr w14:paraId="117D6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17DFEAF9">
            <w:pPr>
              <w:spacing w:line="360" w:lineRule="auto"/>
              <w:contextualSpacing/>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w:t>
            </w:r>
          </w:p>
        </w:tc>
        <w:tc>
          <w:tcPr>
            <w:tcW w:w="7123" w:type="dxa"/>
            <w:tcBorders>
              <w:top w:val="single" w:color="auto" w:sz="4" w:space="0"/>
              <w:left w:val="single" w:color="auto" w:sz="4" w:space="0"/>
              <w:bottom w:val="single" w:color="auto" w:sz="4" w:space="0"/>
              <w:right w:val="single" w:color="auto" w:sz="4" w:space="0"/>
            </w:tcBorders>
            <w:vAlign w:val="center"/>
          </w:tcPr>
          <w:p w14:paraId="0446216F">
            <w:pPr>
              <w:spacing w:line="360" w:lineRule="auto"/>
              <w:contextualSpacing/>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要 求</w:t>
            </w:r>
          </w:p>
        </w:tc>
      </w:tr>
      <w:tr w14:paraId="67D7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12737667">
            <w:pPr>
              <w:adjustRightInd/>
              <w:spacing w:line="360" w:lineRule="auto"/>
              <w:contextualSpacing/>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szCs w:val="21"/>
                <w:highlight w:val="none"/>
              </w:rPr>
              <w:t>合同履约期限</w:t>
            </w:r>
          </w:p>
        </w:tc>
        <w:tc>
          <w:tcPr>
            <w:tcW w:w="7123" w:type="dxa"/>
            <w:tcBorders>
              <w:top w:val="single" w:color="auto" w:sz="4" w:space="0"/>
              <w:left w:val="single" w:color="auto" w:sz="4" w:space="0"/>
              <w:bottom w:val="single" w:color="auto" w:sz="4" w:space="0"/>
              <w:right w:val="single" w:color="auto" w:sz="4" w:space="0"/>
            </w:tcBorders>
            <w:vAlign w:val="center"/>
          </w:tcPr>
          <w:p w14:paraId="72920BAE">
            <w:pPr>
              <w:adjustRightInd/>
              <w:spacing w:line="360" w:lineRule="auto"/>
              <w:contextualSpacing/>
              <w:jc w:val="left"/>
              <w:rPr>
                <w:rFonts w:hint="eastAsia" w:asciiTheme="minorEastAsia" w:hAnsiTheme="minorEastAsia" w:eastAsiaTheme="minorEastAsia" w:cstheme="minorEastAsia"/>
                <w:szCs w:val="21"/>
                <w:highlight w:val="none"/>
              </w:rPr>
            </w:pPr>
            <w:r>
              <w:rPr>
                <w:rFonts w:hint="eastAsia" w:cs="Times New Roman" w:asciiTheme="minorEastAsia" w:hAnsiTheme="minorEastAsia" w:eastAsiaTheme="minorEastAsia"/>
                <w:bCs/>
                <w:szCs w:val="21"/>
                <w:highlight w:val="none"/>
                <w:lang w:val="en-US" w:eastAsia="zh-CN"/>
              </w:rPr>
              <w:t>合同签订后一个月内完成各项服务及设备的安装和部署，之后进行两个月的试运行，试运行完成并通过验收后转入3年服务期</w:t>
            </w:r>
            <w:r>
              <w:rPr>
                <w:rFonts w:hint="eastAsia" w:asciiTheme="minorEastAsia" w:hAnsiTheme="minorEastAsia" w:eastAsiaTheme="minorEastAsia" w:cstheme="minorEastAsia"/>
                <w:szCs w:val="21"/>
                <w:highlight w:val="none"/>
              </w:rPr>
              <w:t>。</w:t>
            </w:r>
          </w:p>
        </w:tc>
      </w:tr>
      <w:tr w14:paraId="28855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406D8A1">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服务地点</w:t>
            </w:r>
          </w:p>
        </w:tc>
        <w:tc>
          <w:tcPr>
            <w:tcW w:w="7123" w:type="dxa"/>
            <w:tcBorders>
              <w:top w:val="single" w:color="auto" w:sz="4" w:space="0"/>
              <w:left w:val="single" w:color="auto" w:sz="4" w:space="0"/>
              <w:bottom w:val="single" w:color="auto" w:sz="4" w:space="0"/>
              <w:right w:val="single" w:color="auto" w:sz="4" w:space="0"/>
            </w:tcBorders>
            <w:shd w:val="clear" w:color="auto" w:fill="auto"/>
            <w:vAlign w:val="center"/>
          </w:tcPr>
          <w:p w14:paraId="65CC6154">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宁波市海曙区内采购人指定地点。</w:t>
            </w:r>
          </w:p>
        </w:tc>
      </w:tr>
      <w:tr w14:paraId="0609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4096E215">
            <w:pPr>
              <w:spacing w:line="312" w:lineRule="auto"/>
              <w:jc w:val="center"/>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履约保证金</w:t>
            </w:r>
          </w:p>
        </w:tc>
        <w:tc>
          <w:tcPr>
            <w:tcW w:w="7123" w:type="dxa"/>
            <w:tcBorders>
              <w:top w:val="single" w:color="auto" w:sz="4" w:space="0"/>
              <w:left w:val="single" w:color="auto" w:sz="4" w:space="0"/>
              <w:bottom w:val="single" w:color="auto" w:sz="4" w:space="0"/>
              <w:right w:val="single" w:color="auto" w:sz="4" w:space="0"/>
            </w:tcBorders>
            <w:vAlign w:val="center"/>
          </w:tcPr>
          <w:p w14:paraId="776C0502">
            <w:pPr>
              <w:spacing w:line="312" w:lineRule="auto"/>
              <w:jc w:val="left"/>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本项目不采用。</w:t>
            </w:r>
          </w:p>
        </w:tc>
      </w:tr>
      <w:tr w14:paraId="64F2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27F33805">
            <w:pPr>
              <w:spacing w:line="312" w:lineRule="auto"/>
              <w:jc w:val="center"/>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签订合同时间</w:t>
            </w:r>
          </w:p>
        </w:tc>
        <w:tc>
          <w:tcPr>
            <w:tcW w:w="7123" w:type="dxa"/>
            <w:tcBorders>
              <w:top w:val="single" w:color="auto" w:sz="4" w:space="0"/>
              <w:left w:val="single" w:color="auto" w:sz="4" w:space="0"/>
              <w:bottom w:val="single" w:color="auto" w:sz="4" w:space="0"/>
              <w:right w:val="single" w:color="auto" w:sz="4" w:space="0"/>
            </w:tcBorders>
            <w:vAlign w:val="center"/>
          </w:tcPr>
          <w:p w14:paraId="72A89173">
            <w:pPr>
              <w:spacing w:line="312" w:lineRule="auto"/>
              <w:jc w:val="left"/>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中标通知书发出之日起30日内。</w:t>
            </w:r>
          </w:p>
        </w:tc>
      </w:tr>
      <w:tr w14:paraId="213FB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4AEAF22B">
            <w:pPr>
              <w:spacing w:line="312" w:lineRule="auto"/>
              <w:jc w:val="center"/>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质量标准</w:t>
            </w:r>
          </w:p>
        </w:tc>
        <w:tc>
          <w:tcPr>
            <w:tcW w:w="7123" w:type="dxa"/>
            <w:tcBorders>
              <w:top w:val="single" w:color="auto" w:sz="4" w:space="0"/>
              <w:left w:val="single" w:color="auto" w:sz="4" w:space="0"/>
              <w:bottom w:val="single" w:color="auto" w:sz="4" w:space="0"/>
              <w:right w:val="single" w:color="auto" w:sz="4" w:space="0"/>
            </w:tcBorders>
            <w:vAlign w:val="center"/>
          </w:tcPr>
          <w:p w14:paraId="32592726">
            <w:pPr>
              <w:spacing w:line="312" w:lineRule="auto"/>
              <w:jc w:val="left"/>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0B81B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3C5398DF">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质保期</w:t>
            </w:r>
          </w:p>
        </w:tc>
        <w:tc>
          <w:tcPr>
            <w:tcW w:w="7123" w:type="dxa"/>
            <w:tcBorders>
              <w:top w:val="single" w:color="auto" w:sz="4" w:space="0"/>
              <w:left w:val="single" w:color="auto" w:sz="4" w:space="0"/>
              <w:bottom w:val="single" w:color="auto" w:sz="4" w:space="0"/>
              <w:right w:val="single" w:color="auto" w:sz="4" w:space="0"/>
            </w:tcBorders>
            <w:vAlign w:val="center"/>
          </w:tcPr>
          <w:p w14:paraId="55B991DB">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服务期内，投标人须承担服务内容的质保。</w:t>
            </w:r>
          </w:p>
        </w:tc>
      </w:tr>
      <w:tr w14:paraId="276A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14:paraId="24D8A368">
            <w:pPr>
              <w:spacing w:line="312" w:lineRule="auto"/>
              <w:jc w:val="center"/>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宋体" w:hAnsi="宋体" w:eastAsia="宋体" w:cs="宋体"/>
                <w:b w:val="0"/>
                <w:bCs w:val="0"/>
                <w:color w:val="auto"/>
                <w:kern w:val="0"/>
                <w:sz w:val="21"/>
                <w:szCs w:val="21"/>
                <w:highlight w:val="none"/>
                <w:lang w:val="en-US" w:eastAsia="zh-CN" w:bidi="ar-SA"/>
              </w:rPr>
              <w:t>验收</w:t>
            </w:r>
          </w:p>
        </w:tc>
        <w:tc>
          <w:tcPr>
            <w:tcW w:w="7123" w:type="dxa"/>
            <w:tcBorders>
              <w:top w:val="single" w:color="auto" w:sz="4" w:space="0"/>
              <w:left w:val="single" w:color="auto" w:sz="4" w:space="0"/>
              <w:bottom w:val="single" w:color="auto" w:sz="4" w:space="0"/>
              <w:right w:val="single" w:color="auto" w:sz="4" w:space="0"/>
            </w:tcBorders>
            <w:vAlign w:val="center"/>
          </w:tcPr>
          <w:p w14:paraId="2601A02E">
            <w:pPr>
              <w:spacing w:line="312" w:lineRule="auto"/>
              <w:jc w:val="left"/>
              <w:rPr>
                <w:rFonts w:hint="eastAsia" w:asciiTheme="minorEastAsia" w:hAnsiTheme="minorEastAsia" w:eastAsiaTheme="minorEastAsia" w:cstheme="minorEastAsia"/>
                <w:szCs w:val="21"/>
                <w:highlight w:val="none"/>
              </w:rPr>
            </w:pPr>
            <w:r>
              <w:rPr>
                <w:rFonts w:hint="eastAsia" w:ascii="宋体" w:hAnsi="宋体" w:eastAsia="宋体" w:cs="宋体"/>
                <w:b w:val="0"/>
                <w:bCs w:val="0"/>
                <w:color w:val="auto"/>
                <w:kern w:val="0"/>
                <w:sz w:val="21"/>
                <w:szCs w:val="21"/>
                <w:highlight w:val="none"/>
                <w:lang w:val="en-US" w:eastAsia="zh-CN" w:bidi="ar-SA"/>
              </w:rPr>
              <w:t>除不可抗力外，合同签定三个月内未通过竣工验收，按合同延期处理，</w:t>
            </w:r>
            <w:r>
              <w:rPr>
                <w:rFonts w:hint="eastAsia" w:ascii="宋体" w:hAnsi="宋体" w:cs="宋体"/>
                <w:b w:val="0"/>
                <w:bCs w:val="0"/>
                <w:color w:val="auto"/>
                <w:kern w:val="0"/>
                <w:sz w:val="21"/>
                <w:szCs w:val="21"/>
                <w:highlight w:val="none"/>
                <w:lang w:val="en-US" w:eastAsia="zh-CN" w:bidi="ar-SA"/>
              </w:rPr>
              <w:t>延期违</w:t>
            </w:r>
            <w:r>
              <w:rPr>
                <w:rFonts w:asciiTheme="minorEastAsia" w:hAnsiTheme="minorEastAsia" w:eastAsiaTheme="minorEastAsia"/>
                <w:color w:val="auto"/>
                <w:szCs w:val="21"/>
                <w:highlight w:val="none"/>
              </w:rPr>
              <w:t>约金按</w:t>
            </w:r>
            <w:r>
              <w:rPr>
                <w:rFonts w:hint="eastAsia" w:asciiTheme="minorEastAsia" w:hAnsiTheme="minorEastAsia" w:eastAsiaTheme="minorEastAsia"/>
                <w:color w:val="auto"/>
                <w:szCs w:val="21"/>
                <w:highlight w:val="none"/>
                <w:lang w:val="en-US" w:eastAsia="zh-CN"/>
              </w:rPr>
              <w:t>合同总价的</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/日</w:t>
            </w:r>
            <w:r>
              <w:rPr>
                <w:rFonts w:asciiTheme="minorEastAsia" w:hAnsiTheme="minorEastAsia" w:eastAsiaTheme="minorEastAsia"/>
                <w:color w:val="auto"/>
                <w:szCs w:val="21"/>
                <w:highlight w:val="none"/>
              </w:rPr>
              <w:t>计算</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最高限额为</w:t>
            </w:r>
            <w:r>
              <w:rPr>
                <w:rFonts w:hint="eastAsia" w:asciiTheme="minorEastAsia" w:hAnsiTheme="minorEastAsia" w:eastAsiaTheme="minorEastAsia"/>
                <w:color w:val="auto"/>
                <w:szCs w:val="21"/>
                <w:highlight w:val="none"/>
              </w:rPr>
              <w:t>本</w:t>
            </w:r>
            <w:r>
              <w:rPr>
                <w:rFonts w:hint="eastAsia" w:ascii="宋体" w:hAnsi="宋体" w:eastAsia="宋体" w:cs="宋体"/>
                <w:b w:val="0"/>
                <w:bCs w:val="0"/>
                <w:color w:val="auto"/>
                <w:kern w:val="0"/>
                <w:sz w:val="21"/>
                <w:szCs w:val="21"/>
                <w:highlight w:val="none"/>
                <w:lang w:val="en-US" w:eastAsia="zh-CN" w:bidi="ar-SA"/>
              </w:rPr>
              <w:t>合同总价的10 %。迟延履行的违约金计算数额达到前述最高限额之日起，</w:t>
            </w:r>
            <w:r>
              <w:rPr>
                <w:rFonts w:hint="eastAsia" w:ascii="宋体" w:hAnsi="宋体" w:cs="宋体"/>
                <w:b w:val="0"/>
                <w:bCs w:val="0"/>
                <w:color w:val="auto"/>
                <w:kern w:val="0"/>
                <w:sz w:val="21"/>
                <w:szCs w:val="21"/>
                <w:highlight w:val="none"/>
                <w:lang w:val="en-US" w:eastAsia="zh-CN" w:bidi="ar-SA"/>
              </w:rPr>
              <w:t>采购人</w:t>
            </w:r>
            <w:r>
              <w:rPr>
                <w:rFonts w:hint="eastAsia" w:ascii="宋体" w:hAnsi="宋体" w:eastAsia="宋体" w:cs="宋体"/>
                <w:b w:val="0"/>
                <w:bCs w:val="0"/>
                <w:color w:val="auto"/>
                <w:kern w:val="0"/>
                <w:sz w:val="21"/>
                <w:szCs w:val="21"/>
                <w:highlight w:val="none"/>
                <w:lang w:val="en-US" w:eastAsia="zh-CN" w:bidi="ar-SA"/>
              </w:rPr>
              <w:t>有权在要求</w:t>
            </w:r>
            <w:r>
              <w:rPr>
                <w:rFonts w:hint="eastAsia" w:ascii="宋体" w:hAnsi="宋体" w:cs="宋体"/>
                <w:b w:val="0"/>
                <w:bCs w:val="0"/>
                <w:color w:val="auto"/>
                <w:kern w:val="0"/>
                <w:sz w:val="21"/>
                <w:szCs w:val="21"/>
                <w:highlight w:val="none"/>
                <w:lang w:val="en-US" w:eastAsia="zh-CN" w:bidi="ar-SA"/>
              </w:rPr>
              <w:t>中标人</w:t>
            </w:r>
            <w:r>
              <w:rPr>
                <w:rFonts w:hint="eastAsia" w:ascii="宋体" w:hAnsi="宋体" w:eastAsia="宋体" w:cs="宋体"/>
                <w:b w:val="0"/>
                <w:bCs w:val="0"/>
                <w:color w:val="auto"/>
                <w:kern w:val="0"/>
                <w:sz w:val="21"/>
                <w:szCs w:val="21"/>
                <w:highlight w:val="none"/>
                <w:lang w:val="en-US" w:eastAsia="zh-CN" w:bidi="ar-SA"/>
              </w:rPr>
              <w:t>支付违约金的同时，书面通知</w:t>
            </w:r>
            <w:r>
              <w:rPr>
                <w:rFonts w:hint="eastAsia" w:ascii="宋体" w:hAnsi="宋体" w:cs="宋体"/>
                <w:b w:val="0"/>
                <w:bCs w:val="0"/>
                <w:color w:val="auto"/>
                <w:kern w:val="0"/>
                <w:sz w:val="21"/>
                <w:szCs w:val="21"/>
                <w:highlight w:val="none"/>
                <w:lang w:val="en-US" w:eastAsia="zh-CN" w:bidi="ar-SA"/>
              </w:rPr>
              <w:t>中标人</w:t>
            </w:r>
            <w:r>
              <w:rPr>
                <w:rFonts w:hint="eastAsia" w:ascii="宋体" w:hAnsi="宋体" w:eastAsia="宋体" w:cs="宋体"/>
                <w:b w:val="0"/>
                <w:bCs w:val="0"/>
                <w:color w:val="auto"/>
                <w:kern w:val="0"/>
                <w:sz w:val="21"/>
                <w:szCs w:val="21"/>
                <w:highlight w:val="none"/>
                <w:lang w:val="en-US" w:eastAsia="zh-CN" w:bidi="ar-SA"/>
              </w:rPr>
              <w:t>解除本合同</w:t>
            </w:r>
            <w:r>
              <w:rPr>
                <w:rFonts w:hint="eastAsia" w:ascii="宋体" w:hAnsi="宋体" w:cs="宋体"/>
                <w:b w:val="0"/>
                <w:bCs w:val="0"/>
                <w:color w:val="auto"/>
                <w:kern w:val="0"/>
                <w:sz w:val="21"/>
                <w:szCs w:val="21"/>
                <w:highlight w:val="none"/>
                <w:lang w:val="en-US" w:eastAsia="zh-CN" w:bidi="ar-SA"/>
              </w:rPr>
              <w:t>。</w:t>
            </w:r>
          </w:p>
        </w:tc>
      </w:tr>
    </w:tbl>
    <w:p w14:paraId="0B5CBFC4">
      <w:pPr>
        <w:pStyle w:val="24"/>
        <w:ind w:firstLine="240"/>
        <w:rPr>
          <w:rFonts w:hint="eastAsia" w:asciiTheme="minorEastAsia" w:hAnsiTheme="minorEastAsia" w:eastAsiaTheme="minorEastAsia" w:cstheme="minorEastAsia"/>
          <w:sz w:val="21"/>
          <w:szCs w:val="21"/>
          <w:highlight w:val="none"/>
        </w:rPr>
      </w:pPr>
    </w:p>
    <w:p w14:paraId="0F30D994">
      <w:pPr>
        <w:rPr>
          <w:rFonts w:hint="eastAsia" w:asciiTheme="minorEastAsia" w:hAnsiTheme="minorEastAsia" w:eastAsiaTheme="minorEastAsia" w:cstheme="minorEastAsia"/>
          <w:szCs w:val="21"/>
          <w:highlight w:val="none"/>
        </w:rPr>
      </w:pPr>
    </w:p>
    <w:bookmarkEnd w:id="69"/>
    <w:bookmarkEnd w:id="70"/>
    <w:p w14:paraId="5E9205EB">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531B7FAC">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265C13BB">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3CC77E53">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6127365B">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55274F43">
      <w:pPr>
        <w:adjustRightInd/>
        <w:spacing w:line="360" w:lineRule="auto"/>
        <w:jc w:val="center"/>
        <w:outlineLvl w:val="0"/>
        <w:rPr>
          <w:rFonts w:hint="eastAsia" w:cs="仿宋_GB2312" w:asciiTheme="minorEastAsia" w:hAnsiTheme="minorEastAsia" w:eastAsiaTheme="minorEastAsia"/>
          <w:b/>
          <w:sz w:val="36"/>
          <w:szCs w:val="36"/>
          <w:highlight w:val="none"/>
        </w:rPr>
      </w:pPr>
    </w:p>
    <w:p w14:paraId="3D09E522">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5"/>
      <w:bookmarkEnd w:id="66"/>
      <w:bookmarkStart w:id="86" w:name="第四部分"/>
      <w:r>
        <w:rPr>
          <w:rFonts w:hint="eastAsia" w:cs="仿宋_GB2312" w:asciiTheme="minorEastAsia" w:hAnsiTheme="minorEastAsia" w:eastAsiaTheme="minorEastAsia"/>
          <w:b/>
          <w:sz w:val="36"/>
          <w:szCs w:val="36"/>
          <w:highlight w:val="none"/>
        </w:rPr>
        <w:t>评审方法及评审标准</w:t>
      </w:r>
    </w:p>
    <w:p w14:paraId="3FA821EB">
      <w:pPr>
        <w:pStyle w:val="396"/>
        <w:spacing w:before="0"/>
        <w:ind w:firstLine="964" w:firstLineChars="300"/>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2"/>
        <w:tblpPr w:leftFromText="180" w:rightFromText="180" w:vertAnchor="text" w:horzAnchor="page" w:tblpX="952" w:tblpY="430"/>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16"/>
        <w:gridCol w:w="1075"/>
        <w:gridCol w:w="5367"/>
        <w:gridCol w:w="616"/>
        <w:gridCol w:w="771"/>
      </w:tblGrid>
      <w:tr w14:paraId="0D15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928" w:type="dxa"/>
            <w:gridSpan w:val="4"/>
            <w:tcBorders>
              <w:top w:val="single" w:color="auto" w:sz="4" w:space="0"/>
              <w:left w:val="single" w:color="auto" w:sz="4" w:space="0"/>
              <w:bottom w:val="single" w:color="auto" w:sz="4" w:space="0"/>
              <w:right w:val="single" w:color="auto" w:sz="2" w:space="0"/>
            </w:tcBorders>
            <w:noWrap w:val="0"/>
            <w:vAlign w:val="center"/>
          </w:tcPr>
          <w:p w14:paraId="0DEA4944">
            <w:pPr>
              <w:spacing w:line="360" w:lineRule="exact"/>
              <w:ind w:firstLine="3434" w:firstLineChars="1700"/>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评分项及分值</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4EBF1A28">
            <w:pPr>
              <w:spacing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分值</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7A8543F6">
            <w:pPr>
              <w:spacing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评审</w:t>
            </w:r>
          </w:p>
          <w:p w14:paraId="2F4C815E">
            <w:pPr>
              <w:spacing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类型</w:t>
            </w:r>
          </w:p>
        </w:tc>
      </w:tr>
      <w:tr w14:paraId="79E4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restart"/>
            <w:tcBorders>
              <w:left w:val="single" w:color="auto" w:sz="4" w:space="0"/>
              <w:right w:val="single" w:color="auto" w:sz="2" w:space="0"/>
            </w:tcBorders>
            <w:noWrap w:val="0"/>
            <w:vAlign w:val="center"/>
          </w:tcPr>
          <w:p w14:paraId="054E8234">
            <w:pPr>
              <w:spacing w:line="240" w:lineRule="auto"/>
              <w:ind w:firstLine="0" w:firstLineChars="0"/>
              <w:jc w:val="center"/>
              <w:rPr>
                <w:color w:val="auto"/>
                <w:szCs w:val="21"/>
                <w:highlight w:val="none"/>
              </w:rPr>
            </w:pPr>
            <w:r>
              <w:rPr>
                <w:rFonts w:hint="eastAsia" w:cs="宋体"/>
                <w:color w:val="auto"/>
                <w:kern w:val="0"/>
                <w:szCs w:val="21"/>
                <w:highlight w:val="none"/>
                <w:lang w:val="en-US" w:eastAsia="zh-CN" w:bidi="ar"/>
              </w:rPr>
              <w:t>技术商务</w:t>
            </w:r>
            <w:r>
              <w:rPr>
                <w:rFonts w:cs="宋体"/>
                <w:color w:val="auto"/>
                <w:kern w:val="0"/>
                <w:szCs w:val="21"/>
                <w:highlight w:val="none"/>
                <w:lang w:bidi="ar"/>
              </w:rPr>
              <w:t>分</w:t>
            </w:r>
          </w:p>
          <w:p w14:paraId="2F6CB6B8">
            <w:pPr>
              <w:widowControl/>
              <w:spacing w:line="360" w:lineRule="exact"/>
              <w:jc w:val="center"/>
              <w:rPr>
                <w:rFonts w:hint="eastAsia" w:ascii="宋体" w:hAnsi="宋体"/>
                <w:color w:val="auto"/>
                <w:szCs w:val="21"/>
                <w:highlight w:val="none"/>
              </w:rPr>
            </w:pPr>
            <w:r>
              <w:rPr>
                <w:color w:val="auto"/>
                <w:szCs w:val="21"/>
                <w:highlight w:val="none"/>
              </w:rPr>
              <w:t>（</w:t>
            </w:r>
            <w:r>
              <w:rPr>
                <w:rFonts w:hint="eastAsia"/>
                <w:color w:val="auto"/>
                <w:szCs w:val="21"/>
                <w:highlight w:val="none"/>
                <w:lang w:val="en-US" w:eastAsia="zh-CN"/>
              </w:rPr>
              <w:t>9</w:t>
            </w:r>
            <w:r>
              <w:rPr>
                <w:color w:val="auto"/>
                <w:szCs w:val="21"/>
                <w:highlight w:val="none"/>
              </w:rPr>
              <w:t>0分）</w:t>
            </w:r>
          </w:p>
        </w:tc>
        <w:tc>
          <w:tcPr>
            <w:tcW w:w="716" w:type="dxa"/>
            <w:tcBorders>
              <w:left w:val="single" w:color="auto" w:sz="4" w:space="0"/>
              <w:right w:val="single" w:color="auto" w:sz="4" w:space="0"/>
            </w:tcBorders>
            <w:noWrap w:val="0"/>
            <w:vAlign w:val="center"/>
          </w:tcPr>
          <w:p w14:paraId="3093698D">
            <w:pPr>
              <w:snapToGrid w:val="0"/>
              <w:spacing w:line="300" w:lineRule="auto"/>
              <w:jc w:val="left"/>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技术需求响应情况</w:t>
            </w:r>
          </w:p>
        </w:tc>
        <w:tc>
          <w:tcPr>
            <w:tcW w:w="6442" w:type="dxa"/>
            <w:gridSpan w:val="2"/>
            <w:tcBorders>
              <w:top w:val="single" w:color="auto" w:sz="4" w:space="0"/>
              <w:left w:val="single" w:color="auto" w:sz="4" w:space="0"/>
              <w:right w:val="single" w:color="auto" w:sz="2" w:space="0"/>
            </w:tcBorders>
            <w:noWrap w:val="0"/>
            <w:vAlign w:val="center"/>
          </w:tcPr>
          <w:p w14:paraId="0F6BF935">
            <w:pPr>
              <w:wordWrap w:val="0"/>
              <w:adjustRightInd/>
              <w:spacing w:line="320" w:lineRule="exact"/>
              <w:rPr>
                <w:rFonts w:hint="eastAsia" w:ascii="宋体" w:hAnsi="宋体" w:eastAsia="宋体" w:cs="Times New Roman"/>
                <w:color w:val="auto"/>
                <w:highlight w:val="none"/>
              </w:rPr>
            </w:pPr>
            <w:r>
              <w:rPr>
                <w:rFonts w:hint="eastAsia" w:ascii="宋体" w:hAnsi="宋体"/>
                <w:color w:val="auto"/>
                <w:highlight w:val="none"/>
              </w:rPr>
              <w:t>根据投标产品技术参数响应情况进行打分：</w:t>
            </w:r>
            <w:r>
              <w:rPr>
                <w:rFonts w:hint="eastAsia" w:ascii="宋体" w:hAnsi="宋体" w:cs="宋体"/>
                <w:color w:val="auto"/>
                <w:szCs w:val="21"/>
                <w:highlight w:val="none"/>
              </w:rPr>
              <w:t>技术需求响应全部满足招标文件第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部分采购需求</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二、项目需求说明；三、详细服务要求</w:t>
            </w:r>
            <w:r>
              <w:rPr>
                <w:rFonts w:hint="eastAsia" w:ascii="宋体" w:hAnsi="宋体" w:eastAsia="宋体" w:cs="Times New Roman"/>
                <w:color w:val="auto"/>
                <w:highlight w:val="none"/>
              </w:rPr>
              <w:t>的得</w:t>
            </w:r>
            <w:r>
              <w:rPr>
                <w:rFonts w:hint="eastAsia" w:ascii="宋体" w:hAnsi="宋体" w:eastAsia="宋体" w:cs="Times New Roman"/>
                <w:color w:val="auto"/>
                <w:highlight w:val="none"/>
                <w:lang w:val="en-US" w:eastAsia="zh-CN"/>
              </w:rPr>
              <w:t>2</w:t>
            </w:r>
            <w:r>
              <w:rPr>
                <w:rFonts w:hint="eastAsia" w:ascii="宋体" w:hAnsi="宋体" w:cs="Times New Roman"/>
                <w:color w:val="auto"/>
                <w:highlight w:val="none"/>
                <w:lang w:val="en-US" w:eastAsia="zh-CN"/>
              </w:rPr>
              <w:t>4</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ascii="宋体" w:hAnsi="宋体"/>
                <w:color w:val="auto"/>
                <w:highlight w:val="none"/>
              </w:rPr>
              <w:t>标注“</w:t>
            </w:r>
            <w:r>
              <w:rPr>
                <w:rFonts w:hint="eastAsia" w:ascii="宋体" w:hAnsi="宋体" w:cs="宋体"/>
                <w:color w:val="auto"/>
                <w:szCs w:val="21"/>
                <w:highlight w:val="none"/>
              </w:rPr>
              <w:t>▲”条款负偏离的作无效标处理；每负偏离一条</w:t>
            </w:r>
            <w:r>
              <w:rPr>
                <w:rFonts w:hint="eastAsia" w:ascii="宋体" w:hAnsi="宋体"/>
                <w:color w:val="auto"/>
                <w:highlight w:val="none"/>
              </w:rPr>
              <w:t>标注“</w:t>
            </w:r>
            <w:r>
              <w:rPr>
                <w:rFonts w:hint="eastAsia" w:ascii="宋体" w:hAnsi="宋体" w:cs="宋体"/>
                <w:color w:val="auto"/>
                <w:szCs w:val="21"/>
                <w:highlight w:val="none"/>
              </w:rPr>
              <w:t>★”条款的扣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其他条款</w:t>
            </w:r>
            <w:r>
              <w:rPr>
                <w:rFonts w:hint="eastAsia" w:ascii="宋体" w:hAnsi="宋体" w:eastAsia="宋体" w:cs="Times New Roman"/>
                <w:color w:val="auto"/>
                <w:highlight w:val="none"/>
              </w:rPr>
              <w:t>每负偏离一条扣</w:t>
            </w:r>
            <w:r>
              <w:rPr>
                <w:rFonts w:hint="eastAsia" w:ascii="宋体" w:hAnsi="宋体" w:cs="Times New Roman"/>
                <w:color w:val="auto"/>
                <w:highlight w:val="none"/>
                <w:lang w:val="en-US" w:eastAsia="zh-CN"/>
              </w:rPr>
              <w:t>0.25</w:t>
            </w:r>
            <w:r>
              <w:rPr>
                <w:rFonts w:hint="eastAsia" w:ascii="宋体" w:hAnsi="宋体" w:eastAsia="宋体" w:cs="Times New Roman"/>
                <w:color w:val="auto"/>
                <w:highlight w:val="none"/>
              </w:rPr>
              <w:t>分。</w:t>
            </w:r>
          </w:p>
          <w:p w14:paraId="229BFEFB">
            <w:pPr>
              <w:wordWrap w:val="0"/>
              <w:adjustRightInd/>
              <w:spacing w:line="320" w:lineRule="exact"/>
              <w:rPr>
                <w:rFonts w:hint="eastAsia"/>
                <w:highlight w:val="none"/>
                <w:lang w:val="en-US" w:eastAsia="zh-CN"/>
              </w:rPr>
            </w:pPr>
            <w:r>
              <w:rPr>
                <w:rFonts w:hint="eastAsia" w:ascii="宋体" w:hAnsi="宋体" w:eastAsia="宋体" w:cs="Times New Roman"/>
                <w:color w:val="auto"/>
                <w:highlight w:val="none"/>
              </w:rPr>
              <w:t>注：当有供应商此项分值扣减至0分时，该供应商投标将被拒绝，其投标文件作无效标处理，不再进行评审。</w:t>
            </w:r>
          </w:p>
        </w:tc>
        <w:tc>
          <w:tcPr>
            <w:tcW w:w="616" w:type="dxa"/>
            <w:tcBorders>
              <w:left w:val="single" w:color="auto" w:sz="4" w:space="0"/>
              <w:bottom w:val="single" w:color="auto" w:sz="4" w:space="0"/>
              <w:right w:val="single" w:color="auto" w:sz="2" w:space="0"/>
            </w:tcBorders>
            <w:noWrap w:val="0"/>
            <w:vAlign w:val="center"/>
          </w:tcPr>
          <w:p w14:paraId="3A892BDE">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24分</w:t>
            </w:r>
          </w:p>
        </w:tc>
        <w:tc>
          <w:tcPr>
            <w:tcW w:w="771" w:type="dxa"/>
            <w:tcBorders>
              <w:left w:val="single" w:color="auto" w:sz="4" w:space="0"/>
              <w:bottom w:val="single" w:color="auto" w:sz="4" w:space="0"/>
              <w:right w:val="single" w:color="auto" w:sz="2" w:space="0"/>
            </w:tcBorders>
            <w:noWrap w:val="0"/>
            <w:vAlign w:val="center"/>
          </w:tcPr>
          <w:p w14:paraId="721A997F">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客观评审</w:t>
            </w:r>
          </w:p>
        </w:tc>
      </w:tr>
      <w:tr w14:paraId="2EBE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70" w:type="dxa"/>
            <w:vMerge w:val="continue"/>
            <w:tcBorders>
              <w:left w:val="single" w:color="auto" w:sz="4" w:space="0"/>
              <w:right w:val="single" w:color="auto" w:sz="2" w:space="0"/>
            </w:tcBorders>
            <w:noWrap w:val="0"/>
            <w:vAlign w:val="center"/>
          </w:tcPr>
          <w:p w14:paraId="536399E1">
            <w:pPr>
              <w:widowControl/>
              <w:spacing w:line="360" w:lineRule="exact"/>
              <w:jc w:val="center"/>
              <w:rPr>
                <w:color w:val="auto"/>
                <w:szCs w:val="21"/>
                <w:highlight w:val="none"/>
              </w:rPr>
            </w:pPr>
          </w:p>
        </w:tc>
        <w:tc>
          <w:tcPr>
            <w:tcW w:w="716" w:type="dxa"/>
            <w:vMerge w:val="restart"/>
            <w:tcBorders>
              <w:left w:val="single" w:color="auto" w:sz="4" w:space="0"/>
              <w:right w:val="single" w:color="auto" w:sz="4" w:space="0"/>
            </w:tcBorders>
            <w:noWrap w:val="0"/>
            <w:vAlign w:val="center"/>
          </w:tcPr>
          <w:p w14:paraId="55F967A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项目实施方案</w:t>
            </w:r>
          </w:p>
        </w:tc>
        <w:tc>
          <w:tcPr>
            <w:tcW w:w="1075" w:type="dxa"/>
            <w:tcBorders>
              <w:top w:val="single" w:color="auto" w:sz="4" w:space="0"/>
              <w:left w:val="single" w:color="auto" w:sz="4" w:space="0"/>
              <w:right w:val="single" w:color="auto" w:sz="4" w:space="0"/>
            </w:tcBorders>
            <w:noWrap w:val="0"/>
            <w:vAlign w:val="center"/>
          </w:tcPr>
          <w:p w14:paraId="4E5E1599">
            <w:pPr>
              <w:spacing w:line="440" w:lineRule="exact"/>
              <w:jc w:val="center"/>
              <w:rPr>
                <w:rFonts w:hint="eastAsia" w:ascii="宋体" w:hAnsi="宋体" w:cs="宋体"/>
                <w:bCs/>
                <w:color w:val="auto"/>
                <w:szCs w:val="21"/>
                <w:highlight w:val="none"/>
              </w:rPr>
            </w:pPr>
            <w:r>
              <w:rPr>
                <w:rStyle w:val="471"/>
                <w:rFonts w:hint="eastAsia" w:ascii="宋体" w:hAnsi="宋体"/>
                <w:sz w:val="21"/>
                <w:szCs w:val="21"/>
                <w:highlight w:val="none"/>
              </w:rPr>
              <w:t>项目实施方案</w:t>
            </w:r>
          </w:p>
        </w:tc>
        <w:tc>
          <w:tcPr>
            <w:tcW w:w="5367" w:type="dxa"/>
            <w:tcBorders>
              <w:top w:val="single" w:color="auto" w:sz="4" w:space="0"/>
              <w:left w:val="single" w:color="auto" w:sz="4" w:space="0"/>
              <w:right w:val="single" w:color="auto" w:sz="2" w:space="0"/>
            </w:tcBorders>
            <w:noWrap w:val="0"/>
            <w:vAlign w:val="center"/>
          </w:tcPr>
          <w:p w14:paraId="4E0A737D">
            <w:pPr>
              <w:snapToGrid w:val="0"/>
              <w:spacing w:line="300" w:lineRule="auto"/>
              <w:jc w:val="left"/>
              <w:rPr>
                <w:rStyle w:val="471"/>
                <w:rFonts w:hint="eastAsia" w:ascii="宋体" w:hAnsi="宋体"/>
                <w:sz w:val="21"/>
                <w:szCs w:val="21"/>
                <w:highlight w:val="none"/>
              </w:rPr>
            </w:pPr>
            <w:r>
              <w:rPr>
                <w:rStyle w:val="471"/>
                <w:rFonts w:hint="eastAsia" w:ascii="宋体" w:hAnsi="宋体"/>
                <w:sz w:val="21"/>
                <w:szCs w:val="21"/>
                <w:highlight w:val="none"/>
              </w:rPr>
              <w:t>根据供应商针对本项目的项目实施方案（整体服务计划，具体服务内容，服务团队配置）进行评审：</w:t>
            </w:r>
          </w:p>
          <w:p w14:paraId="63390544">
            <w:pPr>
              <w:snapToGrid w:val="0"/>
              <w:spacing w:line="300" w:lineRule="auto"/>
              <w:jc w:val="left"/>
              <w:rPr>
                <w:rStyle w:val="471"/>
                <w:rFonts w:hint="eastAsia" w:ascii="宋体" w:hAnsi="宋体"/>
                <w:sz w:val="21"/>
                <w:szCs w:val="21"/>
                <w:highlight w:val="none"/>
              </w:rPr>
            </w:pPr>
            <w:r>
              <w:rPr>
                <w:rStyle w:val="471"/>
                <w:rFonts w:hint="eastAsia" w:ascii="宋体" w:hAnsi="宋体"/>
                <w:sz w:val="21"/>
                <w:szCs w:val="21"/>
                <w:highlight w:val="none"/>
              </w:rPr>
              <w:t>①实施方案详尽合理，服务计划、具体服务内容、团队配置内容科学合理，完全满足采购人需求的，得6分；</w:t>
            </w:r>
          </w:p>
          <w:p w14:paraId="1206AAEC">
            <w:pPr>
              <w:snapToGrid w:val="0"/>
              <w:spacing w:line="300" w:lineRule="auto"/>
              <w:jc w:val="left"/>
              <w:rPr>
                <w:rStyle w:val="471"/>
                <w:rFonts w:hint="eastAsia" w:ascii="宋体" w:hAnsi="宋体"/>
                <w:sz w:val="21"/>
                <w:szCs w:val="21"/>
                <w:highlight w:val="none"/>
              </w:rPr>
            </w:pPr>
            <w:r>
              <w:rPr>
                <w:rStyle w:val="471"/>
                <w:rFonts w:hint="eastAsia" w:ascii="宋体" w:hAnsi="宋体"/>
                <w:sz w:val="21"/>
                <w:szCs w:val="21"/>
                <w:highlight w:val="none"/>
              </w:rPr>
              <w:t>②实施方案完整，服务计划、具体服务内容、团队配置整体完整但关键点分析阐述浅显，不影响整体合同执行的，得4分；</w:t>
            </w:r>
          </w:p>
          <w:p w14:paraId="0BE75937">
            <w:pPr>
              <w:snapToGrid w:val="0"/>
              <w:spacing w:line="300" w:lineRule="auto"/>
              <w:jc w:val="left"/>
              <w:rPr>
                <w:rStyle w:val="471"/>
                <w:rFonts w:hint="eastAsia" w:ascii="宋体" w:hAnsi="宋体"/>
                <w:sz w:val="21"/>
                <w:szCs w:val="21"/>
                <w:highlight w:val="none"/>
              </w:rPr>
            </w:pPr>
            <w:r>
              <w:rPr>
                <w:rStyle w:val="471"/>
                <w:rFonts w:hint="eastAsia" w:ascii="宋体" w:hAnsi="宋体"/>
                <w:sz w:val="21"/>
                <w:szCs w:val="21"/>
                <w:highlight w:val="none"/>
              </w:rPr>
              <w:t>③实施方案有所欠缺，服务计划、具体服务内容、团队配置内容阐述不清，内容片面的，得2分；</w:t>
            </w:r>
          </w:p>
          <w:p w14:paraId="48A4A537">
            <w:pPr>
              <w:snapToGrid w:val="0"/>
              <w:spacing w:line="300" w:lineRule="auto"/>
              <w:jc w:val="left"/>
              <w:rPr>
                <w:rFonts w:hint="eastAsia" w:ascii="宋体" w:hAnsi="宋体" w:cs="宋体"/>
                <w:bCs/>
                <w:color w:val="auto"/>
                <w:szCs w:val="21"/>
                <w:highlight w:val="none"/>
              </w:rPr>
            </w:pPr>
            <w:r>
              <w:rPr>
                <w:rStyle w:val="471"/>
                <w:rFonts w:hint="eastAsia" w:ascii="宋体" w:hAnsi="宋体"/>
                <w:sz w:val="21"/>
                <w:szCs w:val="21"/>
                <w:highlight w:val="none"/>
              </w:rPr>
              <w:t>④未提供相关内容的不得分。</w:t>
            </w:r>
          </w:p>
        </w:tc>
        <w:tc>
          <w:tcPr>
            <w:tcW w:w="616" w:type="dxa"/>
            <w:tcBorders>
              <w:left w:val="single" w:color="auto" w:sz="4" w:space="0"/>
              <w:bottom w:val="single" w:color="auto" w:sz="4" w:space="0"/>
              <w:right w:val="single" w:color="auto" w:sz="2" w:space="0"/>
            </w:tcBorders>
            <w:noWrap w:val="0"/>
            <w:vAlign w:val="center"/>
          </w:tcPr>
          <w:p w14:paraId="525DCD1C">
            <w:pPr>
              <w:widowControl/>
              <w:spacing w:line="300" w:lineRule="exact"/>
              <w:jc w:val="center"/>
              <w:rPr>
                <w:rFonts w:hint="eastAsia" w:ascii="宋体" w:hAnsi="宋体" w:cs="宋体"/>
                <w:color w:val="auto"/>
                <w:szCs w:val="21"/>
                <w:highlight w:val="none"/>
              </w:rPr>
            </w:pPr>
            <w:r>
              <w:rPr>
                <w:rStyle w:val="471"/>
                <w:rFonts w:hint="eastAsia" w:ascii="宋体" w:hAnsi="宋体"/>
                <w:sz w:val="21"/>
                <w:szCs w:val="21"/>
                <w:highlight w:val="none"/>
              </w:rPr>
              <w:t>6分</w:t>
            </w:r>
          </w:p>
        </w:tc>
        <w:tc>
          <w:tcPr>
            <w:tcW w:w="771" w:type="dxa"/>
            <w:tcBorders>
              <w:left w:val="single" w:color="auto" w:sz="4" w:space="0"/>
              <w:bottom w:val="single" w:color="auto" w:sz="4" w:space="0"/>
              <w:right w:val="single" w:color="auto" w:sz="2" w:space="0"/>
            </w:tcBorders>
            <w:noWrap w:val="0"/>
            <w:vAlign w:val="center"/>
          </w:tcPr>
          <w:p w14:paraId="59F0F78E">
            <w:pPr>
              <w:widowControl/>
              <w:spacing w:line="300" w:lineRule="exact"/>
              <w:jc w:val="center"/>
              <w:rPr>
                <w:rStyle w:val="471"/>
                <w:rFonts w:hint="eastAsia" w:ascii="宋体" w:hAnsi="宋体"/>
                <w:sz w:val="21"/>
                <w:szCs w:val="21"/>
                <w:highlight w:val="none"/>
              </w:rPr>
            </w:pPr>
            <w:r>
              <w:rPr>
                <w:rStyle w:val="471"/>
                <w:rFonts w:hint="eastAsia" w:ascii="宋体" w:hAnsi="宋体"/>
                <w:sz w:val="21"/>
                <w:szCs w:val="21"/>
                <w:highlight w:val="none"/>
              </w:rPr>
              <w:t>主观</w:t>
            </w:r>
          </w:p>
          <w:p w14:paraId="4B1F932C">
            <w:pPr>
              <w:widowControl/>
              <w:spacing w:line="300" w:lineRule="exact"/>
              <w:jc w:val="center"/>
              <w:rPr>
                <w:rFonts w:hint="eastAsia" w:ascii="宋体" w:hAnsi="宋体" w:cs="宋体"/>
                <w:color w:val="auto"/>
                <w:szCs w:val="21"/>
                <w:highlight w:val="none"/>
              </w:rPr>
            </w:pPr>
            <w:r>
              <w:rPr>
                <w:rStyle w:val="471"/>
                <w:rFonts w:hint="eastAsia" w:ascii="宋体" w:hAnsi="宋体"/>
                <w:sz w:val="21"/>
                <w:szCs w:val="21"/>
                <w:highlight w:val="none"/>
              </w:rPr>
              <w:t>评审</w:t>
            </w:r>
          </w:p>
        </w:tc>
      </w:tr>
      <w:tr w14:paraId="0DAA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0" w:type="dxa"/>
            <w:vMerge w:val="continue"/>
            <w:tcBorders>
              <w:left w:val="single" w:color="auto" w:sz="4" w:space="0"/>
              <w:right w:val="single" w:color="auto" w:sz="2" w:space="0"/>
            </w:tcBorders>
            <w:noWrap w:val="0"/>
            <w:vAlign w:val="center"/>
          </w:tcPr>
          <w:p w14:paraId="259D90AD">
            <w:pPr>
              <w:widowControl/>
              <w:spacing w:line="360" w:lineRule="exact"/>
              <w:jc w:val="center"/>
              <w:rPr>
                <w:color w:val="auto"/>
                <w:szCs w:val="21"/>
                <w:highlight w:val="none"/>
              </w:rPr>
            </w:pPr>
          </w:p>
        </w:tc>
        <w:tc>
          <w:tcPr>
            <w:tcW w:w="716" w:type="dxa"/>
            <w:vMerge w:val="continue"/>
            <w:tcBorders>
              <w:left w:val="single" w:color="auto" w:sz="4" w:space="0"/>
              <w:right w:val="single" w:color="auto" w:sz="4" w:space="0"/>
            </w:tcBorders>
            <w:noWrap w:val="0"/>
            <w:vAlign w:val="center"/>
          </w:tcPr>
          <w:p w14:paraId="47BFE42C">
            <w:pPr>
              <w:spacing w:line="360" w:lineRule="exact"/>
              <w:jc w:val="center"/>
              <w:rPr>
                <w:rFonts w:hint="eastAsia" w:ascii="宋体" w:hAnsi="宋体"/>
                <w:color w:val="auto"/>
                <w:szCs w:val="21"/>
                <w:highlight w:val="none"/>
              </w:rPr>
            </w:pPr>
          </w:p>
        </w:tc>
        <w:tc>
          <w:tcPr>
            <w:tcW w:w="1075" w:type="dxa"/>
            <w:tcBorders>
              <w:top w:val="single" w:color="auto" w:sz="4" w:space="0"/>
              <w:left w:val="single" w:color="auto" w:sz="4" w:space="0"/>
              <w:right w:val="single" w:color="auto" w:sz="4" w:space="0"/>
            </w:tcBorders>
            <w:noWrap w:val="0"/>
            <w:vAlign w:val="center"/>
          </w:tcPr>
          <w:p w14:paraId="23EDB0EF">
            <w:pPr>
              <w:widowControl/>
              <w:snapToGrid w:val="0"/>
              <w:jc w:val="center"/>
              <w:rPr>
                <w:rFonts w:hint="eastAsia" w:ascii="宋体" w:hAnsi="宋体" w:cs="宋体"/>
                <w:bCs/>
                <w:color w:val="auto"/>
                <w:szCs w:val="21"/>
                <w:highlight w:val="none"/>
              </w:rPr>
            </w:pPr>
            <w:r>
              <w:rPr>
                <w:rFonts w:hint="eastAsia" w:hAnsi="宋体" w:cs="宋体"/>
                <w:highlight w:val="none"/>
              </w:rPr>
              <w:t>便捷化服务措施</w:t>
            </w:r>
          </w:p>
        </w:tc>
        <w:tc>
          <w:tcPr>
            <w:tcW w:w="5367" w:type="dxa"/>
            <w:tcBorders>
              <w:top w:val="single" w:color="auto" w:sz="4" w:space="0"/>
              <w:left w:val="single" w:color="auto" w:sz="4" w:space="0"/>
              <w:right w:val="single" w:color="auto" w:sz="2" w:space="0"/>
            </w:tcBorders>
            <w:noWrap w:val="0"/>
            <w:vAlign w:val="center"/>
          </w:tcPr>
          <w:p w14:paraId="6C436FEB">
            <w:pPr>
              <w:adjustRightInd/>
              <w:spacing w:line="360" w:lineRule="exact"/>
              <w:rPr>
                <w:highlight w:val="none"/>
              </w:rPr>
            </w:pPr>
            <w:r>
              <w:rPr>
                <w:rFonts w:hint="eastAsia" w:hAnsi="宋体" w:cs="宋体"/>
                <w:highlight w:val="none"/>
              </w:rPr>
              <w:t>根据供应商针对服务方案中的便捷化服务措施</w:t>
            </w:r>
            <w:r>
              <w:rPr>
                <w:rFonts w:hint="eastAsia"/>
                <w:highlight w:val="none"/>
              </w:rPr>
              <w:t>进行评审：</w:t>
            </w:r>
          </w:p>
          <w:p w14:paraId="0F4091E8">
            <w:pPr>
              <w:adjustRightInd/>
              <w:spacing w:line="360" w:lineRule="exact"/>
              <w:rPr>
                <w:highlight w:val="none"/>
              </w:rPr>
            </w:pPr>
            <w:r>
              <w:rPr>
                <w:rFonts w:hint="eastAsia"/>
                <w:highlight w:val="none"/>
              </w:rPr>
              <w:t>①</w:t>
            </w:r>
            <w:r>
              <w:rPr>
                <w:rFonts w:hint="eastAsia" w:hAnsi="宋体" w:cs="宋体"/>
                <w:highlight w:val="none"/>
              </w:rPr>
              <w:t>便捷化服务措施详细合理</w:t>
            </w:r>
            <w:r>
              <w:rPr>
                <w:rFonts w:hint="eastAsia"/>
                <w:highlight w:val="none"/>
              </w:rPr>
              <w:t>，完全满足采购人需求的，得6分；</w:t>
            </w:r>
          </w:p>
          <w:p w14:paraId="0935040D">
            <w:pPr>
              <w:adjustRightInd/>
              <w:spacing w:line="360" w:lineRule="exact"/>
              <w:rPr>
                <w:highlight w:val="none"/>
              </w:rPr>
            </w:pPr>
            <w:r>
              <w:rPr>
                <w:rFonts w:hint="eastAsia"/>
                <w:highlight w:val="none"/>
              </w:rPr>
              <w:t>②</w:t>
            </w:r>
            <w:r>
              <w:rPr>
                <w:rFonts w:hint="eastAsia" w:hAnsi="宋体" w:cs="宋体"/>
                <w:highlight w:val="none"/>
              </w:rPr>
              <w:t>便捷化服务措施完整</w:t>
            </w:r>
            <w:r>
              <w:rPr>
                <w:rFonts w:hint="eastAsia"/>
                <w:highlight w:val="none"/>
              </w:rPr>
              <w:t>，基本可以满足采购人需求的，得4分；</w:t>
            </w:r>
          </w:p>
          <w:p w14:paraId="726CCE2D">
            <w:pPr>
              <w:adjustRightInd/>
              <w:spacing w:line="360" w:lineRule="exact"/>
              <w:rPr>
                <w:highlight w:val="none"/>
              </w:rPr>
            </w:pPr>
            <w:r>
              <w:rPr>
                <w:rFonts w:hint="eastAsia"/>
                <w:highlight w:val="none"/>
              </w:rPr>
              <w:t>③</w:t>
            </w:r>
            <w:r>
              <w:rPr>
                <w:rFonts w:hint="eastAsia" w:hAnsi="宋体" w:cs="宋体"/>
                <w:highlight w:val="none"/>
              </w:rPr>
              <w:t>便捷化服务措施有所欠缺</w:t>
            </w:r>
            <w:r>
              <w:rPr>
                <w:rFonts w:hint="eastAsia"/>
                <w:highlight w:val="none"/>
              </w:rPr>
              <w:t>，内容阐述不清，内容片面的，得2分；</w:t>
            </w:r>
          </w:p>
          <w:p w14:paraId="708E12D7">
            <w:pPr>
              <w:snapToGrid w:val="0"/>
              <w:spacing w:line="300" w:lineRule="auto"/>
              <w:jc w:val="left"/>
              <w:rPr>
                <w:rFonts w:hint="eastAsia" w:ascii="宋体" w:hAnsi="宋体" w:cs="宋体"/>
                <w:bCs/>
                <w:color w:val="auto"/>
                <w:szCs w:val="21"/>
                <w:highlight w:val="none"/>
              </w:rPr>
            </w:pPr>
            <w:r>
              <w:rPr>
                <w:rFonts w:hint="eastAsia"/>
                <w:highlight w:val="none"/>
              </w:rPr>
              <w:t>④未提供相关内容的不得分。</w:t>
            </w:r>
          </w:p>
        </w:tc>
        <w:tc>
          <w:tcPr>
            <w:tcW w:w="616" w:type="dxa"/>
            <w:tcBorders>
              <w:left w:val="single" w:color="auto" w:sz="4" w:space="0"/>
              <w:bottom w:val="single" w:color="auto" w:sz="4" w:space="0"/>
              <w:right w:val="single" w:color="auto" w:sz="2" w:space="0"/>
            </w:tcBorders>
            <w:noWrap w:val="0"/>
            <w:vAlign w:val="center"/>
          </w:tcPr>
          <w:p w14:paraId="7EC99739">
            <w:pPr>
              <w:widowControl/>
              <w:spacing w:line="300" w:lineRule="exact"/>
              <w:jc w:val="center"/>
              <w:rPr>
                <w:rFonts w:hint="eastAsia" w:ascii="宋体" w:hAnsi="宋体" w:cs="宋体"/>
                <w:color w:val="auto"/>
                <w:szCs w:val="21"/>
                <w:highlight w:val="none"/>
                <w:lang w:val="en-US" w:eastAsia="zh-CN"/>
              </w:rPr>
            </w:pPr>
            <w:r>
              <w:rPr>
                <w:rStyle w:val="471"/>
                <w:rFonts w:hint="eastAsia" w:ascii="宋体" w:hAnsi="宋体"/>
                <w:sz w:val="21"/>
                <w:szCs w:val="21"/>
                <w:highlight w:val="none"/>
              </w:rPr>
              <w:t>6分</w:t>
            </w:r>
          </w:p>
        </w:tc>
        <w:tc>
          <w:tcPr>
            <w:tcW w:w="771" w:type="dxa"/>
            <w:tcBorders>
              <w:left w:val="single" w:color="auto" w:sz="4" w:space="0"/>
              <w:bottom w:val="single" w:color="auto" w:sz="4" w:space="0"/>
              <w:right w:val="single" w:color="auto" w:sz="2" w:space="0"/>
            </w:tcBorders>
            <w:noWrap w:val="0"/>
            <w:vAlign w:val="center"/>
          </w:tcPr>
          <w:p w14:paraId="16D23A69">
            <w:pPr>
              <w:widowControl/>
              <w:spacing w:line="300" w:lineRule="exact"/>
              <w:jc w:val="center"/>
              <w:rPr>
                <w:rStyle w:val="471"/>
                <w:rFonts w:hint="eastAsia" w:ascii="宋体" w:hAnsi="宋体"/>
                <w:sz w:val="21"/>
                <w:szCs w:val="21"/>
                <w:highlight w:val="none"/>
              </w:rPr>
            </w:pPr>
            <w:r>
              <w:rPr>
                <w:rStyle w:val="471"/>
                <w:rFonts w:hint="eastAsia" w:ascii="宋体" w:hAnsi="宋体"/>
                <w:sz w:val="21"/>
                <w:szCs w:val="21"/>
                <w:highlight w:val="none"/>
              </w:rPr>
              <w:t>主观</w:t>
            </w:r>
          </w:p>
          <w:p w14:paraId="7D40A1AF">
            <w:pPr>
              <w:widowControl/>
              <w:spacing w:line="300" w:lineRule="exact"/>
              <w:jc w:val="center"/>
              <w:rPr>
                <w:rFonts w:hint="eastAsia" w:ascii="宋体" w:hAnsi="宋体" w:cs="宋体"/>
                <w:color w:val="auto"/>
                <w:szCs w:val="21"/>
                <w:highlight w:val="none"/>
              </w:rPr>
            </w:pPr>
            <w:r>
              <w:rPr>
                <w:rStyle w:val="471"/>
                <w:rFonts w:hint="eastAsia" w:ascii="宋体" w:hAnsi="宋体"/>
                <w:sz w:val="21"/>
                <w:szCs w:val="21"/>
                <w:highlight w:val="none"/>
              </w:rPr>
              <w:t>评审</w:t>
            </w:r>
          </w:p>
        </w:tc>
      </w:tr>
      <w:tr w14:paraId="4BB0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70" w:type="dxa"/>
            <w:vMerge w:val="continue"/>
            <w:tcBorders>
              <w:left w:val="single" w:color="auto" w:sz="4" w:space="0"/>
              <w:right w:val="single" w:color="auto" w:sz="2" w:space="0"/>
            </w:tcBorders>
            <w:noWrap w:val="0"/>
            <w:vAlign w:val="center"/>
          </w:tcPr>
          <w:p w14:paraId="67AF62AD">
            <w:pPr>
              <w:widowControl/>
              <w:spacing w:line="360" w:lineRule="exact"/>
              <w:jc w:val="center"/>
              <w:rPr>
                <w:color w:val="auto"/>
                <w:szCs w:val="21"/>
                <w:highlight w:val="none"/>
              </w:rPr>
            </w:pPr>
          </w:p>
        </w:tc>
        <w:tc>
          <w:tcPr>
            <w:tcW w:w="716" w:type="dxa"/>
            <w:vMerge w:val="continue"/>
            <w:tcBorders>
              <w:left w:val="single" w:color="auto" w:sz="4" w:space="0"/>
              <w:right w:val="single" w:color="auto" w:sz="4" w:space="0"/>
            </w:tcBorders>
            <w:noWrap w:val="0"/>
            <w:vAlign w:val="center"/>
          </w:tcPr>
          <w:p w14:paraId="79AA2434">
            <w:pPr>
              <w:spacing w:line="360" w:lineRule="exact"/>
              <w:jc w:val="center"/>
              <w:rPr>
                <w:rFonts w:hint="eastAsia" w:ascii="宋体" w:hAnsi="宋体"/>
                <w:color w:val="auto"/>
                <w:szCs w:val="21"/>
                <w:highlight w:val="none"/>
              </w:rPr>
            </w:pPr>
          </w:p>
        </w:tc>
        <w:tc>
          <w:tcPr>
            <w:tcW w:w="1075" w:type="dxa"/>
            <w:tcBorders>
              <w:top w:val="single" w:color="auto" w:sz="4" w:space="0"/>
              <w:left w:val="single" w:color="auto" w:sz="4" w:space="0"/>
              <w:right w:val="single" w:color="auto" w:sz="4" w:space="0"/>
            </w:tcBorders>
            <w:noWrap w:val="0"/>
            <w:vAlign w:val="center"/>
          </w:tcPr>
          <w:p w14:paraId="04A2A026">
            <w:pPr>
              <w:spacing w:line="360" w:lineRule="exact"/>
              <w:jc w:val="center"/>
              <w:rPr>
                <w:rFonts w:hint="eastAsia" w:ascii="宋体" w:hAnsi="宋体" w:cs="宋体"/>
                <w:bCs/>
                <w:color w:val="auto"/>
                <w:szCs w:val="21"/>
                <w:highlight w:val="none"/>
              </w:rPr>
            </w:pPr>
            <w:r>
              <w:rPr>
                <w:rFonts w:hint="eastAsia" w:hAnsi="宋体" w:cs="宋体"/>
                <w:highlight w:val="none"/>
              </w:rPr>
              <w:t>服务质量保障措施</w:t>
            </w:r>
          </w:p>
        </w:tc>
        <w:tc>
          <w:tcPr>
            <w:tcW w:w="5367" w:type="dxa"/>
            <w:tcBorders>
              <w:top w:val="single" w:color="auto" w:sz="4" w:space="0"/>
              <w:left w:val="single" w:color="auto" w:sz="4" w:space="0"/>
              <w:right w:val="single" w:color="auto" w:sz="2" w:space="0"/>
            </w:tcBorders>
            <w:noWrap w:val="0"/>
            <w:vAlign w:val="center"/>
          </w:tcPr>
          <w:p w14:paraId="4FAF606D">
            <w:pPr>
              <w:spacing w:line="360" w:lineRule="exact"/>
              <w:rPr>
                <w:rFonts w:hint="eastAsia" w:hAnsi="宋体" w:cs="宋体"/>
                <w:highlight w:val="none"/>
              </w:rPr>
            </w:pPr>
            <w:r>
              <w:rPr>
                <w:rFonts w:hint="eastAsia" w:hAnsi="宋体" w:cs="宋体"/>
                <w:highlight w:val="none"/>
              </w:rPr>
              <w:t>根据供应商针对本项目的服务质量保证措施进行评审：</w:t>
            </w:r>
          </w:p>
          <w:p w14:paraId="16E6739B">
            <w:pPr>
              <w:spacing w:line="360" w:lineRule="exact"/>
              <w:rPr>
                <w:highlight w:val="none"/>
              </w:rPr>
            </w:pPr>
            <w:r>
              <w:rPr>
                <w:rFonts w:hint="eastAsia"/>
                <w:highlight w:val="none"/>
              </w:rPr>
              <w:t>①</w:t>
            </w:r>
            <w:r>
              <w:rPr>
                <w:rFonts w:hint="eastAsia" w:hAnsi="宋体" w:cs="宋体"/>
                <w:highlight w:val="none"/>
              </w:rPr>
              <w:t>服务质量保障措施详细合理</w:t>
            </w:r>
            <w:r>
              <w:rPr>
                <w:rFonts w:hint="eastAsia"/>
                <w:highlight w:val="none"/>
              </w:rPr>
              <w:t>，</w:t>
            </w:r>
            <w:r>
              <w:rPr>
                <w:rFonts w:hint="eastAsia" w:hAnsi="宋体" w:cs="宋体"/>
                <w:highlight w:val="none"/>
              </w:rPr>
              <w:t>各项保障措施全面</w:t>
            </w:r>
            <w:r>
              <w:rPr>
                <w:rFonts w:hint="eastAsia"/>
                <w:highlight w:val="none"/>
              </w:rPr>
              <w:t>，完全满足采购人需求的，得6分；</w:t>
            </w:r>
          </w:p>
          <w:p w14:paraId="26E584D7">
            <w:pPr>
              <w:spacing w:line="360" w:lineRule="exact"/>
              <w:rPr>
                <w:highlight w:val="none"/>
              </w:rPr>
            </w:pPr>
            <w:r>
              <w:rPr>
                <w:rFonts w:hint="eastAsia"/>
                <w:highlight w:val="none"/>
              </w:rPr>
              <w:t>②</w:t>
            </w:r>
            <w:r>
              <w:rPr>
                <w:rFonts w:hint="eastAsia" w:hAnsi="宋体" w:cs="宋体"/>
                <w:highlight w:val="none"/>
              </w:rPr>
              <w:t>服务质量保障措施有所欠缺</w:t>
            </w:r>
            <w:r>
              <w:rPr>
                <w:rFonts w:hint="eastAsia"/>
                <w:highlight w:val="none"/>
              </w:rPr>
              <w:t>，</w:t>
            </w:r>
            <w:r>
              <w:rPr>
                <w:rFonts w:hint="eastAsia" w:hAnsi="宋体" w:cs="宋体"/>
                <w:highlight w:val="none"/>
              </w:rPr>
              <w:t>各项保障措施</w:t>
            </w:r>
            <w:r>
              <w:rPr>
                <w:rFonts w:hint="eastAsia"/>
                <w:highlight w:val="none"/>
              </w:rPr>
              <w:t>内容阐述不清，内容片面的，得4分；</w:t>
            </w:r>
          </w:p>
          <w:p w14:paraId="696FC2AD">
            <w:pPr>
              <w:spacing w:line="360" w:lineRule="exact"/>
              <w:rPr>
                <w:highlight w:val="none"/>
              </w:rPr>
            </w:pPr>
            <w:r>
              <w:rPr>
                <w:rFonts w:hint="eastAsia"/>
                <w:highlight w:val="none"/>
              </w:rPr>
              <w:t>③</w:t>
            </w:r>
            <w:r>
              <w:rPr>
                <w:rFonts w:hint="eastAsia" w:hAnsi="宋体" w:cs="宋体"/>
                <w:highlight w:val="none"/>
              </w:rPr>
              <w:t>服务质量保障措施缺漏严重</w:t>
            </w:r>
            <w:r>
              <w:rPr>
                <w:rFonts w:hint="eastAsia"/>
                <w:highlight w:val="none"/>
              </w:rPr>
              <w:t>，</w:t>
            </w:r>
            <w:r>
              <w:rPr>
                <w:rFonts w:hint="eastAsia" w:hAnsi="宋体" w:cs="宋体"/>
                <w:highlight w:val="none"/>
              </w:rPr>
              <w:t>各项保障措施</w:t>
            </w:r>
            <w:r>
              <w:rPr>
                <w:rFonts w:hint="eastAsia"/>
                <w:highlight w:val="none"/>
              </w:rPr>
              <w:t>缺失严重的，得2分；</w:t>
            </w:r>
          </w:p>
          <w:p w14:paraId="1B44FB77">
            <w:pPr>
              <w:spacing w:line="360" w:lineRule="exact"/>
              <w:rPr>
                <w:rFonts w:hint="eastAsia" w:ascii="宋体" w:hAnsi="宋体" w:cs="宋体"/>
                <w:bCs/>
                <w:color w:val="auto"/>
                <w:szCs w:val="21"/>
                <w:highlight w:val="none"/>
              </w:rPr>
            </w:pPr>
            <w:r>
              <w:rPr>
                <w:rFonts w:hint="eastAsia"/>
                <w:highlight w:val="none"/>
              </w:rPr>
              <w:t>④未提供相关内容的不得分。</w:t>
            </w:r>
          </w:p>
        </w:tc>
        <w:tc>
          <w:tcPr>
            <w:tcW w:w="616" w:type="dxa"/>
            <w:tcBorders>
              <w:left w:val="single" w:color="auto" w:sz="4" w:space="0"/>
              <w:bottom w:val="single" w:color="auto" w:sz="4" w:space="0"/>
              <w:right w:val="single" w:color="auto" w:sz="2" w:space="0"/>
            </w:tcBorders>
            <w:noWrap w:val="0"/>
            <w:vAlign w:val="center"/>
          </w:tcPr>
          <w:p w14:paraId="368F7EFE">
            <w:pPr>
              <w:widowControl/>
              <w:spacing w:line="300" w:lineRule="exact"/>
              <w:jc w:val="center"/>
              <w:rPr>
                <w:rFonts w:hint="eastAsia" w:ascii="宋体" w:hAnsi="宋体" w:cs="宋体"/>
                <w:color w:val="auto"/>
                <w:szCs w:val="21"/>
                <w:highlight w:val="none"/>
                <w:lang w:val="en-US" w:eastAsia="zh-CN"/>
              </w:rPr>
            </w:pPr>
            <w:r>
              <w:rPr>
                <w:rStyle w:val="471"/>
                <w:rFonts w:hint="eastAsia" w:ascii="宋体" w:hAnsi="宋体"/>
                <w:sz w:val="21"/>
                <w:szCs w:val="21"/>
                <w:highlight w:val="none"/>
              </w:rPr>
              <w:t>6分</w:t>
            </w:r>
          </w:p>
        </w:tc>
        <w:tc>
          <w:tcPr>
            <w:tcW w:w="771" w:type="dxa"/>
            <w:tcBorders>
              <w:left w:val="single" w:color="auto" w:sz="4" w:space="0"/>
              <w:bottom w:val="single" w:color="auto" w:sz="4" w:space="0"/>
              <w:right w:val="single" w:color="auto" w:sz="2" w:space="0"/>
            </w:tcBorders>
            <w:noWrap w:val="0"/>
            <w:vAlign w:val="center"/>
          </w:tcPr>
          <w:p w14:paraId="36C4BB87">
            <w:pPr>
              <w:widowControl/>
              <w:spacing w:line="300" w:lineRule="exact"/>
              <w:jc w:val="center"/>
              <w:rPr>
                <w:rStyle w:val="471"/>
                <w:rFonts w:hint="eastAsia" w:ascii="宋体" w:hAnsi="宋体"/>
                <w:sz w:val="21"/>
                <w:szCs w:val="21"/>
                <w:highlight w:val="none"/>
              </w:rPr>
            </w:pPr>
            <w:r>
              <w:rPr>
                <w:rStyle w:val="471"/>
                <w:rFonts w:hint="eastAsia" w:ascii="宋体" w:hAnsi="宋体"/>
                <w:sz w:val="21"/>
                <w:szCs w:val="21"/>
                <w:highlight w:val="none"/>
              </w:rPr>
              <w:t>主观</w:t>
            </w:r>
          </w:p>
          <w:p w14:paraId="673050D4">
            <w:pPr>
              <w:widowControl/>
              <w:spacing w:line="300" w:lineRule="exact"/>
              <w:jc w:val="center"/>
              <w:rPr>
                <w:rFonts w:hint="eastAsia" w:ascii="宋体" w:hAnsi="宋体" w:cs="宋体"/>
                <w:color w:val="auto"/>
                <w:szCs w:val="21"/>
                <w:highlight w:val="none"/>
              </w:rPr>
            </w:pPr>
            <w:r>
              <w:rPr>
                <w:rStyle w:val="471"/>
                <w:rFonts w:hint="eastAsia" w:ascii="宋体" w:hAnsi="宋体"/>
                <w:sz w:val="21"/>
                <w:szCs w:val="21"/>
                <w:highlight w:val="none"/>
              </w:rPr>
              <w:t>评审</w:t>
            </w:r>
          </w:p>
        </w:tc>
      </w:tr>
      <w:tr w14:paraId="2A76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70" w:type="dxa"/>
            <w:vMerge w:val="continue"/>
            <w:tcBorders>
              <w:left w:val="single" w:color="auto" w:sz="4" w:space="0"/>
              <w:right w:val="single" w:color="auto" w:sz="2" w:space="0"/>
            </w:tcBorders>
            <w:noWrap w:val="0"/>
            <w:vAlign w:val="center"/>
          </w:tcPr>
          <w:p w14:paraId="48FE005A">
            <w:pPr>
              <w:widowControl/>
              <w:spacing w:line="360" w:lineRule="exact"/>
              <w:jc w:val="center"/>
              <w:rPr>
                <w:rFonts w:hint="eastAsia" w:ascii="宋体" w:hAnsi="宋体"/>
                <w:color w:val="auto"/>
                <w:szCs w:val="21"/>
                <w:highlight w:val="none"/>
              </w:rPr>
            </w:pPr>
          </w:p>
        </w:tc>
        <w:tc>
          <w:tcPr>
            <w:tcW w:w="716" w:type="dxa"/>
            <w:tcBorders>
              <w:left w:val="single" w:color="auto" w:sz="4" w:space="0"/>
              <w:right w:val="single" w:color="auto" w:sz="4" w:space="0"/>
            </w:tcBorders>
            <w:noWrap w:val="0"/>
            <w:vAlign w:val="center"/>
          </w:tcPr>
          <w:p w14:paraId="5BABAAE5">
            <w:pPr>
              <w:adjustRightInd/>
              <w:spacing w:line="360" w:lineRule="exact"/>
              <w:jc w:val="center"/>
              <w:rPr>
                <w:rFonts w:hAnsi="宋体" w:cs="宋体"/>
                <w:color w:val="auto"/>
                <w:highlight w:val="none"/>
              </w:rPr>
            </w:pPr>
            <w:r>
              <w:rPr>
                <w:rFonts w:hint="eastAsia" w:hAnsi="宋体" w:cs="宋体"/>
                <w:color w:val="auto"/>
                <w:highlight w:val="none"/>
              </w:rPr>
              <w:t>需求分析方案</w:t>
            </w:r>
          </w:p>
          <w:p w14:paraId="1711B5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p>
        </w:tc>
        <w:tc>
          <w:tcPr>
            <w:tcW w:w="6442" w:type="dxa"/>
            <w:gridSpan w:val="2"/>
            <w:tcBorders>
              <w:top w:val="single" w:color="auto" w:sz="4" w:space="0"/>
              <w:left w:val="single" w:color="auto" w:sz="4" w:space="0"/>
              <w:right w:val="single" w:color="auto" w:sz="2" w:space="0"/>
            </w:tcBorders>
            <w:noWrap w:val="0"/>
            <w:vAlign w:val="center"/>
          </w:tcPr>
          <w:p w14:paraId="49E791ED">
            <w:pPr>
              <w:spacing w:line="360" w:lineRule="exact"/>
              <w:rPr>
                <w:rFonts w:hAnsi="宋体" w:cs="宋体"/>
                <w:color w:val="auto"/>
                <w:highlight w:val="none"/>
              </w:rPr>
            </w:pPr>
            <w:r>
              <w:rPr>
                <w:rFonts w:hint="eastAsia" w:hAnsi="宋体" w:cs="宋体"/>
                <w:color w:val="auto"/>
                <w:highlight w:val="none"/>
              </w:rPr>
              <w:t>根据供应商提出的针对本项目的需求分析方案进行评审：</w:t>
            </w:r>
          </w:p>
          <w:p w14:paraId="59F549E6">
            <w:pPr>
              <w:spacing w:line="360" w:lineRule="exact"/>
              <w:rPr>
                <w:rFonts w:hAnsi="宋体" w:cs="宋体"/>
                <w:color w:val="auto"/>
                <w:highlight w:val="none"/>
              </w:rPr>
            </w:pPr>
            <w:r>
              <w:rPr>
                <w:rFonts w:ascii="宋体" w:hAnsi="宋体" w:cs="宋体"/>
                <w:color w:val="auto"/>
                <w:szCs w:val="21"/>
                <w:highlight w:val="none"/>
              </w:rPr>
              <w:t>①</w:t>
            </w:r>
            <w:r>
              <w:rPr>
                <w:rFonts w:hint="eastAsia" w:hAnsi="宋体" w:cs="宋体"/>
                <w:color w:val="auto"/>
                <w:highlight w:val="none"/>
              </w:rPr>
              <w:t>需求分析方案详尽，关键技术和思路清晰，</w:t>
            </w:r>
            <w:r>
              <w:rPr>
                <w:rFonts w:hint="eastAsia" w:hAnsi="宋体" w:cs="宋体"/>
                <w:color w:val="auto"/>
                <w:highlight w:val="none"/>
                <w:lang w:val="zh-CN"/>
              </w:rPr>
              <w:t>符合本项目对当前和未来发展的要求、后期</w:t>
            </w:r>
            <w:r>
              <w:rPr>
                <w:rFonts w:hint="eastAsia" w:hAnsi="宋体" w:cs="宋体"/>
                <w:color w:val="auto"/>
                <w:highlight w:val="none"/>
              </w:rPr>
              <w:t>运维能保障的得</w:t>
            </w:r>
            <w:r>
              <w:rPr>
                <w:rFonts w:hint="eastAsia" w:ascii="宋体" w:hAnsi="宋体" w:cs="宋体"/>
                <w:bCs/>
                <w:color w:val="auto"/>
                <w:szCs w:val="21"/>
                <w:highlight w:val="none"/>
                <w:lang w:val="en-US" w:eastAsia="zh-CN"/>
              </w:rPr>
              <w:t>5</w:t>
            </w:r>
            <w:r>
              <w:rPr>
                <w:rFonts w:hint="eastAsia" w:hAnsi="宋体" w:cs="宋体"/>
                <w:color w:val="auto"/>
                <w:highlight w:val="none"/>
              </w:rPr>
              <w:t>分；</w:t>
            </w:r>
          </w:p>
          <w:p w14:paraId="6BFCED2F">
            <w:pPr>
              <w:spacing w:line="360" w:lineRule="exact"/>
              <w:rPr>
                <w:rFonts w:hAnsi="宋体" w:cs="宋体"/>
                <w:color w:val="auto"/>
                <w:highlight w:val="none"/>
              </w:rPr>
            </w:pPr>
            <w:r>
              <w:rPr>
                <w:rFonts w:ascii="宋体" w:hAnsi="宋体" w:cs="宋体"/>
                <w:color w:val="auto"/>
                <w:szCs w:val="21"/>
                <w:highlight w:val="none"/>
              </w:rPr>
              <w:t>②</w:t>
            </w:r>
            <w:r>
              <w:rPr>
                <w:rFonts w:hint="eastAsia" w:hAnsi="宋体" w:cs="宋体"/>
                <w:color w:val="auto"/>
                <w:highlight w:val="none"/>
              </w:rPr>
              <w:t>需求分析方案尚可，关键技术和思路较清晰，基本</w:t>
            </w:r>
            <w:r>
              <w:rPr>
                <w:rFonts w:hint="eastAsia" w:hAnsi="宋体" w:cs="宋体"/>
                <w:color w:val="auto"/>
                <w:highlight w:val="none"/>
                <w:lang w:val="zh-CN"/>
              </w:rPr>
              <w:t>符合本项目对当前和未来发展的要求、后期</w:t>
            </w:r>
            <w:r>
              <w:rPr>
                <w:rFonts w:hint="eastAsia" w:hAnsi="宋体" w:cs="宋体"/>
                <w:color w:val="auto"/>
                <w:highlight w:val="none"/>
              </w:rPr>
              <w:t>运维基本能保障的得</w:t>
            </w:r>
            <w:r>
              <w:rPr>
                <w:rFonts w:hint="eastAsia" w:hAnsi="宋体" w:cs="宋体"/>
                <w:color w:val="auto"/>
                <w:highlight w:val="none"/>
                <w:lang w:val="en-US" w:eastAsia="zh-CN"/>
              </w:rPr>
              <w:t>3</w:t>
            </w:r>
            <w:r>
              <w:rPr>
                <w:rFonts w:hint="eastAsia" w:hAnsi="宋体" w:cs="宋体"/>
                <w:color w:val="auto"/>
                <w:highlight w:val="none"/>
              </w:rPr>
              <w:t>分；</w:t>
            </w:r>
          </w:p>
          <w:p w14:paraId="5FA5D3F4">
            <w:pPr>
              <w:spacing w:line="360" w:lineRule="exact"/>
              <w:rPr>
                <w:rFonts w:hAnsi="宋体" w:cs="宋体"/>
                <w:color w:val="auto"/>
                <w:highlight w:val="none"/>
              </w:rPr>
            </w:pPr>
            <w:r>
              <w:rPr>
                <w:rFonts w:hint="eastAsia" w:ascii="宋体" w:hAnsi="宋体" w:cs="宋体"/>
                <w:color w:val="auto"/>
                <w:szCs w:val="21"/>
                <w:highlight w:val="none"/>
              </w:rPr>
              <w:t>③</w:t>
            </w:r>
            <w:r>
              <w:rPr>
                <w:rFonts w:hint="eastAsia" w:hAnsi="宋体" w:cs="宋体"/>
                <w:color w:val="auto"/>
                <w:highlight w:val="none"/>
              </w:rPr>
              <w:t>需求分析方案笼统，关键技术和思路模糊，不能</w:t>
            </w:r>
            <w:r>
              <w:rPr>
                <w:rFonts w:hint="eastAsia" w:hAnsi="宋体" w:cs="宋体"/>
                <w:color w:val="auto"/>
                <w:highlight w:val="none"/>
                <w:lang w:val="zh-CN"/>
              </w:rPr>
              <w:t>符合本项目对当前和未来发展的要求、后期</w:t>
            </w:r>
            <w:r>
              <w:rPr>
                <w:rFonts w:hint="eastAsia" w:hAnsi="宋体" w:cs="宋体"/>
                <w:color w:val="auto"/>
                <w:highlight w:val="none"/>
              </w:rPr>
              <w:t>运维不能够保障的得</w:t>
            </w:r>
            <w:r>
              <w:rPr>
                <w:rFonts w:hint="eastAsia" w:hAnsi="宋体" w:cs="宋体"/>
                <w:color w:val="auto"/>
                <w:highlight w:val="none"/>
                <w:lang w:val="en-US" w:eastAsia="zh-CN"/>
              </w:rPr>
              <w:t>1</w:t>
            </w:r>
            <w:r>
              <w:rPr>
                <w:rFonts w:hint="eastAsia" w:hAnsi="宋体" w:cs="宋体"/>
                <w:color w:val="auto"/>
                <w:highlight w:val="none"/>
              </w:rPr>
              <w:t>分；</w:t>
            </w:r>
          </w:p>
          <w:p w14:paraId="1A8AFD65">
            <w:pPr>
              <w:spacing w:line="340" w:lineRule="exact"/>
              <w:rPr>
                <w:rFonts w:hint="eastAsia" w:ascii="宋体" w:hAnsi="宋体" w:cs="宋体"/>
                <w:bCs/>
                <w:color w:val="auto"/>
                <w:szCs w:val="21"/>
                <w:highlight w:val="none"/>
              </w:rPr>
            </w:pPr>
            <w:r>
              <w:rPr>
                <w:rFonts w:hint="eastAsia" w:hAnsi="宋体" w:cs="宋体"/>
                <w:color w:val="auto"/>
                <w:highlight w:val="none"/>
              </w:rPr>
              <w:t>未提供相关内容的不得分。</w:t>
            </w:r>
          </w:p>
        </w:tc>
        <w:tc>
          <w:tcPr>
            <w:tcW w:w="616" w:type="dxa"/>
            <w:tcBorders>
              <w:left w:val="single" w:color="auto" w:sz="4" w:space="0"/>
              <w:right w:val="single" w:color="auto" w:sz="2" w:space="0"/>
            </w:tcBorders>
            <w:noWrap w:val="0"/>
            <w:vAlign w:val="center"/>
          </w:tcPr>
          <w:p w14:paraId="3312D05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left w:val="single" w:color="auto" w:sz="4" w:space="0"/>
              <w:right w:val="single" w:color="auto" w:sz="2" w:space="0"/>
            </w:tcBorders>
            <w:noWrap w:val="0"/>
            <w:vAlign w:val="center"/>
          </w:tcPr>
          <w:p w14:paraId="5DDC012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0B4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70" w:type="dxa"/>
            <w:vMerge w:val="continue"/>
            <w:tcBorders>
              <w:left w:val="single" w:color="auto" w:sz="4" w:space="0"/>
              <w:right w:val="single" w:color="auto" w:sz="2" w:space="0"/>
            </w:tcBorders>
            <w:noWrap w:val="0"/>
            <w:vAlign w:val="center"/>
          </w:tcPr>
          <w:p w14:paraId="2841B6F6">
            <w:pPr>
              <w:widowControl/>
              <w:spacing w:line="360" w:lineRule="exact"/>
              <w:jc w:val="center"/>
              <w:rPr>
                <w:rFonts w:hint="eastAsia" w:ascii="宋体" w:hAnsi="宋体"/>
                <w:color w:val="auto"/>
                <w:szCs w:val="21"/>
                <w:highlight w:val="none"/>
              </w:rPr>
            </w:pPr>
          </w:p>
        </w:tc>
        <w:tc>
          <w:tcPr>
            <w:tcW w:w="716" w:type="dxa"/>
            <w:tcBorders>
              <w:left w:val="single" w:color="auto" w:sz="4" w:space="0"/>
              <w:right w:val="single" w:color="auto" w:sz="4" w:space="0"/>
            </w:tcBorders>
            <w:noWrap w:val="0"/>
            <w:vAlign w:val="center"/>
          </w:tcPr>
          <w:p w14:paraId="563B0E51">
            <w:pPr>
              <w:widowControl/>
              <w:snapToGrid w:val="0"/>
              <w:jc w:val="center"/>
              <w:rPr>
                <w:rFonts w:hint="eastAsia" w:ascii="宋体" w:hAnsi="宋体"/>
                <w:color w:val="auto"/>
                <w:szCs w:val="21"/>
                <w:highlight w:val="none"/>
              </w:rPr>
            </w:pPr>
            <w:r>
              <w:rPr>
                <w:rFonts w:hint="eastAsia" w:ascii="宋体" w:hAnsi="宋体" w:cs="宋体"/>
                <w:color w:val="auto"/>
                <w:kern w:val="0"/>
                <w:szCs w:val="21"/>
                <w:highlight w:val="none"/>
              </w:rPr>
              <w:t>试运行方案</w:t>
            </w:r>
          </w:p>
        </w:tc>
        <w:tc>
          <w:tcPr>
            <w:tcW w:w="6442" w:type="dxa"/>
            <w:gridSpan w:val="2"/>
            <w:tcBorders>
              <w:top w:val="single" w:color="auto" w:sz="4" w:space="0"/>
              <w:left w:val="single" w:color="auto" w:sz="4" w:space="0"/>
              <w:right w:val="single" w:color="auto" w:sz="2" w:space="0"/>
            </w:tcBorders>
            <w:noWrap w:val="0"/>
            <w:vAlign w:val="center"/>
          </w:tcPr>
          <w:p w14:paraId="421701BD">
            <w:pPr>
              <w:snapToGrid w:val="0"/>
              <w:spacing w:line="300"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评标委员会根据供应商的</w:t>
            </w:r>
            <w:r>
              <w:rPr>
                <w:rFonts w:hint="eastAsia" w:ascii="宋体" w:hAnsi="宋体" w:cs="宋体"/>
                <w:color w:val="auto"/>
                <w:szCs w:val="21"/>
                <w:highlight w:val="none"/>
              </w:rPr>
              <w:t>试运行方案及试运行过程的拟运维人员的合理性、专业性及完善程度等进行评分：</w:t>
            </w:r>
          </w:p>
          <w:p w14:paraId="64889EE1">
            <w:pPr>
              <w:snapToGrid w:val="0"/>
              <w:spacing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（1）方案内容详细完善，针对性强，具有可操作性，</w:t>
            </w:r>
            <w:r>
              <w:rPr>
                <w:rFonts w:hint="eastAsia" w:ascii="宋体" w:hAnsi="宋体" w:cs="宋体"/>
                <w:color w:val="auto"/>
                <w:szCs w:val="21"/>
                <w:highlight w:val="none"/>
              </w:rPr>
              <w:t>拟运维人员能力专业、整体安排合理的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14:paraId="20437D06">
            <w:pPr>
              <w:snapToGrid w:val="0"/>
              <w:spacing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（2）方案内容较详细，具有一定针对性，可操作性一般，</w:t>
            </w:r>
            <w:r>
              <w:rPr>
                <w:rFonts w:hint="eastAsia" w:ascii="宋体" w:hAnsi="宋体" w:cs="宋体"/>
                <w:color w:val="auto"/>
                <w:szCs w:val="21"/>
                <w:highlight w:val="none"/>
              </w:rPr>
              <w:t>拟运维人员能力较专业、整体安排较合理的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1C595B56">
            <w:pPr>
              <w:snapToGrid w:val="0"/>
              <w:spacing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）方案内容简单笼统，缺乏针对性，可操作性弱，</w:t>
            </w:r>
            <w:r>
              <w:rPr>
                <w:rFonts w:hint="eastAsia" w:ascii="宋体" w:hAnsi="宋体" w:cs="宋体"/>
                <w:color w:val="auto"/>
                <w:szCs w:val="21"/>
                <w:highlight w:val="none"/>
              </w:rPr>
              <w:t>拟运维人员能力欠专业、整体安排欠合理的得</w:t>
            </w:r>
            <w:r>
              <w:rPr>
                <w:rFonts w:hint="eastAsia" w:ascii="宋体" w:hAnsi="宋体" w:cs="宋体"/>
                <w:color w:val="auto"/>
                <w:kern w:val="0"/>
                <w:szCs w:val="21"/>
                <w:highlight w:val="none"/>
              </w:rPr>
              <w:t>1分；</w:t>
            </w:r>
          </w:p>
          <w:p w14:paraId="67DBA7C4">
            <w:pPr>
              <w:snapToGrid w:val="0"/>
              <w:spacing w:line="300" w:lineRule="auto"/>
              <w:jc w:val="left"/>
              <w:rPr>
                <w:rFonts w:hint="eastAsia" w:hAnsi="宋体" w:cs="宋体"/>
                <w:color w:val="auto"/>
                <w:highlight w:val="none"/>
              </w:rPr>
            </w:pPr>
            <w:r>
              <w:rPr>
                <w:rFonts w:hint="eastAsia" w:ascii="宋体" w:hAnsi="宋体" w:cs="宋体"/>
                <w:color w:val="auto"/>
                <w:kern w:val="0"/>
                <w:szCs w:val="21"/>
                <w:highlight w:val="none"/>
              </w:rPr>
              <w:t>注：未提供本项内容不得分。</w:t>
            </w:r>
          </w:p>
        </w:tc>
        <w:tc>
          <w:tcPr>
            <w:tcW w:w="616" w:type="dxa"/>
            <w:tcBorders>
              <w:left w:val="single" w:color="auto" w:sz="4" w:space="0"/>
              <w:right w:val="single" w:color="auto" w:sz="2" w:space="0"/>
            </w:tcBorders>
            <w:noWrap w:val="0"/>
            <w:vAlign w:val="center"/>
          </w:tcPr>
          <w:p w14:paraId="08A8E640">
            <w:pPr>
              <w:widowControl/>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771" w:type="dxa"/>
            <w:tcBorders>
              <w:left w:val="single" w:color="auto" w:sz="4" w:space="0"/>
              <w:right w:val="single" w:color="auto" w:sz="2" w:space="0"/>
            </w:tcBorders>
            <w:noWrap w:val="0"/>
            <w:vAlign w:val="center"/>
          </w:tcPr>
          <w:p w14:paraId="10063716">
            <w:pPr>
              <w:widowControl/>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主观评审</w:t>
            </w:r>
          </w:p>
        </w:tc>
      </w:tr>
      <w:tr w14:paraId="71FF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Borders>
              <w:left w:val="single" w:color="auto" w:sz="4" w:space="0"/>
              <w:right w:val="single" w:color="auto" w:sz="2" w:space="0"/>
            </w:tcBorders>
            <w:noWrap w:val="0"/>
            <w:vAlign w:val="center"/>
          </w:tcPr>
          <w:p w14:paraId="31CD3ED6">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6A27E362">
            <w:pPr>
              <w:spacing w:line="360" w:lineRule="exact"/>
              <w:jc w:val="center"/>
              <w:rPr>
                <w:rFonts w:hint="eastAsia" w:ascii="宋体" w:hAnsi="宋体" w:cs="宋体"/>
                <w:color w:val="auto"/>
                <w:szCs w:val="21"/>
                <w:highlight w:val="none"/>
              </w:rPr>
            </w:pPr>
            <w:r>
              <w:rPr>
                <w:rFonts w:hint="eastAsia" w:ascii="宋体" w:hAnsi="宋体" w:eastAsia="宋体" w:cs="宋体"/>
                <w:bCs/>
                <w:color w:val="auto"/>
                <w:szCs w:val="21"/>
                <w:highlight w:val="none"/>
              </w:rPr>
              <w:t>信息安全维护保障</w:t>
            </w:r>
            <w:r>
              <w:rPr>
                <w:rFonts w:hint="eastAsia"/>
                <w:color w:val="auto"/>
                <w:highlight w:val="none"/>
                <w:lang w:val="en-US" w:eastAsia="zh-CN"/>
              </w:rPr>
              <w:t>方案</w:t>
            </w:r>
          </w:p>
        </w:tc>
        <w:tc>
          <w:tcPr>
            <w:tcW w:w="6442" w:type="dxa"/>
            <w:gridSpan w:val="2"/>
            <w:tcBorders>
              <w:top w:val="single" w:color="auto" w:sz="4" w:space="0"/>
              <w:left w:val="single" w:color="auto" w:sz="4" w:space="0"/>
              <w:right w:val="single" w:color="auto" w:sz="2" w:space="0"/>
            </w:tcBorders>
            <w:noWrap w:val="0"/>
            <w:vAlign w:val="center"/>
          </w:tcPr>
          <w:p w14:paraId="5D85FA2B">
            <w:pPr>
              <w:pBdr>
                <w:top w:val="none" w:color="auto" w:sz="0" w:space="1"/>
                <w:left w:val="none" w:color="auto" w:sz="0" w:space="4"/>
                <w:bottom w:val="none" w:color="auto" w:sz="0" w:space="1"/>
                <w:right w:val="none" w:color="auto" w:sz="0" w:space="4"/>
              </w:pBd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根据供应商针对本项目制定</w:t>
            </w:r>
            <w:r>
              <w:rPr>
                <w:rFonts w:hint="eastAsia" w:ascii="宋体" w:hAnsi="宋体" w:eastAsia="宋体" w:cs="宋体"/>
                <w:bCs/>
                <w:color w:val="auto"/>
                <w:szCs w:val="21"/>
                <w:highlight w:val="none"/>
              </w:rPr>
              <w:t>的信息安全维护保障方案进</w:t>
            </w:r>
            <w:r>
              <w:rPr>
                <w:rFonts w:hint="eastAsia" w:ascii="宋体" w:hAnsi="宋体" w:cs="宋体"/>
                <w:bCs/>
                <w:color w:val="auto"/>
                <w:szCs w:val="21"/>
                <w:highlight w:val="none"/>
              </w:rPr>
              <w:t>行评审。</w:t>
            </w:r>
          </w:p>
          <w:p w14:paraId="12BED83B">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①方案完全适应本项目，</w:t>
            </w:r>
            <w:r>
              <w:rPr>
                <w:rFonts w:hint="eastAsia" w:ascii="宋体" w:hAnsi="宋体" w:cs="宋体"/>
                <w:bCs/>
                <w:color w:val="auto"/>
                <w:szCs w:val="21"/>
                <w:highlight w:val="none"/>
                <w:lang w:val="en-US" w:eastAsia="zh-CN"/>
              </w:rPr>
              <w:t>各项预防措施</w:t>
            </w:r>
            <w:r>
              <w:rPr>
                <w:rFonts w:hint="eastAsia" w:ascii="宋体" w:hAnsi="宋体" w:cs="宋体"/>
                <w:bCs/>
                <w:color w:val="auto"/>
                <w:szCs w:val="21"/>
                <w:highlight w:val="none"/>
              </w:rPr>
              <w:t>设置规范，</w:t>
            </w:r>
            <w:r>
              <w:rPr>
                <w:rFonts w:hint="eastAsia" w:ascii="宋体" w:hAnsi="宋体" w:cs="宋体"/>
                <w:bCs/>
                <w:color w:val="auto"/>
                <w:szCs w:val="21"/>
                <w:highlight w:val="none"/>
                <w:lang w:val="en-US" w:eastAsia="zh-CN"/>
              </w:rPr>
              <w:t>保护</w:t>
            </w:r>
            <w:r>
              <w:rPr>
                <w:rFonts w:hint="eastAsia" w:ascii="宋体" w:hAnsi="宋体" w:cs="宋体"/>
                <w:bCs/>
                <w:color w:val="auto"/>
                <w:szCs w:val="21"/>
                <w:highlight w:val="none"/>
              </w:rPr>
              <w:t>措施内容严谨合理的得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77E348F7">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②方案比较适应本项目，</w:t>
            </w:r>
            <w:r>
              <w:rPr>
                <w:rFonts w:hint="eastAsia" w:ascii="宋体" w:hAnsi="宋体" w:cs="宋体"/>
                <w:bCs/>
                <w:color w:val="auto"/>
                <w:szCs w:val="21"/>
                <w:highlight w:val="none"/>
                <w:lang w:val="en-US" w:eastAsia="zh-CN"/>
              </w:rPr>
              <w:t>各项预防措施</w:t>
            </w:r>
            <w:r>
              <w:rPr>
                <w:rFonts w:hint="eastAsia" w:ascii="宋体" w:hAnsi="宋体" w:cs="宋体"/>
                <w:bCs/>
                <w:color w:val="auto"/>
                <w:szCs w:val="21"/>
                <w:highlight w:val="none"/>
              </w:rPr>
              <w:t>设置比较规范，</w:t>
            </w:r>
            <w:r>
              <w:rPr>
                <w:rFonts w:hint="eastAsia" w:ascii="宋体" w:hAnsi="宋体" w:cs="宋体"/>
                <w:bCs/>
                <w:color w:val="auto"/>
                <w:szCs w:val="21"/>
                <w:highlight w:val="none"/>
                <w:lang w:val="en-US" w:eastAsia="zh-CN"/>
              </w:rPr>
              <w:t>保护</w:t>
            </w:r>
            <w:r>
              <w:rPr>
                <w:rFonts w:hint="eastAsia" w:ascii="宋体" w:hAnsi="宋体" w:cs="宋体"/>
                <w:bCs/>
                <w:color w:val="auto"/>
                <w:szCs w:val="21"/>
                <w:highlight w:val="none"/>
              </w:rPr>
              <w:t>措施内容比较严谨比较合理的得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5590B9BF">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③方案不够适应本项目，</w:t>
            </w:r>
            <w:r>
              <w:rPr>
                <w:rFonts w:hint="eastAsia" w:ascii="宋体" w:hAnsi="宋体" w:cs="宋体"/>
                <w:bCs/>
                <w:color w:val="auto"/>
                <w:szCs w:val="21"/>
                <w:highlight w:val="none"/>
                <w:lang w:val="en-US" w:eastAsia="zh-CN"/>
              </w:rPr>
              <w:t>各项预防措施</w:t>
            </w:r>
            <w:r>
              <w:rPr>
                <w:rFonts w:hint="eastAsia" w:ascii="宋体" w:hAnsi="宋体" w:cs="宋体"/>
                <w:bCs/>
                <w:color w:val="auto"/>
                <w:szCs w:val="21"/>
                <w:highlight w:val="none"/>
              </w:rPr>
              <w:t>设置不够规范，</w:t>
            </w:r>
            <w:r>
              <w:rPr>
                <w:rFonts w:hint="eastAsia" w:ascii="宋体" w:hAnsi="宋体" w:cs="宋体"/>
                <w:bCs/>
                <w:color w:val="auto"/>
                <w:szCs w:val="21"/>
                <w:highlight w:val="none"/>
                <w:lang w:val="en-US" w:eastAsia="zh-CN"/>
              </w:rPr>
              <w:t>保护</w:t>
            </w:r>
            <w:r>
              <w:rPr>
                <w:rFonts w:hint="eastAsia" w:ascii="宋体" w:hAnsi="宋体" w:cs="宋体"/>
                <w:bCs/>
                <w:color w:val="auto"/>
                <w:szCs w:val="21"/>
                <w:highlight w:val="none"/>
              </w:rPr>
              <w:t>措施内容不够严谨不够合理的得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5E5E988B">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④未提供相关内容的不得分。</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0245698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398F972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3383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Borders>
              <w:left w:val="single" w:color="auto" w:sz="4" w:space="0"/>
              <w:right w:val="single" w:color="auto" w:sz="2" w:space="0"/>
            </w:tcBorders>
            <w:noWrap w:val="0"/>
            <w:vAlign w:val="center"/>
          </w:tcPr>
          <w:p w14:paraId="62EE0482">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46DE286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安全控制措施</w:t>
            </w:r>
          </w:p>
          <w:p w14:paraId="164E6FD0">
            <w:pPr>
              <w:spacing w:line="360" w:lineRule="exact"/>
              <w:jc w:val="center"/>
              <w:rPr>
                <w:rFonts w:hint="eastAsia" w:ascii="宋体" w:hAnsi="宋体" w:cs="宋体"/>
                <w:color w:val="auto"/>
                <w:szCs w:val="21"/>
                <w:highlight w:val="none"/>
              </w:rPr>
            </w:pPr>
          </w:p>
        </w:tc>
        <w:tc>
          <w:tcPr>
            <w:tcW w:w="6442" w:type="dxa"/>
            <w:gridSpan w:val="2"/>
            <w:tcBorders>
              <w:top w:val="single" w:color="auto" w:sz="4" w:space="0"/>
              <w:left w:val="single" w:color="auto" w:sz="4" w:space="0"/>
              <w:right w:val="single" w:color="auto" w:sz="2" w:space="0"/>
            </w:tcBorders>
            <w:noWrap w:val="0"/>
            <w:vAlign w:val="center"/>
          </w:tcPr>
          <w:p w14:paraId="5DA88E6E">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根据供应商对本项目各项高风险作业的有效风险辨识分析的针对性和全面性，对现场高风险作业制定的安全保证措施内容的可行性和合理性进行评审：</w:t>
            </w:r>
          </w:p>
          <w:p w14:paraId="07A2F872">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①风险辨识分析内容全面、针对性强，安全保证措施可行、合理，符合项目实际情况的得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1AEF57DE">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②风险辨识分析内容较为全面，有一定的针对性，安全保证措施基本可行，基本符合项目实际情况的得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6D6DF2A4">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③风险辨识分析内容全面性和针对性一般，安全保证措施可行性和合理性一般，与项目实际情况有较大偏差的得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2FACF002">
            <w:pPr>
              <w:spacing w:line="340" w:lineRule="exact"/>
              <w:rPr>
                <w:rFonts w:hint="eastAsia" w:ascii="宋体" w:hAnsi="宋体" w:cs="宋体"/>
                <w:bCs/>
                <w:color w:val="auto"/>
                <w:szCs w:val="21"/>
                <w:highlight w:val="none"/>
              </w:rPr>
            </w:pPr>
            <w:r>
              <w:rPr>
                <w:rFonts w:hint="eastAsia" w:ascii="宋体" w:hAnsi="宋体" w:cs="宋体"/>
                <w:bCs/>
                <w:color w:val="auto"/>
                <w:szCs w:val="21"/>
                <w:highlight w:val="none"/>
              </w:rPr>
              <w:t>④未提供相关内容的不得分。</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6F2F792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2153651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CD1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Borders>
              <w:left w:val="single" w:color="auto" w:sz="4" w:space="0"/>
              <w:right w:val="single" w:color="auto" w:sz="2" w:space="0"/>
            </w:tcBorders>
            <w:noWrap w:val="0"/>
            <w:vAlign w:val="center"/>
          </w:tcPr>
          <w:p w14:paraId="49397DBD">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509B883E">
            <w:pPr>
              <w:adjustRightInd/>
              <w:spacing w:line="360" w:lineRule="exact"/>
              <w:jc w:val="center"/>
              <w:rPr>
                <w:rFonts w:hAnsi="宋体" w:cs="宋体"/>
                <w:color w:val="auto"/>
                <w:highlight w:val="none"/>
              </w:rPr>
            </w:pPr>
            <w:r>
              <w:rPr>
                <w:rFonts w:hint="eastAsia" w:hAnsi="宋体" w:cs="宋体"/>
                <w:color w:val="auto"/>
                <w:highlight w:val="none"/>
              </w:rPr>
              <w:t>系统整体设计和关键技术选择</w:t>
            </w:r>
          </w:p>
          <w:p w14:paraId="4CC5FF68">
            <w:pPr>
              <w:spacing w:line="360" w:lineRule="exact"/>
              <w:jc w:val="center"/>
              <w:rPr>
                <w:rFonts w:hint="eastAsia" w:ascii="宋体" w:hAnsi="宋体" w:cs="宋体"/>
                <w:color w:val="auto"/>
                <w:szCs w:val="21"/>
                <w:highlight w:val="none"/>
              </w:rPr>
            </w:pPr>
          </w:p>
        </w:tc>
        <w:tc>
          <w:tcPr>
            <w:tcW w:w="6442" w:type="dxa"/>
            <w:gridSpan w:val="2"/>
            <w:tcBorders>
              <w:top w:val="single" w:color="auto" w:sz="4" w:space="0"/>
              <w:left w:val="single" w:color="auto" w:sz="4" w:space="0"/>
              <w:right w:val="single" w:color="auto" w:sz="2" w:space="0"/>
            </w:tcBorders>
            <w:noWrap w:val="0"/>
            <w:vAlign w:val="center"/>
          </w:tcPr>
          <w:p w14:paraId="6352D75B">
            <w:pPr>
              <w:spacing w:line="360" w:lineRule="exact"/>
              <w:rPr>
                <w:rFonts w:hAnsi="宋体" w:cs="宋体"/>
                <w:color w:val="auto"/>
                <w:highlight w:val="none"/>
              </w:rPr>
            </w:pPr>
            <w:r>
              <w:rPr>
                <w:rFonts w:hint="eastAsia" w:hAnsi="宋体" w:cs="宋体"/>
                <w:color w:val="auto"/>
                <w:highlight w:val="none"/>
              </w:rPr>
              <w:t>根据供应商提出的针对本项目总体架构、</w:t>
            </w:r>
            <w:r>
              <w:rPr>
                <w:rFonts w:hint="eastAsia" w:hAnsi="宋体" w:cs="宋体"/>
                <w:color w:val="auto"/>
                <w:highlight w:val="none"/>
                <w:lang w:val="en-US" w:eastAsia="zh-CN"/>
              </w:rPr>
              <w:t>AI</w:t>
            </w:r>
            <w:r>
              <w:rPr>
                <w:rFonts w:hint="eastAsia" w:hAnsi="宋体" w:cs="宋体"/>
                <w:color w:val="auto"/>
                <w:highlight w:val="none"/>
              </w:rPr>
              <w:t>设计架构、关键技术选择、</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软件</w:t>
            </w:r>
            <w:r>
              <w:rPr>
                <w:rFonts w:hint="eastAsia" w:ascii="宋体" w:hAnsi="宋体" w:cs="宋体"/>
                <w:color w:val="auto"/>
                <w:kern w:val="0"/>
                <w:szCs w:val="21"/>
                <w:highlight w:val="none"/>
              </w:rPr>
              <w:t>部署策略</w:t>
            </w:r>
            <w:r>
              <w:rPr>
                <w:rFonts w:hint="eastAsia" w:hAnsi="宋体" w:cs="宋体"/>
                <w:color w:val="auto"/>
                <w:highlight w:val="none"/>
              </w:rPr>
              <w:t>进行评审：</w:t>
            </w:r>
          </w:p>
          <w:p w14:paraId="22225FB3">
            <w:pPr>
              <w:spacing w:line="360" w:lineRule="exact"/>
              <w:rPr>
                <w:rFonts w:hAnsi="宋体" w:cs="宋体"/>
                <w:color w:val="auto"/>
                <w:highlight w:val="none"/>
              </w:rPr>
            </w:pPr>
            <w:r>
              <w:rPr>
                <w:rFonts w:hint="eastAsia" w:ascii="宋体" w:hAnsi="宋体" w:cs="宋体"/>
                <w:color w:val="auto"/>
                <w:szCs w:val="21"/>
                <w:highlight w:val="none"/>
              </w:rPr>
              <w:t>①</w:t>
            </w:r>
            <w:r>
              <w:rPr>
                <w:rFonts w:hint="eastAsia" w:hAnsi="宋体" w:cs="宋体"/>
                <w:color w:val="auto"/>
                <w:highlight w:val="none"/>
              </w:rPr>
              <w:t>系统整体设计成熟、关键技术选择科学可靠、</w:t>
            </w:r>
            <w:r>
              <w:rPr>
                <w:rFonts w:hint="eastAsia" w:ascii="宋体" w:hAnsi="宋体" w:cs="宋体"/>
                <w:color w:val="auto"/>
                <w:kern w:val="0"/>
                <w:szCs w:val="21"/>
                <w:highlight w:val="none"/>
              </w:rPr>
              <w:t>对软硬件基础设施要求和部署策略</w:t>
            </w:r>
            <w:r>
              <w:rPr>
                <w:rFonts w:hint="eastAsia" w:hAnsi="宋体" w:cs="宋体"/>
                <w:color w:val="auto"/>
                <w:highlight w:val="none"/>
              </w:rPr>
              <w:t>科学可行，能满足采购需求的得5分；</w:t>
            </w:r>
          </w:p>
          <w:p w14:paraId="6D39A9BB">
            <w:pPr>
              <w:spacing w:line="360" w:lineRule="exact"/>
              <w:rPr>
                <w:rFonts w:hAnsi="宋体" w:cs="宋体"/>
                <w:color w:val="auto"/>
                <w:highlight w:val="none"/>
              </w:rPr>
            </w:pPr>
            <w:r>
              <w:rPr>
                <w:rFonts w:hint="eastAsia" w:ascii="宋体" w:hAnsi="宋体" w:cs="宋体"/>
                <w:color w:val="auto"/>
                <w:szCs w:val="21"/>
                <w:highlight w:val="none"/>
              </w:rPr>
              <w:t>②</w:t>
            </w:r>
            <w:r>
              <w:rPr>
                <w:rFonts w:hint="eastAsia" w:hAnsi="宋体" w:cs="宋体"/>
                <w:color w:val="auto"/>
                <w:highlight w:val="none"/>
              </w:rPr>
              <w:t>系统整体设计尚可、关键技术选择基本合理可靠、</w:t>
            </w:r>
            <w:r>
              <w:rPr>
                <w:rFonts w:hint="eastAsia" w:ascii="宋体" w:hAnsi="宋体" w:cs="宋体"/>
                <w:color w:val="auto"/>
                <w:kern w:val="0"/>
                <w:szCs w:val="21"/>
                <w:highlight w:val="none"/>
              </w:rPr>
              <w:t>对软硬件基础设施要求和部署策略</w:t>
            </w:r>
            <w:r>
              <w:rPr>
                <w:rFonts w:hint="eastAsia" w:hAnsi="宋体" w:cs="宋体"/>
                <w:color w:val="auto"/>
                <w:highlight w:val="none"/>
              </w:rPr>
              <w:t>基本可行，基本满足采购需求的得</w:t>
            </w:r>
            <w:r>
              <w:rPr>
                <w:rFonts w:hAnsi="宋体" w:cs="宋体"/>
                <w:color w:val="auto"/>
                <w:highlight w:val="none"/>
              </w:rPr>
              <w:t>3</w:t>
            </w:r>
            <w:r>
              <w:rPr>
                <w:rFonts w:hint="eastAsia" w:hAnsi="宋体" w:cs="宋体"/>
                <w:color w:val="auto"/>
                <w:highlight w:val="none"/>
              </w:rPr>
              <w:t>分；</w:t>
            </w:r>
          </w:p>
          <w:p w14:paraId="3301987A">
            <w:pPr>
              <w:spacing w:line="360" w:lineRule="exact"/>
              <w:rPr>
                <w:rFonts w:hAnsi="宋体" w:cs="宋体"/>
                <w:color w:val="auto"/>
                <w:highlight w:val="none"/>
              </w:rPr>
            </w:pPr>
            <w:r>
              <w:rPr>
                <w:rFonts w:hint="eastAsia" w:ascii="宋体" w:hAnsi="宋体" w:cs="宋体"/>
                <w:color w:val="auto"/>
                <w:szCs w:val="21"/>
                <w:highlight w:val="none"/>
              </w:rPr>
              <w:t>③</w:t>
            </w:r>
            <w:r>
              <w:rPr>
                <w:rFonts w:hint="eastAsia" w:hAnsi="宋体" w:cs="宋体"/>
                <w:color w:val="auto"/>
                <w:highlight w:val="none"/>
              </w:rPr>
              <w:t>系统整体设计不成熟、关键技术选择不可靠、</w:t>
            </w:r>
            <w:r>
              <w:rPr>
                <w:rFonts w:hint="eastAsia" w:ascii="宋体" w:hAnsi="宋体" w:cs="宋体"/>
                <w:color w:val="auto"/>
                <w:kern w:val="0"/>
                <w:szCs w:val="21"/>
                <w:highlight w:val="none"/>
              </w:rPr>
              <w:t>对软硬件基础设施要求和部署策略</w:t>
            </w:r>
            <w:r>
              <w:rPr>
                <w:rFonts w:hint="eastAsia" w:hAnsi="宋体" w:cs="宋体"/>
                <w:color w:val="auto"/>
                <w:highlight w:val="none"/>
              </w:rPr>
              <w:t>无可行性，不能满足采购需求的得</w:t>
            </w:r>
            <w:r>
              <w:rPr>
                <w:rFonts w:hAnsi="宋体" w:cs="宋体"/>
                <w:color w:val="auto"/>
                <w:highlight w:val="none"/>
              </w:rPr>
              <w:t>1</w:t>
            </w:r>
            <w:r>
              <w:rPr>
                <w:rFonts w:hint="eastAsia" w:hAnsi="宋体" w:cs="宋体"/>
                <w:color w:val="auto"/>
                <w:highlight w:val="none"/>
              </w:rPr>
              <w:t>分；</w:t>
            </w:r>
          </w:p>
          <w:p w14:paraId="23A28653">
            <w:pPr>
              <w:spacing w:line="340" w:lineRule="exact"/>
              <w:rPr>
                <w:rFonts w:hint="eastAsia" w:ascii="宋体" w:hAnsi="宋体" w:cs="宋体"/>
                <w:bCs/>
                <w:color w:val="auto"/>
                <w:szCs w:val="21"/>
                <w:highlight w:val="none"/>
              </w:rPr>
            </w:pPr>
            <w:r>
              <w:rPr>
                <w:rFonts w:hint="eastAsia" w:hAnsi="宋体" w:cs="宋体"/>
                <w:color w:val="auto"/>
                <w:highlight w:val="none"/>
              </w:rPr>
              <w:t>未提供相关内容的不得分。</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1E85E638">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537B74D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3ADA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Borders>
              <w:left w:val="single" w:color="auto" w:sz="4" w:space="0"/>
              <w:right w:val="single" w:color="auto" w:sz="2" w:space="0"/>
            </w:tcBorders>
            <w:noWrap w:val="0"/>
            <w:vAlign w:val="center"/>
          </w:tcPr>
          <w:p w14:paraId="1725BDBE">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34B9E771">
            <w:pPr>
              <w:adjustRightInd/>
              <w:spacing w:line="360" w:lineRule="exact"/>
              <w:jc w:val="center"/>
              <w:rPr>
                <w:rFonts w:hint="eastAsia" w:hAnsi="宋体" w:cs="宋体"/>
                <w:color w:val="auto"/>
                <w:highlight w:val="none"/>
              </w:rPr>
            </w:pPr>
            <w:r>
              <w:rPr>
                <w:rFonts w:hint="eastAsia" w:hAnsi="宋体" w:cs="宋体"/>
                <w:color w:val="auto"/>
                <w:highlight w:val="none"/>
              </w:rPr>
              <w:t>培训方案</w:t>
            </w:r>
          </w:p>
        </w:tc>
        <w:tc>
          <w:tcPr>
            <w:tcW w:w="6442" w:type="dxa"/>
            <w:gridSpan w:val="2"/>
            <w:tcBorders>
              <w:top w:val="single" w:color="auto" w:sz="4" w:space="0"/>
              <w:left w:val="single" w:color="auto" w:sz="4" w:space="0"/>
              <w:right w:val="single" w:color="auto" w:sz="2" w:space="0"/>
            </w:tcBorders>
            <w:noWrap w:val="0"/>
            <w:vAlign w:val="center"/>
          </w:tcPr>
          <w:p w14:paraId="6C2D5238">
            <w:pPr>
              <w:spacing w:line="360" w:lineRule="exact"/>
              <w:rPr>
                <w:rFonts w:hAnsi="宋体" w:cs="宋体"/>
                <w:color w:val="auto"/>
                <w:highlight w:val="none"/>
              </w:rPr>
            </w:pPr>
            <w:r>
              <w:rPr>
                <w:rFonts w:hint="eastAsia" w:hAnsi="宋体" w:cs="宋体"/>
                <w:color w:val="auto"/>
                <w:highlight w:val="none"/>
              </w:rPr>
              <w:t>根据供应商提出的针对本项目的培训方案（主要包括多种</w:t>
            </w:r>
            <w:r>
              <w:rPr>
                <w:rFonts w:hint="eastAsia" w:hAnsi="宋体" w:cs="宋体"/>
                <w:color w:val="auto"/>
                <w:highlight w:val="none"/>
                <w:lang w:val="zh-CN"/>
              </w:rPr>
              <w:t>培训方式、培训内容、培训讲师资质、培训时间安排、培训结果考核反馈</w:t>
            </w:r>
            <w:r>
              <w:rPr>
                <w:rFonts w:hint="eastAsia" w:hAnsi="宋体" w:cs="宋体"/>
                <w:color w:val="auto"/>
                <w:highlight w:val="none"/>
              </w:rPr>
              <w:t>）进行评审：</w:t>
            </w:r>
          </w:p>
          <w:p w14:paraId="2DE67D5C">
            <w:pPr>
              <w:spacing w:line="360" w:lineRule="exact"/>
              <w:rPr>
                <w:rFonts w:hAnsi="宋体" w:cs="宋体"/>
                <w:color w:val="auto"/>
                <w:highlight w:val="none"/>
              </w:rPr>
            </w:pPr>
            <w:r>
              <w:rPr>
                <w:rFonts w:ascii="宋体" w:hAnsi="宋体" w:cs="宋体"/>
                <w:color w:val="auto"/>
                <w:szCs w:val="21"/>
                <w:highlight w:val="none"/>
              </w:rPr>
              <w:t>①</w:t>
            </w:r>
            <w:r>
              <w:rPr>
                <w:rFonts w:hint="eastAsia" w:hAnsi="宋体" w:cs="宋体"/>
                <w:color w:val="auto"/>
                <w:highlight w:val="none"/>
              </w:rPr>
              <w:t>培训方案内容齐全、详尽，符合项目要求的得5分；</w:t>
            </w:r>
          </w:p>
          <w:p w14:paraId="46BDB9F3">
            <w:pPr>
              <w:spacing w:line="360" w:lineRule="exact"/>
              <w:rPr>
                <w:rFonts w:hAnsi="宋体" w:cs="宋体"/>
                <w:color w:val="auto"/>
                <w:highlight w:val="none"/>
              </w:rPr>
            </w:pPr>
            <w:r>
              <w:rPr>
                <w:rFonts w:ascii="宋体" w:hAnsi="宋体" w:cs="宋体"/>
                <w:color w:val="auto"/>
                <w:szCs w:val="21"/>
                <w:highlight w:val="none"/>
              </w:rPr>
              <w:t>②</w:t>
            </w:r>
            <w:r>
              <w:rPr>
                <w:rFonts w:hint="eastAsia" w:hAnsi="宋体" w:cs="宋体"/>
                <w:color w:val="auto"/>
                <w:highlight w:val="none"/>
              </w:rPr>
              <w:t>培训方案内容基本具备，但缺乏针对性的得</w:t>
            </w:r>
            <w:r>
              <w:rPr>
                <w:rFonts w:hAnsi="宋体" w:cs="宋体"/>
                <w:color w:val="auto"/>
                <w:highlight w:val="none"/>
              </w:rPr>
              <w:t>3</w:t>
            </w:r>
            <w:r>
              <w:rPr>
                <w:rFonts w:hint="eastAsia" w:hAnsi="宋体" w:cs="宋体"/>
                <w:color w:val="auto"/>
                <w:highlight w:val="none"/>
              </w:rPr>
              <w:t>分；</w:t>
            </w:r>
          </w:p>
          <w:p w14:paraId="3885385C">
            <w:pPr>
              <w:spacing w:line="360" w:lineRule="exact"/>
              <w:rPr>
                <w:rFonts w:hAnsi="宋体" w:cs="宋体"/>
                <w:color w:val="auto"/>
                <w:highlight w:val="none"/>
              </w:rPr>
            </w:pPr>
            <w:r>
              <w:rPr>
                <w:rFonts w:hint="eastAsia" w:ascii="宋体" w:hAnsi="宋体" w:cs="宋体"/>
                <w:color w:val="auto"/>
                <w:szCs w:val="21"/>
                <w:highlight w:val="none"/>
              </w:rPr>
              <w:t>③</w:t>
            </w:r>
            <w:r>
              <w:rPr>
                <w:rFonts w:hint="eastAsia" w:hAnsi="宋体" w:cs="宋体"/>
                <w:color w:val="auto"/>
                <w:highlight w:val="none"/>
              </w:rPr>
              <w:t>培训方案内容缺失、笼统，不能符合项目要求的得</w:t>
            </w:r>
            <w:r>
              <w:rPr>
                <w:rFonts w:hAnsi="宋体" w:cs="宋体"/>
                <w:color w:val="auto"/>
                <w:highlight w:val="none"/>
              </w:rPr>
              <w:t>1</w:t>
            </w:r>
            <w:r>
              <w:rPr>
                <w:rFonts w:hint="eastAsia" w:hAnsi="宋体" w:cs="宋体"/>
                <w:color w:val="auto"/>
                <w:highlight w:val="none"/>
              </w:rPr>
              <w:t>分；</w:t>
            </w:r>
          </w:p>
          <w:p w14:paraId="49E623C9">
            <w:pPr>
              <w:spacing w:line="360" w:lineRule="exact"/>
              <w:rPr>
                <w:rFonts w:hint="eastAsia" w:hAnsi="宋体" w:cs="宋体"/>
                <w:color w:val="auto"/>
                <w:highlight w:val="none"/>
              </w:rPr>
            </w:pPr>
            <w:r>
              <w:rPr>
                <w:rFonts w:hint="eastAsia" w:hAnsi="宋体" w:cs="宋体"/>
                <w:color w:val="auto"/>
                <w:highlight w:val="none"/>
              </w:rPr>
              <w:t>未提供相关内容的不得分。</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423F1BE8">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086719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737B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770" w:type="dxa"/>
            <w:vMerge w:val="continue"/>
            <w:tcBorders>
              <w:left w:val="single" w:color="auto" w:sz="4" w:space="0"/>
              <w:right w:val="single" w:color="auto" w:sz="2" w:space="0"/>
            </w:tcBorders>
            <w:noWrap w:val="0"/>
            <w:vAlign w:val="center"/>
          </w:tcPr>
          <w:p w14:paraId="057FBA34">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shd w:val="clear" w:color="auto" w:fill="auto"/>
            <w:noWrap w:val="0"/>
            <w:vAlign w:val="center"/>
          </w:tcPr>
          <w:p w14:paraId="114EB12B">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服务承诺</w:t>
            </w:r>
          </w:p>
        </w:tc>
        <w:tc>
          <w:tcPr>
            <w:tcW w:w="6442" w:type="dxa"/>
            <w:gridSpan w:val="2"/>
            <w:tcBorders>
              <w:top w:val="single" w:color="auto" w:sz="4" w:space="0"/>
              <w:left w:val="single" w:color="auto" w:sz="4" w:space="0"/>
              <w:right w:val="single" w:color="auto" w:sz="2" w:space="0"/>
            </w:tcBorders>
            <w:shd w:val="clear" w:color="auto" w:fill="auto"/>
            <w:noWrap w:val="0"/>
            <w:vAlign w:val="center"/>
          </w:tcPr>
          <w:p w14:paraId="2FA652FA">
            <w:pPr>
              <w:wordWrap w:val="0"/>
              <w:spacing w:line="33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根据供应商提供的服务承诺内容、可执行性及</w:t>
            </w:r>
            <w:r>
              <w:rPr>
                <w:rFonts w:hint="eastAsia" w:ascii="宋体" w:hAnsi="宋体" w:cs="宋体"/>
                <w:color w:val="auto"/>
                <w:kern w:val="0"/>
                <w:szCs w:val="21"/>
                <w:highlight w:val="none"/>
              </w:rPr>
              <w:t>对于本项目是否有积极推进意义</w:t>
            </w:r>
            <w:r>
              <w:rPr>
                <w:rFonts w:hint="eastAsia" w:ascii="宋体" w:hAnsi="宋体" w:cs="宋体"/>
                <w:bCs/>
                <w:color w:val="auto"/>
                <w:szCs w:val="21"/>
                <w:highlight w:val="none"/>
              </w:rPr>
              <w:t>进行评审：</w:t>
            </w:r>
          </w:p>
          <w:p w14:paraId="02EE41F6">
            <w:pPr>
              <w:wordWrap w:val="0"/>
              <w:spacing w:line="330" w:lineRule="exact"/>
              <w:jc w:val="left"/>
              <w:rPr>
                <w:rFonts w:hint="eastAsia" w:ascii="宋体" w:hAnsi="宋体" w:cs="宋体"/>
                <w:color w:val="auto"/>
                <w:kern w:val="0"/>
                <w:szCs w:val="21"/>
                <w:highlight w:val="none"/>
              </w:rPr>
            </w:pPr>
            <w:r>
              <w:rPr>
                <w:rFonts w:hint="eastAsia" w:ascii="宋体" w:hAnsi="宋体" w:cs="宋体"/>
                <w:bCs/>
                <w:color w:val="auto"/>
                <w:szCs w:val="21"/>
                <w:highlight w:val="none"/>
              </w:rPr>
              <w:t>①</w:t>
            </w:r>
            <w:r>
              <w:rPr>
                <w:rFonts w:hint="eastAsia" w:ascii="宋体" w:hAnsi="宋体" w:cs="宋体"/>
                <w:color w:val="auto"/>
                <w:kern w:val="0"/>
                <w:szCs w:val="21"/>
                <w:highlight w:val="none"/>
              </w:rPr>
              <w:t>服务承诺内容符合项目实际，</w:t>
            </w:r>
            <w:r>
              <w:rPr>
                <w:rFonts w:hint="eastAsia" w:ascii="宋体" w:hAnsi="宋体" w:cs="宋体"/>
                <w:bCs/>
                <w:color w:val="auto"/>
                <w:szCs w:val="21"/>
                <w:highlight w:val="none"/>
              </w:rPr>
              <w:t>可执行性强，</w:t>
            </w:r>
            <w:r>
              <w:rPr>
                <w:rFonts w:hint="eastAsia" w:ascii="宋体" w:hAnsi="宋体" w:cs="宋体"/>
                <w:color w:val="auto"/>
                <w:kern w:val="0"/>
                <w:szCs w:val="21"/>
                <w:highlight w:val="none"/>
              </w:rPr>
              <w:t>对于项目实施有积极推进意义的得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14:paraId="09C33DD8">
            <w:pPr>
              <w:wordWrap w:val="0"/>
              <w:spacing w:line="330" w:lineRule="exact"/>
              <w:jc w:val="left"/>
              <w:rPr>
                <w:rFonts w:hint="eastAsia" w:ascii="宋体" w:hAnsi="宋体" w:cs="宋体"/>
                <w:color w:val="auto"/>
                <w:kern w:val="0"/>
                <w:szCs w:val="21"/>
                <w:highlight w:val="none"/>
              </w:rPr>
            </w:pPr>
            <w:r>
              <w:rPr>
                <w:rFonts w:hint="eastAsia" w:ascii="宋体" w:hAnsi="宋体" w:cs="宋体"/>
                <w:bCs/>
                <w:color w:val="auto"/>
                <w:szCs w:val="21"/>
                <w:highlight w:val="none"/>
              </w:rPr>
              <w:t>②</w:t>
            </w:r>
            <w:r>
              <w:rPr>
                <w:rFonts w:hint="eastAsia" w:ascii="宋体" w:hAnsi="宋体" w:cs="宋体"/>
                <w:color w:val="auto"/>
                <w:kern w:val="0"/>
                <w:szCs w:val="21"/>
                <w:highlight w:val="none"/>
              </w:rPr>
              <w:t>服务承诺内容基本符合项目实际，</w:t>
            </w:r>
            <w:r>
              <w:rPr>
                <w:rFonts w:hint="eastAsia" w:ascii="宋体" w:hAnsi="宋体" w:cs="宋体"/>
                <w:bCs/>
                <w:color w:val="auto"/>
                <w:szCs w:val="21"/>
                <w:highlight w:val="none"/>
              </w:rPr>
              <w:t>可执行性较强，</w:t>
            </w:r>
            <w:r>
              <w:rPr>
                <w:rFonts w:hint="eastAsia" w:ascii="宋体" w:hAnsi="宋体" w:cs="宋体"/>
                <w:color w:val="auto"/>
                <w:kern w:val="0"/>
                <w:szCs w:val="21"/>
                <w:highlight w:val="none"/>
              </w:rPr>
              <w:t>对于项目实施有一定推进意义的得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528F7CB2">
            <w:pPr>
              <w:wordWrap w:val="0"/>
              <w:spacing w:line="330" w:lineRule="exact"/>
              <w:jc w:val="left"/>
              <w:rPr>
                <w:rFonts w:hint="eastAsia" w:ascii="宋体" w:hAnsi="宋体" w:cs="宋体"/>
                <w:color w:val="auto"/>
                <w:kern w:val="0"/>
                <w:szCs w:val="21"/>
                <w:highlight w:val="none"/>
              </w:rPr>
            </w:pPr>
            <w:r>
              <w:rPr>
                <w:rFonts w:hint="eastAsia" w:ascii="宋体" w:hAnsi="宋体" w:cs="宋体"/>
                <w:bCs/>
                <w:color w:val="auto"/>
                <w:szCs w:val="21"/>
                <w:highlight w:val="none"/>
              </w:rPr>
              <w:t>③</w:t>
            </w:r>
            <w:r>
              <w:rPr>
                <w:rFonts w:hint="eastAsia" w:ascii="宋体" w:hAnsi="宋体" w:cs="宋体"/>
                <w:color w:val="auto"/>
                <w:kern w:val="0"/>
                <w:szCs w:val="21"/>
                <w:highlight w:val="none"/>
              </w:rPr>
              <w:t>服务承诺内容简单笼统与项目实际存在较大差距，对于项目实施缺乏推进意义的得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5CD6FDF9">
            <w:pPr>
              <w:spacing w:line="34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④未提供相关内容的不得分。</w:t>
            </w:r>
          </w:p>
        </w:tc>
        <w:tc>
          <w:tcPr>
            <w:tcW w:w="616"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5CBB85EE">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1" w:type="dxa"/>
            <w:tcBorders>
              <w:top w:val="single" w:color="auto" w:sz="4" w:space="0"/>
              <w:left w:val="single" w:color="auto" w:sz="4" w:space="0"/>
              <w:right w:val="single" w:color="auto" w:sz="2" w:space="0"/>
            </w:tcBorders>
            <w:shd w:val="clear" w:color="auto" w:fill="auto"/>
            <w:noWrap w:val="0"/>
            <w:vAlign w:val="center"/>
          </w:tcPr>
          <w:p w14:paraId="744C4EBB">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主观评审</w:t>
            </w:r>
          </w:p>
        </w:tc>
      </w:tr>
      <w:tr w14:paraId="31E6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70" w:type="dxa"/>
            <w:vMerge w:val="continue"/>
            <w:tcBorders>
              <w:left w:val="single" w:color="auto" w:sz="4" w:space="0"/>
              <w:right w:val="single" w:color="auto" w:sz="2" w:space="0"/>
            </w:tcBorders>
            <w:noWrap w:val="0"/>
            <w:vAlign w:val="center"/>
          </w:tcPr>
          <w:p w14:paraId="55925E91">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693926C3">
            <w:pPr>
              <w:wordWrap w:val="0"/>
              <w:spacing w:line="330" w:lineRule="exact"/>
              <w:rPr>
                <w:rFonts w:hint="eastAsia" w:ascii="宋体" w:hAnsi="宋体" w:cs="宋体"/>
                <w:color w:val="auto"/>
                <w:szCs w:val="21"/>
                <w:highlight w:val="none"/>
              </w:rPr>
            </w:pPr>
            <w:r>
              <w:rPr>
                <w:rFonts w:hint="eastAsia" w:ascii="宋体" w:hAnsi="宋体" w:eastAsia="宋体" w:cs="宋体"/>
                <w:bCs/>
                <w:color w:val="auto"/>
                <w:szCs w:val="21"/>
                <w:highlight w:val="none"/>
                <w:lang w:val="en-US" w:eastAsia="zh-CN"/>
              </w:rPr>
              <w:t>项目负责人</w:t>
            </w:r>
          </w:p>
        </w:tc>
        <w:tc>
          <w:tcPr>
            <w:tcW w:w="6442" w:type="dxa"/>
            <w:gridSpan w:val="2"/>
            <w:tcBorders>
              <w:top w:val="single" w:color="auto" w:sz="4" w:space="0"/>
              <w:left w:val="single" w:color="auto" w:sz="4" w:space="0"/>
              <w:right w:val="single" w:color="auto" w:sz="2" w:space="0"/>
            </w:tcBorders>
            <w:noWrap w:val="0"/>
            <w:vAlign w:val="center"/>
          </w:tcPr>
          <w:p w14:paraId="0A62948E">
            <w:pPr>
              <w:wordWrap w:val="0"/>
              <w:spacing w:line="33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val="zh-CN" w:eastAsia="zh-CN"/>
              </w:rPr>
              <w:t>拟派项目负责人</w:t>
            </w:r>
            <w:r>
              <w:rPr>
                <w:rFonts w:hint="eastAsia" w:asciiTheme="minorEastAsia" w:hAnsiTheme="minorEastAsia" w:eastAsiaTheme="minorEastAsia" w:cstheme="minorEastAsia"/>
                <w:sz w:val="21"/>
                <w:szCs w:val="21"/>
                <w:highlight w:val="none"/>
              </w:rPr>
              <w:t>具备信息系统项目管理师证书、网络工程师证书，每具有1 个证书得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分，满分</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14:paraId="58AA6CE5">
            <w:pPr>
              <w:wordWrap w:val="0"/>
              <w:spacing w:line="330" w:lineRule="exact"/>
              <w:rPr>
                <w:rFonts w:hint="eastAsia" w:ascii="宋体" w:hAnsi="宋体" w:cs="宋体"/>
                <w:bCs/>
                <w:color w:val="auto"/>
                <w:szCs w:val="21"/>
                <w:highlight w:val="none"/>
              </w:rPr>
            </w:pPr>
            <w:r>
              <w:rPr>
                <w:rFonts w:hint="eastAsia" w:ascii="宋体" w:hAnsi="宋体" w:eastAsia="宋体" w:cs="宋体"/>
                <w:bCs/>
                <w:color w:val="auto"/>
                <w:szCs w:val="21"/>
                <w:highlight w:val="none"/>
              </w:rPr>
              <w:t>（提供证书</w:t>
            </w:r>
            <w:r>
              <w:rPr>
                <w:rFonts w:hint="eastAsia" w:ascii="宋体" w:hAnsi="宋体" w:eastAsia="宋体" w:cs="宋体"/>
                <w:bCs/>
                <w:color w:val="auto"/>
                <w:szCs w:val="21"/>
                <w:highlight w:val="none"/>
                <w:lang w:val="zh-CN" w:eastAsia="zh-CN"/>
              </w:rPr>
              <w:t>原件扫描件</w:t>
            </w:r>
            <w:r>
              <w:rPr>
                <w:rFonts w:hint="eastAsia" w:ascii="宋体" w:hAnsi="宋体" w:eastAsia="宋体" w:cs="宋体"/>
                <w:bCs/>
                <w:color w:val="auto"/>
                <w:szCs w:val="21"/>
                <w:highlight w:val="none"/>
              </w:rPr>
              <w:t>加盖公章及投标人</w:t>
            </w:r>
            <w:r>
              <w:rPr>
                <w:rFonts w:hint="eastAsia" w:ascii="宋体" w:hAnsi="宋体" w:eastAsia="宋体" w:cs="宋体"/>
                <w:bCs/>
                <w:color w:val="auto"/>
                <w:szCs w:val="21"/>
                <w:highlight w:val="none"/>
                <w:lang w:val="en-US" w:eastAsia="zh-CN"/>
              </w:rPr>
              <w:t>为其</w:t>
            </w:r>
            <w:r>
              <w:rPr>
                <w:rFonts w:hint="eastAsia" w:ascii="宋体" w:hAnsi="宋体" w:eastAsia="宋体" w:cs="宋体"/>
                <w:bCs/>
                <w:color w:val="auto"/>
                <w:szCs w:val="21"/>
                <w:highlight w:val="none"/>
              </w:rPr>
              <w:t>缴纳的最近</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个月连续社保证明）</w:t>
            </w:r>
          </w:p>
        </w:tc>
        <w:tc>
          <w:tcPr>
            <w:tcW w:w="616" w:type="dxa"/>
            <w:tcBorders>
              <w:top w:val="single" w:color="auto" w:sz="4" w:space="0"/>
              <w:left w:val="single" w:color="auto" w:sz="4" w:space="0"/>
              <w:right w:val="single" w:color="auto" w:sz="2" w:space="0"/>
            </w:tcBorders>
            <w:noWrap w:val="0"/>
            <w:vAlign w:val="center"/>
          </w:tcPr>
          <w:p w14:paraId="0E2FD57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13A465E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46B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70" w:type="dxa"/>
            <w:vMerge w:val="continue"/>
            <w:tcBorders>
              <w:left w:val="single" w:color="auto" w:sz="4" w:space="0"/>
              <w:right w:val="single" w:color="auto" w:sz="2" w:space="0"/>
            </w:tcBorders>
            <w:noWrap w:val="0"/>
            <w:vAlign w:val="center"/>
          </w:tcPr>
          <w:p w14:paraId="64A898BA">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4E250920">
            <w:pPr>
              <w:wordWrap w:val="0"/>
              <w:spacing w:line="330" w:lineRule="exac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项目团队</w:t>
            </w:r>
          </w:p>
        </w:tc>
        <w:tc>
          <w:tcPr>
            <w:tcW w:w="6442" w:type="dxa"/>
            <w:gridSpan w:val="2"/>
            <w:tcBorders>
              <w:top w:val="single" w:color="auto" w:sz="4" w:space="0"/>
              <w:left w:val="single" w:color="auto" w:sz="4" w:space="0"/>
              <w:right w:val="single" w:color="auto" w:sz="2" w:space="0"/>
            </w:tcBorders>
            <w:noWrap w:val="0"/>
            <w:vAlign w:val="center"/>
          </w:tcPr>
          <w:p w14:paraId="0C436598">
            <w:pPr>
              <w:wordWrap w:val="0"/>
              <w:spacing w:line="33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项目团队具有网络规划设计师（高级）、数据安全工程师(高级)证书、信息安全工程师的，每个得1分；本项最多得3分（若1人同时具有多类证书，只能按其中一类证书计算其得分）；</w:t>
            </w:r>
          </w:p>
          <w:p w14:paraId="01254F31">
            <w:pPr>
              <w:wordWrap w:val="0"/>
              <w:spacing w:line="33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eastAsia="zh-CN"/>
              </w:rPr>
              <w:t>证明材料：需提供上述人员证书原件扫描件</w:t>
            </w:r>
            <w:r>
              <w:rPr>
                <w:rFonts w:hint="eastAsia" w:ascii="宋体" w:hAnsi="宋体" w:eastAsia="宋体" w:cs="宋体"/>
                <w:bCs/>
                <w:color w:val="auto"/>
                <w:szCs w:val="21"/>
                <w:highlight w:val="none"/>
              </w:rPr>
              <w:t>加盖公章</w:t>
            </w:r>
            <w:r>
              <w:rPr>
                <w:rFonts w:hint="eastAsia" w:ascii="宋体" w:hAnsi="宋体" w:eastAsia="宋体" w:cs="宋体"/>
                <w:bCs/>
                <w:color w:val="auto"/>
                <w:szCs w:val="21"/>
                <w:highlight w:val="none"/>
                <w:lang w:val="zh-CN" w:eastAsia="zh-CN"/>
              </w:rPr>
              <w:t>，同时提供近3个月投标人为其缴费社会保险证明。</w:t>
            </w:r>
          </w:p>
        </w:tc>
        <w:tc>
          <w:tcPr>
            <w:tcW w:w="616" w:type="dxa"/>
            <w:tcBorders>
              <w:top w:val="single" w:color="auto" w:sz="4" w:space="0"/>
              <w:left w:val="single" w:color="auto" w:sz="4" w:space="0"/>
              <w:right w:val="single" w:color="auto" w:sz="2" w:space="0"/>
            </w:tcBorders>
            <w:noWrap w:val="0"/>
            <w:vAlign w:val="center"/>
          </w:tcPr>
          <w:p w14:paraId="1A51BD4A">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6B28488B">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71DE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70" w:type="dxa"/>
            <w:vMerge w:val="continue"/>
            <w:tcBorders>
              <w:left w:val="single" w:color="auto" w:sz="4" w:space="0"/>
              <w:right w:val="single" w:color="auto" w:sz="2" w:space="0"/>
            </w:tcBorders>
            <w:noWrap w:val="0"/>
            <w:vAlign w:val="center"/>
          </w:tcPr>
          <w:p w14:paraId="5AF394FE">
            <w:pPr>
              <w:widowControl/>
              <w:spacing w:line="360" w:lineRule="exact"/>
              <w:jc w:val="center"/>
              <w:rPr>
                <w:rFonts w:hint="eastAsia" w:ascii="宋体" w:hAnsi="宋体" w:cs="宋体"/>
                <w:snapToGrid w:val="0"/>
                <w:color w:val="auto"/>
                <w:spacing w:val="-4"/>
                <w:szCs w:val="21"/>
                <w:highlight w:val="none"/>
              </w:rPr>
            </w:pPr>
          </w:p>
        </w:tc>
        <w:tc>
          <w:tcPr>
            <w:tcW w:w="716" w:type="dxa"/>
            <w:tcBorders>
              <w:left w:val="single" w:color="auto" w:sz="4" w:space="0"/>
              <w:right w:val="single" w:color="auto" w:sz="4" w:space="0"/>
            </w:tcBorders>
            <w:noWrap w:val="0"/>
            <w:vAlign w:val="center"/>
          </w:tcPr>
          <w:p w14:paraId="6E7BD5A5">
            <w:pPr>
              <w:pStyle w:val="256"/>
              <w:ind w:left="0" w:leftChars="0" w:firstLine="0" w:firstLineChars="0"/>
              <w:rPr>
                <w:rFonts w:hint="eastAsia" w:ascii="宋体" w:hAnsi="宋体" w:cs="宋体"/>
                <w:color w:val="auto"/>
                <w:szCs w:val="21"/>
                <w:highlight w:val="none"/>
              </w:rPr>
            </w:pPr>
            <w:r>
              <w:rPr>
                <w:rFonts w:hint="eastAsia" w:ascii="Times New Roman" w:hAnsi="宋体" w:eastAsia="宋体" w:cs="宋体"/>
                <w:kern w:val="2"/>
                <w:sz w:val="21"/>
                <w:highlight w:val="none"/>
              </w:rPr>
              <w:t>认证证书</w:t>
            </w:r>
          </w:p>
        </w:tc>
        <w:tc>
          <w:tcPr>
            <w:tcW w:w="6442" w:type="dxa"/>
            <w:gridSpan w:val="2"/>
            <w:tcBorders>
              <w:top w:val="single" w:color="auto" w:sz="4" w:space="0"/>
              <w:left w:val="single" w:color="auto" w:sz="4" w:space="0"/>
              <w:right w:val="single" w:color="auto" w:sz="2" w:space="0"/>
            </w:tcBorders>
            <w:noWrap w:val="0"/>
            <w:vAlign w:val="center"/>
          </w:tcPr>
          <w:p w14:paraId="63F223F4">
            <w:pPr>
              <w:adjustRightInd/>
              <w:spacing w:line="360" w:lineRule="exact"/>
              <w:rPr>
                <w:rFonts w:hint="eastAsia" w:ascii="宋体" w:hAnsi="宋体" w:cs="宋体"/>
                <w:bCs/>
                <w:color w:val="auto"/>
                <w:szCs w:val="21"/>
                <w:highlight w:val="none"/>
              </w:rPr>
            </w:pPr>
            <w:r>
              <w:rPr>
                <w:rFonts w:hint="eastAsia" w:ascii="宋体" w:hAnsi="宋体" w:cs="宋体"/>
                <w:bCs/>
                <w:szCs w:val="21"/>
                <w:highlight w:val="none"/>
              </w:rPr>
              <w:t>投标人具有有效质量管理体系认证、环境管理体系认证、职业健康安全管理体系认证每个得</w:t>
            </w:r>
            <w:r>
              <w:rPr>
                <w:rFonts w:hint="eastAsia" w:ascii="宋体" w:hAnsi="宋体" w:cs="宋体"/>
                <w:bCs/>
                <w:szCs w:val="21"/>
                <w:highlight w:val="none"/>
                <w:lang w:val="en-US" w:eastAsia="zh-CN"/>
              </w:rPr>
              <w:t>2</w:t>
            </w:r>
            <w:r>
              <w:rPr>
                <w:rFonts w:hint="eastAsia" w:ascii="宋体" w:hAnsi="宋体" w:cs="宋体"/>
                <w:bCs/>
                <w:szCs w:val="21"/>
                <w:highlight w:val="none"/>
              </w:rPr>
              <w:t>分，共6分。投标文件中提供相关证书扫描件。</w:t>
            </w:r>
          </w:p>
        </w:tc>
        <w:tc>
          <w:tcPr>
            <w:tcW w:w="616" w:type="dxa"/>
            <w:tcBorders>
              <w:top w:val="single" w:color="auto" w:sz="4" w:space="0"/>
              <w:left w:val="single" w:color="auto" w:sz="4" w:space="0"/>
              <w:right w:val="single" w:color="auto" w:sz="2" w:space="0"/>
            </w:tcBorders>
            <w:noWrap w:val="0"/>
            <w:vAlign w:val="center"/>
          </w:tcPr>
          <w:p w14:paraId="5FB1CF85">
            <w:pPr>
              <w:widowControl/>
              <w:spacing w:line="300" w:lineRule="exact"/>
              <w:jc w:val="center"/>
              <w:rPr>
                <w:rFonts w:hint="eastAsia" w:ascii="宋体" w:hAnsi="宋体" w:cs="宋体"/>
                <w:color w:val="auto"/>
                <w:szCs w:val="21"/>
                <w:highlight w:val="none"/>
                <w:lang w:val="en-US" w:eastAsia="zh-CN"/>
              </w:rPr>
            </w:pPr>
            <w:r>
              <w:rPr>
                <w:rStyle w:val="471"/>
                <w:rFonts w:hint="eastAsia" w:ascii="宋体" w:hAnsi="宋体"/>
                <w:sz w:val="21"/>
                <w:szCs w:val="21"/>
                <w:highlight w:val="none"/>
              </w:rPr>
              <w:t>6分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7CEDB5A9">
            <w:pPr>
              <w:widowControl/>
              <w:spacing w:line="300" w:lineRule="exact"/>
              <w:jc w:val="center"/>
              <w:rPr>
                <w:rFonts w:hint="eastAsia" w:ascii="宋体" w:hAnsi="宋体" w:cs="宋体"/>
                <w:color w:val="auto"/>
                <w:szCs w:val="21"/>
                <w:highlight w:val="none"/>
              </w:rPr>
            </w:pPr>
            <w:r>
              <w:rPr>
                <w:rStyle w:val="471"/>
                <w:rFonts w:hint="eastAsia" w:ascii="宋体" w:hAnsi="宋体"/>
                <w:sz w:val="21"/>
                <w:szCs w:val="21"/>
                <w:highlight w:val="none"/>
              </w:rPr>
              <w:t>客观评审</w:t>
            </w:r>
          </w:p>
        </w:tc>
      </w:tr>
      <w:tr w14:paraId="6A5A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Borders>
              <w:left w:val="single" w:color="auto" w:sz="4" w:space="0"/>
              <w:right w:val="single" w:color="auto" w:sz="2" w:space="0"/>
            </w:tcBorders>
            <w:noWrap w:val="0"/>
            <w:vAlign w:val="center"/>
          </w:tcPr>
          <w:p w14:paraId="0614C60B">
            <w:pPr>
              <w:spacing w:line="360" w:lineRule="exact"/>
              <w:rPr>
                <w:rFonts w:hint="eastAsia" w:ascii="宋体" w:hAnsi="宋体" w:cs="宋体"/>
                <w:snapToGrid w:val="0"/>
                <w:color w:val="auto"/>
                <w:spacing w:val="-4"/>
                <w:szCs w:val="21"/>
                <w:highlight w:val="none"/>
              </w:rPr>
            </w:pPr>
          </w:p>
        </w:tc>
        <w:tc>
          <w:tcPr>
            <w:tcW w:w="716" w:type="dxa"/>
            <w:tcBorders>
              <w:top w:val="single" w:color="auto" w:sz="4" w:space="0"/>
              <w:left w:val="single" w:color="auto" w:sz="4" w:space="0"/>
              <w:right w:val="single" w:color="auto" w:sz="4" w:space="0"/>
            </w:tcBorders>
            <w:noWrap w:val="0"/>
            <w:vAlign w:val="center"/>
          </w:tcPr>
          <w:p w14:paraId="0BE3E476">
            <w:pPr>
              <w:spacing w:line="360" w:lineRule="exact"/>
              <w:rPr>
                <w:rFonts w:hint="eastAsia" w:ascii="宋体" w:hAnsi="宋体"/>
                <w:color w:val="auto"/>
                <w:szCs w:val="21"/>
                <w:highlight w:val="none"/>
              </w:rPr>
            </w:pPr>
            <w:r>
              <w:rPr>
                <w:rFonts w:hint="eastAsia" w:ascii="宋体" w:hAnsi="宋体"/>
                <w:color w:val="auto"/>
                <w:szCs w:val="21"/>
                <w:highlight w:val="none"/>
              </w:rPr>
              <w:t>类似业绩</w:t>
            </w:r>
          </w:p>
        </w:tc>
        <w:tc>
          <w:tcPr>
            <w:tcW w:w="6442" w:type="dxa"/>
            <w:gridSpan w:val="2"/>
            <w:tcBorders>
              <w:top w:val="single" w:color="auto" w:sz="4" w:space="0"/>
              <w:left w:val="single" w:color="auto" w:sz="4" w:space="0"/>
              <w:right w:val="single" w:color="auto" w:sz="2" w:space="0"/>
            </w:tcBorders>
            <w:noWrap w:val="0"/>
            <w:vAlign w:val="center"/>
          </w:tcPr>
          <w:p w14:paraId="5606C485">
            <w:pPr>
              <w:spacing w:line="360" w:lineRule="exact"/>
              <w:rPr>
                <w:rFonts w:hint="eastAsia" w:ascii="宋体" w:hAnsi="宋体"/>
                <w:color w:val="auto"/>
                <w:szCs w:val="21"/>
                <w:highlight w:val="none"/>
              </w:rPr>
            </w:pPr>
            <w:r>
              <w:rPr>
                <w:rFonts w:hint="eastAsia" w:ascii="宋体" w:hAnsi="宋体"/>
                <w:color w:val="auto"/>
                <w:szCs w:val="21"/>
                <w:highlight w:val="none"/>
              </w:rPr>
              <w:t>自2021年</w:t>
            </w:r>
            <w:r>
              <w:rPr>
                <w:rFonts w:ascii="宋体" w:hAnsi="宋体"/>
                <w:color w:val="auto"/>
                <w:szCs w:val="21"/>
                <w:highlight w:val="none"/>
              </w:rPr>
              <w:t>1</w:t>
            </w:r>
            <w:r>
              <w:rPr>
                <w:rFonts w:hint="eastAsia" w:ascii="宋体" w:hAnsi="宋体"/>
                <w:color w:val="auto"/>
                <w:szCs w:val="21"/>
                <w:highlight w:val="none"/>
              </w:rPr>
              <w:t>月1日（以合同签订时间为准）以来，供应商具有类似项目业绩的，每提供一份有效合同业绩得</w:t>
            </w:r>
            <w:r>
              <w:rPr>
                <w:rFonts w:hint="eastAsia" w:ascii="宋体" w:hAnsi="宋体"/>
                <w:color w:val="auto"/>
                <w:szCs w:val="21"/>
                <w:highlight w:val="none"/>
                <w:lang w:val="en-US" w:eastAsia="zh-CN"/>
              </w:rPr>
              <w:t>1</w:t>
            </w:r>
            <w:r>
              <w:rPr>
                <w:rFonts w:hint="eastAsia" w:ascii="宋体" w:hAnsi="宋体"/>
                <w:color w:val="auto"/>
                <w:szCs w:val="21"/>
                <w:highlight w:val="none"/>
              </w:rPr>
              <w:t>分，本项最高得1分。</w:t>
            </w:r>
          </w:p>
          <w:p w14:paraId="52EBE9FE">
            <w:pPr>
              <w:spacing w:line="360" w:lineRule="exact"/>
              <w:rPr>
                <w:rFonts w:hint="eastAsia" w:ascii="宋体" w:hAnsi="宋体"/>
                <w:color w:val="auto"/>
                <w:szCs w:val="21"/>
                <w:highlight w:val="none"/>
              </w:rPr>
            </w:pPr>
            <w:r>
              <w:rPr>
                <w:rFonts w:hint="eastAsia" w:ascii="宋体" w:hAnsi="宋体"/>
                <w:color w:val="auto"/>
                <w:szCs w:val="21"/>
                <w:highlight w:val="none"/>
              </w:rPr>
              <w:t>注：响应文件中提供合同复印件并加盖公章，未按要求提供的不得分。</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2FA7C3A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05B5F23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333E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right w:val="single" w:color="auto" w:sz="2" w:space="0"/>
            </w:tcBorders>
            <w:noWrap w:val="0"/>
            <w:tcMar>
              <w:top w:w="0" w:type="dxa"/>
              <w:left w:w="0" w:type="dxa"/>
              <w:bottom w:w="0" w:type="dxa"/>
              <w:right w:w="0" w:type="dxa"/>
            </w:tcMar>
            <w:vAlign w:val="center"/>
          </w:tcPr>
          <w:p w14:paraId="3D84230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价格分</w:t>
            </w:r>
          </w:p>
          <w:p w14:paraId="2ACC67F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0分）</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0932E6F4">
            <w:pPr>
              <w:snapToGrid w:val="0"/>
              <w:spacing w:line="300" w:lineRule="auto"/>
              <w:jc w:val="left"/>
              <w:rPr>
                <w:rFonts w:hint="eastAsia" w:ascii="宋体" w:hAnsi="宋体"/>
                <w:color w:val="auto"/>
                <w:highlight w:val="none"/>
              </w:rPr>
            </w:pPr>
            <w:r>
              <w:rPr>
                <w:rFonts w:hint="eastAsia" w:ascii="宋体" w:hAnsi="宋体"/>
                <w:color w:val="auto"/>
                <w:highlight w:val="none"/>
              </w:rPr>
              <w:t>参与评审价格=投标报价-小微企业价格扣除优惠值（如有）</w:t>
            </w:r>
          </w:p>
          <w:p w14:paraId="7A0F4162">
            <w:pPr>
              <w:snapToGrid w:val="0"/>
              <w:spacing w:line="300" w:lineRule="auto"/>
              <w:jc w:val="left"/>
              <w:rPr>
                <w:rFonts w:hint="eastAsia" w:ascii="宋体" w:hAnsi="宋体"/>
                <w:color w:val="auto"/>
                <w:highlight w:val="none"/>
              </w:rPr>
            </w:pPr>
            <w:r>
              <w:rPr>
                <w:rFonts w:ascii="宋体" w:hAnsi="宋体"/>
                <w:color w:val="auto"/>
                <w:highlight w:val="none"/>
              </w:rPr>
              <w:t>满足招标文件要求且</w:t>
            </w:r>
            <w:r>
              <w:rPr>
                <w:rFonts w:hint="eastAsia" w:ascii="宋体" w:hAnsi="宋体"/>
                <w:color w:val="auto"/>
                <w:highlight w:val="none"/>
              </w:rPr>
              <w:t>参与评审价格</w:t>
            </w:r>
            <w:r>
              <w:rPr>
                <w:rFonts w:ascii="宋体" w:hAnsi="宋体"/>
                <w:color w:val="auto"/>
                <w:highlight w:val="none"/>
              </w:rPr>
              <w:t>最低的投标报价为评标基准价，其价格分为满分</w:t>
            </w:r>
            <w:r>
              <w:rPr>
                <w:rFonts w:hint="eastAsia" w:ascii="宋体" w:hAnsi="宋体"/>
                <w:color w:val="auto"/>
                <w:highlight w:val="none"/>
                <w:lang w:val="en-US" w:eastAsia="zh-CN"/>
              </w:rPr>
              <w:t>1</w:t>
            </w:r>
            <w:r>
              <w:rPr>
                <w:rFonts w:ascii="宋体" w:hAnsi="宋体"/>
                <w:color w:val="auto"/>
                <w:highlight w:val="none"/>
              </w:rPr>
              <w:t>0</w:t>
            </w:r>
            <w:r>
              <w:rPr>
                <w:rFonts w:hint="eastAsia" w:ascii="宋体" w:hAnsi="宋体"/>
                <w:color w:val="auto"/>
                <w:highlight w:val="none"/>
              </w:rPr>
              <w:t>分。</w:t>
            </w:r>
            <w:r>
              <w:rPr>
                <w:rFonts w:ascii="宋体" w:hAnsi="宋体"/>
                <w:color w:val="auto"/>
                <w:highlight w:val="none"/>
              </w:rPr>
              <w:t>其他投标人的价格分统一按照下列公式计算：</w:t>
            </w:r>
          </w:p>
          <w:p w14:paraId="7EAA7D5A">
            <w:pPr>
              <w:snapToGrid w:val="0"/>
              <w:spacing w:line="300" w:lineRule="auto"/>
              <w:jc w:val="left"/>
              <w:rPr>
                <w:rFonts w:hint="eastAsia" w:ascii="宋体" w:hAnsi="宋体"/>
                <w:color w:val="auto"/>
                <w:highlight w:val="none"/>
              </w:rPr>
            </w:pPr>
            <w:r>
              <w:rPr>
                <w:rFonts w:hint="eastAsia" w:ascii="宋体" w:hAnsi="宋体"/>
                <w:color w:val="auto"/>
                <w:highlight w:val="none"/>
              </w:rPr>
              <w:t>价格得分=（评标基准价</w:t>
            </w:r>
            <w:r>
              <w:rPr>
                <w:rFonts w:ascii="宋体" w:hAnsi="宋体"/>
                <w:color w:val="auto"/>
                <w:highlight w:val="none"/>
              </w:rPr>
              <w:t>/</w:t>
            </w:r>
            <w:r>
              <w:rPr>
                <w:rFonts w:hint="eastAsia" w:ascii="宋体" w:hAnsi="宋体"/>
                <w:color w:val="auto"/>
                <w:highlight w:val="none"/>
              </w:rPr>
              <w:t>参与评审价格）×</w:t>
            </w:r>
            <w:r>
              <w:rPr>
                <w:rFonts w:hint="eastAsia" w:ascii="宋体" w:hAnsi="宋体"/>
                <w:color w:val="auto"/>
                <w:highlight w:val="none"/>
                <w:lang w:val="en-US" w:eastAsia="zh-CN"/>
              </w:rPr>
              <w:t>1</w:t>
            </w:r>
            <w:r>
              <w:rPr>
                <w:rFonts w:hint="eastAsia" w:ascii="宋体" w:hAnsi="宋体"/>
                <w:color w:val="auto"/>
                <w:highlight w:val="none"/>
              </w:rPr>
              <w:t>0％×100</w:t>
            </w:r>
          </w:p>
          <w:p w14:paraId="2CD1BB06">
            <w:pPr>
              <w:spacing w:line="360" w:lineRule="exact"/>
              <w:rPr>
                <w:rFonts w:hint="eastAsia" w:ascii="宋体" w:hAnsi="宋体" w:cs="宋体"/>
                <w:bCs/>
                <w:color w:val="auto"/>
                <w:szCs w:val="21"/>
                <w:highlight w:val="none"/>
              </w:rPr>
            </w:pPr>
            <w:r>
              <w:rPr>
                <w:rFonts w:hint="eastAsia" w:ascii="宋体" w:hAnsi="宋体"/>
                <w:color w:val="auto"/>
                <w:highlight w:val="none"/>
              </w:rPr>
              <w:t>（计算结果四舍五入，保留小数点后2位）</w:t>
            </w:r>
          </w:p>
        </w:tc>
        <w:tc>
          <w:tcPr>
            <w:tcW w:w="616" w:type="dxa"/>
            <w:tcBorders>
              <w:top w:val="single" w:color="auto" w:sz="4" w:space="0"/>
              <w:left w:val="single" w:color="auto" w:sz="4" w:space="0"/>
              <w:bottom w:val="single" w:color="auto" w:sz="4" w:space="0"/>
              <w:right w:val="single" w:color="auto" w:sz="2" w:space="0"/>
            </w:tcBorders>
            <w:noWrap w:val="0"/>
            <w:vAlign w:val="center"/>
          </w:tcPr>
          <w:p w14:paraId="140C14F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771" w:type="dxa"/>
            <w:tcBorders>
              <w:top w:val="single" w:color="auto" w:sz="4" w:space="0"/>
              <w:left w:val="single" w:color="auto" w:sz="4" w:space="0"/>
              <w:bottom w:val="single" w:color="auto" w:sz="4" w:space="0"/>
              <w:right w:val="single" w:color="auto" w:sz="2" w:space="0"/>
            </w:tcBorders>
            <w:noWrap w:val="0"/>
            <w:vAlign w:val="center"/>
          </w:tcPr>
          <w:p w14:paraId="04A1891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bl>
    <w:p w14:paraId="228F7585">
      <w:pPr>
        <w:adjustRightInd/>
        <w:spacing w:line="360" w:lineRule="auto"/>
        <w:rPr>
          <w:rFonts w:hint="eastAsia" w:cs="Arial" w:asciiTheme="minorEastAsia" w:hAnsiTheme="minorEastAsia" w:eastAsiaTheme="minorEastAsia"/>
          <w:b/>
          <w:kern w:val="0"/>
          <w:szCs w:val="21"/>
          <w:highlight w:val="none"/>
        </w:rPr>
      </w:pPr>
    </w:p>
    <w:p w14:paraId="409FDF75">
      <w:pPr>
        <w:adjustRightInd/>
        <w:spacing w:line="360" w:lineRule="auto"/>
        <w:rPr>
          <w:rFonts w:hint="eastAsia" w:cs="Arial" w:asciiTheme="minorEastAsia" w:hAnsiTheme="minorEastAsia" w:eastAsiaTheme="minorEastAsia"/>
          <w:b/>
          <w:kern w:val="0"/>
          <w:szCs w:val="21"/>
          <w:highlight w:val="none"/>
        </w:rPr>
      </w:pPr>
      <w:r>
        <w:rPr>
          <w:rFonts w:hint="eastAsia" w:cs="Arial" w:asciiTheme="minorEastAsia" w:hAnsiTheme="minorEastAsia" w:eastAsiaTheme="minorEastAsia"/>
          <w:b/>
          <w:kern w:val="0"/>
          <w:szCs w:val="21"/>
          <w:highlight w:val="none"/>
        </w:rPr>
        <w:t>注：1、供应商编制响应文件时，建议按此目录（序号和内容）提供评审标准相应的商务技术资料。2、小数点后保留二位数。3、各磋商小组成员独立按以上评审分值范围评分。4、重大事件由磋商小组集体讨论，应当按照少数服从多数的原则作出结论。</w:t>
      </w:r>
    </w:p>
    <w:p w14:paraId="504C5156">
      <w:pPr>
        <w:pStyle w:val="396"/>
        <w:spacing w:before="0"/>
        <w:ind w:firstLine="643"/>
        <w:jc w:val="center"/>
        <w:rPr>
          <w:rFonts w:hint="eastAsia"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1AD9352C">
      <w:pPr>
        <w:adjustRightInd/>
        <w:spacing w:line="360" w:lineRule="auto"/>
        <w:rPr>
          <w:rFonts w:hint="eastAsia" w:cs="Arial" w:asciiTheme="minorEastAsia" w:hAnsiTheme="minorEastAsia" w:eastAsiaTheme="minorEastAsia"/>
          <w:kern w:val="0"/>
          <w:szCs w:val="21"/>
          <w:highlight w:val="none"/>
        </w:rPr>
      </w:pPr>
      <w:r>
        <w:rPr>
          <w:rFonts w:hint="eastAsia" w:cs="Arial" w:asciiTheme="minorEastAsia" w:hAnsiTheme="minorEastAsia" w:eastAsiaTheme="minorEastAsia"/>
          <w:b/>
          <w:kern w:val="0"/>
          <w:szCs w:val="21"/>
          <w:highlight w:val="none"/>
        </w:rPr>
        <w:t>1.综合评分法。</w:t>
      </w:r>
      <w:r>
        <w:rPr>
          <w:rFonts w:hint="eastAsia" w:cs="Arial" w:asciiTheme="minorEastAsia" w:hAnsiTheme="minorEastAsia" w:eastAsiaTheme="minorEastAsia"/>
          <w:kern w:val="0"/>
          <w:szCs w:val="21"/>
          <w:highlight w:val="none"/>
        </w:rPr>
        <w:t>综合评分法，是指响应文件满足磋商文件全部实质性要求，且按照评审因素的量化指标评审得分最高的供应商为成交候选人的评审方法。</w:t>
      </w:r>
    </w:p>
    <w:p w14:paraId="19D9A62A">
      <w:pPr>
        <w:snapToGrid w:val="0"/>
        <w:spacing w:line="360" w:lineRule="auto"/>
        <w:ind w:left="120" w:leftChars="57" w:firstLine="422" w:firstLineChars="150"/>
        <w:jc w:val="center"/>
        <w:rPr>
          <w:rFonts w:hint="eastAsia"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4DC8502E">
      <w:pPr>
        <w:pStyle w:val="396"/>
        <w:spacing w:before="0"/>
        <w:ind w:firstLine="0" w:firstLineChars="0"/>
        <w:rPr>
          <w:rFonts w:hint="eastAsia" w:cs="Arial" w:asciiTheme="minorEastAsia" w:hAnsiTheme="minorEastAsia" w:eastAsiaTheme="minorEastAsia"/>
          <w:b/>
          <w:kern w:val="0"/>
          <w:sz w:val="21"/>
          <w:szCs w:val="21"/>
          <w:highlight w:val="none"/>
        </w:rPr>
      </w:pPr>
      <w:r>
        <w:rPr>
          <w:rFonts w:hint="eastAsia" w:cs="Arial" w:asciiTheme="minorEastAsia" w:hAnsiTheme="minorEastAsia" w:eastAsiaTheme="minorEastAsia"/>
          <w:b/>
          <w:kern w:val="0"/>
          <w:sz w:val="21"/>
          <w:szCs w:val="21"/>
          <w:highlight w:val="none"/>
        </w:rPr>
        <w:t>1.磋商小组的组成。</w:t>
      </w:r>
    </w:p>
    <w:p w14:paraId="18B8D406">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5AA9F75">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B40499">
      <w:pPr>
        <w:snapToGrid w:val="0"/>
        <w:spacing w:line="360" w:lineRule="auto"/>
        <w:rPr>
          <w:rFonts w:hint="eastAsia" w:cs="Arial" w:asciiTheme="minorEastAsia" w:hAnsiTheme="minorEastAsia" w:eastAsiaTheme="minorEastAsia"/>
          <w:b/>
          <w:kern w:val="0"/>
          <w:szCs w:val="21"/>
          <w:highlight w:val="none"/>
        </w:rPr>
      </w:pPr>
      <w:r>
        <w:rPr>
          <w:rFonts w:hint="eastAsia" w:cs="Arial" w:asciiTheme="minorEastAsia" w:hAnsiTheme="minorEastAsia" w:eastAsiaTheme="minorEastAsia"/>
          <w:b/>
          <w:kern w:val="0"/>
          <w:szCs w:val="21"/>
          <w:highlight w:val="none"/>
        </w:rPr>
        <w:t>2.磋商小组的组成人员的回避。</w:t>
      </w:r>
    </w:p>
    <w:p w14:paraId="7E214B27">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在政府采购活动中，磋商小组的组成人员与供应商有下列利害关系之一的，应当回避：</w:t>
      </w:r>
    </w:p>
    <w:p w14:paraId="5E4D14D2">
      <w:pPr>
        <w:pStyle w:val="396"/>
        <w:spacing w:before="0"/>
        <w:ind w:firstLine="0"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　　2.1参加采购活动前3年内与供应商存在劳动关系；</w:t>
      </w:r>
    </w:p>
    <w:p w14:paraId="4E24ADA8">
      <w:pPr>
        <w:pStyle w:val="396"/>
        <w:spacing w:before="0"/>
        <w:ind w:firstLine="0"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　　2.2参加采购活动前3年内担任供应商的董事、监事；</w:t>
      </w:r>
    </w:p>
    <w:p w14:paraId="7026D90D">
      <w:pPr>
        <w:pStyle w:val="396"/>
        <w:spacing w:before="0"/>
        <w:ind w:firstLine="0"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　　2.3参加采购活动前3年内是供应商的控股股东或者实际控制人；</w:t>
      </w:r>
    </w:p>
    <w:p w14:paraId="1D61AB74">
      <w:pPr>
        <w:pStyle w:val="396"/>
        <w:spacing w:before="0"/>
        <w:ind w:firstLine="480" w:firstLineChars="0"/>
        <w:rPr>
          <w:rFonts w:hint="eastAsia"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2.4与供应商的法定代表人或者负责人有夫妻、直系血亲、三代以内旁系血亲或者近姻亲关系；</w:t>
      </w:r>
    </w:p>
    <w:p w14:paraId="46FB51FD">
      <w:pPr>
        <w:pStyle w:val="396"/>
        <w:spacing w:before="0"/>
        <w:ind w:firstLine="480" w:firstLineChars="0"/>
        <w:rPr>
          <w:rFonts w:hint="eastAsia" w:cs="Arial" w:asciiTheme="minorEastAsia" w:hAnsiTheme="minorEastAsia" w:eastAsiaTheme="minorEastAsia"/>
          <w:kern w:val="0"/>
          <w:highlight w:val="none"/>
        </w:rPr>
      </w:pPr>
      <w:r>
        <w:rPr>
          <w:rFonts w:hint="eastAsia" w:cs="Arial" w:asciiTheme="minorEastAsia" w:hAnsiTheme="minorEastAsia" w:eastAsiaTheme="minorEastAsia"/>
          <w:kern w:val="0"/>
          <w:sz w:val="21"/>
          <w:szCs w:val="21"/>
          <w:highlight w:val="none"/>
        </w:rPr>
        <w:t>2.5与供应商有其他可能影响政府采购活动公平、公正进行的关系。</w:t>
      </w:r>
    </w:p>
    <w:p w14:paraId="32853060">
      <w:pPr>
        <w:snapToGrid w:val="0"/>
        <w:spacing w:line="360" w:lineRule="auto"/>
        <w:ind w:left="120" w:leftChars="57" w:firstLine="482" w:firstLineChars="150"/>
        <w:jc w:val="center"/>
        <w:rPr>
          <w:rFonts w:hint="eastAsia"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A9DA812">
      <w:pPr>
        <w:pStyle w:val="396"/>
        <w:spacing w:before="0"/>
        <w:ind w:firstLine="0" w:firstLineChars="0"/>
        <w:rPr>
          <w:rFonts w:hint="eastAsia" w:cs="Arial" w:asciiTheme="minorEastAsia" w:hAnsiTheme="minorEastAsia" w:eastAsiaTheme="minorEastAsia"/>
          <w:b/>
          <w:kern w:val="0"/>
          <w:sz w:val="21"/>
          <w:szCs w:val="21"/>
          <w:highlight w:val="none"/>
        </w:rPr>
      </w:pPr>
      <w:r>
        <w:rPr>
          <w:rFonts w:hint="eastAsia" w:cs="Arial" w:asciiTheme="minorEastAsia" w:hAnsiTheme="minorEastAsia" w:eastAsiaTheme="minorEastAsia"/>
          <w:b/>
          <w:kern w:val="0"/>
          <w:sz w:val="21"/>
          <w:szCs w:val="21"/>
          <w:highlight w:val="none"/>
        </w:rPr>
        <w:t>1.磋商小组负责具体评审事务，并独立履行下列职责：</w:t>
      </w:r>
    </w:p>
    <w:p w14:paraId="4D45822C">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1.1对响应文件的有效性、完整性和响应程度进行审查；</w:t>
      </w:r>
    </w:p>
    <w:p w14:paraId="7E9F9E55">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1.2审查、评价响应文件是否符合磋商文件的商务、技术等实质性要求；</w:t>
      </w:r>
    </w:p>
    <w:p w14:paraId="4C8A269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1.3要求供应商对响应文件有关事项作出澄清、说明或者更正；</w:t>
      </w:r>
    </w:p>
    <w:p w14:paraId="6AF7C85F">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1.4磋商小组集中与单一供应商分别进行磋商；</w:t>
      </w:r>
    </w:p>
    <w:p w14:paraId="3ECEC9F7">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1.5确定磋商文件的变动情况，并确定提交最后报价的供应商；</w:t>
      </w:r>
    </w:p>
    <w:p w14:paraId="1E26E07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1.6根据磋商文件确定的评审办法及评审标准对提交最后报价的供应商的响应文件和最后报价采用综合评分法进行综合评分；</w:t>
      </w:r>
    </w:p>
    <w:p w14:paraId="547E5055">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1.7编制评审报告，确定成交候选人名单，以及根据采购人委托直接确定成交人；</w:t>
      </w:r>
    </w:p>
    <w:p w14:paraId="0CDCA692">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1.8向采购人、采购代理机构或者有关部门报告评审中发现的违法行为；</w:t>
      </w:r>
    </w:p>
    <w:p w14:paraId="07EEF2C7">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1.9法律、法规、规章、磋商文件等规定的其它事项。</w:t>
      </w:r>
    </w:p>
    <w:p w14:paraId="74E4778F">
      <w:pPr>
        <w:pStyle w:val="396"/>
        <w:spacing w:before="0"/>
        <w:ind w:firstLine="0" w:firstLineChars="0"/>
        <w:rPr>
          <w:rFonts w:hint="eastAsia" w:cs="Arial" w:asciiTheme="minorEastAsia" w:hAnsiTheme="minorEastAsia" w:eastAsiaTheme="minorEastAsia"/>
          <w:b/>
          <w:kern w:val="0"/>
          <w:sz w:val="21"/>
          <w:szCs w:val="21"/>
          <w:highlight w:val="none"/>
        </w:rPr>
      </w:pPr>
      <w:r>
        <w:rPr>
          <w:rFonts w:hint="eastAsia" w:cs="Arial" w:asciiTheme="minorEastAsia" w:hAnsiTheme="minorEastAsia" w:eastAsiaTheme="minorEastAsia"/>
          <w:b/>
          <w:kern w:val="0"/>
          <w:sz w:val="21"/>
          <w:szCs w:val="21"/>
          <w:highlight w:val="none"/>
        </w:rPr>
        <w:t>2.磋商小组及其成员不得有下列行为：</w:t>
      </w:r>
    </w:p>
    <w:p w14:paraId="7BCB9CC9">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2.1确定参与本项目至评审结束前私自接触供应商；</w:t>
      </w:r>
    </w:p>
    <w:p w14:paraId="4D4AC454">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2.2接受供应商提出的“超出响应文件的范围或者改变响应文件的实质性内容”的澄清、说明或者更正； </w:t>
      </w:r>
    </w:p>
    <w:p w14:paraId="485AA75A">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2.3违反评审纪律发表倾向性意见或者征询采购人的倾向性意见；</w:t>
      </w:r>
    </w:p>
    <w:p w14:paraId="58D3038E">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2.4对需要专业判断的主观评审因素协商评分；</w:t>
      </w:r>
    </w:p>
    <w:p w14:paraId="323C52F3">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2.5在评审过程中擅离职守，影响评审程序正常进行的；</w:t>
      </w:r>
    </w:p>
    <w:p w14:paraId="4F47117D">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2.6记录、复制或者带走任何评审资料；</w:t>
      </w:r>
    </w:p>
    <w:p w14:paraId="7476C0BF">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2.7其他不遵守评审纪律的行为。</w:t>
      </w:r>
    </w:p>
    <w:p w14:paraId="0ACD6583">
      <w:pPr>
        <w:pStyle w:val="396"/>
        <w:spacing w:before="0"/>
        <w:ind w:firstLine="42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磋商小组成员有2.1-2.5行为之一的，其评审意见无效，并不得获取评审劳务报酬和报销异地评审差旅费。</w:t>
      </w:r>
    </w:p>
    <w:p w14:paraId="04BC0B77">
      <w:pPr>
        <w:pStyle w:val="396"/>
        <w:spacing w:before="0"/>
        <w:ind w:firstLine="0" w:firstLineChars="0"/>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3D108289">
      <w:pPr>
        <w:pStyle w:val="396"/>
        <w:spacing w:before="0"/>
        <w:ind w:firstLine="413" w:firstLineChars="196"/>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详见磋商文件“第二部分 竞争性磋商流程”。</w:t>
      </w:r>
    </w:p>
    <w:p w14:paraId="3D6CA55A">
      <w:pPr>
        <w:pStyle w:val="396"/>
        <w:spacing w:before="0"/>
        <w:ind w:firstLine="0" w:firstLineChars="0"/>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0C103089">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1. 响应文件的澄清</w:t>
      </w:r>
    </w:p>
    <w:p w14:paraId="6422AC24">
      <w:pPr>
        <w:spacing w:line="360" w:lineRule="auto"/>
        <w:ind w:firstLine="48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32E002">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2.最后报价的修正原则</w:t>
      </w:r>
    </w:p>
    <w:p w14:paraId="37C87B07">
      <w:pPr>
        <w:spacing w:line="360" w:lineRule="auto"/>
        <w:ind w:firstLine="48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磋商小组对响应文件的最后报价进行审核，对发现计算、书写等错误的，按以下原则进行修正：</w:t>
      </w:r>
    </w:p>
    <w:p w14:paraId="21248E44">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2.1《最后报价一览表》内容与响应文件中响应内容不一致的，以《最后报价一览表》为准;</w:t>
      </w:r>
    </w:p>
    <w:p w14:paraId="12728E90">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2.2大写金额和小写金额不一致的，以大写金额为准;</w:t>
      </w:r>
    </w:p>
    <w:p w14:paraId="4FD3E535">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2.3单价金额小数点或者百分比有明显错位的，以《最后报价一览表》的总价为准，并修改单价;</w:t>
      </w:r>
    </w:p>
    <w:p w14:paraId="0F0CF341">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2.4总价金额与按单价汇总金额不一致的，以单价金额计算结果为准。</w:t>
      </w:r>
    </w:p>
    <w:p w14:paraId="7EDCC5A6">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2.5政采云平台填报的开标一览表中的价格与上传的报价文件中开标一览表的报价不一致的，以上传的报价文件中开标一览表的价格为准，修正平台上的投标报价。</w:t>
      </w:r>
    </w:p>
    <w:p w14:paraId="7697649E">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2.6同时出现两种以上不一致的，按照前款规定的顺序修正。</w:t>
      </w:r>
    </w:p>
    <w:p w14:paraId="28FBF038">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2.7以修正后的总价作为最后报价。</w:t>
      </w:r>
    </w:p>
    <w:p w14:paraId="643B60B2">
      <w:pPr>
        <w:spacing w:line="360" w:lineRule="auto"/>
        <w:ind w:firstLine="420" w:firstLineChars="200"/>
        <w:rPr>
          <w:rFonts w:hint="eastAsia" w:cs="仿宋_GB2312" w:asciiTheme="minorEastAsia" w:hAnsiTheme="minorEastAsia" w:eastAsiaTheme="minorEastAsia"/>
          <w:b/>
          <w:bCs/>
          <w:szCs w:val="21"/>
          <w:highlight w:val="none"/>
        </w:rPr>
      </w:pPr>
      <w:r>
        <w:rPr>
          <w:rFonts w:hint="eastAsia" w:cs="仿宋_GB2312" w:asciiTheme="minorEastAsia" w:hAnsiTheme="minorEastAsia" w:eastAsiaTheme="minorEastAsia"/>
          <w:bCs/>
          <w:szCs w:val="21"/>
          <w:highlight w:val="none"/>
        </w:rPr>
        <w:t>▲</w:t>
      </w:r>
      <w:r>
        <w:rPr>
          <w:rFonts w:hint="eastAsia" w:cs="仿宋_GB2312" w:asciiTheme="minorEastAsia" w:hAnsiTheme="minorEastAsia" w:eastAsiaTheme="minorEastAsia"/>
          <w:b/>
          <w:bCs/>
          <w:szCs w:val="21"/>
          <w:highlight w:val="none"/>
        </w:rPr>
        <w:t>供应商对根据修正原则修正后的最后报价不确认的，响应无效。</w:t>
      </w:r>
    </w:p>
    <w:p w14:paraId="54F96A06">
      <w:pPr>
        <w:pStyle w:val="396"/>
        <w:spacing w:before="0"/>
        <w:ind w:firstLine="0" w:firstLineChars="0"/>
        <w:rPr>
          <w:rFonts w:hint="eastAsia" w:cs="仿宋_GB2312"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3.</w:t>
      </w:r>
      <w:r>
        <w:rPr>
          <w:rFonts w:hint="eastAsia" w:asciiTheme="minorEastAsia" w:hAnsiTheme="minorEastAsia" w:eastAsiaTheme="minorEastAsia"/>
          <w:b/>
          <w:spacing w:val="20"/>
          <w:sz w:val="21"/>
          <w:szCs w:val="21"/>
          <w:highlight w:val="none"/>
        </w:rPr>
        <w:t>响应无效</w:t>
      </w:r>
    </w:p>
    <w:p w14:paraId="7F654E74">
      <w:pPr>
        <w:pStyle w:val="25"/>
        <w:spacing w:line="360" w:lineRule="auto"/>
        <w:ind w:firstLine="525" w:firstLineChars="250"/>
        <w:rPr>
          <w:rFonts w:hint="eastAsia"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有下列情况之一的，响应无效</w:t>
      </w:r>
      <w:r>
        <w:rPr>
          <w:rFonts w:hint="eastAsia" w:asciiTheme="minorEastAsia" w:hAnsiTheme="minorEastAsia" w:eastAsiaTheme="minorEastAsia"/>
          <w:sz w:val="21"/>
          <w:szCs w:val="21"/>
          <w:highlight w:val="none"/>
        </w:rPr>
        <w:t>：</w:t>
      </w:r>
    </w:p>
    <w:p w14:paraId="6C7FB605">
      <w:pPr>
        <w:spacing w:line="360" w:lineRule="auto"/>
        <w:ind w:firstLine="420" w:firstLineChars="200"/>
        <w:rPr>
          <w:rFonts w:hint="eastAsia" w:cs="仿宋_GB2312" w:asciiTheme="minorEastAsia" w:hAnsiTheme="minorEastAsia" w:eastAsiaTheme="minorEastAsia"/>
          <w:szCs w:val="21"/>
          <w:highlight w:val="none"/>
        </w:rPr>
      </w:pPr>
      <w:r>
        <w:rPr>
          <w:rFonts w:hint="eastAsia" w:asciiTheme="minorEastAsia" w:hAnsiTheme="minorEastAsia" w:eastAsiaTheme="minorEastAsia"/>
          <w:szCs w:val="21"/>
          <w:highlight w:val="none"/>
        </w:rPr>
        <w:t>3.1</w:t>
      </w:r>
      <w:r>
        <w:rPr>
          <w:rFonts w:hint="eastAsia" w:cs="仿宋_GB2312" w:asciiTheme="minorEastAsia" w:hAnsiTheme="minorEastAsia" w:eastAsiaTheme="minorEastAsia"/>
          <w:szCs w:val="21"/>
          <w:highlight w:val="none"/>
        </w:rPr>
        <w:t>单位负责人为同一人或者存在直接控股、管理关系的不同供应商参加同一合同项下的政府采购活动的（均无效）；</w:t>
      </w:r>
    </w:p>
    <w:p w14:paraId="7A76BDA5">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3.2为采购项目提供整体设计、规范编制或者项目管理、监理、检测等服务的供应商再参加该采购项目的其他采购活动的； </w:t>
      </w:r>
    </w:p>
    <w:p w14:paraId="38566F6F">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3.3供应商不具备磋商文件中规定的资格要求的（供应商未提供有效的资格证明文件的，视为供应商不具备磋商文件中规定的资格要求）；</w:t>
      </w:r>
    </w:p>
    <w:p w14:paraId="66FDBEFA">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3.4如以联合体形式参加政府采购活动的，联合协议不符合磋商文件规定的联合协议要求的；</w:t>
      </w:r>
    </w:p>
    <w:p w14:paraId="2F946BDE">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3.5响应文件未按磋商文件的澄清、修改的内容编制，又不符合实质性要求的；</w:t>
      </w:r>
    </w:p>
    <w:p w14:paraId="6BFADE7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3.6响应文件组成漏项，内容不全或内容字迹模糊辨认不清的；</w:t>
      </w:r>
    </w:p>
    <w:p w14:paraId="12356BA0">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3.7响应文件中法人授权书所载内容与本项目内容有异的；</w:t>
      </w:r>
    </w:p>
    <w:p w14:paraId="266E9E49">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3.8响应文件未按照磋商文件要求签署、盖章的；</w:t>
      </w:r>
    </w:p>
    <w:p w14:paraId="7CBB2318">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3.9</w:t>
      </w:r>
      <w:r>
        <w:rPr>
          <w:rFonts w:hint="eastAsia" w:ascii="宋体" w:hAnsi="宋体" w:cs="宋体"/>
          <w:kern w:val="0"/>
          <w:szCs w:val="21"/>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szCs w:val="21"/>
          <w:highlight w:val="none"/>
        </w:rPr>
        <w:t xml:space="preserve"> </w:t>
      </w:r>
    </w:p>
    <w:p w14:paraId="323E41FC">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3.10响应文件含有采购人不能接受的附加条件的；</w:t>
      </w:r>
    </w:p>
    <w:p w14:paraId="19763A8A">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3.11响应文件中承诺的响应有效期少于磋商文件中载明的响应有效期的；</w:t>
      </w:r>
    </w:p>
    <w:p w14:paraId="67B07960">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3.12供应商所投内容不符合磋商文件中实质性要求的；</w:t>
      </w:r>
    </w:p>
    <w:p w14:paraId="782D4F62">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3.13所提交的《最后报价一览表》中出现不是唯一的、有选择性的报价的；</w:t>
      </w:r>
    </w:p>
    <w:p w14:paraId="7D4B57F0">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3.14最后报价高于本项目采购预算或者最高限价的；</w:t>
      </w:r>
    </w:p>
    <w:p w14:paraId="4E797D69">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3.15最后报价明显低于其他供应商的最后报价，有可能影响产品质量或者不能诚信履约的，未能按要求提供书面说明或者提交相关证明材料，不能证明其报价合理性的；</w:t>
      </w:r>
    </w:p>
    <w:p w14:paraId="25CCFC4A">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3.16《最后报价一览表》填写不完整或字迹不能辨认或有漏项的；</w:t>
      </w:r>
    </w:p>
    <w:p w14:paraId="43F75FE0">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3.17供应商对根据修正原则修正后的最后报价不确认的；</w:t>
      </w:r>
    </w:p>
    <w:p w14:paraId="0425E8AC">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3.18供应商提供虚假材料响应的（包括但不限于以下情节）；</w:t>
      </w:r>
    </w:p>
    <w:p w14:paraId="3D5BCF39">
      <w:pPr>
        <w:pStyle w:val="108"/>
        <w:numPr>
          <w:ilvl w:val="0"/>
          <w:numId w:val="12"/>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使用伪造、变造的许可证件；</w:t>
      </w:r>
    </w:p>
    <w:p w14:paraId="06299527">
      <w:pPr>
        <w:pStyle w:val="108"/>
        <w:numPr>
          <w:ilvl w:val="0"/>
          <w:numId w:val="12"/>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提供虚假的财务状况或者业绩；</w:t>
      </w:r>
    </w:p>
    <w:p w14:paraId="044BABAC">
      <w:pPr>
        <w:pStyle w:val="108"/>
        <w:numPr>
          <w:ilvl w:val="0"/>
          <w:numId w:val="12"/>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提供虚假的项目负责人或者主要技术人员简历、劳动关系证明；</w:t>
      </w:r>
    </w:p>
    <w:p w14:paraId="6605A94B">
      <w:pPr>
        <w:pStyle w:val="108"/>
        <w:numPr>
          <w:ilvl w:val="0"/>
          <w:numId w:val="12"/>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提供虚假的信用状况；</w:t>
      </w:r>
    </w:p>
    <w:p w14:paraId="023C8ADA">
      <w:pPr>
        <w:pStyle w:val="108"/>
        <w:numPr>
          <w:ilvl w:val="0"/>
          <w:numId w:val="12"/>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其他弄虚作假的行为。</w:t>
      </w:r>
    </w:p>
    <w:p w14:paraId="67A7702F">
      <w:pPr>
        <w:spacing w:line="360" w:lineRule="auto"/>
        <w:ind w:firstLine="48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3.19供应商有恶意串通、妨碍其他供应商的竞争行为、损害采购人或者其他供应商的合法权益情形的。</w:t>
      </w:r>
    </w:p>
    <w:p w14:paraId="1D87B49D">
      <w:pPr>
        <w:spacing w:line="360" w:lineRule="auto"/>
        <w:ind w:firstLine="48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有下列情形之一的，属于或视为恶意串通，其响应无效：</w:t>
      </w:r>
    </w:p>
    <w:p w14:paraId="7A28A6F9">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供应商直接或者间接从采购人或者采购代理机构处获得其他供应商的相关情况并修改其响应文件；</w:t>
      </w:r>
    </w:p>
    <w:p w14:paraId="049AAAA7">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供应商按照采购人或者采购代理机构的授意撤换、修改投标文件或者响应文件；</w:t>
      </w:r>
    </w:p>
    <w:p w14:paraId="3C917673">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供应商之间协商报价、技术方案等投标文件或者响应文件的实质性内容；</w:t>
      </w:r>
    </w:p>
    <w:p w14:paraId="3379F2F1">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属于同一集团、协会、商会等组织成员的供应商按照该组织要求协同参加政府采购活动；</w:t>
      </w:r>
    </w:p>
    <w:p w14:paraId="6869E73B">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供应商之间事先约定由某一特定供应商中标、成交；</w:t>
      </w:r>
    </w:p>
    <w:p w14:paraId="41D8C0EA">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供应商之间商定部分供应商放弃参加政府采购活动或者放弃中标、成交；</w:t>
      </w:r>
    </w:p>
    <w:p w14:paraId="336D9BDD">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供应商与采购人或者采购代理机构之间、供应商相互之间，为谋求特定供应商中标、成交或者排斥其他供应商的其他串通行为。</w:t>
      </w:r>
    </w:p>
    <w:p w14:paraId="0F01325F">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不同供应商的响应文件由同一单位或者个人编制；</w:t>
      </w:r>
    </w:p>
    <w:p w14:paraId="3BF62C1F">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不同供应商委托同一单位或者个人办理响应事宜；</w:t>
      </w:r>
    </w:p>
    <w:p w14:paraId="6E077148">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不同供应商的响应文件载明的项目管理成员或者联系人员为同一人；</w:t>
      </w:r>
    </w:p>
    <w:p w14:paraId="2E91D70F">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不同供应商的响应文件异常一致或者最后报价呈规律性差异；</w:t>
      </w:r>
    </w:p>
    <w:p w14:paraId="2BF436B0">
      <w:pPr>
        <w:pStyle w:val="108"/>
        <w:numPr>
          <w:ilvl w:val="0"/>
          <w:numId w:val="13"/>
        </w:numPr>
        <w:ind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不同供应商的响应文件相互混装。</w:t>
      </w:r>
    </w:p>
    <w:p w14:paraId="52E2C86A">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3.20供应商仅提交备份响应文件，没有在电子交易平台传输提交响应文件的，响应无效；</w:t>
      </w:r>
    </w:p>
    <w:p w14:paraId="612F797A">
      <w:pPr>
        <w:spacing w:line="360" w:lineRule="auto"/>
        <w:ind w:firstLine="422" w:firstLineChars="20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3.21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41788">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3.22法律、法规、规章等规定的其他无效情形。</w:t>
      </w:r>
    </w:p>
    <w:p w14:paraId="3617B0EC">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4. 重新开展采购活动</w:t>
      </w:r>
    </w:p>
    <w:p w14:paraId="45EB1298">
      <w:pPr>
        <w:spacing w:line="360" w:lineRule="auto"/>
        <w:ind w:firstLine="407" w:firstLineChars="194"/>
        <w:rPr>
          <w:rFonts w:hint="eastAsia"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出现下列情形之一的，采购代理机构应当终止竞争性磋商采购活动，通过电子交易平台发布项目终止公告并说明原因，重新开展采购活动：</w:t>
      </w:r>
    </w:p>
    <w:p w14:paraId="66352849">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（1）因情况变化，不再符合规定的竞争性磋商采购方式适用情形的；</w:t>
      </w:r>
    </w:p>
    <w:p w14:paraId="205754E9">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（2）出现影响采购公正的违法、违规行为的；</w:t>
      </w:r>
    </w:p>
    <w:p w14:paraId="516120B2">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（3）在采购过程中符合要求的供应商或者最后报价未超过采购预算的供应商不足3家的（有特殊规定的从其规定）。</w:t>
      </w:r>
    </w:p>
    <w:p w14:paraId="16303365">
      <w:pPr>
        <w:pStyle w:val="396"/>
        <w:spacing w:before="0"/>
        <w:ind w:firstLine="0" w:firstLineChars="0"/>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5. 终止采购活动</w:t>
      </w:r>
    </w:p>
    <w:p w14:paraId="52305E4A">
      <w:pPr>
        <w:spacing w:line="360" w:lineRule="auto"/>
        <w:ind w:firstLine="407" w:firstLineChars="194"/>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49E2A5B">
      <w:pPr>
        <w:spacing w:line="360" w:lineRule="auto"/>
        <w:rPr>
          <w:rFonts w:hint="eastAsia" w:cs="仿宋_GB2312" w:asciiTheme="minorEastAsia" w:hAnsiTheme="minorEastAsia" w:eastAsiaTheme="minorEastAsia"/>
          <w:szCs w:val="21"/>
          <w:highlight w:val="none"/>
        </w:rPr>
      </w:pPr>
      <w:r>
        <w:rPr>
          <w:rFonts w:asciiTheme="minorEastAsia" w:hAnsiTheme="minorEastAsia" w:eastAsiaTheme="minorEastAsia"/>
          <w:b/>
          <w:szCs w:val="21"/>
          <w:highlight w:val="none"/>
        </w:rPr>
        <w:t xml:space="preserve">6. </w:t>
      </w:r>
      <w:r>
        <w:rPr>
          <w:rFonts w:hint="eastAsia" w:cs="仿宋_GB2312" w:asciiTheme="minorEastAsia" w:hAnsiTheme="minorEastAsia" w:eastAsiaTheme="minorEastAsia"/>
          <w:b/>
          <w:szCs w:val="21"/>
          <w:highlight w:val="none"/>
        </w:rPr>
        <w:t>采购代理机构有权对磋商小组各成员的评分情况和评审意见进行合理性和合规性审查</w:t>
      </w:r>
      <w:r>
        <w:rPr>
          <w:rFonts w:hint="eastAsia" w:cs="仿宋_GB2312" w:asciiTheme="minorEastAsia" w:hAnsiTheme="minorEastAsia" w:eastAsiaTheme="minorEastAsia"/>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2CBA6FE">
      <w:pPr>
        <w:snapToGrid w:val="0"/>
        <w:spacing w:line="360" w:lineRule="auto"/>
        <w:ind w:left="120" w:leftChars="57" w:firstLine="482" w:firstLineChars="150"/>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39D2587B">
      <w:pPr>
        <w:widowControl/>
        <w:spacing w:line="360" w:lineRule="auto"/>
        <w:ind w:firstLine="422" w:firstLineChars="20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b/>
          <w:szCs w:val="21"/>
          <w:highlight w:val="none"/>
        </w:rPr>
        <w:t>1.保密。</w:t>
      </w:r>
      <w:r>
        <w:rPr>
          <w:rFonts w:hint="eastAsia" w:cs="仿宋_GB2312" w:asciiTheme="minorEastAsia" w:hAnsiTheme="minorEastAsia" w:eastAsiaTheme="minorEastAsia"/>
          <w:szCs w:val="21"/>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5994A56">
      <w:pPr>
        <w:widowControl/>
        <w:spacing w:line="360" w:lineRule="auto"/>
        <w:ind w:firstLine="422" w:firstLineChars="20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b/>
          <w:szCs w:val="21"/>
          <w:highlight w:val="none"/>
        </w:rPr>
        <w:t>2.录音录像。</w:t>
      </w:r>
      <w:r>
        <w:rPr>
          <w:rFonts w:hint="eastAsia" w:cs="仿宋_GB2312" w:asciiTheme="minorEastAsia" w:hAnsiTheme="minorEastAsia" w:eastAsiaTheme="minorEastAsia"/>
          <w:szCs w:val="21"/>
          <w:highlight w:val="none"/>
        </w:rPr>
        <w:t>采购代理机构对评审工作现场进行全过程录音录像，录音录像资料作为采购项目文件随其他文件一并存档。</w:t>
      </w:r>
    </w:p>
    <w:p w14:paraId="74C5B568">
      <w:pPr>
        <w:widowControl/>
        <w:adjustRightInd/>
        <w:jc w:val="left"/>
        <w:rPr>
          <w:rFonts w:hint="eastAsia" w:cs="仿宋_GB2312" w:asciiTheme="minorEastAsia" w:hAnsiTheme="minorEastAsia" w:eastAsiaTheme="minorEastAsia"/>
          <w:b/>
          <w:szCs w:val="21"/>
          <w:highlight w:val="none"/>
        </w:rPr>
      </w:pPr>
    </w:p>
    <w:p w14:paraId="5FCD53C3">
      <w:pPr>
        <w:spacing w:line="360" w:lineRule="auto"/>
        <w:jc w:val="center"/>
        <w:outlineLvl w:val="0"/>
        <w:rPr>
          <w:rFonts w:hint="eastAsia" w:cs="仿宋_GB2312" w:asciiTheme="minorEastAsia" w:hAnsiTheme="minorEastAsia" w:eastAsiaTheme="minorEastAsia"/>
          <w:b/>
          <w:sz w:val="36"/>
          <w:szCs w:val="36"/>
          <w:highlight w:val="none"/>
        </w:rPr>
      </w:pPr>
    </w:p>
    <w:p w14:paraId="631338C7">
      <w:pPr>
        <w:spacing w:line="360" w:lineRule="auto"/>
        <w:jc w:val="center"/>
        <w:outlineLvl w:val="0"/>
        <w:rPr>
          <w:rFonts w:hint="eastAsia" w:cs="仿宋_GB2312" w:asciiTheme="minorEastAsia" w:hAnsiTheme="minorEastAsia" w:eastAsiaTheme="minorEastAsia"/>
          <w:b/>
          <w:sz w:val="36"/>
          <w:szCs w:val="36"/>
          <w:highlight w:val="none"/>
        </w:rPr>
      </w:pPr>
    </w:p>
    <w:p w14:paraId="024056CF">
      <w:pPr>
        <w:spacing w:line="360" w:lineRule="auto"/>
        <w:jc w:val="center"/>
        <w:outlineLvl w:val="0"/>
        <w:rPr>
          <w:rFonts w:hint="eastAsia" w:cs="仿宋_GB2312" w:asciiTheme="minorEastAsia" w:hAnsiTheme="minorEastAsia" w:eastAsiaTheme="minorEastAsia"/>
          <w:b/>
          <w:sz w:val="36"/>
          <w:szCs w:val="36"/>
          <w:highlight w:val="none"/>
        </w:rPr>
      </w:pPr>
    </w:p>
    <w:p w14:paraId="533BFDAB">
      <w:pPr>
        <w:spacing w:line="360" w:lineRule="auto"/>
        <w:jc w:val="center"/>
        <w:outlineLvl w:val="0"/>
        <w:rPr>
          <w:rFonts w:hint="eastAsia" w:cs="仿宋_GB2312" w:asciiTheme="minorEastAsia" w:hAnsiTheme="minorEastAsia" w:eastAsiaTheme="minorEastAsia"/>
          <w:b/>
          <w:sz w:val="36"/>
          <w:szCs w:val="36"/>
          <w:highlight w:val="none"/>
        </w:rPr>
      </w:pPr>
    </w:p>
    <w:p w14:paraId="694E4A9B">
      <w:pPr>
        <w:spacing w:line="360" w:lineRule="auto"/>
        <w:jc w:val="center"/>
        <w:outlineLvl w:val="0"/>
        <w:rPr>
          <w:rFonts w:hint="eastAsia" w:cs="仿宋_GB2312" w:asciiTheme="minorEastAsia" w:hAnsiTheme="minorEastAsia" w:eastAsiaTheme="minorEastAsia"/>
          <w:b/>
          <w:sz w:val="36"/>
          <w:szCs w:val="36"/>
          <w:highlight w:val="none"/>
        </w:rPr>
      </w:pPr>
    </w:p>
    <w:p w14:paraId="40D1B242">
      <w:pPr>
        <w:spacing w:line="360" w:lineRule="auto"/>
        <w:jc w:val="center"/>
        <w:outlineLvl w:val="0"/>
        <w:rPr>
          <w:rFonts w:hint="eastAsia" w:cs="仿宋_GB2312" w:asciiTheme="minorEastAsia" w:hAnsiTheme="minorEastAsia" w:eastAsiaTheme="minorEastAsia"/>
          <w:b/>
          <w:sz w:val="36"/>
          <w:szCs w:val="36"/>
          <w:highlight w:val="none"/>
        </w:rPr>
      </w:pPr>
    </w:p>
    <w:p w14:paraId="15EDBA2F">
      <w:pPr>
        <w:spacing w:line="360" w:lineRule="auto"/>
        <w:jc w:val="center"/>
        <w:outlineLvl w:val="0"/>
        <w:rPr>
          <w:rFonts w:hint="eastAsia" w:cs="仿宋_GB2312" w:asciiTheme="minorEastAsia" w:hAnsiTheme="minorEastAsia" w:eastAsiaTheme="minorEastAsia"/>
          <w:b/>
          <w:sz w:val="36"/>
          <w:szCs w:val="36"/>
          <w:highlight w:val="none"/>
        </w:rPr>
      </w:pPr>
    </w:p>
    <w:p w14:paraId="2B88AC2C">
      <w:pPr>
        <w:spacing w:line="360" w:lineRule="auto"/>
        <w:jc w:val="center"/>
        <w:outlineLvl w:val="0"/>
        <w:rPr>
          <w:rFonts w:hint="eastAsia" w:cs="仿宋_GB2312" w:asciiTheme="minorEastAsia" w:hAnsiTheme="minorEastAsia" w:eastAsiaTheme="minorEastAsia"/>
          <w:b/>
          <w:sz w:val="36"/>
          <w:szCs w:val="36"/>
          <w:highlight w:val="none"/>
        </w:rPr>
      </w:pPr>
    </w:p>
    <w:p w14:paraId="50D4439D">
      <w:pPr>
        <w:spacing w:line="360" w:lineRule="auto"/>
        <w:jc w:val="center"/>
        <w:outlineLvl w:val="0"/>
        <w:rPr>
          <w:rFonts w:hint="eastAsia" w:cs="仿宋_GB2312" w:asciiTheme="minorEastAsia" w:hAnsiTheme="minorEastAsia" w:eastAsiaTheme="minorEastAsia"/>
          <w:b/>
          <w:sz w:val="36"/>
          <w:szCs w:val="36"/>
          <w:highlight w:val="none"/>
        </w:rPr>
      </w:pPr>
    </w:p>
    <w:p w14:paraId="3F761D8E">
      <w:pPr>
        <w:spacing w:line="360" w:lineRule="auto"/>
        <w:jc w:val="center"/>
        <w:outlineLvl w:val="0"/>
        <w:rPr>
          <w:rFonts w:hint="eastAsia" w:cs="仿宋_GB2312" w:asciiTheme="minorEastAsia" w:hAnsiTheme="minorEastAsia" w:eastAsiaTheme="minorEastAsia"/>
          <w:b/>
          <w:sz w:val="36"/>
          <w:szCs w:val="36"/>
          <w:highlight w:val="none"/>
        </w:rPr>
      </w:pPr>
    </w:p>
    <w:p w14:paraId="103B431A">
      <w:pPr>
        <w:spacing w:line="360" w:lineRule="auto"/>
        <w:jc w:val="center"/>
        <w:outlineLvl w:val="0"/>
        <w:rPr>
          <w:rFonts w:hint="eastAsia" w:cs="仿宋_GB2312" w:asciiTheme="minorEastAsia" w:hAnsiTheme="minorEastAsia" w:eastAsiaTheme="minorEastAsia"/>
          <w:b/>
          <w:sz w:val="36"/>
          <w:szCs w:val="36"/>
          <w:highlight w:val="none"/>
        </w:rPr>
      </w:pPr>
    </w:p>
    <w:p w14:paraId="024D69DF">
      <w:pPr>
        <w:spacing w:line="360" w:lineRule="auto"/>
        <w:jc w:val="center"/>
        <w:outlineLvl w:val="0"/>
        <w:rPr>
          <w:rFonts w:hint="eastAsia" w:cs="仿宋_GB2312" w:asciiTheme="minorEastAsia" w:hAnsiTheme="minorEastAsia" w:eastAsiaTheme="minorEastAsia"/>
          <w:b/>
          <w:sz w:val="36"/>
          <w:szCs w:val="36"/>
          <w:highlight w:val="none"/>
        </w:rPr>
      </w:pPr>
    </w:p>
    <w:p w14:paraId="6F921018">
      <w:pPr>
        <w:spacing w:line="360" w:lineRule="auto"/>
        <w:jc w:val="center"/>
        <w:outlineLvl w:val="0"/>
        <w:rPr>
          <w:rFonts w:hint="eastAsia" w:cs="仿宋_GB2312" w:asciiTheme="minorEastAsia" w:hAnsiTheme="minorEastAsia" w:eastAsiaTheme="minorEastAsia"/>
          <w:b/>
          <w:sz w:val="36"/>
          <w:szCs w:val="36"/>
          <w:highlight w:val="none"/>
        </w:rPr>
      </w:pPr>
    </w:p>
    <w:p w14:paraId="0D42C999">
      <w:pPr>
        <w:spacing w:line="360" w:lineRule="auto"/>
        <w:jc w:val="center"/>
        <w:outlineLvl w:val="0"/>
        <w:rPr>
          <w:rFonts w:hint="eastAsia" w:cs="仿宋_GB2312" w:asciiTheme="minorEastAsia" w:hAnsiTheme="minorEastAsia" w:eastAsiaTheme="minorEastAsia"/>
          <w:b/>
          <w:sz w:val="36"/>
          <w:szCs w:val="36"/>
          <w:highlight w:val="none"/>
        </w:rPr>
      </w:pPr>
    </w:p>
    <w:p w14:paraId="73761B6F">
      <w:pPr>
        <w:spacing w:line="360" w:lineRule="auto"/>
        <w:jc w:val="center"/>
        <w:outlineLvl w:val="0"/>
        <w:rPr>
          <w:rFonts w:hint="eastAsia" w:cs="仿宋_GB2312" w:asciiTheme="minorEastAsia" w:hAnsiTheme="minorEastAsia" w:eastAsiaTheme="minorEastAsia"/>
          <w:b/>
          <w:sz w:val="36"/>
          <w:szCs w:val="36"/>
          <w:highlight w:val="none"/>
        </w:rPr>
      </w:pPr>
    </w:p>
    <w:p w14:paraId="150755CE">
      <w:pPr>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86"/>
      <w:r>
        <w:rPr>
          <w:rFonts w:hint="eastAsia" w:cs="仿宋_GB2312" w:asciiTheme="minorEastAsia" w:hAnsiTheme="minorEastAsia" w:eastAsiaTheme="minorEastAsia"/>
          <w:b/>
          <w:sz w:val="36"/>
          <w:szCs w:val="36"/>
          <w:highlight w:val="none"/>
        </w:rPr>
        <w:t xml:space="preserve">  拟签订的合同文本</w:t>
      </w:r>
    </w:p>
    <w:p w14:paraId="557389A4">
      <w:pPr>
        <w:spacing w:line="360" w:lineRule="auto"/>
        <w:jc w:val="center"/>
        <w:outlineLvl w:val="0"/>
        <w:rPr>
          <w:rFonts w:hint="eastAsia" w:cs="仿宋_GB2312" w:asciiTheme="minorEastAsia" w:hAnsiTheme="minorEastAsia" w:eastAsiaTheme="minorEastAsia"/>
          <w:b/>
          <w:sz w:val="36"/>
          <w:szCs w:val="36"/>
          <w:highlight w:val="none"/>
        </w:rPr>
      </w:pPr>
    </w:p>
    <w:p w14:paraId="4C742F32">
      <w:pPr>
        <w:pStyle w:val="285"/>
        <w:ind w:leftChars="0" w:firstLine="2465" w:firstLineChars="682"/>
        <w:jc w:val="left"/>
        <w:rPr>
          <w:rFonts w:hint="eastAsia" w:cs="仿宋_GB2312" w:asciiTheme="minorEastAsia" w:hAnsiTheme="minorEastAsia" w:eastAsiaTheme="minorEastAsia"/>
          <w:b/>
          <w:sz w:val="36"/>
          <w:szCs w:val="36"/>
          <w:highlight w:val="none"/>
        </w:rPr>
      </w:pPr>
      <w:bookmarkStart w:id="87" w:name="_Hlk128727745"/>
      <w:bookmarkStart w:id="88" w:name="第五部分"/>
      <w:bookmarkStart w:id="89" w:name="_Toc86217003"/>
      <w:r>
        <w:rPr>
          <w:rFonts w:hint="eastAsia" w:cs="仿宋_GB2312" w:asciiTheme="minorEastAsia" w:hAnsiTheme="minorEastAsia" w:eastAsiaTheme="minorEastAsia"/>
          <w:b/>
          <w:sz w:val="36"/>
          <w:szCs w:val="36"/>
          <w:highlight w:val="none"/>
        </w:rPr>
        <w:t>政府采购合同书</w:t>
      </w:r>
    </w:p>
    <w:p w14:paraId="20436A1B">
      <w:pPr>
        <w:pStyle w:val="285"/>
        <w:rPr>
          <w:rFonts w:hint="eastAsia" w:asciiTheme="minorEastAsia" w:hAnsiTheme="minorEastAsia" w:eastAsiaTheme="minorEastAsia"/>
          <w:szCs w:val="24"/>
          <w:highlight w:val="none"/>
        </w:rPr>
      </w:pPr>
    </w:p>
    <w:p w14:paraId="554A5896">
      <w:pPr>
        <w:pStyle w:val="285"/>
        <w:rPr>
          <w:rFonts w:hint="eastAsia" w:asciiTheme="minorEastAsia" w:hAnsiTheme="minorEastAsia" w:eastAsiaTheme="minorEastAsia"/>
          <w:szCs w:val="24"/>
          <w:highlight w:val="none"/>
        </w:rPr>
      </w:pPr>
    </w:p>
    <w:p w14:paraId="203556F9">
      <w:pPr>
        <w:spacing w:before="120" w:line="360" w:lineRule="auto"/>
        <w:rPr>
          <w:rFonts w:hint="eastAsia" w:asciiTheme="minorEastAsia" w:hAnsiTheme="minorEastAsia" w:eastAsiaTheme="minorEastAsia"/>
          <w:sz w:val="24"/>
          <w:highlight w:val="none"/>
        </w:rPr>
      </w:pPr>
    </w:p>
    <w:p w14:paraId="39565830">
      <w:pPr>
        <w:spacing w:before="120" w:line="360" w:lineRule="auto"/>
        <w:ind w:left="96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lang w:eastAsia="zh-CN"/>
        </w:rPr>
        <w:t>海曙区信创化政务应用开发测试环境提升服务</w:t>
      </w:r>
    </w:p>
    <w:p w14:paraId="4081F916">
      <w:pPr>
        <w:pStyle w:val="619"/>
        <w:spacing w:before="120"/>
        <w:ind w:left="5250"/>
        <w:rPr>
          <w:rFonts w:hint="eastAsia" w:asciiTheme="minorEastAsia" w:hAnsiTheme="minorEastAsia" w:eastAsiaTheme="minorEastAsia"/>
          <w:szCs w:val="24"/>
          <w:highlight w:val="none"/>
        </w:rPr>
      </w:pPr>
    </w:p>
    <w:p w14:paraId="553D9E0D">
      <w:pPr>
        <w:spacing w:line="360" w:lineRule="auto"/>
        <w:rPr>
          <w:rFonts w:hint="eastAsia" w:asciiTheme="minorEastAsia" w:hAnsiTheme="minorEastAsia" w:eastAsiaTheme="minorEastAsia"/>
          <w:sz w:val="24"/>
          <w:highlight w:val="none"/>
        </w:rPr>
      </w:pPr>
    </w:p>
    <w:p w14:paraId="37E5497E">
      <w:pPr>
        <w:spacing w:before="120" w:line="360" w:lineRule="auto"/>
        <w:ind w:left="96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lang w:eastAsia="zh-CN"/>
        </w:rPr>
        <w:t>宁波市海曙区数据局</w:t>
      </w:r>
    </w:p>
    <w:p w14:paraId="72412868">
      <w:pPr>
        <w:spacing w:before="120" w:line="360" w:lineRule="auto"/>
        <w:rPr>
          <w:rFonts w:hint="eastAsia" w:asciiTheme="minorEastAsia" w:hAnsiTheme="minorEastAsia" w:eastAsiaTheme="minorEastAsia"/>
          <w:sz w:val="24"/>
          <w:highlight w:val="none"/>
        </w:rPr>
      </w:pPr>
    </w:p>
    <w:p w14:paraId="48B8227B">
      <w:pPr>
        <w:spacing w:before="120" w:line="360" w:lineRule="auto"/>
        <w:ind w:left="960"/>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rPr>
        <w:t xml:space="preserve">                                       </w:t>
      </w:r>
    </w:p>
    <w:p w14:paraId="5B0F9688">
      <w:pPr>
        <w:spacing w:before="120" w:line="360" w:lineRule="auto"/>
        <w:rPr>
          <w:rFonts w:hint="eastAsia" w:asciiTheme="minorEastAsia" w:hAnsiTheme="minorEastAsia" w:eastAsiaTheme="minorEastAsia"/>
          <w:sz w:val="24"/>
          <w:highlight w:val="none"/>
        </w:rPr>
      </w:pPr>
    </w:p>
    <w:p w14:paraId="000ED50C">
      <w:pPr>
        <w:spacing w:before="120" w:line="360" w:lineRule="auto"/>
        <w:ind w:firstLine="960" w:firstLineChars="400"/>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14:paraId="540FE794">
      <w:pPr>
        <w:spacing w:before="120" w:line="360" w:lineRule="auto"/>
        <w:rPr>
          <w:rFonts w:hint="eastAsia" w:asciiTheme="minorEastAsia" w:hAnsiTheme="minorEastAsia" w:eastAsiaTheme="minorEastAsia"/>
          <w:sz w:val="24"/>
          <w:highlight w:val="none"/>
        </w:rPr>
      </w:pPr>
    </w:p>
    <w:p w14:paraId="0133F7C8">
      <w:pPr>
        <w:spacing w:before="120" w:line="360" w:lineRule="auto"/>
        <w:ind w:firstLine="960" w:firstLineChars="400"/>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bookmarkEnd w:id="87"/>
    <w:p w14:paraId="41B55AB2">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5652A7E">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51C022E">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E8C99D1">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2F5D18E">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B74D3E8">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BF24247">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7E563DA">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63475AB">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592E1EE">
      <w:pPr>
        <w:adjustRightInd/>
        <w:rPr>
          <w:rFonts w:hint="eastAsia" w:ascii="宋体" w:hAnsi="宋体" w:cs="宋体"/>
          <w:szCs w:val="21"/>
          <w:highlight w:val="none"/>
        </w:rPr>
      </w:pPr>
    </w:p>
    <w:p w14:paraId="1EF26C3C">
      <w:pPr>
        <w:adjustRightInd/>
        <w:rPr>
          <w:rFonts w:hint="eastAsia" w:ascii="宋体" w:hAnsi="宋体" w:cs="宋体"/>
          <w:szCs w:val="21"/>
          <w:highlight w:val="none"/>
        </w:rPr>
      </w:pPr>
    </w:p>
    <w:p w14:paraId="08780CA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根据《中华人民共和国民法典》《中华人民共和国政府采购法》等相关法律法规之规定，按照平等、自愿、公平和诚实信用的原则，经</w:t>
      </w:r>
      <w:r>
        <w:rPr>
          <w:rFonts w:hint="eastAsia" w:cs="宋体" w:asciiTheme="minorEastAsia" w:hAnsiTheme="minorEastAsia" w:eastAsiaTheme="minorEastAsia"/>
          <w:color w:val="auto"/>
          <w:szCs w:val="21"/>
          <w:highlight w:val="none"/>
          <w:u w:val="single"/>
          <w:lang w:eastAsia="zh-CN"/>
        </w:rPr>
        <w:t>宁波市海曙区数据局</w:t>
      </w:r>
      <w:r>
        <w:rPr>
          <w:rFonts w:asciiTheme="minorEastAsia" w:hAnsiTheme="minorEastAsia" w:eastAsiaTheme="minorEastAsia"/>
          <w:color w:val="auto"/>
          <w:szCs w:val="21"/>
          <w:highlight w:val="none"/>
          <w:lang w:val="zh-CN"/>
        </w:rPr>
        <w:t>(以下简称：甲方)和</w:t>
      </w:r>
      <w:r>
        <w:rPr>
          <w:rFonts w:asciiTheme="minorEastAsia" w:hAnsiTheme="minorEastAsia" w:eastAsiaTheme="minorEastAsia"/>
          <w:color w:val="auto"/>
          <w:szCs w:val="21"/>
          <w:highlight w:val="none"/>
          <w:u w:val="single"/>
        </w:rPr>
        <w:t xml:space="preserve">   （中标</w:t>
      </w:r>
      <w:r>
        <w:rPr>
          <w:rFonts w:hint="eastAsia" w:asciiTheme="minorEastAsia" w:hAnsiTheme="minorEastAsia" w:eastAsiaTheme="minorEastAsia"/>
          <w:color w:val="auto"/>
          <w:szCs w:val="21"/>
          <w:highlight w:val="none"/>
          <w:u w:val="single"/>
        </w:rPr>
        <w:t>或者成交</w:t>
      </w:r>
      <w:r>
        <w:rPr>
          <w:rFonts w:asciiTheme="minorEastAsia" w:hAnsiTheme="minorEastAsia" w:eastAsiaTheme="minorEastAsia"/>
          <w:color w:val="auto"/>
          <w:szCs w:val="21"/>
          <w:highlight w:val="none"/>
          <w:u w:val="single"/>
        </w:rPr>
        <w:t xml:space="preserve">供应商名称）   </w:t>
      </w:r>
      <w:r>
        <w:rPr>
          <w:rFonts w:asciiTheme="minorEastAsia" w:hAnsiTheme="minorEastAsia" w:eastAsiaTheme="minorEastAsia"/>
          <w:color w:val="auto"/>
          <w:szCs w:val="21"/>
          <w:highlight w:val="none"/>
          <w:lang w:val="zh-CN"/>
        </w:rPr>
        <w:t>(以下简称：乙方)协商一致，约定以下合同</w:t>
      </w:r>
      <w:r>
        <w:rPr>
          <w:rFonts w:hint="eastAsia" w:asciiTheme="minorEastAsia" w:hAnsiTheme="minorEastAsia" w:eastAsiaTheme="minorEastAsia"/>
          <w:color w:val="auto"/>
          <w:szCs w:val="21"/>
          <w:highlight w:val="none"/>
        </w:rPr>
        <w:t>条款，以兹共同遵守、全面履行。</w:t>
      </w:r>
    </w:p>
    <w:p w14:paraId="008B2CCE">
      <w:pPr>
        <w:spacing w:line="560" w:lineRule="exact"/>
        <w:ind w:firstLine="422" w:firstLineChars="200"/>
        <w:outlineLvl w:val="0"/>
        <w:rPr>
          <w:rFonts w:hint="eastAsia" w:asciiTheme="minorEastAsia" w:hAnsiTheme="minorEastAsia" w:eastAsiaTheme="minorEastAsia"/>
          <w:color w:val="auto"/>
          <w:szCs w:val="21"/>
          <w:highlight w:val="none"/>
        </w:rPr>
      </w:pPr>
      <w:bookmarkStart w:id="90" w:name="_Toc19273"/>
      <w:bookmarkStart w:id="91" w:name="_Toc28855"/>
      <w:bookmarkStart w:id="92" w:name="_Toc20421"/>
      <w:bookmarkStart w:id="93" w:name="_Toc15367"/>
      <w:bookmarkStart w:id="94" w:name="_Toc22967"/>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合同组成部分</w:t>
      </w:r>
      <w:bookmarkEnd w:id="90"/>
      <w:bookmarkEnd w:id="91"/>
      <w:bookmarkEnd w:id="92"/>
      <w:bookmarkEnd w:id="93"/>
      <w:bookmarkEnd w:id="94"/>
    </w:p>
    <w:p w14:paraId="76429A26">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420904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本合同及其补充合同、变更协议；</w:t>
      </w:r>
    </w:p>
    <w:p w14:paraId="204CBFF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中标或者成交通知书；</w:t>
      </w:r>
    </w:p>
    <w:p w14:paraId="3B6CAF5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投标或者响应文件</w:t>
      </w:r>
      <w:bookmarkStart w:id="95" w:name="_Hlk128728025"/>
      <w:r>
        <w:rPr>
          <w:rFonts w:hint="eastAsia" w:asciiTheme="minorEastAsia" w:hAnsiTheme="minorEastAsia" w:eastAsiaTheme="minorEastAsia"/>
          <w:color w:val="auto"/>
          <w:szCs w:val="21"/>
          <w:highlight w:val="none"/>
        </w:rPr>
        <w:t>（含澄清或者说明文件）</w:t>
      </w:r>
      <w:bookmarkEnd w:id="95"/>
      <w:r>
        <w:rPr>
          <w:rFonts w:hint="eastAsia" w:asciiTheme="minorEastAsia" w:hAnsiTheme="minorEastAsia" w:eastAsiaTheme="minorEastAsia"/>
          <w:color w:val="auto"/>
          <w:szCs w:val="21"/>
          <w:highlight w:val="none"/>
        </w:rPr>
        <w:t>；</w:t>
      </w:r>
    </w:p>
    <w:p w14:paraId="53902D5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采购文件（含澄清或者修改文件）；</w:t>
      </w:r>
    </w:p>
    <w:p w14:paraId="5D286966">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其他相关采购文件。</w:t>
      </w:r>
    </w:p>
    <w:p w14:paraId="7260657D">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96" w:name="_Toc6311"/>
      <w:bookmarkStart w:id="97" w:name="_Toc2918"/>
      <w:bookmarkStart w:id="98" w:name="_Toc18585"/>
      <w:bookmarkStart w:id="99" w:name="_Toc22185"/>
      <w:bookmarkStart w:id="100" w:name="_Toc6773"/>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标的</w:t>
      </w:r>
      <w:bookmarkEnd w:id="96"/>
      <w:bookmarkEnd w:id="97"/>
      <w:bookmarkEnd w:id="98"/>
      <w:bookmarkEnd w:id="99"/>
      <w:bookmarkEnd w:id="100"/>
    </w:p>
    <w:p w14:paraId="7C01738F">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 xml:space="preserve">1.2.1 </w:t>
      </w:r>
      <w:r>
        <w:rPr>
          <w:rFonts w:hint="eastAsia" w:asciiTheme="minorEastAsia" w:hAnsiTheme="minorEastAsia" w:eastAsiaTheme="minorEastAsia"/>
          <w:color w:val="auto"/>
          <w:szCs w:val="21"/>
          <w:highlight w:val="none"/>
        </w:rPr>
        <w:t>服务内容</w:t>
      </w:r>
      <w:r>
        <w:rPr>
          <w:rFonts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w:t>
      </w:r>
    </w:p>
    <w:p w14:paraId="5EBB2B1C">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技术保障：</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w:t>
      </w:r>
    </w:p>
    <w:p w14:paraId="1524A361">
      <w:pPr>
        <w:spacing w:line="56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1.2.4 服务人员组成：</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99C7597">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1.2.5合同</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（是</w:t>
      </w:r>
      <w:r>
        <w:rPr>
          <w:rFonts w:hint="eastAsia" w:cs="仿宋"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否）涉及货物。</w:t>
      </w:r>
      <w:bookmarkStart w:id="101" w:name="_Toc4929"/>
      <w:bookmarkStart w:id="102" w:name="_Toc1386"/>
      <w:bookmarkStart w:id="103" w:name="_Toc21124"/>
      <w:bookmarkStart w:id="104" w:name="_Toc5635"/>
      <w:bookmarkStart w:id="105" w:name="_Toc13918"/>
    </w:p>
    <w:p w14:paraId="4257E1EB">
      <w:pPr>
        <w:spacing w:line="560" w:lineRule="exact"/>
        <w:ind w:firstLine="420" w:firstLineChars="20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乙方须考虑监测任务量不确定的因素，并自行承担该风险产生的费用和责任</w:t>
      </w:r>
      <w:r>
        <w:rPr>
          <w:rFonts w:hint="eastAsia" w:cs="宋体" w:asciiTheme="minorEastAsia" w:hAnsiTheme="minorEastAsia" w:eastAsiaTheme="minorEastAsia"/>
          <w:color w:val="auto"/>
          <w:szCs w:val="21"/>
          <w:highlight w:val="none"/>
        </w:rPr>
        <w:t>；</w:t>
      </w:r>
    </w:p>
    <w:p w14:paraId="4082D9D3">
      <w:pPr>
        <w:spacing w:line="560" w:lineRule="exact"/>
        <w:ind w:firstLine="422" w:firstLineChars="200"/>
        <w:outlineLvl w:val="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合同</w:t>
      </w:r>
      <w:bookmarkEnd w:id="101"/>
      <w:bookmarkEnd w:id="102"/>
      <w:bookmarkEnd w:id="103"/>
      <w:bookmarkEnd w:id="104"/>
      <w:bookmarkEnd w:id="105"/>
      <w:r>
        <w:rPr>
          <w:rFonts w:hint="eastAsia" w:asciiTheme="minorEastAsia" w:hAnsiTheme="minorEastAsia" w:eastAsiaTheme="minorEastAsia"/>
          <w:b/>
          <w:color w:val="auto"/>
          <w:szCs w:val="21"/>
          <w:highlight w:val="none"/>
        </w:rPr>
        <w:t>金额</w:t>
      </w:r>
    </w:p>
    <w:p w14:paraId="6812CF10">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本合同金额为（大写）：人民币         元整（￥   元）</w:t>
      </w:r>
      <w:r>
        <w:rPr>
          <w:rFonts w:ascii="宋体" w:hAnsi="宋体" w:cs="宋体"/>
          <w:color w:val="auto"/>
          <w:szCs w:val="21"/>
          <w:highlight w:val="none"/>
        </w:rPr>
        <w:t>：</w:t>
      </w:r>
    </w:p>
    <w:p w14:paraId="4806FB84">
      <w:pPr>
        <w:pStyle w:val="631"/>
        <w:spacing w:before="0" w:beforeAutospacing="0" w:after="0" w:afterAutospacing="0" w:line="360" w:lineRule="auto"/>
        <w:ind w:firstLine="482"/>
        <w:rPr>
          <w:rFonts w:hint="eastAsia" w:asciiTheme="minorEastAsia" w:hAnsiTheme="minorEastAsia" w:eastAsiaTheme="minorEastAsia"/>
          <w:b/>
          <w:color w:val="auto"/>
          <w:sz w:val="21"/>
          <w:szCs w:val="21"/>
          <w:highlight w:val="none"/>
        </w:rPr>
      </w:pPr>
      <w:bookmarkStart w:id="106" w:name="_Toc10340"/>
      <w:bookmarkStart w:id="107" w:name="_Toc22618"/>
      <w:bookmarkStart w:id="108" w:name="_Toc1814"/>
      <w:bookmarkStart w:id="109" w:name="_Toc8772"/>
      <w:bookmarkStart w:id="110" w:name="_Toc31421"/>
      <w:bookmarkStart w:id="111" w:name="_Toc11108"/>
      <w:bookmarkStart w:id="112" w:name="_Toc4760"/>
      <w:bookmarkStart w:id="113" w:name="_Toc3625"/>
      <w:r>
        <w:rPr>
          <w:rFonts w:hint="eastAsia" w:asciiTheme="minorEastAsia" w:hAnsiTheme="minorEastAsia" w:eastAsiaTheme="minorEastAsia"/>
          <w:b/>
          <w:color w:val="auto"/>
          <w:sz w:val="21"/>
          <w:szCs w:val="21"/>
          <w:highlight w:val="none"/>
        </w:rPr>
        <w:t>1.4履约保证金</w:t>
      </w:r>
    </w:p>
    <w:p w14:paraId="4EEBD9C8">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乙方</w:t>
      </w:r>
      <w:r>
        <w:rPr>
          <w:rFonts w:hint="eastAsia" w:asciiTheme="minorEastAsia" w:hAnsiTheme="minorEastAsia" w:eastAsiaTheme="minorEastAsia"/>
          <w:color w:val="auto"/>
          <w:sz w:val="21"/>
          <w:szCs w:val="21"/>
          <w:highlight w:val="none"/>
          <w:u w:val="single"/>
        </w:rPr>
        <w:t xml:space="preserve">  否   </w:t>
      </w:r>
      <w:r>
        <w:rPr>
          <w:rFonts w:hint="eastAsia" w:asciiTheme="minorEastAsia" w:hAnsiTheme="minorEastAsia" w:eastAsiaTheme="minorEastAsia"/>
          <w:color w:val="auto"/>
          <w:sz w:val="21"/>
          <w:szCs w:val="21"/>
          <w:highlight w:val="none"/>
        </w:rPr>
        <w:t>（是</w:t>
      </w:r>
      <w:r>
        <w:rPr>
          <w:rFonts w:hint="eastAsia" w:cs="仿宋"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否）需要支付履约保证金。</w:t>
      </w:r>
    </w:p>
    <w:p w14:paraId="490EBDE6">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1.5</w:t>
      </w:r>
      <w:bookmarkEnd w:id="106"/>
      <w:bookmarkEnd w:id="107"/>
      <w:bookmarkEnd w:id="108"/>
      <w:r>
        <w:rPr>
          <w:rFonts w:hint="eastAsia" w:cs="宋体" w:asciiTheme="minorEastAsia" w:hAnsiTheme="minorEastAsia" w:eastAsiaTheme="minorEastAsia"/>
          <w:b/>
          <w:color w:val="auto"/>
          <w:szCs w:val="21"/>
          <w:highlight w:val="none"/>
        </w:rPr>
        <w:t>预付款</w:t>
      </w:r>
    </w:p>
    <w:p w14:paraId="5597FE24">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甲方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（是</w:t>
      </w:r>
      <w:r>
        <w:rPr>
          <w:rFonts w:hint="eastAsia" w:cs="仿宋"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否）需要支付预付款。若需要支付预付款的，则：</w:t>
      </w:r>
    </w:p>
    <w:p w14:paraId="42FD7FE6">
      <w:pPr>
        <w:spacing w:line="560" w:lineRule="exact"/>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1.5.1预付款比例、支付方式、时间：</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14:paraId="122065B6">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1.5.2预付款的扣回方式详见</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b/>
          <w:i/>
          <w:color w:val="auto"/>
          <w:sz w:val="21"/>
          <w:szCs w:val="21"/>
          <w:highlight w:val="none"/>
          <w:u w:val="single"/>
        </w:rPr>
        <w:t>合同专用条款</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7FEAB1B5">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1.5.3预付款的担保措施详见</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b/>
          <w:i/>
          <w:color w:val="auto"/>
          <w:sz w:val="21"/>
          <w:szCs w:val="21"/>
          <w:highlight w:val="none"/>
          <w:u w:val="single"/>
        </w:rPr>
        <w:t>合同专用条款</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69B06E9A">
      <w:pPr>
        <w:pStyle w:val="631"/>
        <w:spacing w:before="0" w:beforeAutospacing="0" w:after="0" w:afterAutospacing="0" w:line="360" w:lineRule="auto"/>
        <w:ind w:firstLine="482"/>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1.6资金支付</w:t>
      </w:r>
    </w:p>
    <w:p w14:paraId="309001E8">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1.6.1甲方应严格履行合同，及时组织验收，验收合格后及时将合同款支付完毕。对于满足合同约定支付条件的，甲方在</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个工作日内将资金支付到合同约定的乙方账户，有条件的甲方可以即时支付。甲方不得以机构变动、人员更替、政策调整、单位放假等为由延迟付款。</w:t>
      </w:r>
    </w:p>
    <w:p w14:paraId="1FA5F3B4">
      <w:pPr>
        <w:spacing w:line="560" w:lineRule="exact"/>
        <w:ind w:firstLine="420" w:firstLineChars="200"/>
        <w:outlineLvl w:val="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1.6.2资金支付的方式、时间和条件：详见</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szCs w:val="21"/>
          <w:highlight w:val="none"/>
        </w:rPr>
        <w:t>。</w:t>
      </w:r>
    </w:p>
    <w:p w14:paraId="3C8312BD">
      <w:pPr>
        <w:spacing w:line="560" w:lineRule="exact"/>
        <w:ind w:firstLine="422" w:firstLineChars="200"/>
        <w:outlineLvl w:val="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 xml:space="preserve"> 履行期限</w:t>
      </w:r>
      <w:r>
        <w:rPr>
          <w:rFonts w:hint="eastAsia" w:asciiTheme="minorEastAsia" w:hAnsiTheme="minorEastAsia" w:eastAsiaTheme="minorEastAsia"/>
          <w:b/>
          <w:color w:val="auto"/>
          <w:szCs w:val="21"/>
          <w:highlight w:val="none"/>
        </w:rPr>
        <w:t>、地点和方式</w:t>
      </w:r>
      <w:bookmarkEnd w:id="109"/>
      <w:bookmarkEnd w:id="110"/>
      <w:bookmarkEnd w:id="111"/>
      <w:bookmarkEnd w:id="112"/>
      <w:bookmarkEnd w:id="113"/>
    </w:p>
    <w:p w14:paraId="0B72A80B">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.1 </w:t>
      </w:r>
      <w:r>
        <w:rPr>
          <w:rFonts w:hint="eastAsia" w:asciiTheme="minorEastAsia" w:hAnsiTheme="minorEastAsia" w:eastAsiaTheme="minorEastAsia"/>
          <w:color w:val="auto"/>
          <w:szCs w:val="21"/>
          <w:highlight w:val="none"/>
        </w:rPr>
        <w:t>服务交付（实施）的时间（期限）</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48A55722">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.2 </w:t>
      </w:r>
      <w:r>
        <w:rPr>
          <w:rFonts w:hint="eastAsia" w:asciiTheme="minorEastAsia" w:hAnsiTheme="minorEastAsia" w:eastAsiaTheme="minorEastAsia"/>
          <w:color w:val="auto"/>
          <w:szCs w:val="21"/>
          <w:highlight w:val="none"/>
        </w:rPr>
        <w:t>服</w:t>
      </w:r>
      <w:r>
        <w:rPr>
          <w:rFonts w:hint="eastAsia" w:cs="宋体" w:asciiTheme="minorEastAsia" w:hAnsiTheme="minorEastAsia" w:eastAsiaTheme="minorEastAsia"/>
          <w:color w:val="auto"/>
          <w:szCs w:val="21"/>
          <w:highlight w:val="none"/>
        </w:rPr>
        <w:t>务交付（实施）的地点（地域范围）：</w:t>
      </w:r>
      <w:r>
        <w:rPr>
          <w:rFonts w:hint="eastAsia" w:asciiTheme="minorEastAsia" w:hAnsiTheme="minorEastAsia" w:eastAsiaTheme="minorEastAsia"/>
          <w:color w:val="auto"/>
          <w:szCs w:val="21"/>
          <w:highlight w:val="none"/>
        </w:rPr>
        <w:t>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0A0C827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.3 </w:t>
      </w:r>
      <w:r>
        <w:rPr>
          <w:rFonts w:hint="eastAsia" w:asciiTheme="minorEastAsia" w:hAnsiTheme="minorEastAsia" w:eastAsiaTheme="minorEastAsia"/>
          <w:color w:val="auto"/>
          <w:szCs w:val="21"/>
          <w:highlight w:val="none"/>
        </w:rPr>
        <w:t>服务交付（实施）的方式：详见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1CF654F8">
      <w:pPr>
        <w:spacing w:line="560" w:lineRule="exact"/>
        <w:ind w:firstLine="422" w:firstLineChars="200"/>
        <w:outlineLvl w:val="0"/>
        <w:rPr>
          <w:rFonts w:hint="eastAsia" w:asciiTheme="minorEastAsia" w:hAnsiTheme="minorEastAsia" w:eastAsiaTheme="minorEastAsia"/>
          <w:color w:val="auto"/>
          <w:szCs w:val="21"/>
          <w:highlight w:val="none"/>
          <w:u w:val="single"/>
        </w:rPr>
      </w:pPr>
      <w:bookmarkStart w:id="114" w:name="_Toc5698"/>
      <w:bookmarkStart w:id="115" w:name="_Toc2375"/>
      <w:bookmarkStart w:id="116" w:name="_Toc8586"/>
      <w:bookmarkStart w:id="117" w:name="_Toc24662"/>
      <w:bookmarkStart w:id="118" w:name="_Toc3079"/>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8违约责任</w:t>
      </w:r>
      <w:bookmarkEnd w:id="114"/>
      <w:bookmarkEnd w:id="115"/>
      <w:bookmarkEnd w:id="116"/>
      <w:bookmarkEnd w:id="117"/>
      <w:bookmarkEnd w:id="118"/>
    </w:p>
    <w:p w14:paraId="31266EF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.1 除不可抗力外，</w:t>
      </w:r>
      <w:r>
        <w:rPr>
          <w:rFonts w:hint="eastAsia" w:asciiTheme="minorEastAsia" w:hAnsiTheme="minorEastAsia" w:eastAsiaTheme="minorEastAsia"/>
          <w:color w:val="auto"/>
          <w:szCs w:val="21"/>
          <w:highlight w:val="none"/>
        </w:rPr>
        <w:t>合同签定三个月内未通过竣工验收，按合同延期处理，</w:t>
      </w:r>
      <w:r>
        <w:rPr>
          <w:rFonts w:hint="eastAsia" w:ascii="宋体" w:hAnsi="宋体" w:cs="宋体"/>
          <w:b w:val="0"/>
          <w:bCs w:val="0"/>
          <w:color w:val="auto"/>
          <w:kern w:val="0"/>
          <w:sz w:val="21"/>
          <w:szCs w:val="21"/>
          <w:highlight w:val="none"/>
          <w:lang w:val="en-US" w:eastAsia="zh-CN" w:bidi="ar-SA"/>
        </w:rPr>
        <w:t>延期违</w:t>
      </w:r>
      <w:r>
        <w:rPr>
          <w:rFonts w:asciiTheme="minorEastAsia" w:hAnsiTheme="minorEastAsia" w:eastAsiaTheme="minorEastAsia"/>
          <w:color w:val="auto"/>
          <w:szCs w:val="21"/>
          <w:highlight w:val="none"/>
        </w:rPr>
        <w:t>约金按</w:t>
      </w:r>
      <w:r>
        <w:rPr>
          <w:rFonts w:hint="eastAsia" w:asciiTheme="minorEastAsia" w:hAnsiTheme="minorEastAsia" w:eastAsiaTheme="minorEastAsia"/>
          <w:color w:val="auto"/>
          <w:szCs w:val="21"/>
          <w:highlight w:val="none"/>
          <w:lang w:val="en-US" w:eastAsia="zh-CN"/>
        </w:rPr>
        <w:t>合同总价的</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/日</w:t>
      </w:r>
      <w:r>
        <w:rPr>
          <w:rFonts w:asciiTheme="minorEastAsia" w:hAnsiTheme="minorEastAsia" w:eastAsiaTheme="minorEastAsia"/>
          <w:color w:val="auto"/>
          <w:szCs w:val="21"/>
          <w:highlight w:val="none"/>
        </w:rPr>
        <w:t>计算</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最高限额为</w:t>
      </w:r>
      <w:r>
        <w:rPr>
          <w:rFonts w:hint="eastAsia" w:asciiTheme="minorEastAsia" w:hAnsiTheme="minorEastAsia" w:eastAsiaTheme="minorEastAsia"/>
          <w:color w:val="auto"/>
          <w:szCs w:val="21"/>
          <w:highlight w:val="none"/>
        </w:rPr>
        <w:t>本</w:t>
      </w:r>
      <w:r>
        <w:rPr>
          <w:rFonts w:asciiTheme="minorEastAsia" w:hAnsiTheme="minorEastAsia" w:eastAsiaTheme="minorEastAsia"/>
          <w:color w:val="auto"/>
          <w:szCs w:val="21"/>
          <w:highlight w:val="none"/>
        </w:rPr>
        <w:t>合同总价的</w:t>
      </w:r>
      <w:r>
        <w:rPr>
          <w:rFonts w:asciiTheme="minorEastAsia" w:hAnsiTheme="minorEastAsia" w:eastAsiaTheme="minorEastAsia"/>
          <w:color w:val="auto"/>
          <w:szCs w:val="21"/>
          <w:highlight w:val="none"/>
          <w:u w:val="single"/>
        </w:rPr>
        <w:t xml:space="preserve">10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迟延</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的违约金计算数额达到前述最高限额之日起</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甲方有权在要求乙方支付违约金的同时</w:t>
      </w:r>
      <w:r>
        <w:rPr>
          <w:rFonts w:hint="eastAsia" w:asciiTheme="minorEastAsia" w:hAnsiTheme="minorEastAsia" w:eastAsiaTheme="minorEastAsia"/>
          <w:color w:val="auto"/>
          <w:szCs w:val="21"/>
          <w:highlight w:val="none"/>
        </w:rPr>
        <w:t>，书面通知乙方</w:t>
      </w:r>
      <w:r>
        <w:rPr>
          <w:rFonts w:asciiTheme="minorEastAsia" w:hAnsiTheme="minorEastAsia" w:eastAsiaTheme="minorEastAsia"/>
          <w:color w:val="auto"/>
          <w:szCs w:val="21"/>
          <w:highlight w:val="none"/>
        </w:rPr>
        <w:t>解除本合同</w:t>
      </w:r>
      <w:r>
        <w:rPr>
          <w:rFonts w:hint="eastAsia" w:asciiTheme="minorEastAsia" w:hAnsiTheme="minorEastAsia" w:eastAsiaTheme="minorEastAsia"/>
          <w:color w:val="auto"/>
          <w:szCs w:val="21"/>
          <w:highlight w:val="none"/>
        </w:rPr>
        <w:t>；</w:t>
      </w:r>
    </w:p>
    <w:p w14:paraId="2A7C7890">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%计算，最高限额为本合同总价的</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%；迟延交付货物的违约金计算数额达到前述最高限额之日起，甲方有权在要求乙方支付违约金的同时，书面通知乙方解除本合同；</w:t>
      </w:r>
    </w:p>
    <w:p w14:paraId="0429FCF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除不可抗力外，如果甲方没有按照本合同约定的付款方式付款，那么乙方可要求甲方支付违约金，违约金按每迟延付款一日的应付而未付款的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u w:val="single"/>
        </w:rPr>
        <w:t xml:space="preserve">5 </w:t>
      </w:r>
      <w:r>
        <w:rPr>
          <w:rFonts w:hint="eastAsia" w:cs="宋体" w:asciiTheme="minorEastAsia" w:hAnsiTheme="minorEastAsia" w:eastAsiaTheme="minorEastAsia"/>
          <w:color w:val="auto"/>
          <w:szCs w:val="21"/>
          <w:highlight w:val="none"/>
        </w:rPr>
        <w:t>%计算，最高限额为本合同总价的</w:t>
      </w:r>
      <w:r>
        <w:rPr>
          <w:rFonts w:cs="宋体" w:asciiTheme="minorEastAsia" w:hAnsiTheme="minorEastAsia" w:eastAsiaTheme="minorEastAsia"/>
          <w:color w:val="auto"/>
          <w:szCs w:val="21"/>
          <w:highlight w:val="none"/>
          <w:u w:val="single"/>
        </w:rPr>
        <w:t>1</w:t>
      </w:r>
      <w:r>
        <w:rPr>
          <w:rFonts w:hint="eastAsia"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rPr>
        <w:t>%；迟延付款的违约金计算数额达到前述最高限额之日起，乙方有权在要求甲方支付违约金的同时，书面通知甲方解除本合同</w:t>
      </w:r>
      <w:r>
        <w:rPr>
          <w:rFonts w:hint="eastAsia" w:asciiTheme="minorEastAsia" w:hAnsiTheme="minorEastAsia" w:eastAsiaTheme="minorEastAsia"/>
          <w:color w:val="auto"/>
          <w:szCs w:val="21"/>
          <w:highlight w:val="none"/>
        </w:rPr>
        <w:t>；</w:t>
      </w:r>
    </w:p>
    <w:p w14:paraId="59D947BF">
      <w:pPr>
        <w:spacing w:line="560" w:lineRule="exact"/>
        <w:ind w:firstLine="420" w:firstLineChars="200"/>
        <w:rPr>
          <w:rFonts w:hint="eastAsia" w:cs="宋体" w:asciiTheme="minorEastAsia" w:hAnsiTheme="minorEastAsia" w:eastAsiaTheme="minorEastAsia"/>
          <w:color w:val="auto"/>
          <w:szCs w:val="21"/>
          <w:highlight w:val="none"/>
        </w:rPr>
      </w:pPr>
      <w:bookmarkStart w:id="119" w:name="_Toc18683"/>
      <w:bookmarkStart w:id="120" w:name="_Toc26807"/>
      <w:bookmarkStart w:id="121" w:name="_Toc30329"/>
      <w:bookmarkStart w:id="122" w:name="_Toc9497"/>
      <w:bookmarkStart w:id="123" w:name="_Toc32454"/>
      <w:r>
        <w:rPr>
          <w:rFonts w:hint="eastAsia" w:cs="宋体" w:asciiTheme="minorEastAsia" w:hAnsiTheme="minorEastAsia" w:eastAsiaTheme="minorEastAsia"/>
          <w:color w:val="auto"/>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A24BF1">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048496D">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0358B3A">
      <w:pPr>
        <w:spacing w:line="560" w:lineRule="exact"/>
        <w:ind w:right="-420" w:rightChars="-200"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1.8.7违约责任</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szCs w:val="21"/>
          <w:highlight w:val="none"/>
        </w:rPr>
        <w:t>另有约定的，从其约定。</w:t>
      </w:r>
    </w:p>
    <w:bookmarkEnd w:id="119"/>
    <w:bookmarkEnd w:id="120"/>
    <w:bookmarkEnd w:id="121"/>
    <w:bookmarkEnd w:id="122"/>
    <w:bookmarkEnd w:id="123"/>
    <w:p w14:paraId="612B057D">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1.9合同争议的解决</w:t>
      </w:r>
    </w:p>
    <w:p w14:paraId="4A7E68F2">
      <w:pPr>
        <w:spacing w:line="560" w:lineRule="exact"/>
        <w:ind w:left="-61" w:leftChars="-29" w:right="-420" w:rightChars="-200" w:firstLine="210" w:firstLineChars="1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本合同履行过程中发生的任何争议，双方当事人均可通过和解或者调解解决；不愿和解、调解或者和解、调解不成的，可以选择以下第</w:t>
      </w:r>
      <w:r>
        <w:rPr>
          <w:rFonts w:hint="eastAsia" w:cs="宋体" w:asciiTheme="minorEastAsia" w:hAnsiTheme="minorEastAsia" w:eastAsiaTheme="minorEastAsia"/>
          <w:b/>
          <w:i/>
          <w:color w:val="auto"/>
          <w:szCs w:val="21"/>
          <w:highlight w:val="none"/>
          <w:u w:val="single"/>
        </w:rPr>
        <w:t xml:space="preserve">  </w:t>
      </w:r>
      <w:r>
        <w:rPr>
          <w:rFonts w:cs="宋体" w:asciiTheme="minorEastAsia" w:hAnsiTheme="minorEastAsia" w:eastAsiaTheme="minorEastAsia"/>
          <w:b/>
          <w:i/>
          <w:color w:val="auto"/>
          <w:szCs w:val="21"/>
          <w:highlight w:val="none"/>
          <w:u w:val="single"/>
        </w:rPr>
        <w:t>1.9.2</w:t>
      </w:r>
      <w:r>
        <w:rPr>
          <w:rFonts w:hint="eastAsia" w:cs="宋体" w:asciiTheme="minorEastAsia" w:hAnsiTheme="minorEastAsia" w:eastAsiaTheme="minorEastAsia"/>
          <w:b/>
          <w:i/>
          <w:color w:val="auto"/>
          <w:szCs w:val="21"/>
          <w:highlight w:val="none"/>
          <w:u w:val="single"/>
        </w:rPr>
        <w:t xml:space="preserve">  </w:t>
      </w:r>
      <w:r>
        <w:rPr>
          <w:rFonts w:hint="eastAsia" w:cs="宋体" w:asciiTheme="minorEastAsia" w:hAnsiTheme="minorEastAsia" w:eastAsiaTheme="minorEastAsia"/>
          <w:color w:val="auto"/>
          <w:szCs w:val="21"/>
          <w:highlight w:val="none"/>
        </w:rPr>
        <w:t>条款规定的方式解决：</w:t>
      </w:r>
    </w:p>
    <w:p w14:paraId="6E8CF243">
      <w:pPr>
        <w:spacing w:line="560" w:lineRule="exact"/>
        <w:ind w:left="-420" w:leftChars="-200" w:right="-420" w:rightChars="-200" w:firstLine="525" w:firstLineChars="2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1.9.1 将争议提交</w:t>
      </w:r>
      <w:r>
        <w:rPr>
          <w:rFonts w:hint="eastAsia" w:cs="宋体" w:asciiTheme="minorEastAsia" w:hAnsiTheme="minorEastAsia" w:eastAsiaTheme="minorEastAsia"/>
          <w:b/>
          <w:i/>
          <w:color w:val="auto"/>
          <w:szCs w:val="21"/>
          <w:highlight w:val="none"/>
          <w:u w:val="single"/>
        </w:rPr>
        <w:t>宁波</w:t>
      </w:r>
      <w:r>
        <w:rPr>
          <w:rFonts w:hint="eastAsia" w:cs="宋体" w:asciiTheme="minorEastAsia" w:hAnsiTheme="minorEastAsia" w:eastAsiaTheme="minorEastAsia"/>
          <w:color w:val="auto"/>
          <w:szCs w:val="21"/>
          <w:highlight w:val="none"/>
        </w:rPr>
        <w:t>仲裁委员会依申请仲裁时其现行有效的仲裁规则裁决；</w:t>
      </w:r>
    </w:p>
    <w:p w14:paraId="3036F930">
      <w:pPr>
        <w:spacing w:line="560" w:lineRule="exact"/>
        <w:ind w:left="-420" w:leftChars="-200" w:right="-420" w:rightChars="-200" w:firstLine="525" w:firstLineChars="2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1.9.2 向</w:t>
      </w:r>
      <w:r>
        <w:rPr>
          <w:rFonts w:hint="eastAsia" w:cs="宋体" w:asciiTheme="minorEastAsia" w:hAnsiTheme="minorEastAsia" w:eastAsiaTheme="minorEastAsia"/>
          <w:b/>
          <w:i/>
          <w:color w:val="auto"/>
          <w:szCs w:val="21"/>
          <w:highlight w:val="none"/>
          <w:u w:val="single"/>
        </w:rPr>
        <w:t>甲方所在地</w:t>
      </w:r>
      <w:r>
        <w:rPr>
          <w:rFonts w:hint="eastAsia" w:cs="宋体" w:asciiTheme="minorEastAsia" w:hAnsiTheme="minorEastAsia" w:eastAsiaTheme="minorEastAsia"/>
          <w:color w:val="auto"/>
          <w:szCs w:val="21"/>
          <w:highlight w:val="none"/>
        </w:rPr>
        <w:t>人民法院起诉。</w:t>
      </w:r>
    </w:p>
    <w:p w14:paraId="48028239">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2.0 合同生效</w:t>
      </w:r>
    </w:p>
    <w:p w14:paraId="234AB21B">
      <w:pPr>
        <w:spacing w:line="560" w:lineRule="exact"/>
        <w:ind w:firstLine="420" w:firstLineChars="20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本合同自双方当事人盖章签字时生效。</w:t>
      </w:r>
    </w:p>
    <w:p w14:paraId="039F70C8">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b/>
          <w:color w:val="auto"/>
          <w:szCs w:val="21"/>
          <w:highlight w:val="none"/>
          <w:lang w:val="zh-CN"/>
        </w:rPr>
        <w:t>甲方</w:t>
      </w:r>
      <w:r>
        <w:rPr>
          <w:rFonts w:hint="eastAsia" w:asciiTheme="minorEastAsia" w:hAnsiTheme="minorEastAsia" w:eastAsiaTheme="minorEastAsia"/>
          <w:color w:val="auto"/>
          <w:szCs w:val="21"/>
          <w:highlight w:val="none"/>
          <w:lang w:val="zh-CN"/>
        </w:rPr>
        <w:t>：</w:t>
      </w:r>
      <w:r>
        <w:rPr>
          <w:rFonts w:asciiTheme="minorEastAsia" w:hAnsiTheme="minorEastAsia" w:eastAsiaTheme="minorEastAsia"/>
          <w:color w:val="auto"/>
          <w:szCs w:val="21"/>
          <w:highlight w:val="none"/>
          <w:lang w:val="zh-CN"/>
        </w:rPr>
        <w:t xml:space="preserve">                             </w:t>
      </w:r>
      <w:r>
        <w:rPr>
          <w:rFonts w:asciiTheme="minorEastAsia" w:hAnsiTheme="minorEastAsia" w:eastAsiaTheme="minorEastAsia"/>
          <w:b/>
          <w:color w:val="auto"/>
          <w:szCs w:val="21"/>
          <w:highlight w:val="none"/>
          <w:lang w:val="zh-CN"/>
        </w:rPr>
        <w:t xml:space="preserve">      乙方</w:t>
      </w:r>
      <w:r>
        <w:rPr>
          <w:rFonts w:hint="eastAsia" w:asciiTheme="minorEastAsia" w:hAnsiTheme="minorEastAsia" w:eastAsiaTheme="minorEastAsia"/>
          <w:color w:val="auto"/>
          <w:szCs w:val="21"/>
          <w:highlight w:val="none"/>
          <w:lang w:val="zh-CN"/>
        </w:rPr>
        <w:t>：</w:t>
      </w:r>
    </w:p>
    <w:p w14:paraId="16B65A43">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统一社会信用代码：</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统一社会信用代码：</w:t>
      </w:r>
    </w:p>
    <w:p w14:paraId="6CB17941">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住所：</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住所：</w:t>
      </w:r>
    </w:p>
    <w:p w14:paraId="6F85A64D">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法定代表人或</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法定代表人或</w:t>
      </w:r>
    </w:p>
    <w:p w14:paraId="7549C331">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授权代表（签字）：</w:t>
      </w:r>
      <w:r>
        <w:rPr>
          <w:rFonts w:asciiTheme="minorEastAsia" w:hAnsiTheme="minorEastAsia" w:eastAsiaTheme="minorEastAsia"/>
          <w:color w:val="auto"/>
          <w:szCs w:val="21"/>
          <w:highlight w:val="none"/>
          <w:lang w:val="zh-CN"/>
        </w:rPr>
        <w:t xml:space="preserve">                       授权代表（签字）: </w:t>
      </w:r>
    </w:p>
    <w:p w14:paraId="29D22C4F">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联系人：</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联系人：</w:t>
      </w:r>
    </w:p>
    <w:p w14:paraId="7EFA8FC3">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约定送达地址：</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约定送达地址：</w:t>
      </w:r>
    </w:p>
    <w:p w14:paraId="6D6A2D77">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邮政编码：</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邮政编码：</w:t>
      </w:r>
    </w:p>
    <w:p w14:paraId="1D5F115D">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电话</w:t>
      </w:r>
      <w:r>
        <w:rPr>
          <w:rFonts w:asciiTheme="minorEastAsia" w:hAnsiTheme="minorEastAsia" w:eastAsiaTheme="minorEastAsia"/>
          <w:color w:val="auto"/>
          <w:szCs w:val="21"/>
          <w:highlight w:val="none"/>
          <w:lang w:val="zh-CN"/>
        </w:rPr>
        <w:t xml:space="preserve">:                                    电话: </w:t>
      </w:r>
    </w:p>
    <w:p w14:paraId="6329DC3F">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传真</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传真</w:t>
      </w:r>
      <w:r>
        <w:rPr>
          <w:rFonts w:asciiTheme="minorEastAsia" w:hAnsiTheme="minorEastAsia" w:eastAsiaTheme="minorEastAsia"/>
          <w:color w:val="auto"/>
          <w:szCs w:val="21"/>
          <w:highlight w:val="none"/>
          <w:lang w:val="zh-CN"/>
        </w:rPr>
        <w:t>:</w:t>
      </w:r>
    </w:p>
    <w:p w14:paraId="57F35752">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电子邮箱：</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电子邮箱：</w:t>
      </w:r>
    </w:p>
    <w:p w14:paraId="2D69B6FD">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asciiTheme="minorEastAsia" w:hAnsiTheme="minorEastAsia" w:eastAsiaTheme="minorEastAsia"/>
          <w:color w:val="auto"/>
          <w:szCs w:val="21"/>
          <w:highlight w:val="none"/>
        </w:rPr>
        <w:t xml:space="preserve">                               开户银行： </w:t>
      </w:r>
    </w:p>
    <w:p w14:paraId="4B9DC55A">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开户名称：</w:t>
      </w:r>
      <w:r>
        <w:rPr>
          <w:rFonts w:asciiTheme="minorEastAsia" w:hAnsiTheme="minorEastAsia" w:eastAsiaTheme="minorEastAsia"/>
          <w:color w:val="auto"/>
          <w:szCs w:val="21"/>
          <w:highlight w:val="none"/>
        </w:rPr>
        <w:t xml:space="preserve">                               开户名称： </w:t>
      </w:r>
    </w:p>
    <w:p w14:paraId="7EA8E56F">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开户账号：</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rPr>
        <w:t>开户账号：</w:t>
      </w:r>
    </w:p>
    <w:p w14:paraId="3076C810">
      <w:pPr>
        <w:pStyle w:val="285"/>
        <w:spacing w:line="560" w:lineRule="exact"/>
        <w:ind w:firstLine="482"/>
        <w:jc w:val="center"/>
        <w:rPr>
          <w:rFonts w:hint="eastAsia" w:ascii="宋体" w:hAnsi="宋体"/>
          <w:b/>
          <w:color w:val="auto"/>
          <w:szCs w:val="24"/>
          <w:highlight w:val="none"/>
        </w:rPr>
      </w:pPr>
    </w:p>
    <w:p w14:paraId="57E5E7A6">
      <w:pPr>
        <w:pStyle w:val="285"/>
        <w:spacing w:line="560" w:lineRule="exact"/>
        <w:ind w:firstLine="482"/>
        <w:jc w:val="center"/>
        <w:rPr>
          <w:rFonts w:hint="eastAsia" w:ascii="宋体" w:hAnsi="宋体"/>
          <w:b/>
          <w:color w:val="auto"/>
          <w:szCs w:val="24"/>
          <w:highlight w:val="none"/>
        </w:rPr>
      </w:pPr>
    </w:p>
    <w:p w14:paraId="29F4C357">
      <w:pPr>
        <w:pStyle w:val="285"/>
        <w:spacing w:line="560" w:lineRule="exact"/>
        <w:ind w:firstLine="482"/>
        <w:jc w:val="center"/>
        <w:rPr>
          <w:rFonts w:hint="eastAsia" w:ascii="宋体" w:hAnsi="宋体"/>
          <w:b/>
          <w:color w:val="auto"/>
          <w:szCs w:val="24"/>
          <w:highlight w:val="none"/>
        </w:rPr>
      </w:pPr>
    </w:p>
    <w:p w14:paraId="2DF6B9FF">
      <w:pPr>
        <w:pStyle w:val="285"/>
        <w:spacing w:line="560" w:lineRule="exact"/>
        <w:ind w:firstLine="482"/>
        <w:jc w:val="center"/>
        <w:rPr>
          <w:rFonts w:hint="eastAsia" w:ascii="宋体" w:hAnsi="宋体"/>
          <w:b/>
          <w:color w:val="auto"/>
          <w:szCs w:val="24"/>
          <w:highlight w:val="none"/>
        </w:rPr>
      </w:pPr>
    </w:p>
    <w:p w14:paraId="6D4A39DC">
      <w:pPr>
        <w:pStyle w:val="285"/>
        <w:spacing w:line="560" w:lineRule="exact"/>
        <w:ind w:firstLine="482"/>
        <w:jc w:val="center"/>
        <w:rPr>
          <w:rFonts w:hint="eastAsia" w:ascii="宋体" w:hAnsi="宋体"/>
          <w:b/>
          <w:color w:val="auto"/>
          <w:szCs w:val="24"/>
          <w:highlight w:val="none"/>
        </w:rPr>
      </w:pPr>
    </w:p>
    <w:p w14:paraId="539A9F09">
      <w:pPr>
        <w:pStyle w:val="285"/>
        <w:spacing w:line="560" w:lineRule="exact"/>
        <w:ind w:firstLine="482"/>
        <w:jc w:val="center"/>
        <w:rPr>
          <w:rFonts w:hint="eastAsia" w:ascii="宋体" w:hAnsi="宋体"/>
          <w:b/>
          <w:color w:val="auto"/>
          <w:szCs w:val="24"/>
          <w:highlight w:val="none"/>
        </w:rPr>
      </w:pPr>
    </w:p>
    <w:p w14:paraId="6DD40EAF">
      <w:pPr>
        <w:pStyle w:val="285"/>
        <w:spacing w:line="560" w:lineRule="exact"/>
        <w:ind w:left="0" w:leftChars="0" w:firstLine="0" w:firstLineChars="0"/>
        <w:rPr>
          <w:rFonts w:hint="eastAsia" w:ascii="宋体" w:hAnsi="宋体"/>
          <w:b/>
          <w:color w:val="auto"/>
          <w:szCs w:val="24"/>
          <w:highlight w:val="none"/>
        </w:rPr>
      </w:pPr>
    </w:p>
    <w:p w14:paraId="7B44376C">
      <w:pPr>
        <w:pStyle w:val="25"/>
        <w:rPr>
          <w:rFonts w:hint="eastAsia"/>
          <w:color w:val="auto"/>
          <w:highlight w:val="none"/>
        </w:rPr>
      </w:pPr>
    </w:p>
    <w:p w14:paraId="0ACA5C70">
      <w:pPr>
        <w:pStyle w:val="26"/>
        <w:rPr>
          <w:color w:val="auto"/>
          <w:highlight w:val="none"/>
        </w:rPr>
      </w:pPr>
    </w:p>
    <w:p w14:paraId="579DA953">
      <w:pPr>
        <w:pStyle w:val="26"/>
        <w:rPr>
          <w:color w:val="auto"/>
          <w:highlight w:val="none"/>
        </w:rPr>
      </w:pPr>
    </w:p>
    <w:p w14:paraId="7F75ED86">
      <w:pPr>
        <w:pStyle w:val="26"/>
        <w:rPr>
          <w:color w:val="auto"/>
          <w:highlight w:val="none"/>
        </w:rPr>
      </w:pPr>
    </w:p>
    <w:p w14:paraId="5450D924">
      <w:pPr>
        <w:pStyle w:val="26"/>
        <w:rPr>
          <w:color w:val="auto"/>
          <w:highlight w:val="none"/>
        </w:rPr>
      </w:pPr>
    </w:p>
    <w:p w14:paraId="3DE55862">
      <w:pPr>
        <w:pStyle w:val="26"/>
        <w:rPr>
          <w:color w:val="auto"/>
          <w:highlight w:val="none"/>
        </w:rPr>
      </w:pPr>
    </w:p>
    <w:p w14:paraId="19FB8D45">
      <w:pPr>
        <w:pStyle w:val="26"/>
        <w:rPr>
          <w:color w:val="auto"/>
          <w:highlight w:val="none"/>
        </w:rPr>
      </w:pPr>
    </w:p>
    <w:p w14:paraId="74C1A15A">
      <w:pPr>
        <w:pStyle w:val="26"/>
        <w:rPr>
          <w:color w:val="auto"/>
          <w:highlight w:val="none"/>
        </w:rPr>
      </w:pPr>
    </w:p>
    <w:p w14:paraId="224E508A">
      <w:pPr>
        <w:pStyle w:val="26"/>
        <w:rPr>
          <w:color w:val="auto"/>
          <w:highlight w:val="none"/>
        </w:rPr>
      </w:pPr>
    </w:p>
    <w:p w14:paraId="60252691">
      <w:pPr>
        <w:pStyle w:val="26"/>
        <w:rPr>
          <w:color w:val="auto"/>
          <w:highlight w:val="none"/>
        </w:rPr>
      </w:pPr>
    </w:p>
    <w:p w14:paraId="61A6DCA9">
      <w:pPr>
        <w:pStyle w:val="26"/>
        <w:rPr>
          <w:color w:val="auto"/>
          <w:highlight w:val="none"/>
        </w:rPr>
      </w:pPr>
    </w:p>
    <w:p w14:paraId="24FC6E5B">
      <w:pPr>
        <w:pStyle w:val="26"/>
        <w:rPr>
          <w:color w:val="auto"/>
          <w:highlight w:val="none"/>
        </w:rPr>
      </w:pPr>
    </w:p>
    <w:p w14:paraId="596E2C72">
      <w:pPr>
        <w:pStyle w:val="26"/>
        <w:rPr>
          <w:color w:val="auto"/>
          <w:highlight w:val="none"/>
        </w:rPr>
      </w:pPr>
    </w:p>
    <w:p w14:paraId="480E298E">
      <w:pPr>
        <w:pStyle w:val="26"/>
        <w:rPr>
          <w:color w:val="auto"/>
          <w:highlight w:val="none"/>
        </w:rPr>
      </w:pPr>
    </w:p>
    <w:p w14:paraId="2781419D">
      <w:pPr>
        <w:pStyle w:val="26"/>
        <w:rPr>
          <w:color w:val="auto"/>
          <w:highlight w:val="none"/>
        </w:rPr>
      </w:pPr>
    </w:p>
    <w:p w14:paraId="4C2A228D">
      <w:pPr>
        <w:pStyle w:val="26"/>
        <w:rPr>
          <w:color w:val="auto"/>
          <w:highlight w:val="none"/>
        </w:rPr>
      </w:pPr>
    </w:p>
    <w:p w14:paraId="4600ADB2">
      <w:pPr>
        <w:pStyle w:val="26"/>
        <w:rPr>
          <w:color w:val="auto"/>
          <w:highlight w:val="none"/>
        </w:rPr>
      </w:pPr>
    </w:p>
    <w:p w14:paraId="5D5C03A8">
      <w:pPr>
        <w:pStyle w:val="26"/>
        <w:rPr>
          <w:color w:val="auto"/>
          <w:highlight w:val="none"/>
        </w:rPr>
      </w:pPr>
    </w:p>
    <w:p w14:paraId="194B982A">
      <w:pPr>
        <w:pStyle w:val="26"/>
        <w:rPr>
          <w:color w:val="auto"/>
          <w:highlight w:val="none"/>
        </w:rPr>
      </w:pPr>
    </w:p>
    <w:p w14:paraId="57585054">
      <w:pPr>
        <w:pStyle w:val="26"/>
        <w:rPr>
          <w:color w:val="auto"/>
          <w:highlight w:val="none"/>
        </w:rPr>
      </w:pPr>
    </w:p>
    <w:p w14:paraId="0E22BBF1">
      <w:pPr>
        <w:pStyle w:val="26"/>
        <w:rPr>
          <w:color w:val="auto"/>
          <w:highlight w:val="none"/>
        </w:rPr>
      </w:pPr>
    </w:p>
    <w:p w14:paraId="381C20C4">
      <w:pPr>
        <w:pStyle w:val="26"/>
        <w:rPr>
          <w:color w:val="auto"/>
          <w:highlight w:val="none"/>
        </w:rPr>
      </w:pPr>
    </w:p>
    <w:p w14:paraId="04C1F3C1">
      <w:pPr>
        <w:pStyle w:val="26"/>
        <w:rPr>
          <w:color w:val="auto"/>
          <w:highlight w:val="none"/>
        </w:rPr>
      </w:pPr>
    </w:p>
    <w:p w14:paraId="33365F86">
      <w:pPr>
        <w:pStyle w:val="26"/>
        <w:rPr>
          <w:color w:val="auto"/>
          <w:highlight w:val="none"/>
        </w:rPr>
      </w:pPr>
    </w:p>
    <w:p w14:paraId="10A6F660">
      <w:pPr>
        <w:pStyle w:val="26"/>
        <w:rPr>
          <w:color w:val="auto"/>
          <w:highlight w:val="none"/>
        </w:rPr>
      </w:pPr>
    </w:p>
    <w:p w14:paraId="5C011A50">
      <w:pPr>
        <w:pStyle w:val="26"/>
        <w:rPr>
          <w:color w:val="auto"/>
          <w:highlight w:val="none"/>
        </w:rPr>
      </w:pPr>
    </w:p>
    <w:p w14:paraId="16141713">
      <w:pPr>
        <w:pStyle w:val="26"/>
        <w:rPr>
          <w:color w:val="auto"/>
          <w:highlight w:val="none"/>
        </w:rPr>
      </w:pPr>
    </w:p>
    <w:p w14:paraId="158060ED">
      <w:pPr>
        <w:pStyle w:val="26"/>
        <w:rPr>
          <w:color w:val="auto"/>
          <w:highlight w:val="none"/>
        </w:rPr>
      </w:pPr>
    </w:p>
    <w:p w14:paraId="6E03227C">
      <w:pPr>
        <w:pStyle w:val="26"/>
        <w:rPr>
          <w:color w:val="auto"/>
          <w:highlight w:val="none"/>
        </w:rPr>
      </w:pPr>
    </w:p>
    <w:p w14:paraId="30B0E4DD">
      <w:pPr>
        <w:pStyle w:val="26"/>
        <w:rPr>
          <w:color w:val="auto"/>
          <w:highlight w:val="none"/>
        </w:rPr>
      </w:pPr>
    </w:p>
    <w:p w14:paraId="030F2126">
      <w:pPr>
        <w:pStyle w:val="285"/>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776C78">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24" w:name="_Toc25079"/>
      <w:bookmarkStart w:id="125" w:name="_Toc5228"/>
      <w:bookmarkStart w:id="126" w:name="_Toc19680"/>
      <w:bookmarkStart w:id="127" w:name="_Toc31297"/>
      <w:bookmarkStart w:id="128" w:name="_Toc14021"/>
      <w:r>
        <w:rPr>
          <w:rFonts w:asciiTheme="minorEastAsia" w:hAnsiTheme="minorEastAsia" w:eastAsiaTheme="minorEastAsia"/>
          <w:b/>
          <w:color w:val="auto"/>
          <w:szCs w:val="21"/>
          <w:highlight w:val="none"/>
        </w:rPr>
        <w:t>2.1 定义</w:t>
      </w:r>
      <w:bookmarkEnd w:id="124"/>
      <w:bookmarkEnd w:id="125"/>
      <w:bookmarkEnd w:id="126"/>
      <w:bookmarkEnd w:id="127"/>
      <w:bookmarkEnd w:id="128"/>
    </w:p>
    <w:p w14:paraId="5E89243E">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本合同中的下列</w:t>
      </w:r>
      <w:r>
        <w:rPr>
          <w:rFonts w:hint="eastAsia" w:asciiTheme="minorEastAsia" w:hAnsiTheme="minorEastAsia" w:eastAsiaTheme="minorEastAsia"/>
          <w:color w:val="auto"/>
          <w:szCs w:val="21"/>
          <w:highlight w:val="none"/>
        </w:rPr>
        <w:t>词</w:t>
      </w:r>
      <w:r>
        <w:rPr>
          <w:rFonts w:asciiTheme="minorEastAsia" w:hAnsiTheme="minorEastAsia" w:eastAsiaTheme="minorEastAsia"/>
          <w:color w:val="auto"/>
          <w:szCs w:val="21"/>
          <w:highlight w:val="none"/>
        </w:rPr>
        <w:t>语应</w:t>
      </w:r>
      <w:r>
        <w:rPr>
          <w:rFonts w:hint="eastAsia" w:asciiTheme="minorEastAsia" w:hAnsiTheme="minorEastAsia" w:eastAsiaTheme="minorEastAsia"/>
          <w:color w:val="auto"/>
          <w:szCs w:val="21"/>
          <w:highlight w:val="none"/>
        </w:rPr>
        <w:t>按以下内容进行</w:t>
      </w:r>
      <w:r>
        <w:rPr>
          <w:rFonts w:asciiTheme="minorEastAsia" w:hAnsiTheme="minorEastAsia" w:eastAsiaTheme="minorEastAsia"/>
          <w:color w:val="auto"/>
          <w:szCs w:val="21"/>
          <w:highlight w:val="none"/>
        </w:rPr>
        <w:t>解释：</w:t>
      </w:r>
    </w:p>
    <w:p w14:paraId="4E40379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 “合同”系指采购人和</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供应商签订的载明双方当事人所达成的协议，并包括所有的附件、附录和构成合同的其他文件。</w:t>
      </w:r>
    </w:p>
    <w:p w14:paraId="10A25AC1">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2.1.2 “合同价”系指根据合同约定，</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供应商在完全履行合同义务后</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采购人应支付给</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供应商的价格。</w:t>
      </w:r>
    </w:p>
    <w:p w14:paraId="3F8053F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2.1.3 “</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”系指</w:t>
      </w:r>
      <w:r>
        <w:rPr>
          <w:rFonts w:hint="eastAsia" w:cs="宋体" w:asciiTheme="minorEastAsia" w:hAnsiTheme="minorEastAsia" w:eastAsiaTheme="minorEastAsia"/>
          <w:color w:val="auto"/>
          <w:szCs w:val="21"/>
          <w:highlight w:val="none"/>
        </w:rPr>
        <w:t>中标或成交</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根据合同约定应向采购人</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除货物和工程以外的其他政府采购对象，包括采购人自身需要的服务和向社会公众提供的公共服务。</w:t>
      </w:r>
    </w:p>
    <w:p w14:paraId="3922DB6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2.1.4 “</w:t>
      </w:r>
      <w:r>
        <w:rPr>
          <w:rFonts w:hint="eastAsia" w:asciiTheme="minorEastAsia" w:hAnsiTheme="minorEastAsia" w:eastAsiaTheme="minorEastAsia"/>
          <w:color w:val="auto"/>
          <w:szCs w:val="21"/>
          <w:highlight w:val="none"/>
        </w:rPr>
        <w:t>甲方</w:t>
      </w:r>
      <w:r>
        <w:rPr>
          <w:rFonts w:asciiTheme="minorEastAsia" w:hAnsiTheme="minorEastAsia" w:eastAsiaTheme="minorEastAsia"/>
          <w:color w:val="auto"/>
          <w:szCs w:val="21"/>
          <w:highlight w:val="none"/>
        </w:rPr>
        <w:t>”系指与</w:t>
      </w:r>
      <w:r>
        <w:rPr>
          <w:rFonts w:hint="eastAsia" w:cs="宋体" w:asciiTheme="minorEastAsia" w:hAnsiTheme="minorEastAsia" w:eastAsiaTheme="minorEastAsia"/>
          <w:color w:val="auto"/>
          <w:szCs w:val="21"/>
          <w:highlight w:val="none"/>
        </w:rPr>
        <w:t>中标或成交</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签署合同的采购人</w:t>
      </w:r>
      <w:r>
        <w:rPr>
          <w:rFonts w:hint="eastAsia" w:asciiTheme="minorEastAsia" w:hAnsiTheme="minorEastAsia" w:eastAsiaTheme="minorEastAsia"/>
          <w:color w:val="auto"/>
          <w:szCs w:val="21"/>
          <w:highlight w:val="none"/>
        </w:rPr>
        <w:t>；采购人委托采购代理机构代表其与乙方签订合同的，采购人的授权委托书作为合同附件。</w:t>
      </w:r>
    </w:p>
    <w:p w14:paraId="094753F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2.1.5 “乙方”系指根据合同约定提供服务的</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6BD20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2.1.6 “现场”系指合同约定提供服务的地点。</w:t>
      </w:r>
    </w:p>
    <w:p w14:paraId="136597C9">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29" w:name="_Toc23289"/>
      <w:bookmarkStart w:id="130" w:name="_Toc19539"/>
      <w:bookmarkStart w:id="131" w:name="_Toc16752"/>
      <w:bookmarkStart w:id="132" w:name="_Toc31402"/>
      <w:bookmarkStart w:id="133" w:name="_Toc3769"/>
      <w:r>
        <w:rPr>
          <w:rFonts w:asciiTheme="minorEastAsia" w:hAnsiTheme="minorEastAsia" w:eastAsiaTheme="minorEastAsia"/>
          <w:b/>
          <w:color w:val="auto"/>
          <w:szCs w:val="21"/>
          <w:highlight w:val="none"/>
        </w:rPr>
        <w:t>2.2 技术规范</w:t>
      </w:r>
      <w:bookmarkEnd w:id="129"/>
      <w:bookmarkEnd w:id="130"/>
      <w:bookmarkEnd w:id="131"/>
      <w:bookmarkEnd w:id="132"/>
      <w:bookmarkEnd w:id="133"/>
    </w:p>
    <w:p w14:paraId="3B7CBEC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如果采购文件中没有技术规范的相应说明，那么应以国家有关部门最新颁布的相应标准</w:t>
      </w:r>
      <w:r>
        <w:rPr>
          <w:rFonts w:hint="eastAsia" w:asciiTheme="minorEastAsia" w:hAnsiTheme="minorEastAsia" w:eastAsiaTheme="minorEastAsia"/>
          <w:color w:val="auto"/>
          <w:szCs w:val="21"/>
          <w:highlight w:val="none"/>
        </w:rPr>
        <w:t>和</w:t>
      </w:r>
      <w:r>
        <w:rPr>
          <w:rFonts w:asciiTheme="minorEastAsia" w:hAnsiTheme="minorEastAsia" w:eastAsiaTheme="minorEastAsia"/>
          <w:color w:val="auto"/>
          <w:szCs w:val="21"/>
          <w:highlight w:val="none"/>
        </w:rPr>
        <w:t>规范为准。</w:t>
      </w:r>
    </w:p>
    <w:p w14:paraId="3BB0B4EF">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4" w:name="_Toc4133"/>
      <w:bookmarkStart w:id="135" w:name="_Toc13673"/>
      <w:bookmarkStart w:id="136" w:name="_Toc9161"/>
      <w:bookmarkStart w:id="137" w:name="_Toc27945"/>
      <w:bookmarkStart w:id="138" w:name="_Toc12412"/>
      <w:r>
        <w:rPr>
          <w:rFonts w:asciiTheme="minorEastAsia" w:hAnsiTheme="minorEastAsia" w:eastAsiaTheme="minorEastAsia"/>
          <w:b/>
          <w:color w:val="auto"/>
          <w:szCs w:val="21"/>
          <w:highlight w:val="none"/>
        </w:rPr>
        <w:t>2.3 知识产权</w:t>
      </w:r>
      <w:bookmarkEnd w:id="134"/>
      <w:bookmarkEnd w:id="135"/>
      <w:bookmarkEnd w:id="136"/>
      <w:bookmarkEnd w:id="137"/>
      <w:bookmarkEnd w:id="138"/>
    </w:p>
    <w:p w14:paraId="051A1556">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2.3.1 </w:t>
      </w:r>
      <w:r>
        <w:rPr>
          <w:rFonts w:hint="eastAsia" w:asciiTheme="minorEastAsia" w:hAnsiTheme="minorEastAsia" w:eastAsiaTheme="minorEastAsia"/>
          <w:color w:val="auto"/>
          <w:szCs w:val="21"/>
          <w:highlight w:val="none"/>
        </w:rPr>
        <w:t>乙</w:t>
      </w:r>
      <w:r>
        <w:rPr>
          <w:rFonts w:asciiTheme="minorEastAsia" w:hAnsiTheme="minorEastAsia" w:eastAsiaTheme="minorEastAsia"/>
          <w:color w:val="auto"/>
          <w:szCs w:val="21"/>
          <w:highlight w:val="none"/>
        </w:rPr>
        <w:t>方应保证</w:t>
      </w:r>
      <w:r>
        <w:rPr>
          <w:rFonts w:hint="eastAsia" w:asciiTheme="minorEastAsia" w:hAnsiTheme="minorEastAsia" w:eastAsiaTheme="minorEastAsia"/>
          <w:color w:val="auto"/>
          <w:szCs w:val="21"/>
          <w:highlight w:val="none"/>
        </w:rPr>
        <w:t>其提供的服务</w:t>
      </w:r>
      <w:r>
        <w:rPr>
          <w:rFonts w:asciiTheme="minorEastAsia" w:hAnsiTheme="minorEastAsia" w:eastAsiaTheme="minorEastAsia"/>
          <w:color w:val="auto"/>
          <w:szCs w:val="21"/>
          <w:highlight w:val="none"/>
        </w:rPr>
        <w:t>不受任何第三方提出的侵犯其著作权、商标权、专利权等知识产权方面的起诉</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如果任何第三方提出侵权</w:t>
      </w:r>
      <w:r>
        <w:rPr>
          <w:rFonts w:hint="eastAsia" w:asciiTheme="minorEastAsia" w:hAnsiTheme="minorEastAsia" w:eastAsiaTheme="minorEastAsia"/>
          <w:color w:val="auto"/>
          <w:szCs w:val="21"/>
          <w:highlight w:val="none"/>
        </w:rPr>
        <w:t>指控</w:t>
      </w:r>
      <w:r>
        <w:rPr>
          <w:rFonts w:asciiTheme="minorEastAsia" w:hAnsiTheme="minorEastAsia" w:eastAsiaTheme="minorEastAsia"/>
          <w:color w:val="auto"/>
          <w:szCs w:val="21"/>
          <w:highlight w:val="none"/>
        </w:rPr>
        <w:t>，那么乙方须与该第三方交涉并承担由此发生的一切责任、费用和赔偿</w:t>
      </w:r>
      <w:r>
        <w:rPr>
          <w:rFonts w:hint="eastAsia" w:asciiTheme="minorEastAsia" w:hAnsiTheme="minorEastAsia" w:eastAsiaTheme="minorEastAsia"/>
          <w:color w:val="auto"/>
          <w:szCs w:val="21"/>
          <w:highlight w:val="none"/>
        </w:rPr>
        <w:t>，乙方还应及时澄清相关信息，使甲方声誉免受损害，甲方保留追责的权利。</w:t>
      </w:r>
    </w:p>
    <w:p w14:paraId="54B135E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2.3.2 </w:t>
      </w:r>
      <w:r>
        <w:rPr>
          <w:rFonts w:hint="eastAsia" w:asciiTheme="minorEastAsia" w:hAnsiTheme="minorEastAsia" w:eastAsiaTheme="minorEastAsia"/>
          <w:color w:val="auto"/>
          <w:szCs w:val="21"/>
          <w:highlight w:val="none"/>
        </w:rPr>
        <w:t>合同涉及技术成果的归属和收益的分成办法的，</w:t>
      </w:r>
      <w:r>
        <w:rPr>
          <w:rFonts w:asciiTheme="minorEastAsia" w:hAnsiTheme="minorEastAsia" w:eastAsiaTheme="minorEastAsia"/>
          <w:color w:val="auto"/>
          <w:szCs w:val="21"/>
          <w:highlight w:val="none"/>
        </w:rPr>
        <w:t>详见</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w:t>
      </w:r>
    </w:p>
    <w:p w14:paraId="2D6E629F">
      <w:pPr>
        <w:spacing w:line="560" w:lineRule="exact"/>
        <w:ind w:firstLine="422"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履约检查和问题反馈</w:t>
      </w:r>
    </w:p>
    <w:p w14:paraId="7ECA36F7">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2.4.1甲方</w:t>
      </w:r>
      <w:r>
        <w:rPr>
          <w:rFonts w:hint="eastAsia" w:asciiTheme="minorEastAsia" w:hAnsiTheme="minorEastAsia" w:eastAsiaTheme="minorEastAsia"/>
          <w:color w:val="auto"/>
          <w:szCs w:val="21"/>
          <w:highlight w:val="none"/>
        </w:rPr>
        <w:t>有权</w:t>
      </w:r>
      <w:r>
        <w:rPr>
          <w:rFonts w:asciiTheme="minorEastAsia" w:hAnsiTheme="minorEastAsia" w:eastAsiaTheme="minorEastAsia"/>
          <w:color w:val="auto"/>
          <w:szCs w:val="21"/>
          <w:highlight w:val="none"/>
        </w:rPr>
        <w:t>在其认为必要时</w:t>
      </w:r>
      <w:r>
        <w:rPr>
          <w:rFonts w:hint="eastAsia" w:asciiTheme="minorEastAsia" w:hAnsiTheme="minorEastAsia" w:eastAsiaTheme="minorEastAsia"/>
          <w:color w:val="auto"/>
          <w:szCs w:val="21"/>
          <w:highlight w:val="none"/>
        </w:rPr>
        <w:t>，对乙方是否能够按照合同约定提供服务进行履约检查，以确保乙方所提供的服务能够依约满足甲方之项目需求，但不得因履约检查妨碍乙方的正常工作，乙方应予积极配合；</w:t>
      </w:r>
    </w:p>
    <w:p w14:paraId="2EAB8D5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2.4.2 </w:t>
      </w:r>
      <w:r>
        <w:rPr>
          <w:rFonts w:hint="eastAsia" w:asciiTheme="minorEastAsia" w:hAnsiTheme="minorEastAsia" w:eastAsiaTheme="minorEastAsia"/>
          <w:color w:val="auto"/>
          <w:szCs w:val="21"/>
          <w:highlight w:val="none"/>
        </w:rPr>
        <w:t>合同履行期间，甲方有权将履行过程中出现的问题反馈给乙方，双方当事人应以书面形式约定需要完善和改进的内容。</w:t>
      </w:r>
    </w:p>
    <w:p w14:paraId="0659A31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9" w:name="_Toc22011"/>
      <w:bookmarkStart w:id="140" w:name="_Toc31233"/>
      <w:bookmarkStart w:id="141" w:name="_Toc15447"/>
      <w:bookmarkStart w:id="142" w:name="_Toc32670"/>
      <w:bookmarkStart w:id="143" w:name="_Toc26555"/>
      <w:r>
        <w:rPr>
          <w:rFonts w:asciiTheme="minorEastAsia" w:hAnsiTheme="minorEastAsia" w:eastAsiaTheme="minorEastAsia"/>
          <w:b/>
          <w:color w:val="auto"/>
          <w:szCs w:val="21"/>
          <w:highlight w:val="none"/>
        </w:rPr>
        <w:t>2.5 结算方式和付款条件</w:t>
      </w:r>
      <w:bookmarkEnd w:id="139"/>
      <w:bookmarkEnd w:id="140"/>
      <w:bookmarkEnd w:id="141"/>
      <w:bookmarkEnd w:id="142"/>
      <w:bookmarkEnd w:id="143"/>
    </w:p>
    <w:p w14:paraId="37D1649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详见</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w:t>
      </w:r>
    </w:p>
    <w:p w14:paraId="770CF58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44" w:name="_Toc16163"/>
      <w:bookmarkStart w:id="145" w:name="_Toc13467"/>
      <w:bookmarkStart w:id="146" w:name="_Toc30507"/>
      <w:bookmarkStart w:id="147" w:name="_Toc18990"/>
      <w:bookmarkStart w:id="148" w:name="_Toc13154"/>
      <w:r>
        <w:rPr>
          <w:rFonts w:asciiTheme="minorEastAsia" w:hAnsiTheme="minorEastAsia" w:eastAsiaTheme="minorEastAsia"/>
          <w:b/>
          <w:color w:val="auto"/>
          <w:szCs w:val="21"/>
          <w:highlight w:val="none"/>
        </w:rPr>
        <w:t>2.6 技术资料和保密义务</w:t>
      </w:r>
      <w:bookmarkEnd w:id="144"/>
      <w:bookmarkEnd w:id="145"/>
      <w:bookmarkEnd w:id="146"/>
      <w:bookmarkEnd w:id="147"/>
      <w:bookmarkEnd w:id="148"/>
    </w:p>
    <w:p w14:paraId="4733515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2.6.1 乙方有权依据合同约定和项目需要，向甲方了解有关情况，调阅有关资料等，甲方应予积极配合；</w:t>
      </w:r>
    </w:p>
    <w:p w14:paraId="16C483FF">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2.6.2 </w:t>
      </w:r>
      <w:r>
        <w:rPr>
          <w:rFonts w:hint="eastAsia" w:asciiTheme="minorEastAsia" w:hAnsiTheme="minorEastAsia" w:eastAsiaTheme="minorEastAsia"/>
          <w:color w:val="auto"/>
          <w:szCs w:val="21"/>
          <w:highlight w:val="none"/>
        </w:rPr>
        <w:t>乙方有义务妥善保管和保护由甲方提供的前款信息和资料等；</w:t>
      </w:r>
    </w:p>
    <w:p w14:paraId="0C089E1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2.6.3 </w:t>
      </w:r>
      <w:r>
        <w:rPr>
          <w:rFonts w:hint="eastAsia" w:asciiTheme="minorEastAsia" w:hAnsiTheme="minorEastAsia" w:eastAsiaTheme="minorEastAsia"/>
          <w:color w:val="auto"/>
          <w:szCs w:val="21"/>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Cs w:val="21"/>
          <w:highlight w:val="none"/>
        </w:rPr>
        <w:t>技术情报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技术资料</w:t>
      </w:r>
      <w:r>
        <w:rPr>
          <w:rFonts w:hint="eastAsia" w:asciiTheme="minorEastAsia" w:hAnsiTheme="minorEastAsia" w:eastAsiaTheme="minorEastAsia"/>
          <w:color w:val="auto"/>
          <w:szCs w:val="21"/>
          <w:highlight w:val="none"/>
        </w:rPr>
        <w:t>、商业秘密和商业信息等，并采取一切合理和必要措施和方式防止任何第三方接触到对方当事人的上述保密信息和资料。</w:t>
      </w:r>
    </w:p>
    <w:p w14:paraId="41A67528">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49" w:name="_Toc19069"/>
      <w:r>
        <w:rPr>
          <w:rFonts w:asciiTheme="minorEastAsia" w:hAnsiTheme="minorEastAsia" w:eastAsiaTheme="minorEastAsia"/>
          <w:b/>
          <w:color w:val="auto"/>
          <w:szCs w:val="21"/>
          <w:highlight w:val="none"/>
        </w:rPr>
        <w:t xml:space="preserve">2.7 </w:t>
      </w:r>
      <w:r>
        <w:rPr>
          <w:rFonts w:hint="eastAsia" w:asciiTheme="minorEastAsia" w:hAnsiTheme="minorEastAsia" w:eastAsiaTheme="minorEastAsia"/>
          <w:b/>
          <w:color w:val="auto"/>
          <w:szCs w:val="21"/>
          <w:highlight w:val="none"/>
        </w:rPr>
        <w:t>质量保证</w:t>
      </w:r>
      <w:bookmarkEnd w:id="149"/>
    </w:p>
    <w:p w14:paraId="29E96955">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2.7.1 </w:t>
      </w:r>
      <w:r>
        <w:rPr>
          <w:rFonts w:hint="eastAsia" w:asciiTheme="minorEastAsia" w:hAnsiTheme="minorEastAsia" w:eastAsiaTheme="minorEastAsia"/>
          <w:color w:val="auto"/>
          <w:szCs w:val="21"/>
          <w:highlight w:val="none"/>
        </w:rPr>
        <w:t>乙方应建立和完善履行合同的内部质量保证体系，并提供相关内部规章制度给甲方，以便甲方进行监督检查；</w:t>
      </w:r>
    </w:p>
    <w:p w14:paraId="7A7AA7A2">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2.7.2 </w:t>
      </w:r>
      <w:r>
        <w:rPr>
          <w:rFonts w:hint="eastAsia" w:asciiTheme="minorEastAsia" w:hAnsiTheme="minorEastAsia" w:eastAsiaTheme="minorEastAsia"/>
          <w:color w:val="auto"/>
          <w:szCs w:val="21"/>
          <w:highlight w:val="none"/>
        </w:rPr>
        <w:t>乙方应保证履行合同的人员数量和素质、软件和硬件设备的配置、场地、环境和设施等满足全面履行合同的要求，并应接受甲方的监督检查。</w:t>
      </w:r>
    </w:p>
    <w:p w14:paraId="4E7DF62D">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0" w:name="_Toc22267"/>
      <w:r>
        <w:rPr>
          <w:rFonts w:asciiTheme="minorEastAsia" w:hAnsiTheme="minorEastAsia" w:eastAsiaTheme="minorEastAsia"/>
          <w:b/>
          <w:color w:val="auto"/>
          <w:szCs w:val="21"/>
          <w:highlight w:val="none"/>
        </w:rPr>
        <w:t xml:space="preserve">2.8 </w:t>
      </w:r>
      <w:r>
        <w:rPr>
          <w:rFonts w:hint="eastAsia" w:asciiTheme="minorEastAsia" w:hAnsiTheme="minorEastAsia" w:eastAsiaTheme="minorEastAsia"/>
          <w:b/>
          <w:color w:val="auto"/>
          <w:szCs w:val="21"/>
          <w:highlight w:val="none"/>
        </w:rPr>
        <w:t>延迟履行</w:t>
      </w:r>
      <w:bookmarkEnd w:id="150"/>
    </w:p>
    <w:p w14:paraId="5159EDCB">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甲乙双方签订合同后，乙方应按照合同约定履行合同义务，除不可抗力外，乙方不得延迟履行。</w:t>
      </w:r>
      <w:r>
        <w:rPr>
          <w:rFonts w:asciiTheme="minorEastAsia" w:hAnsiTheme="minorEastAsia" w:eastAsiaTheme="minorEastAsia"/>
          <w:color w:val="auto"/>
          <w:szCs w:val="21"/>
          <w:highlight w:val="none"/>
        </w:rPr>
        <w:t>在合同履行过程中，如果</w:t>
      </w:r>
      <w:r>
        <w:rPr>
          <w:rFonts w:hint="eastAsia" w:asciiTheme="minorEastAsia" w:hAnsiTheme="minorEastAsia" w:eastAsiaTheme="minorEastAsia"/>
          <w:color w:val="auto"/>
          <w:szCs w:val="21"/>
          <w:highlight w:val="none"/>
        </w:rPr>
        <w:t>因不可抗力，</w:t>
      </w:r>
      <w:r>
        <w:rPr>
          <w:rFonts w:asciiTheme="minorEastAsia" w:hAnsiTheme="minorEastAsia" w:eastAsiaTheme="minorEastAsia"/>
          <w:color w:val="auto"/>
          <w:szCs w:val="21"/>
          <w:highlight w:val="none"/>
        </w:rPr>
        <w:t>乙方遇到不能按时</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的情况，应及时以书面形式将不能按时</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的理由、预期延误时间通知甲方</w:t>
      </w:r>
      <w:r>
        <w:rPr>
          <w:rFonts w:hint="eastAsia" w:asciiTheme="minorEastAsia" w:hAnsiTheme="minorEastAsia" w:eastAsiaTheme="minorEastAsia"/>
          <w:color w:val="auto"/>
          <w:szCs w:val="21"/>
          <w:highlight w:val="none"/>
        </w:rPr>
        <w:t>；甲</w:t>
      </w:r>
      <w:r>
        <w:rPr>
          <w:rFonts w:asciiTheme="minorEastAsia" w:hAnsiTheme="minorEastAsia" w:eastAsiaTheme="minorEastAsia"/>
          <w:color w:val="auto"/>
          <w:szCs w:val="21"/>
          <w:highlight w:val="none"/>
        </w:rPr>
        <w:t>方收到乙方通知后，认为其理由正当的，可以书面形式酌情同意乙方可以延长</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的具体时间。</w:t>
      </w:r>
    </w:p>
    <w:p w14:paraId="02046F99">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1" w:name="_Toc10611"/>
      <w:r>
        <w:rPr>
          <w:rFonts w:asciiTheme="minorEastAsia" w:hAnsiTheme="minorEastAsia" w:eastAsiaTheme="minorEastAsia"/>
          <w:b/>
          <w:color w:val="auto"/>
          <w:szCs w:val="21"/>
          <w:highlight w:val="none"/>
        </w:rPr>
        <w:t xml:space="preserve">2.9 </w:t>
      </w:r>
      <w:r>
        <w:rPr>
          <w:rFonts w:hint="eastAsia" w:asciiTheme="minorEastAsia" w:hAnsiTheme="minorEastAsia" w:eastAsiaTheme="minorEastAsia"/>
          <w:b/>
          <w:color w:val="auto"/>
          <w:szCs w:val="21"/>
          <w:highlight w:val="none"/>
        </w:rPr>
        <w:t>合同变更</w:t>
      </w:r>
      <w:bookmarkEnd w:id="151"/>
    </w:p>
    <w:p w14:paraId="7F39F4C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6D7173D4">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2" w:name="_Toc21830"/>
      <w:bookmarkStart w:id="153" w:name="_Toc42"/>
      <w:bookmarkStart w:id="154" w:name="_Toc26689"/>
      <w:bookmarkStart w:id="155" w:name="_Toc23368"/>
      <w:bookmarkStart w:id="156" w:name="_Toc10663"/>
      <w:r>
        <w:rPr>
          <w:rFonts w:asciiTheme="minorEastAsia" w:hAnsiTheme="minorEastAsia" w:eastAsiaTheme="minorEastAsia"/>
          <w:b/>
          <w:color w:val="auto"/>
          <w:szCs w:val="21"/>
          <w:highlight w:val="none"/>
        </w:rPr>
        <w:t>2.10 合同转让和分包</w:t>
      </w:r>
      <w:bookmarkEnd w:id="152"/>
      <w:bookmarkEnd w:id="153"/>
      <w:bookmarkEnd w:id="154"/>
      <w:bookmarkEnd w:id="155"/>
      <w:bookmarkEnd w:id="156"/>
    </w:p>
    <w:p w14:paraId="347579A3">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合同的权利义务依法不</w:t>
      </w:r>
      <w:r>
        <w:rPr>
          <w:rFonts w:hint="eastAsia" w:asciiTheme="minorEastAsia" w:hAnsiTheme="minorEastAsia" w:eastAsiaTheme="minorEastAsia"/>
          <w:color w:val="auto"/>
          <w:szCs w:val="21"/>
          <w:highlight w:val="none"/>
        </w:rPr>
        <w:t>得</w:t>
      </w:r>
      <w:r>
        <w:rPr>
          <w:rFonts w:asciiTheme="minorEastAsia" w:hAnsiTheme="minorEastAsia" w:eastAsiaTheme="minorEastAsia"/>
          <w:color w:val="auto"/>
          <w:szCs w:val="21"/>
          <w:highlight w:val="none"/>
        </w:rPr>
        <w:t>转让</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本合同范围内的服务，应由乙方直接供应，不得转让他人供应，未经采购人同意不得分包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如有转让和未经采购人同意的分包行为，甲方有权给予终止合同。</w:t>
      </w:r>
    </w:p>
    <w:p w14:paraId="19C8322A">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7" w:name="_Toc4720"/>
      <w:bookmarkStart w:id="158" w:name="_Toc26633"/>
      <w:bookmarkStart w:id="159" w:name="_Toc32494"/>
      <w:bookmarkStart w:id="160" w:name="_Toc25571"/>
      <w:bookmarkStart w:id="161" w:name="_Toc14371"/>
      <w:r>
        <w:rPr>
          <w:rFonts w:asciiTheme="minorEastAsia" w:hAnsiTheme="minorEastAsia" w:eastAsiaTheme="minorEastAsia"/>
          <w:b/>
          <w:color w:val="auto"/>
          <w:szCs w:val="21"/>
          <w:highlight w:val="none"/>
        </w:rPr>
        <w:t>2.11 不可抗力</w:t>
      </w:r>
      <w:bookmarkEnd w:id="157"/>
      <w:bookmarkEnd w:id="158"/>
      <w:bookmarkEnd w:id="159"/>
      <w:bookmarkEnd w:id="160"/>
      <w:bookmarkEnd w:id="161"/>
    </w:p>
    <w:p w14:paraId="303947D5">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Cs w:val="21"/>
          <w:highlight w:val="none"/>
        </w:rPr>
        <w:t>；</w:t>
      </w:r>
    </w:p>
    <w:p w14:paraId="2085704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2.11.2 </w:t>
      </w:r>
      <w:r>
        <w:rPr>
          <w:rFonts w:hint="eastAsia" w:asciiTheme="minorEastAsia" w:hAnsiTheme="minorEastAsia" w:eastAsiaTheme="minorEastAsia"/>
          <w:color w:val="auto"/>
          <w:szCs w:val="21"/>
          <w:highlight w:val="none"/>
        </w:rPr>
        <w:t>因不可抗力致使不能实现合同目的的，当事人可以解除合同；</w:t>
      </w:r>
    </w:p>
    <w:p w14:paraId="3A31FD1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2.11.3 </w:t>
      </w:r>
      <w:r>
        <w:rPr>
          <w:rFonts w:hint="eastAsia" w:asciiTheme="minorEastAsia" w:hAnsiTheme="minorEastAsia" w:eastAsiaTheme="minorEastAsia"/>
          <w:color w:val="auto"/>
          <w:szCs w:val="21"/>
          <w:highlight w:val="none"/>
        </w:rPr>
        <w:t>因</w:t>
      </w:r>
      <w:r>
        <w:rPr>
          <w:rFonts w:asciiTheme="minorEastAsia" w:hAnsiTheme="minorEastAsia" w:eastAsiaTheme="minorEastAsia"/>
          <w:color w:val="auto"/>
          <w:szCs w:val="21"/>
          <w:highlight w:val="none"/>
        </w:rPr>
        <w:t>不可抗力致使合同有变更必要的，双方当事人应在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约定时间内以书面形式变更合同</w:t>
      </w:r>
      <w:r>
        <w:rPr>
          <w:rFonts w:hint="eastAsia" w:asciiTheme="minorEastAsia" w:hAnsiTheme="minorEastAsia" w:eastAsiaTheme="minorEastAsia"/>
          <w:color w:val="auto"/>
          <w:szCs w:val="21"/>
          <w:highlight w:val="none"/>
        </w:rPr>
        <w:t>；</w:t>
      </w:r>
    </w:p>
    <w:p w14:paraId="2AC7EB6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2.11.4受</w:t>
      </w:r>
      <w:r>
        <w:rPr>
          <w:rFonts w:hint="eastAsia" w:asciiTheme="minorEastAsia" w:hAnsiTheme="minorEastAsia" w:eastAsiaTheme="minorEastAsia"/>
          <w:color w:val="auto"/>
          <w:szCs w:val="21"/>
          <w:highlight w:val="none"/>
        </w:rPr>
        <w:t>不可抗力</w:t>
      </w:r>
      <w:r>
        <w:rPr>
          <w:rFonts w:asciiTheme="minorEastAsia" w:hAnsiTheme="minorEastAsia" w:eastAsiaTheme="minorEastAsia"/>
          <w:color w:val="auto"/>
          <w:szCs w:val="21"/>
          <w:highlight w:val="none"/>
        </w:rPr>
        <w:t>影响的一方在不可抗力发生后</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应在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约定时间内以书面形式通知</w:t>
      </w:r>
      <w:r>
        <w:rPr>
          <w:rFonts w:hint="eastAsia" w:asciiTheme="minorEastAsia" w:hAnsiTheme="minorEastAsia" w:eastAsiaTheme="minorEastAsia"/>
          <w:color w:val="auto"/>
          <w:szCs w:val="21"/>
          <w:highlight w:val="none"/>
        </w:rPr>
        <w:t>对</w:t>
      </w:r>
      <w:r>
        <w:rPr>
          <w:rFonts w:asciiTheme="minorEastAsia" w:hAnsiTheme="minorEastAsia" w:eastAsiaTheme="minorEastAsia"/>
          <w:color w:val="auto"/>
          <w:szCs w:val="21"/>
          <w:highlight w:val="none"/>
        </w:rPr>
        <w:t>方当事人，并在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约定时间内，将有关部门出具的证明文件送达</w:t>
      </w:r>
      <w:r>
        <w:rPr>
          <w:rFonts w:hint="eastAsia" w:asciiTheme="minorEastAsia" w:hAnsiTheme="minorEastAsia" w:eastAsiaTheme="minorEastAsia"/>
          <w:color w:val="auto"/>
          <w:szCs w:val="21"/>
          <w:highlight w:val="none"/>
        </w:rPr>
        <w:t>对方当事人</w:t>
      </w:r>
      <w:r>
        <w:rPr>
          <w:rFonts w:asciiTheme="minorEastAsia" w:hAnsiTheme="minorEastAsia" w:eastAsiaTheme="minorEastAsia"/>
          <w:color w:val="auto"/>
          <w:szCs w:val="21"/>
          <w:highlight w:val="none"/>
        </w:rPr>
        <w:t>。</w:t>
      </w:r>
    </w:p>
    <w:p w14:paraId="529F565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62" w:name="_Toc24465"/>
      <w:bookmarkStart w:id="163" w:name="_Toc25783"/>
      <w:bookmarkStart w:id="164" w:name="_Toc23854"/>
      <w:bookmarkStart w:id="165" w:name="_Toc3638"/>
      <w:bookmarkStart w:id="166" w:name="_Toc14115"/>
      <w:r>
        <w:rPr>
          <w:rFonts w:asciiTheme="minorEastAsia" w:hAnsiTheme="minorEastAsia" w:eastAsiaTheme="minorEastAsia"/>
          <w:b/>
          <w:color w:val="auto"/>
          <w:szCs w:val="21"/>
          <w:highlight w:val="none"/>
        </w:rPr>
        <w:t>2.12 税费</w:t>
      </w:r>
      <w:bookmarkEnd w:id="162"/>
      <w:bookmarkEnd w:id="163"/>
      <w:bookmarkEnd w:id="164"/>
      <w:bookmarkEnd w:id="165"/>
      <w:bookmarkEnd w:id="166"/>
    </w:p>
    <w:p w14:paraId="45BF3139">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与合同有关的一切税费</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均按照中华人民共和国法律的相关规定缴纳。</w:t>
      </w:r>
    </w:p>
    <w:p w14:paraId="52D042B4">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67" w:name="_Toc14814"/>
      <w:bookmarkStart w:id="168" w:name="_Toc25525"/>
      <w:bookmarkStart w:id="169" w:name="_Toc26883"/>
      <w:bookmarkStart w:id="170" w:name="_Toc7315"/>
      <w:bookmarkStart w:id="171" w:name="_Toc30105"/>
      <w:r>
        <w:rPr>
          <w:rFonts w:asciiTheme="minorEastAsia" w:hAnsiTheme="minorEastAsia" w:eastAsiaTheme="minorEastAsia"/>
          <w:b/>
          <w:color w:val="auto"/>
          <w:szCs w:val="21"/>
          <w:highlight w:val="none"/>
        </w:rPr>
        <w:t>2.13 乙方破产</w:t>
      </w:r>
      <w:bookmarkEnd w:id="167"/>
      <w:bookmarkEnd w:id="168"/>
      <w:bookmarkEnd w:id="169"/>
      <w:bookmarkEnd w:id="170"/>
      <w:bookmarkEnd w:id="171"/>
    </w:p>
    <w:p w14:paraId="1A9BDBE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Cs w:val="21"/>
          <w:highlight w:val="none"/>
        </w:rPr>
        <w:t>，但合同的</w:t>
      </w:r>
      <w:r>
        <w:rPr>
          <w:rFonts w:asciiTheme="minorEastAsia" w:hAnsiTheme="minorEastAsia" w:eastAsiaTheme="minorEastAsia"/>
          <w:color w:val="auto"/>
          <w:szCs w:val="21"/>
          <w:highlight w:val="none"/>
        </w:rPr>
        <w:t>终止不损害或不影响甲方已经采取或将要采取的任何要求乙方支付违约金</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赔偿损失等的行动或补救措施的权利</w:t>
      </w:r>
      <w:r>
        <w:rPr>
          <w:rFonts w:hint="eastAsia" w:asciiTheme="minorEastAsia" w:hAnsiTheme="minorEastAsia" w:eastAsiaTheme="minorEastAsia"/>
          <w:color w:val="auto"/>
          <w:szCs w:val="21"/>
          <w:highlight w:val="none"/>
        </w:rPr>
        <w:t>。</w:t>
      </w:r>
    </w:p>
    <w:p w14:paraId="685088C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72" w:name="_Toc1123"/>
      <w:bookmarkStart w:id="173" w:name="_Toc23323"/>
      <w:bookmarkStart w:id="174" w:name="_Toc2016"/>
      <w:r>
        <w:rPr>
          <w:rFonts w:asciiTheme="minorEastAsia" w:hAnsiTheme="minorEastAsia" w:eastAsiaTheme="minorEastAsia"/>
          <w:b/>
          <w:color w:val="auto"/>
          <w:szCs w:val="21"/>
          <w:highlight w:val="none"/>
        </w:rPr>
        <w:t>2.14 合同中止、终止</w:t>
      </w:r>
      <w:bookmarkEnd w:id="172"/>
      <w:bookmarkEnd w:id="173"/>
      <w:bookmarkEnd w:id="174"/>
    </w:p>
    <w:p w14:paraId="749B51C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2.14.1 </w:t>
      </w:r>
      <w:r>
        <w:rPr>
          <w:rFonts w:hint="eastAsia" w:asciiTheme="minorEastAsia" w:hAnsiTheme="minorEastAsia" w:eastAsiaTheme="minorEastAsia"/>
          <w:color w:val="auto"/>
          <w:szCs w:val="21"/>
          <w:highlight w:val="none"/>
        </w:rPr>
        <w:t>双方当事人不得擅自中止或者终止合同；</w:t>
      </w:r>
    </w:p>
    <w:p w14:paraId="059CBD8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691E7D30">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75" w:name="_Toc14525"/>
      <w:bookmarkStart w:id="176" w:name="_Toc17363"/>
      <w:bookmarkStart w:id="177" w:name="_Toc1969"/>
      <w:r>
        <w:rPr>
          <w:rFonts w:asciiTheme="minorEastAsia" w:hAnsiTheme="minorEastAsia" w:eastAsiaTheme="minorEastAsia"/>
          <w:b/>
          <w:color w:val="auto"/>
          <w:szCs w:val="21"/>
          <w:highlight w:val="none"/>
        </w:rPr>
        <w:t>2.15验收</w:t>
      </w:r>
      <w:bookmarkEnd w:id="175"/>
      <w:bookmarkEnd w:id="176"/>
      <w:bookmarkEnd w:id="177"/>
    </w:p>
    <w:p w14:paraId="51B5824A">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2.15.1 </w:t>
      </w:r>
      <w:r>
        <w:rPr>
          <w:rFonts w:hint="eastAsia" w:asciiTheme="minorEastAsia" w:hAnsiTheme="minorEastAsia" w:eastAsiaTheme="minorEastAsia"/>
          <w:color w:val="auto"/>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54214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2.15.2 </w:t>
      </w:r>
      <w:r>
        <w:rPr>
          <w:rFonts w:hint="eastAsia" w:asciiTheme="minorEastAsia" w:hAnsiTheme="minorEastAsia" w:eastAsiaTheme="minorEastAsia"/>
          <w:color w:val="auto"/>
          <w:szCs w:val="21"/>
          <w:highlight w:val="none"/>
        </w:rPr>
        <w:t>采购人可以邀请参加本项目的其他供应商或者第三方机构参与验收。参与验收的供应商或者第三方机构的意见作为验收书的参考资料一并存档。</w:t>
      </w:r>
    </w:p>
    <w:p w14:paraId="258D9D2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2.15.3 </w:t>
      </w:r>
      <w:r>
        <w:rPr>
          <w:rFonts w:hint="eastAsia" w:asciiTheme="minorEastAsia" w:hAnsiTheme="minorEastAsia" w:eastAsiaTheme="minorEastAsia"/>
          <w:color w:val="auto"/>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44D38EE7">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.15.4</w:t>
      </w:r>
      <w:r>
        <w:rPr>
          <w:rFonts w:hint="eastAsia" w:asciiTheme="minorEastAsia" w:hAnsiTheme="minorEastAsia" w:eastAsiaTheme="minorEastAsia"/>
          <w:color w:val="auto"/>
          <w:szCs w:val="21"/>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1E1FAB">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78" w:name="_Toc31892"/>
      <w:bookmarkStart w:id="179" w:name="_Toc12666"/>
      <w:bookmarkStart w:id="180" w:name="_Toc9808"/>
      <w:bookmarkStart w:id="181" w:name="_Toc2308"/>
      <w:bookmarkStart w:id="182" w:name="_Toc25198"/>
      <w:r>
        <w:rPr>
          <w:rFonts w:asciiTheme="minorEastAsia" w:hAnsiTheme="minorEastAsia" w:eastAsiaTheme="minorEastAsia"/>
          <w:b/>
          <w:color w:val="auto"/>
          <w:szCs w:val="21"/>
          <w:highlight w:val="none"/>
        </w:rPr>
        <w:t>2.16 通知和送达</w:t>
      </w:r>
      <w:bookmarkEnd w:id="178"/>
      <w:bookmarkEnd w:id="179"/>
      <w:bookmarkEnd w:id="180"/>
      <w:bookmarkEnd w:id="181"/>
      <w:bookmarkEnd w:id="182"/>
    </w:p>
    <w:p w14:paraId="35B19E3E">
      <w:pPr>
        <w:spacing w:line="560" w:lineRule="exact"/>
        <w:ind w:firstLine="420" w:firstLineChars="200"/>
        <w:rPr>
          <w:rFonts w:hint="eastAsia" w:asciiTheme="minorEastAsia" w:hAnsiTheme="minorEastAsia" w:eastAsiaTheme="minorEastAsia"/>
          <w:color w:val="auto"/>
          <w:szCs w:val="21"/>
          <w:highlight w:val="none"/>
        </w:rPr>
      </w:pPr>
      <w:bookmarkStart w:id="183" w:name="_Toc18401"/>
      <w:bookmarkStart w:id="184" w:name="_Toc27674"/>
      <w:r>
        <w:rPr>
          <w:rFonts w:asciiTheme="minorEastAsia" w:hAnsiTheme="minorEastAsia" w:eastAsiaTheme="minorEastAsia"/>
          <w:color w:val="auto"/>
          <w:szCs w:val="21"/>
          <w:highlight w:val="none"/>
        </w:rPr>
        <w:t>2.17.1</w:t>
      </w:r>
      <w:r>
        <w:rPr>
          <w:rFonts w:hint="eastAsia" w:asciiTheme="minorEastAsia" w:hAnsiTheme="minorEastAsia" w:eastAsiaTheme="minorEastAsia"/>
          <w:color w:val="auto"/>
          <w:szCs w:val="21"/>
          <w:highlight w:val="none"/>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rPr>
        <w:t>个工作日内书面通知对方当事人，在对方当事人收到有关变更通知之前，变更前的约定送达方式或者地址仍视为有效。</w:t>
      </w:r>
    </w:p>
    <w:p w14:paraId="7A10701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Cs w:val="21"/>
          <w:highlight w:val="none"/>
        </w:rPr>
        <w:t>的，邮件挂号寄出或者交邮之日之次日视为送达。</w:t>
      </w:r>
      <w:bookmarkEnd w:id="183"/>
      <w:bookmarkEnd w:id="184"/>
    </w:p>
    <w:p w14:paraId="63A807DA">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85" w:name="_Toc27644"/>
      <w:bookmarkStart w:id="186" w:name="_Toc20808"/>
      <w:bookmarkStart w:id="187" w:name="_Toc28906"/>
      <w:bookmarkStart w:id="188" w:name="_Toc12254"/>
      <w:bookmarkStart w:id="189" w:name="_Toc5063"/>
      <w:r>
        <w:rPr>
          <w:rFonts w:asciiTheme="minorEastAsia" w:hAnsiTheme="minorEastAsia" w:eastAsiaTheme="minorEastAsia"/>
          <w:b/>
          <w:color w:val="auto"/>
          <w:szCs w:val="21"/>
          <w:highlight w:val="none"/>
        </w:rPr>
        <w:t xml:space="preserve">2.17 </w:t>
      </w:r>
      <w:r>
        <w:rPr>
          <w:rFonts w:hint="eastAsia" w:asciiTheme="minorEastAsia" w:hAnsiTheme="minorEastAsia" w:eastAsiaTheme="minorEastAsia"/>
          <w:b/>
          <w:color w:val="auto"/>
          <w:szCs w:val="21"/>
          <w:highlight w:val="none"/>
        </w:rPr>
        <w:t>合同使用的文字和</w:t>
      </w:r>
      <w:r>
        <w:rPr>
          <w:rFonts w:asciiTheme="minorEastAsia" w:hAnsiTheme="minorEastAsia" w:eastAsiaTheme="minorEastAsia"/>
          <w:b/>
          <w:color w:val="auto"/>
          <w:szCs w:val="21"/>
          <w:highlight w:val="none"/>
        </w:rPr>
        <w:t>适用的法律</w:t>
      </w:r>
      <w:bookmarkEnd w:id="185"/>
      <w:bookmarkEnd w:id="186"/>
      <w:bookmarkEnd w:id="187"/>
      <w:bookmarkEnd w:id="188"/>
      <w:bookmarkEnd w:id="189"/>
    </w:p>
    <w:p w14:paraId="404221B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2.17.1 合同使用汉语</w:t>
      </w:r>
      <w:r>
        <w:rPr>
          <w:rFonts w:hint="eastAsia" w:asciiTheme="minorEastAsia" w:hAnsiTheme="minorEastAsia" w:eastAsiaTheme="minorEastAsia"/>
          <w:color w:val="auto"/>
          <w:szCs w:val="21"/>
          <w:highlight w:val="none"/>
        </w:rPr>
        <w:t>书写、</w:t>
      </w:r>
      <w:r>
        <w:rPr>
          <w:rFonts w:asciiTheme="minorEastAsia" w:hAnsiTheme="minorEastAsia" w:eastAsiaTheme="minorEastAsia"/>
          <w:color w:val="auto"/>
          <w:szCs w:val="21"/>
          <w:highlight w:val="none"/>
        </w:rPr>
        <w:t>变更和解释</w:t>
      </w:r>
      <w:r>
        <w:rPr>
          <w:rFonts w:hint="eastAsia" w:asciiTheme="minorEastAsia" w:hAnsiTheme="minorEastAsia" w:eastAsiaTheme="minorEastAsia"/>
          <w:color w:val="auto"/>
          <w:szCs w:val="21"/>
          <w:highlight w:val="none"/>
        </w:rPr>
        <w:t>；</w:t>
      </w:r>
    </w:p>
    <w:p w14:paraId="44145C6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2.17.2 </w:t>
      </w:r>
      <w:r>
        <w:rPr>
          <w:rFonts w:hint="eastAsia" w:asciiTheme="minorEastAsia" w:hAnsiTheme="minorEastAsia" w:eastAsiaTheme="minorEastAsia"/>
          <w:color w:val="auto"/>
          <w:szCs w:val="21"/>
          <w:highlight w:val="none"/>
        </w:rPr>
        <w:t>合同适用</w:t>
      </w:r>
      <w:r>
        <w:rPr>
          <w:rFonts w:asciiTheme="minorEastAsia" w:hAnsiTheme="minorEastAsia" w:eastAsiaTheme="minorEastAsia"/>
          <w:color w:val="auto"/>
          <w:szCs w:val="21"/>
          <w:highlight w:val="none"/>
        </w:rPr>
        <w:t>中华人民共和国法律。</w:t>
      </w:r>
    </w:p>
    <w:p w14:paraId="5C2A6723">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2.18 计量单位</w:t>
      </w:r>
    </w:p>
    <w:p w14:paraId="61C383A1">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除技术规范中另有规定外,合同的计量单位均使用国家法定计量单位。</w:t>
      </w:r>
    </w:p>
    <w:p w14:paraId="249D9021">
      <w:pPr>
        <w:spacing w:line="560" w:lineRule="exact"/>
        <w:ind w:firstLine="422"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19</w:t>
      </w:r>
      <w:r>
        <w:rPr>
          <w:rFonts w:asciiTheme="minorEastAsia" w:hAnsiTheme="minorEastAsia" w:eastAsiaTheme="minorEastAsia"/>
          <w:b/>
          <w:color w:val="auto"/>
          <w:szCs w:val="21"/>
          <w:highlight w:val="none"/>
        </w:rPr>
        <w:t>合同份数</w:t>
      </w:r>
    </w:p>
    <w:p w14:paraId="7C63E519">
      <w:pPr>
        <w:rPr>
          <w:rFonts w:hint="eastAsia" w:cs="仿宋_GB2312" w:asciiTheme="minorEastAsia" w:hAnsiTheme="minorEastAsia" w:eastAsiaTheme="minorEastAsia"/>
          <w:b/>
          <w:sz w:val="36"/>
          <w:szCs w:val="20"/>
          <w:highlight w:val="none"/>
        </w:rPr>
      </w:pPr>
      <w:r>
        <w:rPr>
          <w:rFonts w:asciiTheme="minorEastAsia" w:hAnsiTheme="minorEastAsia" w:eastAsiaTheme="minorEastAsia"/>
          <w:color w:val="auto"/>
          <w:szCs w:val="21"/>
          <w:highlight w:val="none"/>
        </w:rPr>
        <w:t>合同份数按</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规定</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每份均具有同等法律效力</w:t>
      </w:r>
      <w:r>
        <w:rPr>
          <w:rFonts w:hint="eastAsia" w:asciiTheme="minorEastAsia" w:hAnsiTheme="minorEastAsia" w:eastAsiaTheme="minorEastAsia"/>
          <w:color w:val="auto"/>
          <w:szCs w:val="21"/>
          <w:highlight w:val="none"/>
        </w:rPr>
        <w:t>。</w:t>
      </w:r>
    </w:p>
    <w:p w14:paraId="298E19A7">
      <w:pPr>
        <w:rPr>
          <w:rFonts w:hint="eastAsia" w:cs="仿宋_GB2312" w:asciiTheme="minorEastAsia" w:hAnsiTheme="minorEastAsia" w:eastAsiaTheme="minorEastAsia"/>
          <w:b/>
          <w:sz w:val="36"/>
          <w:szCs w:val="20"/>
          <w:highlight w:val="none"/>
        </w:rPr>
      </w:pPr>
    </w:p>
    <w:p w14:paraId="4B7AE46C">
      <w:pPr>
        <w:rPr>
          <w:rFonts w:hint="eastAsia" w:cs="仿宋_GB2312" w:asciiTheme="minorEastAsia" w:hAnsiTheme="minorEastAsia" w:eastAsiaTheme="minorEastAsia"/>
          <w:b/>
          <w:sz w:val="36"/>
          <w:szCs w:val="20"/>
          <w:highlight w:val="none"/>
        </w:rPr>
      </w:pPr>
    </w:p>
    <w:p w14:paraId="4499EB62">
      <w:pPr>
        <w:rPr>
          <w:rFonts w:hint="eastAsia" w:cs="仿宋_GB2312" w:asciiTheme="minorEastAsia" w:hAnsiTheme="minorEastAsia" w:eastAsiaTheme="minorEastAsia"/>
          <w:b/>
          <w:sz w:val="36"/>
          <w:szCs w:val="20"/>
          <w:highlight w:val="none"/>
        </w:rPr>
      </w:pPr>
    </w:p>
    <w:p w14:paraId="5FE7FADF">
      <w:pPr>
        <w:rPr>
          <w:rFonts w:hint="eastAsia" w:cs="仿宋_GB2312" w:asciiTheme="minorEastAsia" w:hAnsiTheme="minorEastAsia" w:eastAsiaTheme="minorEastAsia"/>
          <w:b/>
          <w:sz w:val="36"/>
          <w:szCs w:val="20"/>
          <w:highlight w:val="none"/>
        </w:rPr>
      </w:pPr>
    </w:p>
    <w:p w14:paraId="619028E8">
      <w:pPr>
        <w:rPr>
          <w:rFonts w:hint="eastAsia" w:cs="仿宋_GB2312" w:asciiTheme="minorEastAsia" w:hAnsiTheme="minorEastAsia" w:eastAsiaTheme="minorEastAsia"/>
          <w:b/>
          <w:sz w:val="36"/>
          <w:szCs w:val="20"/>
          <w:highlight w:val="none"/>
        </w:rPr>
      </w:pPr>
    </w:p>
    <w:p w14:paraId="727E3BB2">
      <w:pPr>
        <w:rPr>
          <w:rFonts w:hint="eastAsia" w:cs="仿宋_GB2312" w:asciiTheme="minorEastAsia" w:hAnsiTheme="minorEastAsia" w:eastAsiaTheme="minorEastAsia"/>
          <w:b/>
          <w:sz w:val="36"/>
          <w:szCs w:val="20"/>
          <w:highlight w:val="none"/>
        </w:rPr>
      </w:pPr>
    </w:p>
    <w:p w14:paraId="6FC51FAF">
      <w:pPr>
        <w:rPr>
          <w:rFonts w:hint="eastAsia" w:cs="仿宋_GB2312" w:asciiTheme="minorEastAsia" w:hAnsiTheme="minorEastAsia" w:eastAsiaTheme="minorEastAsia"/>
          <w:b/>
          <w:sz w:val="36"/>
          <w:szCs w:val="20"/>
          <w:highlight w:val="none"/>
        </w:rPr>
      </w:pPr>
    </w:p>
    <w:p w14:paraId="785D7EDF">
      <w:pPr>
        <w:rPr>
          <w:rFonts w:hint="eastAsia" w:cs="仿宋_GB2312" w:asciiTheme="minorEastAsia" w:hAnsiTheme="minorEastAsia" w:eastAsiaTheme="minorEastAsia"/>
          <w:b/>
          <w:sz w:val="36"/>
          <w:szCs w:val="20"/>
          <w:highlight w:val="none"/>
        </w:rPr>
      </w:pPr>
    </w:p>
    <w:p w14:paraId="35D92C6B">
      <w:pPr>
        <w:rPr>
          <w:rFonts w:hint="eastAsia" w:cs="仿宋_GB2312" w:asciiTheme="minorEastAsia" w:hAnsiTheme="minorEastAsia" w:eastAsiaTheme="minorEastAsia"/>
          <w:b/>
          <w:sz w:val="36"/>
          <w:szCs w:val="20"/>
          <w:highlight w:val="none"/>
        </w:rPr>
      </w:pPr>
    </w:p>
    <w:p w14:paraId="6789E501">
      <w:pPr>
        <w:rPr>
          <w:rFonts w:hint="eastAsia" w:cs="仿宋_GB2312" w:asciiTheme="minorEastAsia" w:hAnsiTheme="minorEastAsia" w:eastAsiaTheme="minorEastAsia"/>
          <w:b/>
          <w:sz w:val="36"/>
          <w:szCs w:val="20"/>
          <w:highlight w:val="none"/>
        </w:rPr>
      </w:pPr>
    </w:p>
    <w:p w14:paraId="302332ED">
      <w:pPr>
        <w:rPr>
          <w:rFonts w:hint="eastAsia" w:cs="仿宋_GB2312" w:asciiTheme="minorEastAsia" w:hAnsiTheme="minorEastAsia" w:eastAsiaTheme="minorEastAsia"/>
          <w:b/>
          <w:sz w:val="36"/>
          <w:szCs w:val="20"/>
          <w:highlight w:val="none"/>
        </w:rPr>
      </w:pPr>
    </w:p>
    <w:p w14:paraId="51658696">
      <w:pPr>
        <w:rPr>
          <w:rFonts w:hint="eastAsia" w:cs="仿宋_GB2312" w:asciiTheme="minorEastAsia" w:hAnsiTheme="minorEastAsia" w:eastAsiaTheme="minorEastAsia"/>
          <w:b/>
          <w:sz w:val="36"/>
          <w:szCs w:val="20"/>
          <w:highlight w:val="none"/>
        </w:rPr>
      </w:pPr>
    </w:p>
    <w:p w14:paraId="3EE91630">
      <w:pPr>
        <w:rPr>
          <w:rFonts w:hint="eastAsia" w:cs="仿宋_GB2312" w:asciiTheme="minorEastAsia" w:hAnsiTheme="minorEastAsia" w:eastAsiaTheme="minorEastAsia"/>
          <w:b/>
          <w:sz w:val="36"/>
          <w:szCs w:val="20"/>
          <w:highlight w:val="none"/>
        </w:rPr>
      </w:pPr>
    </w:p>
    <w:p w14:paraId="0F050648">
      <w:pPr>
        <w:rPr>
          <w:rFonts w:hint="eastAsia" w:cs="仿宋_GB2312" w:asciiTheme="minorEastAsia" w:hAnsiTheme="minorEastAsia" w:eastAsiaTheme="minorEastAsia"/>
          <w:b/>
          <w:sz w:val="36"/>
          <w:szCs w:val="20"/>
          <w:highlight w:val="none"/>
        </w:rPr>
      </w:pPr>
    </w:p>
    <w:p w14:paraId="4ECEBFA3">
      <w:pPr>
        <w:rPr>
          <w:rFonts w:hint="eastAsia" w:cs="仿宋_GB2312" w:asciiTheme="minorEastAsia" w:hAnsiTheme="minorEastAsia" w:eastAsiaTheme="minorEastAsia"/>
          <w:b/>
          <w:sz w:val="36"/>
          <w:szCs w:val="20"/>
          <w:highlight w:val="none"/>
        </w:rPr>
      </w:pPr>
    </w:p>
    <w:p w14:paraId="6C9AB4FE">
      <w:pPr>
        <w:rPr>
          <w:rFonts w:hint="eastAsia" w:cs="仿宋_GB2312" w:asciiTheme="minorEastAsia" w:hAnsiTheme="minorEastAsia" w:eastAsiaTheme="minorEastAsia"/>
          <w:b/>
          <w:sz w:val="36"/>
          <w:szCs w:val="20"/>
          <w:highlight w:val="none"/>
        </w:rPr>
      </w:pPr>
    </w:p>
    <w:p w14:paraId="061E59E1">
      <w:pPr>
        <w:rPr>
          <w:rFonts w:hint="eastAsia" w:cs="仿宋_GB2312" w:asciiTheme="minorEastAsia" w:hAnsiTheme="minorEastAsia" w:eastAsiaTheme="minorEastAsia"/>
          <w:b/>
          <w:sz w:val="36"/>
          <w:szCs w:val="20"/>
          <w:highlight w:val="none"/>
        </w:rPr>
      </w:pPr>
    </w:p>
    <w:p w14:paraId="556ACBE7">
      <w:pPr>
        <w:rPr>
          <w:rFonts w:hint="eastAsia" w:cs="仿宋_GB2312" w:asciiTheme="minorEastAsia" w:hAnsiTheme="minorEastAsia" w:eastAsiaTheme="minorEastAsia"/>
          <w:b/>
          <w:sz w:val="36"/>
          <w:szCs w:val="20"/>
          <w:highlight w:val="none"/>
        </w:rPr>
      </w:pPr>
    </w:p>
    <w:p w14:paraId="7D1D3B79">
      <w:pPr>
        <w:rPr>
          <w:rFonts w:hint="eastAsia" w:cs="仿宋_GB2312" w:asciiTheme="minorEastAsia" w:hAnsiTheme="minorEastAsia" w:eastAsiaTheme="minorEastAsia"/>
          <w:b/>
          <w:sz w:val="36"/>
          <w:szCs w:val="20"/>
          <w:highlight w:val="none"/>
        </w:rPr>
      </w:pPr>
    </w:p>
    <w:p w14:paraId="657F9A00">
      <w:pPr>
        <w:rPr>
          <w:rFonts w:hint="eastAsia" w:cs="仿宋_GB2312" w:asciiTheme="minorEastAsia" w:hAnsiTheme="minorEastAsia" w:eastAsiaTheme="minorEastAsia"/>
          <w:b/>
          <w:sz w:val="36"/>
          <w:szCs w:val="20"/>
          <w:highlight w:val="none"/>
        </w:rPr>
      </w:pPr>
    </w:p>
    <w:p w14:paraId="6B43D461">
      <w:pPr>
        <w:rPr>
          <w:rFonts w:hint="eastAsia" w:cs="仿宋_GB2312" w:asciiTheme="minorEastAsia" w:hAnsiTheme="minorEastAsia" w:eastAsiaTheme="minorEastAsia"/>
          <w:b/>
          <w:sz w:val="36"/>
          <w:szCs w:val="20"/>
          <w:highlight w:val="none"/>
        </w:rPr>
      </w:pPr>
    </w:p>
    <w:p w14:paraId="3B5A0B19">
      <w:pPr>
        <w:rPr>
          <w:rFonts w:hint="eastAsia" w:cs="仿宋_GB2312" w:asciiTheme="minorEastAsia" w:hAnsiTheme="minorEastAsia" w:eastAsiaTheme="minorEastAsia"/>
          <w:b/>
          <w:sz w:val="36"/>
          <w:szCs w:val="20"/>
          <w:highlight w:val="none"/>
        </w:rPr>
      </w:pPr>
    </w:p>
    <w:p w14:paraId="0A97D146">
      <w:pPr>
        <w:rPr>
          <w:rFonts w:hint="eastAsia" w:cs="仿宋_GB2312" w:asciiTheme="minorEastAsia" w:hAnsiTheme="minorEastAsia" w:eastAsiaTheme="minorEastAsia"/>
          <w:b/>
          <w:sz w:val="36"/>
          <w:szCs w:val="20"/>
          <w:highlight w:val="none"/>
        </w:rPr>
      </w:pPr>
    </w:p>
    <w:p w14:paraId="0324C478">
      <w:pPr>
        <w:rPr>
          <w:rFonts w:hint="eastAsia" w:cs="仿宋_GB2312" w:asciiTheme="minorEastAsia" w:hAnsiTheme="minorEastAsia" w:eastAsiaTheme="minorEastAsia"/>
          <w:b/>
          <w:sz w:val="36"/>
          <w:szCs w:val="20"/>
          <w:highlight w:val="none"/>
        </w:rPr>
      </w:pPr>
    </w:p>
    <w:p w14:paraId="6CEB70C4">
      <w:pPr>
        <w:rPr>
          <w:rFonts w:hint="eastAsia" w:cs="仿宋_GB2312" w:asciiTheme="minorEastAsia" w:hAnsiTheme="minorEastAsia" w:eastAsiaTheme="minorEastAsia"/>
          <w:b/>
          <w:sz w:val="36"/>
          <w:szCs w:val="20"/>
          <w:highlight w:val="none"/>
        </w:rPr>
      </w:pPr>
    </w:p>
    <w:p w14:paraId="34B70514">
      <w:pPr>
        <w:rPr>
          <w:rFonts w:hint="eastAsia" w:cs="仿宋_GB2312" w:asciiTheme="minorEastAsia" w:hAnsiTheme="minorEastAsia" w:eastAsiaTheme="minorEastAsia"/>
          <w:b/>
          <w:sz w:val="36"/>
          <w:szCs w:val="20"/>
          <w:highlight w:val="none"/>
        </w:rPr>
      </w:pPr>
    </w:p>
    <w:p w14:paraId="53D01366">
      <w:pPr>
        <w:rPr>
          <w:rFonts w:hint="eastAsia" w:cs="仿宋_GB2312" w:asciiTheme="minorEastAsia" w:hAnsiTheme="minorEastAsia" w:eastAsiaTheme="minorEastAsia"/>
          <w:b/>
          <w:sz w:val="36"/>
          <w:szCs w:val="20"/>
          <w:highlight w:val="none"/>
        </w:rPr>
      </w:pPr>
    </w:p>
    <w:p w14:paraId="24377A09">
      <w:pPr>
        <w:rPr>
          <w:rFonts w:hint="eastAsia" w:cs="仿宋_GB2312" w:asciiTheme="minorEastAsia" w:hAnsiTheme="minorEastAsia" w:eastAsiaTheme="minorEastAsia"/>
          <w:b/>
          <w:sz w:val="36"/>
          <w:szCs w:val="20"/>
          <w:highlight w:val="none"/>
        </w:rPr>
      </w:pPr>
    </w:p>
    <w:p w14:paraId="7F517B37">
      <w:pPr>
        <w:tabs>
          <w:tab w:val="left" w:pos="1680"/>
          <w:tab w:val="center" w:pos="4535"/>
        </w:tabs>
        <w:snapToGrid w:val="0"/>
        <w:spacing w:line="360" w:lineRule="auto"/>
        <w:jc w:val="left"/>
        <w:outlineLvl w:val="0"/>
        <w:rPr>
          <w:rFonts w:hint="eastAsia"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w:tab/>
      </w:r>
      <w:r>
        <w:rPr>
          <w:rFonts w:cs="仿宋_GB2312" w:asciiTheme="minorEastAsia" w:hAnsiTheme="minorEastAsia" w:eastAsiaTheme="minorEastAsia"/>
          <w:b/>
          <w:sz w:val="36"/>
          <w:szCs w:val="20"/>
          <w:highlight w:val="none"/>
        </w:rPr>
        <w:tab/>
      </w:r>
      <w:r>
        <w:rPr>
          <w:rFonts w:hint="eastAsia" w:cs="仿宋_GB2312" w:asciiTheme="minorEastAsia" w:hAnsiTheme="minorEastAsia" w:eastAsiaTheme="minorEastAsia"/>
          <w:b/>
          <w:sz w:val="36"/>
          <w:szCs w:val="20"/>
          <w:highlight w:val="none"/>
        </w:rPr>
        <w:t>第七部分</w:t>
      </w:r>
      <w:bookmarkEnd w:id="88"/>
      <w:r>
        <w:rPr>
          <w:rFonts w:hint="eastAsia" w:cs="仿宋_GB2312" w:asciiTheme="minorEastAsia" w:hAnsiTheme="minorEastAsia" w:eastAsiaTheme="minorEastAsia"/>
          <w:b/>
          <w:sz w:val="36"/>
          <w:szCs w:val="20"/>
          <w:highlight w:val="none"/>
        </w:rPr>
        <w:t xml:space="preserve">  </w:t>
      </w:r>
      <w:bookmarkEnd w:id="89"/>
      <w:r>
        <w:rPr>
          <w:rFonts w:hint="eastAsia" w:cs="仿宋_GB2312" w:asciiTheme="minorEastAsia" w:hAnsiTheme="minorEastAsia" w:eastAsiaTheme="minorEastAsia"/>
          <w:b/>
          <w:sz w:val="36"/>
          <w:szCs w:val="20"/>
          <w:highlight w:val="none"/>
        </w:rPr>
        <w:t>应提交的有关格式范例</w:t>
      </w:r>
    </w:p>
    <w:p w14:paraId="73F0E5E9">
      <w:pPr>
        <w:rPr>
          <w:rFonts w:hint="eastAsia" w:cs="宋体" w:asciiTheme="minorEastAsia" w:hAnsiTheme="minorEastAsia" w:eastAsiaTheme="minorEastAsia"/>
          <w:highlight w:val="none"/>
        </w:rPr>
      </w:pPr>
      <w:bookmarkStart w:id="190" w:name="_Hlk128737977"/>
    </w:p>
    <w:p w14:paraId="7BB12270">
      <w:pPr>
        <w:rPr>
          <w:rFonts w:hint="eastAsia" w:cs="宋体" w:asciiTheme="minorEastAsia" w:hAnsiTheme="minorEastAsia" w:eastAsiaTheme="minorEastAsia"/>
          <w:highlight w:val="none"/>
        </w:rPr>
      </w:pPr>
    </w:p>
    <w:p w14:paraId="55831A32">
      <w:pPr>
        <w:rPr>
          <w:rFonts w:hint="eastAsia" w:cs="宋体" w:asciiTheme="minorEastAsia" w:hAnsiTheme="minorEastAsia" w:eastAsiaTheme="minorEastAsia"/>
          <w:highlight w:val="none"/>
        </w:rPr>
      </w:pPr>
    </w:p>
    <w:p w14:paraId="2190E594">
      <w:pPr>
        <w:rPr>
          <w:rFonts w:hint="eastAsia" w:cs="宋体" w:asciiTheme="minorEastAsia" w:hAnsiTheme="minorEastAsia" w:eastAsiaTheme="minorEastAsia"/>
          <w:highlight w:val="none"/>
        </w:rPr>
      </w:pPr>
    </w:p>
    <w:p w14:paraId="4EC42A71">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响应文件封面参考格式： </w:t>
      </w:r>
    </w:p>
    <w:p w14:paraId="569D1C6C">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w:t>
      </w:r>
    </w:p>
    <w:p w14:paraId="6458403C">
      <w:pPr>
        <w:rPr>
          <w:rFonts w:hint="eastAsia" w:cs="宋体" w:asciiTheme="minorEastAsia" w:hAnsiTheme="minorEastAsia" w:eastAsiaTheme="minorEastAsia"/>
          <w:highlight w:val="none"/>
        </w:rPr>
      </w:pPr>
    </w:p>
    <w:p w14:paraId="28A5384E">
      <w:pPr>
        <w:rPr>
          <w:rFonts w:hint="eastAsia" w:cs="宋体" w:asciiTheme="minorEastAsia" w:hAnsiTheme="minorEastAsia" w:eastAsiaTheme="minorEastAsia"/>
          <w:highlight w:val="none"/>
        </w:rPr>
      </w:pPr>
    </w:p>
    <w:p w14:paraId="656DE180">
      <w:pPr>
        <w:snapToGrid w:val="0"/>
        <w:spacing w:before="120" w:beforeLines="50" w:after="50"/>
        <w:jc w:val="center"/>
        <w:rPr>
          <w:rFonts w:hint="eastAsia"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资格文件/商务技术文件/报价文件</w:t>
      </w:r>
    </w:p>
    <w:p w14:paraId="4370CB2F">
      <w:pPr>
        <w:rPr>
          <w:rFonts w:hint="eastAsia" w:cs="宋体" w:asciiTheme="minorEastAsia" w:hAnsiTheme="minorEastAsia" w:eastAsiaTheme="minorEastAsia"/>
          <w:highlight w:val="none"/>
        </w:rPr>
      </w:pPr>
    </w:p>
    <w:p w14:paraId="592FA230">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项目名称：</w:t>
      </w:r>
    </w:p>
    <w:p w14:paraId="136DFCA8">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项目编号： </w:t>
      </w:r>
    </w:p>
    <w:p w14:paraId="7D827E1D">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供应商名称：</w:t>
      </w:r>
    </w:p>
    <w:p w14:paraId="122D0A83">
      <w:pP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供应商地址：</w:t>
      </w:r>
    </w:p>
    <w:p w14:paraId="64F8ED53">
      <w:pPr>
        <w:rPr>
          <w:rFonts w:hint="eastAsia" w:cs="宋体" w:asciiTheme="minorEastAsia" w:hAnsiTheme="minorEastAsia" w:eastAsiaTheme="minorEastAsia"/>
          <w:highlight w:val="none"/>
        </w:rPr>
      </w:pPr>
    </w:p>
    <w:p w14:paraId="3CB569A9">
      <w:pPr>
        <w:snapToGrid w:val="0"/>
        <w:spacing w:line="440" w:lineRule="exact"/>
        <w:ind w:left="3578" w:leftChars="1704"/>
        <w:rPr>
          <w:rFonts w:hint="eastAsia" w:cs="宋体" w:asciiTheme="minorEastAsia" w:hAnsiTheme="minorEastAsia" w:eastAsiaTheme="minorEastAsia"/>
          <w:highlight w:val="none"/>
        </w:rPr>
      </w:pPr>
      <w:r>
        <w:rPr>
          <w:rFonts w:cs="宋体" w:asciiTheme="minorEastAsia" w:hAnsiTheme="minorEastAsia" w:eastAsiaTheme="minorEastAsia"/>
          <w:highlight w:val="none"/>
        </w:rPr>
        <w:t>供应商全称（公章）：</w:t>
      </w:r>
    </w:p>
    <w:p w14:paraId="16A35070">
      <w:pPr>
        <w:rPr>
          <w:rFonts w:hint="eastAsia" w:cs="宋体" w:asciiTheme="minorEastAsia" w:hAnsiTheme="minorEastAsia" w:eastAsiaTheme="minorEastAsia"/>
          <w:b/>
          <w:highlight w:val="none"/>
        </w:rPr>
      </w:pPr>
      <w:r>
        <w:rPr>
          <w:rFonts w:hint="eastAsia" w:cs="宋体" w:asciiTheme="minorEastAsia" w:hAnsiTheme="minorEastAsia" w:eastAsiaTheme="minorEastAsia"/>
          <w:highlight w:val="none"/>
        </w:rPr>
        <w:t xml:space="preserve">                                              年  月  日</w:t>
      </w:r>
    </w:p>
    <w:bookmarkEnd w:id="190"/>
    <w:p w14:paraId="12519C93">
      <w:pPr>
        <w:spacing w:line="360" w:lineRule="auto"/>
        <w:jc w:val="cente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hAnsi="宋体" w:cs="宋体"/>
          <w:b/>
          <w:highlight w:val="none"/>
        </w:rPr>
        <w:br w:type="page"/>
      </w: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各部分文件目录</w:t>
      </w:r>
    </w:p>
    <w:p w14:paraId="5FF07C9B">
      <w:pPr>
        <w:pStyle w:val="34"/>
        <w:rPr>
          <w:rFonts w:hint="eastAsia" w:asciiTheme="minorEastAsia" w:hAnsiTheme="minorEastAsia" w:eastAsiaTheme="minorEastAsia"/>
          <w:b/>
          <w:bCs/>
          <w:color w:val="000000" w:themeColor="text1"/>
          <w:sz w:val="24"/>
          <w:highlight w:val="none"/>
          <w14:textFill>
            <w14:solidFill>
              <w14:schemeClr w14:val="tx1"/>
            </w14:solidFill>
          </w14:textFill>
        </w:rPr>
      </w:pPr>
      <w:bookmarkStart w:id="191" w:name="_Hlk135761009"/>
      <w:bookmarkStart w:id="192" w:name="_Hlk135756859"/>
      <w:r>
        <w:rPr>
          <w:rFonts w:hint="eastAsia" w:asciiTheme="minorEastAsia" w:hAnsiTheme="minorEastAsia" w:eastAsiaTheme="minorEastAsia"/>
          <w:b/>
          <w:bCs/>
          <w:color w:val="000000" w:themeColor="text1"/>
          <w:sz w:val="24"/>
          <w:highlight w:val="none"/>
          <w14:textFill>
            <w14:solidFill>
              <w14:schemeClr w14:val="tx1"/>
            </w14:solidFill>
          </w14:textFill>
        </w:rPr>
        <w:t>（一）资格审查文件：</w:t>
      </w:r>
    </w:p>
    <w:p w14:paraId="27E931E8">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.符合参加政府采购活动应当具备的一般条件的承诺函；（格式见附件）</w:t>
      </w:r>
    </w:p>
    <w:p w14:paraId="382C64D4">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2</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.有效的企业法人营业执照；</w:t>
      </w:r>
    </w:p>
    <w:p w14:paraId="1A24E0CD">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落实政府采购政策需满足的资格要求：无</w:t>
      </w:r>
    </w:p>
    <w:p w14:paraId="13D0CC67">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4.本项目的特定资格要求：无。</w:t>
      </w:r>
    </w:p>
    <w:p w14:paraId="4C3E3A2C">
      <w:pPr>
        <w:pStyle w:val="34"/>
        <w:rPr>
          <w:rFonts w:hint="eastAsia"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（二）商务技术文件：</w:t>
      </w:r>
    </w:p>
    <w:p w14:paraId="0A4A9104">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bookmarkStart w:id="193" w:name="_Hlk157425836"/>
      <w:r>
        <w:rPr>
          <w:rFonts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响应函；（格式见附件）</w:t>
      </w:r>
    </w:p>
    <w:p w14:paraId="69A9F090">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2</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.授权委托书或法定代表人（单位负责人）身份证明（格式见附件）；</w:t>
      </w:r>
    </w:p>
    <w:p w14:paraId="377EA14D">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商务条款响应（偏离）表；（格式见附件）</w:t>
      </w:r>
    </w:p>
    <w:p w14:paraId="0FFECA69">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采购需求响应（偏离）表；（格式见附件）</w:t>
      </w:r>
    </w:p>
    <w:p w14:paraId="3CA7E3E7">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所有资信证明文件（复印件）</w:t>
      </w:r>
    </w:p>
    <w:p w14:paraId="0FDEF2E2">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6.</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针对本项目《第四部分-采购需求》和《第五部分-评审方法及评审标准-评审方法前附表》中的条款拟定完整方案；（格式自拟）</w:t>
      </w:r>
    </w:p>
    <w:p w14:paraId="77187308">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7.供应商认为需要的其他商务技术文件或说明（如果有，格式自拟）；</w:t>
      </w:r>
    </w:p>
    <w:p w14:paraId="0001FD2F">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8.政府采购供应商廉洁自律承诺书（格式见附件）。</w:t>
      </w:r>
    </w:p>
    <w:p w14:paraId="675AB08A">
      <w:pPr>
        <w:pStyle w:val="34"/>
        <w:rPr>
          <w:rFonts w:hint="eastAsia"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三</w:t>
      </w:r>
      <w:r>
        <w:rPr>
          <w:rFonts w:hint="eastAsia" w:asciiTheme="minorEastAsia" w:hAnsiTheme="minorEastAsia" w:eastAsiaTheme="minorEastAsia"/>
          <w:b/>
          <w:bCs/>
          <w:color w:val="000000" w:themeColor="text1"/>
          <w:kern w:val="0"/>
          <w:sz w:val="24"/>
          <w:highlight w:val="none"/>
          <w:lang w:val="zh-CN"/>
          <w14:textFill>
            <w14:solidFill>
              <w14:schemeClr w14:val="tx1"/>
            </w14:solidFill>
          </w14:textFill>
        </w:rPr>
        <w:t>）报价文件</w:t>
      </w:r>
    </w:p>
    <w:p w14:paraId="1D338E61">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.初次报价一览表（格式见附件）。</w:t>
      </w:r>
    </w:p>
    <w:bookmarkEnd w:id="191"/>
    <w:p w14:paraId="5DE9E452">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2</w:t>
      </w:r>
      <w:r>
        <w:rPr>
          <w:rFonts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中小企业声明函（如有，格式见附件）；</w:t>
      </w:r>
    </w:p>
    <w:p w14:paraId="70E909C2">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3</w:t>
      </w:r>
      <w:r>
        <w:rPr>
          <w:rFonts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残疾人福利性单位声明函(如有，格式见附件）；</w:t>
      </w:r>
    </w:p>
    <w:p w14:paraId="37284DDD">
      <w:pPr>
        <w:pStyle w:val="34"/>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4</w:t>
      </w:r>
      <w:r>
        <w:rPr>
          <w:rFonts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由省级以上监狱管理局、戒毒管理局（含新疆生产建设兵团）出具的属于监狱企业的证明文件（如有）；</w:t>
      </w:r>
    </w:p>
    <w:bookmarkEnd w:id="193"/>
    <w:p w14:paraId="203FF0D4">
      <w:pPr>
        <w:rPr>
          <w:highlight w:val="none"/>
          <w:lang w:val="zh-CN"/>
        </w:rPr>
      </w:pPr>
    </w:p>
    <w:p w14:paraId="5006AAD0">
      <w:pPr>
        <w:spacing w:line="360" w:lineRule="auto"/>
        <w:ind w:firstLine="422" w:firstLineChars="200"/>
        <w:rPr>
          <w:rFonts w:hint="eastAsia" w:cs="仿宋_GB2312" w:asciiTheme="minorEastAsia" w:hAnsiTheme="minorEastAsia" w:eastAsiaTheme="minorEastAsia"/>
          <w:szCs w:val="21"/>
          <w:highlight w:val="none"/>
        </w:rPr>
      </w:pPr>
      <w:r>
        <w:rPr>
          <w:rFonts w:hint="eastAsia" w:cs="仿宋_GB2312" w:asciiTheme="minorEastAsia" w:hAnsiTheme="minorEastAsia" w:eastAsiaTheme="minorEastAsia"/>
          <w:b/>
          <w:bCs/>
          <w:color w:val="000000" w:themeColor="text1"/>
          <w:szCs w:val="21"/>
          <w:highlight w:val="none"/>
          <w14:textFill>
            <w14:solidFill>
              <w14:schemeClr w14:val="tx1"/>
            </w14:solidFill>
          </w14:textFill>
        </w:rPr>
        <w:t>注：以上目录是编制供应商响应文件的基本格式要求，各供应商可根据自身情况进一步细化。</w:t>
      </w:r>
    </w:p>
    <w:bookmarkEnd w:id="192"/>
    <w:p w14:paraId="2AD3D770">
      <w:pPr>
        <w:rPr>
          <w:highlight w:val="none"/>
        </w:rPr>
      </w:pPr>
    </w:p>
    <w:p w14:paraId="1BFCB06B">
      <w:pPr>
        <w:spacing w:line="360" w:lineRule="auto"/>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p>
    <w:p w14:paraId="4808AC59">
      <w:pPr>
        <w:snapToGrid w:val="0"/>
        <w:spacing w:line="360" w:lineRule="auto"/>
        <w:ind w:right="480"/>
        <w:jc w:val="cente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cs="宋体" w:asciiTheme="minorEastAsia" w:hAnsiTheme="minorEastAsia" w:eastAsiaTheme="minorEastAsia"/>
          <w:b/>
          <w:color w:val="000000" w:themeColor="text1"/>
          <w:kern w:val="0"/>
          <w:sz w:val="32"/>
          <w:szCs w:val="32"/>
          <w:highlight w:val="none"/>
          <w14:textFill>
            <w14:solidFill>
              <w14:schemeClr w14:val="tx1"/>
            </w14:solidFill>
          </w14:textFill>
        </w:rPr>
        <w:t>1</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、符合参加政府采购活动应当具备的一般条件的承诺函</w:t>
      </w:r>
    </w:p>
    <w:p w14:paraId="0FC8A402">
      <w:pPr>
        <w:snapToGrid w:val="0"/>
        <w:spacing w:line="360" w:lineRule="auto"/>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（采购人）</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p w14:paraId="1F4893C1">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我方参与</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【项目编号：</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政府采购活动，郑重承诺：</w:t>
      </w:r>
    </w:p>
    <w:p w14:paraId="3E592157">
      <w:pPr>
        <w:snapToGrid w:val="0"/>
        <w:spacing w:line="360" w:lineRule="auto"/>
        <w:ind w:firstLine="315" w:firstLineChars="15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（一）具备《中华人民共和国政府采购法》第二十二条第一款规定的条件：</w:t>
      </w:r>
    </w:p>
    <w:p w14:paraId="7C60D25B">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1、具有独立承担民事责任的能力；</w:t>
      </w:r>
    </w:p>
    <w:p w14:paraId="2972DF67">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2、具有良好的商业信誉和健全的财务会计制度； </w:t>
      </w:r>
    </w:p>
    <w:p w14:paraId="36F12D16">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3、具有履行合同所必需的设备和专业技术能力；</w:t>
      </w:r>
    </w:p>
    <w:p w14:paraId="5D5B8772">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4、有依法缴纳税收和社会保障资金的良好记录；</w:t>
      </w:r>
    </w:p>
    <w:p w14:paraId="1B68142E">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5、参加政府采购活动前三年内，在经营活动中没有重大违法记录；</w:t>
      </w:r>
    </w:p>
    <w:p w14:paraId="02DAF48B">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6、具有法律、行政法规规定的其他条件。</w:t>
      </w:r>
    </w:p>
    <w:p w14:paraId="24E42515">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5F6F4D07">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（三）不存在以下情况：</w:t>
      </w:r>
    </w:p>
    <w:p w14:paraId="4BEAF170">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1、单位负责人为同一人或者存在直接控股、管理关系的不同供应商参加同一合同项下的政府采购活动的；</w:t>
      </w:r>
    </w:p>
    <w:p w14:paraId="0F3D451C">
      <w:pPr>
        <w:snapToGrid w:val="0"/>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2、为采购项目提供整体设计、规范编制或者项目管理、监理、检测等服务后再参加该采购项目的其他采购活动的。</w:t>
      </w:r>
    </w:p>
    <w:p w14:paraId="3C90FA78">
      <w:pPr>
        <w:snapToGrid w:val="0"/>
        <w:spacing w:line="360" w:lineRule="auto"/>
        <w:ind w:firstLine="4830" w:firstLineChars="2300"/>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供应商名称(公章)：</w:t>
      </w:r>
    </w:p>
    <w:p w14:paraId="20E5A962">
      <w:pPr>
        <w:snapToGrid w:val="0"/>
        <w:spacing w:line="360" w:lineRule="auto"/>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日</w:t>
      </w:r>
    </w:p>
    <w:p w14:paraId="259FDBA3">
      <w:pPr>
        <w:snapToGrid w:val="0"/>
        <w:spacing w:line="360" w:lineRule="auto"/>
        <w:ind w:right="480"/>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0B9B730">
      <w:pPr>
        <w:widowControl/>
        <w:adjustRightInd/>
        <w:jc w:val="left"/>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6FB55E0A">
      <w:pPr>
        <w:snapToGrid w:val="0"/>
        <w:spacing w:before="50" w:after="50" w:line="360" w:lineRule="auto"/>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1BE588EB">
      <w:pPr>
        <w:rPr>
          <w:color w:val="000000" w:themeColor="text1"/>
          <w:highlight w:val="none"/>
          <w:lang w:val="zh-CN"/>
          <w14:textFill>
            <w14:solidFill>
              <w14:schemeClr w14:val="tx1"/>
            </w14:solidFill>
          </w14:textFill>
        </w:rPr>
      </w:pPr>
    </w:p>
    <w:p w14:paraId="4FC251F2">
      <w:pPr>
        <w:snapToGrid w:val="0"/>
        <w:spacing w:line="360" w:lineRule="auto"/>
        <w:ind w:right="480"/>
        <w:jc w:val="cente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091" w:left="1418" w:header="851" w:footer="992" w:gutter="0"/>
          <w:cols w:space="720" w:num="1"/>
          <w:titlePg/>
          <w:docGrid w:linePitch="312" w:charSpace="0"/>
        </w:sectPr>
      </w:pPr>
      <w:r>
        <w:rPr>
          <w:rFonts w:asciiTheme="minorEastAsia" w:hAnsiTheme="minorEastAsia" w:eastAsiaTheme="minorEastAsia"/>
          <w:b/>
          <w:color w:val="000000" w:themeColor="text1"/>
          <w:spacing w:val="6"/>
          <w:sz w:val="32"/>
          <w:szCs w:val="32"/>
          <w:highlight w:val="none"/>
          <w14:textFill>
            <w14:solidFill>
              <w14:schemeClr w14:val="tx1"/>
            </w14:solidFill>
          </w14:textFill>
        </w:rPr>
        <w:t>2</w:t>
      </w: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、提供有效的企业法人营业执照（复印件加盖公章）</w:t>
      </w:r>
    </w:p>
    <w:p w14:paraId="6CCEA20E">
      <w:pPr>
        <w:pStyle w:val="34"/>
        <w:ind w:firstLine="1285" w:firstLineChars="400"/>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t>3</w:t>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、落实政府采购政策需满足的资格要求：无</w:t>
      </w:r>
    </w:p>
    <w:p w14:paraId="4E2BD790">
      <w:pPr>
        <w:adjustRightInd/>
        <w:spacing w:line="360" w:lineRule="auto"/>
        <w:jc w:val="center"/>
        <w:outlineLvl w:val="0"/>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p>
    <w:p w14:paraId="02F99F7C">
      <w:pPr>
        <w:widowControl/>
        <w:adjustRightInd/>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3D68084D">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B134AEA">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E2DD4CB">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F4924CC">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41570AB">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458FF955">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4、本项目的特定资格要求：</w:t>
      </w:r>
      <w: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t>无</w:t>
      </w:r>
    </w:p>
    <w:p w14:paraId="3F5D07F9">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F07A9FB">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410E9D0">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7E68C21">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29AB757">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47846EB">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54575B2">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4C0FCB6">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AABC429">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A911E0E">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4C3ACBAA">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6A404AA">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D53A14F">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D32A584">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C602C56">
      <w:pPr>
        <w:widowControl/>
        <w:spacing w:line="360" w:lineRule="auto"/>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4091DAE0">
      <w:pPr>
        <w:spacing w:line="360" w:lineRule="auto"/>
        <w:jc w:val="cente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t>5</w:t>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36869220">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（采购人）：</w:t>
      </w:r>
    </w:p>
    <w:p w14:paraId="63A0ABCA">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(职务：</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)为全权代表，参加贵方组织的</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Cs w:val="21"/>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cs="仿宋_GB2312"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】的有关活动，并对此项目进行响应。为此：</w:t>
      </w:r>
    </w:p>
    <w:p w14:paraId="25EB603E">
      <w:pPr>
        <w:pStyle w:val="108"/>
        <w:numPr>
          <w:ilvl w:val="0"/>
          <w:numId w:val="14"/>
        </w:numPr>
        <w:snapToGrid w:val="0"/>
        <w:ind w:firstLineChars="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天，</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（不少于90天），</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本响应文件在响应有效期满之前均具有约束力。</w:t>
      </w:r>
    </w:p>
    <w:p w14:paraId="51D7E7AA">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Cs w:val="21"/>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Cs w:val="21"/>
          <w:highlight w:val="none"/>
          <w14:textFill>
            <w14:solidFill>
              <w14:schemeClr w14:val="tx1"/>
            </w14:solidFill>
          </w14:textFill>
        </w:rPr>
        <w:t>规定的全部响应文件。</w:t>
      </w:r>
    </w:p>
    <w:p w14:paraId="62DF46FD">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我方承诺除响应文件列出的偏离外，我方响应磋商文件的全部要求。</w:t>
      </w:r>
    </w:p>
    <w:p w14:paraId="2AB336C5">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保证遵守磋商文件中的其他有关规定。</w:t>
      </w:r>
    </w:p>
    <w:p w14:paraId="3848FBC2">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62EF134C">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我方已详细阅读全部磋商文件，包括磋商文件“更正（延期）公告”（如果有）、参考资料及有关附件，确认无误。</w:t>
      </w:r>
    </w:p>
    <w:p w14:paraId="08C431F0">
      <w:pPr>
        <w:numPr>
          <w:ilvl w:val="0"/>
          <w:numId w:val="14"/>
        </w:numPr>
        <w:adjustRightInd/>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如我方成交，我方承诺：</w:t>
      </w:r>
    </w:p>
    <w:p w14:paraId="69BC8A2B">
      <w:pPr>
        <w:snapToGrid w:val="0"/>
        <w:spacing w:line="360" w:lineRule="auto"/>
        <w:ind w:left="210" w:leftChars="100"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7.1在收到成交通知书后，在成交通知书规定的期限内与你方签订合同； </w:t>
      </w:r>
    </w:p>
    <w:p w14:paraId="010D867E">
      <w:pPr>
        <w:snapToGrid w:val="0"/>
        <w:spacing w:line="360" w:lineRule="auto"/>
        <w:ind w:left="210" w:leftChars="100"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7.2在签订合同时不向你方提出附加条件； </w:t>
      </w:r>
    </w:p>
    <w:p w14:paraId="7EED2E57">
      <w:pPr>
        <w:snapToGrid w:val="0"/>
        <w:spacing w:line="360" w:lineRule="auto"/>
        <w:ind w:left="210" w:leftChars="100"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7.</w:t>
      </w: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在合同约定的期限内完成合同规定的全部义务。 </w:t>
      </w:r>
    </w:p>
    <w:p w14:paraId="6C17C401">
      <w:pPr>
        <w:numPr>
          <w:ilvl w:val="0"/>
          <w:numId w:val="14"/>
        </w:numPr>
        <w:adjustRightInd/>
        <w:spacing w:line="360" w:lineRule="auto"/>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其他补充说明:                                        。</w:t>
      </w:r>
    </w:p>
    <w:p w14:paraId="66C73E3E">
      <w:pPr>
        <w:autoSpaceDE w:val="0"/>
        <w:autoSpaceDN w:val="0"/>
        <w:spacing w:line="360" w:lineRule="auto"/>
        <w:ind w:firstLine="3465" w:firstLineChars="1650"/>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p>
    <w:p w14:paraId="04ABAF50">
      <w:pPr>
        <w:spacing w:line="360" w:lineRule="auto"/>
        <w:ind w:firstLine="3150" w:firstLineChars="15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供应商名称（公章）：                          </w:t>
      </w:r>
    </w:p>
    <w:p w14:paraId="49713AEC">
      <w:pPr>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     日期：  年   月   日</w:t>
      </w:r>
    </w:p>
    <w:p w14:paraId="17EE45AE">
      <w:pPr>
        <w:spacing w:line="360" w:lineRule="auto"/>
        <w:ind w:right="420"/>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2AF3E4CD">
      <w:pPr>
        <w:spacing w:line="360" w:lineRule="auto"/>
        <w:ind w:right="420"/>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699D55FA">
      <w:pPr>
        <w:spacing w:line="360" w:lineRule="auto"/>
        <w:ind w:right="42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注：按本格式和要求提供。</w:t>
      </w:r>
    </w:p>
    <w:p w14:paraId="53F838ED">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4ACC585">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3226EF6">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B079FB7">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E873334">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3C43851">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9B160F5">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t>6</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、法人授权书（适用授权代表参加投标的）</w:t>
      </w:r>
    </w:p>
    <w:p w14:paraId="14E14F34">
      <w:pPr>
        <w:snapToGrid w:val="0"/>
        <w:spacing w:line="360" w:lineRule="auto"/>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w:t>
      </w:r>
    </w:p>
    <w:p w14:paraId="22A83A36">
      <w:pPr>
        <w:snapToGrid w:val="0"/>
        <w:spacing w:line="360" w:lineRule="auto"/>
        <w:ind w:firstLine="576"/>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Cs w:val="21"/>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cs="仿宋_GB2312"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政府采购响应的一切事项，若成交则全权代表本公司签订相关合同，并负责处理合同履行等事宜。</w:t>
      </w:r>
    </w:p>
    <w:p w14:paraId="2ACDE590">
      <w:pPr>
        <w:snapToGrid w:val="0"/>
        <w:spacing w:line="360" w:lineRule="auto"/>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本委托书有效期：自</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日起至</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日止。</w:t>
      </w:r>
    </w:p>
    <w:p w14:paraId="37EC84C7">
      <w:pPr>
        <w:snapToGrid w:val="0"/>
        <w:spacing w:line="360" w:lineRule="auto"/>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特此告知。</w:t>
      </w:r>
    </w:p>
    <w:p w14:paraId="07AE9A5E">
      <w:pPr>
        <w:snapToGrid w:val="0"/>
        <w:spacing w:line="360" w:lineRule="auto"/>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供应商名称(公章)：</w:t>
      </w:r>
    </w:p>
    <w:p w14:paraId="5064B3FB">
      <w:pPr>
        <w:snapToGrid w:val="0"/>
        <w:spacing w:line="360" w:lineRule="auto"/>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签发日期：  年  月   日</w:t>
      </w:r>
    </w:p>
    <w:p w14:paraId="425987FD">
      <w:pPr>
        <w:snapToGrid w:val="0"/>
        <w:spacing w:line="360" w:lineRule="auto"/>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FC2CCA6">
      <w:pPr>
        <w:widowControl/>
        <w:adjustRightInd/>
        <w:ind w:firstLine="2711" w:firstLineChars="900"/>
        <w:jc w:val="left"/>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w:t>
      </w:r>
    </w:p>
    <w:p w14:paraId="6F31F10A">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A86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9F90CD5">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正面：                                 反面：</w:t>
            </w:r>
          </w:p>
          <w:p w14:paraId="126E3F7E">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p>
        </w:tc>
      </w:tr>
    </w:tbl>
    <w:p w14:paraId="04BA15AD">
      <w:pPr>
        <w:snapToGrid w:val="0"/>
        <w:spacing w:line="360" w:lineRule="auto"/>
        <w:ind w:firstLine="576"/>
        <w:jc w:val="right"/>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1DE339C">
      <w:pPr>
        <w:snapToGrid w:val="0"/>
        <w:spacing w:line="360" w:lineRule="auto"/>
        <w:ind w:firstLine="576"/>
        <w:jc w:val="cente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746ED67D">
      <w:pPr>
        <w:snapToGrid w:val="0"/>
        <w:spacing w:line="360" w:lineRule="auto"/>
        <w:ind w:firstLine="576"/>
        <w:jc w:val="cente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p>
    <w:p w14:paraId="5B276C20">
      <w:pPr>
        <w:widowControl/>
        <w:adjustRightInd/>
        <w:jc w:val="left"/>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126BE510">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法定代表人（单位负责人）身份证明</w:t>
      </w:r>
    </w:p>
    <w:p w14:paraId="503F5DB2">
      <w:pPr>
        <w:widowControl/>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（注：适用法定代表人（单位负责人）参加投标的）</w:t>
      </w:r>
    </w:p>
    <w:p w14:paraId="29FA4910">
      <w:pPr>
        <w:spacing w:line="480" w:lineRule="auto"/>
        <w:ind w:firstLine="420" w:firstLineChars="200"/>
        <w:rPr>
          <w:rFonts w:hint="eastAsia" w:hAnsi="宋体" w:cs="宋体"/>
          <w:szCs w:val="21"/>
          <w:highlight w:val="none"/>
        </w:rPr>
      </w:pPr>
      <w:r>
        <w:rPr>
          <w:rFonts w:hint="eastAsia" w:hAnsi="宋体" w:cs="宋体"/>
          <w:szCs w:val="21"/>
          <w:highlight w:val="none"/>
        </w:rPr>
        <w:t>供应商名称：</w:t>
      </w:r>
      <w:r>
        <w:rPr>
          <w:rFonts w:hint="eastAsia" w:hAnsi="宋体" w:cs="宋体"/>
          <w:szCs w:val="21"/>
          <w:highlight w:val="none"/>
          <w:u w:val="single"/>
        </w:rPr>
        <w:t xml:space="preserve">                                      </w:t>
      </w:r>
    </w:p>
    <w:p w14:paraId="01D1A4A9">
      <w:pPr>
        <w:spacing w:line="480" w:lineRule="auto"/>
        <w:ind w:firstLine="420" w:firstLineChars="200"/>
        <w:rPr>
          <w:rFonts w:hint="eastAsia" w:hAnsi="宋体" w:cs="宋体"/>
          <w:szCs w:val="21"/>
          <w:highlight w:val="none"/>
        </w:rPr>
      </w:pPr>
      <w:r>
        <w:rPr>
          <w:rFonts w:hint="eastAsia" w:hAnsi="宋体" w:cs="宋体"/>
          <w:szCs w:val="21"/>
          <w:highlight w:val="none"/>
        </w:rPr>
        <w:t>单位性质：</w:t>
      </w:r>
      <w:r>
        <w:rPr>
          <w:rFonts w:hint="eastAsia" w:hAnsi="宋体" w:cs="宋体"/>
          <w:szCs w:val="21"/>
          <w:highlight w:val="none"/>
          <w:u w:val="single"/>
        </w:rPr>
        <w:t xml:space="preserve">                                         </w:t>
      </w:r>
      <w:r>
        <w:rPr>
          <w:rFonts w:hint="eastAsia" w:hAnsi="宋体" w:cs="宋体"/>
          <w:szCs w:val="21"/>
          <w:highlight w:val="none"/>
        </w:rPr>
        <w:t xml:space="preserve"> </w:t>
      </w:r>
    </w:p>
    <w:p w14:paraId="62A6A38F">
      <w:pPr>
        <w:spacing w:line="480" w:lineRule="auto"/>
        <w:ind w:firstLine="420" w:firstLineChars="200"/>
        <w:rPr>
          <w:rFonts w:hint="eastAsia" w:hAnsi="宋体" w:cs="宋体"/>
          <w:szCs w:val="21"/>
          <w:highlight w:val="none"/>
        </w:rPr>
      </w:pPr>
      <w:r>
        <w:rPr>
          <w:rFonts w:hint="eastAsia" w:hAnsi="宋体" w:cs="宋体"/>
          <w:szCs w:val="21"/>
          <w:highlight w:val="none"/>
        </w:rPr>
        <w:t>地址：</w:t>
      </w:r>
      <w:r>
        <w:rPr>
          <w:rFonts w:hint="eastAsia" w:hAnsi="宋体" w:cs="宋体"/>
          <w:szCs w:val="21"/>
          <w:highlight w:val="none"/>
          <w:u w:val="single"/>
        </w:rPr>
        <w:t xml:space="preserve">                                              </w:t>
      </w:r>
    </w:p>
    <w:p w14:paraId="2DDD9FAF">
      <w:pPr>
        <w:spacing w:line="480" w:lineRule="auto"/>
        <w:ind w:firstLine="420" w:firstLineChars="200"/>
        <w:rPr>
          <w:rFonts w:hint="eastAsia" w:hAnsi="宋体" w:cs="宋体"/>
          <w:szCs w:val="21"/>
          <w:highlight w:val="none"/>
        </w:rPr>
      </w:pPr>
      <w:r>
        <w:rPr>
          <w:rFonts w:hint="eastAsia" w:hAnsi="宋体" w:cs="宋体"/>
          <w:szCs w:val="21"/>
          <w:highlight w:val="none"/>
        </w:rPr>
        <w:t>成立时间：</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14:paraId="2A43DB49">
      <w:pPr>
        <w:spacing w:line="480" w:lineRule="auto"/>
        <w:ind w:firstLine="420" w:firstLineChars="200"/>
        <w:rPr>
          <w:rFonts w:hint="eastAsia" w:hAnsi="宋体" w:cs="宋体"/>
          <w:szCs w:val="21"/>
          <w:highlight w:val="none"/>
        </w:rPr>
      </w:pPr>
      <w:r>
        <w:rPr>
          <w:rFonts w:hint="eastAsia" w:hAnsi="宋体" w:cs="宋体"/>
          <w:szCs w:val="21"/>
          <w:highlight w:val="none"/>
        </w:rPr>
        <w:t>经营期限：</w:t>
      </w:r>
      <w:r>
        <w:rPr>
          <w:rFonts w:hint="eastAsia" w:hAnsi="宋体" w:cs="宋体"/>
          <w:szCs w:val="21"/>
          <w:highlight w:val="none"/>
          <w:u w:val="single"/>
        </w:rPr>
        <w:t xml:space="preserve">                                </w:t>
      </w:r>
      <w:r>
        <w:rPr>
          <w:rFonts w:hint="eastAsia" w:hAnsi="宋体" w:cs="宋体"/>
          <w:szCs w:val="21"/>
          <w:highlight w:val="none"/>
        </w:rPr>
        <w:t xml:space="preserve"> </w:t>
      </w:r>
    </w:p>
    <w:p w14:paraId="084049C7">
      <w:pPr>
        <w:spacing w:line="480" w:lineRule="auto"/>
        <w:ind w:firstLine="420" w:firstLineChars="200"/>
        <w:rPr>
          <w:rFonts w:hint="eastAsia" w:hAnsi="宋体" w:cs="宋体"/>
          <w:szCs w:val="21"/>
          <w:highlight w:val="none"/>
        </w:rPr>
      </w:pPr>
      <w:r>
        <w:rPr>
          <w:rFonts w:hint="eastAsia" w:hAnsi="宋体" w:cs="宋体"/>
          <w:szCs w:val="21"/>
          <w:highlight w:val="none"/>
        </w:rPr>
        <w:t>姓名：</w:t>
      </w:r>
      <w:r>
        <w:rPr>
          <w:rFonts w:hint="eastAsia" w:hAnsi="宋体" w:cs="宋体"/>
          <w:szCs w:val="21"/>
          <w:highlight w:val="none"/>
          <w:u w:val="single"/>
        </w:rPr>
        <w:t xml:space="preserve">       </w:t>
      </w:r>
      <w:r>
        <w:rPr>
          <w:rFonts w:hint="eastAsia" w:hAnsi="宋体" w:cs="宋体"/>
          <w:szCs w:val="21"/>
          <w:highlight w:val="none"/>
        </w:rPr>
        <w:t>性别：</w:t>
      </w:r>
      <w:r>
        <w:rPr>
          <w:rFonts w:hint="eastAsia" w:hAnsi="宋体" w:cs="宋体"/>
          <w:szCs w:val="21"/>
          <w:highlight w:val="none"/>
          <w:u w:val="single"/>
        </w:rPr>
        <w:t xml:space="preserve">      </w:t>
      </w:r>
      <w:r>
        <w:rPr>
          <w:rFonts w:hint="eastAsia" w:hAnsi="宋体" w:cs="宋体"/>
          <w:szCs w:val="21"/>
          <w:highlight w:val="none"/>
        </w:rPr>
        <w:t>年龄：</w:t>
      </w:r>
      <w:r>
        <w:rPr>
          <w:rFonts w:hint="eastAsia" w:hAnsi="宋体" w:cs="宋体"/>
          <w:szCs w:val="21"/>
          <w:highlight w:val="none"/>
          <w:u w:val="single"/>
        </w:rPr>
        <w:t xml:space="preserve">    周岁  </w:t>
      </w:r>
      <w:r>
        <w:rPr>
          <w:rFonts w:hint="eastAsia" w:hAnsi="宋体" w:cs="宋体"/>
          <w:szCs w:val="21"/>
          <w:highlight w:val="none"/>
        </w:rPr>
        <w:t>职务：</w:t>
      </w:r>
      <w:r>
        <w:rPr>
          <w:rFonts w:hint="eastAsia" w:hAnsi="宋体" w:cs="宋体"/>
          <w:szCs w:val="21"/>
          <w:highlight w:val="none"/>
          <w:u w:val="single"/>
        </w:rPr>
        <w:t xml:space="preserve">        </w:t>
      </w:r>
      <w:r>
        <w:rPr>
          <w:rFonts w:hint="eastAsia" w:hAnsi="宋体" w:cs="宋体"/>
          <w:szCs w:val="21"/>
          <w:highlight w:val="none"/>
        </w:rPr>
        <w:t xml:space="preserve"> </w:t>
      </w:r>
      <w:r>
        <w:rPr>
          <w:rFonts w:hint="eastAsia" w:hAnsi="宋体" w:cs="宋体"/>
          <w:szCs w:val="21"/>
          <w:highlight w:val="none"/>
          <w:u w:val="single"/>
        </w:rPr>
        <w:t xml:space="preserve">  </w:t>
      </w:r>
    </w:p>
    <w:p w14:paraId="255B0AFF">
      <w:pPr>
        <w:spacing w:line="480" w:lineRule="auto"/>
        <w:ind w:firstLine="420" w:firstLineChars="200"/>
        <w:rPr>
          <w:rFonts w:hint="eastAsia" w:hAnsi="宋体" w:cs="宋体"/>
          <w:szCs w:val="21"/>
          <w:highlight w:val="none"/>
          <w:u w:val="single"/>
        </w:rPr>
      </w:pPr>
      <w:r>
        <w:rPr>
          <w:rFonts w:hint="eastAsia" w:hAnsi="宋体" w:cs="宋体"/>
          <w:szCs w:val="21"/>
          <w:highlight w:val="none"/>
        </w:rPr>
        <w:t>身份证号码：</w:t>
      </w:r>
      <w:r>
        <w:rPr>
          <w:rFonts w:hint="eastAsia" w:hAnsi="宋体" w:cs="宋体"/>
          <w:szCs w:val="21"/>
          <w:highlight w:val="none"/>
          <w:u w:val="single"/>
        </w:rPr>
        <w:t xml:space="preserve">                   </w:t>
      </w:r>
    </w:p>
    <w:p w14:paraId="30C198DA">
      <w:pPr>
        <w:spacing w:line="480" w:lineRule="auto"/>
        <w:ind w:firstLine="420" w:firstLineChars="200"/>
        <w:rPr>
          <w:rFonts w:hint="eastAsia" w:hAnsi="宋体" w:cs="宋体"/>
          <w:szCs w:val="21"/>
          <w:highlight w:val="none"/>
        </w:rPr>
      </w:pPr>
      <w:r>
        <w:rPr>
          <w:rFonts w:hint="eastAsia" w:hAnsi="宋体" w:cs="宋体"/>
          <w:szCs w:val="21"/>
          <w:highlight w:val="none"/>
        </w:rPr>
        <w:t>系</w:t>
      </w:r>
      <w:r>
        <w:rPr>
          <w:rFonts w:hint="eastAsia" w:hAnsi="宋体" w:cs="宋体"/>
          <w:szCs w:val="21"/>
          <w:highlight w:val="none"/>
          <w:u w:val="single"/>
        </w:rPr>
        <w:t xml:space="preserve">                                      </w:t>
      </w:r>
      <w:r>
        <w:rPr>
          <w:rFonts w:hint="eastAsia" w:hAnsi="宋体" w:cs="宋体"/>
          <w:szCs w:val="21"/>
          <w:highlight w:val="none"/>
        </w:rPr>
        <w:t>（供应商名称）的法定代表人。</w:t>
      </w:r>
    </w:p>
    <w:p w14:paraId="0E11B03A">
      <w:pPr>
        <w:ind w:firstLine="420" w:firstLineChars="200"/>
        <w:rPr>
          <w:rFonts w:hint="eastAsia" w:hAnsi="宋体" w:cs="宋体"/>
          <w:bCs/>
          <w:szCs w:val="21"/>
          <w:highlight w:val="none"/>
        </w:rPr>
      </w:pPr>
      <w:r>
        <w:rPr>
          <w:rFonts w:hint="eastAsia" w:hAnsi="宋体" w:cs="宋体"/>
          <w:szCs w:val="21"/>
          <w:highlight w:val="none"/>
        </w:rPr>
        <w:t>特此证明。</w:t>
      </w:r>
    </w:p>
    <w:p w14:paraId="57A24A0E">
      <w:pPr>
        <w:rPr>
          <w:rFonts w:hint="eastAsia" w:hAnsi="宋体" w:cs="宋体"/>
          <w:bCs/>
          <w:szCs w:val="21"/>
          <w:highlight w:val="none"/>
        </w:rPr>
      </w:pPr>
    </w:p>
    <w:p w14:paraId="07FFE2A4">
      <w:pPr>
        <w:rPr>
          <w:rFonts w:hint="eastAsia" w:hAnsi="宋体" w:cs="宋体"/>
          <w:bCs/>
          <w:szCs w:val="21"/>
          <w:highlight w:val="none"/>
        </w:rPr>
      </w:pPr>
      <w:r>
        <w:rPr>
          <w:rFonts w:hint="eastAsia" w:hAnsi="宋体" w:cs="宋体"/>
          <w:bCs/>
          <w:szCs w:val="21"/>
          <w:highlight w:val="none"/>
        </w:rPr>
        <w:t>供应商名称（公章）：</w:t>
      </w:r>
    </w:p>
    <w:p w14:paraId="7EA66219">
      <w:pPr>
        <w:rPr>
          <w:rFonts w:hint="eastAsia" w:hAnsi="宋体" w:cs="宋体"/>
          <w:bCs/>
          <w:szCs w:val="21"/>
          <w:highlight w:val="none"/>
        </w:rPr>
      </w:pPr>
      <w:r>
        <w:rPr>
          <w:rFonts w:hint="eastAsia" w:hAnsi="宋体" w:cs="宋体"/>
          <w:bCs/>
          <w:szCs w:val="21"/>
          <w:highlight w:val="none"/>
        </w:rPr>
        <w:t xml:space="preserve">                       </w:t>
      </w:r>
    </w:p>
    <w:p w14:paraId="500E65F2">
      <w:pPr>
        <w:pStyle w:val="34"/>
        <w:snapToGrid w:val="0"/>
        <w:rPr>
          <w:rFonts w:hint="eastAsia" w:hAnsi="宋体" w:cs="宋体"/>
          <w:szCs w:val="21"/>
          <w:highlight w:val="none"/>
        </w:rPr>
      </w:pPr>
      <w:r>
        <w:rPr>
          <w:rFonts w:hint="eastAsia" w:hAnsi="宋体" w:cs="宋体"/>
          <w:bCs/>
          <w:szCs w:val="21"/>
          <w:highlight w:val="none"/>
        </w:rPr>
        <w:t>日期：年  月  日</w:t>
      </w:r>
    </w:p>
    <w:p w14:paraId="5369E156">
      <w:pPr>
        <w:widowControl/>
        <w:adjustRightInd/>
        <w:ind w:firstLine="2711" w:firstLineChars="900"/>
        <w:jc w:val="left"/>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pPr>
    </w:p>
    <w:p w14:paraId="1FF673B7">
      <w:pPr>
        <w:widowControl/>
        <w:adjustRightInd/>
        <w:ind w:firstLine="2711" w:firstLineChars="900"/>
        <w:jc w:val="left"/>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法定代表人（单位负责人）的身份证</w:t>
      </w:r>
    </w:p>
    <w:p w14:paraId="4CC1F44B">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法定代表人（单位负责人）身份证件扫描件：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56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C5BFA8">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正面：                                 反面：</w:t>
            </w:r>
          </w:p>
          <w:p w14:paraId="085664C7">
            <w:pPr>
              <w:pStyle w:val="621"/>
              <w:spacing w:line="360" w:lineRule="auto"/>
              <w:rPr>
                <w:rFonts w:hint="eastAsia" w:asciiTheme="minorEastAsia" w:hAnsiTheme="minorEastAsia" w:eastAsiaTheme="minorEastAsia"/>
                <w:bCs/>
                <w:color w:val="000000" w:themeColor="text1"/>
                <w:highlight w:val="none"/>
                <w14:textFill>
                  <w14:solidFill>
                    <w14:schemeClr w14:val="tx1"/>
                  </w14:solidFill>
                </w14:textFill>
              </w:rPr>
            </w:pPr>
          </w:p>
        </w:tc>
      </w:tr>
    </w:tbl>
    <w:p w14:paraId="3B842F66">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91B373E">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423218A">
      <w:pPr>
        <w:pStyle w:val="25"/>
        <w:spacing w:line="400" w:lineRule="exact"/>
        <w:ind w:firstLine="420"/>
        <w:rPr>
          <w:rFonts w:hint="eastAsia" w:cs="宋体"/>
          <w:sz w:val="21"/>
          <w:szCs w:val="21"/>
          <w:highlight w:val="none"/>
        </w:rPr>
      </w:pPr>
    </w:p>
    <w:p w14:paraId="52CA60B5">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7、商务条款响应（偏离）表</w:t>
      </w:r>
    </w:p>
    <w:p w14:paraId="38ECD4B9">
      <w:pPr>
        <w:spacing w:after="120" w:afterLines="50" w:line="360" w:lineRule="auto"/>
        <w:rPr>
          <w:rFonts w:hint="eastAsia" w:ascii="宋体" w:hAnsi="宋体" w:cs="宋体"/>
          <w:szCs w:val="21"/>
          <w:highlight w:val="none"/>
        </w:rPr>
      </w:pPr>
      <w:r>
        <w:rPr>
          <w:rFonts w:hint="eastAsia" w:ascii="宋体" w:hAnsi="宋体" w:cs="宋体"/>
          <w:szCs w:val="21"/>
          <w:highlight w:val="none"/>
        </w:rPr>
        <w:t xml:space="preserve">项目名称：                                     项目编号：                 </w:t>
      </w:r>
    </w:p>
    <w:tbl>
      <w:tblPr>
        <w:tblStyle w:val="62"/>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1BC60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70A9964B">
            <w:pPr>
              <w:pStyle w:val="34"/>
              <w:ind w:firstLine="420"/>
              <w:rPr>
                <w:rFonts w:hint="eastAsia" w:hAnsi="宋体" w:cs="宋体"/>
                <w:szCs w:val="21"/>
                <w:highlight w:val="none"/>
              </w:rPr>
            </w:pPr>
            <w:r>
              <w:rPr>
                <w:rFonts w:hint="eastAsia" w:hAnsi="宋体" w:cs="宋体"/>
                <w:szCs w:val="21"/>
                <w:highlight w:val="none"/>
              </w:rPr>
              <w:t>序号</w:t>
            </w:r>
          </w:p>
        </w:tc>
        <w:tc>
          <w:tcPr>
            <w:tcW w:w="3098" w:type="dxa"/>
            <w:vAlign w:val="center"/>
          </w:tcPr>
          <w:p w14:paraId="34F7BA53">
            <w:pPr>
              <w:pStyle w:val="34"/>
              <w:ind w:firstLine="420"/>
              <w:rPr>
                <w:rFonts w:hint="eastAsia" w:hAnsi="宋体" w:cs="宋体"/>
                <w:szCs w:val="21"/>
                <w:highlight w:val="none"/>
              </w:rPr>
            </w:pPr>
            <w:r>
              <w:rPr>
                <w:rFonts w:hint="eastAsia" w:hAnsi="宋体" w:cs="宋体"/>
                <w:szCs w:val="21"/>
                <w:highlight w:val="none"/>
              </w:rPr>
              <w:t>采购文件的商务条款</w:t>
            </w:r>
          </w:p>
        </w:tc>
        <w:tc>
          <w:tcPr>
            <w:tcW w:w="2694" w:type="dxa"/>
            <w:vAlign w:val="center"/>
          </w:tcPr>
          <w:p w14:paraId="1EB3DE64">
            <w:pPr>
              <w:pStyle w:val="34"/>
              <w:rPr>
                <w:rFonts w:hint="eastAsia" w:hAnsi="宋体" w:cs="宋体"/>
                <w:szCs w:val="21"/>
                <w:highlight w:val="none"/>
              </w:rPr>
            </w:pPr>
            <w:r>
              <w:rPr>
                <w:rFonts w:hint="eastAsia" w:hAnsi="宋体" w:cs="宋体"/>
                <w:szCs w:val="21"/>
                <w:highlight w:val="none"/>
              </w:rPr>
              <w:t>响应文件的具体商务条款</w:t>
            </w:r>
          </w:p>
        </w:tc>
        <w:tc>
          <w:tcPr>
            <w:tcW w:w="2551" w:type="dxa"/>
            <w:vAlign w:val="center"/>
          </w:tcPr>
          <w:p w14:paraId="75676CCE">
            <w:pPr>
              <w:pStyle w:val="34"/>
              <w:ind w:firstLine="422"/>
              <w:rPr>
                <w:rFonts w:hint="eastAsia" w:hAnsi="宋体" w:cs="宋体"/>
                <w:szCs w:val="21"/>
                <w:highlight w:val="none"/>
              </w:rPr>
            </w:pPr>
            <w:r>
              <w:rPr>
                <w:rFonts w:hint="eastAsia" w:hAnsi="宋体" w:cs="宋体"/>
                <w:szCs w:val="21"/>
                <w:highlight w:val="none"/>
              </w:rPr>
              <w:t>偏离情况（填写：正偏离/负偏离/无偏离）</w:t>
            </w:r>
          </w:p>
        </w:tc>
      </w:tr>
      <w:tr w14:paraId="752B1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vAlign w:val="center"/>
          </w:tcPr>
          <w:p w14:paraId="1772FE21">
            <w:pPr>
              <w:pStyle w:val="34"/>
              <w:snapToGrid w:val="0"/>
              <w:spacing w:before="120" w:after="120"/>
              <w:ind w:firstLine="210" w:firstLineChars="100"/>
              <w:rPr>
                <w:rFonts w:hint="eastAsia" w:hAnsi="宋体" w:cs="宋体"/>
                <w:szCs w:val="21"/>
                <w:highlight w:val="none"/>
              </w:rPr>
            </w:pPr>
            <w:r>
              <w:rPr>
                <w:rFonts w:hint="eastAsia" w:hAnsi="宋体" w:cs="宋体"/>
                <w:szCs w:val="21"/>
                <w:highlight w:val="none"/>
              </w:rPr>
              <w:t>1</w:t>
            </w:r>
          </w:p>
        </w:tc>
        <w:tc>
          <w:tcPr>
            <w:tcW w:w="3098" w:type="dxa"/>
            <w:vAlign w:val="center"/>
          </w:tcPr>
          <w:p w14:paraId="318BE6BF">
            <w:pPr>
              <w:pStyle w:val="34"/>
              <w:snapToGrid w:val="0"/>
              <w:spacing w:before="120" w:after="120"/>
              <w:ind w:firstLine="420"/>
              <w:rPr>
                <w:rFonts w:hint="eastAsia" w:hAnsi="宋体" w:cs="宋体"/>
                <w:szCs w:val="21"/>
                <w:highlight w:val="none"/>
                <w:u w:val="single"/>
              </w:rPr>
            </w:pPr>
          </w:p>
        </w:tc>
        <w:tc>
          <w:tcPr>
            <w:tcW w:w="2694" w:type="dxa"/>
          </w:tcPr>
          <w:p w14:paraId="5F1FEE0C">
            <w:pPr>
              <w:pStyle w:val="34"/>
              <w:snapToGrid w:val="0"/>
              <w:spacing w:before="120" w:after="120"/>
              <w:ind w:firstLine="420"/>
              <w:rPr>
                <w:rFonts w:hint="eastAsia" w:hAnsi="宋体" w:cs="宋体"/>
                <w:szCs w:val="21"/>
                <w:highlight w:val="none"/>
                <w:u w:val="single"/>
              </w:rPr>
            </w:pPr>
          </w:p>
        </w:tc>
        <w:tc>
          <w:tcPr>
            <w:tcW w:w="2551" w:type="dxa"/>
          </w:tcPr>
          <w:p w14:paraId="66FC3932">
            <w:pPr>
              <w:pStyle w:val="34"/>
              <w:snapToGrid w:val="0"/>
              <w:spacing w:before="120" w:after="120"/>
              <w:ind w:firstLine="420"/>
              <w:rPr>
                <w:rFonts w:hint="eastAsia" w:hAnsi="宋体" w:cs="宋体"/>
                <w:szCs w:val="21"/>
                <w:highlight w:val="none"/>
                <w:u w:val="single"/>
              </w:rPr>
            </w:pPr>
          </w:p>
        </w:tc>
      </w:tr>
      <w:tr w14:paraId="6C3E7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10176B9B">
            <w:pPr>
              <w:pStyle w:val="34"/>
              <w:snapToGrid w:val="0"/>
              <w:spacing w:before="120" w:after="120"/>
              <w:ind w:firstLine="210" w:firstLineChars="100"/>
              <w:rPr>
                <w:rFonts w:hint="eastAsia" w:hAnsi="宋体" w:cs="宋体"/>
                <w:szCs w:val="21"/>
                <w:highlight w:val="none"/>
              </w:rPr>
            </w:pPr>
            <w:r>
              <w:rPr>
                <w:rFonts w:hint="eastAsia" w:hAnsi="宋体" w:cs="宋体"/>
                <w:szCs w:val="21"/>
                <w:highlight w:val="none"/>
              </w:rPr>
              <w:t>2</w:t>
            </w:r>
          </w:p>
        </w:tc>
        <w:tc>
          <w:tcPr>
            <w:tcW w:w="3098" w:type="dxa"/>
            <w:vAlign w:val="center"/>
          </w:tcPr>
          <w:p w14:paraId="6D87DF10">
            <w:pPr>
              <w:pStyle w:val="34"/>
              <w:snapToGrid w:val="0"/>
              <w:spacing w:before="120" w:after="120"/>
              <w:ind w:firstLine="420"/>
              <w:rPr>
                <w:rFonts w:hint="eastAsia" w:hAnsi="宋体" w:cs="宋体"/>
                <w:szCs w:val="21"/>
                <w:highlight w:val="none"/>
                <w:u w:val="single"/>
              </w:rPr>
            </w:pPr>
          </w:p>
        </w:tc>
        <w:tc>
          <w:tcPr>
            <w:tcW w:w="2694" w:type="dxa"/>
          </w:tcPr>
          <w:p w14:paraId="10856D24">
            <w:pPr>
              <w:pStyle w:val="34"/>
              <w:snapToGrid w:val="0"/>
              <w:spacing w:before="120" w:after="120"/>
              <w:ind w:firstLine="420"/>
              <w:rPr>
                <w:rFonts w:hint="eastAsia" w:hAnsi="宋体" w:cs="宋体"/>
                <w:szCs w:val="21"/>
                <w:highlight w:val="none"/>
                <w:u w:val="single"/>
              </w:rPr>
            </w:pPr>
          </w:p>
        </w:tc>
        <w:tc>
          <w:tcPr>
            <w:tcW w:w="2551" w:type="dxa"/>
          </w:tcPr>
          <w:p w14:paraId="69B8A929">
            <w:pPr>
              <w:pStyle w:val="34"/>
              <w:snapToGrid w:val="0"/>
              <w:spacing w:before="120" w:after="120"/>
              <w:ind w:firstLine="420"/>
              <w:rPr>
                <w:rFonts w:hint="eastAsia" w:hAnsi="宋体" w:cs="宋体"/>
                <w:szCs w:val="21"/>
                <w:highlight w:val="none"/>
                <w:u w:val="single"/>
              </w:rPr>
            </w:pPr>
          </w:p>
        </w:tc>
      </w:tr>
      <w:tr w14:paraId="201DF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vAlign w:val="center"/>
          </w:tcPr>
          <w:p w14:paraId="3311779D">
            <w:pPr>
              <w:pStyle w:val="34"/>
              <w:snapToGrid w:val="0"/>
              <w:spacing w:before="120" w:after="120"/>
              <w:ind w:firstLine="210" w:firstLineChars="100"/>
              <w:rPr>
                <w:rFonts w:hint="eastAsia" w:hAnsi="宋体" w:cs="宋体"/>
                <w:szCs w:val="21"/>
                <w:highlight w:val="none"/>
              </w:rPr>
            </w:pPr>
            <w:r>
              <w:rPr>
                <w:rFonts w:hint="eastAsia" w:hAnsi="宋体" w:cs="宋体"/>
                <w:szCs w:val="21"/>
                <w:highlight w:val="none"/>
              </w:rPr>
              <w:t>3</w:t>
            </w:r>
          </w:p>
        </w:tc>
        <w:tc>
          <w:tcPr>
            <w:tcW w:w="3098" w:type="dxa"/>
            <w:vAlign w:val="center"/>
          </w:tcPr>
          <w:p w14:paraId="40268CBD">
            <w:pPr>
              <w:pStyle w:val="34"/>
              <w:snapToGrid w:val="0"/>
              <w:spacing w:before="120" w:after="120"/>
              <w:ind w:firstLine="420"/>
              <w:rPr>
                <w:rFonts w:hint="eastAsia" w:hAnsi="宋体" w:cs="宋体"/>
                <w:szCs w:val="21"/>
                <w:highlight w:val="none"/>
                <w:u w:val="single"/>
              </w:rPr>
            </w:pPr>
          </w:p>
        </w:tc>
        <w:tc>
          <w:tcPr>
            <w:tcW w:w="2694" w:type="dxa"/>
          </w:tcPr>
          <w:p w14:paraId="21F20C2C">
            <w:pPr>
              <w:pStyle w:val="34"/>
              <w:snapToGrid w:val="0"/>
              <w:spacing w:before="120" w:after="120"/>
              <w:ind w:firstLine="420"/>
              <w:rPr>
                <w:rFonts w:hint="eastAsia" w:hAnsi="宋体" w:cs="宋体"/>
                <w:szCs w:val="21"/>
                <w:highlight w:val="none"/>
                <w:u w:val="single"/>
              </w:rPr>
            </w:pPr>
          </w:p>
        </w:tc>
        <w:tc>
          <w:tcPr>
            <w:tcW w:w="2551" w:type="dxa"/>
          </w:tcPr>
          <w:p w14:paraId="5DC9C1D5">
            <w:pPr>
              <w:pStyle w:val="34"/>
              <w:snapToGrid w:val="0"/>
              <w:spacing w:before="120" w:after="120"/>
              <w:ind w:firstLine="420"/>
              <w:rPr>
                <w:rFonts w:hint="eastAsia" w:hAnsi="宋体" w:cs="宋体"/>
                <w:szCs w:val="21"/>
                <w:highlight w:val="none"/>
                <w:u w:val="single"/>
              </w:rPr>
            </w:pPr>
          </w:p>
        </w:tc>
      </w:tr>
      <w:tr w14:paraId="716A7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39A6C009">
            <w:pPr>
              <w:pStyle w:val="34"/>
              <w:snapToGrid w:val="0"/>
              <w:spacing w:before="120" w:after="120"/>
              <w:ind w:firstLine="210" w:firstLineChars="100"/>
              <w:rPr>
                <w:rFonts w:hint="eastAsia" w:hAnsi="宋体" w:cs="宋体"/>
                <w:szCs w:val="21"/>
                <w:highlight w:val="none"/>
              </w:rPr>
            </w:pPr>
          </w:p>
        </w:tc>
        <w:tc>
          <w:tcPr>
            <w:tcW w:w="3098" w:type="dxa"/>
            <w:vAlign w:val="center"/>
          </w:tcPr>
          <w:p w14:paraId="4D21F847">
            <w:pPr>
              <w:pStyle w:val="34"/>
              <w:snapToGrid w:val="0"/>
              <w:spacing w:before="120" w:after="120"/>
              <w:ind w:firstLine="420"/>
              <w:rPr>
                <w:rFonts w:hint="eastAsia" w:hAnsi="宋体" w:cs="宋体"/>
                <w:szCs w:val="21"/>
                <w:highlight w:val="none"/>
                <w:u w:val="single"/>
              </w:rPr>
            </w:pPr>
          </w:p>
        </w:tc>
        <w:tc>
          <w:tcPr>
            <w:tcW w:w="2694" w:type="dxa"/>
          </w:tcPr>
          <w:p w14:paraId="2B3EA1EC">
            <w:pPr>
              <w:pStyle w:val="34"/>
              <w:snapToGrid w:val="0"/>
              <w:spacing w:before="120" w:after="120"/>
              <w:ind w:firstLine="420"/>
              <w:rPr>
                <w:rFonts w:hint="eastAsia" w:hAnsi="宋体" w:cs="宋体"/>
                <w:szCs w:val="21"/>
                <w:highlight w:val="none"/>
                <w:u w:val="single"/>
              </w:rPr>
            </w:pPr>
          </w:p>
        </w:tc>
        <w:tc>
          <w:tcPr>
            <w:tcW w:w="2551" w:type="dxa"/>
          </w:tcPr>
          <w:p w14:paraId="1CD6A451">
            <w:pPr>
              <w:pStyle w:val="34"/>
              <w:snapToGrid w:val="0"/>
              <w:spacing w:before="120" w:after="120"/>
              <w:ind w:firstLine="420"/>
              <w:rPr>
                <w:rFonts w:hint="eastAsia" w:hAnsi="宋体" w:cs="宋体"/>
                <w:szCs w:val="21"/>
                <w:highlight w:val="none"/>
                <w:u w:val="single"/>
              </w:rPr>
            </w:pPr>
          </w:p>
        </w:tc>
      </w:tr>
      <w:tr w14:paraId="0F4A3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1CB61905">
            <w:pPr>
              <w:pStyle w:val="34"/>
              <w:snapToGrid w:val="0"/>
              <w:spacing w:before="120" w:after="120"/>
              <w:ind w:firstLine="420"/>
              <w:rPr>
                <w:rFonts w:hint="eastAsia" w:hAnsi="宋体" w:cs="宋体"/>
                <w:szCs w:val="21"/>
                <w:highlight w:val="none"/>
                <w:u w:val="single"/>
              </w:rPr>
            </w:pPr>
          </w:p>
        </w:tc>
        <w:tc>
          <w:tcPr>
            <w:tcW w:w="3098" w:type="dxa"/>
          </w:tcPr>
          <w:p w14:paraId="10EA9E79">
            <w:pPr>
              <w:pStyle w:val="34"/>
              <w:snapToGrid w:val="0"/>
              <w:spacing w:before="120" w:after="120"/>
              <w:ind w:firstLine="420"/>
              <w:rPr>
                <w:rFonts w:hint="eastAsia" w:hAnsi="宋体" w:cs="宋体"/>
                <w:szCs w:val="21"/>
                <w:highlight w:val="none"/>
                <w:u w:val="single"/>
              </w:rPr>
            </w:pPr>
          </w:p>
        </w:tc>
        <w:tc>
          <w:tcPr>
            <w:tcW w:w="2694" w:type="dxa"/>
          </w:tcPr>
          <w:p w14:paraId="13CE50A4">
            <w:pPr>
              <w:pStyle w:val="34"/>
              <w:snapToGrid w:val="0"/>
              <w:spacing w:before="120" w:after="120"/>
              <w:ind w:firstLine="420"/>
              <w:rPr>
                <w:rFonts w:hint="eastAsia" w:hAnsi="宋体" w:cs="宋体"/>
                <w:szCs w:val="21"/>
                <w:highlight w:val="none"/>
                <w:u w:val="single"/>
              </w:rPr>
            </w:pPr>
          </w:p>
        </w:tc>
        <w:tc>
          <w:tcPr>
            <w:tcW w:w="2551" w:type="dxa"/>
          </w:tcPr>
          <w:p w14:paraId="6CF85E65">
            <w:pPr>
              <w:pStyle w:val="34"/>
              <w:snapToGrid w:val="0"/>
              <w:spacing w:before="120" w:after="120"/>
              <w:ind w:firstLine="420"/>
              <w:rPr>
                <w:rFonts w:hint="eastAsia" w:hAnsi="宋体" w:cs="宋体"/>
                <w:szCs w:val="21"/>
                <w:highlight w:val="none"/>
                <w:u w:val="single"/>
              </w:rPr>
            </w:pPr>
          </w:p>
        </w:tc>
      </w:tr>
      <w:tr w14:paraId="17067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2D7CC627">
            <w:pPr>
              <w:pStyle w:val="34"/>
              <w:snapToGrid w:val="0"/>
              <w:spacing w:before="120" w:after="120"/>
              <w:ind w:firstLine="420"/>
              <w:rPr>
                <w:rFonts w:hint="eastAsia" w:hAnsi="宋体" w:cs="宋体"/>
                <w:szCs w:val="21"/>
                <w:highlight w:val="none"/>
                <w:u w:val="single"/>
              </w:rPr>
            </w:pPr>
          </w:p>
        </w:tc>
        <w:tc>
          <w:tcPr>
            <w:tcW w:w="3098" w:type="dxa"/>
          </w:tcPr>
          <w:p w14:paraId="26CA92BF">
            <w:pPr>
              <w:pStyle w:val="34"/>
              <w:snapToGrid w:val="0"/>
              <w:spacing w:before="120" w:after="120"/>
              <w:ind w:firstLine="420"/>
              <w:rPr>
                <w:rFonts w:hint="eastAsia" w:hAnsi="宋体" w:cs="宋体"/>
                <w:szCs w:val="21"/>
                <w:highlight w:val="none"/>
                <w:u w:val="single"/>
              </w:rPr>
            </w:pPr>
          </w:p>
        </w:tc>
        <w:tc>
          <w:tcPr>
            <w:tcW w:w="2694" w:type="dxa"/>
          </w:tcPr>
          <w:p w14:paraId="446C754A">
            <w:pPr>
              <w:pStyle w:val="34"/>
              <w:snapToGrid w:val="0"/>
              <w:spacing w:before="120" w:after="120"/>
              <w:ind w:firstLine="420"/>
              <w:rPr>
                <w:rFonts w:hint="eastAsia" w:hAnsi="宋体" w:cs="宋体"/>
                <w:szCs w:val="21"/>
                <w:highlight w:val="none"/>
                <w:u w:val="single"/>
              </w:rPr>
            </w:pPr>
          </w:p>
        </w:tc>
        <w:tc>
          <w:tcPr>
            <w:tcW w:w="2551" w:type="dxa"/>
          </w:tcPr>
          <w:p w14:paraId="0FDC71CD">
            <w:pPr>
              <w:pStyle w:val="34"/>
              <w:snapToGrid w:val="0"/>
              <w:spacing w:before="120" w:after="120"/>
              <w:ind w:firstLine="420"/>
              <w:rPr>
                <w:rFonts w:hint="eastAsia" w:hAnsi="宋体" w:cs="宋体"/>
                <w:szCs w:val="21"/>
                <w:highlight w:val="none"/>
                <w:u w:val="single"/>
              </w:rPr>
            </w:pPr>
          </w:p>
        </w:tc>
      </w:tr>
      <w:tr w14:paraId="3F389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6E2CD604">
            <w:pPr>
              <w:pStyle w:val="34"/>
              <w:snapToGrid w:val="0"/>
              <w:spacing w:before="120" w:after="120"/>
              <w:ind w:firstLine="420"/>
              <w:rPr>
                <w:rFonts w:hint="eastAsia" w:hAnsi="宋体" w:cs="宋体"/>
                <w:szCs w:val="21"/>
                <w:highlight w:val="none"/>
                <w:u w:val="single"/>
              </w:rPr>
            </w:pPr>
          </w:p>
        </w:tc>
        <w:tc>
          <w:tcPr>
            <w:tcW w:w="3098" w:type="dxa"/>
          </w:tcPr>
          <w:p w14:paraId="491B4C6A">
            <w:pPr>
              <w:pStyle w:val="34"/>
              <w:snapToGrid w:val="0"/>
              <w:spacing w:before="120" w:after="120"/>
              <w:ind w:firstLine="420"/>
              <w:rPr>
                <w:rFonts w:hint="eastAsia" w:hAnsi="宋体" w:cs="宋体"/>
                <w:szCs w:val="21"/>
                <w:highlight w:val="none"/>
                <w:u w:val="single"/>
              </w:rPr>
            </w:pPr>
          </w:p>
        </w:tc>
        <w:tc>
          <w:tcPr>
            <w:tcW w:w="2694" w:type="dxa"/>
          </w:tcPr>
          <w:p w14:paraId="374F6D2E">
            <w:pPr>
              <w:pStyle w:val="34"/>
              <w:snapToGrid w:val="0"/>
              <w:spacing w:before="120" w:after="120"/>
              <w:ind w:firstLine="420"/>
              <w:rPr>
                <w:rFonts w:hint="eastAsia" w:hAnsi="宋体" w:cs="宋体"/>
                <w:szCs w:val="21"/>
                <w:highlight w:val="none"/>
                <w:u w:val="single"/>
              </w:rPr>
            </w:pPr>
          </w:p>
        </w:tc>
        <w:tc>
          <w:tcPr>
            <w:tcW w:w="2551" w:type="dxa"/>
          </w:tcPr>
          <w:p w14:paraId="7D1C3C0C">
            <w:pPr>
              <w:pStyle w:val="34"/>
              <w:snapToGrid w:val="0"/>
              <w:spacing w:before="120" w:after="120"/>
              <w:ind w:firstLine="420"/>
              <w:rPr>
                <w:rFonts w:hint="eastAsia" w:hAnsi="宋体" w:cs="宋体"/>
                <w:szCs w:val="21"/>
                <w:highlight w:val="none"/>
                <w:u w:val="single"/>
              </w:rPr>
            </w:pPr>
          </w:p>
        </w:tc>
      </w:tr>
      <w:tr w14:paraId="336C3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79F995C7">
            <w:pPr>
              <w:pStyle w:val="34"/>
              <w:snapToGrid w:val="0"/>
              <w:spacing w:before="120" w:after="120"/>
              <w:ind w:firstLine="420"/>
              <w:rPr>
                <w:rFonts w:hint="eastAsia" w:hAnsi="宋体" w:cs="宋体"/>
                <w:szCs w:val="21"/>
                <w:highlight w:val="none"/>
                <w:u w:val="single"/>
              </w:rPr>
            </w:pPr>
          </w:p>
        </w:tc>
        <w:tc>
          <w:tcPr>
            <w:tcW w:w="3098" w:type="dxa"/>
          </w:tcPr>
          <w:p w14:paraId="76F3FECE">
            <w:pPr>
              <w:pStyle w:val="34"/>
              <w:snapToGrid w:val="0"/>
              <w:spacing w:before="120" w:after="120"/>
              <w:ind w:firstLine="420"/>
              <w:rPr>
                <w:rFonts w:hint="eastAsia" w:hAnsi="宋体" w:cs="宋体"/>
                <w:szCs w:val="21"/>
                <w:highlight w:val="none"/>
                <w:u w:val="single"/>
              </w:rPr>
            </w:pPr>
          </w:p>
        </w:tc>
        <w:tc>
          <w:tcPr>
            <w:tcW w:w="2694" w:type="dxa"/>
          </w:tcPr>
          <w:p w14:paraId="09832D6F">
            <w:pPr>
              <w:pStyle w:val="34"/>
              <w:snapToGrid w:val="0"/>
              <w:spacing w:before="120" w:after="120"/>
              <w:ind w:firstLine="420"/>
              <w:rPr>
                <w:rFonts w:hint="eastAsia" w:hAnsi="宋体" w:cs="宋体"/>
                <w:szCs w:val="21"/>
                <w:highlight w:val="none"/>
                <w:u w:val="single"/>
              </w:rPr>
            </w:pPr>
          </w:p>
        </w:tc>
        <w:tc>
          <w:tcPr>
            <w:tcW w:w="2551" w:type="dxa"/>
          </w:tcPr>
          <w:p w14:paraId="0872B3E6">
            <w:pPr>
              <w:pStyle w:val="34"/>
              <w:snapToGrid w:val="0"/>
              <w:spacing w:before="120" w:after="120"/>
              <w:ind w:firstLine="420"/>
              <w:rPr>
                <w:rFonts w:hint="eastAsia" w:hAnsi="宋体" w:cs="宋体"/>
                <w:szCs w:val="21"/>
                <w:highlight w:val="none"/>
                <w:u w:val="single"/>
              </w:rPr>
            </w:pPr>
          </w:p>
        </w:tc>
      </w:tr>
      <w:tr w14:paraId="0B10B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59944565">
            <w:pPr>
              <w:pStyle w:val="34"/>
              <w:snapToGrid w:val="0"/>
              <w:spacing w:before="120" w:after="120"/>
              <w:ind w:firstLine="420"/>
              <w:rPr>
                <w:rFonts w:hint="eastAsia" w:hAnsi="宋体" w:cs="宋体"/>
                <w:szCs w:val="21"/>
                <w:highlight w:val="none"/>
                <w:u w:val="single"/>
              </w:rPr>
            </w:pPr>
          </w:p>
        </w:tc>
        <w:tc>
          <w:tcPr>
            <w:tcW w:w="3098" w:type="dxa"/>
          </w:tcPr>
          <w:p w14:paraId="28371B65">
            <w:pPr>
              <w:pStyle w:val="34"/>
              <w:snapToGrid w:val="0"/>
              <w:spacing w:before="120" w:after="120"/>
              <w:ind w:firstLine="420"/>
              <w:rPr>
                <w:rFonts w:hint="eastAsia" w:hAnsi="宋体" w:cs="宋体"/>
                <w:szCs w:val="21"/>
                <w:highlight w:val="none"/>
                <w:u w:val="single"/>
              </w:rPr>
            </w:pPr>
          </w:p>
        </w:tc>
        <w:tc>
          <w:tcPr>
            <w:tcW w:w="2694" w:type="dxa"/>
          </w:tcPr>
          <w:p w14:paraId="6522B427">
            <w:pPr>
              <w:pStyle w:val="34"/>
              <w:snapToGrid w:val="0"/>
              <w:spacing w:before="120" w:after="120"/>
              <w:ind w:firstLine="420"/>
              <w:rPr>
                <w:rFonts w:hint="eastAsia" w:hAnsi="宋体" w:cs="宋体"/>
                <w:szCs w:val="21"/>
                <w:highlight w:val="none"/>
                <w:u w:val="single"/>
              </w:rPr>
            </w:pPr>
          </w:p>
        </w:tc>
        <w:tc>
          <w:tcPr>
            <w:tcW w:w="2551" w:type="dxa"/>
          </w:tcPr>
          <w:p w14:paraId="7F661A6D">
            <w:pPr>
              <w:pStyle w:val="34"/>
              <w:snapToGrid w:val="0"/>
              <w:spacing w:before="120" w:after="120"/>
              <w:ind w:firstLine="420"/>
              <w:rPr>
                <w:rFonts w:hint="eastAsia" w:hAnsi="宋体" w:cs="宋体"/>
                <w:szCs w:val="21"/>
                <w:highlight w:val="none"/>
                <w:u w:val="single"/>
              </w:rPr>
            </w:pPr>
          </w:p>
        </w:tc>
      </w:tr>
      <w:tr w14:paraId="7A1FE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1AF3B612">
            <w:pPr>
              <w:pStyle w:val="34"/>
              <w:snapToGrid w:val="0"/>
              <w:spacing w:before="120" w:after="120"/>
              <w:ind w:firstLine="420"/>
              <w:rPr>
                <w:rFonts w:hint="eastAsia" w:hAnsi="宋体" w:cs="宋体"/>
                <w:szCs w:val="21"/>
                <w:highlight w:val="none"/>
                <w:u w:val="single"/>
              </w:rPr>
            </w:pPr>
          </w:p>
        </w:tc>
        <w:tc>
          <w:tcPr>
            <w:tcW w:w="3098" w:type="dxa"/>
          </w:tcPr>
          <w:p w14:paraId="129C957A">
            <w:pPr>
              <w:pStyle w:val="34"/>
              <w:snapToGrid w:val="0"/>
              <w:spacing w:before="120" w:after="120"/>
              <w:ind w:firstLine="420"/>
              <w:rPr>
                <w:rFonts w:hint="eastAsia" w:hAnsi="宋体" w:cs="宋体"/>
                <w:szCs w:val="21"/>
                <w:highlight w:val="none"/>
                <w:u w:val="single"/>
              </w:rPr>
            </w:pPr>
          </w:p>
        </w:tc>
        <w:tc>
          <w:tcPr>
            <w:tcW w:w="2694" w:type="dxa"/>
          </w:tcPr>
          <w:p w14:paraId="1C1F20FF">
            <w:pPr>
              <w:pStyle w:val="34"/>
              <w:snapToGrid w:val="0"/>
              <w:spacing w:before="120" w:after="120"/>
              <w:ind w:firstLine="420"/>
              <w:rPr>
                <w:rFonts w:hint="eastAsia" w:hAnsi="宋体" w:cs="宋体"/>
                <w:szCs w:val="21"/>
                <w:highlight w:val="none"/>
                <w:u w:val="single"/>
              </w:rPr>
            </w:pPr>
          </w:p>
        </w:tc>
        <w:tc>
          <w:tcPr>
            <w:tcW w:w="2551" w:type="dxa"/>
          </w:tcPr>
          <w:p w14:paraId="71418889">
            <w:pPr>
              <w:pStyle w:val="34"/>
              <w:snapToGrid w:val="0"/>
              <w:spacing w:before="120" w:after="120"/>
              <w:ind w:firstLine="420"/>
              <w:rPr>
                <w:rFonts w:hint="eastAsia" w:hAnsi="宋体" w:cs="宋体"/>
                <w:szCs w:val="21"/>
                <w:highlight w:val="none"/>
                <w:u w:val="single"/>
              </w:rPr>
            </w:pPr>
          </w:p>
        </w:tc>
      </w:tr>
    </w:tbl>
    <w:p w14:paraId="361DB704">
      <w:pPr>
        <w:spacing w:line="360" w:lineRule="auto"/>
        <w:jc w:val="left"/>
        <w:rPr>
          <w:rFonts w:hint="eastAsia" w:ascii="宋体" w:hAnsi="宋体"/>
          <w:szCs w:val="21"/>
          <w:highlight w:val="none"/>
        </w:rPr>
      </w:pPr>
      <w:r>
        <w:rPr>
          <w:rFonts w:hint="eastAsia" w:ascii="宋体" w:hAnsi="宋体" w:cs="宋体"/>
          <w:b/>
          <w:szCs w:val="21"/>
          <w:highlight w:val="none"/>
        </w:rPr>
        <w:t>注：对照采购文件第四部分-采购需求 “</w:t>
      </w:r>
      <w:r>
        <w:rPr>
          <w:rFonts w:hint="eastAsia" w:ascii="宋体" w:hAnsi="宋体" w:cs="宋体"/>
          <w:b/>
          <w:szCs w:val="21"/>
          <w:highlight w:val="none"/>
          <w:lang w:val="en-US" w:eastAsia="zh-CN"/>
        </w:rPr>
        <w:t>四</w:t>
      </w:r>
      <w:r>
        <w:rPr>
          <w:rFonts w:hint="eastAsia" w:ascii="宋体" w:hAnsi="宋体"/>
          <w:b/>
          <w:szCs w:val="21"/>
          <w:highlight w:val="none"/>
        </w:rPr>
        <w:t>、商务要求表</w:t>
      </w:r>
      <w:r>
        <w:rPr>
          <w:rFonts w:hint="eastAsia" w:ascii="宋体" w:hAnsi="宋体" w:cs="宋体"/>
          <w:b/>
          <w:szCs w:val="21"/>
          <w:highlight w:val="none"/>
        </w:rPr>
        <w:t>”相应商务条款一一对应填写，并在“偏离情况”栏注明“正偏离”、“负偏离”或“无偏离”。</w:t>
      </w:r>
    </w:p>
    <w:p w14:paraId="2D02E1DB">
      <w:pPr>
        <w:pStyle w:val="25"/>
        <w:spacing w:line="360" w:lineRule="auto"/>
        <w:ind w:left="420" w:hanging="420" w:hangingChars="200"/>
        <w:rPr>
          <w:rFonts w:hint="eastAsia" w:cs="宋体"/>
          <w:sz w:val="21"/>
          <w:szCs w:val="21"/>
          <w:highlight w:val="none"/>
        </w:rPr>
      </w:pPr>
    </w:p>
    <w:p w14:paraId="629F5A62">
      <w:pPr>
        <w:widowControl/>
        <w:spacing w:line="360" w:lineRule="auto"/>
        <w:jc w:val="left"/>
        <w:rPr>
          <w:rFonts w:hint="eastAsia" w:ascii="宋体" w:hAnsi="宋体" w:cs="宋体"/>
          <w:szCs w:val="21"/>
          <w:highlight w:val="none"/>
        </w:rPr>
      </w:pPr>
    </w:p>
    <w:p w14:paraId="165B5AEA">
      <w:pPr>
        <w:widowControl/>
        <w:spacing w:line="360" w:lineRule="auto"/>
        <w:ind w:firstLine="5460" w:firstLineChars="2600"/>
        <w:jc w:val="left"/>
        <w:rPr>
          <w:rFonts w:hint="eastAsia" w:ascii="宋体" w:hAnsi="宋体" w:cs="宋体"/>
          <w:szCs w:val="21"/>
          <w:highlight w:val="none"/>
        </w:rPr>
      </w:pPr>
      <w:r>
        <w:rPr>
          <w:rFonts w:hint="eastAsia" w:hAnsi="宋体" w:cs="宋体"/>
          <w:highlight w:val="none"/>
        </w:rPr>
        <w:t>供应商名称（盖章）</w:t>
      </w:r>
      <w:r>
        <w:rPr>
          <w:rFonts w:hint="eastAsia" w:ascii="宋体" w:hAnsi="宋体" w:cs="宋体"/>
          <w:szCs w:val="21"/>
          <w:highlight w:val="none"/>
        </w:rPr>
        <w:t>：</w:t>
      </w:r>
    </w:p>
    <w:p w14:paraId="49BB7968">
      <w:pPr>
        <w:pStyle w:val="25"/>
        <w:spacing w:line="360" w:lineRule="auto"/>
        <w:ind w:firstLine="5548" w:firstLineChars="2642"/>
        <w:rPr>
          <w:rFonts w:hint="eastAsia" w:cs="宋体"/>
          <w:sz w:val="21"/>
          <w:szCs w:val="21"/>
          <w:highlight w:val="none"/>
        </w:rPr>
      </w:pPr>
      <w:r>
        <w:rPr>
          <w:rFonts w:hint="eastAsia" w:cs="宋体"/>
          <w:sz w:val="21"/>
          <w:szCs w:val="21"/>
          <w:highlight w:val="none"/>
        </w:rPr>
        <w:t>日    期：</w:t>
      </w:r>
    </w:p>
    <w:p w14:paraId="382D5FAD">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3FBC41F8">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343BA3EE">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F0CBD52">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6C7E727">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4DFBA074">
      <w:pPr>
        <w:spacing w:line="360" w:lineRule="auto"/>
        <w:jc w:val="cente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t>8</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、采购需求响应（偏离）表</w:t>
      </w:r>
    </w:p>
    <w:p w14:paraId="49476173">
      <w:pPr>
        <w:snapToGrid w:val="0"/>
        <w:spacing w:before="5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 xml:space="preserve">项目编号：                   项目名称：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652"/>
        <w:gridCol w:w="2570"/>
        <w:gridCol w:w="1824"/>
      </w:tblGrid>
      <w:tr w14:paraId="00BB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5272546A">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序号</w:t>
            </w:r>
          </w:p>
        </w:tc>
        <w:tc>
          <w:tcPr>
            <w:tcW w:w="3652" w:type="dxa"/>
            <w:vAlign w:val="center"/>
          </w:tcPr>
          <w:p w14:paraId="071D45F8">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采购文件的条款描述</w:t>
            </w:r>
          </w:p>
        </w:tc>
        <w:tc>
          <w:tcPr>
            <w:tcW w:w="2570" w:type="dxa"/>
            <w:vAlign w:val="center"/>
          </w:tcPr>
          <w:p w14:paraId="0911FE4F">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响应内容</w:t>
            </w:r>
          </w:p>
        </w:tc>
        <w:tc>
          <w:tcPr>
            <w:tcW w:w="1824" w:type="dxa"/>
            <w:vAlign w:val="center"/>
          </w:tcPr>
          <w:p w14:paraId="1255CD8E">
            <w:pPr>
              <w:jc w:val="center"/>
              <w:rPr>
                <w:rFonts w:hint="eastAsia" w:cs="宋体" w:asciiTheme="minorEastAsia" w:hAnsiTheme="minorEastAsia" w:eastAsiaTheme="minorEastAsia"/>
                <w:szCs w:val="21"/>
                <w:highlight w:val="none"/>
              </w:rPr>
            </w:pPr>
            <w:r>
              <w:rPr>
                <w:rFonts w:hint="eastAsia" w:hAnsi="宋体" w:cs="宋体"/>
                <w:szCs w:val="21"/>
                <w:highlight w:val="none"/>
              </w:rPr>
              <w:t>偏离情况（填写：正偏离/负偏离/无偏离）</w:t>
            </w:r>
          </w:p>
        </w:tc>
      </w:tr>
      <w:tr w14:paraId="7E1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4D8BF09">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652" w:type="dxa"/>
            <w:vAlign w:val="center"/>
          </w:tcPr>
          <w:p w14:paraId="7A257D61">
            <w:pPr>
              <w:rPr>
                <w:rFonts w:hint="eastAsia" w:cs="宋体" w:asciiTheme="minorEastAsia" w:hAnsiTheme="minorEastAsia" w:eastAsiaTheme="minorEastAsia"/>
                <w:b/>
                <w:bCs/>
                <w:szCs w:val="21"/>
                <w:highlight w:val="none"/>
              </w:rPr>
            </w:pPr>
          </w:p>
        </w:tc>
        <w:tc>
          <w:tcPr>
            <w:tcW w:w="2570" w:type="dxa"/>
            <w:vAlign w:val="center"/>
          </w:tcPr>
          <w:p w14:paraId="0B47F807">
            <w:pPr>
              <w:jc w:val="center"/>
              <w:rPr>
                <w:rFonts w:hint="eastAsia" w:cs="宋体" w:asciiTheme="minorEastAsia" w:hAnsiTheme="minorEastAsia" w:eastAsiaTheme="minorEastAsia"/>
                <w:szCs w:val="21"/>
                <w:highlight w:val="none"/>
              </w:rPr>
            </w:pPr>
          </w:p>
        </w:tc>
        <w:tc>
          <w:tcPr>
            <w:tcW w:w="1824" w:type="dxa"/>
            <w:vAlign w:val="center"/>
          </w:tcPr>
          <w:p w14:paraId="6302D120">
            <w:pPr>
              <w:jc w:val="center"/>
              <w:rPr>
                <w:rFonts w:hint="eastAsia" w:cs="宋体" w:asciiTheme="minorEastAsia" w:hAnsiTheme="minorEastAsia" w:eastAsiaTheme="minorEastAsia"/>
                <w:szCs w:val="21"/>
                <w:highlight w:val="none"/>
              </w:rPr>
            </w:pPr>
          </w:p>
        </w:tc>
      </w:tr>
      <w:tr w14:paraId="250E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FF8CBDC">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652" w:type="dxa"/>
            <w:vAlign w:val="center"/>
          </w:tcPr>
          <w:p w14:paraId="16B1891F">
            <w:pPr>
              <w:rPr>
                <w:rFonts w:hint="eastAsia" w:cs="宋体" w:asciiTheme="minorEastAsia" w:hAnsiTheme="minorEastAsia" w:eastAsiaTheme="minorEastAsia"/>
                <w:b/>
                <w:bCs/>
                <w:szCs w:val="21"/>
                <w:highlight w:val="none"/>
              </w:rPr>
            </w:pPr>
          </w:p>
        </w:tc>
        <w:tc>
          <w:tcPr>
            <w:tcW w:w="2570" w:type="dxa"/>
            <w:vAlign w:val="center"/>
          </w:tcPr>
          <w:p w14:paraId="33E627B4">
            <w:pPr>
              <w:jc w:val="center"/>
              <w:rPr>
                <w:rFonts w:hint="eastAsia" w:cs="宋体" w:asciiTheme="minorEastAsia" w:hAnsiTheme="minorEastAsia" w:eastAsiaTheme="minorEastAsia"/>
                <w:szCs w:val="21"/>
                <w:highlight w:val="none"/>
              </w:rPr>
            </w:pPr>
          </w:p>
        </w:tc>
        <w:tc>
          <w:tcPr>
            <w:tcW w:w="1824" w:type="dxa"/>
            <w:vAlign w:val="center"/>
          </w:tcPr>
          <w:p w14:paraId="1F8DFC22">
            <w:pPr>
              <w:jc w:val="center"/>
              <w:rPr>
                <w:rFonts w:hint="eastAsia" w:cs="宋体" w:asciiTheme="minorEastAsia" w:hAnsiTheme="minorEastAsia" w:eastAsiaTheme="minorEastAsia"/>
                <w:szCs w:val="21"/>
                <w:highlight w:val="none"/>
              </w:rPr>
            </w:pPr>
          </w:p>
        </w:tc>
      </w:tr>
      <w:tr w14:paraId="41A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6542343">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3652" w:type="dxa"/>
            <w:vAlign w:val="center"/>
          </w:tcPr>
          <w:p w14:paraId="54D98513">
            <w:pPr>
              <w:rPr>
                <w:rFonts w:hint="eastAsia" w:cs="宋体" w:asciiTheme="minorEastAsia" w:hAnsiTheme="minorEastAsia" w:eastAsiaTheme="minorEastAsia"/>
                <w:b/>
                <w:bCs/>
                <w:szCs w:val="21"/>
                <w:highlight w:val="none"/>
              </w:rPr>
            </w:pPr>
          </w:p>
        </w:tc>
        <w:tc>
          <w:tcPr>
            <w:tcW w:w="2570" w:type="dxa"/>
            <w:vAlign w:val="center"/>
          </w:tcPr>
          <w:p w14:paraId="37D30B89">
            <w:pPr>
              <w:jc w:val="center"/>
              <w:rPr>
                <w:rFonts w:hint="eastAsia" w:cs="宋体" w:asciiTheme="minorEastAsia" w:hAnsiTheme="minorEastAsia" w:eastAsiaTheme="minorEastAsia"/>
                <w:szCs w:val="21"/>
                <w:highlight w:val="none"/>
              </w:rPr>
            </w:pPr>
          </w:p>
        </w:tc>
        <w:tc>
          <w:tcPr>
            <w:tcW w:w="1824" w:type="dxa"/>
            <w:vAlign w:val="center"/>
          </w:tcPr>
          <w:p w14:paraId="366E543F">
            <w:pPr>
              <w:jc w:val="center"/>
              <w:rPr>
                <w:rFonts w:hint="eastAsia" w:cs="宋体" w:asciiTheme="minorEastAsia" w:hAnsiTheme="minorEastAsia" w:eastAsiaTheme="minorEastAsia"/>
                <w:szCs w:val="21"/>
                <w:highlight w:val="none"/>
              </w:rPr>
            </w:pPr>
          </w:p>
        </w:tc>
      </w:tr>
      <w:tr w14:paraId="57CB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CD35367">
            <w:pPr>
              <w:jc w:val="center"/>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w:t>
            </w:r>
          </w:p>
        </w:tc>
        <w:tc>
          <w:tcPr>
            <w:tcW w:w="3652" w:type="dxa"/>
            <w:vAlign w:val="center"/>
          </w:tcPr>
          <w:p w14:paraId="72334D30">
            <w:pPr>
              <w:rPr>
                <w:rFonts w:hint="eastAsia" w:cs="宋体" w:asciiTheme="minorEastAsia" w:hAnsiTheme="minorEastAsia" w:eastAsiaTheme="minorEastAsia"/>
                <w:b/>
                <w:bCs/>
                <w:szCs w:val="21"/>
                <w:highlight w:val="none"/>
              </w:rPr>
            </w:pPr>
          </w:p>
        </w:tc>
        <w:tc>
          <w:tcPr>
            <w:tcW w:w="2570" w:type="dxa"/>
            <w:vAlign w:val="center"/>
          </w:tcPr>
          <w:p w14:paraId="3525222D">
            <w:pPr>
              <w:jc w:val="center"/>
              <w:rPr>
                <w:rFonts w:hint="eastAsia" w:cs="宋体" w:asciiTheme="minorEastAsia" w:hAnsiTheme="minorEastAsia" w:eastAsiaTheme="minorEastAsia"/>
                <w:szCs w:val="21"/>
                <w:highlight w:val="none"/>
              </w:rPr>
            </w:pPr>
          </w:p>
        </w:tc>
        <w:tc>
          <w:tcPr>
            <w:tcW w:w="1824" w:type="dxa"/>
            <w:vAlign w:val="center"/>
          </w:tcPr>
          <w:p w14:paraId="6C9CD603">
            <w:pPr>
              <w:jc w:val="center"/>
              <w:rPr>
                <w:rFonts w:hint="eastAsia" w:cs="宋体" w:asciiTheme="minorEastAsia" w:hAnsiTheme="minorEastAsia" w:eastAsiaTheme="minorEastAsia"/>
                <w:szCs w:val="21"/>
                <w:highlight w:val="none"/>
              </w:rPr>
            </w:pPr>
          </w:p>
        </w:tc>
      </w:tr>
      <w:tr w14:paraId="25A5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6409DD3">
            <w:pPr>
              <w:jc w:val="center"/>
              <w:rPr>
                <w:rFonts w:hint="eastAsia" w:cs="宋体" w:asciiTheme="minorEastAsia" w:hAnsiTheme="minorEastAsia" w:eastAsiaTheme="minorEastAsia"/>
                <w:szCs w:val="21"/>
                <w:highlight w:val="none"/>
              </w:rPr>
            </w:pPr>
          </w:p>
        </w:tc>
        <w:tc>
          <w:tcPr>
            <w:tcW w:w="3652" w:type="dxa"/>
            <w:vAlign w:val="center"/>
          </w:tcPr>
          <w:p w14:paraId="17F36A0B">
            <w:pPr>
              <w:rPr>
                <w:rFonts w:hint="eastAsia" w:cs="宋体" w:asciiTheme="minorEastAsia" w:hAnsiTheme="minorEastAsia" w:eastAsiaTheme="minorEastAsia"/>
                <w:szCs w:val="21"/>
                <w:highlight w:val="none"/>
              </w:rPr>
            </w:pPr>
          </w:p>
        </w:tc>
        <w:tc>
          <w:tcPr>
            <w:tcW w:w="2570" w:type="dxa"/>
            <w:vAlign w:val="center"/>
          </w:tcPr>
          <w:p w14:paraId="7037D8EC">
            <w:pPr>
              <w:jc w:val="center"/>
              <w:rPr>
                <w:rFonts w:hint="eastAsia" w:cs="宋体" w:asciiTheme="minorEastAsia" w:hAnsiTheme="minorEastAsia" w:eastAsiaTheme="minorEastAsia"/>
                <w:szCs w:val="21"/>
                <w:highlight w:val="none"/>
              </w:rPr>
            </w:pPr>
          </w:p>
        </w:tc>
        <w:tc>
          <w:tcPr>
            <w:tcW w:w="1824" w:type="dxa"/>
            <w:vAlign w:val="center"/>
          </w:tcPr>
          <w:p w14:paraId="2989C707">
            <w:pPr>
              <w:jc w:val="center"/>
              <w:rPr>
                <w:rFonts w:hint="eastAsia" w:cs="宋体" w:asciiTheme="minorEastAsia" w:hAnsiTheme="minorEastAsia" w:eastAsiaTheme="minorEastAsia"/>
                <w:szCs w:val="21"/>
                <w:highlight w:val="none"/>
              </w:rPr>
            </w:pPr>
          </w:p>
        </w:tc>
      </w:tr>
      <w:tr w14:paraId="70AA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B536612">
            <w:pPr>
              <w:jc w:val="center"/>
              <w:rPr>
                <w:rFonts w:hint="eastAsia" w:cs="宋体" w:asciiTheme="minorEastAsia" w:hAnsiTheme="minorEastAsia" w:eastAsiaTheme="minorEastAsia"/>
                <w:szCs w:val="21"/>
                <w:highlight w:val="none"/>
              </w:rPr>
            </w:pPr>
          </w:p>
        </w:tc>
        <w:tc>
          <w:tcPr>
            <w:tcW w:w="3652" w:type="dxa"/>
            <w:vAlign w:val="center"/>
          </w:tcPr>
          <w:p w14:paraId="597F90F0">
            <w:pPr>
              <w:rPr>
                <w:rFonts w:hint="eastAsia" w:cs="宋体" w:asciiTheme="minorEastAsia" w:hAnsiTheme="minorEastAsia" w:eastAsiaTheme="minorEastAsia"/>
                <w:szCs w:val="21"/>
                <w:highlight w:val="none"/>
              </w:rPr>
            </w:pPr>
          </w:p>
        </w:tc>
        <w:tc>
          <w:tcPr>
            <w:tcW w:w="2570" w:type="dxa"/>
            <w:vAlign w:val="center"/>
          </w:tcPr>
          <w:p w14:paraId="0DE81D35">
            <w:pPr>
              <w:jc w:val="center"/>
              <w:rPr>
                <w:rFonts w:hint="eastAsia" w:cs="宋体" w:asciiTheme="minorEastAsia" w:hAnsiTheme="minorEastAsia" w:eastAsiaTheme="minorEastAsia"/>
                <w:szCs w:val="21"/>
                <w:highlight w:val="none"/>
              </w:rPr>
            </w:pPr>
          </w:p>
        </w:tc>
        <w:tc>
          <w:tcPr>
            <w:tcW w:w="1824" w:type="dxa"/>
            <w:vAlign w:val="center"/>
          </w:tcPr>
          <w:p w14:paraId="1CB541D0">
            <w:pPr>
              <w:jc w:val="center"/>
              <w:rPr>
                <w:rFonts w:hint="eastAsia" w:cs="宋体" w:asciiTheme="minorEastAsia" w:hAnsiTheme="minorEastAsia" w:eastAsiaTheme="minorEastAsia"/>
                <w:szCs w:val="21"/>
                <w:highlight w:val="none"/>
              </w:rPr>
            </w:pPr>
          </w:p>
        </w:tc>
      </w:tr>
      <w:tr w14:paraId="51D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A145E65">
            <w:pPr>
              <w:jc w:val="center"/>
              <w:rPr>
                <w:rFonts w:hint="eastAsia" w:cs="宋体" w:asciiTheme="minorEastAsia" w:hAnsiTheme="minorEastAsia" w:eastAsiaTheme="minorEastAsia"/>
                <w:szCs w:val="21"/>
                <w:highlight w:val="none"/>
              </w:rPr>
            </w:pPr>
          </w:p>
        </w:tc>
        <w:tc>
          <w:tcPr>
            <w:tcW w:w="3652" w:type="dxa"/>
            <w:vAlign w:val="center"/>
          </w:tcPr>
          <w:p w14:paraId="5A762EAB">
            <w:pPr>
              <w:rPr>
                <w:rFonts w:hint="eastAsia" w:cs="宋体" w:asciiTheme="minorEastAsia" w:hAnsiTheme="minorEastAsia" w:eastAsiaTheme="minorEastAsia"/>
                <w:szCs w:val="21"/>
                <w:highlight w:val="none"/>
              </w:rPr>
            </w:pPr>
          </w:p>
        </w:tc>
        <w:tc>
          <w:tcPr>
            <w:tcW w:w="2570" w:type="dxa"/>
            <w:vAlign w:val="center"/>
          </w:tcPr>
          <w:p w14:paraId="02E93822">
            <w:pPr>
              <w:jc w:val="center"/>
              <w:rPr>
                <w:rFonts w:hint="eastAsia" w:cs="宋体" w:asciiTheme="minorEastAsia" w:hAnsiTheme="minorEastAsia" w:eastAsiaTheme="minorEastAsia"/>
                <w:szCs w:val="21"/>
                <w:highlight w:val="none"/>
              </w:rPr>
            </w:pPr>
          </w:p>
        </w:tc>
        <w:tc>
          <w:tcPr>
            <w:tcW w:w="1824" w:type="dxa"/>
            <w:vAlign w:val="center"/>
          </w:tcPr>
          <w:p w14:paraId="481B13F1">
            <w:pPr>
              <w:jc w:val="center"/>
              <w:rPr>
                <w:rFonts w:hint="eastAsia" w:cs="宋体" w:asciiTheme="minorEastAsia" w:hAnsiTheme="minorEastAsia" w:eastAsiaTheme="minorEastAsia"/>
                <w:szCs w:val="21"/>
                <w:highlight w:val="none"/>
              </w:rPr>
            </w:pPr>
          </w:p>
        </w:tc>
      </w:tr>
      <w:tr w14:paraId="566C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9739883">
            <w:pPr>
              <w:jc w:val="center"/>
              <w:rPr>
                <w:rFonts w:hint="eastAsia" w:cs="宋体" w:asciiTheme="minorEastAsia" w:hAnsiTheme="minorEastAsia" w:eastAsiaTheme="minorEastAsia"/>
                <w:szCs w:val="21"/>
                <w:highlight w:val="none"/>
              </w:rPr>
            </w:pPr>
          </w:p>
        </w:tc>
        <w:tc>
          <w:tcPr>
            <w:tcW w:w="3652" w:type="dxa"/>
            <w:vAlign w:val="center"/>
          </w:tcPr>
          <w:p w14:paraId="32AE9C0D">
            <w:pPr>
              <w:rPr>
                <w:rFonts w:hint="eastAsia" w:cs="宋体" w:asciiTheme="minorEastAsia" w:hAnsiTheme="minorEastAsia" w:eastAsiaTheme="minorEastAsia"/>
                <w:szCs w:val="21"/>
                <w:highlight w:val="none"/>
              </w:rPr>
            </w:pPr>
          </w:p>
        </w:tc>
        <w:tc>
          <w:tcPr>
            <w:tcW w:w="2570" w:type="dxa"/>
            <w:vAlign w:val="center"/>
          </w:tcPr>
          <w:p w14:paraId="6FA57CFB">
            <w:pPr>
              <w:jc w:val="center"/>
              <w:rPr>
                <w:rFonts w:hint="eastAsia" w:cs="宋体" w:asciiTheme="minorEastAsia" w:hAnsiTheme="minorEastAsia" w:eastAsiaTheme="minorEastAsia"/>
                <w:szCs w:val="21"/>
                <w:highlight w:val="none"/>
              </w:rPr>
            </w:pPr>
          </w:p>
        </w:tc>
        <w:tc>
          <w:tcPr>
            <w:tcW w:w="1824" w:type="dxa"/>
            <w:vAlign w:val="center"/>
          </w:tcPr>
          <w:p w14:paraId="3AB8965B">
            <w:pPr>
              <w:jc w:val="center"/>
              <w:rPr>
                <w:rFonts w:hint="eastAsia" w:cs="宋体" w:asciiTheme="minorEastAsia" w:hAnsiTheme="minorEastAsia" w:eastAsiaTheme="minorEastAsia"/>
                <w:szCs w:val="21"/>
                <w:highlight w:val="none"/>
              </w:rPr>
            </w:pPr>
          </w:p>
        </w:tc>
      </w:tr>
      <w:tr w14:paraId="7FBA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BE27240">
            <w:pPr>
              <w:jc w:val="center"/>
              <w:rPr>
                <w:rFonts w:hint="eastAsia" w:cs="宋体" w:asciiTheme="minorEastAsia" w:hAnsiTheme="minorEastAsia" w:eastAsiaTheme="minorEastAsia"/>
                <w:szCs w:val="21"/>
                <w:highlight w:val="none"/>
              </w:rPr>
            </w:pPr>
          </w:p>
        </w:tc>
        <w:tc>
          <w:tcPr>
            <w:tcW w:w="3652" w:type="dxa"/>
            <w:vAlign w:val="center"/>
          </w:tcPr>
          <w:p w14:paraId="2945B8EC">
            <w:pPr>
              <w:rPr>
                <w:rFonts w:hint="eastAsia" w:cs="宋体" w:asciiTheme="minorEastAsia" w:hAnsiTheme="minorEastAsia" w:eastAsiaTheme="minorEastAsia"/>
                <w:szCs w:val="21"/>
                <w:highlight w:val="none"/>
              </w:rPr>
            </w:pPr>
          </w:p>
        </w:tc>
        <w:tc>
          <w:tcPr>
            <w:tcW w:w="2570" w:type="dxa"/>
            <w:vAlign w:val="center"/>
          </w:tcPr>
          <w:p w14:paraId="72D40DFF">
            <w:pPr>
              <w:jc w:val="center"/>
              <w:rPr>
                <w:rFonts w:hint="eastAsia" w:cs="宋体" w:asciiTheme="minorEastAsia" w:hAnsiTheme="minorEastAsia" w:eastAsiaTheme="minorEastAsia"/>
                <w:szCs w:val="21"/>
                <w:highlight w:val="none"/>
              </w:rPr>
            </w:pPr>
          </w:p>
        </w:tc>
        <w:tc>
          <w:tcPr>
            <w:tcW w:w="1824" w:type="dxa"/>
            <w:vAlign w:val="center"/>
          </w:tcPr>
          <w:p w14:paraId="4C29EECA">
            <w:pPr>
              <w:jc w:val="center"/>
              <w:rPr>
                <w:rFonts w:hint="eastAsia" w:cs="宋体" w:asciiTheme="minorEastAsia" w:hAnsiTheme="minorEastAsia" w:eastAsiaTheme="minorEastAsia"/>
                <w:szCs w:val="21"/>
                <w:highlight w:val="none"/>
              </w:rPr>
            </w:pPr>
          </w:p>
        </w:tc>
      </w:tr>
    </w:tbl>
    <w:p w14:paraId="3565AD16">
      <w:pPr>
        <w:jc w:val="left"/>
        <w:rPr>
          <w:rFonts w:hint="eastAsia" w:asciiTheme="minorEastAsia" w:hAnsiTheme="minorEastAsia" w:eastAsiaTheme="minorEastAsia"/>
          <w:b/>
          <w:bCs/>
          <w:szCs w:val="21"/>
          <w:highlight w:val="none"/>
        </w:rPr>
      </w:pPr>
      <w:r>
        <w:rPr>
          <w:rFonts w:hint="eastAsia" w:asciiTheme="minorEastAsia" w:hAnsiTheme="minorEastAsia" w:eastAsiaTheme="minorEastAsia"/>
          <w:b/>
          <w:szCs w:val="21"/>
          <w:highlight w:val="none"/>
        </w:rPr>
        <w:t>注：</w:t>
      </w:r>
      <w:r>
        <w:rPr>
          <w:rFonts w:hint="eastAsia" w:cs="宋体" w:asciiTheme="minorEastAsia" w:hAnsiTheme="minorEastAsia" w:eastAsiaTheme="minorEastAsia"/>
          <w:b/>
          <w:bCs/>
          <w:szCs w:val="21"/>
          <w:highlight w:val="none"/>
        </w:rPr>
        <w:t>供应商须按采购文件“第四部分 采购需求</w:t>
      </w:r>
      <w:r>
        <w:rPr>
          <w:rFonts w:hint="eastAsia" w:cs="宋体" w:asciiTheme="minorEastAsia" w:hAnsiTheme="minorEastAsia" w:eastAsiaTheme="minorEastAsia"/>
          <w:b/>
          <w:bCs/>
          <w:szCs w:val="21"/>
          <w:highlight w:val="none"/>
          <w:lang w:val="en-US" w:eastAsia="zh-CN"/>
        </w:rPr>
        <w:t>中二、项目需求说明；三、详细服务要求</w:t>
      </w:r>
      <w:r>
        <w:rPr>
          <w:rFonts w:hint="eastAsia" w:cs="宋体" w:asciiTheme="minorEastAsia" w:hAnsiTheme="minorEastAsia" w:eastAsiaTheme="minorEastAsia"/>
          <w:b/>
          <w:bCs/>
          <w:szCs w:val="21"/>
          <w:highlight w:val="none"/>
        </w:rPr>
        <w:t>”内容逐项填写，</w:t>
      </w:r>
      <w:r>
        <w:rPr>
          <w:rFonts w:hint="eastAsia" w:ascii="宋体" w:hAnsi="宋体" w:cs="宋体"/>
          <w:b/>
          <w:szCs w:val="21"/>
          <w:highlight w:val="none"/>
        </w:rPr>
        <w:t>并在“偏离情况”栏注明“正偏离”、“负偏离”或“无偏离”。</w:t>
      </w:r>
    </w:p>
    <w:p w14:paraId="18ADE9DB">
      <w:pPr>
        <w:jc w:val="left"/>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投标人保证：除采购需求响应（偏离）表列出的偏离外，投标人响应采购文件的全部要求。</w:t>
      </w:r>
    </w:p>
    <w:p w14:paraId="62F12743">
      <w:pPr>
        <w:pStyle w:val="34"/>
        <w:adjustRightInd/>
        <w:rPr>
          <w:rFonts w:hint="eastAsia" w:cs="宋体" w:asciiTheme="minorEastAsia" w:hAnsiTheme="minorEastAsia" w:eastAsiaTheme="minorEastAsia"/>
          <w:b/>
          <w:bCs/>
          <w:szCs w:val="21"/>
          <w:highlight w:val="none"/>
        </w:rPr>
      </w:pPr>
    </w:p>
    <w:p w14:paraId="587C11BA">
      <w:pPr>
        <w:autoSpaceDE w:val="0"/>
        <w:autoSpaceDN w:val="0"/>
        <w:spacing w:line="360" w:lineRule="auto"/>
        <w:ind w:firstLine="3990" w:firstLineChars="1900"/>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公章</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 xml:space="preserve">）：                       </w:t>
      </w:r>
    </w:p>
    <w:p w14:paraId="2AC0E4FD">
      <w:pPr>
        <w:spacing w:line="360" w:lineRule="auto"/>
        <w:jc w:val="center"/>
        <w:rPr>
          <w:rFonts w:hint="eastAsia" w:cs="仿宋_GB2312" w:asciiTheme="minorEastAsia" w:hAnsiTheme="minorEastAsia" w:eastAsiaTheme="minorEastAsia"/>
          <w:b/>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 xml:space="preserve">                     日期：  年  月   日</w:t>
      </w:r>
    </w:p>
    <w:p w14:paraId="451D7E46">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7821E65">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5D4CFCC">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034AD6A">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FED68FC">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1E19591">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5633B3DE">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8881D79">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38DF6BEC">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E3C02B7">
      <w:pPr>
        <w:pStyle w:val="34"/>
        <w:spacing w:line="720" w:lineRule="auto"/>
        <w:ind w:firstLine="480"/>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9</w:t>
      </w:r>
      <w:r>
        <w:rPr>
          <w:rFonts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 xml:space="preserve"> </w:t>
      </w:r>
      <w:r>
        <w:rPr>
          <w:rFonts w:hint="eastAsia" w:cs="仿宋_GB2312" w:asciiTheme="minorEastAsia" w:hAnsiTheme="minorEastAsia" w:eastAsiaTheme="minorEastAsia"/>
          <w:b/>
          <w:bCs/>
          <w:sz w:val="32"/>
          <w:szCs w:val="32"/>
          <w:highlight w:val="none"/>
        </w:rPr>
        <w:t>所有资信证明文件（复印件）</w:t>
      </w:r>
    </w:p>
    <w:p w14:paraId="0F411959">
      <w:pPr>
        <w:spacing w:line="360" w:lineRule="auto"/>
        <w:jc w:val="center"/>
        <w:rPr>
          <w:rFonts w:hint="eastAsia"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4F763057">
      <w:pPr>
        <w:spacing w:line="360" w:lineRule="auto"/>
        <w:jc w:val="center"/>
        <w:rPr>
          <w:rFonts w:hint="eastAsia" w:cs="仿宋_GB2312" w:asciiTheme="minorEastAsia" w:hAnsiTheme="minorEastAsia" w:eastAsiaTheme="minorEastAsia"/>
          <w:b/>
          <w:sz w:val="30"/>
          <w:szCs w:val="30"/>
          <w:highlight w:val="none"/>
        </w:rPr>
      </w:pPr>
    </w:p>
    <w:p w14:paraId="04295E9D">
      <w:pPr>
        <w:snapToGrid w:val="0"/>
        <w:spacing w:line="360" w:lineRule="auto"/>
        <w:ind w:firstLine="5160" w:firstLineChars="215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Cs w:val="21"/>
          <w:highlight w:val="none"/>
          <w:lang w:val="zh-CN"/>
        </w:rPr>
        <w:t>公章</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 w:val="24"/>
          <w:highlight w:val="none"/>
          <w:lang w:val="zh-CN"/>
        </w:rPr>
        <w:t>：</w:t>
      </w:r>
    </w:p>
    <w:p w14:paraId="421F5AD1">
      <w:pPr>
        <w:snapToGrid w:val="0"/>
        <w:spacing w:line="360" w:lineRule="auto"/>
        <w:ind w:firstLine="5160" w:firstLineChars="2150"/>
        <w:rPr>
          <w:rFonts w:hint="eastAsia"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47EBDD17">
      <w:pPr>
        <w:rPr>
          <w:highlight w:val="none"/>
        </w:rPr>
      </w:pPr>
    </w:p>
    <w:p w14:paraId="3E8D9B0A">
      <w:pPr>
        <w:pStyle w:val="34"/>
        <w:spacing w:line="720" w:lineRule="auto"/>
        <w:ind w:firstLine="480"/>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1</w:t>
      </w:r>
      <w:r>
        <w:rPr>
          <w:rFonts w:cs="仿宋_GB2312" w:asciiTheme="minorEastAsia" w:hAnsiTheme="minorEastAsia" w:eastAsiaTheme="minorEastAsia"/>
          <w:b/>
          <w:bCs/>
          <w:sz w:val="32"/>
          <w:szCs w:val="32"/>
          <w:highlight w:val="none"/>
        </w:rPr>
        <w:t>0.</w:t>
      </w:r>
      <w:r>
        <w:rPr>
          <w:rFonts w:hint="eastAsia" w:cs="仿宋_GB2312" w:asciiTheme="minorEastAsia" w:hAnsiTheme="minorEastAsia" w:eastAsiaTheme="minorEastAsia"/>
          <w:b/>
          <w:bCs/>
          <w:sz w:val="32"/>
          <w:szCs w:val="32"/>
          <w:highlight w:val="none"/>
        </w:rPr>
        <w:t xml:space="preserve"> 针对本项目《第四部分-采购需求》和《第五部分-评审方法及评审标准-评审方法前附表》中的条款拟定完整方案；（格式自拟）</w:t>
      </w:r>
    </w:p>
    <w:p w14:paraId="5981A6BF">
      <w:pPr>
        <w:snapToGrid w:val="0"/>
        <w:spacing w:line="360" w:lineRule="auto"/>
        <w:ind w:firstLine="5160" w:firstLineChars="215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Cs w:val="21"/>
          <w:highlight w:val="none"/>
          <w:lang w:val="zh-CN"/>
        </w:rPr>
        <w:t>公章</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 w:val="24"/>
          <w:highlight w:val="none"/>
          <w:lang w:val="zh-CN"/>
        </w:rPr>
        <w:t>：</w:t>
      </w:r>
    </w:p>
    <w:p w14:paraId="5DE6DE9A">
      <w:pPr>
        <w:snapToGrid w:val="0"/>
        <w:spacing w:line="360" w:lineRule="auto"/>
        <w:ind w:firstLine="5160" w:firstLineChars="2150"/>
        <w:rPr>
          <w:rFonts w:hint="eastAsia"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7CF6A564">
      <w:pPr>
        <w:rPr>
          <w:highlight w:val="none"/>
          <w:lang w:val="zh-CN"/>
        </w:rPr>
      </w:pPr>
    </w:p>
    <w:p w14:paraId="1D33D94D">
      <w:pPr>
        <w:pStyle w:val="34"/>
        <w:spacing w:line="720" w:lineRule="auto"/>
        <w:ind w:firstLine="480"/>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11</w:t>
      </w:r>
      <w:r>
        <w:rPr>
          <w:rFonts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 xml:space="preserve"> 供应商认为需要的其他商务技术文件或说明（如果有，格式自拟）；</w:t>
      </w:r>
      <w:r>
        <w:rPr>
          <w:rFonts w:cs="仿宋_GB2312" w:asciiTheme="minorEastAsia" w:hAnsiTheme="minorEastAsia" w:eastAsiaTheme="minorEastAsia"/>
          <w:b/>
          <w:bCs/>
          <w:color w:val="000000" w:themeColor="text1"/>
          <w:sz w:val="32"/>
          <w:szCs w:val="32"/>
          <w:highlight w:val="none"/>
          <w14:textFill>
            <w14:solidFill>
              <w14:schemeClr w14:val="tx1"/>
            </w14:solidFill>
          </w14:textFill>
        </w:rPr>
        <w:t xml:space="preserve"> </w:t>
      </w:r>
    </w:p>
    <w:p w14:paraId="69242F12">
      <w:pPr>
        <w:snapToGrid w:val="0"/>
        <w:spacing w:line="360" w:lineRule="auto"/>
        <w:ind w:firstLine="5160" w:firstLineChars="215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Cs w:val="21"/>
          <w:highlight w:val="none"/>
          <w:lang w:val="zh-CN"/>
        </w:rPr>
        <w:t>公章</w:t>
      </w:r>
      <w:r>
        <w:rPr>
          <w:rFonts w:hint="eastAsia" w:cs="仿宋_GB2312" w:asciiTheme="minorEastAsia" w:hAnsiTheme="minorEastAsia" w:eastAsiaTheme="minorEastAsia"/>
          <w:kern w:val="0"/>
          <w:szCs w:val="21"/>
          <w:highlight w:val="none"/>
        </w:rPr>
        <w:t>）</w:t>
      </w:r>
      <w:r>
        <w:rPr>
          <w:rFonts w:hint="eastAsia" w:cs="仿宋_GB2312" w:asciiTheme="minorEastAsia" w:hAnsiTheme="minorEastAsia" w:eastAsiaTheme="minorEastAsia"/>
          <w:kern w:val="0"/>
          <w:sz w:val="24"/>
          <w:highlight w:val="none"/>
          <w:lang w:val="zh-CN"/>
        </w:rPr>
        <w:t>：</w:t>
      </w:r>
    </w:p>
    <w:p w14:paraId="2C2EA60C">
      <w:pPr>
        <w:snapToGrid w:val="0"/>
        <w:spacing w:line="360" w:lineRule="auto"/>
        <w:ind w:firstLine="5160" w:firstLineChars="2150"/>
        <w:rPr>
          <w:rFonts w:hint="eastAsia"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14A4F267">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6F41D4E">
      <w:pP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2FDDC4D9">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DB52BAE">
      <w:pPr>
        <w:tabs>
          <w:tab w:val="left" w:pos="0"/>
        </w:tabs>
        <w:autoSpaceDE w:val="0"/>
        <w:autoSpaceDN w:val="0"/>
        <w:spacing w:line="360" w:lineRule="auto"/>
        <w:jc w:val="cente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2、</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209E4B19">
      <w:pPr>
        <w:autoSpaceDE w:val="0"/>
        <w:autoSpaceDN w:val="0"/>
        <w:spacing w:line="360" w:lineRule="auto"/>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（采购人）</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w:t>
      </w:r>
    </w:p>
    <w:p w14:paraId="60525E70">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项目采购要求参加响应。在这次响应过程中和成交后，我们将严格遵守国家法律法规要求，并郑重承诺：</w:t>
      </w:r>
    </w:p>
    <w:p w14:paraId="30CAC079">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一、不向项目有关人员及部门赠送礼金礼物、有价证券、回扣以及中介费、介绍费、咨询费等好处费； </w:t>
      </w:r>
    </w:p>
    <w:p w14:paraId="56872942">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二、不为项目有关人员及部门报销应由你方单位或个人支付的费用； </w:t>
      </w:r>
    </w:p>
    <w:p w14:paraId="5CD2A87F">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三、不向项目有关人员及部门提供有可能影响公正的宴请和健身娱乐等活动； </w:t>
      </w:r>
    </w:p>
    <w:p w14:paraId="4A094CCF">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四、不为项目有关人员及部门出国（境）、旅游等提供方便；</w:t>
      </w:r>
    </w:p>
    <w:p w14:paraId="597DEE01">
      <w:pPr>
        <w:autoSpaceDE w:val="0"/>
        <w:autoSpaceDN w:val="0"/>
        <w:spacing w:line="360" w:lineRule="auto"/>
        <w:ind w:left="481" w:leftChars="229"/>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五、不为项目有关人员个人装修住房、婚丧嫁娶、配偶子女工作安排等提供</w:t>
      </w:r>
    </w:p>
    <w:p w14:paraId="4BC33215">
      <w:pPr>
        <w:autoSpaceDE w:val="0"/>
        <w:autoSpaceDN w:val="0"/>
        <w:spacing w:line="360" w:lineRule="auto"/>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好处；</w:t>
      </w:r>
    </w:p>
    <w:p w14:paraId="1E8C390C">
      <w:pPr>
        <w:autoSpaceDE w:val="0"/>
        <w:autoSpaceDN w:val="0"/>
        <w:spacing w:line="360" w:lineRule="auto"/>
        <w:ind w:left="2" w:leftChars="1"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六、严格遵守《中华人民共和国政府采购法》《中华人民共和国政府采购法实施条例》《中华人民共和国民法典》等法律法规，诚实守信，合法经营，坚决抵制各种违法违纪行为。 </w:t>
      </w:r>
    </w:p>
    <w:p w14:paraId="0A994443">
      <w:pPr>
        <w:autoSpaceDE w:val="0"/>
        <w:autoSpaceDN w:val="0"/>
        <w:spacing w:line="360" w:lineRule="auto"/>
        <w:ind w:firstLine="420" w:firstLineChars="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进行项目建设或其他经营活动，并通报财政部门。由此引起的相应损失均由我单位承担。</w:t>
      </w:r>
    </w:p>
    <w:p w14:paraId="354389B5">
      <w:pPr>
        <w:autoSpaceDE w:val="0"/>
        <w:autoSpaceDN w:val="0"/>
        <w:spacing w:line="360" w:lineRule="auto"/>
        <w:ind w:left="2"/>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p>
    <w:p w14:paraId="379DA009">
      <w:pPr>
        <w:autoSpaceDE w:val="0"/>
        <w:autoSpaceDN w:val="0"/>
        <w:spacing w:line="360" w:lineRule="auto"/>
        <w:ind w:left="2"/>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p>
    <w:p w14:paraId="5C70C4DA">
      <w:pPr>
        <w:autoSpaceDE w:val="0"/>
        <w:autoSpaceDN w:val="0"/>
        <w:spacing w:line="360" w:lineRule="auto"/>
        <w:ind w:left="2"/>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p>
    <w:p w14:paraId="0C4C9E6A">
      <w:pPr>
        <w:autoSpaceDE w:val="0"/>
        <w:autoSpaceDN w:val="0"/>
        <w:spacing w:line="360" w:lineRule="auto"/>
        <w:ind w:left="2" w:leftChars="1" w:right="1120" w:firstLine="4620" w:firstLineChars="220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供应商</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名称（</w:t>
      </w:r>
      <w:r>
        <w:rPr>
          <w:rFonts w:hint="eastAsia" w:cs="仿宋_GB2312" w:asciiTheme="minorEastAsia" w:hAnsiTheme="minorEastAsia" w:eastAsiaTheme="minorEastAsia"/>
          <w:color w:val="000000" w:themeColor="text1"/>
          <w:szCs w:val="21"/>
          <w:highlight w:val="none"/>
          <w14:textFill>
            <w14:solidFill>
              <w14:schemeClr w14:val="tx1"/>
            </w14:solidFill>
          </w14:textFill>
        </w:rPr>
        <w:t>公章</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w:t>
      </w:r>
    </w:p>
    <w:p w14:paraId="3D52F878">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 xml:space="preserve">   年   月   日</w:t>
      </w:r>
    </w:p>
    <w:p w14:paraId="770F53BA">
      <w:pPr>
        <w:spacing w:line="360" w:lineRule="auto"/>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B587A0B">
      <w:pPr>
        <w:pStyle w:val="118"/>
        <w:rPr>
          <w:rFonts w:hint="eastAsia"/>
          <w:highlight w:val="none"/>
        </w:rPr>
      </w:pPr>
      <w:r>
        <w:rPr>
          <w:rFonts w:hint="eastAsia" w:cs="宋体"/>
          <w:b/>
          <w:bCs w:val="0"/>
          <w:sz w:val="32"/>
          <w:szCs w:val="32"/>
          <w:highlight w:val="none"/>
        </w:rPr>
        <w:t>1、初次报价一览表</w:t>
      </w:r>
    </w:p>
    <w:p w14:paraId="4C4ECC97">
      <w:pPr>
        <w:keepNext w:val="0"/>
        <w:keepLines w:val="0"/>
        <w:pageBreakBefore w:val="0"/>
        <w:widowControl w:val="0"/>
        <w:kinsoku/>
        <w:wordWrap/>
        <w:overflowPunct/>
        <w:topLinePunct w:val="0"/>
        <w:autoSpaceDE/>
        <w:autoSpaceDN/>
        <w:bidi w:val="0"/>
        <w:adjustRightInd w:val="0"/>
        <w:spacing w:line="240" w:lineRule="auto"/>
        <w:ind w:firstLine="720"/>
        <w:textAlignment w:val="auto"/>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eastAsia="zh-CN"/>
        </w:rPr>
        <w:t>宁波市海曙区数据局</w:t>
      </w:r>
      <w:r>
        <w:rPr>
          <w:rFonts w:hint="eastAsia" w:cs="仿宋_GB2312" w:asciiTheme="minorEastAsia" w:hAnsiTheme="minorEastAsia" w:eastAsiaTheme="minorEastAsia"/>
          <w:kern w:val="0"/>
          <w:szCs w:val="21"/>
          <w:highlight w:val="none"/>
          <w:lang w:val="zh-CN"/>
        </w:rPr>
        <w:t>：</w:t>
      </w:r>
    </w:p>
    <w:p w14:paraId="060B9978">
      <w:pPr>
        <w:keepNext w:val="0"/>
        <w:keepLines w:val="0"/>
        <w:pageBreakBefore w:val="0"/>
        <w:widowControl w:val="0"/>
        <w:kinsoku/>
        <w:wordWrap/>
        <w:overflowPunct/>
        <w:topLinePunct w:val="0"/>
        <w:autoSpaceDE/>
        <w:autoSpaceDN/>
        <w:bidi w:val="0"/>
        <w:adjustRightInd w:val="0"/>
        <w:spacing w:line="240" w:lineRule="auto"/>
        <w:ind w:firstLine="720"/>
        <w:textAlignment w:val="auto"/>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按你方磋商文件要求，</w:t>
      </w:r>
      <w:r>
        <w:rPr>
          <w:rFonts w:hint="eastAsia" w:cs="仿宋_GB2312" w:asciiTheme="minorEastAsia" w:hAnsiTheme="minorEastAsia" w:eastAsiaTheme="minorEastAsia"/>
          <w:szCs w:val="21"/>
          <w:highlight w:val="none"/>
        </w:rPr>
        <w:t>我们即</w:t>
      </w:r>
      <w:r>
        <w:rPr>
          <w:rFonts w:hint="eastAsia" w:cs="仿宋_GB2312" w:asciiTheme="minorEastAsia" w:hAnsiTheme="minorEastAsia" w:eastAsiaTheme="minorEastAsia"/>
          <w:kern w:val="0"/>
          <w:szCs w:val="21"/>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szCs w:val="21"/>
          <w:highlight w:val="none"/>
          <w:u w:val="single"/>
        </w:rPr>
        <w:t xml:space="preserve">（项目名称）【项目编号： </w:t>
      </w:r>
      <w:r>
        <w:rPr>
          <w:rFonts w:cs="仿宋_GB2312" w:asciiTheme="minorEastAsia" w:hAnsiTheme="minorEastAsia" w:eastAsiaTheme="minorEastAsia"/>
          <w:szCs w:val="21"/>
          <w:highlight w:val="none"/>
          <w:u w:val="single"/>
        </w:rPr>
        <w:t xml:space="preserve">    </w:t>
      </w:r>
      <w:r>
        <w:rPr>
          <w:rFonts w:hint="eastAsia" w:cs="仿宋_GB2312" w:asciiTheme="minorEastAsia" w:hAnsiTheme="minorEastAsia" w:eastAsiaTheme="minorEastAsia"/>
          <w:szCs w:val="21"/>
          <w:highlight w:val="none"/>
          <w:u w:val="single"/>
        </w:rPr>
        <w:t>】</w:t>
      </w:r>
      <w:r>
        <w:rPr>
          <w:rFonts w:hint="eastAsia" w:cs="仿宋_GB2312" w:asciiTheme="minorEastAsia" w:hAnsiTheme="minorEastAsia" w:eastAsiaTheme="minorEastAsia"/>
          <w:kern w:val="0"/>
          <w:szCs w:val="21"/>
          <w:highlight w:val="none"/>
          <w:lang w:val="zh-CN"/>
        </w:rPr>
        <w:t>的实施。</w:t>
      </w:r>
    </w:p>
    <w:p w14:paraId="78B9D43D">
      <w:pPr>
        <w:pStyle w:val="118"/>
        <w:keepNext w:val="0"/>
        <w:keepLines w:val="0"/>
        <w:pageBreakBefore w:val="0"/>
        <w:widowControl w:val="0"/>
        <w:kinsoku/>
        <w:wordWrap/>
        <w:overflowPunct/>
        <w:topLinePunct w:val="0"/>
        <w:autoSpaceDE/>
        <w:autoSpaceDN/>
        <w:bidi w:val="0"/>
        <w:adjustRightInd w:val="0"/>
        <w:snapToGrid w:val="0"/>
        <w:spacing w:before="120" w:after="120" w:line="240" w:lineRule="auto"/>
        <w:ind w:firstLine="643"/>
        <w:textAlignment w:val="auto"/>
        <w:outlineLvl w:val="9"/>
        <w:rPr>
          <w:rFonts w:hint="eastAsia" w:cs="仿宋_GB2312" w:asciiTheme="minorEastAsia" w:hAnsiTheme="minorEastAsia" w:eastAsiaTheme="minorEastAsia"/>
          <w:bCs w:val="0"/>
          <w:kern w:val="0"/>
          <w:sz w:val="21"/>
          <w:szCs w:val="21"/>
          <w:highlight w:val="none"/>
          <w:lang w:val="zh-CN" w:eastAsia="zh-CN" w:bidi="ar-SA"/>
        </w:rPr>
      </w:pPr>
      <w:r>
        <w:rPr>
          <w:rFonts w:ascii="宋体" w:hAnsi="宋体" w:eastAsia="宋体" w:cs="宋体"/>
          <w:color w:val="auto"/>
          <w:kern w:val="2"/>
          <w:sz w:val="32"/>
          <w:szCs w:val="32"/>
          <w:highlight w:val="none"/>
        </w:rPr>
        <w:t xml:space="preserve">      </w:t>
      </w:r>
      <w:r>
        <w:rPr>
          <w:rFonts w:hint="eastAsia" w:cs="仿宋_GB2312" w:asciiTheme="minorEastAsia" w:hAnsiTheme="minorEastAsia" w:eastAsiaTheme="minorEastAsia"/>
          <w:bCs w:val="0"/>
          <w:kern w:val="0"/>
          <w:sz w:val="21"/>
          <w:szCs w:val="21"/>
          <w:highlight w:val="none"/>
          <w:lang w:val="zh-CN" w:eastAsia="zh-CN" w:bidi="ar-SA"/>
        </w:rPr>
        <w:t xml:space="preserve">    </w:t>
      </w:r>
      <w:r>
        <w:rPr>
          <w:rFonts w:hint="eastAsia" w:cs="仿宋_GB2312"/>
          <w:bCs w:val="0"/>
          <w:kern w:val="0"/>
          <w:sz w:val="21"/>
          <w:szCs w:val="21"/>
          <w:highlight w:val="none"/>
          <w:lang w:val="en-US" w:eastAsia="zh-CN" w:bidi="ar-SA"/>
        </w:rPr>
        <w:t xml:space="preserve">                      </w:t>
      </w:r>
      <w:r>
        <w:rPr>
          <w:rFonts w:hint="eastAsia" w:cs="仿宋_GB2312" w:asciiTheme="minorEastAsia" w:hAnsiTheme="minorEastAsia" w:eastAsiaTheme="minorEastAsia"/>
          <w:bCs w:val="0"/>
          <w:kern w:val="0"/>
          <w:sz w:val="21"/>
          <w:szCs w:val="21"/>
          <w:highlight w:val="none"/>
          <w:lang w:val="zh-CN" w:eastAsia="zh-CN" w:bidi="ar-SA"/>
        </w:rPr>
        <w:t xml:space="preserve">   一、开标一览表（报价表）                             单位：人民币元</w:t>
      </w:r>
    </w:p>
    <w:p w14:paraId="7D94C882">
      <w:pPr>
        <w:pStyle w:val="118"/>
        <w:keepNext w:val="0"/>
        <w:keepLines w:val="0"/>
        <w:pageBreakBefore w:val="0"/>
        <w:widowControl w:val="0"/>
        <w:kinsoku/>
        <w:wordWrap/>
        <w:overflowPunct/>
        <w:topLinePunct w:val="0"/>
        <w:autoSpaceDE/>
        <w:autoSpaceDN/>
        <w:bidi w:val="0"/>
        <w:adjustRightInd w:val="0"/>
        <w:snapToGrid w:val="0"/>
        <w:spacing w:before="120" w:after="120" w:line="240" w:lineRule="auto"/>
        <w:jc w:val="both"/>
        <w:textAlignment w:val="auto"/>
        <w:outlineLvl w:val="9"/>
        <w:rPr>
          <w:rFonts w:hint="eastAsia" w:cs="仿宋_GB2312" w:asciiTheme="minorEastAsia" w:hAnsiTheme="minorEastAsia" w:eastAsiaTheme="minorEastAsia"/>
          <w:bCs w:val="0"/>
          <w:kern w:val="0"/>
          <w:sz w:val="21"/>
          <w:szCs w:val="21"/>
          <w:highlight w:val="none"/>
          <w:lang w:val="zh-CN" w:eastAsia="zh-CN" w:bidi="ar-SA"/>
        </w:rPr>
      </w:pPr>
      <w:r>
        <w:rPr>
          <w:rFonts w:hint="eastAsia" w:cs="仿宋_GB2312" w:asciiTheme="minorEastAsia" w:hAnsiTheme="minorEastAsia" w:eastAsiaTheme="minorEastAsia"/>
          <w:bCs w:val="0"/>
          <w:kern w:val="0"/>
          <w:sz w:val="21"/>
          <w:szCs w:val="21"/>
          <w:highlight w:val="none"/>
          <w:lang w:val="zh-CN" w:eastAsia="zh-CN" w:bidi="ar-SA"/>
        </w:rPr>
        <w:t>项目名称：                                                          项目编号：</w:t>
      </w:r>
    </w:p>
    <w:tbl>
      <w:tblPr>
        <w:tblStyle w:val="6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417"/>
        <w:gridCol w:w="1418"/>
        <w:gridCol w:w="1134"/>
        <w:gridCol w:w="992"/>
        <w:gridCol w:w="1276"/>
        <w:gridCol w:w="3118"/>
      </w:tblGrid>
      <w:tr w14:paraId="5F0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14:paraId="29344F03">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序号</w:t>
            </w:r>
          </w:p>
        </w:tc>
        <w:tc>
          <w:tcPr>
            <w:tcW w:w="4111" w:type="dxa"/>
            <w:vAlign w:val="center"/>
          </w:tcPr>
          <w:p w14:paraId="7289A86A">
            <w:pPr>
              <w:spacing w:line="360" w:lineRule="auto"/>
              <w:ind w:firstLine="720"/>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货物/服务名称</w:t>
            </w:r>
          </w:p>
        </w:tc>
        <w:tc>
          <w:tcPr>
            <w:tcW w:w="1417" w:type="dxa"/>
            <w:vAlign w:val="center"/>
          </w:tcPr>
          <w:p w14:paraId="2B80BC96">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品牌</w:t>
            </w:r>
          </w:p>
        </w:tc>
        <w:tc>
          <w:tcPr>
            <w:tcW w:w="1418" w:type="dxa"/>
            <w:vAlign w:val="center"/>
          </w:tcPr>
          <w:p w14:paraId="3714B3E4">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规格型号</w:t>
            </w:r>
          </w:p>
        </w:tc>
        <w:tc>
          <w:tcPr>
            <w:tcW w:w="1134" w:type="dxa"/>
            <w:vAlign w:val="center"/>
          </w:tcPr>
          <w:p w14:paraId="251B5E32">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数量</w:t>
            </w:r>
          </w:p>
        </w:tc>
        <w:tc>
          <w:tcPr>
            <w:tcW w:w="992" w:type="dxa"/>
            <w:vAlign w:val="center"/>
          </w:tcPr>
          <w:p w14:paraId="0EA97363">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单价</w:t>
            </w:r>
          </w:p>
        </w:tc>
        <w:tc>
          <w:tcPr>
            <w:tcW w:w="1276" w:type="dxa"/>
            <w:vAlign w:val="center"/>
          </w:tcPr>
          <w:p w14:paraId="7E2CE4B8">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小计</w:t>
            </w:r>
          </w:p>
        </w:tc>
        <w:tc>
          <w:tcPr>
            <w:tcW w:w="3118" w:type="dxa"/>
            <w:vAlign w:val="center"/>
          </w:tcPr>
          <w:p w14:paraId="3C558FF6">
            <w:pPr>
              <w:spacing w:line="360" w:lineRule="auto"/>
              <w:ind w:firstLine="720"/>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备注（如有）</w:t>
            </w:r>
          </w:p>
        </w:tc>
      </w:tr>
      <w:tr w14:paraId="25C5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vAlign w:val="center"/>
          </w:tcPr>
          <w:p w14:paraId="1B9F2010">
            <w:pPr>
              <w:spacing w:line="360" w:lineRule="auto"/>
              <w:jc w:val="center"/>
              <w:rPr>
                <w:rFonts w:hint="eastAsia" w:cs="仿宋_GB2312" w:asciiTheme="minorEastAsia" w:hAnsiTheme="minorEastAsia" w:eastAsiaTheme="minorEastAsia"/>
                <w:kern w:val="0"/>
                <w:szCs w:val="21"/>
                <w:highlight w:val="none"/>
                <w:lang w:val="en-US" w:eastAsia="zh-CN"/>
              </w:rPr>
            </w:pPr>
            <w:r>
              <w:rPr>
                <w:rFonts w:hint="eastAsia" w:cs="仿宋_GB2312" w:asciiTheme="minorEastAsia" w:hAnsiTheme="minorEastAsia" w:eastAsiaTheme="minorEastAsia"/>
                <w:kern w:val="0"/>
                <w:szCs w:val="21"/>
                <w:highlight w:val="none"/>
                <w:lang w:val="en-US" w:eastAsia="zh-CN"/>
              </w:rPr>
              <w:t>1</w:t>
            </w:r>
          </w:p>
        </w:tc>
        <w:tc>
          <w:tcPr>
            <w:tcW w:w="4111" w:type="dxa"/>
            <w:vAlign w:val="center"/>
          </w:tcPr>
          <w:p w14:paraId="0F530301">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1DCC51DE">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236599B7">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75035F65">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292AC86B">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076E2B0E">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64CD2C11">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36A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14:paraId="01E7529D">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2</w:t>
            </w:r>
          </w:p>
        </w:tc>
        <w:tc>
          <w:tcPr>
            <w:tcW w:w="4111" w:type="dxa"/>
            <w:vAlign w:val="center"/>
          </w:tcPr>
          <w:p w14:paraId="5E8CDAD4">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1FA3D3D2">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61C75BC0">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37A2B5F7">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6260A547">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025945CD">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5073D3AF">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1ED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14:paraId="35373E3F">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w:t>
            </w:r>
          </w:p>
        </w:tc>
        <w:tc>
          <w:tcPr>
            <w:tcW w:w="4111" w:type="dxa"/>
            <w:vAlign w:val="center"/>
          </w:tcPr>
          <w:p w14:paraId="77C761AD">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12601378">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69C71AED">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704259E3">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033E3293">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15620192">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059D8E49">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6585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63" w:type="dxa"/>
            <w:gridSpan w:val="4"/>
            <w:vAlign w:val="center"/>
          </w:tcPr>
          <w:p w14:paraId="37421F73">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履约期限</w:t>
            </w:r>
          </w:p>
        </w:tc>
        <w:tc>
          <w:tcPr>
            <w:tcW w:w="6520" w:type="dxa"/>
            <w:gridSpan w:val="4"/>
            <w:vAlign w:val="center"/>
          </w:tcPr>
          <w:p w14:paraId="55586AAD">
            <w:pPr>
              <w:spacing w:line="360" w:lineRule="auto"/>
              <w:ind w:firstLine="720"/>
              <w:rPr>
                <w:rFonts w:hint="eastAsia" w:cs="仿宋_GB2312" w:asciiTheme="minorEastAsia" w:hAnsiTheme="minorEastAsia" w:eastAsiaTheme="minorEastAsia"/>
                <w:kern w:val="0"/>
                <w:szCs w:val="21"/>
                <w:highlight w:val="none"/>
                <w:lang w:val="zh-CN"/>
              </w:rPr>
            </w:pPr>
          </w:p>
        </w:tc>
      </w:tr>
      <w:tr w14:paraId="3E5A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63" w:type="dxa"/>
            <w:gridSpan w:val="4"/>
            <w:vMerge w:val="restart"/>
            <w:vAlign w:val="center"/>
          </w:tcPr>
          <w:p w14:paraId="059494E7">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投标总报价</w:t>
            </w:r>
          </w:p>
        </w:tc>
        <w:tc>
          <w:tcPr>
            <w:tcW w:w="6520" w:type="dxa"/>
            <w:gridSpan w:val="4"/>
            <w:vAlign w:val="center"/>
          </w:tcPr>
          <w:p w14:paraId="3B4DE823">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小写：</w:t>
            </w:r>
          </w:p>
        </w:tc>
      </w:tr>
      <w:tr w14:paraId="0062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763" w:type="dxa"/>
            <w:gridSpan w:val="4"/>
            <w:vMerge w:val="continue"/>
            <w:vAlign w:val="center"/>
          </w:tcPr>
          <w:p w14:paraId="701B9619">
            <w:pPr>
              <w:spacing w:line="360" w:lineRule="auto"/>
              <w:ind w:firstLine="720"/>
              <w:rPr>
                <w:rFonts w:hint="eastAsia" w:cs="仿宋_GB2312" w:asciiTheme="minorEastAsia" w:hAnsiTheme="minorEastAsia" w:eastAsiaTheme="minorEastAsia"/>
                <w:kern w:val="0"/>
                <w:szCs w:val="21"/>
                <w:highlight w:val="none"/>
                <w:lang w:val="zh-CN"/>
              </w:rPr>
            </w:pPr>
          </w:p>
        </w:tc>
        <w:tc>
          <w:tcPr>
            <w:tcW w:w="6520" w:type="dxa"/>
            <w:gridSpan w:val="4"/>
            <w:vAlign w:val="center"/>
          </w:tcPr>
          <w:p w14:paraId="26BFDFBE">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大写：</w:t>
            </w:r>
          </w:p>
        </w:tc>
      </w:tr>
    </w:tbl>
    <w:p w14:paraId="5D34255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r>
        <w:rPr>
          <w:rFonts w:ascii="宋体" w:hAnsi="宋体" w:cs="宋体"/>
          <w:b/>
          <w:color w:val="auto"/>
          <w:kern w:val="0"/>
          <w:szCs w:val="21"/>
          <w:highlight w:val="none"/>
          <w:lang w:val="zh-CN"/>
        </w:rPr>
        <w:t xml:space="preserve"> </w:t>
      </w:r>
      <w:r>
        <w:rPr>
          <w:rFonts w:hint="eastAsia" w:ascii="宋体" w:hAnsi="宋体" w:cs="宋体"/>
          <w:bCs/>
          <w:color w:val="auto"/>
          <w:kern w:val="0"/>
          <w:szCs w:val="21"/>
          <w:highlight w:val="none"/>
          <w:lang w:val="zh-CN"/>
        </w:rPr>
        <w:t>1、</w:t>
      </w:r>
      <w:r>
        <w:rPr>
          <w:rFonts w:hint="eastAsia" w:ascii="宋体" w:hAnsi="宋体"/>
          <w:bCs/>
          <w:color w:val="auto"/>
          <w:szCs w:val="21"/>
          <w:highlight w:val="none"/>
        </w:rPr>
        <w:t>报价一经涂改，应在涂改处加盖单位公章或者由法定代表人或授权委托人签名或盖章，否则其投标作无效标处理。</w:t>
      </w:r>
      <w:r>
        <w:rPr>
          <w:rFonts w:hint="eastAsia" w:ascii="宋体" w:hAnsi="宋体" w:cs="宋体"/>
          <w:bCs/>
          <w:color w:val="auto"/>
          <w:kern w:val="0"/>
          <w:szCs w:val="21"/>
          <w:highlight w:val="none"/>
          <w:lang w:val="zh-CN"/>
        </w:rPr>
        <w:t>投标人需按本表格式填写，</w:t>
      </w:r>
      <w:r>
        <w:rPr>
          <w:rFonts w:hint="eastAsia" w:ascii="宋体" w:hAnsi="宋体" w:cs="宋体"/>
          <w:bCs/>
          <w:color w:val="auto"/>
          <w:kern w:val="0"/>
          <w:szCs w:val="21"/>
          <w:highlight w:val="none"/>
        </w:rPr>
        <w:t>否则视为</w:t>
      </w:r>
      <w:r>
        <w:rPr>
          <w:rFonts w:hint="eastAsia" w:ascii="宋体" w:hAnsi="宋体" w:cs="宋体"/>
          <w:bCs/>
          <w:color w:val="auto"/>
          <w:szCs w:val="21"/>
          <w:highlight w:val="none"/>
        </w:rPr>
        <w:t>投标文件含有采购人不能接受的附加条件，投标无效</w:t>
      </w:r>
      <w:r>
        <w:rPr>
          <w:rFonts w:hint="eastAsia" w:ascii="宋体" w:hAnsi="宋体" w:cs="宋体"/>
          <w:bCs/>
          <w:color w:val="auto"/>
          <w:kern w:val="0"/>
          <w:szCs w:val="21"/>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Cs/>
          <w:color w:val="auto"/>
          <w:kern w:val="0"/>
          <w:szCs w:val="21"/>
          <w:highlight w:val="none"/>
        </w:rPr>
        <w:t>否则视为</w:t>
      </w:r>
      <w:r>
        <w:rPr>
          <w:rFonts w:hint="eastAsia" w:ascii="宋体" w:hAnsi="宋体" w:cs="宋体"/>
          <w:bCs/>
          <w:color w:val="auto"/>
          <w:szCs w:val="21"/>
          <w:highlight w:val="none"/>
        </w:rPr>
        <w:t>投标文件含有采购人不能接受的附加条件，投标无效</w:t>
      </w:r>
      <w:r>
        <w:rPr>
          <w:rFonts w:hint="eastAsia" w:ascii="宋体" w:hAnsi="宋体" w:cs="宋体"/>
          <w:bCs/>
          <w:color w:val="auto"/>
          <w:kern w:val="0"/>
          <w:szCs w:val="21"/>
          <w:highlight w:val="none"/>
          <w:lang w:val="zh-CN"/>
        </w:rPr>
        <w:t>；采购内容未包含在《开标一览表（报价表）》名称栏中，投标人不能作出合理解释的，</w:t>
      </w:r>
      <w:r>
        <w:rPr>
          <w:rFonts w:hint="eastAsia" w:ascii="宋体" w:hAnsi="宋体" w:cs="宋体"/>
          <w:bCs/>
          <w:color w:val="auto"/>
          <w:kern w:val="0"/>
          <w:szCs w:val="21"/>
          <w:highlight w:val="none"/>
        </w:rPr>
        <w:t>视为</w:t>
      </w:r>
      <w:r>
        <w:rPr>
          <w:rFonts w:hint="eastAsia" w:ascii="宋体" w:hAnsi="宋体" w:cs="宋体"/>
          <w:bCs/>
          <w:color w:val="auto"/>
          <w:szCs w:val="21"/>
          <w:highlight w:val="none"/>
        </w:rPr>
        <w:t>投标文件含有采购人不能接受的附加条件的，投标无效。</w:t>
      </w: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3、特别提示：采购代理机构将对项目名称和项目编号，中标供应商名称、地址和中标金额，主要中标标的名称、品牌（如果有）、规格型号、数量、单价等予以公示。</w:t>
      </w:r>
    </w:p>
    <w:p w14:paraId="69B620AF">
      <w:pPr>
        <w:autoSpaceDE w:val="0"/>
        <w:autoSpaceDN w:val="0"/>
        <w:spacing w:line="360" w:lineRule="auto"/>
        <w:ind w:left="9240" w:leftChars="4400" w:firstLine="0" w:firstLineChars="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投标人名称（电子签章）：                                                                                                                                                                                                          日期：   年   月   日</w:t>
      </w:r>
    </w:p>
    <w:p w14:paraId="75A73C32">
      <w:pP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br w:type="page"/>
      </w:r>
    </w:p>
    <w:p w14:paraId="35B08A39">
      <w:pPr>
        <w:autoSpaceDE w:val="0"/>
        <w:autoSpaceDN w:val="0"/>
        <w:spacing w:line="360" w:lineRule="auto"/>
        <w:ind w:left="9240" w:leftChars="4400" w:firstLine="0" w:firstLineChars="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80C614F">
      <w:pPr>
        <w:rPr>
          <w:rFonts w:hint="eastAsia" w:cs="仿宋_GB2312" w:asciiTheme="minorEastAsia" w:hAnsiTheme="minorEastAsia" w:eastAsiaTheme="minorEastAsia"/>
          <w:b/>
          <w:sz w:val="30"/>
          <w:szCs w:val="30"/>
          <w:highlight w:val="none"/>
        </w:rPr>
      </w:pPr>
    </w:p>
    <w:p w14:paraId="36E27462">
      <w:pPr>
        <w:rPr>
          <w:rFonts w:hint="eastAsia" w:cs="仿宋_GB2312" w:asciiTheme="minorEastAsia" w:hAnsiTheme="minorEastAsia" w:eastAsiaTheme="minorEastAsia"/>
          <w:b/>
          <w:sz w:val="30"/>
          <w:szCs w:val="30"/>
          <w:highlight w:val="none"/>
          <w:lang w:val="en-US" w:eastAsia="zh-CN"/>
        </w:rPr>
      </w:pPr>
    </w:p>
    <w:p w14:paraId="2DFDDF9A">
      <w:pPr>
        <w:adjustRightInd/>
        <w:spacing w:line="360" w:lineRule="auto"/>
        <w:jc w:val="center"/>
        <w:outlineLvl w:val="0"/>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7F77F0DB">
      <w:pPr>
        <w:adjustRightInd/>
        <w:spacing w:line="360" w:lineRule="auto"/>
        <w:jc w:val="center"/>
        <w:outlineLvl w:val="0"/>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注：如是，请提供，否则无需提供</w:t>
      </w:r>
    </w:p>
    <w:p w14:paraId="37600090">
      <w:pPr>
        <w:spacing w:line="360" w:lineRule="auto"/>
        <w:ind w:firstLine="315" w:firstLineChars="15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Cs w:val="21"/>
          <w:highlight w:val="none"/>
          <w14:textFill>
            <w14:solidFill>
              <w14:schemeClr w14:val="tx1"/>
            </w14:solidFill>
          </w14:textFill>
        </w:rPr>
        <w:t>的</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90269A7">
      <w:pPr>
        <w:spacing w:line="360" w:lineRule="auto"/>
        <w:ind w:firstLine="422"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u w:val="single"/>
          <w:lang w:eastAsia="zh-CN"/>
          <w14:textFill>
            <w14:solidFill>
              <w14:schemeClr w14:val="tx1"/>
            </w14:solidFill>
          </w14:textFill>
        </w:rPr>
        <w:t>海曙区信创化政务应用开发测试环境提升服务</w:t>
      </w:r>
      <w:r>
        <w:rPr>
          <w:rFonts w:hint="eastAsia" w:cs="宋体" w:asciiTheme="minorEastAsia" w:hAnsiTheme="minorEastAsia" w:eastAsiaTheme="minorEastAsia"/>
          <w:color w:val="000000" w:themeColor="text1"/>
          <w:szCs w:val="21"/>
          <w:highlight w:val="none"/>
          <w14:textFill>
            <w14:solidFill>
              <w14:schemeClr w14:val="tx1"/>
            </w14:solidFill>
          </w14:textFill>
        </w:rPr>
        <w:t>，属于</w:t>
      </w:r>
      <w:r>
        <w:rPr>
          <w:rFonts w:hint="eastAsia" w:asciiTheme="minorEastAsia" w:hAnsiTheme="minorEastAsia" w:eastAsiaTheme="minorEastAsia" w:cstheme="minorEastAsia"/>
          <w:b/>
          <w:bCs/>
          <w:color w:val="000000" w:themeColor="text1"/>
          <w:kern w:val="0"/>
          <w:szCs w:val="21"/>
          <w:highlight w:val="none"/>
          <w:u w:val="single"/>
          <w:lang w:eastAsia="zh-CN"/>
          <w14:textFill>
            <w14:solidFill>
              <w14:schemeClr w14:val="tx1"/>
            </w14:solidFill>
          </w14:textFill>
        </w:rPr>
        <w:t>软件和信息技术服务业</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万元属于</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p w14:paraId="6C9C2799">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3DA80335">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本企业对上述声明内容的真实性负责。如有虚假，将依法承担相应责任。</w:t>
      </w:r>
    </w:p>
    <w:p w14:paraId="718FCE02">
      <w:pPr>
        <w:spacing w:line="360" w:lineRule="auto"/>
        <w:ind w:right="1760"/>
        <w:jc w:val="righ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供应商名称（公章）：</w:t>
      </w:r>
    </w:p>
    <w:p w14:paraId="34DF270D">
      <w:pPr>
        <w:spacing w:line="360" w:lineRule="auto"/>
        <w:ind w:right="1120" w:firstLine="4095" w:firstLineChars="195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日 期：</w:t>
      </w:r>
    </w:p>
    <w:p w14:paraId="6FE9EF2B">
      <w:pPr>
        <w:spacing w:line="360" w:lineRule="auto"/>
        <w:ind w:right="42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7C892F77">
      <w:pPr>
        <w:spacing w:line="360" w:lineRule="auto"/>
        <w:ind w:right="42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注：</w:t>
      </w:r>
    </w:p>
    <w:p w14:paraId="35EEE955">
      <w:pPr>
        <w:spacing w:line="288" w:lineRule="auto"/>
        <w:ind w:right="420"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97A3A85">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5123D596">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66C5AA17">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481B22F3">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5418A203">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500C2FD8">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7E945ABD">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1C6A0CBC">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2B773661">
      <w:pPr>
        <w:spacing w:line="360" w:lineRule="auto"/>
        <w:ind w:right="420"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176DF5EA">
      <w:pPr>
        <w:spacing w:line="360" w:lineRule="auto"/>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pPr>
    </w:p>
    <w:p w14:paraId="707FE134">
      <w:pPr>
        <w:spacing w:line="360" w:lineRule="auto"/>
        <w:jc w:val="cente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p>
    <w:p w14:paraId="74EF87DE">
      <w:pPr>
        <w:spacing w:line="360" w:lineRule="auto"/>
        <w:jc w:val="cente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（如有）</w:t>
      </w:r>
    </w:p>
    <w:p w14:paraId="243C32C8">
      <w:pPr>
        <w:spacing w:line="360" w:lineRule="auto"/>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14:paraId="3474E21F">
      <w:pPr>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单位的</w:t>
      </w:r>
      <w:r>
        <w:rPr>
          <w:rFonts w:hint="eastAsia" w:cs="仿宋_GB2312" w:asciiTheme="minorEastAsia" w:hAnsiTheme="minorEastAsia" w:eastAsiaTheme="minorEastAsia"/>
          <w:color w:val="000000" w:themeColor="text1"/>
          <w:szCs w:val="21"/>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3139356">
      <w:pPr>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本单位对上述声明的真实性负责。如有虚假，将依法承担相应责任。</w:t>
      </w:r>
    </w:p>
    <w:p w14:paraId="2107F614">
      <w:pPr>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49781AB5">
      <w:pPr>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1FA58080">
      <w:pPr>
        <w:tabs>
          <w:tab w:val="left" w:pos="4860"/>
        </w:tabs>
        <w:spacing w:line="360" w:lineRule="auto"/>
        <w:ind w:right="1560" w:firstLine="420" w:firstLineChars="200"/>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公章</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2B3F73CF">
      <w:pPr>
        <w:tabs>
          <w:tab w:val="left" w:pos="4860"/>
        </w:tabs>
        <w:spacing w:line="360" w:lineRule="auto"/>
        <w:ind w:right="1560" w:firstLine="420" w:firstLineChars="200"/>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       日  期：</w:t>
      </w:r>
    </w:p>
    <w:p w14:paraId="3C4AA6B7">
      <w:pPr>
        <w:tabs>
          <w:tab w:val="left" w:pos="4860"/>
        </w:tabs>
        <w:spacing w:line="360" w:lineRule="auto"/>
        <w:ind w:right="1560" w:firstLine="480" w:firstLineChars="20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16EA7E25">
      <w:pPr>
        <w:tabs>
          <w:tab w:val="left" w:pos="4860"/>
        </w:tabs>
        <w:spacing w:line="360" w:lineRule="auto"/>
        <w:ind w:right="1560" w:firstLine="480" w:firstLineChars="20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3CF605BE">
      <w:pPr>
        <w:tabs>
          <w:tab w:val="left" w:pos="4860"/>
        </w:tabs>
        <w:spacing w:line="360" w:lineRule="auto"/>
        <w:ind w:right="1560" w:firstLine="480" w:firstLineChars="20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45471B9F">
      <w:pPr>
        <w:tabs>
          <w:tab w:val="left" w:pos="4860"/>
        </w:tabs>
        <w:spacing w:line="360" w:lineRule="auto"/>
        <w:ind w:right="1560" w:firstLine="480" w:firstLineChars="20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53FB752F">
      <w:pPr>
        <w:spacing w:line="360" w:lineRule="auto"/>
        <w:ind w:firstLine="480" w:firstLineChars="200"/>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70CB5E6B">
      <w:pPr>
        <w:spacing w:line="360" w:lineRule="auto"/>
        <w:ind w:firstLine="480" w:firstLineChars="200"/>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44F2209D">
      <w:pPr>
        <w:spacing w:line="360" w:lineRule="auto"/>
        <w:ind w:firstLine="480" w:firstLineChars="200"/>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17D9F6B0">
      <w:pPr>
        <w:spacing w:line="360" w:lineRule="auto"/>
        <w:ind w:firstLine="480" w:firstLineChars="200"/>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1FD974A3">
      <w:pPr>
        <w:widowControl/>
        <w:adjustRightInd/>
        <w:ind w:firstLine="667" w:firstLineChars="200"/>
        <w:jc w:val="left"/>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如有）</w:t>
      </w:r>
    </w:p>
    <w:p w14:paraId="745C5B9E">
      <w:pP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7C4B05A6">
      <w:pPr>
        <w:spacing w:line="360" w:lineRule="auto"/>
        <w:jc w:val="left"/>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1633A467">
      <w:pPr>
        <w:spacing w:line="360" w:lineRule="auto"/>
        <w:jc w:val="left"/>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3884BE2A">
      <w:pP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684AFEF6">
      <w:pP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2912B683">
      <w:pPr>
        <w:pStyle w:val="396"/>
        <w:ind w:firstLine="0" w:firstLineChars="0"/>
        <w:jc w:val="center"/>
        <w:rPr>
          <w:rFonts w:hint="eastAsia" w:cs="仿宋_GB2312" w:asciiTheme="minorEastAsia" w:hAnsiTheme="minorEastAsia" w:eastAsiaTheme="minorEastAsia"/>
          <w:b/>
          <w:sz w:val="30"/>
          <w:szCs w:val="3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B683CCB">
      <w:pPr>
        <w:pStyle w:val="396"/>
        <w:ind w:firstLine="0" w:firstLineChars="0"/>
        <w:jc w:val="center"/>
        <w:rPr>
          <w:rFonts w:hint="eastAsia" w:cs="仿宋_GB2312" w:asciiTheme="minorEastAsia" w:hAnsiTheme="minorEastAsia" w:eastAsiaTheme="minorEastAsia"/>
          <w:b/>
          <w:sz w:val="30"/>
          <w:szCs w:val="30"/>
          <w:highlight w:val="none"/>
        </w:rPr>
      </w:pPr>
      <w:r>
        <w:rPr>
          <w:rFonts w:hint="eastAsia" w:cs="仿宋_GB2312" w:asciiTheme="minorEastAsia" w:hAnsiTheme="minorEastAsia" w:eastAsiaTheme="minorEastAsia"/>
          <w:b/>
          <w:sz w:val="30"/>
          <w:szCs w:val="30"/>
          <w:highlight w:val="none"/>
        </w:rPr>
        <w:t>第八部分 最后报价格式（注：首次响应时无需提交）</w:t>
      </w:r>
    </w:p>
    <w:p w14:paraId="02FCEF04">
      <w:pPr>
        <w:pStyle w:val="118"/>
        <w:keepNext w:val="0"/>
        <w:keepLines w:val="0"/>
        <w:pageBreakBefore w:val="0"/>
        <w:widowControl w:val="0"/>
        <w:kinsoku/>
        <w:wordWrap/>
        <w:overflowPunct/>
        <w:topLinePunct w:val="0"/>
        <w:autoSpaceDE/>
        <w:autoSpaceDN/>
        <w:bidi w:val="0"/>
        <w:adjustRightInd w:val="0"/>
        <w:snapToGrid w:val="0"/>
        <w:spacing w:before="120" w:after="120" w:line="240" w:lineRule="auto"/>
        <w:ind w:firstLine="5884" w:firstLineChars="2802"/>
        <w:jc w:val="both"/>
        <w:textAlignment w:val="auto"/>
        <w:outlineLvl w:val="9"/>
        <w:rPr>
          <w:rFonts w:hint="default" w:cs="仿宋_GB2312" w:asciiTheme="minorEastAsia" w:hAnsiTheme="minorEastAsia" w:eastAsiaTheme="minorEastAsia"/>
          <w:bCs w:val="0"/>
          <w:kern w:val="0"/>
          <w:sz w:val="21"/>
          <w:szCs w:val="21"/>
          <w:highlight w:val="none"/>
          <w:lang w:val="en-US" w:eastAsia="zh-CN" w:bidi="ar-SA"/>
        </w:rPr>
      </w:pPr>
      <w:r>
        <w:rPr>
          <w:rFonts w:hint="eastAsia" w:cs="仿宋_GB2312"/>
          <w:bCs w:val="0"/>
          <w:kern w:val="0"/>
          <w:sz w:val="21"/>
          <w:szCs w:val="21"/>
          <w:highlight w:val="none"/>
          <w:lang w:val="en-US" w:eastAsia="zh-CN" w:bidi="ar-SA"/>
        </w:rPr>
        <w:t>最后报价一览表</w:t>
      </w:r>
    </w:p>
    <w:p w14:paraId="58037B55">
      <w:pPr>
        <w:pStyle w:val="118"/>
        <w:keepNext w:val="0"/>
        <w:keepLines w:val="0"/>
        <w:pageBreakBefore w:val="0"/>
        <w:widowControl w:val="0"/>
        <w:kinsoku/>
        <w:wordWrap/>
        <w:overflowPunct/>
        <w:topLinePunct w:val="0"/>
        <w:autoSpaceDE/>
        <w:autoSpaceDN/>
        <w:bidi w:val="0"/>
        <w:adjustRightInd w:val="0"/>
        <w:snapToGrid w:val="0"/>
        <w:spacing w:before="120" w:after="120" w:line="240" w:lineRule="auto"/>
        <w:jc w:val="both"/>
        <w:textAlignment w:val="auto"/>
        <w:outlineLvl w:val="9"/>
        <w:rPr>
          <w:rFonts w:hint="eastAsia" w:cs="仿宋_GB2312" w:asciiTheme="minorEastAsia" w:hAnsiTheme="minorEastAsia" w:eastAsiaTheme="minorEastAsia"/>
          <w:bCs w:val="0"/>
          <w:kern w:val="0"/>
          <w:sz w:val="21"/>
          <w:szCs w:val="21"/>
          <w:highlight w:val="none"/>
          <w:lang w:val="zh-CN" w:eastAsia="zh-CN" w:bidi="ar-SA"/>
        </w:rPr>
      </w:pPr>
      <w:r>
        <w:rPr>
          <w:rFonts w:hint="eastAsia" w:cs="仿宋_GB2312" w:asciiTheme="minorEastAsia" w:hAnsiTheme="minorEastAsia" w:eastAsiaTheme="minorEastAsia"/>
          <w:bCs w:val="0"/>
          <w:kern w:val="0"/>
          <w:sz w:val="21"/>
          <w:szCs w:val="21"/>
          <w:highlight w:val="none"/>
          <w:lang w:val="zh-CN" w:eastAsia="zh-CN" w:bidi="ar-SA"/>
        </w:rPr>
        <w:t>项目名称：                                                          项目编号：</w:t>
      </w:r>
    </w:p>
    <w:tbl>
      <w:tblPr>
        <w:tblStyle w:val="6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417"/>
        <w:gridCol w:w="1418"/>
        <w:gridCol w:w="1134"/>
        <w:gridCol w:w="992"/>
        <w:gridCol w:w="1276"/>
        <w:gridCol w:w="3118"/>
      </w:tblGrid>
      <w:tr w14:paraId="59DE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14:paraId="7BDADB86">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序号</w:t>
            </w:r>
          </w:p>
        </w:tc>
        <w:tc>
          <w:tcPr>
            <w:tcW w:w="4111" w:type="dxa"/>
            <w:vAlign w:val="center"/>
          </w:tcPr>
          <w:p w14:paraId="167B1FBB">
            <w:pPr>
              <w:spacing w:line="360" w:lineRule="auto"/>
              <w:ind w:firstLine="720"/>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货物/服务名称</w:t>
            </w:r>
          </w:p>
        </w:tc>
        <w:tc>
          <w:tcPr>
            <w:tcW w:w="1417" w:type="dxa"/>
            <w:vAlign w:val="center"/>
          </w:tcPr>
          <w:p w14:paraId="3B1FA436">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品牌</w:t>
            </w:r>
          </w:p>
        </w:tc>
        <w:tc>
          <w:tcPr>
            <w:tcW w:w="1418" w:type="dxa"/>
            <w:vAlign w:val="center"/>
          </w:tcPr>
          <w:p w14:paraId="3F5EE329">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规格型号</w:t>
            </w:r>
          </w:p>
        </w:tc>
        <w:tc>
          <w:tcPr>
            <w:tcW w:w="1134" w:type="dxa"/>
            <w:vAlign w:val="center"/>
          </w:tcPr>
          <w:p w14:paraId="579F4874">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数量</w:t>
            </w:r>
          </w:p>
        </w:tc>
        <w:tc>
          <w:tcPr>
            <w:tcW w:w="992" w:type="dxa"/>
            <w:vAlign w:val="center"/>
          </w:tcPr>
          <w:p w14:paraId="2C51AEC0">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单价</w:t>
            </w:r>
          </w:p>
        </w:tc>
        <w:tc>
          <w:tcPr>
            <w:tcW w:w="1276" w:type="dxa"/>
            <w:vAlign w:val="center"/>
          </w:tcPr>
          <w:p w14:paraId="56D5A102">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小计</w:t>
            </w:r>
          </w:p>
        </w:tc>
        <w:tc>
          <w:tcPr>
            <w:tcW w:w="3118" w:type="dxa"/>
            <w:vAlign w:val="center"/>
          </w:tcPr>
          <w:p w14:paraId="043D8558">
            <w:pPr>
              <w:spacing w:line="360" w:lineRule="auto"/>
              <w:ind w:firstLine="720"/>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备注（如有）</w:t>
            </w:r>
          </w:p>
        </w:tc>
      </w:tr>
      <w:tr w14:paraId="3DB0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vAlign w:val="center"/>
          </w:tcPr>
          <w:p w14:paraId="4BC596DF">
            <w:pPr>
              <w:spacing w:line="360" w:lineRule="auto"/>
              <w:jc w:val="center"/>
              <w:rPr>
                <w:rFonts w:hint="eastAsia" w:cs="仿宋_GB2312" w:asciiTheme="minorEastAsia" w:hAnsiTheme="minorEastAsia" w:eastAsiaTheme="minorEastAsia"/>
                <w:kern w:val="0"/>
                <w:szCs w:val="21"/>
                <w:highlight w:val="none"/>
                <w:lang w:val="en-US" w:eastAsia="zh-CN"/>
              </w:rPr>
            </w:pPr>
            <w:r>
              <w:rPr>
                <w:rFonts w:hint="eastAsia" w:cs="仿宋_GB2312" w:asciiTheme="minorEastAsia" w:hAnsiTheme="minorEastAsia" w:eastAsiaTheme="minorEastAsia"/>
                <w:kern w:val="0"/>
                <w:szCs w:val="21"/>
                <w:highlight w:val="none"/>
                <w:lang w:val="en-US" w:eastAsia="zh-CN"/>
              </w:rPr>
              <w:t>1</w:t>
            </w:r>
          </w:p>
        </w:tc>
        <w:tc>
          <w:tcPr>
            <w:tcW w:w="4111" w:type="dxa"/>
            <w:vAlign w:val="center"/>
          </w:tcPr>
          <w:p w14:paraId="7C8EA401">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5214A210">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666BA352">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719EA844">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6F38B700">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7D211797">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663BAEE1">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7F05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14:paraId="6E6239D5">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2</w:t>
            </w:r>
          </w:p>
        </w:tc>
        <w:tc>
          <w:tcPr>
            <w:tcW w:w="4111" w:type="dxa"/>
            <w:vAlign w:val="center"/>
          </w:tcPr>
          <w:p w14:paraId="51ED8309">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4B06A82C">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72AA6E75">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6C754400">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2A01299A">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0019AFDA">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5691442E">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6C60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14:paraId="1EA6941C">
            <w:pPr>
              <w:spacing w:line="360" w:lineRule="auto"/>
              <w:jc w:val="center"/>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w:t>
            </w:r>
          </w:p>
        </w:tc>
        <w:tc>
          <w:tcPr>
            <w:tcW w:w="4111" w:type="dxa"/>
            <w:vAlign w:val="center"/>
          </w:tcPr>
          <w:p w14:paraId="6A49AEC7">
            <w:pPr>
              <w:spacing w:line="360" w:lineRule="auto"/>
              <w:jc w:val="center"/>
              <w:rPr>
                <w:rFonts w:hint="eastAsia" w:cs="仿宋_GB2312" w:asciiTheme="minorEastAsia" w:hAnsiTheme="minorEastAsia" w:eastAsiaTheme="minorEastAsia"/>
                <w:kern w:val="0"/>
                <w:szCs w:val="21"/>
                <w:highlight w:val="none"/>
                <w:lang w:val="zh-CN"/>
              </w:rPr>
            </w:pPr>
          </w:p>
        </w:tc>
        <w:tc>
          <w:tcPr>
            <w:tcW w:w="1417" w:type="dxa"/>
            <w:vAlign w:val="center"/>
          </w:tcPr>
          <w:p w14:paraId="7FA40998">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418" w:type="dxa"/>
            <w:vAlign w:val="center"/>
          </w:tcPr>
          <w:p w14:paraId="7164479E">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134" w:type="dxa"/>
            <w:vAlign w:val="center"/>
          </w:tcPr>
          <w:p w14:paraId="7A1316EC">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992" w:type="dxa"/>
            <w:vAlign w:val="center"/>
          </w:tcPr>
          <w:p w14:paraId="7FF61347">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1276" w:type="dxa"/>
            <w:vAlign w:val="center"/>
          </w:tcPr>
          <w:p w14:paraId="055EDFEA">
            <w:pPr>
              <w:spacing w:line="360" w:lineRule="auto"/>
              <w:ind w:firstLine="720"/>
              <w:jc w:val="center"/>
              <w:rPr>
                <w:rFonts w:hint="eastAsia" w:cs="仿宋_GB2312" w:asciiTheme="minorEastAsia" w:hAnsiTheme="minorEastAsia" w:eastAsiaTheme="minorEastAsia"/>
                <w:kern w:val="0"/>
                <w:szCs w:val="21"/>
                <w:highlight w:val="none"/>
                <w:lang w:val="zh-CN"/>
              </w:rPr>
            </w:pPr>
          </w:p>
        </w:tc>
        <w:tc>
          <w:tcPr>
            <w:tcW w:w="3118" w:type="dxa"/>
            <w:vAlign w:val="center"/>
          </w:tcPr>
          <w:p w14:paraId="3A5CE402">
            <w:pPr>
              <w:spacing w:line="360" w:lineRule="auto"/>
              <w:ind w:firstLine="720"/>
              <w:jc w:val="center"/>
              <w:rPr>
                <w:rFonts w:hint="eastAsia" w:cs="仿宋_GB2312" w:asciiTheme="minorEastAsia" w:hAnsiTheme="minorEastAsia" w:eastAsiaTheme="minorEastAsia"/>
                <w:kern w:val="0"/>
                <w:szCs w:val="21"/>
                <w:highlight w:val="none"/>
                <w:lang w:val="zh-CN"/>
              </w:rPr>
            </w:pPr>
          </w:p>
        </w:tc>
      </w:tr>
      <w:tr w14:paraId="563B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63" w:type="dxa"/>
            <w:gridSpan w:val="4"/>
            <w:vAlign w:val="center"/>
          </w:tcPr>
          <w:p w14:paraId="338EE93F">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履约期限</w:t>
            </w:r>
          </w:p>
        </w:tc>
        <w:tc>
          <w:tcPr>
            <w:tcW w:w="6520" w:type="dxa"/>
            <w:gridSpan w:val="4"/>
            <w:vAlign w:val="center"/>
          </w:tcPr>
          <w:p w14:paraId="12FDED74">
            <w:pPr>
              <w:spacing w:line="360" w:lineRule="auto"/>
              <w:ind w:firstLine="720"/>
              <w:rPr>
                <w:rFonts w:hint="eastAsia" w:cs="仿宋_GB2312" w:asciiTheme="minorEastAsia" w:hAnsiTheme="minorEastAsia" w:eastAsiaTheme="minorEastAsia"/>
                <w:kern w:val="0"/>
                <w:szCs w:val="21"/>
                <w:highlight w:val="none"/>
                <w:lang w:val="zh-CN"/>
              </w:rPr>
            </w:pPr>
          </w:p>
        </w:tc>
      </w:tr>
      <w:tr w14:paraId="17A0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63" w:type="dxa"/>
            <w:gridSpan w:val="4"/>
            <w:vMerge w:val="restart"/>
            <w:vAlign w:val="center"/>
          </w:tcPr>
          <w:p w14:paraId="3328C48F">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投标总报价</w:t>
            </w:r>
          </w:p>
        </w:tc>
        <w:tc>
          <w:tcPr>
            <w:tcW w:w="6520" w:type="dxa"/>
            <w:gridSpan w:val="4"/>
            <w:vAlign w:val="center"/>
          </w:tcPr>
          <w:p w14:paraId="20D9E1BE">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小写：</w:t>
            </w:r>
          </w:p>
        </w:tc>
      </w:tr>
      <w:tr w14:paraId="0AFE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763" w:type="dxa"/>
            <w:gridSpan w:val="4"/>
            <w:vMerge w:val="continue"/>
            <w:vAlign w:val="center"/>
          </w:tcPr>
          <w:p w14:paraId="23506017">
            <w:pPr>
              <w:spacing w:line="360" w:lineRule="auto"/>
              <w:ind w:firstLine="720"/>
              <w:rPr>
                <w:rFonts w:hint="eastAsia" w:cs="仿宋_GB2312" w:asciiTheme="minorEastAsia" w:hAnsiTheme="minorEastAsia" w:eastAsiaTheme="minorEastAsia"/>
                <w:kern w:val="0"/>
                <w:szCs w:val="21"/>
                <w:highlight w:val="none"/>
                <w:lang w:val="zh-CN"/>
              </w:rPr>
            </w:pPr>
          </w:p>
        </w:tc>
        <w:tc>
          <w:tcPr>
            <w:tcW w:w="6520" w:type="dxa"/>
            <w:gridSpan w:val="4"/>
            <w:vAlign w:val="center"/>
          </w:tcPr>
          <w:p w14:paraId="22BC1D2D">
            <w:pPr>
              <w:spacing w:line="360" w:lineRule="auto"/>
              <w:ind w:firstLine="720"/>
              <w:rPr>
                <w:rFonts w:hint="eastAsia" w:cs="仿宋_GB2312" w:asciiTheme="minorEastAsia" w:hAnsiTheme="minorEastAsia" w:eastAsiaTheme="minorEastAsia"/>
                <w:kern w:val="0"/>
                <w:szCs w:val="21"/>
                <w:highlight w:val="none"/>
                <w:lang w:val="zh-CN"/>
              </w:rPr>
            </w:pPr>
            <w:r>
              <w:rPr>
                <w:rFonts w:hint="eastAsia" w:cs="仿宋_GB2312" w:asciiTheme="minorEastAsia" w:hAnsiTheme="minorEastAsia" w:eastAsiaTheme="minorEastAsia"/>
                <w:kern w:val="0"/>
                <w:szCs w:val="21"/>
                <w:highlight w:val="none"/>
                <w:lang w:val="zh-CN"/>
              </w:rPr>
              <w:t>大写：</w:t>
            </w:r>
          </w:p>
        </w:tc>
      </w:tr>
    </w:tbl>
    <w:p w14:paraId="060D9C56">
      <w:pPr>
        <w:snapToGrid w:val="0"/>
        <w:spacing w:line="360" w:lineRule="auto"/>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r>
        <w:rPr>
          <w:rFonts w:ascii="宋体" w:hAnsi="宋体" w:cs="宋体"/>
          <w:b/>
          <w:color w:val="auto"/>
          <w:kern w:val="0"/>
          <w:szCs w:val="21"/>
          <w:highlight w:val="none"/>
          <w:lang w:val="zh-CN"/>
        </w:rPr>
        <w:t xml:space="preserve"> </w:t>
      </w:r>
      <w:r>
        <w:rPr>
          <w:rFonts w:hint="eastAsia" w:ascii="宋体" w:hAnsi="宋体" w:cs="宋体"/>
          <w:bCs/>
          <w:color w:val="auto"/>
          <w:kern w:val="0"/>
          <w:szCs w:val="21"/>
          <w:highlight w:val="none"/>
          <w:lang w:val="zh-CN"/>
        </w:rPr>
        <w:t>1、</w:t>
      </w:r>
      <w:r>
        <w:rPr>
          <w:rFonts w:hint="eastAsia" w:ascii="宋体" w:hAnsi="宋体"/>
          <w:bCs/>
          <w:color w:val="auto"/>
          <w:szCs w:val="21"/>
          <w:highlight w:val="none"/>
        </w:rPr>
        <w:t>报价一经涂改，应在涂改处加盖单位公章或者由法定代表人或授权委托人签名或盖章，否则其投标作无效标处理。</w:t>
      </w:r>
      <w:r>
        <w:rPr>
          <w:rFonts w:hint="eastAsia" w:ascii="宋体" w:hAnsi="宋体" w:cs="宋体"/>
          <w:bCs/>
          <w:color w:val="auto"/>
          <w:kern w:val="0"/>
          <w:szCs w:val="21"/>
          <w:highlight w:val="none"/>
          <w:lang w:val="zh-CN"/>
        </w:rPr>
        <w:t>投标人需按本表格式填写，</w:t>
      </w:r>
      <w:r>
        <w:rPr>
          <w:rFonts w:hint="eastAsia" w:ascii="宋体" w:hAnsi="宋体" w:cs="宋体"/>
          <w:bCs/>
          <w:color w:val="auto"/>
          <w:kern w:val="0"/>
          <w:szCs w:val="21"/>
          <w:highlight w:val="none"/>
        </w:rPr>
        <w:t>否则视为</w:t>
      </w:r>
      <w:r>
        <w:rPr>
          <w:rFonts w:hint="eastAsia" w:ascii="宋体" w:hAnsi="宋体" w:cs="宋体"/>
          <w:bCs/>
          <w:color w:val="auto"/>
          <w:szCs w:val="21"/>
          <w:highlight w:val="none"/>
        </w:rPr>
        <w:t>投标文件含有采购人不能接受的附加条件，投标无效</w:t>
      </w:r>
      <w:r>
        <w:rPr>
          <w:rFonts w:hint="eastAsia" w:ascii="宋体" w:hAnsi="宋体" w:cs="宋体"/>
          <w:bCs/>
          <w:color w:val="auto"/>
          <w:kern w:val="0"/>
          <w:szCs w:val="21"/>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Cs/>
          <w:color w:val="auto"/>
          <w:kern w:val="0"/>
          <w:szCs w:val="21"/>
          <w:highlight w:val="none"/>
        </w:rPr>
        <w:t>否则视为</w:t>
      </w:r>
      <w:r>
        <w:rPr>
          <w:rFonts w:hint="eastAsia" w:ascii="宋体" w:hAnsi="宋体" w:cs="宋体"/>
          <w:bCs/>
          <w:color w:val="auto"/>
          <w:szCs w:val="21"/>
          <w:highlight w:val="none"/>
        </w:rPr>
        <w:t>投标文件含有采购人不能接受的附加条件，投标无效</w:t>
      </w:r>
      <w:r>
        <w:rPr>
          <w:rFonts w:hint="eastAsia" w:ascii="宋体" w:hAnsi="宋体" w:cs="宋体"/>
          <w:bCs/>
          <w:color w:val="auto"/>
          <w:kern w:val="0"/>
          <w:szCs w:val="21"/>
          <w:highlight w:val="none"/>
          <w:lang w:val="zh-CN"/>
        </w:rPr>
        <w:t>；采购内容未包含在《开标一览表（报价表）》名称栏中，投标人不能作出合理解释的，</w:t>
      </w:r>
      <w:r>
        <w:rPr>
          <w:rFonts w:hint="eastAsia" w:ascii="宋体" w:hAnsi="宋体" w:cs="宋体"/>
          <w:bCs/>
          <w:color w:val="auto"/>
          <w:kern w:val="0"/>
          <w:szCs w:val="21"/>
          <w:highlight w:val="none"/>
        </w:rPr>
        <w:t>视为</w:t>
      </w:r>
      <w:r>
        <w:rPr>
          <w:rFonts w:hint="eastAsia" w:ascii="宋体" w:hAnsi="宋体" w:cs="宋体"/>
          <w:bCs/>
          <w:color w:val="auto"/>
          <w:szCs w:val="21"/>
          <w:highlight w:val="none"/>
        </w:rPr>
        <w:t>投标文件含有采购人不能接受的附加条件的，投标无效。</w:t>
      </w: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3、特别提示：采购代理机构将对项目名称和项目编号，中标供应商名称、地址和中标金额，主要中标标的名称、品牌（如果有）、规格型号、数量、单价等予以公示。</w:t>
      </w:r>
    </w:p>
    <w:p w14:paraId="0D9EF64B">
      <w:pPr>
        <w:autoSpaceDE w:val="0"/>
        <w:autoSpaceDN w:val="0"/>
        <w:spacing w:line="360" w:lineRule="auto"/>
        <w:ind w:left="9240" w:leftChars="4400" w:firstLine="0" w:firstLineChars="0"/>
        <w:jc w:val="left"/>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投标人名称（电子签章）：                                                                                                                                                                                                          日期：   年   月   日</w:t>
      </w:r>
    </w:p>
    <w:p w14:paraId="530D7151">
      <w:pPr>
        <w:spacing w:line="360" w:lineRule="auto"/>
        <w:ind w:right="-874" w:rightChars="-416"/>
        <w:rPr>
          <w:rFonts w:hint="eastAsia" w:cs="仿宋_GB2312" w:asciiTheme="minorEastAsia" w:hAnsiTheme="minorEastAsia" w:eastAsiaTheme="minorEastAsia"/>
          <w:kern w:val="0"/>
          <w:szCs w:val="21"/>
          <w:highlight w:val="none"/>
        </w:rPr>
      </w:pPr>
    </w:p>
    <w:p w14:paraId="756F1A65">
      <w:pPr>
        <w:pStyle w:val="118"/>
        <w:rPr>
          <w:rFonts w:hint="eastAsia" w:cs="宋体"/>
          <w:b/>
          <w:bCs w:val="0"/>
          <w:sz w:val="32"/>
          <w:szCs w:val="32"/>
          <w:highlight w:val="none"/>
        </w:rPr>
      </w:pPr>
    </w:p>
    <w:p w14:paraId="42547EDE">
      <w:pPr>
        <w:autoSpaceDE w:val="0"/>
        <w:autoSpaceDN w:val="0"/>
        <w:jc w:val="left"/>
        <w:rPr>
          <w:rFonts w:hint="eastAsia"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其他</w:t>
      </w:r>
    </w:p>
    <w:p w14:paraId="3E93E3E3">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政府采购活动现场确认声明书</w:t>
      </w:r>
    </w:p>
    <w:p w14:paraId="4A9A621E">
      <w:pPr>
        <w:adjustRightInd/>
        <w:snapToGrid w:val="0"/>
        <w:spacing w:line="360" w:lineRule="auto"/>
        <w:rPr>
          <w:rFonts w:hint="eastAsia" w:ascii="宋体" w:hAnsi="宋体" w:cs="宋体"/>
          <w:spacing w:val="6"/>
          <w:szCs w:val="21"/>
          <w:highlight w:val="none"/>
        </w:rPr>
      </w:pPr>
      <w:r>
        <w:rPr>
          <w:rFonts w:hint="eastAsia" w:ascii="宋体" w:hAnsi="宋体" w:cs="宋体"/>
          <w:spacing w:val="6"/>
          <w:szCs w:val="21"/>
          <w:highlight w:val="none"/>
          <w:u w:val="single"/>
        </w:rPr>
        <w:t>宁波市科翔工程项目管理有限公司</w:t>
      </w:r>
      <w:r>
        <w:rPr>
          <w:rFonts w:hint="eastAsia" w:ascii="宋体" w:hAnsi="宋体" w:cs="宋体"/>
          <w:spacing w:val="6"/>
          <w:szCs w:val="21"/>
          <w:highlight w:val="none"/>
        </w:rPr>
        <w:t>：</w:t>
      </w:r>
    </w:p>
    <w:p w14:paraId="1FB2ECE5">
      <w:pPr>
        <w:adjustRightInd/>
        <w:snapToGrid w:val="0"/>
        <w:spacing w:line="360" w:lineRule="auto"/>
        <w:ind w:firstLine="444" w:firstLineChars="200"/>
        <w:rPr>
          <w:rFonts w:hint="eastAsia" w:ascii="宋体" w:hAnsi="宋体" w:cs="宋体"/>
          <w:spacing w:val="6"/>
          <w:szCs w:val="21"/>
          <w:highlight w:val="none"/>
        </w:rPr>
      </w:pPr>
      <w:r>
        <w:rPr>
          <w:rFonts w:hint="eastAsia" w:ascii="宋体" w:hAnsi="宋体" w:cs="宋体"/>
          <w:spacing w:val="6"/>
          <w:szCs w:val="21"/>
          <w:highlight w:val="none"/>
        </w:rPr>
        <w:t>本人</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（授权代表姓名），经由</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（法定代表人姓名）合法授权参加</w:t>
      </w:r>
      <w:r>
        <w:rPr>
          <w:rFonts w:hint="eastAsia" w:ascii="宋体" w:hAnsi="宋体" w:cs="宋体"/>
          <w:spacing w:val="6"/>
          <w:szCs w:val="21"/>
          <w:highlight w:val="none"/>
          <w:u w:val="single"/>
        </w:rPr>
        <w:t xml:space="preserve">          （项目名称）           </w:t>
      </w:r>
      <w:r>
        <w:rPr>
          <w:rFonts w:hint="eastAsia" w:ascii="宋体" w:hAnsi="宋体" w:cs="宋体"/>
          <w:spacing w:val="6"/>
          <w:szCs w:val="21"/>
          <w:highlight w:val="none"/>
        </w:rPr>
        <w:t>（项目编号：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 xml:space="preserve">）政府采购活动，经与本单位法人代表（负责人）联系确认，现就有关公平竞争事项郑重声明如下： </w:t>
      </w:r>
    </w:p>
    <w:p w14:paraId="2E36D86C">
      <w:pPr>
        <w:widowControl/>
        <w:numPr>
          <w:ilvl w:val="0"/>
          <w:numId w:val="15"/>
        </w:num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本单位与采购人之间 （不存在利害关系 □存在下列利害关系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91968CD">
      <w:pPr>
        <w:widowControl/>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A.投资关系    B.行政隶属关系    C.业务指导关系</w:t>
      </w:r>
    </w:p>
    <w:p w14:paraId="2ED6317A">
      <w:pPr>
        <w:widowControl/>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D.其他可能</w:t>
      </w:r>
      <w:r>
        <w:rPr>
          <w:rFonts w:hint="eastAsia" w:ascii="宋体" w:hAnsi="宋体" w:cs="宋体"/>
          <w:szCs w:val="21"/>
          <w:highlight w:val="none"/>
        </w:rPr>
        <w:t>影响采购公正的</w:t>
      </w:r>
      <w:r>
        <w:rPr>
          <w:rFonts w:hint="eastAsia" w:ascii="宋体" w:hAnsi="宋体" w:cs="宋体"/>
          <w:kern w:val="0"/>
          <w:szCs w:val="21"/>
          <w:highlight w:val="none"/>
        </w:rPr>
        <w:t xml:space="preserve">利害关系（如有，请如实说明）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6A34E737">
      <w:pPr>
        <w:widowControl/>
        <w:numPr>
          <w:ilvl w:val="0"/>
          <w:numId w:val="15"/>
        </w:num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（供应商名称）之间存在下列利害关系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A971747">
      <w:p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A.法定代表人或负责人或实际控制人是同一人</w:t>
      </w:r>
    </w:p>
    <w:p w14:paraId="6164C0A7">
      <w:pPr>
        <w:adjustRightInd/>
        <w:snapToGrid w:val="0"/>
        <w:spacing w:line="360" w:lineRule="auto"/>
        <w:ind w:firstLine="420" w:firstLineChars="200"/>
        <w:rPr>
          <w:rFonts w:hint="eastAsia" w:ascii="宋体" w:hAnsi="宋体" w:cs="宋体"/>
          <w:spacing w:val="6"/>
          <w:szCs w:val="21"/>
          <w:highlight w:val="none"/>
        </w:rPr>
      </w:pPr>
      <w:r>
        <w:rPr>
          <w:rFonts w:hint="eastAsia" w:ascii="宋体" w:hAnsi="宋体" w:cs="宋体"/>
          <w:kern w:val="0"/>
          <w:szCs w:val="21"/>
          <w:highlight w:val="none"/>
        </w:rPr>
        <w:t>B.法定代表人或负责人或实际控制人是夫妻关系</w:t>
      </w:r>
    </w:p>
    <w:p w14:paraId="713FB9E8">
      <w:pPr>
        <w:adjustRightInd/>
        <w:snapToGrid w:val="0"/>
        <w:spacing w:line="360" w:lineRule="auto"/>
        <w:ind w:firstLine="420" w:firstLineChars="200"/>
        <w:rPr>
          <w:rFonts w:hint="eastAsia" w:ascii="宋体" w:hAnsi="宋体" w:cs="宋体"/>
          <w:spacing w:val="6"/>
          <w:szCs w:val="21"/>
          <w:highlight w:val="none"/>
        </w:rPr>
      </w:pPr>
      <w:r>
        <w:rPr>
          <w:rFonts w:hint="eastAsia" w:ascii="宋体" w:hAnsi="宋体" w:cs="宋体"/>
          <w:kern w:val="0"/>
          <w:szCs w:val="21"/>
          <w:highlight w:val="none"/>
        </w:rPr>
        <w:t>C.法定代表人或负责人或实际控制人是直系血亲关系</w:t>
      </w:r>
    </w:p>
    <w:p w14:paraId="34CBE10F">
      <w:pPr>
        <w:adjustRightInd/>
        <w:snapToGrid w:val="0"/>
        <w:spacing w:line="360" w:lineRule="auto"/>
        <w:ind w:firstLine="420" w:firstLineChars="200"/>
        <w:rPr>
          <w:rFonts w:hint="eastAsia" w:ascii="宋体" w:hAnsi="宋体" w:cs="宋体"/>
          <w:spacing w:val="6"/>
          <w:szCs w:val="21"/>
          <w:highlight w:val="none"/>
        </w:rPr>
      </w:pPr>
      <w:r>
        <w:rPr>
          <w:rFonts w:hint="eastAsia" w:ascii="宋体" w:hAnsi="宋体" w:cs="宋体"/>
          <w:kern w:val="0"/>
          <w:szCs w:val="21"/>
          <w:highlight w:val="none"/>
        </w:rPr>
        <w:t>D.法定代表人或负责人或实际控制人存在三代以内旁系血亲关系</w:t>
      </w:r>
    </w:p>
    <w:p w14:paraId="0C85C5F5">
      <w:p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E.法定代表人或负责人或实际控制人存在近姻亲关系</w:t>
      </w:r>
    </w:p>
    <w:p w14:paraId="030802C0">
      <w:p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F.法定代表人或负责人或实际控制人存在股份控制或实际控制关系</w:t>
      </w:r>
    </w:p>
    <w:p w14:paraId="655E42CF">
      <w:p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G.存在共同直接或间接投资设立子公司、联营企业和合营企业情况</w:t>
      </w:r>
    </w:p>
    <w:p w14:paraId="6C35EED8">
      <w:pPr>
        <w:adjustRightInd/>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H.存在分级代理或代销关系、同一生产制造商关系、</w:t>
      </w:r>
      <w:r>
        <w:rPr>
          <w:rFonts w:hint="eastAsia" w:ascii="宋体" w:hAnsi="宋体" w:cs="宋体"/>
          <w:szCs w:val="21"/>
          <w:highlight w:val="none"/>
        </w:rPr>
        <w:t>管理关系、重要业务（占主营业务收入50%以上）或重要财务往来关系（如融资）等其他实质性控制关系</w:t>
      </w:r>
    </w:p>
    <w:p w14:paraId="6C18B7AC">
      <w:pPr>
        <w:adjustRightInd/>
        <w:snapToGrid w:val="0"/>
        <w:spacing w:line="360" w:lineRule="auto"/>
        <w:ind w:firstLine="420" w:firstLineChars="200"/>
        <w:rPr>
          <w:rFonts w:hint="eastAsia" w:ascii="宋体" w:hAnsi="宋体" w:cs="宋体"/>
          <w:spacing w:val="6"/>
          <w:szCs w:val="21"/>
          <w:highlight w:val="none"/>
        </w:rPr>
      </w:pPr>
      <w:r>
        <w:rPr>
          <w:rFonts w:hint="eastAsia" w:ascii="宋体" w:hAnsi="宋体" w:cs="宋体"/>
          <w:szCs w:val="21"/>
          <w:highlight w:val="none"/>
        </w:rPr>
        <w:t>I</w:t>
      </w:r>
      <w:r>
        <w:rPr>
          <w:rFonts w:hint="eastAsia" w:ascii="宋体" w:hAnsi="宋体" w:cs="宋体"/>
          <w:kern w:val="0"/>
          <w:szCs w:val="21"/>
          <w:highlight w:val="none"/>
        </w:rPr>
        <w:t>.</w:t>
      </w:r>
      <w:r>
        <w:rPr>
          <w:rFonts w:hint="eastAsia" w:ascii="宋体" w:hAnsi="宋体" w:cs="宋体"/>
          <w:szCs w:val="21"/>
          <w:highlight w:val="none"/>
        </w:rPr>
        <w:t>其他利害关系情况</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14:paraId="0B4B2E35">
      <w:pPr>
        <w:widowControl/>
        <w:numPr>
          <w:ilvl w:val="0"/>
          <w:numId w:val="16"/>
        </w:num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14:paraId="5E38704F">
      <w:pPr>
        <w:widowControl/>
        <w:numPr>
          <w:ilvl w:val="0"/>
          <w:numId w:val="16"/>
        </w:numPr>
        <w:adjustRightInd/>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我发现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项利害关系。</w:t>
      </w:r>
    </w:p>
    <w:p w14:paraId="3639645C">
      <w:pPr>
        <w:adjustRightInd/>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（供应商代表签名）：</w:t>
      </w:r>
    </w:p>
    <w:p w14:paraId="52CBF935">
      <w:pPr>
        <w:adjustRightInd/>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 xml:space="preserve">                                    2025年  月  日（请填写磋商日当天日期）</w:t>
      </w:r>
    </w:p>
    <w:p w14:paraId="762453A5">
      <w:pPr>
        <w:adjustRightInd/>
        <w:rPr>
          <w:rFonts w:hint="eastAsia" w:ascii="宋体" w:hAnsi="宋体" w:cs="宋体"/>
          <w:b/>
          <w:bCs/>
          <w:szCs w:val="21"/>
          <w:highlight w:val="none"/>
        </w:rPr>
      </w:pPr>
      <w:r>
        <w:rPr>
          <w:rFonts w:hint="eastAsia" w:ascii="宋体" w:hAnsi="宋体" w:cs="宋体"/>
          <w:b/>
          <w:bCs/>
          <w:szCs w:val="21"/>
          <w:highlight w:val="none"/>
        </w:rPr>
        <w:t>说明：（1）供应商解密响应文件及获知其他供应商信息后进行如实声明并盖章或授权代表签名后，以扫描件形式通过邮件方式发送至邮箱：</w:t>
      </w:r>
      <w:r>
        <w:rPr>
          <w:rFonts w:ascii="宋体" w:hAnsi="宋体" w:cs="宋体"/>
          <w:b/>
          <w:bCs/>
          <w:szCs w:val="21"/>
          <w:highlight w:val="none"/>
          <w:u w:val="single"/>
        </w:rPr>
        <w:t>240612330</w:t>
      </w:r>
      <w:r>
        <w:rPr>
          <w:rFonts w:hint="eastAsia" w:ascii="宋体" w:hAnsi="宋体" w:cs="宋体"/>
          <w:b/>
          <w:bCs/>
          <w:szCs w:val="21"/>
          <w:highlight w:val="none"/>
          <w:u w:val="single"/>
        </w:rPr>
        <w:t>@qq.com</w:t>
      </w:r>
      <w:r>
        <w:rPr>
          <w:rFonts w:hint="eastAsia" w:ascii="宋体" w:hAnsi="宋体" w:cs="宋体"/>
          <w:b/>
          <w:bCs/>
          <w:szCs w:val="21"/>
          <w:highlight w:val="none"/>
        </w:rPr>
        <w:t>。</w:t>
      </w:r>
    </w:p>
    <w:p w14:paraId="6AA9E8A2">
      <w:pPr>
        <w:adjustRightInd/>
        <w:ind w:firstLine="422" w:firstLineChars="200"/>
        <w:rPr>
          <w:rFonts w:hint="eastAsia" w:ascii="宋体" w:hAnsi="宋体" w:cs="宋体"/>
          <w:b/>
          <w:bCs/>
          <w:szCs w:val="21"/>
          <w:highlight w:val="none"/>
        </w:rPr>
      </w:pPr>
      <w:r>
        <w:rPr>
          <w:rFonts w:hint="eastAsia" w:ascii="宋体" w:hAnsi="宋体" w:cs="宋体"/>
          <w:b/>
          <w:bCs/>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kern w:val="0"/>
          <w:szCs w:val="21"/>
          <w:highlight w:val="none"/>
        </w:rPr>
        <w:t>□不存在利害关系</w:t>
      </w:r>
      <w:r>
        <w:rPr>
          <w:rFonts w:hint="eastAsia" w:ascii="宋体" w:hAnsi="宋体" w:cs="宋体"/>
          <w:b/>
          <w:bCs/>
          <w:szCs w:val="21"/>
          <w:highlight w:val="none"/>
        </w:rPr>
        <w:t>”</w:t>
      </w:r>
      <w:r>
        <w:rPr>
          <w:rFonts w:hint="eastAsia" w:ascii="宋体" w:hAnsi="宋体" w:cs="宋体"/>
          <w:b/>
          <w:bCs/>
          <w:kern w:val="0"/>
          <w:szCs w:val="21"/>
          <w:highlight w:val="none"/>
        </w:rPr>
        <w:t>打钩，二中的</w:t>
      </w:r>
      <w:r>
        <w:rPr>
          <w:rFonts w:hint="eastAsia" w:ascii="宋体" w:hAnsi="宋体" w:cs="宋体"/>
          <w:b/>
          <w:bCs/>
          <w:szCs w:val="21"/>
          <w:highlight w:val="none"/>
        </w:rPr>
        <w:t>“</w:t>
      </w:r>
      <w:r>
        <w:rPr>
          <w:rFonts w:hint="eastAsia" w:ascii="宋体" w:hAnsi="宋体" w:cs="宋体"/>
          <w:b/>
          <w:bCs/>
          <w:kern w:val="0"/>
          <w:szCs w:val="21"/>
          <w:highlight w:val="none"/>
        </w:rPr>
        <w:t>□与其他所有供应商之间均不存在利害关系</w:t>
      </w:r>
      <w:r>
        <w:rPr>
          <w:rFonts w:hint="eastAsia" w:ascii="宋体" w:hAnsi="宋体" w:cs="宋体"/>
          <w:b/>
          <w:bCs/>
          <w:szCs w:val="21"/>
          <w:highlight w:val="none"/>
        </w:rPr>
        <w:t>”</w:t>
      </w:r>
      <w:r>
        <w:rPr>
          <w:rFonts w:hint="eastAsia" w:ascii="宋体" w:hAnsi="宋体" w:cs="宋体"/>
          <w:b/>
          <w:bCs/>
          <w:kern w:val="0"/>
          <w:szCs w:val="21"/>
          <w:highlight w:val="none"/>
        </w:rPr>
        <w:t>打钩</w:t>
      </w:r>
      <w:r>
        <w:rPr>
          <w:rFonts w:hint="eastAsia" w:ascii="宋体" w:hAnsi="宋体" w:cs="宋体"/>
          <w:b/>
          <w:bCs/>
          <w:szCs w:val="21"/>
          <w:highlight w:val="none"/>
        </w:rPr>
        <w:t>，四中的2个下划线用斜杠“/”划掉。</w:t>
      </w:r>
    </w:p>
    <w:p w14:paraId="134E8D42">
      <w:pPr>
        <w:spacing w:line="360" w:lineRule="auto"/>
        <w:ind w:firstLine="422" w:firstLineChars="200"/>
        <w:rPr>
          <w:rFonts w:hint="eastAsia" w:ascii="宋体" w:hAnsi="宋体" w:cs="宋体"/>
          <w:b/>
          <w:szCs w:val="21"/>
          <w:highlight w:val="none"/>
        </w:rPr>
      </w:pPr>
      <w:r>
        <w:rPr>
          <w:rFonts w:hint="eastAsia" w:ascii="宋体" w:hAnsi="宋体" w:cs="宋体"/>
          <w:b/>
          <w:bCs/>
          <w:szCs w:val="21"/>
          <w:highlight w:val="none"/>
        </w:rPr>
        <w:t>（3）此声明书非响应文件的组成内容，无需编入响应文件中。</w:t>
      </w:r>
    </w:p>
    <w:p w14:paraId="478DE0DD">
      <w:pPr>
        <w:spacing w:line="360" w:lineRule="auto"/>
        <w:rPr>
          <w:rFonts w:hint="eastAsia" w:cs="仿宋_GB2312" w:asciiTheme="minorEastAsia" w:hAnsiTheme="minorEastAsia" w:eastAsiaTheme="minorEastAsia"/>
          <w:b/>
          <w:sz w:val="24"/>
          <w:highlight w:val="none"/>
        </w:rPr>
      </w:pPr>
    </w:p>
    <w:sectPr>
      <w:headerReference r:id="rId14" w:type="first"/>
      <w:footerReference r:id="rId16" w:type="first"/>
      <w:headerReference r:id="rId13" w:type="default"/>
      <w:footerReference r:id="rId15"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50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ED21">
    <w:pPr>
      <w:pStyle w:val="40"/>
      <w:framePr w:wrap="around" w:vAnchor="text" w:hAnchor="margin" w:xAlign="right" w:y="1"/>
      <w:rPr>
        <w:rStyle w:val="66"/>
      </w:rPr>
    </w:pPr>
    <w:r>
      <w:fldChar w:fldCharType="begin"/>
    </w:r>
    <w:r>
      <w:rPr>
        <w:rStyle w:val="66"/>
      </w:rPr>
      <w:instrText xml:space="preserve">PAGE  </w:instrText>
    </w:r>
    <w:r>
      <w:fldChar w:fldCharType="end"/>
    </w:r>
  </w:p>
  <w:p w14:paraId="302CD67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63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786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30B18">
    <w:pPr>
      <w:pStyle w:val="40"/>
      <w:framePr w:wrap="around" w:vAnchor="text" w:hAnchor="margin" w:xAlign="right" w:y="1"/>
      <w:rPr>
        <w:rStyle w:val="66"/>
      </w:rPr>
    </w:pPr>
    <w:r>
      <w:fldChar w:fldCharType="begin"/>
    </w:r>
    <w:r>
      <w:rPr>
        <w:rStyle w:val="66"/>
      </w:rPr>
      <w:instrText xml:space="preserve">PAGE  </w:instrText>
    </w:r>
    <w:r>
      <w:fldChar w:fldCharType="end"/>
    </w:r>
  </w:p>
  <w:p w14:paraId="33FD4B02">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8FA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5B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1C1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194" w:name="_Toc91899912"/>
    <w:bookmarkStart w:id="195" w:name="_Toc164085800"/>
    <w:bookmarkStart w:id="196" w:name="_Toc36110187"/>
    <w:bookmarkStart w:id="197" w:name="_Toc131845147"/>
    <w:r>
      <w:rPr>
        <w:rFonts w:hint="eastAsia" w:ascii="仿宋_GB2312" w:eastAsia="仿宋_GB2312"/>
        <w:kern w:val="0"/>
        <w:szCs w:val="21"/>
      </w:rPr>
      <w:t xml:space="preserve"> 页</w:t>
    </w:r>
    <w:bookmarkEnd w:id="194"/>
    <w:bookmarkEnd w:id="195"/>
    <w:bookmarkEnd w:id="196"/>
    <w:bookmarkEnd w:id="19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F8A2">
    <w:pPr>
      <w:pStyle w:val="59"/>
      <w:ind w:firstLine="180" w:firstLineChars="100"/>
      <w:jc w:val="both"/>
      <w:rPr>
        <w:rFonts w:ascii="仿宋_GB2312" w:eastAsia="仿宋_GB2312"/>
        <w:b w:val="0"/>
        <w:iCs/>
        <w:sz w:val="18"/>
        <w:u w:val="single"/>
      </w:rPr>
    </w:pPr>
    <w:r>
      <w:rPr>
        <w:rFonts w:hint="eastAsia" w:eastAsia="仿宋_GB2312"/>
        <w:b w:val="0"/>
        <w:i/>
        <w:sz w:val="18"/>
        <w:u w:val="single"/>
      </w:rPr>
      <w:t xml:space="preserve">                                                                      </w:t>
    </w:r>
    <w:r>
      <w:rPr>
        <w:rFonts w:hint="eastAsia" w:eastAsia="仿宋_GB2312"/>
        <w:b w:val="0"/>
        <w:iCs/>
        <w:sz w:val="18"/>
        <w:u w:val="single"/>
      </w:rPr>
      <w:t>政府采购竞争性磋商文件</w:t>
    </w:r>
    <w:r>
      <w:rPr>
        <w:rFonts w:hint="eastAsia"/>
        <w:b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E4ED">
    <w:pPr>
      <w:pStyle w:val="41"/>
      <w:jc w:val="right"/>
      <w:rPr>
        <w:rFonts w:eastAsia="仿宋_GB2312"/>
        <w:iCs/>
      </w:rPr>
    </w:pPr>
    <w:r>
      <w:rPr>
        <w:rFonts w:hint="eastAsia" w:eastAsia="仿宋_GB2312"/>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CE8A">
    <w:pPr>
      <w:pStyle w:val="41"/>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B619">
    <w:pPr>
      <w:pStyle w:val="41"/>
      <w:jc w:val="right"/>
      <w:rPr>
        <w:rFonts w:eastAsia="仿宋_GB2312"/>
      </w:rPr>
    </w:pPr>
    <w:r>
      <w:rPr>
        <w:rFonts w:hint="eastAsia" w:eastAsia="仿宋_GB2312"/>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287B">
    <w:pPr>
      <w:pStyle w:val="41"/>
      <w:jc w:val="right"/>
      <w:rPr>
        <w:rFonts w:eastAsia="仿宋_GB2312"/>
      </w:rPr>
    </w:pPr>
    <w:r>
      <w:rPr>
        <w:rFonts w:hint="eastAsia" w:eastAsia="仿宋_GB2312"/>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0224">
    <w:pPr>
      <w:pStyle w:val="41"/>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1F8"/>
    <w:multiLevelType w:val="multilevel"/>
    <w:tmpl w:val="994A01F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B34006BA"/>
    <w:multiLevelType w:val="singleLevel"/>
    <w:tmpl w:val="B34006BA"/>
    <w:lvl w:ilvl="0" w:tentative="0">
      <w:start w:val="1"/>
      <w:numFmt w:val="bullet"/>
      <w:lvlText w:val=""/>
      <w:lvlJc w:val="left"/>
      <w:pPr>
        <w:ind w:left="420" w:hanging="420"/>
      </w:pPr>
      <w:rPr>
        <w:rFonts w:hint="default" w:ascii="Wingdings" w:hAnsi="Wingdings"/>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CB65A92"/>
    <w:multiLevelType w:val="multilevel"/>
    <w:tmpl w:val="3CB65A92"/>
    <w:lvl w:ilvl="0" w:tentative="0">
      <w:start w:val="1"/>
      <w:numFmt w:val="chineseCountingThousand"/>
      <w:isLgl/>
      <w:suff w:val="space"/>
      <w:lvlText w:val="第%1章"/>
      <w:lvlJc w:val="center"/>
      <w:pPr>
        <w:ind w:left="3686"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lang w:val="en-US"/>
      </w:rPr>
    </w:lvl>
    <w:lvl w:ilvl="1" w:tentative="0">
      <w:start w:val="1"/>
      <w:numFmt w:val="decimal"/>
      <w:isLgl/>
      <w:suff w:val="space"/>
      <w:lvlText w:val="%1.%2"/>
      <w:lvlJc w:val="left"/>
      <w:pPr>
        <w:ind w:left="0" w:firstLine="0"/>
      </w:pPr>
      <w:rPr>
        <w:rFonts w:hint="default" w:ascii="Times New Roman" w:hAnsi="Times New Roman" w:cs="Times New Roman"/>
        <w:color w:val="auto"/>
      </w:rPr>
    </w:lvl>
    <w:lvl w:ilvl="2" w:tentative="0">
      <w:start w:val="1"/>
      <w:numFmt w:val="decimal"/>
      <w:isLgl/>
      <w:suff w:val="space"/>
      <w:lvlText w:val="%1.%2.%3"/>
      <w:lvlJc w:val="left"/>
      <w:pPr>
        <w:ind w:left="0" w:firstLine="0"/>
      </w:pPr>
      <w:rPr>
        <w:rFonts w:hint="default" w:ascii="Times New Roman" w:hAnsi="Times New Roman" w:eastAsia="仿宋" w:cs="Times New Roman"/>
        <w:b/>
        <w:bCs w:val="0"/>
        <w:i w:val="0"/>
        <w:iCs w:val="0"/>
        <w:caps w:val="0"/>
        <w:smallCaps w:val="0"/>
        <w:strike w:val="0"/>
        <w:dstrike w:val="0"/>
        <w:vanish w:val="0"/>
        <w:color w:val="000000"/>
        <w:spacing w:val="0"/>
        <w:position w:val="0"/>
        <w:sz w:val="24"/>
        <w:szCs w:val="24"/>
        <w:u w:val="none"/>
        <w:vertAlign w:val="baseline"/>
      </w:rPr>
    </w:lvl>
    <w:lvl w:ilvl="3" w:tentative="0">
      <w:start w:val="1"/>
      <w:numFmt w:val="decimal"/>
      <w:isLgl/>
      <w:suff w:val="space"/>
      <w:lvlText w:val="%1.%2.%3.%4 "/>
      <w:lvlJc w:val="left"/>
      <w:pPr>
        <w:ind w:left="2269"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default" w:ascii="Times New Roman" w:hAnsi="Times New Roman" w:eastAsia="仿宋"/>
        <w:b/>
        <w:i w:val="0"/>
        <w:sz w:val="24"/>
        <w:szCs w:val="24"/>
      </w:rPr>
    </w:lvl>
    <w:lvl w:ilvl="5" w:tentative="0">
      <w:start w:val="1"/>
      <w:numFmt w:val="chineseCountingThousand"/>
      <w:isLgl/>
      <w:lvlText w:val="%1.%2.%3.%4.%5.%6 "/>
      <w:lvlJc w:val="left"/>
      <w:pPr>
        <w:tabs>
          <w:tab w:val="left" w:pos="1873"/>
        </w:tabs>
        <w:ind w:left="852" w:firstLine="0"/>
      </w:pPr>
      <w:rPr>
        <w:rFonts w:hint="default" w:ascii="Times New Roman" w:hAnsi="Times New Roman" w:eastAsia="仿宋"/>
        <w:b/>
        <w:i w:val="0"/>
        <w:sz w:val="21"/>
        <w:szCs w:val="21"/>
      </w:rPr>
    </w:lvl>
    <w:lvl w:ilvl="6" w:tentative="0">
      <w:start w:val="1"/>
      <w:numFmt w:val="decimal"/>
      <w:isLgl/>
      <w:lvlText w:val="%7."/>
      <w:lvlJc w:val="left"/>
      <w:pPr>
        <w:tabs>
          <w:tab w:val="left" w:pos="1134"/>
        </w:tabs>
        <w:ind w:left="0" w:firstLine="0"/>
      </w:pPr>
      <w:rPr>
        <w:rFonts w:hint="eastAsia"/>
      </w:rPr>
    </w:lvl>
    <w:lvl w:ilvl="7" w:tentative="0">
      <w:start w:val="1"/>
      <w:numFmt w:val="decimal"/>
      <w:lvlText w:val="(%8)."/>
      <w:lvlJc w:val="left"/>
      <w:pPr>
        <w:ind w:left="0" w:firstLine="0"/>
      </w:pPr>
      <w:rPr>
        <w:rFonts w:hint="eastAsia"/>
      </w:rPr>
    </w:lvl>
    <w:lvl w:ilvl="8" w:tentative="0">
      <w:start w:val="1"/>
      <w:numFmt w:val="bullet"/>
      <w:lvlText w:val=""/>
      <w:lvlJc w:val="left"/>
      <w:pPr>
        <w:ind w:left="0" w:firstLine="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E79264F"/>
    <w:multiLevelType w:val="multilevel"/>
    <w:tmpl w:val="6E79264F"/>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AED1679"/>
    <w:multiLevelType w:val="multilevel"/>
    <w:tmpl w:val="7AED167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
  </w:num>
  <w:num w:numId="2">
    <w:abstractNumId w:val="4"/>
  </w:num>
  <w:num w:numId="3">
    <w:abstractNumId w:val="2"/>
  </w:num>
  <w:num w:numId="4">
    <w:abstractNumId w:val="3"/>
  </w:num>
  <w:num w:numId="5">
    <w:abstractNumId w:val="11"/>
  </w:num>
  <w:num w:numId="6">
    <w:abstractNumId w:val="14"/>
  </w:num>
  <w:num w:numId="7">
    <w:abstractNumId w:val="7"/>
  </w:num>
  <w:num w:numId="8">
    <w:abstractNumId w:val="1"/>
  </w:num>
  <w:num w:numId="9">
    <w:abstractNumId w:val="15"/>
  </w:num>
  <w:num w:numId="10">
    <w:abstractNumId w:val="0"/>
  </w:num>
  <w:num w:numId="11">
    <w:abstractNumId w:val="13"/>
  </w:num>
  <w:num w:numId="12">
    <w:abstractNumId w:val="6"/>
  </w:num>
  <w:num w:numId="13">
    <w:abstractNumId w:val="12"/>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YWYxYTM2ZjI4Zjk1M2JmOGRlYTc1N2FkOGRlYTcifQ=="/>
  </w:docVars>
  <w:rsids>
    <w:rsidRoot w:val="00172A27"/>
    <w:rsid w:val="0000133D"/>
    <w:rsid w:val="0000254D"/>
    <w:rsid w:val="0000488B"/>
    <w:rsid w:val="00005CAC"/>
    <w:rsid w:val="00006109"/>
    <w:rsid w:val="00006725"/>
    <w:rsid w:val="0000675E"/>
    <w:rsid w:val="00007CAA"/>
    <w:rsid w:val="00007E02"/>
    <w:rsid w:val="00010FE9"/>
    <w:rsid w:val="0001122F"/>
    <w:rsid w:val="00012BE8"/>
    <w:rsid w:val="00013F31"/>
    <w:rsid w:val="0001597F"/>
    <w:rsid w:val="00015FD7"/>
    <w:rsid w:val="000170C8"/>
    <w:rsid w:val="000172A5"/>
    <w:rsid w:val="000173F4"/>
    <w:rsid w:val="000217DE"/>
    <w:rsid w:val="00022853"/>
    <w:rsid w:val="00022C67"/>
    <w:rsid w:val="000236BF"/>
    <w:rsid w:val="000248C4"/>
    <w:rsid w:val="00025776"/>
    <w:rsid w:val="000270F2"/>
    <w:rsid w:val="00027540"/>
    <w:rsid w:val="000279ED"/>
    <w:rsid w:val="00030572"/>
    <w:rsid w:val="00030CB3"/>
    <w:rsid w:val="0003206A"/>
    <w:rsid w:val="00032EA0"/>
    <w:rsid w:val="00034FA7"/>
    <w:rsid w:val="000357E4"/>
    <w:rsid w:val="00042533"/>
    <w:rsid w:val="00042774"/>
    <w:rsid w:val="00042E65"/>
    <w:rsid w:val="0004347C"/>
    <w:rsid w:val="00043907"/>
    <w:rsid w:val="00043955"/>
    <w:rsid w:val="00044F48"/>
    <w:rsid w:val="00045456"/>
    <w:rsid w:val="0004651A"/>
    <w:rsid w:val="00047432"/>
    <w:rsid w:val="00050656"/>
    <w:rsid w:val="00051B54"/>
    <w:rsid w:val="00054D39"/>
    <w:rsid w:val="0005501B"/>
    <w:rsid w:val="000554C7"/>
    <w:rsid w:val="000557D1"/>
    <w:rsid w:val="00055A61"/>
    <w:rsid w:val="00056118"/>
    <w:rsid w:val="0005630F"/>
    <w:rsid w:val="000578A3"/>
    <w:rsid w:val="00057FC8"/>
    <w:rsid w:val="000600BA"/>
    <w:rsid w:val="0006139A"/>
    <w:rsid w:val="00061A3C"/>
    <w:rsid w:val="000620B0"/>
    <w:rsid w:val="000646CA"/>
    <w:rsid w:val="00064A21"/>
    <w:rsid w:val="00064D05"/>
    <w:rsid w:val="00065668"/>
    <w:rsid w:val="00065868"/>
    <w:rsid w:val="000665C4"/>
    <w:rsid w:val="00066B96"/>
    <w:rsid w:val="00067821"/>
    <w:rsid w:val="0006785E"/>
    <w:rsid w:val="00067E1A"/>
    <w:rsid w:val="00070825"/>
    <w:rsid w:val="00072AED"/>
    <w:rsid w:val="00072D2B"/>
    <w:rsid w:val="000730B1"/>
    <w:rsid w:val="00073860"/>
    <w:rsid w:val="00073C09"/>
    <w:rsid w:val="0007410E"/>
    <w:rsid w:val="00074528"/>
    <w:rsid w:val="00074B1F"/>
    <w:rsid w:val="00074B89"/>
    <w:rsid w:val="00075D0E"/>
    <w:rsid w:val="00075F6A"/>
    <w:rsid w:val="000763F3"/>
    <w:rsid w:val="000768B4"/>
    <w:rsid w:val="00077329"/>
    <w:rsid w:val="00077607"/>
    <w:rsid w:val="00077756"/>
    <w:rsid w:val="00080970"/>
    <w:rsid w:val="00082900"/>
    <w:rsid w:val="00083DDA"/>
    <w:rsid w:val="0008580E"/>
    <w:rsid w:val="00085924"/>
    <w:rsid w:val="00085A0E"/>
    <w:rsid w:val="00086343"/>
    <w:rsid w:val="00086F8A"/>
    <w:rsid w:val="00087287"/>
    <w:rsid w:val="000904F6"/>
    <w:rsid w:val="0009062A"/>
    <w:rsid w:val="00090ED8"/>
    <w:rsid w:val="0009145F"/>
    <w:rsid w:val="00091746"/>
    <w:rsid w:val="00091B4E"/>
    <w:rsid w:val="00091D89"/>
    <w:rsid w:val="00092FE9"/>
    <w:rsid w:val="00094342"/>
    <w:rsid w:val="000960BA"/>
    <w:rsid w:val="0009662A"/>
    <w:rsid w:val="000A1A52"/>
    <w:rsid w:val="000A1F98"/>
    <w:rsid w:val="000A23CE"/>
    <w:rsid w:val="000A485D"/>
    <w:rsid w:val="000A49BB"/>
    <w:rsid w:val="000A4C67"/>
    <w:rsid w:val="000A5674"/>
    <w:rsid w:val="000A5A46"/>
    <w:rsid w:val="000B0E04"/>
    <w:rsid w:val="000B1350"/>
    <w:rsid w:val="000B2312"/>
    <w:rsid w:val="000B390A"/>
    <w:rsid w:val="000B42E2"/>
    <w:rsid w:val="000B4778"/>
    <w:rsid w:val="000B47A1"/>
    <w:rsid w:val="000B4B56"/>
    <w:rsid w:val="000B4BD3"/>
    <w:rsid w:val="000B53F1"/>
    <w:rsid w:val="000B54C1"/>
    <w:rsid w:val="000B62AC"/>
    <w:rsid w:val="000B6BDF"/>
    <w:rsid w:val="000C053E"/>
    <w:rsid w:val="000C0A43"/>
    <w:rsid w:val="000C10FA"/>
    <w:rsid w:val="000C1441"/>
    <w:rsid w:val="000C1ADE"/>
    <w:rsid w:val="000C1C38"/>
    <w:rsid w:val="000C222C"/>
    <w:rsid w:val="000C2264"/>
    <w:rsid w:val="000C2F59"/>
    <w:rsid w:val="000C33C8"/>
    <w:rsid w:val="000C4226"/>
    <w:rsid w:val="000C4727"/>
    <w:rsid w:val="000C47AE"/>
    <w:rsid w:val="000C51AD"/>
    <w:rsid w:val="000C5374"/>
    <w:rsid w:val="000C5EC0"/>
    <w:rsid w:val="000C6688"/>
    <w:rsid w:val="000C7BEB"/>
    <w:rsid w:val="000C7C9D"/>
    <w:rsid w:val="000D06B1"/>
    <w:rsid w:val="000D11E5"/>
    <w:rsid w:val="000D1D28"/>
    <w:rsid w:val="000D29CF"/>
    <w:rsid w:val="000D2A10"/>
    <w:rsid w:val="000D34C8"/>
    <w:rsid w:val="000D34FD"/>
    <w:rsid w:val="000D3BB6"/>
    <w:rsid w:val="000D3BE5"/>
    <w:rsid w:val="000D3C37"/>
    <w:rsid w:val="000D45AE"/>
    <w:rsid w:val="000D5EA6"/>
    <w:rsid w:val="000D615C"/>
    <w:rsid w:val="000D6C9F"/>
    <w:rsid w:val="000D6E3B"/>
    <w:rsid w:val="000D7902"/>
    <w:rsid w:val="000D7CE0"/>
    <w:rsid w:val="000E01CD"/>
    <w:rsid w:val="000E1DD9"/>
    <w:rsid w:val="000E2785"/>
    <w:rsid w:val="000E27BB"/>
    <w:rsid w:val="000E2883"/>
    <w:rsid w:val="000E3153"/>
    <w:rsid w:val="000E3403"/>
    <w:rsid w:val="000E386F"/>
    <w:rsid w:val="000E3AE7"/>
    <w:rsid w:val="000E4051"/>
    <w:rsid w:val="000E4935"/>
    <w:rsid w:val="000E5B7E"/>
    <w:rsid w:val="000E5FF9"/>
    <w:rsid w:val="000E69BD"/>
    <w:rsid w:val="000E6AE1"/>
    <w:rsid w:val="000E6C07"/>
    <w:rsid w:val="000E7142"/>
    <w:rsid w:val="000E7632"/>
    <w:rsid w:val="000E7739"/>
    <w:rsid w:val="000E77EE"/>
    <w:rsid w:val="000F0789"/>
    <w:rsid w:val="000F07BB"/>
    <w:rsid w:val="000F159D"/>
    <w:rsid w:val="000F21ED"/>
    <w:rsid w:val="000F2940"/>
    <w:rsid w:val="000F2C37"/>
    <w:rsid w:val="000F370C"/>
    <w:rsid w:val="000F3D08"/>
    <w:rsid w:val="000F505B"/>
    <w:rsid w:val="000F52B6"/>
    <w:rsid w:val="000F5837"/>
    <w:rsid w:val="000F68A0"/>
    <w:rsid w:val="000F6B03"/>
    <w:rsid w:val="000F7790"/>
    <w:rsid w:val="0010118C"/>
    <w:rsid w:val="0010125E"/>
    <w:rsid w:val="00101967"/>
    <w:rsid w:val="00104CAD"/>
    <w:rsid w:val="00104E5B"/>
    <w:rsid w:val="00104EEC"/>
    <w:rsid w:val="001050DC"/>
    <w:rsid w:val="001052A9"/>
    <w:rsid w:val="00105482"/>
    <w:rsid w:val="001055F5"/>
    <w:rsid w:val="00105BA9"/>
    <w:rsid w:val="00105F39"/>
    <w:rsid w:val="00106C42"/>
    <w:rsid w:val="00107BBD"/>
    <w:rsid w:val="00107E1B"/>
    <w:rsid w:val="00110F83"/>
    <w:rsid w:val="00111C7D"/>
    <w:rsid w:val="00112038"/>
    <w:rsid w:val="0011244F"/>
    <w:rsid w:val="00112467"/>
    <w:rsid w:val="001127FF"/>
    <w:rsid w:val="00112B0B"/>
    <w:rsid w:val="00112B42"/>
    <w:rsid w:val="00113200"/>
    <w:rsid w:val="00114847"/>
    <w:rsid w:val="0011585B"/>
    <w:rsid w:val="00115B1A"/>
    <w:rsid w:val="001166E3"/>
    <w:rsid w:val="001168F8"/>
    <w:rsid w:val="00116A0B"/>
    <w:rsid w:val="001214A7"/>
    <w:rsid w:val="00121AA0"/>
    <w:rsid w:val="00122370"/>
    <w:rsid w:val="0012288C"/>
    <w:rsid w:val="001228C8"/>
    <w:rsid w:val="0012419E"/>
    <w:rsid w:val="001243E9"/>
    <w:rsid w:val="001248EF"/>
    <w:rsid w:val="00124F76"/>
    <w:rsid w:val="00124FC4"/>
    <w:rsid w:val="001259B8"/>
    <w:rsid w:val="00127DAB"/>
    <w:rsid w:val="00130B0B"/>
    <w:rsid w:val="001316D8"/>
    <w:rsid w:val="00131C2D"/>
    <w:rsid w:val="00131D40"/>
    <w:rsid w:val="001350F7"/>
    <w:rsid w:val="00135141"/>
    <w:rsid w:val="00135769"/>
    <w:rsid w:val="00135BE9"/>
    <w:rsid w:val="00136322"/>
    <w:rsid w:val="001366ED"/>
    <w:rsid w:val="001374DC"/>
    <w:rsid w:val="0013773D"/>
    <w:rsid w:val="00140AA0"/>
    <w:rsid w:val="00140D7A"/>
    <w:rsid w:val="001412C6"/>
    <w:rsid w:val="00141C0A"/>
    <w:rsid w:val="001430C3"/>
    <w:rsid w:val="00144649"/>
    <w:rsid w:val="001451BB"/>
    <w:rsid w:val="00145662"/>
    <w:rsid w:val="00145A80"/>
    <w:rsid w:val="00145C6D"/>
    <w:rsid w:val="00146151"/>
    <w:rsid w:val="00147EA7"/>
    <w:rsid w:val="001518C1"/>
    <w:rsid w:val="00151B2F"/>
    <w:rsid w:val="0015208C"/>
    <w:rsid w:val="001524DC"/>
    <w:rsid w:val="001525E5"/>
    <w:rsid w:val="001530EA"/>
    <w:rsid w:val="00153859"/>
    <w:rsid w:val="00153ED0"/>
    <w:rsid w:val="00154FB6"/>
    <w:rsid w:val="00157432"/>
    <w:rsid w:val="00161185"/>
    <w:rsid w:val="00161853"/>
    <w:rsid w:val="00161C7D"/>
    <w:rsid w:val="00161D12"/>
    <w:rsid w:val="0016262B"/>
    <w:rsid w:val="00162C9A"/>
    <w:rsid w:val="00163039"/>
    <w:rsid w:val="00164CCB"/>
    <w:rsid w:val="001658DE"/>
    <w:rsid w:val="00165ED7"/>
    <w:rsid w:val="00167327"/>
    <w:rsid w:val="00167423"/>
    <w:rsid w:val="00167594"/>
    <w:rsid w:val="00167D83"/>
    <w:rsid w:val="00167EA2"/>
    <w:rsid w:val="001701AA"/>
    <w:rsid w:val="001702BE"/>
    <w:rsid w:val="001706E4"/>
    <w:rsid w:val="0017105C"/>
    <w:rsid w:val="00171622"/>
    <w:rsid w:val="001721CF"/>
    <w:rsid w:val="001728FD"/>
    <w:rsid w:val="00172A27"/>
    <w:rsid w:val="00172F02"/>
    <w:rsid w:val="001735D7"/>
    <w:rsid w:val="00173631"/>
    <w:rsid w:val="0017372D"/>
    <w:rsid w:val="00173E59"/>
    <w:rsid w:val="00176931"/>
    <w:rsid w:val="00176BC8"/>
    <w:rsid w:val="00177A98"/>
    <w:rsid w:val="00180244"/>
    <w:rsid w:val="00180A47"/>
    <w:rsid w:val="00181272"/>
    <w:rsid w:val="00181BA5"/>
    <w:rsid w:val="001823B6"/>
    <w:rsid w:val="001827B7"/>
    <w:rsid w:val="001827EF"/>
    <w:rsid w:val="00182982"/>
    <w:rsid w:val="00182AAD"/>
    <w:rsid w:val="00182D68"/>
    <w:rsid w:val="00183221"/>
    <w:rsid w:val="0018397E"/>
    <w:rsid w:val="00183BA7"/>
    <w:rsid w:val="00183DEC"/>
    <w:rsid w:val="00186D20"/>
    <w:rsid w:val="00187243"/>
    <w:rsid w:val="001878FE"/>
    <w:rsid w:val="00187C29"/>
    <w:rsid w:val="00187E3D"/>
    <w:rsid w:val="00187F55"/>
    <w:rsid w:val="00190942"/>
    <w:rsid w:val="00191459"/>
    <w:rsid w:val="00191530"/>
    <w:rsid w:val="0019174E"/>
    <w:rsid w:val="00191EF8"/>
    <w:rsid w:val="00192690"/>
    <w:rsid w:val="0019357A"/>
    <w:rsid w:val="00193933"/>
    <w:rsid w:val="00193B94"/>
    <w:rsid w:val="00193C84"/>
    <w:rsid w:val="001940A7"/>
    <w:rsid w:val="00194BB1"/>
    <w:rsid w:val="00195070"/>
    <w:rsid w:val="00195434"/>
    <w:rsid w:val="00195D82"/>
    <w:rsid w:val="0019602C"/>
    <w:rsid w:val="001A07F8"/>
    <w:rsid w:val="001A1129"/>
    <w:rsid w:val="001A1D48"/>
    <w:rsid w:val="001A1F0E"/>
    <w:rsid w:val="001A1F2D"/>
    <w:rsid w:val="001A2C7A"/>
    <w:rsid w:val="001A473A"/>
    <w:rsid w:val="001A4996"/>
    <w:rsid w:val="001A5785"/>
    <w:rsid w:val="001A61CB"/>
    <w:rsid w:val="001A64D9"/>
    <w:rsid w:val="001A66A6"/>
    <w:rsid w:val="001A6BBB"/>
    <w:rsid w:val="001A79A2"/>
    <w:rsid w:val="001B13BF"/>
    <w:rsid w:val="001B16F5"/>
    <w:rsid w:val="001B1BD9"/>
    <w:rsid w:val="001B1C1F"/>
    <w:rsid w:val="001B219B"/>
    <w:rsid w:val="001B2474"/>
    <w:rsid w:val="001B2703"/>
    <w:rsid w:val="001B28D1"/>
    <w:rsid w:val="001B2ABD"/>
    <w:rsid w:val="001B4272"/>
    <w:rsid w:val="001B46B2"/>
    <w:rsid w:val="001B4CA8"/>
    <w:rsid w:val="001B572D"/>
    <w:rsid w:val="001B738E"/>
    <w:rsid w:val="001B7B69"/>
    <w:rsid w:val="001C0540"/>
    <w:rsid w:val="001C0616"/>
    <w:rsid w:val="001C0DD2"/>
    <w:rsid w:val="001C10B3"/>
    <w:rsid w:val="001C10BD"/>
    <w:rsid w:val="001C1ED9"/>
    <w:rsid w:val="001C1F01"/>
    <w:rsid w:val="001C232F"/>
    <w:rsid w:val="001C2C43"/>
    <w:rsid w:val="001C31F5"/>
    <w:rsid w:val="001C3650"/>
    <w:rsid w:val="001C44BC"/>
    <w:rsid w:val="001C57BE"/>
    <w:rsid w:val="001C5885"/>
    <w:rsid w:val="001C6306"/>
    <w:rsid w:val="001C6698"/>
    <w:rsid w:val="001D1D55"/>
    <w:rsid w:val="001D21EF"/>
    <w:rsid w:val="001D330D"/>
    <w:rsid w:val="001D3BF4"/>
    <w:rsid w:val="001D429F"/>
    <w:rsid w:val="001D4AD3"/>
    <w:rsid w:val="001D5A94"/>
    <w:rsid w:val="001D69CD"/>
    <w:rsid w:val="001E0BB2"/>
    <w:rsid w:val="001E1ABC"/>
    <w:rsid w:val="001E20CC"/>
    <w:rsid w:val="001E25EF"/>
    <w:rsid w:val="001E2F60"/>
    <w:rsid w:val="001E3E15"/>
    <w:rsid w:val="001E4A77"/>
    <w:rsid w:val="001E59FB"/>
    <w:rsid w:val="001E6465"/>
    <w:rsid w:val="001E787E"/>
    <w:rsid w:val="001F087C"/>
    <w:rsid w:val="001F0DA4"/>
    <w:rsid w:val="001F0FD1"/>
    <w:rsid w:val="001F1F18"/>
    <w:rsid w:val="001F209B"/>
    <w:rsid w:val="001F2F92"/>
    <w:rsid w:val="001F348B"/>
    <w:rsid w:val="001F6095"/>
    <w:rsid w:val="00200E37"/>
    <w:rsid w:val="00201EE3"/>
    <w:rsid w:val="00202D33"/>
    <w:rsid w:val="00202F99"/>
    <w:rsid w:val="00203C85"/>
    <w:rsid w:val="002050C6"/>
    <w:rsid w:val="00205298"/>
    <w:rsid w:val="002054F4"/>
    <w:rsid w:val="00206D0F"/>
    <w:rsid w:val="00210B9C"/>
    <w:rsid w:val="00210BB6"/>
    <w:rsid w:val="00210FB8"/>
    <w:rsid w:val="00212B12"/>
    <w:rsid w:val="00212E87"/>
    <w:rsid w:val="00213FC4"/>
    <w:rsid w:val="00214028"/>
    <w:rsid w:val="002141C3"/>
    <w:rsid w:val="002141DC"/>
    <w:rsid w:val="00214479"/>
    <w:rsid w:val="002144F3"/>
    <w:rsid w:val="00215A2A"/>
    <w:rsid w:val="00216387"/>
    <w:rsid w:val="00217427"/>
    <w:rsid w:val="0022010B"/>
    <w:rsid w:val="002204BC"/>
    <w:rsid w:val="0022222B"/>
    <w:rsid w:val="0022234D"/>
    <w:rsid w:val="002223FA"/>
    <w:rsid w:val="00222C78"/>
    <w:rsid w:val="00224B9B"/>
    <w:rsid w:val="0022555A"/>
    <w:rsid w:val="00227DEE"/>
    <w:rsid w:val="0023114A"/>
    <w:rsid w:val="0023205A"/>
    <w:rsid w:val="0023265B"/>
    <w:rsid w:val="00233538"/>
    <w:rsid w:val="002344F5"/>
    <w:rsid w:val="0023454D"/>
    <w:rsid w:val="002345FC"/>
    <w:rsid w:val="00234679"/>
    <w:rsid w:val="00234D3A"/>
    <w:rsid w:val="00236127"/>
    <w:rsid w:val="002361A2"/>
    <w:rsid w:val="00236690"/>
    <w:rsid w:val="0023669D"/>
    <w:rsid w:val="00237755"/>
    <w:rsid w:val="00237A7C"/>
    <w:rsid w:val="00237ADB"/>
    <w:rsid w:val="00237FA2"/>
    <w:rsid w:val="00240121"/>
    <w:rsid w:val="00240F67"/>
    <w:rsid w:val="00241144"/>
    <w:rsid w:val="00241EA1"/>
    <w:rsid w:val="00242009"/>
    <w:rsid w:val="00242510"/>
    <w:rsid w:val="00243F5D"/>
    <w:rsid w:val="0024415B"/>
    <w:rsid w:val="002449C9"/>
    <w:rsid w:val="00245269"/>
    <w:rsid w:val="00247422"/>
    <w:rsid w:val="00247BA2"/>
    <w:rsid w:val="002514A1"/>
    <w:rsid w:val="00251CB4"/>
    <w:rsid w:val="0025258D"/>
    <w:rsid w:val="00252862"/>
    <w:rsid w:val="002531BD"/>
    <w:rsid w:val="002533FE"/>
    <w:rsid w:val="002537FC"/>
    <w:rsid w:val="002543EF"/>
    <w:rsid w:val="00255146"/>
    <w:rsid w:val="0025631F"/>
    <w:rsid w:val="00256986"/>
    <w:rsid w:val="00257246"/>
    <w:rsid w:val="00260832"/>
    <w:rsid w:val="00261FA9"/>
    <w:rsid w:val="00263044"/>
    <w:rsid w:val="00263082"/>
    <w:rsid w:val="002630E7"/>
    <w:rsid w:val="002631D5"/>
    <w:rsid w:val="0026324D"/>
    <w:rsid w:val="00263759"/>
    <w:rsid w:val="0026385E"/>
    <w:rsid w:val="00264351"/>
    <w:rsid w:val="002645DB"/>
    <w:rsid w:val="0026470B"/>
    <w:rsid w:val="0026486D"/>
    <w:rsid w:val="00264966"/>
    <w:rsid w:val="00264CEB"/>
    <w:rsid w:val="002650F9"/>
    <w:rsid w:val="002660C3"/>
    <w:rsid w:val="00266DE1"/>
    <w:rsid w:val="00266E08"/>
    <w:rsid w:val="00267E43"/>
    <w:rsid w:val="002727CF"/>
    <w:rsid w:val="00273C5F"/>
    <w:rsid w:val="00273FC9"/>
    <w:rsid w:val="00274C6D"/>
    <w:rsid w:val="002751CA"/>
    <w:rsid w:val="0027544D"/>
    <w:rsid w:val="002758A3"/>
    <w:rsid w:val="002778AB"/>
    <w:rsid w:val="002802A5"/>
    <w:rsid w:val="00281BCB"/>
    <w:rsid w:val="00282CA4"/>
    <w:rsid w:val="00283B06"/>
    <w:rsid w:val="0028583E"/>
    <w:rsid w:val="00285FF3"/>
    <w:rsid w:val="00286442"/>
    <w:rsid w:val="0028669B"/>
    <w:rsid w:val="0028744E"/>
    <w:rsid w:val="0028766A"/>
    <w:rsid w:val="00287936"/>
    <w:rsid w:val="002903C5"/>
    <w:rsid w:val="002906D2"/>
    <w:rsid w:val="00290A99"/>
    <w:rsid w:val="00290EAF"/>
    <w:rsid w:val="0029159A"/>
    <w:rsid w:val="0029198D"/>
    <w:rsid w:val="00292AA1"/>
    <w:rsid w:val="0029328D"/>
    <w:rsid w:val="0029499D"/>
    <w:rsid w:val="00294A13"/>
    <w:rsid w:val="00295073"/>
    <w:rsid w:val="00295109"/>
    <w:rsid w:val="00295DC3"/>
    <w:rsid w:val="0029704D"/>
    <w:rsid w:val="002979C5"/>
    <w:rsid w:val="00297AF5"/>
    <w:rsid w:val="002A02D6"/>
    <w:rsid w:val="002A07C4"/>
    <w:rsid w:val="002A0921"/>
    <w:rsid w:val="002A2001"/>
    <w:rsid w:val="002A30AD"/>
    <w:rsid w:val="002A4C74"/>
    <w:rsid w:val="002A4EB3"/>
    <w:rsid w:val="002A4F04"/>
    <w:rsid w:val="002A51D9"/>
    <w:rsid w:val="002A5275"/>
    <w:rsid w:val="002A53BE"/>
    <w:rsid w:val="002A606E"/>
    <w:rsid w:val="002A6467"/>
    <w:rsid w:val="002B0DA5"/>
    <w:rsid w:val="002B19DD"/>
    <w:rsid w:val="002B232D"/>
    <w:rsid w:val="002B2725"/>
    <w:rsid w:val="002B2906"/>
    <w:rsid w:val="002B35C5"/>
    <w:rsid w:val="002B5AEE"/>
    <w:rsid w:val="002B5CD6"/>
    <w:rsid w:val="002B6177"/>
    <w:rsid w:val="002B68E6"/>
    <w:rsid w:val="002B6985"/>
    <w:rsid w:val="002B7242"/>
    <w:rsid w:val="002C0032"/>
    <w:rsid w:val="002C0301"/>
    <w:rsid w:val="002C0326"/>
    <w:rsid w:val="002C04DF"/>
    <w:rsid w:val="002C0A9F"/>
    <w:rsid w:val="002C14DE"/>
    <w:rsid w:val="002C19D3"/>
    <w:rsid w:val="002C1BB7"/>
    <w:rsid w:val="002C1CC2"/>
    <w:rsid w:val="002C28E1"/>
    <w:rsid w:val="002C3215"/>
    <w:rsid w:val="002C3684"/>
    <w:rsid w:val="002C3890"/>
    <w:rsid w:val="002C3DD5"/>
    <w:rsid w:val="002C643D"/>
    <w:rsid w:val="002C70E7"/>
    <w:rsid w:val="002C74F6"/>
    <w:rsid w:val="002C77AC"/>
    <w:rsid w:val="002D0E86"/>
    <w:rsid w:val="002D161E"/>
    <w:rsid w:val="002D22A6"/>
    <w:rsid w:val="002D2496"/>
    <w:rsid w:val="002D2C71"/>
    <w:rsid w:val="002D2CD6"/>
    <w:rsid w:val="002D2F81"/>
    <w:rsid w:val="002D3BA3"/>
    <w:rsid w:val="002D4892"/>
    <w:rsid w:val="002D4D06"/>
    <w:rsid w:val="002D4E19"/>
    <w:rsid w:val="002D4EE7"/>
    <w:rsid w:val="002D4EED"/>
    <w:rsid w:val="002D598C"/>
    <w:rsid w:val="002D6782"/>
    <w:rsid w:val="002D707C"/>
    <w:rsid w:val="002D7DB2"/>
    <w:rsid w:val="002D7FB2"/>
    <w:rsid w:val="002E0542"/>
    <w:rsid w:val="002E0E87"/>
    <w:rsid w:val="002E1EC1"/>
    <w:rsid w:val="002E201C"/>
    <w:rsid w:val="002E28A0"/>
    <w:rsid w:val="002E2E79"/>
    <w:rsid w:val="002E3956"/>
    <w:rsid w:val="002E510C"/>
    <w:rsid w:val="002E672A"/>
    <w:rsid w:val="002E6853"/>
    <w:rsid w:val="002E6C89"/>
    <w:rsid w:val="002E6D86"/>
    <w:rsid w:val="002E7162"/>
    <w:rsid w:val="002E7897"/>
    <w:rsid w:val="002E7EE5"/>
    <w:rsid w:val="002E7F3B"/>
    <w:rsid w:val="002F0323"/>
    <w:rsid w:val="002F0939"/>
    <w:rsid w:val="002F11B9"/>
    <w:rsid w:val="002F134F"/>
    <w:rsid w:val="002F1D0B"/>
    <w:rsid w:val="002F1F02"/>
    <w:rsid w:val="002F2048"/>
    <w:rsid w:val="002F2D81"/>
    <w:rsid w:val="002F44D0"/>
    <w:rsid w:val="002F47A6"/>
    <w:rsid w:val="002F541B"/>
    <w:rsid w:val="002F626A"/>
    <w:rsid w:val="002F6C2F"/>
    <w:rsid w:val="002F6EFF"/>
    <w:rsid w:val="002F72F3"/>
    <w:rsid w:val="002F7DF0"/>
    <w:rsid w:val="002F7FAF"/>
    <w:rsid w:val="0030028A"/>
    <w:rsid w:val="00300AFA"/>
    <w:rsid w:val="00301A22"/>
    <w:rsid w:val="00302E48"/>
    <w:rsid w:val="00303959"/>
    <w:rsid w:val="00303AB6"/>
    <w:rsid w:val="00303ACB"/>
    <w:rsid w:val="00304455"/>
    <w:rsid w:val="00304640"/>
    <w:rsid w:val="00304AC1"/>
    <w:rsid w:val="00305444"/>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654"/>
    <w:rsid w:val="0032226B"/>
    <w:rsid w:val="00323C96"/>
    <w:rsid w:val="00324B2F"/>
    <w:rsid w:val="00326106"/>
    <w:rsid w:val="003262E4"/>
    <w:rsid w:val="0032660A"/>
    <w:rsid w:val="003269B7"/>
    <w:rsid w:val="00327200"/>
    <w:rsid w:val="003272E4"/>
    <w:rsid w:val="003277DF"/>
    <w:rsid w:val="003301D9"/>
    <w:rsid w:val="00331461"/>
    <w:rsid w:val="003316A8"/>
    <w:rsid w:val="00331CC9"/>
    <w:rsid w:val="003320D7"/>
    <w:rsid w:val="00332340"/>
    <w:rsid w:val="00332D52"/>
    <w:rsid w:val="00333337"/>
    <w:rsid w:val="00333A28"/>
    <w:rsid w:val="0033631D"/>
    <w:rsid w:val="003365CB"/>
    <w:rsid w:val="00341225"/>
    <w:rsid w:val="0034145D"/>
    <w:rsid w:val="00341CEB"/>
    <w:rsid w:val="00342709"/>
    <w:rsid w:val="0034310C"/>
    <w:rsid w:val="0034396F"/>
    <w:rsid w:val="00343BA8"/>
    <w:rsid w:val="0034458E"/>
    <w:rsid w:val="00344BBF"/>
    <w:rsid w:val="00344F3C"/>
    <w:rsid w:val="00345644"/>
    <w:rsid w:val="00345D7A"/>
    <w:rsid w:val="0034697E"/>
    <w:rsid w:val="00346999"/>
    <w:rsid w:val="00346B6D"/>
    <w:rsid w:val="00346BA3"/>
    <w:rsid w:val="00347356"/>
    <w:rsid w:val="00350896"/>
    <w:rsid w:val="00350C31"/>
    <w:rsid w:val="003519CD"/>
    <w:rsid w:val="00351A3A"/>
    <w:rsid w:val="00352A88"/>
    <w:rsid w:val="0035455F"/>
    <w:rsid w:val="0035552D"/>
    <w:rsid w:val="00355D8F"/>
    <w:rsid w:val="00356156"/>
    <w:rsid w:val="00357437"/>
    <w:rsid w:val="003577EF"/>
    <w:rsid w:val="00357B5C"/>
    <w:rsid w:val="00357F65"/>
    <w:rsid w:val="00360304"/>
    <w:rsid w:val="0036136D"/>
    <w:rsid w:val="003614FC"/>
    <w:rsid w:val="00364AF4"/>
    <w:rsid w:val="00365427"/>
    <w:rsid w:val="003669C8"/>
    <w:rsid w:val="00366CEB"/>
    <w:rsid w:val="00366D8A"/>
    <w:rsid w:val="003679D3"/>
    <w:rsid w:val="00367A87"/>
    <w:rsid w:val="003703CE"/>
    <w:rsid w:val="00371C6D"/>
    <w:rsid w:val="00372C89"/>
    <w:rsid w:val="00372E9A"/>
    <w:rsid w:val="00374677"/>
    <w:rsid w:val="00375409"/>
    <w:rsid w:val="0037619C"/>
    <w:rsid w:val="0037632F"/>
    <w:rsid w:val="00377B26"/>
    <w:rsid w:val="00381014"/>
    <w:rsid w:val="00381F60"/>
    <w:rsid w:val="003821A2"/>
    <w:rsid w:val="00382749"/>
    <w:rsid w:val="00382F6C"/>
    <w:rsid w:val="00383AB0"/>
    <w:rsid w:val="00384814"/>
    <w:rsid w:val="00384C0A"/>
    <w:rsid w:val="00385B16"/>
    <w:rsid w:val="0038637D"/>
    <w:rsid w:val="00386C07"/>
    <w:rsid w:val="00386D9E"/>
    <w:rsid w:val="00386F58"/>
    <w:rsid w:val="0038700D"/>
    <w:rsid w:val="0038701B"/>
    <w:rsid w:val="0038701D"/>
    <w:rsid w:val="00390C0D"/>
    <w:rsid w:val="00391447"/>
    <w:rsid w:val="003918EA"/>
    <w:rsid w:val="003922DE"/>
    <w:rsid w:val="00392CE7"/>
    <w:rsid w:val="00393B84"/>
    <w:rsid w:val="00393C6A"/>
    <w:rsid w:val="003944EA"/>
    <w:rsid w:val="00394639"/>
    <w:rsid w:val="003962E6"/>
    <w:rsid w:val="00396831"/>
    <w:rsid w:val="003A03EF"/>
    <w:rsid w:val="003A12B6"/>
    <w:rsid w:val="003A20D5"/>
    <w:rsid w:val="003A24CC"/>
    <w:rsid w:val="003A2EE8"/>
    <w:rsid w:val="003A373C"/>
    <w:rsid w:val="003A3E10"/>
    <w:rsid w:val="003A5191"/>
    <w:rsid w:val="003A5378"/>
    <w:rsid w:val="003A5567"/>
    <w:rsid w:val="003A7E2B"/>
    <w:rsid w:val="003A7E40"/>
    <w:rsid w:val="003B014E"/>
    <w:rsid w:val="003B0156"/>
    <w:rsid w:val="003B0336"/>
    <w:rsid w:val="003B0748"/>
    <w:rsid w:val="003B0A3A"/>
    <w:rsid w:val="003B2355"/>
    <w:rsid w:val="003B2675"/>
    <w:rsid w:val="003B4810"/>
    <w:rsid w:val="003B514E"/>
    <w:rsid w:val="003B5E0A"/>
    <w:rsid w:val="003B613B"/>
    <w:rsid w:val="003B636A"/>
    <w:rsid w:val="003B7287"/>
    <w:rsid w:val="003C011C"/>
    <w:rsid w:val="003C1583"/>
    <w:rsid w:val="003C26D5"/>
    <w:rsid w:val="003C2E56"/>
    <w:rsid w:val="003C435B"/>
    <w:rsid w:val="003C44CD"/>
    <w:rsid w:val="003C4EBE"/>
    <w:rsid w:val="003C6647"/>
    <w:rsid w:val="003C685A"/>
    <w:rsid w:val="003C6E9C"/>
    <w:rsid w:val="003C7497"/>
    <w:rsid w:val="003C7F12"/>
    <w:rsid w:val="003D03D6"/>
    <w:rsid w:val="003D04C3"/>
    <w:rsid w:val="003D11D7"/>
    <w:rsid w:val="003D14C8"/>
    <w:rsid w:val="003D1517"/>
    <w:rsid w:val="003D2DA0"/>
    <w:rsid w:val="003D2E34"/>
    <w:rsid w:val="003D3009"/>
    <w:rsid w:val="003D34C3"/>
    <w:rsid w:val="003D5681"/>
    <w:rsid w:val="003D5ADB"/>
    <w:rsid w:val="003D5B68"/>
    <w:rsid w:val="003D62A2"/>
    <w:rsid w:val="003D663E"/>
    <w:rsid w:val="003D6793"/>
    <w:rsid w:val="003D6B03"/>
    <w:rsid w:val="003D73C6"/>
    <w:rsid w:val="003D75D8"/>
    <w:rsid w:val="003E0746"/>
    <w:rsid w:val="003E0E7C"/>
    <w:rsid w:val="003E280F"/>
    <w:rsid w:val="003E2E25"/>
    <w:rsid w:val="003E336A"/>
    <w:rsid w:val="003E35A8"/>
    <w:rsid w:val="003E4451"/>
    <w:rsid w:val="003E60DA"/>
    <w:rsid w:val="003E61F6"/>
    <w:rsid w:val="003E6439"/>
    <w:rsid w:val="003E6E00"/>
    <w:rsid w:val="003E6E37"/>
    <w:rsid w:val="003E725A"/>
    <w:rsid w:val="003E7940"/>
    <w:rsid w:val="003F01BD"/>
    <w:rsid w:val="003F048E"/>
    <w:rsid w:val="003F0AFF"/>
    <w:rsid w:val="003F0D61"/>
    <w:rsid w:val="003F2C48"/>
    <w:rsid w:val="003F35A6"/>
    <w:rsid w:val="003F3D90"/>
    <w:rsid w:val="003F53BB"/>
    <w:rsid w:val="003F56B8"/>
    <w:rsid w:val="003F665B"/>
    <w:rsid w:val="00400A70"/>
    <w:rsid w:val="00400CCB"/>
    <w:rsid w:val="00401373"/>
    <w:rsid w:val="00401386"/>
    <w:rsid w:val="00401E31"/>
    <w:rsid w:val="004035D0"/>
    <w:rsid w:val="00403795"/>
    <w:rsid w:val="00405764"/>
    <w:rsid w:val="00405FF8"/>
    <w:rsid w:val="00406745"/>
    <w:rsid w:val="00406B32"/>
    <w:rsid w:val="004074FA"/>
    <w:rsid w:val="00407A56"/>
    <w:rsid w:val="00407FC3"/>
    <w:rsid w:val="00407FCC"/>
    <w:rsid w:val="004113C9"/>
    <w:rsid w:val="00412BDB"/>
    <w:rsid w:val="00412EBE"/>
    <w:rsid w:val="0041362D"/>
    <w:rsid w:val="0041461A"/>
    <w:rsid w:val="00414909"/>
    <w:rsid w:val="00415034"/>
    <w:rsid w:val="00415B1A"/>
    <w:rsid w:val="00415DA9"/>
    <w:rsid w:val="00415F72"/>
    <w:rsid w:val="004160C1"/>
    <w:rsid w:val="0041690F"/>
    <w:rsid w:val="00416D41"/>
    <w:rsid w:val="00417264"/>
    <w:rsid w:val="004210C0"/>
    <w:rsid w:val="004211DD"/>
    <w:rsid w:val="00421442"/>
    <w:rsid w:val="00421762"/>
    <w:rsid w:val="00421D4B"/>
    <w:rsid w:val="00421ED8"/>
    <w:rsid w:val="004233AD"/>
    <w:rsid w:val="0042422E"/>
    <w:rsid w:val="00425724"/>
    <w:rsid w:val="00426B2C"/>
    <w:rsid w:val="00427FA8"/>
    <w:rsid w:val="004306D4"/>
    <w:rsid w:val="00430FD7"/>
    <w:rsid w:val="00431BF6"/>
    <w:rsid w:val="00432ECA"/>
    <w:rsid w:val="004338ED"/>
    <w:rsid w:val="00433A14"/>
    <w:rsid w:val="004355F2"/>
    <w:rsid w:val="004357B1"/>
    <w:rsid w:val="00436CCE"/>
    <w:rsid w:val="00437261"/>
    <w:rsid w:val="00437408"/>
    <w:rsid w:val="004379BB"/>
    <w:rsid w:val="00440262"/>
    <w:rsid w:val="00440814"/>
    <w:rsid w:val="00440844"/>
    <w:rsid w:val="004410C3"/>
    <w:rsid w:val="00443EDE"/>
    <w:rsid w:val="004467D6"/>
    <w:rsid w:val="0044739A"/>
    <w:rsid w:val="0044755B"/>
    <w:rsid w:val="004475F7"/>
    <w:rsid w:val="00447DFB"/>
    <w:rsid w:val="00450B22"/>
    <w:rsid w:val="004533CE"/>
    <w:rsid w:val="004543AB"/>
    <w:rsid w:val="00454CBD"/>
    <w:rsid w:val="00455DE8"/>
    <w:rsid w:val="00455F71"/>
    <w:rsid w:val="00456272"/>
    <w:rsid w:val="00457CF7"/>
    <w:rsid w:val="00457D37"/>
    <w:rsid w:val="00460564"/>
    <w:rsid w:val="00460E68"/>
    <w:rsid w:val="00461F80"/>
    <w:rsid w:val="0046240D"/>
    <w:rsid w:val="0046270D"/>
    <w:rsid w:val="00462887"/>
    <w:rsid w:val="00463576"/>
    <w:rsid w:val="0046399D"/>
    <w:rsid w:val="004646BB"/>
    <w:rsid w:val="00464911"/>
    <w:rsid w:val="00465264"/>
    <w:rsid w:val="00465781"/>
    <w:rsid w:val="00465A21"/>
    <w:rsid w:val="00466962"/>
    <w:rsid w:val="00466ABA"/>
    <w:rsid w:val="00466D9E"/>
    <w:rsid w:val="0046775D"/>
    <w:rsid w:val="00467E6A"/>
    <w:rsid w:val="00471387"/>
    <w:rsid w:val="00471963"/>
    <w:rsid w:val="00472FAB"/>
    <w:rsid w:val="00473308"/>
    <w:rsid w:val="00474175"/>
    <w:rsid w:val="004749DA"/>
    <w:rsid w:val="004749DC"/>
    <w:rsid w:val="00474DEF"/>
    <w:rsid w:val="004750B9"/>
    <w:rsid w:val="004754AC"/>
    <w:rsid w:val="004758E7"/>
    <w:rsid w:val="00475F67"/>
    <w:rsid w:val="004764C6"/>
    <w:rsid w:val="00477247"/>
    <w:rsid w:val="00477529"/>
    <w:rsid w:val="004776BB"/>
    <w:rsid w:val="00477ECC"/>
    <w:rsid w:val="00480DC5"/>
    <w:rsid w:val="0048144A"/>
    <w:rsid w:val="00481886"/>
    <w:rsid w:val="00482288"/>
    <w:rsid w:val="00482762"/>
    <w:rsid w:val="004827CA"/>
    <w:rsid w:val="00482E00"/>
    <w:rsid w:val="00482F63"/>
    <w:rsid w:val="00483984"/>
    <w:rsid w:val="00483BC7"/>
    <w:rsid w:val="00483CF0"/>
    <w:rsid w:val="004847D2"/>
    <w:rsid w:val="00484AC7"/>
    <w:rsid w:val="00484CC9"/>
    <w:rsid w:val="00484D4D"/>
    <w:rsid w:val="004855D9"/>
    <w:rsid w:val="004858EE"/>
    <w:rsid w:val="00485DF3"/>
    <w:rsid w:val="0048664F"/>
    <w:rsid w:val="004868AD"/>
    <w:rsid w:val="00486D00"/>
    <w:rsid w:val="00486FB3"/>
    <w:rsid w:val="00487FE1"/>
    <w:rsid w:val="00490707"/>
    <w:rsid w:val="00490815"/>
    <w:rsid w:val="0049119C"/>
    <w:rsid w:val="004914E8"/>
    <w:rsid w:val="004922D1"/>
    <w:rsid w:val="00492B76"/>
    <w:rsid w:val="0049333E"/>
    <w:rsid w:val="0049418F"/>
    <w:rsid w:val="00494CDE"/>
    <w:rsid w:val="004958B3"/>
    <w:rsid w:val="00495DC6"/>
    <w:rsid w:val="004976D9"/>
    <w:rsid w:val="00497AAD"/>
    <w:rsid w:val="00497D1A"/>
    <w:rsid w:val="004A1031"/>
    <w:rsid w:val="004A192B"/>
    <w:rsid w:val="004A1DBC"/>
    <w:rsid w:val="004A1EA7"/>
    <w:rsid w:val="004A2C96"/>
    <w:rsid w:val="004A3120"/>
    <w:rsid w:val="004A4125"/>
    <w:rsid w:val="004A7364"/>
    <w:rsid w:val="004B026C"/>
    <w:rsid w:val="004B0271"/>
    <w:rsid w:val="004B06AA"/>
    <w:rsid w:val="004B0BE8"/>
    <w:rsid w:val="004B0E4A"/>
    <w:rsid w:val="004B13B1"/>
    <w:rsid w:val="004B2463"/>
    <w:rsid w:val="004B292C"/>
    <w:rsid w:val="004B305F"/>
    <w:rsid w:val="004B34C4"/>
    <w:rsid w:val="004B3981"/>
    <w:rsid w:val="004B3A49"/>
    <w:rsid w:val="004B3AD7"/>
    <w:rsid w:val="004B419F"/>
    <w:rsid w:val="004B5916"/>
    <w:rsid w:val="004B6345"/>
    <w:rsid w:val="004B7317"/>
    <w:rsid w:val="004B75B2"/>
    <w:rsid w:val="004B7FF7"/>
    <w:rsid w:val="004C0952"/>
    <w:rsid w:val="004C11A9"/>
    <w:rsid w:val="004C27CF"/>
    <w:rsid w:val="004C2CA7"/>
    <w:rsid w:val="004C364A"/>
    <w:rsid w:val="004C38E3"/>
    <w:rsid w:val="004C45C8"/>
    <w:rsid w:val="004C5162"/>
    <w:rsid w:val="004C612E"/>
    <w:rsid w:val="004C6C0A"/>
    <w:rsid w:val="004C7180"/>
    <w:rsid w:val="004C77FF"/>
    <w:rsid w:val="004C7B4E"/>
    <w:rsid w:val="004C7FC8"/>
    <w:rsid w:val="004D0223"/>
    <w:rsid w:val="004D12E8"/>
    <w:rsid w:val="004D16A3"/>
    <w:rsid w:val="004D1E41"/>
    <w:rsid w:val="004D3A3F"/>
    <w:rsid w:val="004D45F2"/>
    <w:rsid w:val="004D5E51"/>
    <w:rsid w:val="004D6F29"/>
    <w:rsid w:val="004D7149"/>
    <w:rsid w:val="004D7E53"/>
    <w:rsid w:val="004D7F9C"/>
    <w:rsid w:val="004D7FF2"/>
    <w:rsid w:val="004E052F"/>
    <w:rsid w:val="004E0729"/>
    <w:rsid w:val="004E09E9"/>
    <w:rsid w:val="004E11EC"/>
    <w:rsid w:val="004E1D6F"/>
    <w:rsid w:val="004E1F19"/>
    <w:rsid w:val="004E3A2A"/>
    <w:rsid w:val="004E3AB1"/>
    <w:rsid w:val="004E3CF5"/>
    <w:rsid w:val="004E4003"/>
    <w:rsid w:val="004E6746"/>
    <w:rsid w:val="004E69E1"/>
    <w:rsid w:val="004E75C1"/>
    <w:rsid w:val="004F045E"/>
    <w:rsid w:val="004F07F2"/>
    <w:rsid w:val="004F0E82"/>
    <w:rsid w:val="004F1847"/>
    <w:rsid w:val="004F2982"/>
    <w:rsid w:val="004F2B46"/>
    <w:rsid w:val="004F2C40"/>
    <w:rsid w:val="004F2CB6"/>
    <w:rsid w:val="004F313F"/>
    <w:rsid w:val="004F3707"/>
    <w:rsid w:val="004F382C"/>
    <w:rsid w:val="004F38CA"/>
    <w:rsid w:val="004F3EEF"/>
    <w:rsid w:val="004F447B"/>
    <w:rsid w:val="004F4FE8"/>
    <w:rsid w:val="004F531B"/>
    <w:rsid w:val="004F5395"/>
    <w:rsid w:val="004F560C"/>
    <w:rsid w:val="004F59D7"/>
    <w:rsid w:val="004F728A"/>
    <w:rsid w:val="004F7B47"/>
    <w:rsid w:val="005003ED"/>
    <w:rsid w:val="005010BC"/>
    <w:rsid w:val="005020F1"/>
    <w:rsid w:val="005023F2"/>
    <w:rsid w:val="005036AC"/>
    <w:rsid w:val="005039B8"/>
    <w:rsid w:val="00504CCC"/>
    <w:rsid w:val="0050537D"/>
    <w:rsid w:val="005063F4"/>
    <w:rsid w:val="005065D1"/>
    <w:rsid w:val="005079F5"/>
    <w:rsid w:val="0051037C"/>
    <w:rsid w:val="0051050F"/>
    <w:rsid w:val="00510DDC"/>
    <w:rsid w:val="00511427"/>
    <w:rsid w:val="005131A2"/>
    <w:rsid w:val="0051432D"/>
    <w:rsid w:val="0051440E"/>
    <w:rsid w:val="00514F0B"/>
    <w:rsid w:val="005160EA"/>
    <w:rsid w:val="005170F0"/>
    <w:rsid w:val="005173F3"/>
    <w:rsid w:val="0051768F"/>
    <w:rsid w:val="00517AC8"/>
    <w:rsid w:val="00517C3E"/>
    <w:rsid w:val="005212F4"/>
    <w:rsid w:val="00521305"/>
    <w:rsid w:val="0052178F"/>
    <w:rsid w:val="005217D6"/>
    <w:rsid w:val="00521908"/>
    <w:rsid w:val="00523606"/>
    <w:rsid w:val="00523BA0"/>
    <w:rsid w:val="005240E2"/>
    <w:rsid w:val="005250A9"/>
    <w:rsid w:val="005253D2"/>
    <w:rsid w:val="005256D6"/>
    <w:rsid w:val="00525A66"/>
    <w:rsid w:val="00525AD8"/>
    <w:rsid w:val="00525C01"/>
    <w:rsid w:val="00526429"/>
    <w:rsid w:val="005266C1"/>
    <w:rsid w:val="005267F4"/>
    <w:rsid w:val="00527317"/>
    <w:rsid w:val="00527ED6"/>
    <w:rsid w:val="005300C9"/>
    <w:rsid w:val="00531064"/>
    <w:rsid w:val="005335A2"/>
    <w:rsid w:val="00533DEC"/>
    <w:rsid w:val="00536521"/>
    <w:rsid w:val="00536B03"/>
    <w:rsid w:val="00537917"/>
    <w:rsid w:val="00537E83"/>
    <w:rsid w:val="005405B2"/>
    <w:rsid w:val="00540EE7"/>
    <w:rsid w:val="00541A22"/>
    <w:rsid w:val="00541A95"/>
    <w:rsid w:val="005426B2"/>
    <w:rsid w:val="00543640"/>
    <w:rsid w:val="005444C6"/>
    <w:rsid w:val="00544F05"/>
    <w:rsid w:val="005454B8"/>
    <w:rsid w:val="00545B56"/>
    <w:rsid w:val="00545DB9"/>
    <w:rsid w:val="00546BF8"/>
    <w:rsid w:val="00550B7E"/>
    <w:rsid w:val="00551B96"/>
    <w:rsid w:val="005524ED"/>
    <w:rsid w:val="00554C03"/>
    <w:rsid w:val="00554DF0"/>
    <w:rsid w:val="005550D3"/>
    <w:rsid w:val="005550F9"/>
    <w:rsid w:val="0055525C"/>
    <w:rsid w:val="0055563C"/>
    <w:rsid w:val="00556386"/>
    <w:rsid w:val="00556441"/>
    <w:rsid w:val="00561903"/>
    <w:rsid w:val="00561A9B"/>
    <w:rsid w:val="005629FC"/>
    <w:rsid w:val="00562FB1"/>
    <w:rsid w:val="00563068"/>
    <w:rsid w:val="00563F12"/>
    <w:rsid w:val="00564DA7"/>
    <w:rsid w:val="00564EFA"/>
    <w:rsid w:val="00565204"/>
    <w:rsid w:val="00565473"/>
    <w:rsid w:val="00565B5A"/>
    <w:rsid w:val="00565DAC"/>
    <w:rsid w:val="00565F0D"/>
    <w:rsid w:val="005662DC"/>
    <w:rsid w:val="00566329"/>
    <w:rsid w:val="0056746B"/>
    <w:rsid w:val="005701C2"/>
    <w:rsid w:val="0057117C"/>
    <w:rsid w:val="0057170E"/>
    <w:rsid w:val="00573560"/>
    <w:rsid w:val="0057438C"/>
    <w:rsid w:val="00574E7B"/>
    <w:rsid w:val="00576B5C"/>
    <w:rsid w:val="005776D5"/>
    <w:rsid w:val="0057773D"/>
    <w:rsid w:val="00580DFC"/>
    <w:rsid w:val="00581EC5"/>
    <w:rsid w:val="00581F50"/>
    <w:rsid w:val="00581F85"/>
    <w:rsid w:val="00582F9F"/>
    <w:rsid w:val="00583A30"/>
    <w:rsid w:val="00583D43"/>
    <w:rsid w:val="005846C3"/>
    <w:rsid w:val="00584F04"/>
    <w:rsid w:val="0058577D"/>
    <w:rsid w:val="005857F7"/>
    <w:rsid w:val="0058589A"/>
    <w:rsid w:val="00585EF2"/>
    <w:rsid w:val="0058697C"/>
    <w:rsid w:val="0058767F"/>
    <w:rsid w:val="00587D7B"/>
    <w:rsid w:val="00587FCC"/>
    <w:rsid w:val="005901B7"/>
    <w:rsid w:val="005904DB"/>
    <w:rsid w:val="0059062F"/>
    <w:rsid w:val="00590F17"/>
    <w:rsid w:val="00592825"/>
    <w:rsid w:val="005931BD"/>
    <w:rsid w:val="00593806"/>
    <w:rsid w:val="00593A93"/>
    <w:rsid w:val="00594437"/>
    <w:rsid w:val="00594A51"/>
    <w:rsid w:val="00594DA9"/>
    <w:rsid w:val="005955EB"/>
    <w:rsid w:val="0059683E"/>
    <w:rsid w:val="00596CFA"/>
    <w:rsid w:val="00596E7D"/>
    <w:rsid w:val="005970C0"/>
    <w:rsid w:val="005975CE"/>
    <w:rsid w:val="00597CE1"/>
    <w:rsid w:val="005A121F"/>
    <w:rsid w:val="005A13C0"/>
    <w:rsid w:val="005A1A31"/>
    <w:rsid w:val="005A359B"/>
    <w:rsid w:val="005A36C2"/>
    <w:rsid w:val="005A3719"/>
    <w:rsid w:val="005A3A4F"/>
    <w:rsid w:val="005A3AF5"/>
    <w:rsid w:val="005A3DD7"/>
    <w:rsid w:val="005A418C"/>
    <w:rsid w:val="005A48B5"/>
    <w:rsid w:val="005A4F48"/>
    <w:rsid w:val="005A5036"/>
    <w:rsid w:val="005A56BB"/>
    <w:rsid w:val="005A6DBE"/>
    <w:rsid w:val="005A733D"/>
    <w:rsid w:val="005A7A32"/>
    <w:rsid w:val="005A7F85"/>
    <w:rsid w:val="005B102C"/>
    <w:rsid w:val="005B1AAB"/>
    <w:rsid w:val="005B2930"/>
    <w:rsid w:val="005B2B87"/>
    <w:rsid w:val="005B387B"/>
    <w:rsid w:val="005B3B01"/>
    <w:rsid w:val="005B3DB1"/>
    <w:rsid w:val="005B4333"/>
    <w:rsid w:val="005B4534"/>
    <w:rsid w:val="005B458C"/>
    <w:rsid w:val="005B4852"/>
    <w:rsid w:val="005B48C1"/>
    <w:rsid w:val="005B4F0B"/>
    <w:rsid w:val="005B5603"/>
    <w:rsid w:val="005B5994"/>
    <w:rsid w:val="005B61F4"/>
    <w:rsid w:val="005B667A"/>
    <w:rsid w:val="005B6FA1"/>
    <w:rsid w:val="005B707A"/>
    <w:rsid w:val="005C0372"/>
    <w:rsid w:val="005C039B"/>
    <w:rsid w:val="005C059F"/>
    <w:rsid w:val="005C07CE"/>
    <w:rsid w:val="005C0B8F"/>
    <w:rsid w:val="005C2294"/>
    <w:rsid w:val="005C2997"/>
    <w:rsid w:val="005C3344"/>
    <w:rsid w:val="005C4C71"/>
    <w:rsid w:val="005C4E4D"/>
    <w:rsid w:val="005C5A97"/>
    <w:rsid w:val="005C679D"/>
    <w:rsid w:val="005C685D"/>
    <w:rsid w:val="005C6D5D"/>
    <w:rsid w:val="005D01C3"/>
    <w:rsid w:val="005D2078"/>
    <w:rsid w:val="005D23DE"/>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0B4E"/>
    <w:rsid w:val="005F0E4B"/>
    <w:rsid w:val="005F1CD7"/>
    <w:rsid w:val="005F1EF7"/>
    <w:rsid w:val="005F237F"/>
    <w:rsid w:val="005F2CD5"/>
    <w:rsid w:val="005F377F"/>
    <w:rsid w:val="005F403D"/>
    <w:rsid w:val="005F5A0D"/>
    <w:rsid w:val="005F61DF"/>
    <w:rsid w:val="005F77F8"/>
    <w:rsid w:val="00600FF9"/>
    <w:rsid w:val="006011E3"/>
    <w:rsid w:val="0060150C"/>
    <w:rsid w:val="00601F66"/>
    <w:rsid w:val="00601F8F"/>
    <w:rsid w:val="00603373"/>
    <w:rsid w:val="006036D0"/>
    <w:rsid w:val="006042CD"/>
    <w:rsid w:val="0060480B"/>
    <w:rsid w:val="006052AF"/>
    <w:rsid w:val="006054A5"/>
    <w:rsid w:val="00605883"/>
    <w:rsid w:val="006059E4"/>
    <w:rsid w:val="006062A0"/>
    <w:rsid w:val="00607BAE"/>
    <w:rsid w:val="0061098D"/>
    <w:rsid w:val="00610EDD"/>
    <w:rsid w:val="00611367"/>
    <w:rsid w:val="00611AC8"/>
    <w:rsid w:val="00611B59"/>
    <w:rsid w:val="00611FBA"/>
    <w:rsid w:val="0061272A"/>
    <w:rsid w:val="00613AA2"/>
    <w:rsid w:val="006155F1"/>
    <w:rsid w:val="00615FAB"/>
    <w:rsid w:val="00620055"/>
    <w:rsid w:val="006212D3"/>
    <w:rsid w:val="0062213A"/>
    <w:rsid w:val="00623A5E"/>
    <w:rsid w:val="00625008"/>
    <w:rsid w:val="0062676D"/>
    <w:rsid w:val="00626930"/>
    <w:rsid w:val="00626BAC"/>
    <w:rsid w:val="00626F04"/>
    <w:rsid w:val="006271C3"/>
    <w:rsid w:val="0063001E"/>
    <w:rsid w:val="00630BB1"/>
    <w:rsid w:val="00630BCC"/>
    <w:rsid w:val="00630D58"/>
    <w:rsid w:val="00631005"/>
    <w:rsid w:val="00632727"/>
    <w:rsid w:val="00633EF3"/>
    <w:rsid w:val="00635B73"/>
    <w:rsid w:val="0063656C"/>
    <w:rsid w:val="006368A8"/>
    <w:rsid w:val="00636CC7"/>
    <w:rsid w:val="00637C2C"/>
    <w:rsid w:val="00637F27"/>
    <w:rsid w:val="00641166"/>
    <w:rsid w:val="006427DD"/>
    <w:rsid w:val="0064320C"/>
    <w:rsid w:val="00643F89"/>
    <w:rsid w:val="00644BED"/>
    <w:rsid w:val="00644E1D"/>
    <w:rsid w:val="00644E2E"/>
    <w:rsid w:val="00645823"/>
    <w:rsid w:val="00645CB4"/>
    <w:rsid w:val="00651A0F"/>
    <w:rsid w:val="00651D38"/>
    <w:rsid w:val="00651F59"/>
    <w:rsid w:val="00652564"/>
    <w:rsid w:val="00652CF5"/>
    <w:rsid w:val="006533D5"/>
    <w:rsid w:val="0065343E"/>
    <w:rsid w:val="00653C7C"/>
    <w:rsid w:val="006540B1"/>
    <w:rsid w:val="006558CD"/>
    <w:rsid w:val="00656CD4"/>
    <w:rsid w:val="00656D49"/>
    <w:rsid w:val="00656E4D"/>
    <w:rsid w:val="006576BA"/>
    <w:rsid w:val="00661669"/>
    <w:rsid w:val="00661D08"/>
    <w:rsid w:val="00661E71"/>
    <w:rsid w:val="00662401"/>
    <w:rsid w:val="00662D3D"/>
    <w:rsid w:val="00662F1F"/>
    <w:rsid w:val="00664190"/>
    <w:rsid w:val="00664DB5"/>
    <w:rsid w:val="00665253"/>
    <w:rsid w:val="006672C9"/>
    <w:rsid w:val="00667335"/>
    <w:rsid w:val="006673B9"/>
    <w:rsid w:val="0066790C"/>
    <w:rsid w:val="006700F1"/>
    <w:rsid w:val="006720BC"/>
    <w:rsid w:val="00672D0F"/>
    <w:rsid w:val="00673B64"/>
    <w:rsid w:val="00673FC1"/>
    <w:rsid w:val="00674AAE"/>
    <w:rsid w:val="00674B18"/>
    <w:rsid w:val="00675430"/>
    <w:rsid w:val="00675749"/>
    <w:rsid w:val="00677382"/>
    <w:rsid w:val="0067772D"/>
    <w:rsid w:val="00677DF0"/>
    <w:rsid w:val="0068019B"/>
    <w:rsid w:val="00680714"/>
    <w:rsid w:val="0068071D"/>
    <w:rsid w:val="00680C6B"/>
    <w:rsid w:val="0068176C"/>
    <w:rsid w:val="00681936"/>
    <w:rsid w:val="00683068"/>
    <w:rsid w:val="00683DAD"/>
    <w:rsid w:val="0068443C"/>
    <w:rsid w:val="006844E3"/>
    <w:rsid w:val="00684727"/>
    <w:rsid w:val="00684963"/>
    <w:rsid w:val="00684F04"/>
    <w:rsid w:val="00685033"/>
    <w:rsid w:val="00685D65"/>
    <w:rsid w:val="006866C8"/>
    <w:rsid w:val="00687031"/>
    <w:rsid w:val="0068790B"/>
    <w:rsid w:val="00687AF2"/>
    <w:rsid w:val="00687DA2"/>
    <w:rsid w:val="00687E87"/>
    <w:rsid w:val="00687E90"/>
    <w:rsid w:val="006901AC"/>
    <w:rsid w:val="006904C2"/>
    <w:rsid w:val="0069063A"/>
    <w:rsid w:val="00691890"/>
    <w:rsid w:val="00692DEE"/>
    <w:rsid w:val="00693701"/>
    <w:rsid w:val="006939A8"/>
    <w:rsid w:val="006945A1"/>
    <w:rsid w:val="0069469C"/>
    <w:rsid w:val="00694982"/>
    <w:rsid w:val="0069588A"/>
    <w:rsid w:val="00695EAC"/>
    <w:rsid w:val="006967A7"/>
    <w:rsid w:val="00697062"/>
    <w:rsid w:val="006971F8"/>
    <w:rsid w:val="00697228"/>
    <w:rsid w:val="00697D5F"/>
    <w:rsid w:val="006A060C"/>
    <w:rsid w:val="006A150D"/>
    <w:rsid w:val="006A1526"/>
    <w:rsid w:val="006A15D7"/>
    <w:rsid w:val="006A1C12"/>
    <w:rsid w:val="006A39D0"/>
    <w:rsid w:val="006A4321"/>
    <w:rsid w:val="006A61EE"/>
    <w:rsid w:val="006A6FA6"/>
    <w:rsid w:val="006B0580"/>
    <w:rsid w:val="006B0F30"/>
    <w:rsid w:val="006B1AC4"/>
    <w:rsid w:val="006B1D06"/>
    <w:rsid w:val="006B2823"/>
    <w:rsid w:val="006B2B32"/>
    <w:rsid w:val="006B33DB"/>
    <w:rsid w:val="006B49D5"/>
    <w:rsid w:val="006B4CF8"/>
    <w:rsid w:val="006B4F30"/>
    <w:rsid w:val="006B5FBC"/>
    <w:rsid w:val="006B659A"/>
    <w:rsid w:val="006B6ED2"/>
    <w:rsid w:val="006C0230"/>
    <w:rsid w:val="006C09CC"/>
    <w:rsid w:val="006C09F4"/>
    <w:rsid w:val="006C1029"/>
    <w:rsid w:val="006C19BF"/>
    <w:rsid w:val="006C20DB"/>
    <w:rsid w:val="006C384A"/>
    <w:rsid w:val="006C3EFE"/>
    <w:rsid w:val="006C49D9"/>
    <w:rsid w:val="006C4C3E"/>
    <w:rsid w:val="006C5D5D"/>
    <w:rsid w:val="006C6303"/>
    <w:rsid w:val="006C6D6B"/>
    <w:rsid w:val="006C6EBD"/>
    <w:rsid w:val="006C7CD6"/>
    <w:rsid w:val="006D0681"/>
    <w:rsid w:val="006D07AC"/>
    <w:rsid w:val="006D0A80"/>
    <w:rsid w:val="006D0E83"/>
    <w:rsid w:val="006D303B"/>
    <w:rsid w:val="006D312B"/>
    <w:rsid w:val="006D43C1"/>
    <w:rsid w:val="006D5442"/>
    <w:rsid w:val="006D6E4E"/>
    <w:rsid w:val="006D7F1B"/>
    <w:rsid w:val="006E00E3"/>
    <w:rsid w:val="006E045C"/>
    <w:rsid w:val="006E065E"/>
    <w:rsid w:val="006E0B5E"/>
    <w:rsid w:val="006E0FA8"/>
    <w:rsid w:val="006E189B"/>
    <w:rsid w:val="006E27A6"/>
    <w:rsid w:val="006E2902"/>
    <w:rsid w:val="006E2F9D"/>
    <w:rsid w:val="006E37C6"/>
    <w:rsid w:val="006E41ED"/>
    <w:rsid w:val="006E4667"/>
    <w:rsid w:val="006E5BAE"/>
    <w:rsid w:val="006F07C0"/>
    <w:rsid w:val="006F123C"/>
    <w:rsid w:val="006F2046"/>
    <w:rsid w:val="006F25E5"/>
    <w:rsid w:val="006F41F4"/>
    <w:rsid w:val="006F4DD2"/>
    <w:rsid w:val="006F5813"/>
    <w:rsid w:val="006F59A8"/>
    <w:rsid w:val="006F5A1D"/>
    <w:rsid w:val="006F5B1E"/>
    <w:rsid w:val="006F5BD0"/>
    <w:rsid w:val="006F71A6"/>
    <w:rsid w:val="006F7974"/>
    <w:rsid w:val="006F7C2C"/>
    <w:rsid w:val="00700D18"/>
    <w:rsid w:val="007010CB"/>
    <w:rsid w:val="0070168D"/>
    <w:rsid w:val="00701C36"/>
    <w:rsid w:val="0070254B"/>
    <w:rsid w:val="0070283C"/>
    <w:rsid w:val="0070353F"/>
    <w:rsid w:val="0070415E"/>
    <w:rsid w:val="00704D34"/>
    <w:rsid w:val="00705060"/>
    <w:rsid w:val="00705351"/>
    <w:rsid w:val="00705F34"/>
    <w:rsid w:val="007069AE"/>
    <w:rsid w:val="00706C89"/>
    <w:rsid w:val="00707967"/>
    <w:rsid w:val="00707E6D"/>
    <w:rsid w:val="00710257"/>
    <w:rsid w:val="007119DC"/>
    <w:rsid w:val="00711BDB"/>
    <w:rsid w:val="00711CC7"/>
    <w:rsid w:val="007122B1"/>
    <w:rsid w:val="0071294A"/>
    <w:rsid w:val="00712BDD"/>
    <w:rsid w:val="00712E1E"/>
    <w:rsid w:val="00712F37"/>
    <w:rsid w:val="00713A6B"/>
    <w:rsid w:val="0071499C"/>
    <w:rsid w:val="00714F73"/>
    <w:rsid w:val="00715CA8"/>
    <w:rsid w:val="0071604D"/>
    <w:rsid w:val="00716186"/>
    <w:rsid w:val="00716DE6"/>
    <w:rsid w:val="0071724E"/>
    <w:rsid w:val="00717324"/>
    <w:rsid w:val="0071732D"/>
    <w:rsid w:val="00720AEE"/>
    <w:rsid w:val="007210F6"/>
    <w:rsid w:val="0072139F"/>
    <w:rsid w:val="00721FC3"/>
    <w:rsid w:val="00722A86"/>
    <w:rsid w:val="00722C69"/>
    <w:rsid w:val="0072340A"/>
    <w:rsid w:val="0072388C"/>
    <w:rsid w:val="00725853"/>
    <w:rsid w:val="00725FE7"/>
    <w:rsid w:val="00725FF7"/>
    <w:rsid w:val="007261C5"/>
    <w:rsid w:val="00726665"/>
    <w:rsid w:val="007266B9"/>
    <w:rsid w:val="00726B00"/>
    <w:rsid w:val="0072703C"/>
    <w:rsid w:val="007278FE"/>
    <w:rsid w:val="00727AC5"/>
    <w:rsid w:val="00727C65"/>
    <w:rsid w:val="00731872"/>
    <w:rsid w:val="00731EA1"/>
    <w:rsid w:val="0073276B"/>
    <w:rsid w:val="00734932"/>
    <w:rsid w:val="00735960"/>
    <w:rsid w:val="007364A3"/>
    <w:rsid w:val="007378FD"/>
    <w:rsid w:val="007413EB"/>
    <w:rsid w:val="007422CA"/>
    <w:rsid w:val="00742D32"/>
    <w:rsid w:val="00742E9B"/>
    <w:rsid w:val="007444E6"/>
    <w:rsid w:val="0074592C"/>
    <w:rsid w:val="00746542"/>
    <w:rsid w:val="00747578"/>
    <w:rsid w:val="00750B6B"/>
    <w:rsid w:val="00751073"/>
    <w:rsid w:val="00752188"/>
    <w:rsid w:val="0075281E"/>
    <w:rsid w:val="00752866"/>
    <w:rsid w:val="00752CC6"/>
    <w:rsid w:val="007533F1"/>
    <w:rsid w:val="00753B46"/>
    <w:rsid w:val="007544E2"/>
    <w:rsid w:val="00754580"/>
    <w:rsid w:val="00754A29"/>
    <w:rsid w:val="00754B1A"/>
    <w:rsid w:val="007557A1"/>
    <w:rsid w:val="00755BCF"/>
    <w:rsid w:val="00756C5F"/>
    <w:rsid w:val="00756D69"/>
    <w:rsid w:val="00757029"/>
    <w:rsid w:val="0076093D"/>
    <w:rsid w:val="00760C5C"/>
    <w:rsid w:val="0076161B"/>
    <w:rsid w:val="00761BA0"/>
    <w:rsid w:val="00761CB5"/>
    <w:rsid w:val="0076228C"/>
    <w:rsid w:val="00763137"/>
    <w:rsid w:val="00763278"/>
    <w:rsid w:val="007636C2"/>
    <w:rsid w:val="0076417E"/>
    <w:rsid w:val="0076445C"/>
    <w:rsid w:val="007665A7"/>
    <w:rsid w:val="00767425"/>
    <w:rsid w:val="007675DD"/>
    <w:rsid w:val="007705F0"/>
    <w:rsid w:val="00770A16"/>
    <w:rsid w:val="0077150D"/>
    <w:rsid w:val="00771CAC"/>
    <w:rsid w:val="00772036"/>
    <w:rsid w:val="00772461"/>
    <w:rsid w:val="007739A3"/>
    <w:rsid w:val="00773BD9"/>
    <w:rsid w:val="00773CB0"/>
    <w:rsid w:val="00773D71"/>
    <w:rsid w:val="007752EB"/>
    <w:rsid w:val="00775526"/>
    <w:rsid w:val="007760FA"/>
    <w:rsid w:val="00776DAC"/>
    <w:rsid w:val="0077765A"/>
    <w:rsid w:val="007776E6"/>
    <w:rsid w:val="00780032"/>
    <w:rsid w:val="00780E86"/>
    <w:rsid w:val="007810F6"/>
    <w:rsid w:val="00781727"/>
    <w:rsid w:val="00781F96"/>
    <w:rsid w:val="007823F9"/>
    <w:rsid w:val="00782D32"/>
    <w:rsid w:val="007830E9"/>
    <w:rsid w:val="00783959"/>
    <w:rsid w:val="0078575A"/>
    <w:rsid w:val="0078585F"/>
    <w:rsid w:val="00786663"/>
    <w:rsid w:val="00786CBB"/>
    <w:rsid w:val="00790072"/>
    <w:rsid w:val="0079038E"/>
    <w:rsid w:val="00792909"/>
    <w:rsid w:val="00792A00"/>
    <w:rsid w:val="00792C3F"/>
    <w:rsid w:val="00792EE2"/>
    <w:rsid w:val="00793105"/>
    <w:rsid w:val="007931E8"/>
    <w:rsid w:val="00793333"/>
    <w:rsid w:val="00794B98"/>
    <w:rsid w:val="00794E46"/>
    <w:rsid w:val="00794FB6"/>
    <w:rsid w:val="007952DE"/>
    <w:rsid w:val="00795479"/>
    <w:rsid w:val="00795ADA"/>
    <w:rsid w:val="00796292"/>
    <w:rsid w:val="007972D5"/>
    <w:rsid w:val="0079788C"/>
    <w:rsid w:val="007978E8"/>
    <w:rsid w:val="007A06AC"/>
    <w:rsid w:val="007A0789"/>
    <w:rsid w:val="007A0FD5"/>
    <w:rsid w:val="007A130E"/>
    <w:rsid w:val="007A18B1"/>
    <w:rsid w:val="007A1BBD"/>
    <w:rsid w:val="007A1F08"/>
    <w:rsid w:val="007A25FA"/>
    <w:rsid w:val="007A301D"/>
    <w:rsid w:val="007A3520"/>
    <w:rsid w:val="007A3878"/>
    <w:rsid w:val="007A3D85"/>
    <w:rsid w:val="007A54F6"/>
    <w:rsid w:val="007A585B"/>
    <w:rsid w:val="007A5950"/>
    <w:rsid w:val="007A6D91"/>
    <w:rsid w:val="007B0306"/>
    <w:rsid w:val="007B0629"/>
    <w:rsid w:val="007B1E76"/>
    <w:rsid w:val="007B2705"/>
    <w:rsid w:val="007B2E54"/>
    <w:rsid w:val="007B3A8E"/>
    <w:rsid w:val="007B3C9B"/>
    <w:rsid w:val="007B4400"/>
    <w:rsid w:val="007B54B7"/>
    <w:rsid w:val="007B54C7"/>
    <w:rsid w:val="007B5DC5"/>
    <w:rsid w:val="007B63FC"/>
    <w:rsid w:val="007B6708"/>
    <w:rsid w:val="007B6E8D"/>
    <w:rsid w:val="007B722F"/>
    <w:rsid w:val="007B755E"/>
    <w:rsid w:val="007C029E"/>
    <w:rsid w:val="007C0636"/>
    <w:rsid w:val="007C10E4"/>
    <w:rsid w:val="007C2058"/>
    <w:rsid w:val="007C2434"/>
    <w:rsid w:val="007C27E0"/>
    <w:rsid w:val="007C336E"/>
    <w:rsid w:val="007C3590"/>
    <w:rsid w:val="007C387A"/>
    <w:rsid w:val="007C43D6"/>
    <w:rsid w:val="007C583B"/>
    <w:rsid w:val="007C660F"/>
    <w:rsid w:val="007C69AE"/>
    <w:rsid w:val="007C7688"/>
    <w:rsid w:val="007C76E3"/>
    <w:rsid w:val="007C7DD9"/>
    <w:rsid w:val="007D128D"/>
    <w:rsid w:val="007D1667"/>
    <w:rsid w:val="007D2606"/>
    <w:rsid w:val="007D2836"/>
    <w:rsid w:val="007D2932"/>
    <w:rsid w:val="007D2C31"/>
    <w:rsid w:val="007D3862"/>
    <w:rsid w:val="007D3D12"/>
    <w:rsid w:val="007D445F"/>
    <w:rsid w:val="007D4DED"/>
    <w:rsid w:val="007D5BA2"/>
    <w:rsid w:val="007D5ED3"/>
    <w:rsid w:val="007D6FB9"/>
    <w:rsid w:val="007D713C"/>
    <w:rsid w:val="007E099B"/>
    <w:rsid w:val="007E0A63"/>
    <w:rsid w:val="007E0C63"/>
    <w:rsid w:val="007E1DF8"/>
    <w:rsid w:val="007E2321"/>
    <w:rsid w:val="007E404E"/>
    <w:rsid w:val="007E4EB3"/>
    <w:rsid w:val="007E50B4"/>
    <w:rsid w:val="007E54B8"/>
    <w:rsid w:val="007E54DB"/>
    <w:rsid w:val="007E6B25"/>
    <w:rsid w:val="007E6F55"/>
    <w:rsid w:val="007E7BF9"/>
    <w:rsid w:val="007F2B18"/>
    <w:rsid w:val="007F2B4B"/>
    <w:rsid w:val="007F2C38"/>
    <w:rsid w:val="007F30C6"/>
    <w:rsid w:val="007F3651"/>
    <w:rsid w:val="007F3752"/>
    <w:rsid w:val="007F416F"/>
    <w:rsid w:val="007F4318"/>
    <w:rsid w:val="007F47DA"/>
    <w:rsid w:val="007F4E52"/>
    <w:rsid w:val="007F4F84"/>
    <w:rsid w:val="007F55A4"/>
    <w:rsid w:val="007F56C4"/>
    <w:rsid w:val="007F661E"/>
    <w:rsid w:val="007F6D6B"/>
    <w:rsid w:val="007F74DA"/>
    <w:rsid w:val="007F75BB"/>
    <w:rsid w:val="008005A9"/>
    <w:rsid w:val="00800766"/>
    <w:rsid w:val="00801D90"/>
    <w:rsid w:val="0080348B"/>
    <w:rsid w:val="00803EB0"/>
    <w:rsid w:val="00804C10"/>
    <w:rsid w:val="008052CE"/>
    <w:rsid w:val="008052DB"/>
    <w:rsid w:val="00805441"/>
    <w:rsid w:val="0080607D"/>
    <w:rsid w:val="0080705B"/>
    <w:rsid w:val="00807ABA"/>
    <w:rsid w:val="0081000F"/>
    <w:rsid w:val="00810BE4"/>
    <w:rsid w:val="00811E75"/>
    <w:rsid w:val="0081264E"/>
    <w:rsid w:val="00812A1A"/>
    <w:rsid w:val="00812DFF"/>
    <w:rsid w:val="008136B5"/>
    <w:rsid w:val="0081383A"/>
    <w:rsid w:val="008144E6"/>
    <w:rsid w:val="00814DE6"/>
    <w:rsid w:val="00814FC7"/>
    <w:rsid w:val="00816463"/>
    <w:rsid w:val="00816CB4"/>
    <w:rsid w:val="00816FE0"/>
    <w:rsid w:val="00817416"/>
    <w:rsid w:val="00817583"/>
    <w:rsid w:val="00817FAD"/>
    <w:rsid w:val="00821306"/>
    <w:rsid w:val="00821D85"/>
    <w:rsid w:val="0082207E"/>
    <w:rsid w:val="0082280A"/>
    <w:rsid w:val="00823FFD"/>
    <w:rsid w:val="008241F0"/>
    <w:rsid w:val="0082427D"/>
    <w:rsid w:val="0082646C"/>
    <w:rsid w:val="0082735C"/>
    <w:rsid w:val="00827E2A"/>
    <w:rsid w:val="00830052"/>
    <w:rsid w:val="008300D0"/>
    <w:rsid w:val="0083129C"/>
    <w:rsid w:val="00831480"/>
    <w:rsid w:val="0083257C"/>
    <w:rsid w:val="00833307"/>
    <w:rsid w:val="00833583"/>
    <w:rsid w:val="00833B5B"/>
    <w:rsid w:val="00833E9A"/>
    <w:rsid w:val="00834FEF"/>
    <w:rsid w:val="00836323"/>
    <w:rsid w:val="00836492"/>
    <w:rsid w:val="008366FE"/>
    <w:rsid w:val="008404AA"/>
    <w:rsid w:val="00841F29"/>
    <w:rsid w:val="0084244F"/>
    <w:rsid w:val="00842A0D"/>
    <w:rsid w:val="008460D2"/>
    <w:rsid w:val="0084737A"/>
    <w:rsid w:val="00850013"/>
    <w:rsid w:val="008500DD"/>
    <w:rsid w:val="00852426"/>
    <w:rsid w:val="00852FA5"/>
    <w:rsid w:val="0085476F"/>
    <w:rsid w:val="0085562D"/>
    <w:rsid w:val="00855F20"/>
    <w:rsid w:val="00856154"/>
    <w:rsid w:val="00856286"/>
    <w:rsid w:val="008572D4"/>
    <w:rsid w:val="00857591"/>
    <w:rsid w:val="008576B0"/>
    <w:rsid w:val="008606E4"/>
    <w:rsid w:val="00860AA0"/>
    <w:rsid w:val="00861948"/>
    <w:rsid w:val="00862011"/>
    <w:rsid w:val="0086213D"/>
    <w:rsid w:val="0086227B"/>
    <w:rsid w:val="0086290B"/>
    <w:rsid w:val="00862A15"/>
    <w:rsid w:val="00862D8E"/>
    <w:rsid w:val="00862EF2"/>
    <w:rsid w:val="00864D30"/>
    <w:rsid w:val="00866453"/>
    <w:rsid w:val="0086707F"/>
    <w:rsid w:val="00867501"/>
    <w:rsid w:val="0087099A"/>
    <w:rsid w:val="00871333"/>
    <w:rsid w:val="00872CB7"/>
    <w:rsid w:val="00873128"/>
    <w:rsid w:val="00873AAC"/>
    <w:rsid w:val="00873C61"/>
    <w:rsid w:val="0087422C"/>
    <w:rsid w:val="008749BF"/>
    <w:rsid w:val="00874F97"/>
    <w:rsid w:val="00875542"/>
    <w:rsid w:val="00875987"/>
    <w:rsid w:val="00875E14"/>
    <w:rsid w:val="0087677E"/>
    <w:rsid w:val="0087712C"/>
    <w:rsid w:val="00877C5D"/>
    <w:rsid w:val="00877CB6"/>
    <w:rsid w:val="0088093C"/>
    <w:rsid w:val="00881702"/>
    <w:rsid w:val="00881EBB"/>
    <w:rsid w:val="00882474"/>
    <w:rsid w:val="008824DF"/>
    <w:rsid w:val="00884371"/>
    <w:rsid w:val="00884D47"/>
    <w:rsid w:val="008858CD"/>
    <w:rsid w:val="008871B2"/>
    <w:rsid w:val="00887392"/>
    <w:rsid w:val="00890C40"/>
    <w:rsid w:val="008911F7"/>
    <w:rsid w:val="0089122B"/>
    <w:rsid w:val="00892DF7"/>
    <w:rsid w:val="00893F41"/>
    <w:rsid w:val="00894BBD"/>
    <w:rsid w:val="00894C79"/>
    <w:rsid w:val="0089558A"/>
    <w:rsid w:val="008972B6"/>
    <w:rsid w:val="008977E1"/>
    <w:rsid w:val="008A05E9"/>
    <w:rsid w:val="008A06C8"/>
    <w:rsid w:val="008A0B0C"/>
    <w:rsid w:val="008A26B1"/>
    <w:rsid w:val="008A2F5A"/>
    <w:rsid w:val="008A3E58"/>
    <w:rsid w:val="008A47CE"/>
    <w:rsid w:val="008A4CF9"/>
    <w:rsid w:val="008A5CBF"/>
    <w:rsid w:val="008A6BAE"/>
    <w:rsid w:val="008A7350"/>
    <w:rsid w:val="008B16E6"/>
    <w:rsid w:val="008B2042"/>
    <w:rsid w:val="008B25F1"/>
    <w:rsid w:val="008B35DC"/>
    <w:rsid w:val="008B3737"/>
    <w:rsid w:val="008B3F4B"/>
    <w:rsid w:val="008B562B"/>
    <w:rsid w:val="008B69B8"/>
    <w:rsid w:val="008B6A12"/>
    <w:rsid w:val="008C0335"/>
    <w:rsid w:val="008C05C7"/>
    <w:rsid w:val="008C094A"/>
    <w:rsid w:val="008C1077"/>
    <w:rsid w:val="008C1570"/>
    <w:rsid w:val="008C2059"/>
    <w:rsid w:val="008C213A"/>
    <w:rsid w:val="008C3B3C"/>
    <w:rsid w:val="008C58E7"/>
    <w:rsid w:val="008C60D0"/>
    <w:rsid w:val="008C65F4"/>
    <w:rsid w:val="008C7368"/>
    <w:rsid w:val="008C74CB"/>
    <w:rsid w:val="008D0CDD"/>
    <w:rsid w:val="008D0DC9"/>
    <w:rsid w:val="008D0E65"/>
    <w:rsid w:val="008D18D0"/>
    <w:rsid w:val="008D1FAF"/>
    <w:rsid w:val="008D2259"/>
    <w:rsid w:val="008D27E0"/>
    <w:rsid w:val="008D33FE"/>
    <w:rsid w:val="008D372B"/>
    <w:rsid w:val="008D3B9F"/>
    <w:rsid w:val="008D3D02"/>
    <w:rsid w:val="008D3E33"/>
    <w:rsid w:val="008D48DB"/>
    <w:rsid w:val="008D54C0"/>
    <w:rsid w:val="008D5760"/>
    <w:rsid w:val="008D577E"/>
    <w:rsid w:val="008D5ED9"/>
    <w:rsid w:val="008D6FDD"/>
    <w:rsid w:val="008D7567"/>
    <w:rsid w:val="008E1C24"/>
    <w:rsid w:val="008E2626"/>
    <w:rsid w:val="008E27A9"/>
    <w:rsid w:val="008E30AE"/>
    <w:rsid w:val="008E323C"/>
    <w:rsid w:val="008E35A6"/>
    <w:rsid w:val="008E3A5C"/>
    <w:rsid w:val="008E3A9A"/>
    <w:rsid w:val="008E3BE8"/>
    <w:rsid w:val="008E429E"/>
    <w:rsid w:val="008E5196"/>
    <w:rsid w:val="008E5452"/>
    <w:rsid w:val="008E5493"/>
    <w:rsid w:val="008E6853"/>
    <w:rsid w:val="008E78DF"/>
    <w:rsid w:val="008E7EAE"/>
    <w:rsid w:val="008F07FF"/>
    <w:rsid w:val="008F1BDA"/>
    <w:rsid w:val="008F2F11"/>
    <w:rsid w:val="008F33A6"/>
    <w:rsid w:val="008F35EC"/>
    <w:rsid w:val="008F4FE8"/>
    <w:rsid w:val="008F4FED"/>
    <w:rsid w:val="008F6200"/>
    <w:rsid w:val="008F62F8"/>
    <w:rsid w:val="008F6993"/>
    <w:rsid w:val="008F7292"/>
    <w:rsid w:val="008F7BE1"/>
    <w:rsid w:val="009000A3"/>
    <w:rsid w:val="009000F2"/>
    <w:rsid w:val="0090079D"/>
    <w:rsid w:val="00900D2C"/>
    <w:rsid w:val="00901F0E"/>
    <w:rsid w:val="0090408F"/>
    <w:rsid w:val="0090446A"/>
    <w:rsid w:val="00904501"/>
    <w:rsid w:val="00904DC3"/>
    <w:rsid w:val="009051D5"/>
    <w:rsid w:val="00905469"/>
    <w:rsid w:val="0090572B"/>
    <w:rsid w:val="0090629C"/>
    <w:rsid w:val="009065C6"/>
    <w:rsid w:val="00906EA2"/>
    <w:rsid w:val="00906EC8"/>
    <w:rsid w:val="00907278"/>
    <w:rsid w:val="009128B8"/>
    <w:rsid w:val="0091328F"/>
    <w:rsid w:val="00913ECA"/>
    <w:rsid w:val="0091422C"/>
    <w:rsid w:val="0091463B"/>
    <w:rsid w:val="009155EC"/>
    <w:rsid w:val="00915679"/>
    <w:rsid w:val="009159C2"/>
    <w:rsid w:val="00916F45"/>
    <w:rsid w:val="00916FAD"/>
    <w:rsid w:val="009175AF"/>
    <w:rsid w:val="00920A06"/>
    <w:rsid w:val="009221CB"/>
    <w:rsid w:val="00922320"/>
    <w:rsid w:val="00923643"/>
    <w:rsid w:val="009261DB"/>
    <w:rsid w:val="0092623E"/>
    <w:rsid w:val="009267B0"/>
    <w:rsid w:val="00930FDC"/>
    <w:rsid w:val="00931C63"/>
    <w:rsid w:val="00931D10"/>
    <w:rsid w:val="0093386D"/>
    <w:rsid w:val="0093389F"/>
    <w:rsid w:val="00933B0A"/>
    <w:rsid w:val="009340B8"/>
    <w:rsid w:val="00935194"/>
    <w:rsid w:val="009356D8"/>
    <w:rsid w:val="00935857"/>
    <w:rsid w:val="00936C0B"/>
    <w:rsid w:val="00937FA1"/>
    <w:rsid w:val="0094015D"/>
    <w:rsid w:val="0094188C"/>
    <w:rsid w:val="009441DB"/>
    <w:rsid w:val="0094424D"/>
    <w:rsid w:val="0094568E"/>
    <w:rsid w:val="009456FE"/>
    <w:rsid w:val="0094633F"/>
    <w:rsid w:val="009468C5"/>
    <w:rsid w:val="00947BA5"/>
    <w:rsid w:val="009504B5"/>
    <w:rsid w:val="00950805"/>
    <w:rsid w:val="009518D4"/>
    <w:rsid w:val="009520BC"/>
    <w:rsid w:val="00952B2F"/>
    <w:rsid w:val="00953573"/>
    <w:rsid w:val="00953DA9"/>
    <w:rsid w:val="00954202"/>
    <w:rsid w:val="00955173"/>
    <w:rsid w:val="00957499"/>
    <w:rsid w:val="00957ED2"/>
    <w:rsid w:val="0096049C"/>
    <w:rsid w:val="00960DE4"/>
    <w:rsid w:val="00961A4F"/>
    <w:rsid w:val="00962C9E"/>
    <w:rsid w:val="00963F03"/>
    <w:rsid w:val="00964007"/>
    <w:rsid w:val="009643F4"/>
    <w:rsid w:val="00964F5A"/>
    <w:rsid w:val="00965455"/>
    <w:rsid w:val="00966AD2"/>
    <w:rsid w:val="00967FC5"/>
    <w:rsid w:val="00970A93"/>
    <w:rsid w:val="009716D8"/>
    <w:rsid w:val="00971F54"/>
    <w:rsid w:val="00972057"/>
    <w:rsid w:val="0097227B"/>
    <w:rsid w:val="0097262E"/>
    <w:rsid w:val="00972BE7"/>
    <w:rsid w:val="0097354B"/>
    <w:rsid w:val="00973FA9"/>
    <w:rsid w:val="00974022"/>
    <w:rsid w:val="0097564A"/>
    <w:rsid w:val="00977298"/>
    <w:rsid w:val="009772F2"/>
    <w:rsid w:val="009778CF"/>
    <w:rsid w:val="00977B97"/>
    <w:rsid w:val="009810BE"/>
    <w:rsid w:val="009819A7"/>
    <w:rsid w:val="009851F5"/>
    <w:rsid w:val="0098534B"/>
    <w:rsid w:val="00986CE4"/>
    <w:rsid w:val="0098764E"/>
    <w:rsid w:val="00987CEA"/>
    <w:rsid w:val="00987D58"/>
    <w:rsid w:val="00987E32"/>
    <w:rsid w:val="00990490"/>
    <w:rsid w:val="009906D4"/>
    <w:rsid w:val="00990EB7"/>
    <w:rsid w:val="00990F5F"/>
    <w:rsid w:val="00993135"/>
    <w:rsid w:val="00993AC7"/>
    <w:rsid w:val="00997044"/>
    <w:rsid w:val="0099792B"/>
    <w:rsid w:val="009A106B"/>
    <w:rsid w:val="009A2B8C"/>
    <w:rsid w:val="009A2B9F"/>
    <w:rsid w:val="009A2BF3"/>
    <w:rsid w:val="009A3669"/>
    <w:rsid w:val="009A3C3E"/>
    <w:rsid w:val="009A412A"/>
    <w:rsid w:val="009A62AA"/>
    <w:rsid w:val="009A7E7C"/>
    <w:rsid w:val="009B2BF1"/>
    <w:rsid w:val="009B3564"/>
    <w:rsid w:val="009B3796"/>
    <w:rsid w:val="009B3A52"/>
    <w:rsid w:val="009B3D38"/>
    <w:rsid w:val="009B7505"/>
    <w:rsid w:val="009B7A05"/>
    <w:rsid w:val="009C0020"/>
    <w:rsid w:val="009C062F"/>
    <w:rsid w:val="009C19FC"/>
    <w:rsid w:val="009C27F7"/>
    <w:rsid w:val="009C3BC4"/>
    <w:rsid w:val="009C424E"/>
    <w:rsid w:val="009C4708"/>
    <w:rsid w:val="009C4870"/>
    <w:rsid w:val="009C4C4E"/>
    <w:rsid w:val="009C4D37"/>
    <w:rsid w:val="009C574C"/>
    <w:rsid w:val="009C5753"/>
    <w:rsid w:val="009C620F"/>
    <w:rsid w:val="009C7030"/>
    <w:rsid w:val="009C7CCA"/>
    <w:rsid w:val="009C7F2B"/>
    <w:rsid w:val="009D1654"/>
    <w:rsid w:val="009D1AE2"/>
    <w:rsid w:val="009D1BDB"/>
    <w:rsid w:val="009D24D5"/>
    <w:rsid w:val="009D256A"/>
    <w:rsid w:val="009D2F9C"/>
    <w:rsid w:val="009D4E4A"/>
    <w:rsid w:val="009D5130"/>
    <w:rsid w:val="009D5C2B"/>
    <w:rsid w:val="009D6081"/>
    <w:rsid w:val="009D678C"/>
    <w:rsid w:val="009D7186"/>
    <w:rsid w:val="009D7BC7"/>
    <w:rsid w:val="009D7FAC"/>
    <w:rsid w:val="009E011C"/>
    <w:rsid w:val="009E0342"/>
    <w:rsid w:val="009E09AB"/>
    <w:rsid w:val="009E19BB"/>
    <w:rsid w:val="009E227D"/>
    <w:rsid w:val="009E38D1"/>
    <w:rsid w:val="009E5582"/>
    <w:rsid w:val="009E5701"/>
    <w:rsid w:val="009E5711"/>
    <w:rsid w:val="009E6249"/>
    <w:rsid w:val="009E67EB"/>
    <w:rsid w:val="009E6D26"/>
    <w:rsid w:val="009E7530"/>
    <w:rsid w:val="009E758E"/>
    <w:rsid w:val="009E7A4C"/>
    <w:rsid w:val="009E7D6B"/>
    <w:rsid w:val="009E7EA9"/>
    <w:rsid w:val="009F1109"/>
    <w:rsid w:val="009F1FE0"/>
    <w:rsid w:val="009F24E8"/>
    <w:rsid w:val="009F2EDB"/>
    <w:rsid w:val="009F2F52"/>
    <w:rsid w:val="009F56C0"/>
    <w:rsid w:val="009F5C76"/>
    <w:rsid w:val="009F5E40"/>
    <w:rsid w:val="00A0082D"/>
    <w:rsid w:val="00A00E00"/>
    <w:rsid w:val="00A01221"/>
    <w:rsid w:val="00A012A8"/>
    <w:rsid w:val="00A016FF"/>
    <w:rsid w:val="00A01FD4"/>
    <w:rsid w:val="00A0207F"/>
    <w:rsid w:val="00A04337"/>
    <w:rsid w:val="00A044AA"/>
    <w:rsid w:val="00A04D99"/>
    <w:rsid w:val="00A078F6"/>
    <w:rsid w:val="00A1024B"/>
    <w:rsid w:val="00A1024E"/>
    <w:rsid w:val="00A102F8"/>
    <w:rsid w:val="00A10A20"/>
    <w:rsid w:val="00A116AC"/>
    <w:rsid w:val="00A117D5"/>
    <w:rsid w:val="00A123D0"/>
    <w:rsid w:val="00A12CCB"/>
    <w:rsid w:val="00A131F5"/>
    <w:rsid w:val="00A133C1"/>
    <w:rsid w:val="00A13F2D"/>
    <w:rsid w:val="00A14225"/>
    <w:rsid w:val="00A145B4"/>
    <w:rsid w:val="00A14F81"/>
    <w:rsid w:val="00A1535F"/>
    <w:rsid w:val="00A15CB1"/>
    <w:rsid w:val="00A15E84"/>
    <w:rsid w:val="00A16021"/>
    <w:rsid w:val="00A16F3E"/>
    <w:rsid w:val="00A17EA8"/>
    <w:rsid w:val="00A17FAC"/>
    <w:rsid w:val="00A22A9B"/>
    <w:rsid w:val="00A22C3E"/>
    <w:rsid w:val="00A22C4D"/>
    <w:rsid w:val="00A250C4"/>
    <w:rsid w:val="00A254AB"/>
    <w:rsid w:val="00A266CC"/>
    <w:rsid w:val="00A26DB4"/>
    <w:rsid w:val="00A3023E"/>
    <w:rsid w:val="00A305C5"/>
    <w:rsid w:val="00A30919"/>
    <w:rsid w:val="00A31FD2"/>
    <w:rsid w:val="00A33A02"/>
    <w:rsid w:val="00A33BDB"/>
    <w:rsid w:val="00A341AB"/>
    <w:rsid w:val="00A345F4"/>
    <w:rsid w:val="00A355F9"/>
    <w:rsid w:val="00A35AA9"/>
    <w:rsid w:val="00A364BC"/>
    <w:rsid w:val="00A3786A"/>
    <w:rsid w:val="00A402ED"/>
    <w:rsid w:val="00A40685"/>
    <w:rsid w:val="00A41123"/>
    <w:rsid w:val="00A41819"/>
    <w:rsid w:val="00A41C9A"/>
    <w:rsid w:val="00A4233F"/>
    <w:rsid w:val="00A42F49"/>
    <w:rsid w:val="00A433DA"/>
    <w:rsid w:val="00A433E8"/>
    <w:rsid w:val="00A437BB"/>
    <w:rsid w:val="00A4424E"/>
    <w:rsid w:val="00A44A45"/>
    <w:rsid w:val="00A44A4F"/>
    <w:rsid w:val="00A4534D"/>
    <w:rsid w:val="00A45BCA"/>
    <w:rsid w:val="00A45F65"/>
    <w:rsid w:val="00A46968"/>
    <w:rsid w:val="00A46BFB"/>
    <w:rsid w:val="00A46C6D"/>
    <w:rsid w:val="00A472B8"/>
    <w:rsid w:val="00A502F5"/>
    <w:rsid w:val="00A504F4"/>
    <w:rsid w:val="00A513E8"/>
    <w:rsid w:val="00A51577"/>
    <w:rsid w:val="00A51B47"/>
    <w:rsid w:val="00A526CE"/>
    <w:rsid w:val="00A54175"/>
    <w:rsid w:val="00A54DC0"/>
    <w:rsid w:val="00A5505E"/>
    <w:rsid w:val="00A550C9"/>
    <w:rsid w:val="00A55228"/>
    <w:rsid w:val="00A5589F"/>
    <w:rsid w:val="00A55D4E"/>
    <w:rsid w:val="00A564DE"/>
    <w:rsid w:val="00A600CC"/>
    <w:rsid w:val="00A60FF4"/>
    <w:rsid w:val="00A61B91"/>
    <w:rsid w:val="00A63335"/>
    <w:rsid w:val="00A63685"/>
    <w:rsid w:val="00A63CFE"/>
    <w:rsid w:val="00A63DDD"/>
    <w:rsid w:val="00A65278"/>
    <w:rsid w:val="00A66218"/>
    <w:rsid w:val="00A66473"/>
    <w:rsid w:val="00A66E28"/>
    <w:rsid w:val="00A70590"/>
    <w:rsid w:val="00A71542"/>
    <w:rsid w:val="00A71FA0"/>
    <w:rsid w:val="00A728A6"/>
    <w:rsid w:val="00A729BB"/>
    <w:rsid w:val="00A72C1A"/>
    <w:rsid w:val="00A74021"/>
    <w:rsid w:val="00A7463E"/>
    <w:rsid w:val="00A75AD0"/>
    <w:rsid w:val="00A762DA"/>
    <w:rsid w:val="00A765B1"/>
    <w:rsid w:val="00A76B41"/>
    <w:rsid w:val="00A772F2"/>
    <w:rsid w:val="00A77828"/>
    <w:rsid w:val="00A8073D"/>
    <w:rsid w:val="00A807A2"/>
    <w:rsid w:val="00A80D02"/>
    <w:rsid w:val="00A812A8"/>
    <w:rsid w:val="00A82D32"/>
    <w:rsid w:val="00A82EAE"/>
    <w:rsid w:val="00A83DF9"/>
    <w:rsid w:val="00A84F27"/>
    <w:rsid w:val="00A8519C"/>
    <w:rsid w:val="00A86720"/>
    <w:rsid w:val="00A86C4F"/>
    <w:rsid w:val="00A871B8"/>
    <w:rsid w:val="00A8733A"/>
    <w:rsid w:val="00A90B66"/>
    <w:rsid w:val="00A91D4B"/>
    <w:rsid w:val="00A920B2"/>
    <w:rsid w:val="00A92A96"/>
    <w:rsid w:val="00A92AF0"/>
    <w:rsid w:val="00A92CF7"/>
    <w:rsid w:val="00A930F2"/>
    <w:rsid w:val="00A936D1"/>
    <w:rsid w:val="00A937C6"/>
    <w:rsid w:val="00A937D5"/>
    <w:rsid w:val="00A93C70"/>
    <w:rsid w:val="00A94700"/>
    <w:rsid w:val="00A95087"/>
    <w:rsid w:val="00A963A4"/>
    <w:rsid w:val="00A96606"/>
    <w:rsid w:val="00A970CE"/>
    <w:rsid w:val="00A974A9"/>
    <w:rsid w:val="00A974ED"/>
    <w:rsid w:val="00A97718"/>
    <w:rsid w:val="00AA07A2"/>
    <w:rsid w:val="00AA08F3"/>
    <w:rsid w:val="00AA0F23"/>
    <w:rsid w:val="00AA1254"/>
    <w:rsid w:val="00AA1DA8"/>
    <w:rsid w:val="00AA238E"/>
    <w:rsid w:val="00AA2EB9"/>
    <w:rsid w:val="00AA3243"/>
    <w:rsid w:val="00AA388F"/>
    <w:rsid w:val="00AA443A"/>
    <w:rsid w:val="00AA4963"/>
    <w:rsid w:val="00AA4F6D"/>
    <w:rsid w:val="00AA5105"/>
    <w:rsid w:val="00AA536B"/>
    <w:rsid w:val="00AA57D7"/>
    <w:rsid w:val="00AA5A6F"/>
    <w:rsid w:val="00AA5C40"/>
    <w:rsid w:val="00AA6566"/>
    <w:rsid w:val="00AA6A3A"/>
    <w:rsid w:val="00AA6BB8"/>
    <w:rsid w:val="00AA7519"/>
    <w:rsid w:val="00AB02EA"/>
    <w:rsid w:val="00AB089A"/>
    <w:rsid w:val="00AB0A9D"/>
    <w:rsid w:val="00AB22BF"/>
    <w:rsid w:val="00AB256E"/>
    <w:rsid w:val="00AB2C19"/>
    <w:rsid w:val="00AB2CDF"/>
    <w:rsid w:val="00AB32AD"/>
    <w:rsid w:val="00AB3466"/>
    <w:rsid w:val="00AB3BBB"/>
    <w:rsid w:val="00AB408C"/>
    <w:rsid w:val="00AB5030"/>
    <w:rsid w:val="00AB53F8"/>
    <w:rsid w:val="00AB759A"/>
    <w:rsid w:val="00AB7B06"/>
    <w:rsid w:val="00AB7EAA"/>
    <w:rsid w:val="00AC0432"/>
    <w:rsid w:val="00AC4094"/>
    <w:rsid w:val="00AC42B6"/>
    <w:rsid w:val="00AC4AB7"/>
    <w:rsid w:val="00AC60EC"/>
    <w:rsid w:val="00AC6993"/>
    <w:rsid w:val="00AC6CD9"/>
    <w:rsid w:val="00AC79F5"/>
    <w:rsid w:val="00AC7E3D"/>
    <w:rsid w:val="00AD0ED4"/>
    <w:rsid w:val="00AD0F44"/>
    <w:rsid w:val="00AD20DF"/>
    <w:rsid w:val="00AD2679"/>
    <w:rsid w:val="00AD3F3C"/>
    <w:rsid w:val="00AD48BF"/>
    <w:rsid w:val="00AD50E4"/>
    <w:rsid w:val="00AD5F0A"/>
    <w:rsid w:val="00AD6741"/>
    <w:rsid w:val="00AD6B4F"/>
    <w:rsid w:val="00AD7CFA"/>
    <w:rsid w:val="00AE0A96"/>
    <w:rsid w:val="00AE1192"/>
    <w:rsid w:val="00AE11C1"/>
    <w:rsid w:val="00AE163D"/>
    <w:rsid w:val="00AE1C5C"/>
    <w:rsid w:val="00AE25D1"/>
    <w:rsid w:val="00AE2918"/>
    <w:rsid w:val="00AE315E"/>
    <w:rsid w:val="00AE31D9"/>
    <w:rsid w:val="00AE3CF0"/>
    <w:rsid w:val="00AE4337"/>
    <w:rsid w:val="00AE4467"/>
    <w:rsid w:val="00AE71EE"/>
    <w:rsid w:val="00AE7FE8"/>
    <w:rsid w:val="00AF03CF"/>
    <w:rsid w:val="00AF06B6"/>
    <w:rsid w:val="00AF0A0A"/>
    <w:rsid w:val="00AF1ED2"/>
    <w:rsid w:val="00AF1F4E"/>
    <w:rsid w:val="00AF1FF3"/>
    <w:rsid w:val="00AF3557"/>
    <w:rsid w:val="00AF4CEE"/>
    <w:rsid w:val="00AF5D84"/>
    <w:rsid w:val="00AF6206"/>
    <w:rsid w:val="00AF672C"/>
    <w:rsid w:val="00AF6D69"/>
    <w:rsid w:val="00AF6F5E"/>
    <w:rsid w:val="00B00190"/>
    <w:rsid w:val="00B00378"/>
    <w:rsid w:val="00B00E41"/>
    <w:rsid w:val="00B018BD"/>
    <w:rsid w:val="00B026CB"/>
    <w:rsid w:val="00B0354A"/>
    <w:rsid w:val="00B04041"/>
    <w:rsid w:val="00B04678"/>
    <w:rsid w:val="00B04A04"/>
    <w:rsid w:val="00B04F00"/>
    <w:rsid w:val="00B04FFC"/>
    <w:rsid w:val="00B05A5F"/>
    <w:rsid w:val="00B05A66"/>
    <w:rsid w:val="00B05EFD"/>
    <w:rsid w:val="00B066FE"/>
    <w:rsid w:val="00B06912"/>
    <w:rsid w:val="00B06A47"/>
    <w:rsid w:val="00B1049B"/>
    <w:rsid w:val="00B10B04"/>
    <w:rsid w:val="00B10CC6"/>
    <w:rsid w:val="00B1202F"/>
    <w:rsid w:val="00B12082"/>
    <w:rsid w:val="00B13389"/>
    <w:rsid w:val="00B1364C"/>
    <w:rsid w:val="00B141A5"/>
    <w:rsid w:val="00B143F4"/>
    <w:rsid w:val="00B146BF"/>
    <w:rsid w:val="00B15286"/>
    <w:rsid w:val="00B1550D"/>
    <w:rsid w:val="00B1631F"/>
    <w:rsid w:val="00B163E8"/>
    <w:rsid w:val="00B1767E"/>
    <w:rsid w:val="00B17FE0"/>
    <w:rsid w:val="00B203B6"/>
    <w:rsid w:val="00B203CE"/>
    <w:rsid w:val="00B21676"/>
    <w:rsid w:val="00B241D5"/>
    <w:rsid w:val="00B252B7"/>
    <w:rsid w:val="00B25E4F"/>
    <w:rsid w:val="00B26677"/>
    <w:rsid w:val="00B26C57"/>
    <w:rsid w:val="00B26CEF"/>
    <w:rsid w:val="00B274E3"/>
    <w:rsid w:val="00B27893"/>
    <w:rsid w:val="00B27B92"/>
    <w:rsid w:val="00B301D6"/>
    <w:rsid w:val="00B30563"/>
    <w:rsid w:val="00B306FB"/>
    <w:rsid w:val="00B30A76"/>
    <w:rsid w:val="00B318FD"/>
    <w:rsid w:val="00B3226D"/>
    <w:rsid w:val="00B3412E"/>
    <w:rsid w:val="00B346EA"/>
    <w:rsid w:val="00B352EC"/>
    <w:rsid w:val="00B356B8"/>
    <w:rsid w:val="00B35C9C"/>
    <w:rsid w:val="00B37B8E"/>
    <w:rsid w:val="00B40222"/>
    <w:rsid w:val="00B404C3"/>
    <w:rsid w:val="00B40BA6"/>
    <w:rsid w:val="00B4229B"/>
    <w:rsid w:val="00B4280F"/>
    <w:rsid w:val="00B43381"/>
    <w:rsid w:val="00B448BF"/>
    <w:rsid w:val="00B45B04"/>
    <w:rsid w:val="00B45F9F"/>
    <w:rsid w:val="00B45FAD"/>
    <w:rsid w:val="00B4627C"/>
    <w:rsid w:val="00B46793"/>
    <w:rsid w:val="00B46953"/>
    <w:rsid w:val="00B46A7F"/>
    <w:rsid w:val="00B47A59"/>
    <w:rsid w:val="00B47C24"/>
    <w:rsid w:val="00B51520"/>
    <w:rsid w:val="00B5169E"/>
    <w:rsid w:val="00B517C2"/>
    <w:rsid w:val="00B518CE"/>
    <w:rsid w:val="00B51BE2"/>
    <w:rsid w:val="00B51D77"/>
    <w:rsid w:val="00B52234"/>
    <w:rsid w:val="00B53623"/>
    <w:rsid w:val="00B536F5"/>
    <w:rsid w:val="00B53B62"/>
    <w:rsid w:val="00B53E98"/>
    <w:rsid w:val="00B545D7"/>
    <w:rsid w:val="00B5634D"/>
    <w:rsid w:val="00B56ECA"/>
    <w:rsid w:val="00B57093"/>
    <w:rsid w:val="00B60613"/>
    <w:rsid w:val="00B607BF"/>
    <w:rsid w:val="00B60DB5"/>
    <w:rsid w:val="00B613D1"/>
    <w:rsid w:val="00B616E6"/>
    <w:rsid w:val="00B61E88"/>
    <w:rsid w:val="00B6236A"/>
    <w:rsid w:val="00B630F2"/>
    <w:rsid w:val="00B63E7A"/>
    <w:rsid w:val="00B65582"/>
    <w:rsid w:val="00B65B23"/>
    <w:rsid w:val="00B66054"/>
    <w:rsid w:val="00B66D29"/>
    <w:rsid w:val="00B672EA"/>
    <w:rsid w:val="00B6747B"/>
    <w:rsid w:val="00B677A2"/>
    <w:rsid w:val="00B70200"/>
    <w:rsid w:val="00B72CF0"/>
    <w:rsid w:val="00B72D74"/>
    <w:rsid w:val="00B732B8"/>
    <w:rsid w:val="00B740F6"/>
    <w:rsid w:val="00B74615"/>
    <w:rsid w:val="00B75035"/>
    <w:rsid w:val="00B755B6"/>
    <w:rsid w:val="00B76B55"/>
    <w:rsid w:val="00B804F8"/>
    <w:rsid w:val="00B815D3"/>
    <w:rsid w:val="00B83174"/>
    <w:rsid w:val="00B83E76"/>
    <w:rsid w:val="00B84C69"/>
    <w:rsid w:val="00B8506D"/>
    <w:rsid w:val="00B85080"/>
    <w:rsid w:val="00B86289"/>
    <w:rsid w:val="00B8749E"/>
    <w:rsid w:val="00B87F1C"/>
    <w:rsid w:val="00B91B61"/>
    <w:rsid w:val="00B93849"/>
    <w:rsid w:val="00B942F5"/>
    <w:rsid w:val="00B944E9"/>
    <w:rsid w:val="00B94896"/>
    <w:rsid w:val="00B949D8"/>
    <w:rsid w:val="00B94B40"/>
    <w:rsid w:val="00B94C95"/>
    <w:rsid w:val="00B94CDD"/>
    <w:rsid w:val="00B9525B"/>
    <w:rsid w:val="00B965F4"/>
    <w:rsid w:val="00B96677"/>
    <w:rsid w:val="00B96F52"/>
    <w:rsid w:val="00B97C76"/>
    <w:rsid w:val="00BA05A5"/>
    <w:rsid w:val="00BA07F3"/>
    <w:rsid w:val="00BA15DC"/>
    <w:rsid w:val="00BA1602"/>
    <w:rsid w:val="00BA2C82"/>
    <w:rsid w:val="00BA2E8A"/>
    <w:rsid w:val="00BA3AE7"/>
    <w:rsid w:val="00BA583B"/>
    <w:rsid w:val="00BA5EC7"/>
    <w:rsid w:val="00BA6319"/>
    <w:rsid w:val="00BA63CE"/>
    <w:rsid w:val="00BA6551"/>
    <w:rsid w:val="00BA6791"/>
    <w:rsid w:val="00BA6E3C"/>
    <w:rsid w:val="00BA7227"/>
    <w:rsid w:val="00BA7CD7"/>
    <w:rsid w:val="00BA7D1F"/>
    <w:rsid w:val="00BB2E4E"/>
    <w:rsid w:val="00BB2E62"/>
    <w:rsid w:val="00BB36C9"/>
    <w:rsid w:val="00BB56EA"/>
    <w:rsid w:val="00BB5886"/>
    <w:rsid w:val="00BB6D7D"/>
    <w:rsid w:val="00BB7EC0"/>
    <w:rsid w:val="00BC0A5A"/>
    <w:rsid w:val="00BC0B2F"/>
    <w:rsid w:val="00BC0E64"/>
    <w:rsid w:val="00BC0F07"/>
    <w:rsid w:val="00BC25D1"/>
    <w:rsid w:val="00BC3BCB"/>
    <w:rsid w:val="00BC3F63"/>
    <w:rsid w:val="00BC427C"/>
    <w:rsid w:val="00BC428A"/>
    <w:rsid w:val="00BC48C0"/>
    <w:rsid w:val="00BC4C40"/>
    <w:rsid w:val="00BC5BAD"/>
    <w:rsid w:val="00BC76C5"/>
    <w:rsid w:val="00BC7B7B"/>
    <w:rsid w:val="00BD138A"/>
    <w:rsid w:val="00BD1547"/>
    <w:rsid w:val="00BD164A"/>
    <w:rsid w:val="00BD2B4D"/>
    <w:rsid w:val="00BD2DAE"/>
    <w:rsid w:val="00BD2FB9"/>
    <w:rsid w:val="00BD31C2"/>
    <w:rsid w:val="00BD450A"/>
    <w:rsid w:val="00BD4583"/>
    <w:rsid w:val="00BD4717"/>
    <w:rsid w:val="00BD48BC"/>
    <w:rsid w:val="00BD48EA"/>
    <w:rsid w:val="00BD4BA8"/>
    <w:rsid w:val="00BD4D14"/>
    <w:rsid w:val="00BD6430"/>
    <w:rsid w:val="00BD6B0E"/>
    <w:rsid w:val="00BD6DD6"/>
    <w:rsid w:val="00BD7941"/>
    <w:rsid w:val="00BD7E5F"/>
    <w:rsid w:val="00BE035B"/>
    <w:rsid w:val="00BE0C55"/>
    <w:rsid w:val="00BE11A2"/>
    <w:rsid w:val="00BE246C"/>
    <w:rsid w:val="00BE25A7"/>
    <w:rsid w:val="00BE2657"/>
    <w:rsid w:val="00BE2AF9"/>
    <w:rsid w:val="00BE2D74"/>
    <w:rsid w:val="00BE37AE"/>
    <w:rsid w:val="00BE3E21"/>
    <w:rsid w:val="00BE462E"/>
    <w:rsid w:val="00BE73C3"/>
    <w:rsid w:val="00BE7B29"/>
    <w:rsid w:val="00BF03C0"/>
    <w:rsid w:val="00BF21D4"/>
    <w:rsid w:val="00BF2E46"/>
    <w:rsid w:val="00BF4A15"/>
    <w:rsid w:val="00BF4C39"/>
    <w:rsid w:val="00BF4E27"/>
    <w:rsid w:val="00BF6D77"/>
    <w:rsid w:val="00BF7296"/>
    <w:rsid w:val="00BF77E0"/>
    <w:rsid w:val="00C01EF2"/>
    <w:rsid w:val="00C0378E"/>
    <w:rsid w:val="00C04258"/>
    <w:rsid w:val="00C05AFD"/>
    <w:rsid w:val="00C0724C"/>
    <w:rsid w:val="00C07AEF"/>
    <w:rsid w:val="00C07C11"/>
    <w:rsid w:val="00C07CC1"/>
    <w:rsid w:val="00C10015"/>
    <w:rsid w:val="00C10EF2"/>
    <w:rsid w:val="00C110FE"/>
    <w:rsid w:val="00C12ECB"/>
    <w:rsid w:val="00C13A2C"/>
    <w:rsid w:val="00C13B0A"/>
    <w:rsid w:val="00C14451"/>
    <w:rsid w:val="00C14ABD"/>
    <w:rsid w:val="00C14AE2"/>
    <w:rsid w:val="00C151E0"/>
    <w:rsid w:val="00C1546E"/>
    <w:rsid w:val="00C162A2"/>
    <w:rsid w:val="00C20051"/>
    <w:rsid w:val="00C205E8"/>
    <w:rsid w:val="00C20635"/>
    <w:rsid w:val="00C209D7"/>
    <w:rsid w:val="00C20B86"/>
    <w:rsid w:val="00C21145"/>
    <w:rsid w:val="00C21984"/>
    <w:rsid w:val="00C22B53"/>
    <w:rsid w:val="00C239A8"/>
    <w:rsid w:val="00C24381"/>
    <w:rsid w:val="00C249D9"/>
    <w:rsid w:val="00C24C2E"/>
    <w:rsid w:val="00C24C7A"/>
    <w:rsid w:val="00C24FFB"/>
    <w:rsid w:val="00C2596E"/>
    <w:rsid w:val="00C259E5"/>
    <w:rsid w:val="00C25CFF"/>
    <w:rsid w:val="00C261C1"/>
    <w:rsid w:val="00C27D1B"/>
    <w:rsid w:val="00C30B0B"/>
    <w:rsid w:val="00C31339"/>
    <w:rsid w:val="00C332D4"/>
    <w:rsid w:val="00C33E51"/>
    <w:rsid w:val="00C34067"/>
    <w:rsid w:val="00C34848"/>
    <w:rsid w:val="00C349B4"/>
    <w:rsid w:val="00C34C47"/>
    <w:rsid w:val="00C35A80"/>
    <w:rsid w:val="00C368F9"/>
    <w:rsid w:val="00C405C8"/>
    <w:rsid w:val="00C40740"/>
    <w:rsid w:val="00C419AA"/>
    <w:rsid w:val="00C41E09"/>
    <w:rsid w:val="00C42DBE"/>
    <w:rsid w:val="00C4360C"/>
    <w:rsid w:val="00C4414C"/>
    <w:rsid w:val="00C452DC"/>
    <w:rsid w:val="00C45926"/>
    <w:rsid w:val="00C46564"/>
    <w:rsid w:val="00C5084C"/>
    <w:rsid w:val="00C50A02"/>
    <w:rsid w:val="00C512D1"/>
    <w:rsid w:val="00C513AB"/>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552"/>
    <w:rsid w:val="00C71528"/>
    <w:rsid w:val="00C71F09"/>
    <w:rsid w:val="00C72588"/>
    <w:rsid w:val="00C727B9"/>
    <w:rsid w:val="00C73670"/>
    <w:rsid w:val="00C73ABB"/>
    <w:rsid w:val="00C73DE0"/>
    <w:rsid w:val="00C74609"/>
    <w:rsid w:val="00C749AB"/>
    <w:rsid w:val="00C75A8F"/>
    <w:rsid w:val="00C76E7B"/>
    <w:rsid w:val="00C80639"/>
    <w:rsid w:val="00C81716"/>
    <w:rsid w:val="00C82795"/>
    <w:rsid w:val="00C832CB"/>
    <w:rsid w:val="00C84085"/>
    <w:rsid w:val="00C8779E"/>
    <w:rsid w:val="00C87850"/>
    <w:rsid w:val="00C8796D"/>
    <w:rsid w:val="00C87BD0"/>
    <w:rsid w:val="00C907E7"/>
    <w:rsid w:val="00C90B95"/>
    <w:rsid w:val="00C90C9C"/>
    <w:rsid w:val="00C90CA9"/>
    <w:rsid w:val="00C90E58"/>
    <w:rsid w:val="00C9354F"/>
    <w:rsid w:val="00C93B40"/>
    <w:rsid w:val="00C93D48"/>
    <w:rsid w:val="00C93DB5"/>
    <w:rsid w:val="00C97DD7"/>
    <w:rsid w:val="00C97EF9"/>
    <w:rsid w:val="00CA0492"/>
    <w:rsid w:val="00CA0A04"/>
    <w:rsid w:val="00CA2C6B"/>
    <w:rsid w:val="00CA3CAB"/>
    <w:rsid w:val="00CA6896"/>
    <w:rsid w:val="00CA6A2E"/>
    <w:rsid w:val="00CA72C5"/>
    <w:rsid w:val="00CA750A"/>
    <w:rsid w:val="00CB1152"/>
    <w:rsid w:val="00CB1F6A"/>
    <w:rsid w:val="00CB519C"/>
    <w:rsid w:val="00CB52A4"/>
    <w:rsid w:val="00CB537C"/>
    <w:rsid w:val="00CB5778"/>
    <w:rsid w:val="00CB6541"/>
    <w:rsid w:val="00CB6675"/>
    <w:rsid w:val="00CC03A0"/>
    <w:rsid w:val="00CC07AE"/>
    <w:rsid w:val="00CC0915"/>
    <w:rsid w:val="00CC0EEA"/>
    <w:rsid w:val="00CC1AF5"/>
    <w:rsid w:val="00CC1B74"/>
    <w:rsid w:val="00CC2EB0"/>
    <w:rsid w:val="00CC2F38"/>
    <w:rsid w:val="00CC34BA"/>
    <w:rsid w:val="00CC3A92"/>
    <w:rsid w:val="00CC44F5"/>
    <w:rsid w:val="00CC4899"/>
    <w:rsid w:val="00CC5F95"/>
    <w:rsid w:val="00CC7AC1"/>
    <w:rsid w:val="00CD1255"/>
    <w:rsid w:val="00CD1484"/>
    <w:rsid w:val="00CD1892"/>
    <w:rsid w:val="00CD1D00"/>
    <w:rsid w:val="00CD26B8"/>
    <w:rsid w:val="00CD2A82"/>
    <w:rsid w:val="00CD32C2"/>
    <w:rsid w:val="00CD33C7"/>
    <w:rsid w:val="00CD347C"/>
    <w:rsid w:val="00CD3CAB"/>
    <w:rsid w:val="00CD3E80"/>
    <w:rsid w:val="00CD3FF0"/>
    <w:rsid w:val="00CD445A"/>
    <w:rsid w:val="00CD4E50"/>
    <w:rsid w:val="00CD5B87"/>
    <w:rsid w:val="00CD64E1"/>
    <w:rsid w:val="00CD699D"/>
    <w:rsid w:val="00CD701B"/>
    <w:rsid w:val="00CD70DB"/>
    <w:rsid w:val="00CD7466"/>
    <w:rsid w:val="00CD7C49"/>
    <w:rsid w:val="00CE1ECC"/>
    <w:rsid w:val="00CE2E2E"/>
    <w:rsid w:val="00CE3A51"/>
    <w:rsid w:val="00CE59F6"/>
    <w:rsid w:val="00CE5FCA"/>
    <w:rsid w:val="00CE6CEE"/>
    <w:rsid w:val="00CE71C3"/>
    <w:rsid w:val="00CE79E9"/>
    <w:rsid w:val="00CE7ECB"/>
    <w:rsid w:val="00CF0AF0"/>
    <w:rsid w:val="00CF0B4C"/>
    <w:rsid w:val="00CF11FC"/>
    <w:rsid w:val="00CF1834"/>
    <w:rsid w:val="00CF2172"/>
    <w:rsid w:val="00CF2ACF"/>
    <w:rsid w:val="00CF345B"/>
    <w:rsid w:val="00CF428B"/>
    <w:rsid w:val="00CF475F"/>
    <w:rsid w:val="00CF5069"/>
    <w:rsid w:val="00CF7082"/>
    <w:rsid w:val="00CF79B1"/>
    <w:rsid w:val="00D01590"/>
    <w:rsid w:val="00D0336E"/>
    <w:rsid w:val="00D04362"/>
    <w:rsid w:val="00D048E6"/>
    <w:rsid w:val="00D04F01"/>
    <w:rsid w:val="00D04F8B"/>
    <w:rsid w:val="00D054EF"/>
    <w:rsid w:val="00D05637"/>
    <w:rsid w:val="00D05BA9"/>
    <w:rsid w:val="00D06E71"/>
    <w:rsid w:val="00D0764E"/>
    <w:rsid w:val="00D07D82"/>
    <w:rsid w:val="00D10155"/>
    <w:rsid w:val="00D10BE1"/>
    <w:rsid w:val="00D11FE3"/>
    <w:rsid w:val="00D132F1"/>
    <w:rsid w:val="00D13D50"/>
    <w:rsid w:val="00D13E99"/>
    <w:rsid w:val="00D14919"/>
    <w:rsid w:val="00D14E25"/>
    <w:rsid w:val="00D1508A"/>
    <w:rsid w:val="00D1508B"/>
    <w:rsid w:val="00D152D6"/>
    <w:rsid w:val="00D165D8"/>
    <w:rsid w:val="00D1724E"/>
    <w:rsid w:val="00D17C81"/>
    <w:rsid w:val="00D206F6"/>
    <w:rsid w:val="00D20976"/>
    <w:rsid w:val="00D21F86"/>
    <w:rsid w:val="00D22132"/>
    <w:rsid w:val="00D237E0"/>
    <w:rsid w:val="00D2387F"/>
    <w:rsid w:val="00D25676"/>
    <w:rsid w:val="00D257C1"/>
    <w:rsid w:val="00D25F78"/>
    <w:rsid w:val="00D2655C"/>
    <w:rsid w:val="00D27129"/>
    <w:rsid w:val="00D2738C"/>
    <w:rsid w:val="00D279E7"/>
    <w:rsid w:val="00D27C97"/>
    <w:rsid w:val="00D27DD3"/>
    <w:rsid w:val="00D3006C"/>
    <w:rsid w:val="00D3046D"/>
    <w:rsid w:val="00D3076A"/>
    <w:rsid w:val="00D31B07"/>
    <w:rsid w:val="00D32D4D"/>
    <w:rsid w:val="00D32FA0"/>
    <w:rsid w:val="00D33112"/>
    <w:rsid w:val="00D331CB"/>
    <w:rsid w:val="00D3426E"/>
    <w:rsid w:val="00D346CC"/>
    <w:rsid w:val="00D35F8A"/>
    <w:rsid w:val="00D3746F"/>
    <w:rsid w:val="00D40160"/>
    <w:rsid w:val="00D40217"/>
    <w:rsid w:val="00D40385"/>
    <w:rsid w:val="00D404CE"/>
    <w:rsid w:val="00D412F3"/>
    <w:rsid w:val="00D417C6"/>
    <w:rsid w:val="00D4300F"/>
    <w:rsid w:val="00D43FAE"/>
    <w:rsid w:val="00D44259"/>
    <w:rsid w:val="00D44895"/>
    <w:rsid w:val="00D45A4D"/>
    <w:rsid w:val="00D46A3B"/>
    <w:rsid w:val="00D5064C"/>
    <w:rsid w:val="00D5098E"/>
    <w:rsid w:val="00D50AB7"/>
    <w:rsid w:val="00D51B02"/>
    <w:rsid w:val="00D539DA"/>
    <w:rsid w:val="00D55C81"/>
    <w:rsid w:val="00D56B56"/>
    <w:rsid w:val="00D56BF5"/>
    <w:rsid w:val="00D56F99"/>
    <w:rsid w:val="00D5743F"/>
    <w:rsid w:val="00D605C2"/>
    <w:rsid w:val="00D60733"/>
    <w:rsid w:val="00D61E1D"/>
    <w:rsid w:val="00D62BDF"/>
    <w:rsid w:val="00D648A3"/>
    <w:rsid w:val="00D64F1C"/>
    <w:rsid w:val="00D6570C"/>
    <w:rsid w:val="00D65D6E"/>
    <w:rsid w:val="00D670F7"/>
    <w:rsid w:val="00D675B0"/>
    <w:rsid w:val="00D70552"/>
    <w:rsid w:val="00D70D42"/>
    <w:rsid w:val="00D71285"/>
    <w:rsid w:val="00D71ABC"/>
    <w:rsid w:val="00D72175"/>
    <w:rsid w:val="00D72454"/>
    <w:rsid w:val="00D72537"/>
    <w:rsid w:val="00D72A5B"/>
    <w:rsid w:val="00D72F71"/>
    <w:rsid w:val="00D738F2"/>
    <w:rsid w:val="00D73F06"/>
    <w:rsid w:val="00D74160"/>
    <w:rsid w:val="00D74247"/>
    <w:rsid w:val="00D753A9"/>
    <w:rsid w:val="00D770C6"/>
    <w:rsid w:val="00D804C5"/>
    <w:rsid w:val="00D80645"/>
    <w:rsid w:val="00D81146"/>
    <w:rsid w:val="00D81A28"/>
    <w:rsid w:val="00D82AB8"/>
    <w:rsid w:val="00D82B00"/>
    <w:rsid w:val="00D82BE4"/>
    <w:rsid w:val="00D82E05"/>
    <w:rsid w:val="00D82F67"/>
    <w:rsid w:val="00D83A05"/>
    <w:rsid w:val="00D83C0D"/>
    <w:rsid w:val="00D865B6"/>
    <w:rsid w:val="00D869C1"/>
    <w:rsid w:val="00D86EC6"/>
    <w:rsid w:val="00D87418"/>
    <w:rsid w:val="00D87482"/>
    <w:rsid w:val="00D87EEC"/>
    <w:rsid w:val="00D87FE6"/>
    <w:rsid w:val="00D90BC3"/>
    <w:rsid w:val="00D90DB9"/>
    <w:rsid w:val="00D911D4"/>
    <w:rsid w:val="00D91337"/>
    <w:rsid w:val="00D915C9"/>
    <w:rsid w:val="00D9198F"/>
    <w:rsid w:val="00D92A87"/>
    <w:rsid w:val="00D92E24"/>
    <w:rsid w:val="00D92F25"/>
    <w:rsid w:val="00D934DA"/>
    <w:rsid w:val="00D9384E"/>
    <w:rsid w:val="00D93C74"/>
    <w:rsid w:val="00D93E68"/>
    <w:rsid w:val="00D94495"/>
    <w:rsid w:val="00D94C8D"/>
    <w:rsid w:val="00D95AEB"/>
    <w:rsid w:val="00D960B0"/>
    <w:rsid w:val="00D96876"/>
    <w:rsid w:val="00D96B12"/>
    <w:rsid w:val="00D96F59"/>
    <w:rsid w:val="00D972A1"/>
    <w:rsid w:val="00DA061C"/>
    <w:rsid w:val="00DA099C"/>
    <w:rsid w:val="00DA2125"/>
    <w:rsid w:val="00DA24DE"/>
    <w:rsid w:val="00DA281F"/>
    <w:rsid w:val="00DA289D"/>
    <w:rsid w:val="00DA314C"/>
    <w:rsid w:val="00DA3E06"/>
    <w:rsid w:val="00DA6EE2"/>
    <w:rsid w:val="00DA78CF"/>
    <w:rsid w:val="00DA7A89"/>
    <w:rsid w:val="00DA7BF4"/>
    <w:rsid w:val="00DA7F8B"/>
    <w:rsid w:val="00DB03E8"/>
    <w:rsid w:val="00DB08F0"/>
    <w:rsid w:val="00DB0C0F"/>
    <w:rsid w:val="00DB0C90"/>
    <w:rsid w:val="00DB102D"/>
    <w:rsid w:val="00DB12BA"/>
    <w:rsid w:val="00DB137B"/>
    <w:rsid w:val="00DB154B"/>
    <w:rsid w:val="00DB28FF"/>
    <w:rsid w:val="00DB3490"/>
    <w:rsid w:val="00DB4F12"/>
    <w:rsid w:val="00DB5256"/>
    <w:rsid w:val="00DB52A5"/>
    <w:rsid w:val="00DB53A2"/>
    <w:rsid w:val="00DB5A23"/>
    <w:rsid w:val="00DB6021"/>
    <w:rsid w:val="00DB6BD0"/>
    <w:rsid w:val="00DB6D2D"/>
    <w:rsid w:val="00DB6E8E"/>
    <w:rsid w:val="00DB6F96"/>
    <w:rsid w:val="00DB71B9"/>
    <w:rsid w:val="00DC0B56"/>
    <w:rsid w:val="00DC0FB9"/>
    <w:rsid w:val="00DC1395"/>
    <w:rsid w:val="00DC1BCB"/>
    <w:rsid w:val="00DC2095"/>
    <w:rsid w:val="00DC22F2"/>
    <w:rsid w:val="00DC2CD1"/>
    <w:rsid w:val="00DC32FC"/>
    <w:rsid w:val="00DC3F5B"/>
    <w:rsid w:val="00DC43C4"/>
    <w:rsid w:val="00DC4AC8"/>
    <w:rsid w:val="00DC4E76"/>
    <w:rsid w:val="00DC4F47"/>
    <w:rsid w:val="00DC5F96"/>
    <w:rsid w:val="00DC6747"/>
    <w:rsid w:val="00DC68AC"/>
    <w:rsid w:val="00DC6AF3"/>
    <w:rsid w:val="00DC740D"/>
    <w:rsid w:val="00DC7608"/>
    <w:rsid w:val="00DC761E"/>
    <w:rsid w:val="00DC7CFC"/>
    <w:rsid w:val="00DD0090"/>
    <w:rsid w:val="00DD2C42"/>
    <w:rsid w:val="00DD2D14"/>
    <w:rsid w:val="00DD3A99"/>
    <w:rsid w:val="00DD4344"/>
    <w:rsid w:val="00DD478E"/>
    <w:rsid w:val="00DD5B8C"/>
    <w:rsid w:val="00DD5DFA"/>
    <w:rsid w:val="00DD629F"/>
    <w:rsid w:val="00DD67EC"/>
    <w:rsid w:val="00DD6F7F"/>
    <w:rsid w:val="00DD781A"/>
    <w:rsid w:val="00DE0E2C"/>
    <w:rsid w:val="00DE1A9D"/>
    <w:rsid w:val="00DE1CB1"/>
    <w:rsid w:val="00DE2073"/>
    <w:rsid w:val="00DE30AC"/>
    <w:rsid w:val="00DE3630"/>
    <w:rsid w:val="00DE368A"/>
    <w:rsid w:val="00DE3CF3"/>
    <w:rsid w:val="00DE3CFD"/>
    <w:rsid w:val="00DE4106"/>
    <w:rsid w:val="00DE5563"/>
    <w:rsid w:val="00DE69AB"/>
    <w:rsid w:val="00DE6E4D"/>
    <w:rsid w:val="00DE796C"/>
    <w:rsid w:val="00DF05A0"/>
    <w:rsid w:val="00DF0E97"/>
    <w:rsid w:val="00DF1BA8"/>
    <w:rsid w:val="00DF1F63"/>
    <w:rsid w:val="00DF25FE"/>
    <w:rsid w:val="00DF28F2"/>
    <w:rsid w:val="00DF2BFF"/>
    <w:rsid w:val="00DF48D9"/>
    <w:rsid w:val="00DF4FF1"/>
    <w:rsid w:val="00DF57DE"/>
    <w:rsid w:val="00DF5ACA"/>
    <w:rsid w:val="00DF63C3"/>
    <w:rsid w:val="00DF6FD2"/>
    <w:rsid w:val="00DF7724"/>
    <w:rsid w:val="00DF799D"/>
    <w:rsid w:val="00DF7C43"/>
    <w:rsid w:val="00E000B2"/>
    <w:rsid w:val="00E00C1E"/>
    <w:rsid w:val="00E00F5F"/>
    <w:rsid w:val="00E014E7"/>
    <w:rsid w:val="00E02332"/>
    <w:rsid w:val="00E026A9"/>
    <w:rsid w:val="00E02B33"/>
    <w:rsid w:val="00E02C24"/>
    <w:rsid w:val="00E0356F"/>
    <w:rsid w:val="00E03B42"/>
    <w:rsid w:val="00E041AA"/>
    <w:rsid w:val="00E0479F"/>
    <w:rsid w:val="00E04D6A"/>
    <w:rsid w:val="00E06100"/>
    <w:rsid w:val="00E06CA5"/>
    <w:rsid w:val="00E06E97"/>
    <w:rsid w:val="00E07767"/>
    <w:rsid w:val="00E07AB9"/>
    <w:rsid w:val="00E10DD1"/>
    <w:rsid w:val="00E11D72"/>
    <w:rsid w:val="00E1254C"/>
    <w:rsid w:val="00E12BDF"/>
    <w:rsid w:val="00E12D4B"/>
    <w:rsid w:val="00E13326"/>
    <w:rsid w:val="00E13CE7"/>
    <w:rsid w:val="00E1412B"/>
    <w:rsid w:val="00E14961"/>
    <w:rsid w:val="00E14B78"/>
    <w:rsid w:val="00E14D76"/>
    <w:rsid w:val="00E15244"/>
    <w:rsid w:val="00E1607E"/>
    <w:rsid w:val="00E16E0C"/>
    <w:rsid w:val="00E16E73"/>
    <w:rsid w:val="00E20CE7"/>
    <w:rsid w:val="00E217B1"/>
    <w:rsid w:val="00E222FA"/>
    <w:rsid w:val="00E24A62"/>
    <w:rsid w:val="00E24F52"/>
    <w:rsid w:val="00E2508C"/>
    <w:rsid w:val="00E273BF"/>
    <w:rsid w:val="00E279B2"/>
    <w:rsid w:val="00E30BD5"/>
    <w:rsid w:val="00E31143"/>
    <w:rsid w:val="00E31812"/>
    <w:rsid w:val="00E341FC"/>
    <w:rsid w:val="00E3533E"/>
    <w:rsid w:val="00E35A45"/>
    <w:rsid w:val="00E37579"/>
    <w:rsid w:val="00E375B3"/>
    <w:rsid w:val="00E37C85"/>
    <w:rsid w:val="00E43006"/>
    <w:rsid w:val="00E43492"/>
    <w:rsid w:val="00E43551"/>
    <w:rsid w:val="00E4458E"/>
    <w:rsid w:val="00E46072"/>
    <w:rsid w:val="00E4747A"/>
    <w:rsid w:val="00E50809"/>
    <w:rsid w:val="00E510CF"/>
    <w:rsid w:val="00E524F7"/>
    <w:rsid w:val="00E52AAB"/>
    <w:rsid w:val="00E533B0"/>
    <w:rsid w:val="00E5355F"/>
    <w:rsid w:val="00E541B7"/>
    <w:rsid w:val="00E5448E"/>
    <w:rsid w:val="00E54E0D"/>
    <w:rsid w:val="00E56440"/>
    <w:rsid w:val="00E56795"/>
    <w:rsid w:val="00E57932"/>
    <w:rsid w:val="00E57DA3"/>
    <w:rsid w:val="00E60033"/>
    <w:rsid w:val="00E60811"/>
    <w:rsid w:val="00E63170"/>
    <w:rsid w:val="00E64050"/>
    <w:rsid w:val="00E64C6C"/>
    <w:rsid w:val="00E6514D"/>
    <w:rsid w:val="00E65161"/>
    <w:rsid w:val="00E652C9"/>
    <w:rsid w:val="00E65700"/>
    <w:rsid w:val="00E6593B"/>
    <w:rsid w:val="00E66C35"/>
    <w:rsid w:val="00E672C6"/>
    <w:rsid w:val="00E675EE"/>
    <w:rsid w:val="00E703FE"/>
    <w:rsid w:val="00E71809"/>
    <w:rsid w:val="00E71D1E"/>
    <w:rsid w:val="00E71E0E"/>
    <w:rsid w:val="00E728E2"/>
    <w:rsid w:val="00E74976"/>
    <w:rsid w:val="00E75667"/>
    <w:rsid w:val="00E756D3"/>
    <w:rsid w:val="00E769CC"/>
    <w:rsid w:val="00E76B12"/>
    <w:rsid w:val="00E801AA"/>
    <w:rsid w:val="00E80AF8"/>
    <w:rsid w:val="00E82581"/>
    <w:rsid w:val="00E827BB"/>
    <w:rsid w:val="00E82D24"/>
    <w:rsid w:val="00E8308F"/>
    <w:rsid w:val="00E8317B"/>
    <w:rsid w:val="00E8357D"/>
    <w:rsid w:val="00E83893"/>
    <w:rsid w:val="00E84C04"/>
    <w:rsid w:val="00E84E4F"/>
    <w:rsid w:val="00E856A2"/>
    <w:rsid w:val="00E85AD2"/>
    <w:rsid w:val="00E901FF"/>
    <w:rsid w:val="00E9036E"/>
    <w:rsid w:val="00E917B6"/>
    <w:rsid w:val="00E92292"/>
    <w:rsid w:val="00E92D0B"/>
    <w:rsid w:val="00E93195"/>
    <w:rsid w:val="00E93F21"/>
    <w:rsid w:val="00E9411C"/>
    <w:rsid w:val="00E94CF6"/>
    <w:rsid w:val="00E9509B"/>
    <w:rsid w:val="00E9522C"/>
    <w:rsid w:val="00E95C2A"/>
    <w:rsid w:val="00E963BC"/>
    <w:rsid w:val="00E97F7A"/>
    <w:rsid w:val="00EA0143"/>
    <w:rsid w:val="00EA089B"/>
    <w:rsid w:val="00EA25FB"/>
    <w:rsid w:val="00EA2E21"/>
    <w:rsid w:val="00EA380C"/>
    <w:rsid w:val="00EA47B5"/>
    <w:rsid w:val="00EA6C17"/>
    <w:rsid w:val="00EA7308"/>
    <w:rsid w:val="00EB089C"/>
    <w:rsid w:val="00EB0BB0"/>
    <w:rsid w:val="00EB0C65"/>
    <w:rsid w:val="00EB169F"/>
    <w:rsid w:val="00EB2961"/>
    <w:rsid w:val="00EB2E1A"/>
    <w:rsid w:val="00EB3268"/>
    <w:rsid w:val="00EB3298"/>
    <w:rsid w:val="00EB3CE6"/>
    <w:rsid w:val="00EB3E92"/>
    <w:rsid w:val="00EB3FB4"/>
    <w:rsid w:val="00EB4AA9"/>
    <w:rsid w:val="00EB57FD"/>
    <w:rsid w:val="00EB68E6"/>
    <w:rsid w:val="00EB69AB"/>
    <w:rsid w:val="00EB6D1C"/>
    <w:rsid w:val="00EB7B67"/>
    <w:rsid w:val="00EC328C"/>
    <w:rsid w:val="00EC352B"/>
    <w:rsid w:val="00EC3BEC"/>
    <w:rsid w:val="00EC3FF3"/>
    <w:rsid w:val="00EC4BD1"/>
    <w:rsid w:val="00EC5241"/>
    <w:rsid w:val="00EC594C"/>
    <w:rsid w:val="00EC5C7B"/>
    <w:rsid w:val="00EC66AA"/>
    <w:rsid w:val="00EC6B8F"/>
    <w:rsid w:val="00EC7B48"/>
    <w:rsid w:val="00ED00B7"/>
    <w:rsid w:val="00ED0257"/>
    <w:rsid w:val="00ED1339"/>
    <w:rsid w:val="00ED1492"/>
    <w:rsid w:val="00ED3E65"/>
    <w:rsid w:val="00ED4448"/>
    <w:rsid w:val="00ED4EDF"/>
    <w:rsid w:val="00ED5701"/>
    <w:rsid w:val="00ED5981"/>
    <w:rsid w:val="00ED5999"/>
    <w:rsid w:val="00ED66B2"/>
    <w:rsid w:val="00ED71BA"/>
    <w:rsid w:val="00ED73A1"/>
    <w:rsid w:val="00ED7CA2"/>
    <w:rsid w:val="00EE13DA"/>
    <w:rsid w:val="00EE332A"/>
    <w:rsid w:val="00EE5324"/>
    <w:rsid w:val="00EE55FA"/>
    <w:rsid w:val="00EE56E2"/>
    <w:rsid w:val="00EE6D45"/>
    <w:rsid w:val="00EE6E89"/>
    <w:rsid w:val="00EF04AB"/>
    <w:rsid w:val="00EF0FE6"/>
    <w:rsid w:val="00EF11AA"/>
    <w:rsid w:val="00EF1C44"/>
    <w:rsid w:val="00EF1F9B"/>
    <w:rsid w:val="00EF2B18"/>
    <w:rsid w:val="00EF3AC4"/>
    <w:rsid w:val="00EF3BB9"/>
    <w:rsid w:val="00EF4008"/>
    <w:rsid w:val="00EF547C"/>
    <w:rsid w:val="00EF55E9"/>
    <w:rsid w:val="00EF5B41"/>
    <w:rsid w:val="00EF611C"/>
    <w:rsid w:val="00EF7068"/>
    <w:rsid w:val="00EF7462"/>
    <w:rsid w:val="00EF768D"/>
    <w:rsid w:val="00F00630"/>
    <w:rsid w:val="00F00922"/>
    <w:rsid w:val="00F011FF"/>
    <w:rsid w:val="00F01BE6"/>
    <w:rsid w:val="00F0217A"/>
    <w:rsid w:val="00F0251B"/>
    <w:rsid w:val="00F03E4C"/>
    <w:rsid w:val="00F061C6"/>
    <w:rsid w:val="00F0665D"/>
    <w:rsid w:val="00F06D42"/>
    <w:rsid w:val="00F07134"/>
    <w:rsid w:val="00F07378"/>
    <w:rsid w:val="00F10489"/>
    <w:rsid w:val="00F1083A"/>
    <w:rsid w:val="00F10868"/>
    <w:rsid w:val="00F109F6"/>
    <w:rsid w:val="00F10B81"/>
    <w:rsid w:val="00F11353"/>
    <w:rsid w:val="00F11DF4"/>
    <w:rsid w:val="00F129F4"/>
    <w:rsid w:val="00F14CD1"/>
    <w:rsid w:val="00F15115"/>
    <w:rsid w:val="00F15807"/>
    <w:rsid w:val="00F15D8C"/>
    <w:rsid w:val="00F16E1A"/>
    <w:rsid w:val="00F17237"/>
    <w:rsid w:val="00F17765"/>
    <w:rsid w:val="00F20197"/>
    <w:rsid w:val="00F20607"/>
    <w:rsid w:val="00F208BB"/>
    <w:rsid w:val="00F20D7A"/>
    <w:rsid w:val="00F210BE"/>
    <w:rsid w:val="00F21A5D"/>
    <w:rsid w:val="00F21C13"/>
    <w:rsid w:val="00F21DEA"/>
    <w:rsid w:val="00F22796"/>
    <w:rsid w:val="00F238F7"/>
    <w:rsid w:val="00F23BA0"/>
    <w:rsid w:val="00F243D0"/>
    <w:rsid w:val="00F25641"/>
    <w:rsid w:val="00F26065"/>
    <w:rsid w:val="00F2643C"/>
    <w:rsid w:val="00F30313"/>
    <w:rsid w:val="00F303BC"/>
    <w:rsid w:val="00F304CB"/>
    <w:rsid w:val="00F318A1"/>
    <w:rsid w:val="00F3265C"/>
    <w:rsid w:val="00F336CB"/>
    <w:rsid w:val="00F343EE"/>
    <w:rsid w:val="00F3547E"/>
    <w:rsid w:val="00F35494"/>
    <w:rsid w:val="00F35A22"/>
    <w:rsid w:val="00F3619D"/>
    <w:rsid w:val="00F365F2"/>
    <w:rsid w:val="00F368C5"/>
    <w:rsid w:val="00F3722A"/>
    <w:rsid w:val="00F37366"/>
    <w:rsid w:val="00F40287"/>
    <w:rsid w:val="00F4136E"/>
    <w:rsid w:val="00F418C5"/>
    <w:rsid w:val="00F419B8"/>
    <w:rsid w:val="00F41C0F"/>
    <w:rsid w:val="00F422CC"/>
    <w:rsid w:val="00F42856"/>
    <w:rsid w:val="00F43390"/>
    <w:rsid w:val="00F43EF6"/>
    <w:rsid w:val="00F4482B"/>
    <w:rsid w:val="00F44F02"/>
    <w:rsid w:val="00F4526B"/>
    <w:rsid w:val="00F462DF"/>
    <w:rsid w:val="00F4662D"/>
    <w:rsid w:val="00F468AC"/>
    <w:rsid w:val="00F471BE"/>
    <w:rsid w:val="00F47316"/>
    <w:rsid w:val="00F47507"/>
    <w:rsid w:val="00F5052D"/>
    <w:rsid w:val="00F507C9"/>
    <w:rsid w:val="00F50BF0"/>
    <w:rsid w:val="00F50CF5"/>
    <w:rsid w:val="00F5164C"/>
    <w:rsid w:val="00F516DE"/>
    <w:rsid w:val="00F51A82"/>
    <w:rsid w:val="00F5254B"/>
    <w:rsid w:val="00F53A44"/>
    <w:rsid w:val="00F54431"/>
    <w:rsid w:val="00F54B29"/>
    <w:rsid w:val="00F551DB"/>
    <w:rsid w:val="00F559BE"/>
    <w:rsid w:val="00F55D89"/>
    <w:rsid w:val="00F56417"/>
    <w:rsid w:val="00F56D15"/>
    <w:rsid w:val="00F56EE7"/>
    <w:rsid w:val="00F56FEF"/>
    <w:rsid w:val="00F57521"/>
    <w:rsid w:val="00F57AC4"/>
    <w:rsid w:val="00F60938"/>
    <w:rsid w:val="00F61606"/>
    <w:rsid w:val="00F62BD1"/>
    <w:rsid w:val="00F62CA8"/>
    <w:rsid w:val="00F63106"/>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77137"/>
    <w:rsid w:val="00F77E14"/>
    <w:rsid w:val="00F81623"/>
    <w:rsid w:val="00F81D25"/>
    <w:rsid w:val="00F82EED"/>
    <w:rsid w:val="00F83045"/>
    <w:rsid w:val="00F83615"/>
    <w:rsid w:val="00F850ED"/>
    <w:rsid w:val="00F85329"/>
    <w:rsid w:val="00F85566"/>
    <w:rsid w:val="00F86C80"/>
    <w:rsid w:val="00F87119"/>
    <w:rsid w:val="00F878CD"/>
    <w:rsid w:val="00F8794A"/>
    <w:rsid w:val="00F90096"/>
    <w:rsid w:val="00F9053E"/>
    <w:rsid w:val="00F90C1F"/>
    <w:rsid w:val="00F93231"/>
    <w:rsid w:val="00F93D8F"/>
    <w:rsid w:val="00F94F93"/>
    <w:rsid w:val="00F950B5"/>
    <w:rsid w:val="00F953D5"/>
    <w:rsid w:val="00F95ECB"/>
    <w:rsid w:val="00F96130"/>
    <w:rsid w:val="00F97A34"/>
    <w:rsid w:val="00F97EA1"/>
    <w:rsid w:val="00FA05C8"/>
    <w:rsid w:val="00FA0678"/>
    <w:rsid w:val="00FA107F"/>
    <w:rsid w:val="00FA23F7"/>
    <w:rsid w:val="00FA27EB"/>
    <w:rsid w:val="00FA347D"/>
    <w:rsid w:val="00FA3B03"/>
    <w:rsid w:val="00FA4117"/>
    <w:rsid w:val="00FA48A0"/>
    <w:rsid w:val="00FA5FCC"/>
    <w:rsid w:val="00FA672F"/>
    <w:rsid w:val="00FA676D"/>
    <w:rsid w:val="00FA7205"/>
    <w:rsid w:val="00FA7792"/>
    <w:rsid w:val="00FB02D2"/>
    <w:rsid w:val="00FB0476"/>
    <w:rsid w:val="00FB11FA"/>
    <w:rsid w:val="00FB18F8"/>
    <w:rsid w:val="00FB1AE4"/>
    <w:rsid w:val="00FB2F8E"/>
    <w:rsid w:val="00FB39B0"/>
    <w:rsid w:val="00FB5183"/>
    <w:rsid w:val="00FB574A"/>
    <w:rsid w:val="00FB5A71"/>
    <w:rsid w:val="00FB5ABD"/>
    <w:rsid w:val="00FB6DF2"/>
    <w:rsid w:val="00FB7823"/>
    <w:rsid w:val="00FC08B3"/>
    <w:rsid w:val="00FC09D7"/>
    <w:rsid w:val="00FC1998"/>
    <w:rsid w:val="00FC31DA"/>
    <w:rsid w:val="00FC391E"/>
    <w:rsid w:val="00FC3AB7"/>
    <w:rsid w:val="00FC3AFF"/>
    <w:rsid w:val="00FC448A"/>
    <w:rsid w:val="00FC453D"/>
    <w:rsid w:val="00FC4A89"/>
    <w:rsid w:val="00FC5FEB"/>
    <w:rsid w:val="00FC648C"/>
    <w:rsid w:val="00FC665F"/>
    <w:rsid w:val="00FC6D59"/>
    <w:rsid w:val="00FC7178"/>
    <w:rsid w:val="00FC78F5"/>
    <w:rsid w:val="00FD10B3"/>
    <w:rsid w:val="00FD11C3"/>
    <w:rsid w:val="00FD154E"/>
    <w:rsid w:val="00FD1675"/>
    <w:rsid w:val="00FD1DC6"/>
    <w:rsid w:val="00FD2020"/>
    <w:rsid w:val="00FD3742"/>
    <w:rsid w:val="00FD3A41"/>
    <w:rsid w:val="00FD3AE2"/>
    <w:rsid w:val="00FD593C"/>
    <w:rsid w:val="00FD5975"/>
    <w:rsid w:val="00FD5AE4"/>
    <w:rsid w:val="00FD5F25"/>
    <w:rsid w:val="00FD60BE"/>
    <w:rsid w:val="00FD6894"/>
    <w:rsid w:val="00FD6980"/>
    <w:rsid w:val="00FD6AF0"/>
    <w:rsid w:val="00FD79B8"/>
    <w:rsid w:val="00FE0AD1"/>
    <w:rsid w:val="00FE0BBF"/>
    <w:rsid w:val="00FE0C6C"/>
    <w:rsid w:val="00FE1942"/>
    <w:rsid w:val="00FE33DB"/>
    <w:rsid w:val="00FE37DD"/>
    <w:rsid w:val="00FE3C31"/>
    <w:rsid w:val="00FE4015"/>
    <w:rsid w:val="00FE42B9"/>
    <w:rsid w:val="00FE444B"/>
    <w:rsid w:val="00FE44F5"/>
    <w:rsid w:val="00FE480D"/>
    <w:rsid w:val="00FE6227"/>
    <w:rsid w:val="00FE674E"/>
    <w:rsid w:val="00FE6A50"/>
    <w:rsid w:val="00FE6E41"/>
    <w:rsid w:val="00FE705C"/>
    <w:rsid w:val="00FE7309"/>
    <w:rsid w:val="00FE73B9"/>
    <w:rsid w:val="00FF0B4F"/>
    <w:rsid w:val="00FF1AD3"/>
    <w:rsid w:val="00FF49F4"/>
    <w:rsid w:val="00FF651D"/>
    <w:rsid w:val="00FF68CA"/>
    <w:rsid w:val="010651D9"/>
    <w:rsid w:val="02DA0C0E"/>
    <w:rsid w:val="03AC60A0"/>
    <w:rsid w:val="03DD35E4"/>
    <w:rsid w:val="065A6178"/>
    <w:rsid w:val="07316A10"/>
    <w:rsid w:val="075562B7"/>
    <w:rsid w:val="07F6164B"/>
    <w:rsid w:val="087A1B7A"/>
    <w:rsid w:val="096B2097"/>
    <w:rsid w:val="0A5B7E63"/>
    <w:rsid w:val="0A9818FE"/>
    <w:rsid w:val="0B0645A2"/>
    <w:rsid w:val="0BE2524B"/>
    <w:rsid w:val="0C87121B"/>
    <w:rsid w:val="0DF702FE"/>
    <w:rsid w:val="0E3F698B"/>
    <w:rsid w:val="0EE37582"/>
    <w:rsid w:val="0F21508F"/>
    <w:rsid w:val="0F3310E6"/>
    <w:rsid w:val="0F816ACD"/>
    <w:rsid w:val="0F8D038C"/>
    <w:rsid w:val="0FB94501"/>
    <w:rsid w:val="10B047CF"/>
    <w:rsid w:val="10FC16EA"/>
    <w:rsid w:val="118963A1"/>
    <w:rsid w:val="11EF7B80"/>
    <w:rsid w:val="127723A9"/>
    <w:rsid w:val="127B7962"/>
    <w:rsid w:val="12F41363"/>
    <w:rsid w:val="13072A44"/>
    <w:rsid w:val="13A22345"/>
    <w:rsid w:val="14163CAD"/>
    <w:rsid w:val="145044FA"/>
    <w:rsid w:val="14596B6E"/>
    <w:rsid w:val="14706DE1"/>
    <w:rsid w:val="147D73ED"/>
    <w:rsid w:val="14F37FF1"/>
    <w:rsid w:val="15136EE2"/>
    <w:rsid w:val="169E0BC4"/>
    <w:rsid w:val="186742B0"/>
    <w:rsid w:val="18AE4F48"/>
    <w:rsid w:val="19782132"/>
    <w:rsid w:val="1B2A271F"/>
    <w:rsid w:val="1B890139"/>
    <w:rsid w:val="1BB000F4"/>
    <w:rsid w:val="1D266CE1"/>
    <w:rsid w:val="1D3963AF"/>
    <w:rsid w:val="1E714A66"/>
    <w:rsid w:val="1F405EA5"/>
    <w:rsid w:val="1FE868A9"/>
    <w:rsid w:val="208772C6"/>
    <w:rsid w:val="211E26D6"/>
    <w:rsid w:val="21283D08"/>
    <w:rsid w:val="21722D68"/>
    <w:rsid w:val="21AF169A"/>
    <w:rsid w:val="222F6725"/>
    <w:rsid w:val="2247175C"/>
    <w:rsid w:val="24756C8F"/>
    <w:rsid w:val="25B440B3"/>
    <w:rsid w:val="278C6B79"/>
    <w:rsid w:val="28067850"/>
    <w:rsid w:val="2A616570"/>
    <w:rsid w:val="2A9D653B"/>
    <w:rsid w:val="2AA1365A"/>
    <w:rsid w:val="2B2361EF"/>
    <w:rsid w:val="2BCA17E1"/>
    <w:rsid w:val="2C0244F7"/>
    <w:rsid w:val="2DD15014"/>
    <w:rsid w:val="2EFF66AE"/>
    <w:rsid w:val="2FD25781"/>
    <w:rsid w:val="30710294"/>
    <w:rsid w:val="319C6071"/>
    <w:rsid w:val="32AC6BA0"/>
    <w:rsid w:val="32DB72BE"/>
    <w:rsid w:val="342E63AB"/>
    <w:rsid w:val="343B0959"/>
    <w:rsid w:val="345D260B"/>
    <w:rsid w:val="34BF36DD"/>
    <w:rsid w:val="34CA155F"/>
    <w:rsid w:val="365302AE"/>
    <w:rsid w:val="37F142D2"/>
    <w:rsid w:val="38194CD8"/>
    <w:rsid w:val="387B7E32"/>
    <w:rsid w:val="39A13F14"/>
    <w:rsid w:val="3AA36ADA"/>
    <w:rsid w:val="3B5E11B2"/>
    <w:rsid w:val="3BFC0B7A"/>
    <w:rsid w:val="3C5F759A"/>
    <w:rsid w:val="3CE5516A"/>
    <w:rsid w:val="3D5C78D4"/>
    <w:rsid w:val="3E6A4028"/>
    <w:rsid w:val="3FA7298D"/>
    <w:rsid w:val="3FFF72A6"/>
    <w:rsid w:val="40341D6D"/>
    <w:rsid w:val="41820393"/>
    <w:rsid w:val="427D5E63"/>
    <w:rsid w:val="42E1381E"/>
    <w:rsid w:val="43FB717C"/>
    <w:rsid w:val="445B292E"/>
    <w:rsid w:val="44AF103D"/>
    <w:rsid w:val="451E447A"/>
    <w:rsid w:val="45345B76"/>
    <w:rsid w:val="45D3179A"/>
    <w:rsid w:val="47307808"/>
    <w:rsid w:val="486F747C"/>
    <w:rsid w:val="493A0EEE"/>
    <w:rsid w:val="49C4228A"/>
    <w:rsid w:val="4B775B0D"/>
    <w:rsid w:val="4D861CF6"/>
    <w:rsid w:val="4D946928"/>
    <w:rsid w:val="51A0432A"/>
    <w:rsid w:val="527140E5"/>
    <w:rsid w:val="5292508F"/>
    <w:rsid w:val="52A96B6F"/>
    <w:rsid w:val="537D16BA"/>
    <w:rsid w:val="548A459D"/>
    <w:rsid w:val="550764A4"/>
    <w:rsid w:val="551926E0"/>
    <w:rsid w:val="561279B9"/>
    <w:rsid w:val="56515F3B"/>
    <w:rsid w:val="572B71CA"/>
    <w:rsid w:val="5847345D"/>
    <w:rsid w:val="58AE4F0C"/>
    <w:rsid w:val="593C03CE"/>
    <w:rsid w:val="5A2A7C7B"/>
    <w:rsid w:val="5A870D3D"/>
    <w:rsid w:val="5C80234E"/>
    <w:rsid w:val="5C8A1E0E"/>
    <w:rsid w:val="5E261785"/>
    <w:rsid w:val="5FCC5339"/>
    <w:rsid w:val="5FE70807"/>
    <w:rsid w:val="60E53485"/>
    <w:rsid w:val="61054A27"/>
    <w:rsid w:val="611D2366"/>
    <w:rsid w:val="611F5246"/>
    <w:rsid w:val="619F21AC"/>
    <w:rsid w:val="62282602"/>
    <w:rsid w:val="62885958"/>
    <w:rsid w:val="63735BE6"/>
    <w:rsid w:val="64CE2EAA"/>
    <w:rsid w:val="662E75B1"/>
    <w:rsid w:val="66342C2E"/>
    <w:rsid w:val="663E784C"/>
    <w:rsid w:val="685867EC"/>
    <w:rsid w:val="6A120054"/>
    <w:rsid w:val="6AF403FB"/>
    <w:rsid w:val="6B0D78AD"/>
    <w:rsid w:val="6B7C7D60"/>
    <w:rsid w:val="6BC53CE8"/>
    <w:rsid w:val="6C6F6BCD"/>
    <w:rsid w:val="6E8E12EF"/>
    <w:rsid w:val="6F3C5A6E"/>
    <w:rsid w:val="6FDB2AE4"/>
    <w:rsid w:val="719D39AD"/>
    <w:rsid w:val="71D43752"/>
    <w:rsid w:val="71ED1A3F"/>
    <w:rsid w:val="72BB35C8"/>
    <w:rsid w:val="73717E61"/>
    <w:rsid w:val="73DD6243"/>
    <w:rsid w:val="749C4185"/>
    <w:rsid w:val="75DA2C18"/>
    <w:rsid w:val="775319EF"/>
    <w:rsid w:val="790F1C77"/>
    <w:rsid w:val="7A67303B"/>
    <w:rsid w:val="7A9E78D8"/>
    <w:rsid w:val="7AAB1D04"/>
    <w:rsid w:val="7ABA4368"/>
    <w:rsid w:val="7B257FFD"/>
    <w:rsid w:val="7C2B1DA5"/>
    <w:rsid w:val="7D212090"/>
    <w:rsid w:val="7DB96E89"/>
    <w:rsid w:val="7DF4317E"/>
    <w:rsid w:val="7E64308B"/>
    <w:rsid w:val="7F727E67"/>
    <w:rsid w:val="7F7E3137"/>
    <w:rsid w:val="FCF930DE"/>
    <w:rsid w:val="FFEE9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5">
    <w:name w:val="段落文字"/>
    <w:basedOn w:val="1"/>
    <w:autoRedefine/>
    <w:qFormat/>
    <w:uiPriority w:val="0"/>
    <w:pPr>
      <w:spacing w:line="360" w:lineRule="auto"/>
      <w:ind w:firstLine="200" w:firstLine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6"/>
    <w:qFormat/>
    <w:uiPriority w:val="0"/>
    <w:pPr>
      <w:ind w:firstLine="420"/>
    </w:pPr>
    <w:rPr>
      <w:szCs w:val="20"/>
    </w:rPr>
  </w:style>
  <w:style w:type="paragraph" w:styleId="25">
    <w:name w:val="Body Text Indent"/>
    <w:basedOn w:val="1"/>
    <w:next w:val="26"/>
    <w:link w:val="47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2"/>
    <w:basedOn w:val="25"/>
    <w:next w:val="1"/>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74">
    <w:name w:val="样式3"/>
    <w:basedOn w:val="34"/>
    <w:autoRedefine/>
    <w:qFormat/>
    <w:uiPriority w:val="0"/>
    <w:pPr>
      <w:tabs>
        <w:tab w:val="left" w:pos="2790"/>
        <w:tab w:val="left" w:pos="4230"/>
      </w:tabs>
      <w:spacing w:before="312" w:beforeLines="100"/>
      <w:jc w:val="left"/>
    </w:p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next w:val="102"/>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link w:val="641"/>
    <w:autoRedefine/>
    <w:qFormat/>
    <w:uiPriority w:val="34"/>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spacing w:line="360" w:lineRule="auto"/>
      <w:ind w:firstLine="640"/>
      <w:jc w:val="center"/>
    </w:pPr>
    <w:rPr>
      <w:rFonts w:cs="仿宋_GB2312" w:asciiTheme="minorEastAsia" w:hAnsiTheme="minorEastAsia" w:eastAsiaTheme="minorEastAsia"/>
      <w:bCs/>
      <w:kern w:val="0"/>
      <w:sz w:val="36"/>
      <w:szCs w:val="21"/>
      <w:lang w:val="zh-CN"/>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autoRedefine/>
    <w:qFormat/>
    <w:uiPriority w:val="0"/>
    <w:pPr>
      <w:tabs>
        <w:tab w:val="left" w:pos="2356"/>
      </w:tabs>
    </w:pPr>
  </w:style>
  <w:style w:type="paragraph" w:customStyle="1" w:styleId="173">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1"/>
    <w:next w:val="101"/>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2"/>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2"/>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7"/>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6"/>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1"/>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0"/>
    <w:qFormat/>
    <w:uiPriority w:val="0"/>
    <w:rPr>
      <w:rFonts w:ascii="Arial" w:hAnsi="Arial" w:eastAsia="黑体"/>
      <w:kern w:val="2"/>
      <w:sz w:val="24"/>
      <w:szCs w:val="24"/>
    </w:rPr>
  </w:style>
  <w:style w:type="character" w:customStyle="1" w:styleId="473">
    <w:name w:val="冯广丽 Char"/>
    <w:link w:val="237"/>
    <w:qFormat/>
    <w:uiPriority w:val="0"/>
    <w:rPr>
      <w:rFonts w:ascii="宋体" w:hAnsi="宋体"/>
      <w:kern w:val="2"/>
      <w:sz w:val="24"/>
      <w:szCs w:val="22"/>
    </w:rPr>
  </w:style>
  <w:style w:type="character" w:customStyle="1" w:styleId="474">
    <w:name w:val="脚注文本 字符"/>
    <w:link w:val="50"/>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9"/>
    <w:qFormat/>
    <w:uiPriority w:val="0"/>
    <w:rPr>
      <w:b/>
      <w:bCs/>
      <w:kern w:val="2"/>
      <w:sz w:val="24"/>
      <w:szCs w:val="24"/>
    </w:rPr>
  </w:style>
  <w:style w:type="character" w:customStyle="1" w:styleId="483">
    <w:name w:val="称呼 字符"/>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7"/>
    <w:qFormat/>
    <w:uiPriority w:val="0"/>
    <w:rPr>
      <w:rFonts w:ascii="Arial" w:hAnsi="Arial" w:eastAsia="隶书"/>
      <w:b/>
      <w:bCs/>
      <w:kern w:val="28"/>
      <w:sz w:val="44"/>
      <w:szCs w:val="32"/>
      <w:lang w:val="en-US" w:eastAsia="zh-CN" w:bidi="ar-SA"/>
    </w:rPr>
  </w:style>
  <w:style w:type="character" w:customStyle="1" w:styleId="490">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5"/>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61"/>
    <w:qFormat/>
    <w:uiPriority w:val="0"/>
    <w:rPr>
      <w:rFonts w:ascii="宋体" w:hAnsi="宋体"/>
      <w:kern w:val="2"/>
      <w:sz w:val="21"/>
      <w:szCs w:val="24"/>
    </w:rPr>
  </w:style>
  <w:style w:type="character" w:customStyle="1" w:styleId="504">
    <w:name w:val="正文文本缩进 2 字符"/>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1"/>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7"/>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3"/>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7"/>
    <w:qFormat/>
    <w:uiPriority w:val="0"/>
    <w:rPr>
      <w:rFonts w:ascii="宋体"/>
      <w:kern w:val="2"/>
      <w:sz w:val="24"/>
      <w:szCs w:val="21"/>
      <w:lang w:val="zh-CN"/>
    </w:rPr>
  </w:style>
  <w:style w:type="character" w:customStyle="1" w:styleId="600">
    <w:name w:val="标题 4 字符"/>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8"/>
    <w:qFormat/>
    <w:uiPriority w:val="0"/>
    <w:rPr>
      <w:rFonts w:ascii="Arial" w:hAnsi="Arial" w:eastAsia="黑体"/>
      <w:b/>
      <w:bCs/>
      <w:kern w:val="2"/>
      <w:sz w:val="24"/>
      <w:szCs w:val="24"/>
    </w:rPr>
  </w:style>
  <w:style w:type="character" w:customStyle="1" w:styleId="614">
    <w:name w:val="正文缩进 字符"/>
    <w:link w:val="16"/>
    <w:qFormat/>
    <w:uiPriority w:val="0"/>
    <w:rPr>
      <w:rFonts w:ascii="宋体" w:eastAsia="宋体"/>
      <w:snapToGrid w:val="0"/>
      <w:color w:val="000000"/>
      <w:kern w:val="28"/>
      <w:sz w:val="28"/>
      <w:lang w:val="en-US" w:eastAsia="zh-CN" w:bidi="ar-SA"/>
    </w:rPr>
  </w:style>
  <w:style w:type="character" w:customStyle="1" w:styleId="615">
    <w:name w:val="批注文字 字符"/>
    <w:link w:val="20"/>
    <w:qFormat/>
    <w:uiPriority w:val="99"/>
    <w:rPr>
      <w:kern w:val="2"/>
      <w:sz w:val="21"/>
      <w:szCs w:val="24"/>
    </w:rPr>
  </w:style>
  <w:style w:type="character" w:customStyle="1" w:styleId="616">
    <w:name w:val="批注框文本 字符"/>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纯文本2"/>
    <w:basedOn w:val="1"/>
    <w:qFormat/>
    <w:uiPriority w:val="0"/>
    <w:pPr>
      <w:adjustRightInd/>
    </w:pPr>
    <w:rPr>
      <w:rFonts w:hAnsi="Courier New" w:cs="Courier New"/>
    </w:rPr>
  </w:style>
  <w:style w:type="paragraph" w:customStyle="1" w:styleId="633">
    <w:name w:val="普通(网站)1"/>
    <w:basedOn w:val="1"/>
    <w:qFormat/>
    <w:uiPriority w:val="0"/>
    <w:pPr>
      <w:adjustRightInd/>
    </w:pPr>
  </w:style>
  <w:style w:type="paragraph" w:customStyle="1" w:styleId="634">
    <w:name w:val="正文5"/>
    <w:basedOn w:val="1"/>
    <w:qFormat/>
    <w:uiPriority w:val="0"/>
    <w:pPr>
      <w:spacing w:line="318" w:lineRule="atLeast"/>
      <w:ind w:left="369" w:firstLine="369"/>
      <w:textAlignment w:val="baseline"/>
    </w:pPr>
    <w:rPr>
      <w:rFonts w:ascii="宋体"/>
      <w:szCs w:val="20"/>
    </w:rPr>
  </w:style>
  <w:style w:type="paragraph" w:customStyle="1" w:styleId="635">
    <w:name w:val="正文文本首行缩进 21"/>
    <w:basedOn w:val="1"/>
    <w:qFormat/>
    <w:uiPriority w:val="0"/>
    <w:pPr>
      <w:adjustRightInd/>
      <w:spacing w:after="120"/>
      <w:ind w:left="420" w:leftChars="200" w:firstLine="420" w:firstLineChars="200"/>
    </w:pPr>
    <w:rPr>
      <w:sz w:val="24"/>
    </w:rPr>
  </w:style>
  <w:style w:type="paragraph" w:customStyle="1" w:styleId="636">
    <w:name w:val="UserStyle_66"/>
    <w:basedOn w:val="1"/>
    <w:qFormat/>
    <w:uiPriority w:val="0"/>
    <w:rPr>
      <w:kern w:val="0"/>
    </w:rPr>
  </w:style>
  <w:style w:type="character" w:customStyle="1" w:styleId="637">
    <w:name w:val="NormalCharacter"/>
    <w:qFormat/>
    <w:uiPriority w:val="0"/>
  </w:style>
  <w:style w:type="paragraph" w:customStyle="1" w:styleId="638">
    <w:name w:val="图表"/>
    <w:basedOn w:val="1"/>
    <w:next w:val="5"/>
    <w:qFormat/>
    <w:uiPriority w:val="0"/>
    <w:pPr>
      <w:widowControl/>
    </w:pPr>
    <w:rPr>
      <w:rFonts w:ascii="宋体" w:hAnsi="宋体"/>
    </w:rPr>
  </w:style>
  <w:style w:type="paragraph" w:customStyle="1" w:styleId="639">
    <w:name w:val="*正文"/>
    <w:basedOn w:val="1"/>
    <w:qFormat/>
    <w:uiPriority w:val="0"/>
    <w:pPr>
      <w:ind w:firstLine="480"/>
    </w:pPr>
  </w:style>
  <w:style w:type="character" w:customStyle="1" w:styleId="640">
    <w:name w:val="未处理的提及1"/>
    <w:basedOn w:val="64"/>
    <w:semiHidden/>
    <w:unhideWhenUsed/>
    <w:qFormat/>
    <w:uiPriority w:val="99"/>
    <w:rPr>
      <w:color w:val="605E5C"/>
      <w:shd w:val="clear" w:color="auto" w:fill="E1DFDD"/>
    </w:rPr>
  </w:style>
  <w:style w:type="character" w:customStyle="1" w:styleId="641">
    <w:name w:val="列表段落 字符1"/>
    <w:link w:val="108"/>
    <w:qFormat/>
    <w:uiPriority w:val="34"/>
    <w:rPr>
      <w:rFonts w:eastAsia="楷体_GB2312" w:cs="Lucida Sans"/>
      <w:kern w:val="2"/>
      <w:sz w:val="24"/>
      <w:szCs w:val="24"/>
    </w:rPr>
  </w:style>
  <w:style w:type="paragraph" w:customStyle="1" w:styleId="642">
    <w:name w:val="XJ正文"/>
    <w:basedOn w:val="1"/>
    <w:qFormat/>
    <w:uiPriority w:val="0"/>
    <w:pPr>
      <w:adjustRightInd/>
      <w:ind w:firstLine="560"/>
      <w:jc w:val="left"/>
    </w:pPr>
    <w:rPr>
      <w:rFonts w:ascii="宋体" w:hAnsi="宋体"/>
      <w:sz w:val="28"/>
      <w:lang w:val="zh-CN"/>
    </w:rPr>
  </w:style>
  <w:style w:type="character" w:customStyle="1" w:styleId="643">
    <w:name w:val="列表段落 字符"/>
    <w:link w:val="644"/>
    <w:qFormat/>
    <w:uiPriority w:val="34"/>
    <w:rPr>
      <w:rFonts w:ascii="Calibri" w:hAnsi="Calibri" w:eastAsia="仿宋"/>
      <w:kern w:val="2"/>
      <w:sz w:val="28"/>
      <w:szCs w:val="24"/>
    </w:rPr>
  </w:style>
  <w:style w:type="paragraph" w:customStyle="1" w:styleId="644">
    <w:name w:val="_Style 643"/>
    <w:basedOn w:val="1"/>
    <w:next w:val="108"/>
    <w:link w:val="643"/>
    <w:qFormat/>
    <w:uiPriority w:val="34"/>
    <w:pPr>
      <w:adjustRightInd/>
      <w:ind w:firstLine="420" w:firstLineChars="200"/>
    </w:pPr>
    <w:rPr>
      <w:rFonts w:ascii="Calibri" w:hAnsi="Calibri" w:eastAsia="仿宋"/>
      <w:sz w:val="28"/>
    </w:rPr>
  </w:style>
  <w:style w:type="paragraph" w:customStyle="1" w:styleId="64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47">
    <w:name w:val="纯文本 字符2"/>
    <w:qFormat/>
    <w:uiPriority w:val="0"/>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FCCAE-E510-4EF1-A142-53B6205C577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17192</Words>
  <Characters>18514</Characters>
  <Lines>1354</Lines>
  <Paragraphs>1321</Paragraphs>
  <TotalTime>25</TotalTime>
  <ScaleCrop>false</ScaleCrop>
  <LinksUpToDate>false</LinksUpToDate>
  <CharactersWithSpaces>18795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2024-10-18T09:01:00Z</dcterms:created>
  <dc:creator>玥</dc:creator>
  <cp:lastModifiedBy>stanne</cp:lastModifiedBy>
  <cp:lastPrinted>2024-11-13T01:32:00Z</cp:lastPrinted>
  <dcterms:modified xsi:type="dcterms:W3CDTF">2025-07-03T07:09:18Z</dcterms:modified>
  <dc:title>杭州市市民卡扩大发卡工程</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B24BE71B211B4FEC8F2AEBA3CF00F411_13</vt:lpwstr>
  </property>
  <property fmtid="{D5CDD505-2E9C-101B-9397-08002B2CF9AE}" pid="4" name="KSOTemplateDocerSaveRecord">
    <vt:lpwstr>eyJoZGlkIjoiZjk0M2RiM2M3NDU0NzU3NDliYjE4MzY3ODI2NjAwZTIiLCJ1c2VySWQiOiIxMzU1NDE3Njc5In0=</vt:lpwstr>
  </property>
</Properties>
</file>