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600" w:lineRule="exact"/>
        <w:jc w:val="center"/>
        <w:rPr>
          <w:rFonts w:ascii="宋体" w:hAnsi="宋体" w:cs="宋体"/>
          <w:b/>
          <w:color w:val="auto"/>
          <w:sz w:val="40"/>
          <w:szCs w:val="32"/>
          <w:highlight w:val="none"/>
        </w:rPr>
      </w:pPr>
      <w:r>
        <w:rPr>
          <w:rFonts w:hint="eastAsia" w:ascii="宋体" w:hAnsi="宋体" w:cs="宋体"/>
          <w:color w:val="auto"/>
          <w:highlight w:val="none"/>
        </w:rPr>
        <w:drawing>
          <wp:anchor distT="0" distB="0" distL="114300" distR="114300" simplePos="0" relativeHeight="251659264" behindDoc="0" locked="0" layoutInCell="1" allowOverlap="1">
            <wp:simplePos x="0" y="0"/>
            <wp:positionH relativeFrom="column">
              <wp:posOffset>-175260</wp:posOffset>
            </wp:positionH>
            <wp:positionV relativeFrom="paragraph">
              <wp:posOffset>-419100</wp:posOffset>
            </wp:positionV>
            <wp:extent cx="1323975" cy="400050"/>
            <wp:effectExtent l="0" t="0" r="1905" b="3810"/>
            <wp:wrapNone/>
            <wp:docPr id="2" name="图片 10329" descr="5e74dbda06143eea68d97b0525f9f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329" descr="5e74dbda06143eea68d97b0525f9f5c"/>
                    <pic:cNvPicPr>
                      <a:picLocks noChangeAspect="1"/>
                    </pic:cNvPicPr>
                  </pic:nvPicPr>
                  <pic:blipFill>
                    <a:blip r:embed="rId18" cstate="print"/>
                    <a:stretch>
                      <a:fillRect/>
                    </a:stretch>
                  </pic:blipFill>
                  <pic:spPr>
                    <a:xfrm>
                      <a:off x="0" y="0"/>
                      <a:ext cx="1323975" cy="400050"/>
                    </a:xfrm>
                    <a:prstGeom prst="rect">
                      <a:avLst/>
                    </a:prstGeom>
                    <a:noFill/>
                    <a:ln>
                      <a:noFill/>
                    </a:ln>
                  </pic:spPr>
                </pic:pic>
              </a:graphicData>
            </a:graphic>
          </wp:anchor>
        </w:drawing>
      </w:r>
    </w:p>
    <w:p>
      <w:pPr>
        <w:spacing w:after="120" w:line="700" w:lineRule="exact"/>
        <w:jc w:val="center"/>
        <w:rPr>
          <w:rFonts w:ascii="宋体" w:hAnsi="宋体" w:cs="宋体"/>
          <w:b/>
          <w:color w:val="auto"/>
          <w:sz w:val="40"/>
          <w:szCs w:val="50"/>
          <w:highlight w:val="none"/>
        </w:rPr>
      </w:pPr>
    </w:p>
    <w:p>
      <w:pPr>
        <w:spacing w:after="120" w:line="400" w:lineRule="exact"/>
        <w:jc w:val="center"/>
        <w:rPr>
          <w:rFonts w:ascii="宋体" w:hAnsi="宋体" w:cs="宋体"/>
          <w:b/>
          <w:color w:val="auto"/>
          <w:sz w:val="32"/>
          <w:szCs w:val="32"/>
          <w:highlight w:val="none"/>
        </w:rPr>
      </w:pPr>
    </w:p>
    <w:p>
      <w:pPr>
        <w:spacing w:after="120" w:line="1600" w:lineRule="exact"/>
        <w:jc w:val="center"/>
        <w:rPr>
          <w:rFonts w:ascii="宋体" w:hAnsi="宋体" w:cs="宋体"/>
          <w:b/>
          <w:color w:val="auto"/>
          <w:sz w:val="84"/>
          <w:szCs w:val="84"/>
          <w:highlight w:val="none"/>
        </w:rPr>
      </w:pPr>
      <w:r>
        <w:rPr>
          <w:rFonts w:hint="eastAsia" w:ascii="宋体" w:hAnsi="宋体" w:cs="宋体"/>
          <w:b/>
          <w:color w:val="auto"/>
          <w:sz w:val="84"/>
          <w:szCs w:val="84"/>
          <w:highlight w:val="none"/>
        </w:rPr>
        <w:t>国内公开招标文件</w:t>
      </w:r>
    </w:p>
    <w:p>
      <w:pPr>
        <w:rPr>
          <w:rFonts w:ascii="宋体" w:hAnsi="宋体" w:cs="宋体"/>
          <w:b/>
          <w:color w:val="auto"/>
          <w:sz w:val="36"/>
          <w:szCs w:val="36"/>
          <w:highlight w:val="none"/>
        </w:rPr>
      </w:pPr>
    </w:p>
    <w:p>
      <w:pPr>
        <w:spacing w:line="600" w:lineRule="exact"/>
        <w:rPr>
          <w:rFonts w:ascii="宋体" w:hAnsi="宋体" w:cs="宋体"/>
          <w:b/>
          <w:color w:val="auto"/>
          <w:sz w:val="28"/>
          <w:szCs w:val="28"/>
          <w:highlight w:val="none"/>
        </w:rPr>
      </w:pPr>
    </w:p>
    <w:p>
      <w:pPr>
        <w:spacing w:line="600" w:lineRule="exact"/>
        <w:rPr>
          <w:rFonts w:ascii="宋体" w:hAnsi="宋体" w:cs="宋体"/>
          <w:b/>
          <w:color w:val="auto"/>
          <w:sz w:val="28"/>
          <w:szCs w:val="28"/>
          <w:highlight w:val="none"/>
        </w:rPr>
      </w:pPr>
    </w:p>
    <w:p>
      <w:pPr>
        <w:spacing w:line="600" w:lineRule="exact"/>
        <w:rPr>
          <w:rFonts w:ascii="宋体" w:hAnsi="宋体" w:cs="宋体"/>
          <w:b/>
          <w:color w:val="auto"/>
          <w:sz w:val="28"/>
          <w:szCs w:val="28"/>
          <w:highlight w:val="none"/>
        </w:rPr>
      </w:pPr>
    </w:p>
    <w:p>
      <w:pPr>
        <w:spacing w:line="600" w:lineRule="exact"/>
        <w:rPr>
          <w:rFonts w:ascii="宋体" w:hAnsi="宋体" w:cs="宋体"/>
          <w:b/>
          <w:color w:val="auto"/>
          <w:sz w:val="28"/>
          <w:szCs w:val="28"/>
          <w:highlight w:val="none"/>
        </w:rPr>
      </w:pPr>
    </w:p>
    <w:p>
      <w:pPr>
        <w:spacing w:line="800" w:lineRule="exact"/>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lang w:eastAsia="zh-CN"/>
        </w:rPr>
        <w:t>QWZFCG25060（NBITC-202510974G）</w:t>
      </w:r>
    </w:p>
    <w:p>
      <w:pPr>
        <w:spacing w:line="800" w:lineRule="exact"/>
        <w:ind w:left="1546" w:right="-735" w:rightChars="-350" w:hanging="1546" w:hangingChars="550"/>
        <w:rPr>
          <w:rFonts w:ascii="宋体" w:hAnsi="宋体" w:cs="宋体"/>
          <w:b/>
          <w:color w:val="auto"/>
          <w:sz w:val="28"/>
          <w:szCs w:val="28"/>
          <w:highlight w:val="none"/>
        </w:rPr>
      </w:pPr>
      <w:r>
        <w:rPr>
          <w:rFonts w:hint="eastAsia" w:ascii="宋体" w:hAnsi="宋体" w:cs="宋体"/>
          <w:b/>
          <w:color w:val="auto"/>
          <w:sz w:val="28"/>
          <w:szCs w:val="28"/>
          <w:highlight w:val="none"/>
        </w:rPr>
        <w:t>项目名称：宁波前湾新区管委会大楼中央空调主机采购及安装项目</w:t>
      </w:r>
    </w:p>
    <w:p>
      <w:pPr>
        <w:spacing w:line="800" w:lineRule="exact"/>
        <w:ind w:left="1405" w:hanging="1405" w:hangingChars="500"/>
        <w:rPr>
          <w:rFonts w:ascii="宋体" w:hAnsi="宋体" w:cs="宋体"/>
          <w:b/>
          <w:color w:val="auto"/>
          <w:sz w:val="28"/>
          <w:szCs w:val="28"/>
          <w:highlight w:val="none"/>
        </w:rPr>
      </w:pPr>
      <w:r>
        <w:rPr>
          <w:rFonts w:hint="eastAsia" w:ascii="宋体" w:hAnsi="宋体" w:cs="宋体"/>
          <w:b/>
          <w:color w:val="auto"/>
          <w:sz w:val="28"/>
          <w:szCs w:val="28"/>
          <w:highlight w:val="none"/>
        </w:rPr>
        <w:t>采 购 人：宁波前湾新区管理委员会办公室（盖章）</w:t>
      </w:r>
    </w:p>
    <w:p>
      <w:pPr>
        <w:spacing w:line="800" w:lineRule="exact"/>
        <w:rPr>
          <w:rFonts w:ascii="宋体" w:hAnsi="宋体" w:cs="宋体"/>
          <w:b/>
          <w:color w:val="auto"/>
          <w:sz w:val="28"/>
          <w:szCs w:val="28"/>
          <w:highlight w:val="none"/>
        </w:rPr>
      </w:pPr>
      <w:r>
        <w:rPr>
          <w:rFonts w:hint="eastAsia" w:ascii="宋体" w:hAnsi="宋体" w:cs="宋体"/>
          <w:b/>
          <w:color w:val="auto"/>
          <w:sz w:val="28"/>
          <w:szCs w:val="28"/>
          <w:highlight w:val="none"/>
        </w:rPr>
        <w:t>代理机构：宁波市国际招标有限公司（盖章）</w:t>
      </w:r>
    </w:p>
    <w:p>
      <w:pPr>
        <w:spacing w:line="800" w:lineRule="exact"/>
        <w:rPr>
          <w:rFonts w:ascii="宋体" w:hAnsi="宋体" w:cs="宋体"/>
          <w:b/>
          <w:color w:val="auto"/>
          <w:sz w:val="28"/>
          <w:szCs w:val="28"/>
          <w:highlight w:val="none"/>
        </w:rPr>
      </w:pPr>
      <w:r>
        <w:rPr>
          <w:rFonts w:hint="eastAsia" w:ascii="宋体" w:hAnsi="宋体" w:cs="宋体"/>
          <w:b/>
          <w:color w:val="auto"/>
          <w:sz w:val="28"/>
          <w:szCs w:val="28"/>
          <w:highlight w:val="none"/>
        </w:rPr>
        <w:t>编制日期：2025年</w:t>
      </w:r>
      <w:r>
        <w:rPr>
          <w:rFonts w:hint="eastAsia" w:ascii="宋体" w:hAnsi="宋体" w:cs="宋体"/>
          <w:b/>
          <w:color w:val="auto"/>
          <w:sz w:val="28"/>
          <w:szCs w:val="28"/>
          <w:highlight w:val="none"/>
          <w:lang w:val="en-US" w:eastAsia="zh-CN"/>
        </w:rPr>
        <w:t>06</w:t>
      </w:r>
      <w:r>
        <w:rPr>
          <w:rFonts w:hint="eastAsia" w:ascii="宋体" w:hAnsi="宋体" w:cs="宋体"/>
          <w:b/>
          <w:color w:val="auto"/>
          <w:sz w:val="28"/>
          <w:szCs w:val="28"/>
          <w:highlight w:val="none"/>
        </w:rPr>
        <w:t>月</w:t>
      </w:r>
    </w:p>
    <w:p>
      <w:pPr>
        <w:spacing w:line="600" w:lineRule="exact"/>
        <w:rPr>
          <w:rFonts w:ascii="宋体" w:hAnsi="宋体" w:cs="宋体"/>
          <w:b/>
          <w:color w:val="auto"/>
          <w:sz w:val="28"/>
          <w:szCs w:val="28"/>
          <w:highlight w:val="none"/>
        </w:rPr>
      </w:pPr>
    </w:p>
    <w:p>
      <w:pPr>
        <w:spacing w:line="400" w:lineRule="exact"/>
        <w:jc w:val="center"/>
        <w:rPr>
          <w:rFonts w:ascii="宋体" w:hAnsi="宋体" w:cs="宋体"/>
          <w:b/>
          <w:color w:val="auto"/>
          <w:sz w:val="28"/>
          <w:szCs w:val="28"/>
          <w:highlight w:val="none"/>
        </w:rPr>
        <w:sectPr>
          <w:headerReference r:id="rId3" w:type="default"/>
          <w:footerReference r:id="rId4" w:type="default"/>
          <w:footerReference r:id="rId5" w:type="even"/>
          <w:type w:val="nextColumn"/>
          <w:pgSz w:w="11907" w:h="16840"/>
          <w:pgMar w:top="1440" w:right="1701" w:bottom="1440" w:left="1701" w:header="720" w:footer="720" w:gutter="0"/>
          <w:pgNumType w:start="1"/>
          <w:cols w:space="720" w:num="1"/>
          <w:docGrid w:type="lines" w:linePitch="285" w:charSpace="0"/>
        </w:sectPr>
      </w:pPr>
    </w:p>
    <w:p>
      <w:pPr>
        <w:tabs>
          <w:tab w:val="center" w:pos="4365"/>
        </w:tabs>
        <w:spacing w:line="480" w:lineRule="auto"/>
        <w:jc w:val="left"/>
        <w:rPr>
          <w:rFonts w:ascii="宋体" w:hAnsi="宋体" w:cs="宋体"/>
          <w:b/>
          <w:color w:val="auto"/>
          <w:sz w:val="52"/>
          <w:szCs w:val="52"/>
          <w:highlight w:val="none"/>
        </w:rPr>
      </w:pPr>
      <w:r>
        <w:rPr>
          <w:rFonts w:hint="eastAsia" w:ascii="宋体" w:hAnsi="宋体" w:cs="宋体"/>
          <w:b/>
          <w:color w:val="auto"/>
          <w:sz w:val="52"/>
          <w:szCs w:val="52"/>
          <w:highlight w:val="none"/>
        </w:rPr>
        <w:tab/>
      </w:r>
      <w:r>
        <w:rPr>
          <w:rFonts w:hint="eastAsia" w:ascii="宋体" w:hAnsi="宋体" w:cs="宋体"/>
          <w:b/>
          <w:color w:val="auto"/>
          <w:sz w:val="52"/>
          <w:szCs w:val="52"/>
          <w:highlight w:val="none"/>
        </w:rPr>
        <w:t>目    录</w:t>
      </w:r>
    </w:p>
    <w:p>
      <w:pPr>
        <w:pStyle w:val="28"/>
        <w:spacing w:line="720" w:lineRule="auto"/>
        <w:rPr>
          <w:rFonts w:cs="宋体"/>
          <w:color w:val="auto"/>
          <w:sz w:val="30"/>
          <w:szCs w:val="30"/>
          <w:highlight w:val="none"/>
        </w:rPr>
      </w:pPr>
      <w:r>
        <w:rPr>
          <w:rFonts w:hint="eastAsia" w:cs="宋体"/>
          <w:color w:val="auto"/>
          <w:sz w:val="30"/>
          <w:szCs w:val="30"/>
          <w:highlight w:val="none"/>
        </w:rPr>
        <w:fldChar w:fldCharType="begin"/>
      </w:r>
      <w:r>
        <w:rPr>
          <w:rFonts w:hint="eastAsia" w:cs="宋体"/>
          <w:color w:val="auto"/>
          <w:sz w:val="30"/>
          <w:szCs w:val="30"/>
          <w:highlight w:val="none"/>
        </w:rPr>
        <w:instrText xml:space="preserve"> TOC \o "1-3" \h \z \u </w:instrText>
      </w:r>
      <w:r>
        <w:rPr>
          <w:rFonts w:hint="eastAsia"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"_Toc55385090" </w:instrText>
      </w:r>
      <w:r>
        <w:rPr>
          <w:color w:val="auto"/>
          <w:highlight w:val="none"/>
        </w:rPr>
        <w:fldChar w:fldCharType="separate"/>
      </w:r>
      <w:r>
        <w:rPr>
          <w:rStyle w:val="51"/>
          <w:rFonts w:hint="eastAsia" w:cs="宋体"/>
          <w:color w:val="auto"/>
          <w:sz w:val="30"/>
          <w:szCs w:val="30"/>
          <w:highlight w:val="none"/>
        </w:rPr>
        <w:t>第一章  采购公告</w:t>
      </w:r>
      <w:r>
        <w:rPr>
          <w:rFonts w:hint="eastAsia" w:cs="宋体"/>
          <w:color w:val="auto"/>
          <w:sz w:val="30"/>
          <w:szCs w:val="30"/>
          <w:highlight w:val="none"/>
        </w:rPr>
        <w:tab/>
      </w:r>
      <w:r>
        <w:rPr>
          <w:rFonts w:hint="eastAsia" w:cs="宋体"/>
          <w:color w:val="auto"/>
          <w:sz w:val="30"/>
          <w:szCs w:val="30"/>
          <w:highlight w:val="none"/>
        </w:rPr>
        <w:fldChar w:fldCharType="begin"/>
      </w:r>
      <w:r>
        <w:rPr>
          <w:rFonts w:hint="eastAsia" w:cs="宋体"/>
          <w:color w:val="auto"/>
          <w:sz w:val="30"/>
          <w:szCs w:val="30"/>
          <w:highlight w:val="none"/>
        </w:rPr>
        <w:instrText xml:space="preserve"> PAGEREF _Toc55385090 \h </w:instrText>
      </w:r>
      <w:r>
        <w:rPr>
          <w:rFonts w:hint="eastAsia" w:cs="宋体"/>
          <w:color w:val="auto"/>
          <w:sz w:val="30"/>
          <w:szCs w:val="30"/>
          <w:highlight w:val="none"/>
        </w:rPr>
        <w:fldChar w:fldCharType="separate"/>
      </w:r>
      <w:r>
        <w:rPr>
          <w:rFonts w:hint="eastAsia" w:cs="宋体"/>
          <w:color w:val="auto"/>
          <w:sz w:val="30"/>
          <w:szCs w:val="30"/>
          <w:highlight w:val="none"/>
        </w:rPr>
        <w:t>1</w:t>
      </w:r>
      <w:r>
        <w:rPr>
          <w:rFonts w:hint="eastAsia" w:cs="宋体"/>
          <w:color w:val="auto"/>
          <w:sz w:val="30"/>
          <w:szCs w:val="30"/>
          <w:highlight w:val="none"/>
        </w:rPr>
        <w:fldChar w:fldCharType="end"/>
      </w:r>
      <w:r>
        <w:rPr>
          <w:rFonts w:hint="eastAsia" w:cs="宋体"/>
          <w:color w:val="auto"/>
          <w:sz w:val="30"/>
          <w:szCs w:val="30"/>
          <w:highlight w:val="none"/>
        </w:rPr>
        <w:fldChar w:fldCharType="end"/>
      </w:r>
    </w:p>
    <w:p>
      <w:pPr>
        <w:pStyle w:val="28"/>
        <w:spacing w:line="720" w:lineRule="auto"/>
        <w:rPr>
          <w:rFonts w:cs="宋体"/>
          <w:color w:val="auto"/>
          <w:sz w:val="30"/>
          <w:szCs w:val="30"/>
          <w:highlight w:val="none"/>
        </w:rPr>
      </w:pPr>
      <w:r>
        <w:rPr>
          <w:color w:val="auto"/>
          <w:highlight w:val="none"/>
        </w:rPr>
        <w:fldChar w:fldCharType="begin"/>
      </w:r>
      <w:r>
        <w:rPr>
          <w:color w:val="auto"/>
          <w:highlight w:val="none"/>
        </w:rPr>
        <w:instrText xml:space="preserve"> HYPERLINK \l "_Toc55385091" </w:instrText>
      </w:r>
      <w:r>
        <w:rPr>
          <w:color w:val="auto"/>
          <w:highlight w:val="none"/>
        </w:rPr>
        <w:fldChar w:fldCharType="separate"/>
      </w:r>
      <w:r>
        <w:rPr>
          <w:rStyle w:val="51"/>
          <w:rFonts w:hint="eastAsia" w:cs="宋体"/>
          <w:color w:val="auto"/>
          <w:sz w:val="30"/>
          <w:szCs w:val="30"/>
          <w:highlight w:val="none"/>
        </w:rPr>
        <w:t>第二章  投标须知</w:t>
      </w:r>
      <w:r>
        <w:rPr>
          <w:rFonts w:hint="eastAsia" w:cs="宋体"/>
          <w:color w:val="auto"/>
          <w:sz w:val="30"/>
          <w:szCs w:val="30"/>
          <w:highlight w:val="none"/>
        </w:rPr>
        <w:tab/>
      </w:r>
      <w:r>
        <w:rPr>
          <w:rFonts w:hint="eastAsia" w:cs="宋体"/>
          <w:color w:val="auto"/>
          <w:sz w:val="30"/>
          <w:szCs w:val="30"/>
          <w:highlight w:val="none"/>
        </w:rPr>
        <w:fldChar w:fldCharType="begin"/>
      </w:r>
      <w:r>
        <w:rPr>
          <w:rFonts w:hint="eastAsia" w:cs="宋体"/>
          <w:color w:val="auto"/>
          <w:sz w:val="30"/>
          <w:szCs w:val="30"/>
          <w:highlight w:val="none"/>
        </w:rPr>
        <w:instrText xml:space="preserve"> PAGEREF _Toc55385091 \h </w:instrText>
      </w:r>
      <w:r>
        <w:rPr>
          <w:rFonts w:hint="eastAsia" w:cs="宋体"/>
          <w:color w:val="auto"/>
          <w:sz w:val="30"/>
          <w:szCs w:val="30"/>
          <w:highlight w:val="none"/>
        </w:rPr>
        <w:fldChar w:fldCharType="separate"/>
      </w:r>
      <w:r>
        <w:rPr>
          <w:rFonts w:hint="eastAsia" w:cs="宋体"/>
          <w:color w:val="auto"/>
          <w:sz w:val="30"/>
          <w:szCs w:val="30"/>
          <w:highlight w:val="none"/>
        </w:rPr>
        <w:t>4</w:t>
      </w:r>
      <w:r>
        <w:rPr>
          <w:rFonts w:hint="eastAsia" w:cs="宋体"/>
          <w:color w:val="auto"/>
          <w:sz w:val="30"/>
          <w:szCs w:val="30"/>
          <w:highlight w:val="none"/>
        </w:rPr>
        <w:fldChar w:fldCharType="end"/>
      </w:r>
      <w:r>
        <w:rPr>
          <w:rFonts w:hint="eastAsia" w:cs="宋体"/>
          <w:color w:val="auto"/>
          <w:sz w:val="30"/>
          <w:szCs w:val="30"/>
          <w:highlight w:val="none"/>
        </w:rPr>
        <w:fldChar w:fldCharType="end"/>
      </w:r>
    </w:p>
    <w:p>
      <w:pPr>
        <w:pStyle w:val="28"/>
        <w:spacing w:line="720" w:lineRule="auto"/>
        <w:rPr>
          <w:rFonts w:cs="宋体"/>
          <w:color w:val="auto"/>
          <w:sz w:val="30"/>
          <w:szCs w:val="30"/>
          <w:highlight w:val="none"/>
        </w:rPr>
      </w:pPr>
      <w:r>
        <w:rPr>
          <w:color w:val="auto"/>
          <w:highlight w:val="none"/>
        </w:rPr>
        <w:fldChar w:fldCharType="begin"/>
      </w:r>
      <w:r>
        <w:rPr>
          <w:color w:val="auto"/>
          <w:highlight w:val="none"/>
        </w:rPr>
        <w:instrText xml:space="preserve"> HYPERLINK \l "_Toc55385104" </w:instrText>
      </w:r>
      <w:r>
        <w:rPr>
          <w:color w:val="auto"/>
          <w:highlight w:val="none"/>
        </w:rPr>
        <w:fldChar w:fldCharType="separate"/>
      </w:r>
      <w:r>
        <w:rPr>
          <w:rStyle w:val="51"/>
          <w:rFonts w:hint="eastAsia" w:cs="宋体"/>
          <w:color w:val="auto"/>
          <w:sz w:val="30"/>
          <w:szCs w:val="30"/>
          <w:highlight w:val="none"/>
        </w:rPr>
        <w:t>第三章  评</w:t>
      </w:r>
      <w:bookmarkStart w:id="0" w:name="_Hlt112930731"/>
      <w:bookmarkStart w:id="1" w:name="_Hlt112930730"/>
      <w:r>
        <w:rPr>
          <w:rStyle w:val="51"/>
          <w:rFonts w:hint="eastAsia" w:cs="宋体"/>
          <w:color w:val="auto"/>
          <w:sz w:val="30"/>
          <w:szCs w:val="30"/>
          <w:highlight w:val="none"/>
        </w:rPr>
        <w:t>标</w:t>
      </w:r>
      <w:bookmarkEnd w:id="0"/>
      <w:bookmarkEnd w:id="1"/>
      <w:r>
        <w:rPr>
          <w:rStyle w:val="51"/>
          <w:rFonts w:hint="eastAsia" w:cs="宋体"/>
          <w:color w:val="auto"/>
          <w:sz w:val="30"/>
          <w:szCs w:val="30"/>
          <w:highlight w:val="none"/>
        </w:rPr>
        <w:t>办法及标准</w:t>
      </w:r>
      <w:r>
        <w:rPr>
          <w:rFonts w:hint="eastAsia" w:cs="宋体"/>
          <w:color w:val="auto"/>
          <w:sz w:val="30"/>
          <w:szCs w:val="30"/>
          <w:highlight w:val="none"/>
        </w:rPr>
        <w:tab/>
      </w:r>
      <w:r>
        <w:rPr>
          <w:rFonts w:hint="eastAsia" w:cs="宋体"/>
          <w:color w:val="auto"/>
          <w:sz w:val="30"/>
          <w:szCs w:val="30"/>
          <w:highlight w:val="none"/>
        </w:rPr>
        <w:fldChar w:fldCharType="begin"/>
      </w:r>
      <w:r>
        <w:rPr>
          <w:rFonts w:hint="eastAsia" w:cs="宋体"/>
          <w:color w:val="auto"/>
          <w:sz w:val="30"/>
          <w:szCs w:val="30"/>
          <w:highlight w:val="none"/>
        </w:rPr>
        <w:instrText xml:space="preserve"> PAGEREF _Toc55385104 \h </w:instrText>
      </w:r>
      <w:r>
        <w:rPr>
          <w:rFonts w:hint="eastAsia" w:cs="宋体"/>
          <w:color w:val="auto"/>
          <w:sz w:val="30"/>
          <w:szCs w:val="30"/>
          <w:highlight w:val="none"/>
        </w:rPr>
        <w:fldChar w:fldCharType="separate"/>
      </w:r>
      <w:r>
        <w:rPr>
          <w:rFonts w:hint="eastAsia" w:cs="宋体"/>
          <w:color w:val="auto"/>
          <w:sz w:val="30"/>
          <w:szCs w:val="30"/>
          <w:highlight w:val="none"/>
        </w:rPr>
        <w:t>12</w:t>
      </w:r>
      <w:r>
        <w:rPr>
          <w:rFonts w:hint="eastAsia" w:cs="宋体"/>
          <w:color w:val="auto"/>
          <w:sz w:val="30"/>
          <w:szCs w:val="30"/>
          <w:highlight w:val="none"/>
        </w:rPr>
        <w:fldChar w:fldCharType="end"/>
      </w:r>
      <w:r>
        <w:rPr>
          <w:rFonts w:hint="eastAsia" w:cs="宋体"/>
          <w:color w:val="auto"/>
          <w:sz w:val="30"/>
          <w:szCs w:val="30"/>
          <w:highlight w:val="none"/>
        </w:rPr>
        <w:fldChar w:fldCharType="end"/>
      </w:r>
    </w:p>
    <w:p>
      <w:pPr>
        <w:pStyle w:val="28"/>
        <w:spacing w:line="720" w:lineRule="auto"/>
        <w:rPr>
          <w:rFonts w:cs="宋体"/>
          <w:color w:val="auto"/>
          <w:sz w:val="30"/>
          <w:szCs w:val="30"/>
          <w:highlight w:val="none"/>
        </w:rPr>
      </w:pPr>
      <w:r>
        <w:rPr>
          <w:color w:val="auto"/>
          <w:highlight w:val="none"/>
        </w:rPr>
        <w:fldChar w:fldCharType="begin"/>
      </w:r>
      <w:r>
        <w:rPr>
          <w:color w:val="auto"/>
          <w:highlight w:val="none"/>
        </w:rPr>
        <w:instrText xml:space="preserve"> HYPERLINK \l "_Toc55385105" </w:instrText>
      </w:r>
      <w:r>
        <w:rPr>
          <w:color w:val="auto"/>
          <w:highlight w:val="none"/>
        </w:rPr>
        <w:fldChar w:fldCharType="separate"/>
      </w:r>
      <w:r>
        <w:rPr>
          <w:rStyle w:val="51"/>
          <w:rFonts w:hint="eastAsia" w:cs="宋体"/>
          <w:color w:val="auto"/>
          <w:sz w:val="30"/>
          <w:szCs w:val="30"/>
          <w:highlight w:val="none"/>
        </w:rPr>
        <w:t>第四章  合同样</w:t>
      </w:r>
      <w:bookmarkStart w:id="2" w:name="_Hlt169087504"/>
      <w:bookmarkStart w:id="3" w:name="_Hlt169087503"/>
      <w:r>
        <w:rPr>
          <w:rStyle w:val="51"/>
          <w:rFonts w:hint="eastAsia" w:cs="宋体"/>
          <w:color w:val="auto"/>
          <w:sz w:val="30"/>
          <w:szCs w:val="30"/>
          <w:highlight w:val="none"/>
        </w:rPr>
        <w:t>本</w:t>
      </w:r>
      <w:bookmarkEnd w:id="2"/>
      <w:bookmarkEnd w:id="3"/>
      <w:r>
        <w:rPr>
          <w:rFonts w:hint="eastAsia" w:cs="宋体"/>
          <w:color w:val="auto"/>
          <w:sz w:val="30"/>
          <w:szCs w:val="30"/>
          <w:highlight w:val="none"/>
        </w:rPr>
        <w:tab/>
      </w:r>
      <w:r>
        <w:rPr>
          <w:rFonts w:hint="eastAsia" w:cs="宋体"/>
          <w:color w:val="auto"/>
          <w:sz w:val="30"/>
          <w:szCs w:val="30"/>
          <w:highlight w:val="none"/>
        </w:rPr>
        <w:fldChar w:fldCharType="begin"/>
      </w:r>
      <w:r>
        <w:rPr>
          <w:rFonts w:hint="eastAsia" w:cs="宋体"/>
          <w:color w:val="auto"/>
          <w:sz w:val="30"/>
          <w:szCs w:val="30"/>
          <w:highlight w:val="none"/>
        </w:rPr>
        <w:instrText xml:space="preserve"> PAGEREF _Toc55385105 \h </w:instrText>
      </w:r>
      <w:r>
        <w:rPr>
          <w:rFonts w:hint="eastAsia" w:cs="宋体"/>
          <w:color w:val="auto"/>
          <w:sz w:val="30"/>
          <w:szCs w:val="30"/>
          <w:highlight w:val="none"/>
        </w:rPr>
        <w:fldChar w:fldCharType="separate"/>
      </w:r>
      <w:r>
        <w:rPr>
          <w:rFonts w:hint="eastAsia" w:cs="宋体"/>
          <w:color w:val="auto"/>
          <w:sz w:val="30"/>
          <w:szCs w:val="30"/>
          <w:highlight w:val="none"/>
        </w:rPr>
        <w:t>22</w:t>
      </w:r>
      <w:r>
        <w:rPr>
          <w:rFonts w:hint="eastAsia" w:cs="宋体"/>
          <w:color w:val="auto"/>
          <w:sz w:val="30"/>
          <w:szCs w:val="30"/>
          <w:highlight w:val="none"/>
        </w:rPr>
        <w:fldChar w:fldCharType="end"/>
      </w:r>
      <w:r>
        <w:rPr>
          <w:rFonts w:hint="eastAsia" w:cs="宋体"/>
          <w:color w:val="auto"/>
          <w:sz w:val="30"/>
          <w:szCs w:val="30"/>
          <w:highlight w:val="none"/>
        </w:rPr>
        <w:fldChar w:fldCharType="end"/>
      </w:r>
    </w:p>
    <w:p>
      <w:pPr>
        <w:pStyle w:val="28"/>
        <w:spacing w:line="720" w:lineRule="auto"/>
        <w:rPr>
          <w:rFonts w:cs="宋体"/>
          <w:color w:val="auto"/>
          <w:sz w:val="30"/>
          <w:szCs w:val="30"/>
          <w:highlight w:val="none"/>
        </w:rPr>
      </w:pPr>
      <w:r>
        <w:rPr>
          <w:color w:val="auto"/>
          <w:highlight w:val="none"/>
        </w:rPr>
        <w:fldChar w:fldCharType="begin"/>
      </w:r>
      <w:r>
        <w:rPr>
          <w:color w:val="auto"/>
          <w:highlight w:val="none"/>
        </w:rPr>
        <w:instrText xml:space="preserve"> HYPERLINK \l "_Toc55385106" </w:instrText>
      </w:r>
      <w:r>
        <w:rPr>
          <w:color w:val="auto"/>
          <w:highlight w:val="none"/>
        </w:rPr>
        <w:fldChar w:fldCharType="separate"/>
      </w:r>
      <w:r>
        <w:rPr>
          <w:rStyle w:val="51"/>
          <w:rFonts w:hint="eastAsia" w:cs="宋体"/>
          <w:color w:val="auto"/>
          <w:sz w:val="30"/>
          <w:szCs w:val="30"/>
          <w:highlight w:val="none"/>
        </w:rPr>
        <w:t>第五章  招标</w:t>
      </w:r>
      <w:bookmarkStart w:id="4" w:name="_Hlt164962252"/>
      <w:bookmarkStart w:id="5" w:name="_Hlt164962251"/>
      <w:r>
        <w:rPr>
          <w:rStyle w:val="51"/>
          <w:rFonts w:hint="eastAsia" w:cs="宋体"/>
          <w:color w:val="auto"/>
          <w:sz w:val="30"/>
          <w:szCs w:val="30"/>
          <w:highlight w:val="none"/>
        </w:rPr>
        <w:t>内</w:t>
      </w:r>
      <w:bookmarkEnd w:id="4"/>
      <w:bookmarkEnd w:id="5"/>
      <w:r>
        <w:rPr>
          <w:rStyle w:val="51"/>
          <w:rFonts w:hint="eastAsia" w:cs="宋体"/>
          <w:color w:val="auto"/>
          <w:sz w:val="30"/>
          <w:szCs w:val="30"/>
          <w:highlight w:val="none"/>
        </w:rPr>
        <w:t>容与</w:t>
      </w:r>
      <w:bookmarkStart w:id="6" w:name="_Hlt105491812"/>
      <w:bookmarkStart w:id="7" w:name="_Hlt105491813"/>
      <w:r>
        <w:rPr>
          <w:rStyle w:val="51"/>
          <w:rFonts w:hint="eastAsia" w:cs="宋体"/>
          <w:color w:val="auto"/>
          <w:sz w:val="30"/>
          <w:szCs w:val="30"/>
          <w:highlight w:val="none"/>
        </w:rPr>
        <w:t>技</w:t>
      </w:r>
      <w:bookmarkEnd w:id="6"/>
      <w:bookmarkEnd w:id="7"/>
      <w:r>
        <w:rPr>
          <w:rStyle w:val="51"/>
          <w:rFonts w:hint="eastAsia" w:cs="宋体"/>
          <w:color w:val="auto"/>
          <w:sz w:val="30"/>
          <w:szCs w:val="30"/>
          <w:highlight w:val="none"/>
        </w:rPr>
        <w:t>术需求</w:t>
      </w:r>
      <w:r>
        <w:rPr>
          <w:rFonts w:hint="eastAsia" w:cs="宋体"/>
          <w:color w:val="auto"/>
          <w:sz w:val="30"/>
          <w:szCs w:val="30"/>
          <w:highlight w:val="none"/>
        </w:rPr>
        <w:tab/>
      </w:r>
      <w:r>
        <w:rPr>
          <w:rFonts w:hint="eastAsia" w:cs="宋体"/>
          <w:color w:val="auto"/>
          <w:sz w:val="30"/>
          <w:szCs w:val="30"/>
          <w:highlight w:val="none"/>
        </w:rPr>
        <w:fldChar w:fldCharType="begin"/>
      </w:r>
      <w:r>
        <w:rPr>
          <w:rFonts w:hint="eastAsia" w:cs="宋体"/>
          <w:color w:val="auto"/>
          <w:sz w:val="30"/>
          <w:szCs w:val="30"/>
          <w:highlight w:val="none"/>
        </w:rPr>
        <w:instrText xml:space="preserve"> PAGEREF _Toc55385106 \h </w:instrText>
      </w:r>
      <w:r>
        <w:rPr>
          <w:rFonts w:hint="eastAsia" w:cs="宋体"/>
          <w:color w:val="auto"/>
          <w:sz w:val="30"/>
          <w:szCs w:val="30"/>
          <w:highlight w:val="none"/>
        </w:rPr>
        <w:fldChar w:fldCharType="separate"/>
      </w:r>
      <w:r>
        <w:rPr>
          <w:rFonts w:hint="eastAsia" w:cs="宋体"/>
          <w:color w:val="auto"/>
          <w:sz w:val="30"/>
          <w:szCs w:val="30"/>
          <w:highlight w:val="none"/>
        </w:rPr>
        <w:t>26</w:t>
      </w:r>
      <w:r>
        <w:rPr>
          <w:rFonts w:hint="eastAsia" w:cs="宋体"/>
          <w:color w:val="auto"/>
          <w:sz w:val="30"/>
          <w:szCs w:val="30"/>
          <w:highlight w:val="none"/>
        </w:rPr>
        <w:fldChar w:fldCharType="end"/>
      </w:r>
      <w:r>
        <w:rPr>
          <w:rFonts w:hint="eastAsia" w:cs="宋体"/>
          <w:color w:val="auto"/>
          <w:sz w:val="30"/>
          <w:szCs w:val="30"/>
          <w:highlight w:val="none"/>
        </w:rPr>
        <w:fldChar w:fldCharType="end"/>
      </w:r>
    </w:p>
    <w:p>
      <w:pPr>
        <w:pStyle w:val="28"/>
        <w:spacing w:line="720" w:lineRule="auto"/>
        <w:rPr>
          <w:rFonts w:cs="宋体"/>
          <w:color w:val="auto"/>
          <w:sz w:val="30"/>
          <w:szCs w:val="30"/>
          <w:highlight w:val="none"/>
        </w:rPr>
      </w:pPr>
      <w:r>
        <w:rPr>
          <w:color w:val="auto"/>
          <w:highlight w:val="none"/>
        </w:rPr>
        <w:fldChar w:fldCharType="begin"/>
      </w:r>
      <w:r>
        <w:rPr>
          <w:color w:val="auto"/>
          <w:highlight w:val="none"/>
        </w:rPr>
        <w:instrText xml:space="preserve"> HYPERLINK \l "_Toc55385107" </w:instrText>
      </w:r>
      <w:r>
        <w:rPr>
          <w:color w:val="auto"/>
          <w:highlight w:val="none"/>
        </w:rPr>
        <w:fldChar w:fldCharType="separate"/>
      </w:r>
      <w:r>
        <w:rPr>
          <w:rStyle w:val="51"/>
          <w:rFonts w:hint="eastAsia" w:cs="宋体"/>
          <w:color w:val="auto"/>
          <w:sz w:val="30"/>
          <w:szCs w:val="30"/>
          <w:highlight w:val="none"/>
        </w:rPr>
        <w:t>第六章  商务条款</w:t>
      </w:r>
      <w:r>
        <w:rPr>
          <w:rFonts w:hint="eastAsia" w:cs="宋体"/>
          <w:color w:val="auto"/>
          <w:sz w:val="30"/>
          <w:szCs w:val="30"/>
          <w:highlight w:val="none"/>
        </w:rPr>
        <w:tab/>
      </w:r>
      <w:r>
        <w:rPr>
          <w:rFonts w:hint="eastAsia" w:cs="宋体"/>
          <w:color w:val="auto"/>
          <w:sz w:val="30"/>
          <w:szCs w:val="30"/>
          <w:highlight w:val="none"/>
        </w:rPr>
        <w:fldChar w:fldCharType="begin"/>
      </w:r>
      <w:r>
        <w:rPr>
          <w:rFonts w:hint="eastAsia" w:cs="宋体"/>
          <w:color w:val="auto"/>
          <w:sz w:val="30"/>
          <w:szCs w:val="30"/>
          <w:highlight w:val="none"/>
        </w:rPr>
        <w:instrText xml:space="preserve"> PAGEREF _Toc55385107 \h </w:instrText>
      </w:r>
      <w:r>
        <w:rPr>
          <w:rFonts w:hint="eastAsia" w:cs="宋体"/>
          <w:color w:val="auto"/>
          <w:sz w:val="30"/>
          <w:szCs w:val="30"/>
          <w:highlight w:val="none"/>
        </w:rPr>
        <w:fldChar w:fldCharType="separate"/>
      </w:r>
      <w:r>
        <w:rPr>
          <w:rFonts w:hint="eastAsia" w:cs="宋体"/>
          <w:color w:val="auto"/>
          <w:sz w:val="30"/>
          <w:szCs w:val="30"/>
          <w:highlight w:val="none"/>
        </w:rPr>
        <w:t>31</w:t>
      </w:r>
      <w:r>
        <w:rPr>
          <w:rFonts w:hint="eastAsia" w:cs="宋体"/>
          <w:color w:val="auto"/>
          <w:sz w:val="30"/>
          <w:szCs w:val="30"/>
          <w:highlight w:val="none"/>
        </w:rPr>
        <w:fldChar w:fldCharType="end"/>
      </w:r>
      <w:r>
        <w:rPr>
          <w:rFonts w:hint="eastAsia" w:cs="宋体"/>
          <w:color w:val="auto"/>
          <w:sz w:val="30"/>
          <w:szCs w:val="30"/>
          <w:highlight w:val="none"/>
        </w:rPr>
        <w:fldChar w:fldCharType="end"/>
      </w:r>
    </w:p>
    <w:p>
      <w:pPr>
        <w:pStyle w:val="28"/>
        <w:spacing w:line="720" w:lineRule="auto"/>
        <w:rPr>
          <w:rFonts w:cs="宋体"/>
          <w:color w:val="auto"/>
          <w:sz w:val="30"/>
          <w:szCs w:val="30"/>
          <w:highlight w:val="none"/>
        </w:rPr>
      </w:pPr>
      <w:r>
        <w:rPr>
          <w:color w:val="auto"/>
          <w:highlight w:val="none"/>
        </w:rPr>
        <w:fldChar w:fldCharType="begin"/>
      </w:r>
      <w:r>
        <w:rPr>
          <w:color w:val="auto"/>
          <w:highlight w:val="none"/>
        </w:rPr>
        <w:instrText xml:space="preserve"> HYPERLINK \l "_Toc55385108" </w:instrText>
      </w:r>
      <w:r>
        <w:rPr>
          <w:color w:val="auto"/>
          <w:highlight w:val="none"/>
        </w:rPr>
        <w:fldChar w:fldCharType="separate"/>
      </w:r>
      <w:r>
        <w:rPr>
          <w:rStyle w:val="51"/>
          <w:rFonts w:hint="eastAsia" w:cs="宋体"/>
          <w:color w:val="auto"/>
          <w:sz w:val="30"/>
          <w:szCs w:val="30"/>
          <w:highlight w:val="none"/>
        </w:rPr>
        <w:t>第七章  附件</w:t>
      </w:r>
      <w:r>
        <w:rPr>
          <w:rFonts w:hint="eastAsia" w:cs="宋体"/>
          <w:color w:val="auto"/>
          <w:sz w:val="30"/>
          <w:szCs w:val="30"/>
          <w:highlight w:val="none"/>
        </w:rPr>
        <w:tab/>
      </w:r>
      <w:r>
        <w:rPr>
          <w:rFonts w:hint="eastAsia" w:cs="宋体"/>
          <w:color w:val="auto"/>
          <w:sz w:val="30"/>
          <w:szCs w:val="30"/>
          <w:highlight w:val="none"/>
        </w:rPr>
        <w:fldChar w:fldCharType="begin"/>
      </w:r>
      <w:r>
        <w:rPr>
          <w:rFonts w:hint="eastAsia" w:cs="宋体"/>
          <w:color w:val="auto"/>
          <w:sz w:val="30"/>
          <w:szCs w:val="30"/>
          <w:highlight w:val="none"/>
        </w:rPr>
        <w:instrText xml:space="preserve"> PAGEREF _Toc55385108 \h </w:instrText>
      </w:r>
      <w:r>
        <w:rPr>
          <w:rFonts w:hint="eastAsia" w:cs="宋体"/>
          <w:color w:val="auto"/>
          <w:sz w:val="30"/>
          <w:szCs w:val="30"/>
          <w:highlight w:val="none"/>
        </w:rPr>
        <w:fldChar w:fldCharType="separate"/>
      </w:r>
      <w:r>
        <w:rPr>
          <w:rFonts w:hint="eastAsia" w:cs="宋体"/>
          <w:color w:val="auto"/>
          <w:sz w:val="30"/>
          <w:szCs w:val="30"/>
          <w:highlight w:val="none"/>
        </w:rPr>
        <w:t>32</w:t>
      </w:r>
      <w:r>
        <w:rPr>
          <w:rFonts w:hint="eastAsia" w:cs="宋体"/>
          <w:color w:val="auto"/>
          <w:sz w:val="30"/>
          <w:szCs w:val="30"/>
          <w:highlight w:val="none"/>
        </w:rPr>
        <w:fldChar w:fldCharType="end"/>
      </w:r>
      <w:r>
        <w:rPr>
          <w:rFonts w:hint="eastAsia" w:cs="宋体"/>
          <w:color w:val="auto"/>
          <w:sz w:val="30"/>
          <w:szCs w:val="30"/>
          <w:highlight w:val="none"/>
        </w:rPr>
        <w:fldChar w:fldCharType="end"/>
      </w:r>
    </w:p>
    <w:p>
      <w:pPr>
        <w:spacing w:line="720" w:lineRule="auto"/>
        <w:jc w:val="center"/>
        <w:rPr>
          <w:rFonts w:ascii="宋体" w:hAnsi="宋体" w:cs="宋体"/>
          <w:color w:val="auto"/>
          <w:sz w:val="32"/>
          <w:szCs w:val="32"/>
          <w:highlight w:val="none"/>
        </w:rPr>
      </w:pPr>
      <w:r>
        <w:rPr>
          <w:rFonts w:hint="eastAsia" w:ascii="宋体" w:hAnsi="宋体" w:cs="宋体"/>
          <w:color w:val="auto"/>
          <w:sz w:val="30"/>
          <w:szCs w:val="30"/>
          <w:highlight w:val="none"/>
        </w:rPr>
        <w:fldChar w:fldCharType="end"/>
      </w:r>
    </w:p>
    <w:p>
      <w:pPr>
        <w:spacing w:line="12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br w:type="page"/>
      </w:r>
    </w:p>
    <w:p>
      <w:pPr>
        <w:spacing w:line="1200" w:lineRule="exact"/>
        <w:jc w:val="center"/>
        <w:rPr>
          <w:rFonts w:ascii="宋体" w:hAnsi="宋体" w:cs="宋体"/>
          <w:color w:val="auto"/>
          <w:sz w:val="32"/>
          <w:szCs w:val="32"/>
          <w:highlight w:val="none"/>
        </w:rPr>
      </w:pPr>
    </w:p>
    <w:p>
      <w:pPr>
        <w:spacing w:line="1200" w:lineRule="exact"/>
        <w:jc w:val="center"/>
        <w:rPr>
          <w:rFonts w:ascii="宋体" w:hAnsi="宋体" w:cs="宋体"/>
          <w:b/>
          <w:color w:val="auto"/>
          <w:sz w:val="72"/>
          <w:szCs w:val="72"/>
          <w:highlight w:val="none"/>
        </w:rPr>
      </w:pPr>
      <w:r>
        <w:rPr>
          <w:rFonts w:hint="eastAsia" w:ascii="宋体" w:hAnsi="宋体" w:cs="宋体"/>
          <w:b/>
          <w:color w:val="auto"/>
          <w:sz w:val="72"/>
          <w:szCs w:val="72"/>
          <w:highlight w:val="none"/>
        </w:rPr>
        <w:t>温馨提醒</w:t>
      </w:r>
    </w:p>
    <w:p>
      <w:pPr>
        <w:spacing w:line="1000" w:lineRule="exact"/>
        <w:jc w:val="left"/>
        <w:rPr>
          <w:rFonts w:ascii="宋体" w:hAnsi="宋体" w:cs="宋体"/>
          <w:b/>
          <w:color w:val="auto"/>
          <w:sz w:val="30"/>
          <w:szCs w:val="30"/>
          <w:highlight w:val="none"/>
        </w:rPr>
      </w:pPr>
      <w:r>
        <w:rPr>
          <w:rFonts w:hint="eastAsia" w:ascii="宋体" w:hAnsi="宋体" w:cs="宋体"/>
          <w:b/>
          <w:color w:val="auto"/>
          <w:sz w:val="30"/>
          <w:szCs w:val="30"/>
          <w:highlight w:val="none"/>
        </w:rPr>
        <w:t>1、投标文件应按招标文件要求将“资格文件”、“商务和技术文件”、“报价文件”分别编制。</w:t>
      </w:r>
    </w:p>
    <w:p>
      <w:pPr>
        <w:spacing w:line="1000" w:lineRule="exact"/>
        <w:jc w:val="left"/>
        <w:rPr>
          <w:rFonts w:ascii="宋体" w:hAnsi="宋体" w:cs="宋体"/>
          <w:b/>
          <w:color w:val="auto"/>
          <w:sz w:val="30"/>
          <w:szCs w:val="30"/>
          <w:highlight w:val="none"/>
        </w:rPr>
      </w:pPr>
      <w:r>
        <w:rPr>
          <w:rFonts w:hint="eastAsia" w:ascii="宋体" w:hAnsi="宋体" w:cs="宋体"/>
          <w:b/>
          <w:color w:val="auto"/>
          <w:sz w:val="30"/>
          <w:szCs w:val="30"/>
          <w:highlight w:val="none"/>
        </w:rPr>
        <w:t>2、“资格文件”、“商务和技术文件”中不得出现涉及投标价格的内容，否则作无效标处理。</w:t>
      </w:r>
    </w:p>
    <w:p>
      <w:pPr>
        <w:spacing w:line="1000" w:lineRule="exact"/>
        <w:jc w:val="left"/>
        <w:rPr>
          <w:rFonts w:ascii="宋体" w:hAnsi="宋体" w:cs="宋体"/>
          <w:b/>
          <w:color w:val="auto"/>
          <w:sz w:val="30"/>
          <w:szCs w:val="30"/>
          <w:highlight w:val="none"/>
        </w:rPr>
      </w:pPr>
      <w:r>
        <w:rPr>
          <w:rFonts w:hint="eastAsia" w:ascii="宋体" w:hAnsi="宋体" w:cs="宋体"/>
          <w:b/>
          <w:color w:val="auto"/>
          <w:sz w:val="30"/>
          <w:szCs w:val="30"/>
          <w:highlight w:val="none"/>
        </w:rPr>
        <w:t>3、采购人可以对已发出的招标文件进行必要的澄清或者修改，将以“更正公告”的形式发布在政采云平台，供应商应及时登录政采云平台，进行浏览并下载，未及时浏览下载的责任自负。</w:t>
      </w:r>
    </w:p>
    <w:p>
      <w:pPr>
        <w:spacing w:line="1000" w:lineRule="exact"/>
        <w:jc w:val="left"/>
        <w:rPr>
          <w:rFonts w:ascii="宋体" w:hAnsi="宋体" w:cs="宋体"/>
          <w:b/>
          <w:color w:val="auto"/>
          <w:sz w:val="30"/>
          <w:szCs w:val="30"/>
          <w:highlight w:val="none"/>
        </w:rPr>
      </w:pPr>
      <w:r>
        <w:rPr>
          <w:rFonts w:hint="eastAsia" w:ascii="宋体" w:hAnsi="宋体" w:cs="宋体"/>
          <w:b/>
          <w:color w:val="auto"/>
          <w:sz w:val="30"/>
          <w:szCs w:val="30"/>
          <w:highlight w:val="none"/>
        </w:rPr>
        <w:t>4、如供应商到开标现场解密的，请自带电脑，以便于开标现场解密投标文件。</w:t>
      </w:r>
    </w:p>
    <w:p>
      <w:pPr>
        <w:spacing w:line="1000" w:lineRule="exact"/>
        <w:jc w:val="center"/>
        <w:rPr>
          <w:rFonts w:ascii="宋体" w:hAnsi="宋体" w:cs="宋体"/>
          <w:b/>
          <w:color w:val="auto"/>
          <w:sz w:val="32"/>
          <w:highlight w:val="none"/>
        </w:rPr>
      </w:pPr>
    </w:p>
    <w:p>
      <w:pPr>
        <w:spacing w:line="400" w:lineRule="exact"/>
        <w:jc w:val="center"/>
        <w:rPr>
          <w:rFonts w:ascii="宋体" w:hAnsi="宋体" w:cs="宋体"/>
          <w:b/>
          <w:color w:val="auto"/>
          <w:sz w:val="32"/>
          <w:highlight w:val="none"/>
        </w:rPr>
        <w:sectPr>
          <w:headerReference r:id="rId6" w:type="default"/>
          <w:type w:val="nextColumn"/>
          <w:pgSz w:w="11907" w:h="16840"/>
          <w:pgMar w:top="854" w:right="1588" w:bottom="854" w:left="1588" w:header="569" w:footer="700" w:gutter="0"/>
          <w:cols w:space="720" w:num="1"/>
          <w:docGrid w:linePitch="285" w:charSpace="0"/>
        </w:sectPr>
      </w:pPr>
    </w:p>
    <w:p>
      <w:pPr>
        <w:spacing w:line="400" w:lineRule="exact"/>
        <w:jc w:val="center"/>
        <w:outlineLvl w:val="0"/>
        <w:rPr>
          <w:rFonts w:ascii="宋体" w:hAnsi="宋体" w:cs="宋体"/>
          <w:b/>
          <w:color w:val="auto"/>
          <w:sz w:val="32"/>
          <w:highlight w:val="none"/>
        </w:rPr>
      </w:pPr>
      <w:bookmarkStart w:id="8" w:name="_Toc55385090"/>
      <w:r>
        <w:rPr>
          <w:rFonts w:hint="eastAsia" w:ascii="宋体" w:hAnsi="宋体" w:cs="宋体"/>
          <w:b/>
          <w:color w:val="auto"/>
          <w:sz w:val="32"/>
          <w:highlight w:val="none"/>
        </w:rPr>
        <w:t>第一章  采购公告</w:t>
      </w:r>
      <w:bookmarkEnd w:id="8"/>
    </w:p>
    <w:p>
      <w:pPr>
        <w:adjustRightInd w:val="0"/>
        <w:snapToGrid w:val="0"/>
        <w:spacing w:line="400" w:lineRule="exact"/>
        <w:rPr>
          <w:rFonts w:ascii="宋体" w:hAnsi="宋体" w:cs="宋体"/>
          <w:color w:val="auto"/>
          <w:highlight w:val="none"/>
        </w:rPr>
      </w:pPr>
      <w:r>
        <w:rPr>
          <w:rFonts w:hint="eastAsia" w:ascii="宋体" w:hAnsi="宋体" w:cs="宋体"/>
          <w:color w:val="auto"/>
          <w:highlight w:val="none"/>
        </w:rPr>
        <w:t>发布日期：2025年</w:t>
      </w:r>
      <w:r>
        <w:rPr>
          <w:rFonts w:hint="eastAsia" w:ascii="宋体" w:hAnsi="宋体" w:cs="宋体"/>
          <w:color w:val="auto"/>
          <w:highlight w:val="none"/>
          <w:lang w:val="en-US" w:eastAsia="zh-CN"/>
        </w:rPr>
        <w:t>06</w:t>
      </w:r>
      <w:r>
        <w:rPr>
          <w:rFonts w:hint="eastAsia" w:ascii="宋体" w:hAnsi="宋体" w:cs="宋体"/>
          <w:color w:val="auto"/>
          <w:highlight w:val="none"/>
        </w:rPr>
        <w:t>月</w:t>
      </w:r>
      <w:r>
        <w:rPr>
          <w:rFonts w:hint="eastAsia" w:ascii="宋体" w:hAnsi="宋体" w:cs="宋体"/>
          <w:color w:val="auto"/>
          <w:highlight w:val="none"/>
          <w:lang w:val="en-US" w:eastAsia="zh-CN"/>
        </w:rPr>
        <w:t>26</w:t>
      </w:r>
      <w:r>
        <w:rPr>
          <w:rFonts w:hint="eastAsia" w:ascii="宋体" w:hAnsi="宋体" w:cs="宋体"/>
          <w:color w:val="auto"/>
          <w:highlight w:val="none"/>
        </w:rPr>
        <w:t>日</w:t>
      </w:r>
    </w:p>
    <w:p>
      <w:pPr>
        <w:spacing w:line="400" w:lineRule="exact"/>
        <w:rPr>
          <w:rFonts w:ascii="宋体" w:hAnsi="宋体" w:cs="宋体"/>
          <w:b/>
          <w:color w:val="auto"/>
          <w:highlight w:val="none"/>
        </w:rPr>
      </w:pPr>
      <w:r>
        <w:rPr>
          <w:rFonts w:hint="eastAsia" w:ascii="宋体" w:hAnsi="宋体" w:cs="宋体"/>
          <w:b/>
          <w:color w:val="auto"/>
          <w:highlight w:val="none"/>
        </w:rPr>
        <w:t>项目概况</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宁波前湾新区管委会大楼中央空调主机采购及安装项目招标项目的潜在供应商应在政府采购云平台（www.zcygov.cn）获取（下载）招标文件，并于</w:t>
      </w:r>
      <w:r>
        <w:rPr>
          <w:rFonts w:hint="eastAsia" w:ascii="宋体" w:hAnsi="宋体" w:cs="宋体"/>
          <w:color w:val="auto"/>
          <w:highlight w:val="none"/>
        </w:rPr>
        <w:t>2025年</w:t>
      </w:r>
      <w:r>
        <w:rPr>
          <w:rFonts w:hint="eastAsia" w:ascii="宋体" w:hAnsi="宋体" w:cs="宋体"/>
          <w:color w:val="auto"/>
          <w:highlight w:val="none"/>
          <w:lang w:val="en-US" w:eastAsia="zh-CN"/>
        </w:rPr>
        <w:t>07</w:t>
      </w:r>
      <w:r>
        <w:rPr>
          <w:rFonts w:hint="eastAsia" w:ascii="宋体" w:hAnsi="宋体" w:cs="宋体"/>
          <w:color w:val="auto"/>
          <w:highlight w:val="none"/>
        </w:rPr>
        <w:t>月</w:t>
      </w:r>
      <w:r>
        <w:rPr>
          <w:rFonts w:hint="eastAsia" w:ascii="宋体" w:hAnsi="宋体" w:cs="宋体"/>
          <w:color w:val="auto"/>
          <w:highlight w:val="none"/>
          <w:lang w:val="en-US" w:eastAsia="zh-CN"/>
        </w:rPr>
        <w:t>16</w:t>
      </w:r>
      <w:r>
        <w:rPr>
          <w:rFonts w:hint="eastAsia" w:ascii="宋体" w:hAnsi="宋体" w:cs="宋体"/>
          <w:color w:val="auto"/>
          <w:highlight w:val="none"/>
        </w:rPr>
        <w:t>日</w:t>
      </w:r>
      <w:r>
        <w:rPr>
          <w:rFonts w:hint="eastAsia" w:ascii="宋体" w:hAnsi="宋体" w:cs="宋体"/>
          <w:color w:val="auto"/>
          <w:szCs w:val="21"/>
          <w:highlight w:val="none"/>
        </w:rPr>
        <w:t>09：30（北京时间）前递交（上传）投标文件。</w:t>
      </w:r>
    </w:p>
    <w:p>
      <w:pPr>
        <w:spacing w:line="400" w:lineRule="exact"/>
        <w:rPr>
          <w:rFonts w:ascii="宋体" w:hAnsi="宋体" w:cs="宋体"/>
          <w:b/>
          <w:color w:val="auto"/>
          <w:highlight w:val="none"/>
        </w:rPr>
      </w:pPr>
      <w:r>
        <w:rPr>
          <w:rFonts w:hint="eastAsia" w:ascii="宋体" w:hAnsi="宋体" w:cs="宋体"/>
          <w:b/>
          <w:color w:val="auto"/>
          <w:highlight w:val="none"/>
        </w:rPr>
        <w:t>一、项目基本情况</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QWZFCG25060（NBITC-202510974G）</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项目名称：宁波前湾新区管委会大楼中央空调主机采购及安装项目</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eastAsia="zh-CN"/>
        </w:rPr>
        <w:t>605200</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最高限价（元）：605110</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标项一</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标项名称：中央空调主机采购及安装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数量：1</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eastAsia="zh-CN"/>
        </w:rPr>
        <w:t>605200</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简要规格描述或项目基本概况介绍、用途：见招标文件“第五章  招标内容与技术需求”</w:t>
      </w:r>
      <w:r>
        <w:rPr>
          <w:rFonts w:hint="eastAsia" w:ascii="宋体" w:hAnsi="宋体" w:cs="宋体"/>
          <w:color w:val="auto"/>
          <w:szCs w:val="21"/>
          <w:highlight w:val="none"/>
          <w:lang w:eastAsia="zh-CN"/>
        </w:rPr>
        <w:t>。</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备注：详细采购需求见招标文件。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合同履约期限：合同签订生效、接采购人开工通知后40天内完成原设备拆除、新设备供货、安装、调试，并通过验收。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本项目（否）接受</w:t>
      </w:r>
      <w:bookmarkStart w:id="54" w:name="_GoBack"/>
      <w:bookmarkEnd w:id="54"/>
      <w:r>
        <w:rPr>
          <w:rFonts w:hint="eastAsia" w:ascii="宋体" w:hAnsi="宋体" w:cs="宋体"/>
          <w:color w:val="auto"/>
          <w:szCs w:val="21"/>
          <w:highlight w:val="none"/>
        </w:rPr>
        <w:t>联合体投标。</w:t>
      </w:r>
    </w:p>
    <w:p>
      <w:pPr>
        <w:spacing w:line="400" w:lineRule="exact"/>
        <w:rPr>
          <w:rFonts w:ascii="宋体" w:hAnsi="宋体" w:cs="宋体"/>
          <w:b/>
          <w:color w:val="auto"/>
          <w:highlight w:val="none"/>
        </w:rPr>
      </w:pPr>
      <w:r>
        <w:rPr>
          <w:rFonts w:hint="eastAsia" w:ascii="宋体" w:hAnsi="宋体" w:cs="宋体"/>
          <w:b/>
          <w:color w:val="auto"/>
          <w:highlight w:val="none"/>
        </w:rPr>
        <w:t>二、申请人的资格要求：</w:t>
      </w:r>
    </w:p>
    <w:p>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3.本项目的特定资格要求：无。</w:t>
      </w:r>
    </w:p>
    <w:p>
      <w:pPr>
        <w:spacing w:line="400" w:lineRule="exact"/>
        <w:rPr>
          <w:rFonts w:ascii="宋体" w:hAnsi="宋体" w:cs="宋体"/>
          <w:b/>
          <w:color w:val="auto"/>
          <w:highlight w:val="none"/>
        </w:rPr>
      </w:pPr>
      <w:r>
        <w:rPr>
          <w:rFonts w:hint="eastAsia" w:ascii="宋体" w:hAnsi="宋体" w:cs="宋体"/>
          <w:b/>
          <w:color w:val="auto"/>
          <w:highlight w:val="none"/>
        </w:rPr>
        <w:t>三、获取招标文件</w:t>
      </w:r>
    </w:p>
    <w:p>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时间：2025</w:t>
      </w:r>
      <w:r>
        <w:rPr>
          <w:rFonts w:hint="eastAsia" w:ascii="宋体" w:hAnsi="宋体" w:cs="宋体"/>
          <w:color w:val="auto"/>
          <w:highlight w:val="none"/>
        </w:rPr>
        <w:t>年</w:t>
      </w:r>
      <w:r>
        <w:rPr>
          <w:rFonts w:hint="eastAsia" w:ascii="宋体" w:hAnsi="宋体" w:cs="宋体"/>
          <w:color w:val="auto"/>
          <w:highlight w:val="none"/>
          <w:lang w:val="en-US" w:eastAsia="zh-CN"/>
        </w:rPr>
        <w:t>06</w:t>
      </w:r>
      <w:r>
        <w:rPr>
          <w:rFonts w:hint="eastAsia" w:ascii="宋体" w:hAnsi="宋体" w:cs="宋体"/>
          <w:color w:val="auto"/>
          <w:highlight w:val="none"/>
        </w:rPr>
        <w:t>月</w:t>
      </w:r>
      <w:r>
        <w:rPr>
          <w:rFonts w:hint="eastAsia" w:ascii="宋体" w:hAnsi="宋体" w:cs="宋体"/>
          <w:color w:val="auto"/>
          <w:highlight w:val="none"/>
          <w:lang w:val="en-US" w:eastAsia="zh-CN"/>
        </w:rPr>
        <w:t>26</w:t>
      </w:r>
      <w:r>
        <w:rPr>
          <w:rFonts w:hint="eastAsia" w:ascii="宋体" w:hAnsi="宋体" w:cs="宋体"/>
          <w:color w:val="auto"/>
          <w:highlight w:val="none"/>
        </w:rPr>
        <w:t>日</w:t>
      </w:r>
      <w:r>
        <w:rPr>
          <w:rFonts w:hint="eastAsia" w:ascii="宋体" w:hAnsi="宋体" w:cs="宋体"/>
          <w:color w:val="auto"/>
          <w:szCs w:val="21"/>
          <w:highlight w:val="none"/>
        </w:rPr>
        <w:t>至2025年</w:t>
      </w:r>
      <w:r>
        <w:rPr>
          <w:rFonts w:hint="eastAsia" w:ascii="宋体" w:hAnsi="宋体" w:cs="宋体"/>
          <w:color w:val="auto"/>
          <w:highlight w:val="none"/>
          <w:lang w:val="en-US" w:eastAsia="zh-CN"/>
        </w:rPr>
        <w:t>07</w:t>
      </w:r>
      <w:r>
        <w:rPr>
          <w:rFonts w:hint="eastAsia" w:ascii="宋体" w:hAnsi="宋体" w:cs="宋体"/>
          <w:color w:val="auto"/>
          <w:highlight w:val="none"/>
        </w:rPr>
        <w:t>月</w:t>
      </w:r>
      <w:r>
        <w:rPr>
          <w:rFonts w:hint="eastAsia" w:ascii="宋体" w:hAnsi="宋体" w:cs="宋体"/>
          <w:color w:val="auto"/>
          <w:highlight w:val="none"/>
          <w:lang w:val="en-US" w:eastAsia="zh-CN"/>
        </w:rPr>
        <w:t>03</w:t>
      </w:r>
      <w:r>
        <w:rPr>
          <w:rFonts w:hint="eastAsia" w:ascii="宋体" w:hAnsi="宋体" w:cs="宋体"/>
          <w:color w:val="auto"/>
          <w:highlight w:val="none"/>
        </w:rPr>
        <w:t>日</w:t>
      </w:r>
      <w:r>
        <w:rPr>
          <w:rFonts w:hint="eastAsia" w:ascii="宋体" w:hAnsi="宋体" w:cs="宋体"/>
          <w:color w:val="auto"/>
          <w:szCs w:val="21"/>
          <w:highlight w:val="none"/>
        </w:rPr>
        <w:t>，每天上午00：00至12：00，下午12：00至23：59（北京时间，线上获取法定节假日均可，线下获取文件法定节假日除外）。</w:t>
      </w:r>
    </w:p>
    <w:p>
      <w:pPr>
        <w:widowControl/>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地点（网址）：政府采购云平台（www.zcygov.cn）。</w:t>
      </w:r>
    </w:p>
    <w:p>
      <w:pPr>
        <w:widowControl/>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方式：（1）供应商登录政府采购云平台（www.zcygov.cn）的注册账号后，进入政采云系统“项目采购”模块“获取采购文件”菜单，进行网上获取采购文件。如有疑问请及时咨询网站客服，咨询电话：95763。（2）获取采购文件前，供应商应在“浙江政府采购网（zfcg.czt.zj.gov.cn）”上进行供应商注册申请，并通过财政部门的终审后登记加入到“浙江省政府采购供应商库”。中标供应商必须注册并登记加入“浙江省政府采购供应商库”。具体要求及注册申请流程详见浙江政府采购网“网上办事指南”的“供应商注册申请”。注册咨询电话：95763，如未注册的供应商，请注意注册所需时间。（3）通过本公告下方“游客，浏览采购文件”下载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售价（元）：0。</w:t>
      </w:r>
    </w:p>
    <w:p>
      <w:pPr>
        <w:spacing w:line="400" w:lineRule="exact"/>
        <w:rPr>
          <w:rFonts w:ascii="宋体" w:hAnsi="宋体" w:cs="宋体"/>
          <w:b/>
          <w:color w:val="auto"/>
          <w:highlight w:val="none"/>
        </w:rPr>
      </w:pPr>
      <w:r>
        <w:rPr>
          <w:rFonts w:hint="eastAsia" w:ascii="宋体" w:hAnsi="宋体" w:cs="宋体"/>
          <w:b/>
          <w:color w:val="auto"/>
          <w:highlight w:val="none"/>
        </w:rPr>
        <w:t>四、提交投标文件截止时间、开标时间和地点等</w:t>
      </w:r>
    </w:p>
    <w:p>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提交投标文件截止时间：</w:t>
      </w:r>
      <w:r>
        <w:rPr>
          <w:rFonts w:hint="eastAsia" w:ascii="宋体" w:hAnsi="宋体" w:cs="宋体"/>
          <w:color w:val="auto"/>
          <w:highlight w:val="none"/>
        </w:rPr>
        <w:t>2025年</w:t>
      </w:r>
      <w:r>
        <w:rPr>
          <w:rFonts w:hint="eastAsia" w:ascii="宋体" w:hAnsi="宋体" w:cs="宋体"/>
          <w:color w:val="auto"/>
          <w:highlight w:val="none"/>
          <w:lang w:val="en-US" w:eastAsia="zh-CN"/>
        </w:rPr>
        <w:t>07</w:t>
      </w:r>
      <w:r>
        <w:rPr>
          <w:rFonts w:hint="eastAsia" w:ascii="宋体" w:hAnsi="宋体" w:cs="宋体"/>
          <w:color w:val="auto"/>
          <w:highlight w:val="none"/>
        </w:rPr>
        <w:t>月</w:t>
      </w:r>
      <w:r>
        <w:rPr>
          <w:rFonts w:hint="eastAsia" w:ascii="宋体" w:hAnsi="宋体" w:cs="宋体"/>
          <w:color w:val="auto"/>
          <w:highlight w:val="none"/>
          <w:lang w:val="en-US" w:eastAsia="zh-CN"/>
        </w:rPr>
        <w:t>16</w:t>
      </w:r>
      <w:r>
        <w:rPr>
          <w:rFonts w:hint="eastAsia" w:ascii="宋体" w:hAnsi="宋体" w:cs="宋体"/>
          <w:color w:val="auto"/>
          <w:highlight w:val="none"/>
        </w:rPr>
        <w:t>日</w:t>
      </w:r>
      <w:r>
        <w:rPr>
          <w:rFonts w:hint="eastAsia" w:ascii="宋体" w:hAnsi="宋体" w:cs="宋体"/>
          <w:color w:val="auto"/>
          <w:szCs w:val="21"/>
          <w:highlight w:val="none"/>
        </w:rPr>
        <w:t>09：30（北京时间）。</w:t>
      </w:r>
    </w:p>
    <w:p>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投标地点（网址）：宁波前湾新区公共资源交易中心（宁波前湾新区创业创新大厦三号楼（宁波前湾新区玉海西路201号）开标室三）、政府采购云平台（www.zcygov.cn）。</w:t>
      </w:r>
    </w:p>
    <w:p>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highlight w:val="none"/>
        </w:rPr>
        <w:t>2025年</w:t>
      </w:r>
      <w:r>
        <w:rPr>
          <w:rFonts w:hint="eastAsia" w:ascii="宋体" w:hAnsi="宋体" w:cs="宋体"/>
          <w:color w:val="auto"/>
          <w:highlight w:val="none"/>
          <w:lang w:val="en-US" w:eastAsia="zh-CN"/>
        </w:rPr>
        <w:t>07</w:t>
      </w:r>
      <w:r>
        <w:rPr>
          <w:rFonts w:hint="eastAsia" w:ascii="宋体" w:hAnsi="宋体" w:cs="宋体"/>
          <w:color w:val="auto"/>
          <w:highlight w:val="none"/>
        </w:rPr>
        <w:t>月</w:t>
      </w:r>
      <w:r>
        <w:rPr>
          <w:rFonts w:hint="eastAsia" w:ascii="宋体" w:hAnsi="宋体" w:cs="宋体"/>
          <w:color w:val="auto"/>
          <w:highlight w:val="none"/>
          <w:lang w:val="en-US" w:eastAsia="zh-CN"/>
        </w:rPr>
        <w:t>16</w:t>
      </w:r>
      <w:r>
        <w:rPr>
          <w:rFonts w:hint="eastAsia" w:ascii="宋体" w:hAnsi="宋体" w:cs="宋体"/>
          <w:color w:val="auto"/>
          <w:highlight w:val="none"/>
        </w:rPr>
        <w:t>日</w:t>
      </w:r>
      <w:r>
        <w:rPr>
          <w:rFonts w:hint="eastAsia" w:ascii="宋体" w:hAnsi="宋体" w:cs="宋体"/>
          <w:color w:val="auto"/>
          <w:szCs w:val="21"/>
          <w:highlight w:val="none"/>
        </w:rPr>
        <w:t>09：30（北京时间）。</w:t>
      </w:r>
    </w:p>
    <w:p>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开标地点（网址）：宁波前湾新区公共资源交易中心（宁波前湾新区创业创新大厦三号楼（宁波前湾新区玉海西路201号）开标室三）、政府采购云平台（www.zcygov.cn）。</w:t>
      </w:r>
    </w:p>
    <w:p>
      <w:pPr>
        <w:spacing w:line="400" w:lineRule="exact"/>
        <w:rPr>
          <w:rFonts w:ascii="宋体" w:hAnsi="宋体" w:cs="宋体"/>
          <w:b/>
          <w:color w:val="auto"/>
          <w:highlight w:val="none"/>
        </w:rPr>
      </w:pPr>
      <w:r>
        <w:rPr>
          <w:rFonts w:hint="eastAsia" w:ascii="宋体" w:hAnsi="宋体" w:cs="宋体"/>
          <w:b/>
          <w:color w:val="auto"/>
          <w:highlight w:val="none"/>
        </w:rPr>
        <w:t>五、公告期限</w:t>
      </w:r>
    </w:p>
    <w:p>
      <w:pPr>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400" w:lineRule="exact"/>
        <w:rPr>
          <w:rFonts w:ascii="宋体" w:hAnsi="宋体" w:cs="宋体"/>
          <w:b/>
          <w:color w:val="auto"/>
          <w:highlight w:val="none"/>
        </w:rPr>
      </w:pPr>
      <w:r>
        <w:rPr>
          <w:rFonts w:hint="eastAsia" w:ascii="宋体" w:hAnsi="宋体" w:cs="宋体"/>
          <w:b/>
          <w:color w:val="auto"/>
          <w:highlight w:val="none"/>
        </w:rPr>
        <w:t>六、其他补充事宜</w:t>
      </w:r>
    </w:p>
    <w:p>
      <w:pPr>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4.其他事项：</w:t>
      </w:r>
      <w:r>
        <w:rPr>
          <w:rFonts w:hint="eastAsia" w:ascii="宋体" w:hAnsi="宋体" w:cs="宋体"/>
          <w:color w:val="auto"/>
          <w:szCs w:val="21"/>
          <w:highlight w:val="none"/>
        </w:rPr>
        <w:t>（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w:t>
      </w:r>
      <w:r>
        <w:rPr>
          <w:rFonts w:hint="eastAsia" w:ascii="宋体" w:hAnsi="宋体" w:cs="宋体"/>
          <w:color w:val="auto"/>
          <w:highlight w:val="none"/>
        </w:rPr>
        <w:t>《政府采购促进中小企业发展管理办法》（</w:t>
      </w:r>
      <w:bookmarkStart w:id="9" w:name="OLE_LINK3"/>
      <w:r>
        <w:rPr>
          <w:rFonts w:hint="eastAsia" w:ascii="宋体" w:hAnsi="宋体" w:cs="宋体"/>
          <w:color w:val="auto"/>
          <w:highlight w:val="none"/>
        </w:rPr>
        <w:t>财库〔2020〕46号</w:t>
      </w:r>
      <w:bookmarkEnd w:id="9"/>
      <w:r>
        <w:rPr>
          <w:rFonts w:hint="eastAsia" w:ascii="宋体" w:hAnsi="宋体" w:cs="宋体"/>
          <w:color w:val="auto"/>
          <w:highlight w:val="none"/>
        </w:rPr>
        <w:t>）</w:t>
      </w:r>
      <w:r>
        <w:rPr>
          <w:rFonts w:hint="eastAsia" w:ascii="宋体" w:hAnsi="宋体" w:cs="宋体"/>
          <w:color w:val="auto"/>
          <w:szCs w:val="21"/>
          <w:highlight w:val="none"/>
        </w:rPr>
        <w:t>、《关于政府采购支持监狱企业发展有关问题的通知》(财库[2014]68号)等、《关于环境标志产品政府采购实施的意见》（财库〔2006〕90号、《节能产品政府采购实施意见》的通知（财库〔2004〕185号）。</w:t>
      </w:r>
    </w:p>
    <w:p>
      <w:pPr>
        <w:spacing w:line="400" w:lineRule="exact"/>
        <w:rPr>
          <w:rFonts w:ascii="宋体" w:hAnsi="宋体" w:cs="宋体"/>
          <w:b/>
          <w:color w:val="auto"/>
          <w:szCs w:val="21"/>
          <w:highlight w:val="none"/>
        </w:rPr>
      </w:pPr>
      <w:bookmarkStart w:id="10" w:name="_Toc30416"/>
      <w:r>
        <w:rPr>
          <w:rFonts w:hint="eastAsia" w:ascii="宋体" w:hAnsi="宋体" w:cs="宋体"/>
          <w:b/>
          <w:color w:val="auto"/>
          <w:szCs w:val="21"/>
          <w:highlight w:val="none"/>
        </w:rPr>
        <w:t>七、对本次招标提出询问，请按以下方式联系。</w:t>
      </w:r>
      <w:bookmarkEnd w:id="10"/>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1.采购人信息</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名称：宁波前湾新区管理委员会办公室</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地址：宁波前湾新区兴慈一路69号</w:t>
      </w:r>
    </w:p>
    <w:p>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项目联系人（询问）：</w:t>
      </w:r>
      <w:r>
        <w:rPr>
          <w:rFonts w:hint="eastAsia"/>
          <w:color w:val="auto"/>
          <w:sz w:val="21"/>
          <w:szCs w:val="21"/>
          <w:highlight w:val="none"/>
          <w:lang w:val="en-US" w:eastAsia="zh-CN"/>
        </w:rPr>
        <w:t>朱</w:t>
      </w:r>
      <w:r>
        <w:rPr>
          <w:rFonts w:hint="eastAsia"/>
          <w:color w:val="auto"/>
          <w:sz w:val="21"/>
          <w:szCs w:val="21"/>
          <w:highlight w:val="none"/>
        </w:rPr>
        <w:t>老师</w:t>
      </w:r>
    </w:p>
    <w:p>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项目联系方式（询问）：0574-89280131</w:t>
      </w:r>
    </w:p>
    <w:p>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质疑联系人：张老师</w:t>
      </w:r>
    </w:p>
    <w:p>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质疑联系方式：0574-89280131</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名称：宁波市国际招标有限公司</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地址：宁波市江北区环城北路西段207弄19号世茂茂悦商业中心1号楼八楼</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项目联系人（询问）：陈洁</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项目联系方式（询问）：0574-87307605</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质疑联系人：姜春辉</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质疑联系方式：0574-87198579</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3.同级政府采购监督管理部门</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名称：宁波前湾新区财政局</w:t>
      </w:r>
    </w:p>
    <w:p>
      <w:pPr>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地址：宁波前湾新区</w:t>
      </w:r>
      <w:r>
        <w:rPr>
          <w:rFonts w:hint="eastAsia" w:ascii="宋体" w:hAnsi="宋体" w:cs="宋体"/>
          <w:color w:val="auto"/>
          <w:szCs w:val="21"/>
          <w:highlight w:val="none"/>
          <w:lang w:val="en-US" w:eastAsia="zh-CN"/>
        </w:rPr>
        <w:t>兴慈一路1号</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传真：/</w:t>
      </w:r>
    </w:p>
    <w:p>
      <w:pPr>
        <w:spacing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劳工</w:t>
      </w:r>
    </w:p>
    <w:p>
      <w:pPr>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监督投诉电话：</w:t>
      </w:r>
      <w:r>
        <w:rPr>
          <w:rFonts w:hint="eastAsia" w:ascii="宋体" w:hAnsi="宋体" w:cs="宋体"/>
          <w:color w:val="auto"/>
          <w:szCs w:val="21"/>
          <w:highlight w:val="none"/>
          <w:lang w:val="en-US" w:eastAsia="zh-CN"/>
        </w:rPr>
        <w:t>0574-89388873</w:t>
      </w:r>
    </w:p>
    <w:p>
      <w:pPr>
        <w:spacing w:line="400" w:lineRule="exact"/>
        <w:ind w:firstLine="420" w:firstLineChars="200"/>
        <w:jc w:val="left"/>
        <w:rPr>
          <w:rFonts w:ascii="宋体" w:hAnsi="宋体" w:cs="宋体"/>
          <w:color w:val="auto"/>
          <w:szCs w:val="21"/>
          <w:highlight w:val="none"/>
        </w:rPr>
      </w:pP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CA问题联系电话（人工）：汇信CA400-888-4636；天谷CA400-087-8198。</w:t>
      </w:r>
    </w:p>
    <w:p>
      <w:pPr>
        <w:rPr>
          <w:rFonts w:ascii="宋体" w:hAnsi="宋体" w:cs="宋体"/>
          <w:color w:val="auto"/>
          <w:szCs w:val="21"/>
          <w:highlight w:val="none"/>
        </w:rPr>
      </w:pPr>
      <w:r>
        <w:rPr>
          <w:rFonts w:hint="eastAsia" w:ascii="宋体" w:hAnsi="宋体" w:cs="宋体"/>
          <w:color w:val="auto"/>
          <w:szCs w:val="21"/>
          <w:highlight w:val="none"/>
        </w:rPr>
        <w:br w:type="page"/>
      </w:r>
    </w:p>
    <w:p>
      <w:pPr>
        <w:spacing w:line="400" w:lineRule="exact"/>
        <w:jc w:val="center"/>
        <w:outlineLvl w:val="0"/>
        <w:rPr>
          <w:rFonts w:ascii="宋体" w:hAnsi="宋体" w:cs="宋体"/>
          <w:b/>
          <w:color w:val="auto"/>
          <w:sz w:val="32"/>
          <w:highlight w:val="none"/>
        </w:rPr>
      </w:pPr>
      <w:bookmarkStart w:id="11" w:name="_Toc55385091"/>
      <w:r>
        <w:rPr>
          <w:rFonts w:hint="eastAsia" w:ascii="宋体" w:hAnsi="宋体" w:cs="宋体"/>
          <w:b/>
          <w:color w:val="auto"/>
          <w:sz w:val="32"/>
          <w:highlight w:val="none"/>
        </w:rPr>
        <w:t>第二章  投标须知</w:t>
      </w:r>
      <w:bookmarkEnd w:id="11"/>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一、适用范围</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本招标文件仅适用于本采购项目所叙述的货物和服务的招标、评标、定标、验收、合同履约、付款等（法律、法规另有规定的，从其规定）。</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二、定义</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1、“采购人”系指宁波前湾新区管理委员会办公室。</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2、“代理机构”系指宁波市国际招标有限公司。</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3、“供应商”系指提交投标文件的供应商。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4、“货物”系指供方按招标文件规定，须向采购人提供的一切货物、保险、备品备件、工具、手册及其它有关技术资料和材料。</w:t>
      </w:r>
    </w:p>
    <w:p>
      <w:pPr>
        <w:spacing w:line="4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5、“服务”系指招标文件规定供应商</w:t>
      </w:r>
      <w:r>
        <w:rPr>
          <w:rFonts w:hint="eastAsia" w:ascii="宋体" w:hAnsi="宋体" w:cs="宋体"/>
          <w:color w:val="auto"/>
          <w:highlight w:val="none"/>
        </w:rPr>
        <w:t>须承担的</w:t>
      </w:r>
      <w:r>
        <w:rPr>
          <w:rFonts w:hint="eastAsia" w:ascii="宋体" w:hAnsi="宋体" w:cs="宋体"/>
          <w:color w:val="auto"/>
          <w:szCs w:val="21"/>
          <w:highlight w:val="none"/>
        </w:rPr>
        <w:t>技术协助、</w:t>
      </w:r>
      <w:r>
        <w:rPr>
          <w:rFonts w:hint="eastAsia" w:ascii="宋体" w:hAnsi="宋体" w:cs="宋体"/>
          <w:color w:val="auto"/>
          <w:highlight w:val="none"/>
        </w:rPr>
        <w:t>供货、验收、售后服务以及其他类似的义务。</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6、“▲”系指实质性响应条款。</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▲7、合格的投标货物或服务：</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7.1应该是中国境内生产的货物或提供的服务。</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若投标货物或服务是国家实行许可证制度或生产注册证制度的产品或服务，则应具备相应有效的证书。</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7.2国家规定有标准及规范的，投标货物或服务应按有效的标准及规范执行，应符合国家及招标文件提出的有关技术、质量、安全标准。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7.3供应商应保证所提供的产品或服务免受第三方提出侵犯其知识产权（专利权、商标权、工业设计权及使用权等）的索赔或起诉，否则，由此可能产生的一切法律责任和经济责任均由供应商承担。</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7.4本项目合格的货物来源：国产。</w:t>
      </w:r>
    </w:p>
    <w:p>
      <w:pPr>
        <w:spacing w:line="40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三、供应商的资格要求</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详见采购公告。</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四、投标费用</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无论投标过程和结果如何，供应商自行承担与投标有关的全部费用。</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五、投标报价</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1、本项目为全包交钥匙项目，固定总价包干，投标报价包括但不仅限于原设备拆除费用(含老水泵、老主机、老水箱、老阀件、老管道 拆除费用、雨棚拆装费用，及拆除材料吊装、运输、整理归库移交费用)、新设备供货、包装、运输、装卸、搬运、吊装就位、安装、产品保管保护、调试、运行、验收、税金技术服务与培训、质量保证期内的售后服务、利润等完成本项目所需的全部费用。供应商在投标时应考虑到所有报价项目，包括采购人未列出，但全套系统安装后保证正常安全运行所不可缺少的配件及附件等，如果有遗漏，供应商自行承担风险，采购人不再支付其它费用。</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六、投标有效期</w:t>
      </w:r>
    </w:p>
    <w:p>
      <w:pPr>
        <w:spacing w:line="400" w:lineRule="exact"/>
        <w:ind w:firstLine="210" w:firstLineChars="100"/>
        <w:jc w:val="left"/>
        <w:rPr>
          <w:rFonts w:ascii="宋体" w:hAnsi="宋体" w:cs="宋体"/>
          <w:b/>
          <w:color w:val="auto"/>
          <w:szCs w:val="21"/>
          <w:highlight w:val="none"/>
        </w:rPr>
      </w:pPr>
      <w:r>
        <w:rPr>
          <w:rFonts w:hint="eastAsia" w:ascii="宋体" w:hAnsi="宋体" w:cs="宋体"/>
          <w:color w:val="auto"/>
          <w:szCs w:val="21"/>
          <w:highlight w:val="none"/>
        </w:rPr>
        <w:t>▲1、投标文件从开标之日起，投标有效期为90个日历日。有效期自开标日起计算，不能小于招标文件的要求。</w:t>
      </w:r>
    </w:p>
    <w:p>
      <w:pPr>
        <w:spacing w:line="40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2、特殊情况下，采购人可与供应商协商延缓投标文件的有效期，这种要求和答复均以书面形式进行。</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3、供应商可拒绝接受延期要求。同意延长有效期的供应商不能修改投标文件。</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七、投标文件的形式和效力</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1、投标文件分为电子投标文件以及备份投标文件，备份投标文件为以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2、电子投标文件，按“项目采购-电子招投标操作指南”及本采购文件要求制作，并加密。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3、以U盘或光盘存储的电子备份投标文件，按“项目采购-电子招投标操作指南”制作的电子备份文件。</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4、投标文件填写字迹必须清楚、工整，对不同文字文本投标文件的解释发生异议的，以中文文本为准。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5、投标文件的效力</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投标文件的启用，按先后顺位分别为电子投标文件、以U盘或光盘存储的电子备份投标文件。在下一顺位的投标文件启用时，前一顺位的投标文件自动失效。</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pPr>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八、投标文件的组成</w:t>
      </w:r>
    </w:p>
    <w:p>
      <w:pPr>
        <w:spacing w:line="400" w:lineRule="exact"/>
        <w:ind w:firstLine="420" w:firstLineChars="200"/>
        <w:jc w:val="left"/>
        <w:rPr>
          <w:rFonts w:ascii="宋体" w:hAnsi="宋体" w:cs="宋体"/>
          <w:b/>
          <w:bCs/>
          <w:color w:val="auto"/>
          <w:szCs w:val="21"/>
          <w:highlight w:val="none"/>
        </w:rPr>
      </w:pPr>
      <w:bookmarkStart w:id="12" w:name="OLE_LINK11"/>
      <w:r>
        <w:rPr>
          <w:rFonts w:hint="eastAsia" w:ascii="宋体" w:hAnsi="宋体" w:cs="宋体"/>
          <w:bCs/>
          <w:color w:val="auto"/>
          <w:szCs w:val="21"/>
          <w:highlight w:val="none"/>
        </w:rPr>
        <w:t>1、投标文件的组成：</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A、资格文件</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A1、关于资格的承诺函；</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A2、营业执照副本（或事业法人登记证副本或其他登记证明材料）扫描件加盖供应商公章（供应商如果有名称变更的，应提供由行政主管部门出具的变更证明文件扫描件加盖供应商公章）；</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A3、供应商认为需要的其他资料（如有需提供）。</w:t>
      </w:r>
    </w:p>
    <w:p>
      <w:pPr>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B、商务和技术文件</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B1、投标书；</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B2、法定代表人身份证明；</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B3、法定代表人授权书（投标文件由授权代表签字（或盖章）的须提供）；</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B4、商务条款响应表；</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B5、技术条款响应表；</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B6、第三章“评标办法及标准”中“商务和技术评分表”要求提供的其他资料（如有需提供）；</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B7、供应商认为需要的其他资料（如有需提供）。</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▲“资格文件”、“商务和技术文件”中不得出现涉及投标价格的内容，否则作无效标处理。</w:t>
      </w:r>
    </w:p>
    <w:p>
      <w:pPr>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C、报价文件</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C1、开标一览表；</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C2、分项报价表；</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C3、中小企业声明函；</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C4、残疾人福利性单位声明函（如有需提供）；</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C5、监狱企业（监狱和戒毒企业）提供自己企业的产品（服务）的：提供由省级以上监狱管理局、戒毒管理局（含新疆生产建设兵团）出具的属于监狱企业的证明文件（如有需提供）；</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C6、供应商认为需要的其他资料。</w:t>
      </w:r>
      <w:bookmarkEnd w:id="12"/>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供应商应对投标文件编制目录和评分索引表以方便查询。</w:t>
      </w:r>
    </w:p>
    <w:p>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投标文件制作：</w:t>
      </w:r>
    </w:p>
    <w:p>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（2）供应商通过政府采购云平台电子投标工具制作投标文件。电子投标工具请供应商自行前往浙江政府采购网下载并安装。</w:t>
      </w:r>
    </w:p>
    <w:p>
      <w:pPr>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（3）以U盘或光盘存储的电子备份投标文件1份，即按“项目采购-电子招投标操作指南”制作的电子备份文件，以用于异常情况处理。</w:t>
      </w:r>
    </w:p>
    <w:p>
      <w:pPr>
        <w:spacing w:line="40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宋体"/>
          <w:b/>
          <w:bCs/>
          <w:color w:val="auto"/>
          <w:szCs w:val="21"/>
          <w:highlight w:val="none"/>
        </w:rPr>
        <w:t>完成CA数字证书办理预计一周左右，请供应商自行把握时间。</w:t>
      </w:r>
    </w:p>
    <w:p>
      <w:pPr>
        <w:spacing w:line="40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九、投标文件的签署盖章</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1、招标文件第七章“附件”中标明加盖公章或签字（或盖章）的，</w:t>
      </w:r>
      <w:r>
        <w:rPr>
          <w:rFonts w:hint="eastAsia" w:ascii="宋体" w:hAnsi="宋体" w:cs="宋体"/>
          <w:bCs/>
          <w:color w:val="auto"/>
          <w:szCs w:val="21"/>
          <w:highlight w:val="none"/>
        </w:rPr>
        <w:t>加盖公章部分采用CA签章，</w:t>
      </w:r>
      <w:r>
        <w:rPr>
          <w:rFonts w:hint="eastAsia" w:ascii="宋体" w:hAnsi="宋体" w:cs="宋体"/>
          <w:color w:val="auto"/>
          <w:szCs w:val="21"/>
          <w:highlight w:val="none"/>
        </w:rPr>
        <w:t>签字（或盖章）部分由法定代表人或授权代表签字或盖章（或加盖对应法定代表人或授权代表的电子签名或签章）后扫描上传。授权代表签字（或盖章）的，</w:t>
      </w:r>
      <w:r>
        <w:rPr>
          <w:rFonts w:hint="eastAsia" w:ascii="宋体" w:hAnsi="宋体" w:cs="宋体"/>
          <w:color w:val="auto"/>
          <w:kern w:val="0"/>
          <w:szCs w:val="21"/>
          <w:highlight w:val="none"/>
        </w:rPr>
        <w:t>还</w:t>
      </w:r>
      <w:r>
        <w:rPr>
          <w:rFonts w:hint="eastAsia" w:ascii="宋体" w:hAnsi="宋体" w:cs="宋体"/>
          <w:color w:val="auto"/>
          <w:szCs w:val="21"/>
          <w:highlight w:val="none"/>
        </w:rPr>
        <w:t>应附法定代表人签署的法定代表人授权书。</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十、投标文件的密封和标记</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1、电子投标文件：供应商应根据“项目采购-电子招投标操作指南”及本招标文件规定的格式和顺序编制电子投标文件并进行关联定位。</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用封袋密封后递交。</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电子备份投标文件须在</w:t>
      </w:r>
      <w:r>
        <w:rPr>
          <w:rFonts w:hint="eastAsia" w:ascii="宋体" w:hAnsi="宋体" w:cs="宋体"/>
          <w:color w:val="auto"/>
          <w:szCs w:val="21"/>
          <w:highlight w:val="none"/>
        </w:rPr>
        <w:t>封袋上分别注明：</w:t>
      </w:r>
    </w:p>
    <w:p>
      <w:pPr>
        <w:tabs>
          <w:tab w:val="left" w:pos="900"/>
        </w:tabs>
        <w:spacing w:line="40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（1）注    明：</w:t>
      </w:r>
      <w:r>
        <w:rPr>
          <w:rFonts w:hint="eastAsia" w:ascii="宋体" w:hAnsi="宋体" w:cs="宋体"/>
          <w:color w:val="auto"/>
          <w:szCs w:val="21"/>
          <w:highlight w:val="none"/>
          <w:u w:val="single"/>
        </w:rPr>
        <w:t xml:space="preserve">                “电子备份投标文件”            </w:t>
      </w:r>
      <w:r>
        <w:rPr>
          <w:rFonts w:hint="eastAsia" w:ascii="宋体" w:hAnsi="宋体" w:cs="宋体"/>
          <w:color w:val="auto"/>
          <w:szCs w:val="21"/>
          <w:highlight w:val="none"/>
        </w:rPr>
        <w:t>；</w:t>
      </w:r>
    </w:p>
    <w:p>
      <w:pPr>
        <w:tabs>
          <w:tab w:val="left" w:pos="900"/>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QWZFCG25060（NBITC-202510974G）</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tabs>
          <w:tab w:val="left" w:pos="900"/>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（3）项目名称：</w:t>
      </w:r>
      <w:r>
        <w:rPr>
          <w:rFonts w:hint="eastAsia" w:ascii="宋体" w:hAnsi="宋体" w:cs="宋体"/>
          <w:color w:val="auto"/>
          <w:szCs w:val="21"/>
          <w:highlight w:val="none"/>
          <w:u w:val="single"/>
        </w:rPr>
        <w:t>宁波前湾新区管委会大楼中央空调主机采购及安装项目</w:t>
      </w:r>
      <w:r>
        <w:rPr>
          <w:rFonts w:hint="eastAsia" w:ascii="宋体" w:hAnsi="宋体" w:cs="宋体"/>
          <w:color w:val="auto"/>
          <w:szCs w:val="21"/>
          <w:highlight w:val="none"/>
        </w:rPr>
        <w:t>；</w:t>
      </w:r>
    </w:p>
    <w:p>
      <w:pPr>
        <w:tabs>
          <w:tab w:val="left" w:pos="900"/>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（4）所投标项（如有多个标项须填写）：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tabs>
          <w:tab w:val="left" w:pos="900"/>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日（规定的开标日期和时间）前不准启封；</w:t>
      </w:r>
    </w:p>
    <w:p>
      <w:pPr>
        <w:tabs>
          <w:tab w:val="left" w:pos="900"/>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（6）供应商的名称：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供应商须在包封上加盖供应商公章或由其法定代表人或授权代表签字（或盖章）。</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供应商未按上述要求标记的，采购人（代理机构）不承担错放或提前开封的责任。</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十一、投标文件的递交</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电子投标文件：供应商应于提交投标文件截止时间前将电子投标文件（含资格文件、商务和技术文件、报价文件）上传到政府采购云平台（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51"/>
          <w:rFonts w:hint="eastAsia" w:ascii="宋体" w:hAnsi="宋体" w:cs="宋体"/>
          <w:color w:val="auto"/>
          <w:kern w:val="0"/>
          <w:highlight w:val="none"/>
          <w:u w:val="none"/>
        </w:rPr>
        <w:t>www.zcygov.cn</w:t>
      </w:r>
      <w:r>
        <w:rPr>
          <w:rStyle w:val="51"/>
          <w:rFonts w:hint="eastAsia" w:ascii="宋体" w:hAnsi="宋体" w:cs="宋体"/>
          <w:color w:val="auto"/>
          <w:kern w:val="0"/>
          <w:highlight w:val="none"/>
          <w:u w:val="none"/>
        </w:rPr>
        <w:fldChar w:fldCharType="end"/>
      </w:r>
      <w:r>
        <w:rPr>
          <w:rFonts w:hint="eastAsia" w:ascii="宋体" w:hAnsi="宋体" w:cs="宋体"/>
          <w:color w:val="auto"/>
          <w:kern w:val="0"/>
          <w:szCs w:val="21"/>
          <w:highlight w:val="none"/>
        </w:rPr>
        <w:t>）。</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2、电子备份投标文件：</w:t>
      </w:r>
    </w:p>
    <w:p>
      <w:pPr>
        <w:spacing w:line="400" w:lineRule="exact"/>
        <w:ind w:firstLine="420" w:firstLineChars="200"/>
        <w:jc w:val="left"/>
        <w:rPr>
          <w:rFonts w:ascii="宋体" w:hAnsi="宋体" w:cs="宋体"/>
          <w:color w:val="auto"/>
          <w:szCs w:val="21"/>
          <w:highlight w:val="none"/>
        </w:rPr>
      </w:pPr>
      <w:r>
        <w:rPr>
          <w:rFonts w:hint="eastAsia" w:ascii="宋体" w:hAnsi="宋体" w:cs="宋体"/>
          <w:bCs/>
          <w:color w:val="auto"/>
          <w:kern w:val="0"/>
          <w:szCs w:val="21"/>
          <w:highlight w:val="none"/>
        </w:rPr>
        <w:t>供应商于</w:t>
      </w:r>
      <w:r>
        <w:rPr>
          <w:rFonts w:hint="eastAsia" w:ascii="宋体" w:hAnsi="宋体" w:cs="宋体"/>
          <w:color w:val="auto"/>
          <w:kern w:val="0"/>
          <w:szCs w:val="21"/>
          <w:highlight w:val="none"/>
        </w:rPr>
        <w:t>提交投标文件截止时间前，将以U盘或光盘存储的电子备份投标文件（1份，含资格文件、商务和技术文件、报价文件）密封，采用现场递交或邮寄送达方式递交。</w:t>
      </w:r>
    </w:p>
    <w:p>
      <w:pPr>
        <w:snapToGri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方式一：现场递交方式，供应商可安排授权代表在投标截止时间前30分钟内将电子备份投标文件送至开标地点：宁波前湾新区公共资源交易中心（宁波前湾新区创业创新大厦玉海西路201号3号楼2层公共资源交易中心）。若供应商授权代表早于投标截止时间前30分钟到达现场的，需将电子备份投标文件送至：宁波前湾新区公共资源交易中心（宁波前湾新区创业创新大厦玉海西路201号3号楼2层公共资源交易中心）。电子备份投标文件递交时须同时递交供应商的法定代表人（或其授权代表）联系方式，并保证投标期间联系方式畅通。</w:t>
      </w:r>
    </w:p>
    <w:p>
      <w:pPr>
        <w:snapToGri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方式二：邮寄送达，送达地址：宁波前湾新区公共资源交易中心（宁波前湾新区创业创新大厦玉海西路201号3号楼2层公共资源交易中心），联系方式：许老师0574-89388844。供应商邮寄后可将邮件单号发送至宁波前湾新区公共资源交易中心电子邮箱（电子邮箱：1114684153@qq.com），以便交易中心查询物流记录。各供应商应当确保电子备份投标文件的密封包装在邮寄过程保持完好，并在邮寄包裹上注明项目名称、项目编号，因邮寄造成电子备份投标文件密封破损而不符合竞争性采购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电子备份投标文件不强制要求提交，但因电子投标文件未能按时解密或解密失败，供应商又未提交电子备份投标文件的，将被视为投标文件撤回，投标无效</w:t>
      </w:r>
      <w:r>
        <w:rPr>
          <w:rFonts w:hint="eastAsia" w:ascii="宋体" w:hAnsi="宋体" w:cs="宋体"/>
          <w:color w:val="auto"/>
          <w:szCs w:val="21"/>
          <w:highlight w:val="none"/>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3、逾期送达的或者未送达指定地点的</w:t>
      </w:r>
      <w:r>
        <w:rPr>
          <w:rFonts w:hint="eastAsia" w:ascii="宋体" w:hAnsi="宋体" w:cs="宋体"/>
          <w:bCs/>
          <w:color w:val="auto"/>
          <w:kern w:val="0"/>
          <w:szCs w:val="21"/>
          <w:highlight w:val="none"/>
        </w:rPr>
        <w:t>电子备份投标文件</w:t>
      </w:r>
      <w:r>
        <w:rPr>
          <w:rFonts w:hint="eastAsia" w:ascii="宋体" w:hAnsi="宋体" w:cs="宋体"/>
          <w:color w:val="auto"/>
          <w:szCs w:val="21"/>
          <w:highlight w:val="none"/>
        </w:rPr>
        <w:t>，代理机构不予受理。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4、投标文件的补充、修改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十二、开标</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为不见面开评标项目，供应商可通过浙江省“电子交易/不见面开评标”学习专题提前进行专题学习，熟悉操作，避免影响采购活动（https：//edu.zcygov.cn/luban/e-biding）。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2、投标截止时间后，供应商登录</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，用“项目采购-开标评标”功能对电子投标文件进行在线解密，在线解密电子投标文件时间为开标时间后半小时内。</w:t>
      </w:r>
      <w:r>
        <w:rPr>
          <w:rFonts w:hint="eastAsia" w:ascii="宋体" w:hAnsi="宋体" w:cs="宋体"/>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4、本项目原则上采用政采云电子投标开标及评审程序，但有下情形之一的，按以下情况处理：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，上传至政采云平台项目采购模块，以完成开标，电子投标文件自动失效。</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①电子交易平台发生故障而无法登录访问的；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②电子交易平台应用或数据库出现错误，不能进行正常操作的；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③电子交易平台发现严重安全漏洞，有潜在泄密危险的；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④病毒发作导致不能进行正常操作的；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⑤其他无法保证电子交易的公平、公正和安全的情况。</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十三、评标</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1、采购人依据相关规定组建评标委员会，负责本项目的评标工作。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2、评标活动遵循公开、公平、公正、科学和择优的原则。</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3、评标委员会按照第三章“评标办法及标准”对投标文件进行评审。第三章“评标办法及标准”没有规定的方法、评审因素和标准，不作为评标依据。</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十四、招标文件的澄清和修改</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十五、质疑</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5、采购人、代理机构接收质疑函的方式：只接收供应商以当面递交、邮寄、传真、电子邮件或者通过政采云平台在线方式提出的质疑函，以其他方式提出的质疑不予接收。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采取邮寄方式的，提出质疑的时间为质疑函原件交邮的时间（以邮戳时间或快递收件时间为准）。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通过政采云平台在线方式的，以政采云平台操作流程为准，附件中须上传供应商盖章的《质疑函》。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6、采购人、代理机构以实际收到质疑函原件之日作为收到质疑函的日期，将在收到质疑函后7个工作日内作出答复。</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7、采购人、代理机构接收质疑函的联系人、联系电话和通讯地址等信息详见招标公告。</w:t>
      </w:r>
    </w:p>
    <w:p>
      <w:pPr>
        <w:spacing w:line="400" w:lineRule="exact"/>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▲十六、预算金额及最高限价</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1、本次采购预算金额为：</w:t>
      </w:r>
      <w:r>
        <w:rPr>
          <w:rFonts w:hint="eastAsia" w:ascii="宋体" w:hAnsi="宋体" w:cs="宋体"/>
          <w:color w:val="auto"/>
          <w:highlight w:val="none"/>
          <w:lang w:eastAsia="zh-CN"/>
        </w:rPr>
        <w:t>605200</w:t>
      </w:r>
      <w:r>
        <w:rPr>
          <w:rFonts w:hint="eastAsia" w:ascii="宋体" w:hAnsi="宋体" w:cs="宋体"/>
          <w:color w:val="auto"/>
          <w:highlight w:val="none"/>
        </w:rPr>
        <w:t>.00元</w:t>
      </w:r>
      <w:r>
        <w:rPr>
          <w:rFonts w:hint="eastAsia" w:ascii="宋体" w:hAnsi="宋体" w:cs="宋体"/>
          <w:color w:val="auto"/>
          <w:szCs w:val="21"/>
          <w:highlight w:val="none"/>
        </w:rPr>
        <w:t>。投标报价超出预算金额的投标无效。</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、本次采购最高限价为：605110</w:t>
      </w:r>
      <w:r>
        <w:rPr>
          <w:rFonts w:hint="eastAsia" w:ascii="宋体" w:hAnsi="宋体" w:cs="宋体"/>
          <w:color w:val="auto"/>
          <w:highlight w:val="none"/>
        </w:rPr>
        <w:t>.00元</w:t>
      </w:r>
      <w:r>
        <w:rPr>
          <w:rFonts w:hint="eastAsia" w:ascii="宋体" w:hAnsi="宋体" w:cs="宋体"/>
          <w:color w:val="auto"/>
          <w:szCs w:val="21"/>
          <w:highlight w:val="none"/>
        </w:rPr>
        <w:t>。投标报价超出最高限价的投标无效。</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十七、招标代理服务费</w:t>
      </w:r>
    </w:p>
    <w:p>
      <w:pPr>
        <w:adjustRightIn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1、本项目向中标供应商收取招标代理服务费</w:t>
      </w:r>
      <w:r>
        <w:rPr>
          <w:rFonts w:hint="eastAsia" w:ascii="宋体" w:hAnsi="宋体" w:cs="宋体"/>
          <w:color w:val="auto"/>
          <w:szCs w:val="21"/>
          <w:highlight w:val="none"/>
          <w:lang w:val="en-US" w:eastAsia="zh-CN"/>
        </w:rPr>
        <w:t>玖仟零柒拾捌</w:t>
      </w:r>
      <w:r>
        <w:rPr>
          <w:rFonts w:hint="eastAsia" w:ascii="宋体" w:hAnsi="宋体" w:cs="宋体"/>
          <w:color w:val="auto"/>
          <w:szCs w:val="21"/>
          <w:highlight w:val="none"/>
        </w:rPr>
        <w:t>元。</w:t>
      </w:r>
    </w:p>
    <w:p>
      <w:pPr>
        <w:adjustRightIn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2、中标供应商应在代理机构发出中标通知书5个工作日内向本代理机构支付代理服务费。</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3、代理服务费只收现金、银行票汇款、电汇款。</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账户名称：宁波市国际招标有限公司</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开户银行：上海浦东发展银行宁波分行江北支行</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银行账号：94090154800000191</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十八、特别说明</w:t>
      </w:r>
    </w:p>
    <w:p>
      <w:pPr>
        <w:spacing w:line="400" w:lineRule="exact"/>
        <w:ind w:firstLine="420" w:firstLineChars="200"/>
        <w:jc w:val="left"/>
        <w:rPr>
          <w:rFonts w:ascii="宋体" w:hAnsi="宋体" w:cs="宋体"/>
          <w:color w:val="auto"/>
          <w:szCs w:val="21"/>
          <w:highlight w:val="none"/>
        </w:rPr>
      </w:pPr>
      <w:bookmarkStart w:id="13" w:name="_Toc436408700"/>
      <w:bookmarkStart w:id="14" w:name="_Toc21541007"/>
      <w:bookmarkStart w:id="15" w:name="_Toc419729150"/>
      <w:bookmarkStart w:id="16" w:name="_Toc441316546"/>
      <w:bookmarkStart w:id="17" w:name="_Toc419729159"/>
      <w:r>
        <w:rPr>
          <w:rFonts w:hint="eastAsia" w:ascii="宋体" w:hAnsi="宋体" w:cs="宋体"/>
          <w:color w:val="auto"/>
          <w:szCs w:val="21"/>
          <w:highlight w:val="none"/>
        </w:rPr>
        <w:t>1、执行财政部、工业和信息化部《政府采购促进中小企业发展管理办法》（财库〔2020〕46号）。政府采购活动中有关中小企业的相关规定如下：</w:t>
      </w:r>
      <w:bookmarkEnd w:id="13"/>
      <w:bookmarkEnd w:id="14"/>
      <w:bookmarkEnd w:id="15"/>
      <w:bookmarkEnd w:id="16"/>
    </w:p>
    <w:p>
      <w:pPr>
        <w:spacing w:line="400" w:lineRule="exact"/>
        <w:ind w:firstLine="420" w:firstLineChars="200"/>
        <w:jc w:val="left"/>
        <w:rPr>
          <w:rFonts w:ascii="宋体" w:hAnsi="宋体" w:cs="宋体"/>
          <w:color w:val="auto"/>
          <w:szCs w:val="21"/>
          <w:highlight w:val="none"/>
        </w:rPr>
      </w:pPr>
      <w:bookmarkStart w:id="18" w:name="_Toc441316547"/>
      <w:bookmarkStart w:id="19" w:name="_Toc419729151"/>
      <w:bookmarkStart w:id="20" w:name="_Toc21541008"/>
      <w:bookmarkStart w:id="21" w:name="_Toc436408701"/>
      <w:r>
        <w:rPr>
          <w:rFonts w:hint="eastAsia" w:ascii="宋体" w:hAnsi="宋体" w:cs="宋体"/>
          <w:color w:val="auto"/>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18"/>
      <w:bookmarkEnd w:id="19"/>
      <w:bookmarkEnd w:id="20"/>
      <w:bookmarkEnd w:id="21"/>
      <w:r>
        <w:rPr>
          <w:rFonts w:hint="eastAsia" w:ascii="宋体" w:hAnsi="宋体" w:cs="宋体"/>
          <w:color w:val="auto"/>
          <w:szCs w:val="21"/>
          <w:highlight w:val="none"/>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（2）在政府采购活动中，供应商提供的货物、工程或者服务符合下列情形的，享受《政府采购促进中小企业发展管理办法》规定的中小企业扶持政策：</w:t>
      </w:r>
    </w:p>
    <w:p>
      <w:pPr>
        <w:spacing w:line="400" w:lineRule="exact"/>
        <w:ind w:firstLine="420" w:firstLineChars="200"/>
        <w:jc w:val="left"/>
        <w:rPr>
          <w:rFonts w:ascii="宋体" w:hAnsi="宋体" w:cs="宋体"/>
          <w:color w:val="auto"/>
          <w:szCs w:val="21"/>
          <w:highlight w:val="none"/>
        </w:rPr>
      </w:pPr>
      <w:bookmarkStart w:id="22" w:name="_Toc441316548"/>
      <w:bookmarkStart w:id="23" w:name="_Toc419729152"/>
      <w:bookmarkStart w:id="24" w:name="_Toc436408702"/>
      <w:bookmarkStart w:id="25" w:name="_Toc21541009"/>
      <w:r>
        <w:rPr>
          <w:rFonts w:hint="eastAsia" w:ascii="宋体" w:hAnsi="宋体" w:cs="宋体"/>
          <w:color w:val="auto"/>
          <w:szCs w:val="21"/>
          <w:highlight w:val="none"/>
        </w:rPr>
        <w:t>①在货物采购项目中，货物由中小企业制造，即货物由中小企业生产且使用该中小企业商号或者注册商标；</w:t>
      </w:r>
      <w:bookmarkEnd w:id="22"/>
      <w:bookmarkEnd w:id="23"/>
      <w:bookmarkEnd w:id="24"/>
      <w:bookmarkEnd w:id="25"/>
    </w:p>
    <w:p>
      <w:pPr>
        <w:spacing w:line="400" w:lineRule="exact"/>
        <w:ind w:firstLine="420" w:firstLineChars="200"/>
        <w:jc w:val="left"/>
        <w:rPr>
          <w:rFonts w:ascii="宋体" w:hAnsi="宋体" w:cs="宋体"/>
          <w:color w:val="auto"/>
          <w:szCs w:val="21"/>
          <w:highlight w:val="none"/>
        </w:rPr>
      </w:pPr>
      <w:bookmarkStart w:id="26" w:name="_Toc436408703"/>
      <w:bookmarkStart w:id="27" w:name="_Toc21541010"/>
      <w:bookmarkStart w:id="28" w:name="_Toc441316549"/>
      <w:bookmarkStart w:id="29" w:name="_Toc419729153"/>
      <w:r>
        <w:rPr>
          <w:rFonts w:hint="eastAsia" w:ascii="宋体" w:hAnsi="宋体" w:cs="宋体"/>
          <w:color w:val="auto"/>
          <w:szCs w:val="21"/>
          <w:highlight w:val="none"/>
        </w:rPr>
        <w:t>②在工程采购项目中，工程由中小企业承建，即工程施工单位为中小企业</w:t>
      </w:r>
      <w:bookmarkEnd w:id="26"/>
      <w:bookmarkEnd w:id="27"/>
      <w:bookmarkEnd w:id="28"/>
      <w:bookmarkEnd w:id="29"/>
      <w:r>
        <w:rPr>
          <w:rFonts w:hint="eastAsia" w:ascii="宋体" w:hAnsi="宋体" w:cs="宋体"/>
          <w:color w:val="auto"/>
          <w:szCs w:val="21"/>
          <w:highlight w:val="none"/>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③在服务采购项目中，服务由中小企业承接，即提供服务的人员为中小企业依照《中华人民共和国劳动合同法》订立劳动合同的从业人员。</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（3）中小企业参加政府采购活动，应当出具《政府采购促进中小企业发展管理办法》规定的《中小企业声明函》（格式见第七章），否则不得享受相关中小企业扶持政策。</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供应商提供声明函内容不实的，属于提供虚假材料谋取中标、成交，依照《中华人民共和国政府采购法》等国家有关规定追究相应责任。</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适用招标投标法的政府采购工程建设项目，投标人提供声明函内容不实的，属于弄虚作假骗取中标，依照《中华人民共和国招标投标法》等国家有关规定追究相应责任。</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（5）《中小企业声明函》由参加投标的供应商提交，如供应商为代理商，须自行采集制造商的中小企业划分类型信息填入相应栏目并对其真实性负责。</w:t>
      </w:r>
    </w:p>
    <w:p>
      <w:pPr>
        <w:spacing w:line="400" w:lineRule="exact"/>
        <w:ind w:firstLine="420" w:firstLineChars="200"/>
        <w:jc w:val="left"/>
        <w:rPr>
          <w:rFonts w:ascii="宋体" w:hAnsi="宋体" w:cs="宋体"/>
          <w:color w:val="auto"/>
          <w:szCs w:val="21"/>
          <w:highlight w:val="none"/>
        </w:rPr>
      </w:pPr>
      <w:bookmarkStart w:id="30" w:name="_Toc495244277"/>
      <w:bookmarkStart w:id="31" w:name="_Toc21541015"/>
      <w:r>
        <w:rPr>
          <w:rFonts w:hint="eastAsia" w:ascii="宋体" w:hAnsi="宋体" w:cs="宋体"/>
          <w:color w:val="auto"/>
          <w:szCs w:val="21"/>
          <w:highlight w:val="none"/>
        </w:rPr>
        <w:t>2、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0"/>
      <w:bookmarkEnd w:id="31"/>
    </w:p>
    <w:p>
      <w:pPr>
        <w:spacing w:line="400" w:lineRule="exact"/>
        <w:ind w:firstLine="420" w:firstLineChars="200"/>
        <w:jc w:val="left"/>
        <w:rPr>
          <w:rFonts w:ascii="宋体" w:hAnsi="宋体" w:cs="宋体"/>
          <w:color w:val="auto"/>
          <w:szCs w:val="21"/>
          <w:highlight w:val="none"/>
        </w:rPr>
      </w:pPr>
      <w:bookmarkStart w:id="32" w:name="_Toc21541016"/>
      <w:r>
        <w:rPr>
          <w:rFonts w:hint="eastAsia" w:ascii="宋体" w:hAnsi="宋体" w:cs="宋体"/>
          <w:color w:val="auto"/>
          <w:szCs w:val="21"/>
          <w:highlight w:val="none"/>
        </w:rPr>
        <w:t>3、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32"/>
    </w:p>
    <w:p>
      <w:pPr>
        <w:spacing w:line="400" w:lineRule="exact"/>
        <w:ind w:firstLine="420" w:firstLineChars="200"/>
        <w:jc w:val="left"/>
        <w:rPr>
          <w:rFonts w:ascii="宋体" w:hAnsi="宋体" w:cs="宋体"/>
          <w:color w:val="auto"/>
          <w:szCs w:val="21"/>
          <w:highlight w:val="none"/>
        </w:rPr>
      </w:pPr>
      <w:bookmarkStart w:id="33" w:name="_Toc21541017"/>
      <w:bookmarkStart w:id="34" w:name="_Toc419729158"/>
      <w:r>
        <w:rPr>
          <w:rFonts w:hint="eastAsia" w:ascii="宋体" w:hAnsi="宋体" w:cs="宋体"/>
          <w:color w:val="auto"/>
          <w:szCs w:val="21"/>
          <w:highlight w:val="none"/>
        </w:rPr>
        <w:t>4、本项目不组织潜在供应商现场考察或者召开开标前答疑。</w:t>
      </w:r>
      <w:bookmarkEnd w:id="33"/>
    </w:p>
    <w:p>
      <w:pPr>
        <w:spacing w:line="400" w:lineRule="exact"/>
        <w:ind w:firstLine="420" w:firstLineChars="200"/>
        <w:jc w:val="left"/>
        <w:rPr>
          <w:rFonts w:ascii="宋体" w:hAnsi="宋体" w:cs="宋体"/>
          <w:color w:val="auto"/>
          <w:szCs w:val="21"/>
          <w:highlight w:val="none"/>
        </w:rPr>
      </w:pPr>
      <w:bookmarkStart w:id="35" w:name="_Toc21541018"/>
      <w:r>
        <w:rPr>
          <w:rFonts w:hint="eastAsia" w:ascii="宋体" w:hAnsi="宋体" w:cs="宋体"/>
          <w:color w:val="auto"/>
          <w:szCs w:val="21"/>
          <w:highlight w:val="none"/>
        </w:rPr>
        <w:t>5、本文件未及事项，在签订合同时供需及使用方友好商定。</w:t>
      </w:r>
      <w:bookmarkEnd w:id="34"/>
      <w:bookmarkEnd w:id="35"/>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6、供应商应遵循诚实信用原则在投标文件中提供真实材料。供应商应事先在公开官网查询、核对相关证书和报告内容，确保投标文件资料准确无误。</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评审结束后、合同签订前，采购人、采购代理机构将通过网站查询、原件核对等方式对中标供应商在投标文件中涉及客观分评审内容的检测报告、认证证书等资料的真实性进行复核。发现供应商提供虚假材料的，将及时书面报告本级财政部门，由财政部门依法进行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7、本招标文件解释权归采购人。</w:t>
      </w:r>
      <w:bookmarkEnd w:id="17"/>
    </w:p>
    <w:p>
      <w:pPr>
        <w:spacing w:line="400" w:lineRule="exact"/>
        <w:ind w:firstLine="422" w:firstLineChars="200"/>
        <w:rPr>
          <w:rFonts w:ascii="宋体" w:hAnsi="宋体" w:cs="宋体"/>
          <w:b/>
          <w:color w:val="auto"/>
          <w:szCs w:val="21"/>
          <w:highlight w:val="none"/>
        </w:rPr>
      </w:pPr>
    </w:p>
    <w:p>
      <w:pPr>
        <w:spacing w:line="400" w:lineRule="exact"/>
        <w:ind w:firstLine="422" w:firstLineChars="200"/>
        <w:rPr>
          <w:rFonts w:ascii="宋体" w:hAnsi="宋体" w:cs="宋体"/>
          <w:b/>
          <w:color w:val="auto"/>
          <w:szCs w:val="21"/>
          <w:highlight w:val="none"/>
        </w:rPr>
        <w:sectPr>
          <w:footerReference r:id="rId7" w:type="default"/>
          <w:pgSz w:w="11907" w:h="16840"/>
          <w:pgMar w:top="1139" w:right="1701" w:bottom="1423" w:left="1843" w:header="285" w:footer="701" w:gutter="0"/>
          <w:pgNumType w:start="1"/>
          <w:cols w:space="720" w:num="1"/>
          <w:docGrid w:linePitch="285" w:charSpace="0"/>
        </w:sectPr>
      </w:pPr>
    </w:p>
    <w:p>
      <w:pPr>
        <w:spacing w:line="400" w:lineRule="exact"/>
        <w:jc w:val="center"/>
        <w:outlineLvl w:val="0"/>
        <w:rPr>
          <w:rFonts w:ascii="宋体" w:hAnsi="宋体" w:cs="宋体"/>
          <w:b/>
          <w:color w:val="auto"/>
          <w:sz w:val="32"/>
          <w:highlight w:val="none"/>
        </w:rPr>
      </w:pPr>
      <w:bookmarkStart w:id="36" w:name="_Toc55385104"/>
      <w:r>
        <w:rPr>
          <w:rFonts w:hint="eastAsia" w:ascii="宋体" w:hAnsi="宋体" w:cs="宋体"/>
          <w:b/>
          <w:color w:val="auto"/>
          <w:sz w:val="32"/>
          <w:highlight w:val="none"/>
        </w:rPr>
        <w:t>第三章  评标办法及标准</w:t>
      </w:r>
      <w:bookmarkEnd w:id="36"/>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一、评标办法</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1.1本项目评标采用综合评分法。采用百分制，总分100分。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综合评分法：采用百分制，总分100分。供应商的综合得分为商务和技术得分与报价得分之和。按综合得分由高到低的顺序排序，推荐1名中标候选人。若供应商的综合得分相等，则投标报价低者列前；若投标报价也相同时，采取随机抽签的方式确定排序。</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管理办法》（财库〔2020〕46号）、《关于政府采购支持监狱企业发展有关问题的通知》（财库[2014]68号）</w:t>
      </w:r>
      <w:r>
        <w:rPr>
          <w:rFonts w:hint="eastAsia" w:ascii="宋体" w:hAnsi="宋体" w:cs="宋体"/>
          <w:color w:val="auto"/>
          <w:szCs w:val="21"/>
          <w:highlight w:val="none"/>
        </w:rPr>
        <w:t>、《关于环境标志产品政府采购实施的意见》（财库〔2006〕90号、《节能产品政府采购实施意见》的通知（财库〔2004〕185号）</w:t>
      </w:r>
      <w:r>
        <w:rPr>
          <w:rFonts w:hint="eastAsia" w:ascii="宋体" w:hAnsi="宋体" w:cs="宋体"/>
          <w:color w:val="auto"/>
          <w:highlight w:val="none"/>
        </w:rPr>
        <w:t>。</w:t>
      </w:r>
    </w:p>
    <w:p>
      <w:pPr>
        <w:spacing w:line="400" w:lineRule="exact"/>
        <w:ind w:left="-2" w:leftChars="-1" w:firstLine="420" w:firstLineChars="200"/>
        <w:rPr>
          <w:rFonts w:ascii="宋体" w:hAnsi="宋体" w:cs="宋体"/>
          <w:color w:val="auto"/>
          <w:highlight w:val="none"/>
        </w:rPr>
      </w:pPr>
      <w:r>
        <w:rPr>
          <w:rFonts w:hint="eastAsia" w:ascii="宋体" w:hAnsi="宋体" w:cs="宋体"/>
          <w:color w:val="auto"/>
          <w:szCs w:val="21"/>
          <w:highlight w:val="none"/>
        </w:rPr>
        <w:t>1.4本次采购标项为非专门面向中小企业，采购标项对应的中小企业划分标准所属行业为</w:t>
      </w:r>
      <w:r>
        <w:rPr>
          <w:rFonts w:hint="eastAsia" w:ascii="宋体" w:hAnsi="宋体" w:cs="宋体"/>
          <w:b/>
          <w:color w:val="auto"/>
          <w:szCs w:val="21"/>
          <w:highlight w:val="none"/>
          <w:u w:val="single"/>
        </w:rPr>
        <w:t>工业</w:t>
      </w:r>
      <w:r>
        <w:rPr>
          <w:rFonts w:hint="eastAsia" w:ascii="宋体" w:hAnsi="宋体" w:cs="宋体"/>
          <w:color w:val="auto"/>
          <w:szCs w:val="21"/>
          <w:highlight w:val="none"/>
        </w:rPr>
        <w:t>。本次评标将对中小企业声明函满足招标文件要求的货物制造商均为小微企业的价格给予10%的扣除，用扣除后的价格参与评审。价格扣除只用于评审过程，如中标，中标价格仍按照其投标价格进行公示。</w:t>
      </w:r>
    </w:p>
    <w:p>
      <w:pPr>
        <w:spacing w:line="40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ww.ccgp.gov.cn）节能产品、环境标志产品查询结果不相符的评标委员会将不予认可，不得享受技术加分。由多个产品集成的项目（标项），必须所有产品符合上述要求才能享受技术加分。</w:t>
      </w:r>
    </w:p>
    <w:p>
      <w:pPr>
        <w:spacing w:line="40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1.6评标委员会成员对需要共同认定的事项存在争议的，应当按照少数服从多数的原则作出结论。</w:t>
      </w:r>
    </w:p>
    <w:p>
      <w:pPr>
        <w:spacing w:line="400" w:lineRule="exact"/>
        <w:ind w:left="-2" w:leftChars="-1" w:firstLine="420" w:firstLineChars="200"/>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1.7</w:t>
      </w:r>
      <w:r>
        <w:rPr>
          <w:rFonts w:hint="eastAsia" w:ascii="宋体" w:hAnsi="宋体" w:cs="宋体"/>
          <w:b/>
          <w:color w:val="auto"/>
          <w:szCs w:val="21"/>
          <w:highlight w:val="none"/>
        </w:rPr>
        <w:t>采购人拟采购的产品属于政府强制采购的节能产品品目清单范围的，供应商相应的投标产品未获得国家确定的认证机构出具的、处于有效期之内的节能（节水）产品认证证书的，投标无效。</w:t>
      </w:r>
    </w:p>
    <w:p>
      <w:pPr>
        <w:spacing w:line="400" w:lineRule="exact"/>
        <w:ind w:left="-2" w:leftChars="-1" w:firstLine="420" w:firstLineChars="200"/>
        <w:jc w:val="center"/>
        <w:rPr>
          <w:rFonts w:ascii="宋体" w:hAnsi="宋体" w:cs="宋体"/>
          <w:color w:val="auto"/>
          <w:szCs w:val="21"/>
          <w:highlight w:val="none"/>
        </w:rPr>
      </w:pPr>
      <w:r>
        <w:rPr>
          <w:rFonts w:hint="eastAsia" w:ascii="宋体" w:hAnsi="宋体" w:cs="宋体"/>
          <w:color w:val="auto"/>
          <w:szCs w:val="21"/>
          <w:highlight w:val="none"/>
        </w:rPr>
        <w:t>《节能产品政府采购品目清单（强制采购部分）》清单如下：</w:t>
      </w:r>
    </w:p>
    <w:tbl>
      <w:tblPr>
        <w:tblStyle w:val="44"/>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68"/>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93" w:type="dxa"/>
            <w:vAlign w:val="center"/>
          </w:tcPr>
          <w:p>
            <w:pPr>
              <w:autoSpaceDE w:val="0"/>
              <w:autoSpaceDN w:val="0"/>
              <w:adjustRightIn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221" w:type="dxa"/>
            <w:gridSpan w:val="2"/>
            <w:vAlign w:val="center"/>
          </w:tcPr>
          <w:p>
            <w:pPr>
              <w:autoSpaceDE w:val="0"/>
              <w:autoSpaceDN w:val="0"/>
              <w:adjustRightIn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产品名称（本表内以“☆”标注的为政府强制采购产品）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spacing w:line="400" w:lineRule="exact"/>
              <w:ind w:left="-2" w:leftChars="-1"/>
              <w:jc w:val="center"/>
              <w:rPr>
                <w:rFonts w:ascii="宋体" w:hAnsi="宋体" w:cs="宋体"/>
                <w:color w:val="auto"/>
                <w:szCs w:val="21"/>
                <w:highlight w:val="none"/>
              </w:rPr>
            </w:pPr>
            <w:r>
              <w:rPr>
                <w:rFonts w:hint="eastAsia" w:ascii="宋体" w:hAnsi="宋体" w:cs="宋体"/>
                <w:color w:val="auto"/>
                <w:szCs w:val="21"/>
                <w:highlight w:val="none"/>
              </w:rPr>
              <w:t>1</w:t>
            </w:r>
          </w:p>
        </w:tc>
        <w:tc>
          <w:tcPr>
            <w:tcW w:w="2268" w:type="dxa"/>
            <w:vAlign w:val="center"/>
          </w:tcPr>
          <w:p>
            <w:pPr>
              <w:spacing w:line="400" w:lineRule="exact"/>
              <w:ind w:left="-2" w:leftChars="-1"/>
              <w:rPr>
                <w:rFonts w:ascii="宋体" w:hAnsi="宋体" w:cs="宋体"/>
                <w:color w:val="auto"/>
                <w:szCs w:val="21"/>
                <w:highlight w:val="none"/>
              </w:rPr>
            </w:pPr>
            <w:r>
              <w:rPr>
                <w:rFonts w:hint="eastAsia" w:ascii="宋体" w:hAnsi="宋体" w:cs="宋体"/>
                <w:color w:val="auto"/>
                <w:szCs w:val="21"/>
                <w:highlight w:val="none"/>
              </w:rPr>
              <w:t>A020101计算机设备</w:t>
            </w:r>
          </w:p>
        </w:tc>
        <w:tc>
          <w:tcPr>
            <w:tcW w:w="5953" w:type="dxa"/>
            <w:vAlign w:val="center"/>
          </w:tcPr>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☆A02010104台式计算机；</w:t>
            </w:r>
          </w:p>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☆A02010105便携式计算机；</w:t>
            </w:r>
          </w:p>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☆A02010107平板式微型计算机。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spacing w:line="400" w:lineRule="exact"/>
              <w:ind w:left="-2" w:leftChars="-1"/>
              <w:jc w:val="center"/>
              <w:rPr>
                <w:rFonts w:ascii="宋体" w:hAnsi="宋体" w:cs="宋体"/>
                <w:color w:val="auto"/>
                <w:szCs w:val="21"/>
                <w:highlight w:val="none"/>
              </w:rPr>
            </w:pPr>
            <w:r>
              <w:rPr>
                <w:rFonts w:hint="eastAsia" w:ascii="宋体" w:hAnsi="宋体" w:cs="宋体"/>
                <w:color w:val="auto"/>
                <w:szCs w:val="21"/>
                <w:highlight w:val="none"/>
              </w:rPr>
              <w:t>2</w:t>
            </w:r>
          </w:p>
        </w:tc>
        <w:tc>
          <w:tcPr>
            <w:tcW w:w="2268" w:type="dxa"/>
            <w:vAlign w:val="center"/>
          </w:tcPr>
          <w:p>
            <w:pPr>
              <w:spacing w:line="400" w:lineRule="exact"/>
              <w:ind w:left="-2" w:leftChars="-1"/>
              <w:rPr>
                <w:rFonts w:ascii="宋体" w:hAnsi="宋体" w:cs="宋体"/>
                <w:color w:val="auto"/>
                <w:szCs w:val="21"/>
                <w:highlight w:val="none"/>
              </w:rPr>
            </w:pPr>
            <w:r>
              <w:rPr>
                <w:rFonts w:hint="eastAsia" w:ascii="宋体" w:hAnsi="宋体" w:cs="宋体"/>
                <w:color w:val="auto"/>
                <w:szCs w:val="21"/>
                <w:highlight w:val="none"/>
              </w:rPr>
              <w:t>A020106输入输出设备</w:t>
            </w:r>
          </w:p>
        </w:tc>
        <w:tc>
          <w:tcPr>
            <w:tcW w:w="5953" w:type="dxa"/>
            <w:vAlign w:val="center"/>
          </w:tcPr>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☆A0201060102激光打印机；</w:t>
            </w:r>
          </w:p>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☆A0201060104针式打印机；</w:t>
            </w:r>
          </w:p>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☆A0201060401液晶显示器。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spacing w:line="400" w:lineRule="exact"/>
              <w:ind w:left="-2" w:leftChars="-1"/>
              <w:jc w:val="center"/>
              <w:rPr>
                <w:rFonts w:ascii="宋体" w:hAnsi="宋体" w:cs="宋体"/>
                <w:color w:val="auto"/>
                <w:szCs w:val="21"/>
                <w:highlight w:val="none"/>
              </w:rPr>
            </w:pPr>
            <w:r>
              <w:rPr>
                <w:rFonts w:hint="eastAsia" w:ascii="宋体" w:hAnsi="宋体" w:cs="宋体"/>
                <w:color w:val="auto"/>
                <w:szCs w:val="21"/>
                <w:highlight w:val="none"/>
              </w:rPr>
              <w:t>6</w:t>
            </w:r>
          </w:p>
        </w:tc>
        <w:tc>
          <w:tcPr>
            <w:tcW w:w="2268" w:type="dxa"/>
            <w:vAlign w:val="center"/>
          </w:tcPr>
          <w:p>
            <w:pPr>
              <w:spacing w:line="400" w:lineRule="exact"/>
              <w:ind w:left="-2" w:leftChars="-1"/>
              <w:rPr>
                <w:rFonts w:ascii="宋体" w:hAnsi="宋体" w:cs="宋体"/>
                <w:color w:val="auto"/>
                <w:szCs w:val="21"/>
                <w:highlight w:val="none"/>
              </w:rPr>
            </w:pPr>
            <w:r>
              <w:rPr>
                <w:rFonts w:hint="eastAsia" w:ascii="宋体" w:hAnsi="宋体" w:cs="宋体"/>
                <w:color w:val="auto"/>
                <w:szCs w:val="21"/>
                <w:highlight w:val="none"/>
              </w:rPr>
              <w:t>A020523制冷空调设备</w:t>
            </w:r>
          </w:p>
        </w:tc>
        <w:tc>
          <w:tcPr>
            <w:tcW w:w="5953" w:type="dxa"/>
            <w:vAlign w:val="center"/>
          </w:tcPr>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☆A02052301制冷压缩机：冷水机组、水源热泵机组、溴化锂吸收式冷水机组；</w:t>
            </w:r>
          </w:p>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☆A02052305空调机组:多联式空调（热泵）机组(制冷量&gt;14000W)）、单元式空气调节机(制冷量&gt;14000W)；</w:t>
            </w:r>
          </w:p>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☆A02052309专用制冷、空调设备：机房空调。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spacing w:line="400" w:lineRule="exact"/>
              <w:ind w:left="-2" w:leftChars="-1"/>
              <w:jc w:val="center"/>
              <w:rPr>
                <w:rFonts w:ascii="宋体" w:hAnsi="宋体" w:cs="宋体"/>
                <w:color w:val="auto"/>
                <w:szCs w:val="21"/>
                <w:highlight w:val="none"/>
              </w:rPr>
            </w:pPr>
            <w:r>
              <w:rPr>
                <w:rFonts w:hint="eastAsia" w:ascii="宋体" w:hAnsi="宋体" w:cs="宋体"/>
                <w:color w:val="auto"/>
                <w:szCs w:val="21"/>
                <w:highlight w:val="none"/>
              </w:rPr>
              <w:t>9</w:t>
            </w:r>
          </w:p>
        </w:tc>
        <w:tc>
          <w:tcPr>
            <w:tcW w:w="2268" w:type="dxa"/>
            <w:vAlign w:val="center"/>
          </w:tcPr>
          <w:p>
            <w:pPr>
              <w:spacing w:line="400" w:lineRule="exact"/>
              <w:ind w:left="-2" w:leftChars="-1"/>
              <w:rPr>
                <w:rFonts w:ascii="宋体" w:hAnsi="宋体" w:cs="宋体"/>
                <w:color w:val="auto"/>
                <w:szCs w:val="21"/>
                <w:highlight w:val="none"/>
              </w:rPr>
            </w:pPr>
            <w:r>
              <w:rPr>
                <w:rFonts w:hint="eastAsia" w:ascii="宋体" w:hAnsi="宋体" w:cs="宋体"/>
                <w:color w:val="auto"/>
                <w:szCs w:val="21"/>
                <w:highlight w:val="none"/>
              </w:rPr>
              <w:t>☆A020609镇流器</w:t>
            </w:r>
          </w:p>
        </w:tc>
        <w:tc>
          <w:tcPr>
            <w:tcW w:w="5953" w:type="dxa"/>
            <w:vAlign w:val="center"/>
          </w:tcPr>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管型荧光灯镇流器。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spacing w:line="400" w:lineRule="exact"/>
              <w:ind w:left="-2" w:leftChars="-1"/>
              <w:jc w:val="center"/>
              <w:rPr>
                <w:rFonts w:ascii="宋体" w:hAnsi="宋体" w:cs="宋体"/>
                <w:color w:val="auto"/>
                <w:szCs w:val="21"/>
                <w:highlight w:val="none"/>
              </w:rPr>
            </w:pPr>
            <w:r>
              <w:rPr>
                <w:rFonts w:hint="eastAsia" w:ascii="宋体" w:hAnsi="宋体" w:cs="宋体"/>
                <w:color w:val="auto"/>
                <w:szCs w:val="21"/>
                <w:highlight w:val="none"/>
              </w:rPr>
              <w:t>10</w:t>
            </w:r>
          </w:p>
        </w:tc>
        <w:tc>
          <w:tcPr>
            <w:tcW w:w="2268" w:type="dxa"/>
            <w:vAlign w:val="center"/>
          </w:tcPr>
          <w:p>
            <w:pPr>
              <w:spacing w:line="400" w:lineRule="exact"/>
              <w:ind w:left="-2" w:leftChars="-1"/>
              <w:rPr>
                <w:rFonts w:ascii="宋体" w:hAnsi="宋体" w:cs="宋体"/>
                <w:color w:val="auto"/>
                <w:szCs w:val="21"/>
                <w:highlight w:val="none"/>
              </w:rPr>
            </w:pPr>
            <w:r>
              <w:rPr>
                <w:rFonts w:hint="eastAsia" w:ascii="宋体" w:hAnsi="宋体" w:cs="宋体"/>
                <w:color w:val="auto"/>
                <w:szCs w:val="21"/>
                <w:highlight w:val="none"/>
              </w:rPr>
              <w:t>A020618生活用电器</w:t>
            </w:r>
          </w:p>
        </w:tc>
        <w:tc>
          <w:tcPr>
            <w:tcW w:w="5953" w:type="dxa"/>
            <w:vAlign w:val="center"/>
          </w:tcPr>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☆A0206180203空调机：房间空气调节器、多联式空调（热泵）机组（制冷量≤14000W）、单元式空气调节机(制冷量≤14000W)）；</w:t>
            </w:r>
          </w:p>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A02061808热水器：☆电热水器。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spacing w:line="400" w:lineRule="exact"/>
              <w:ind w:left="-2" w:leftChars="-1"/>
              <w:jc w:val="center"/>
              <w:rPr>
                <w:rFonts w:ascii="宋体" w:hAnsi="宋体" w:cs="宋体"/>
                <w:color w:val="auto"/>
                <w:szCs w:val="21"/>
                <w:highlight w:val="none"/>
              </w:rPr>
            </w:pPr>
            <w:r>
              <w:rPr>
                <w:rFonts w:hint="eastAsia" w:ascii="宋体" w:hAnsi="宋体" w:cs="宋体"/>
                <w:color w:val="auto"/>
                <w:szCs w:val="21"/>
                <w:highlight w:val="none"/>
              </w:rPr>
              <w:t>11</w:t>
            </w:r>
          </w:p>
        </w:tc>
        <w:tc>
          <w:tcPr>
            <w:tcW w:w="2268" w:type="dxa"/>
            <w:vAlign w:val="center"/>
          </w:tcPr>
          <w:p>
            <w:pPr>
              <w:spacing w:line="400" w:lineRule="exact"/>
              <w:ind w:left="-2" w:leftChars="-1"/>
              <w:rPr>
                <w:rFonts w:ascii="宋体" w:hAnsi="宋体" w:cs="宋体"/>
                <w:color w:val="auto"/>
                <w:szCs w:val="21"/>
                <w:highlight w:val="none"/>
              </w:rPr>
            </w:pPr>
            <w:r>
              <w:rPr>
                <w:rFonts w:hint="eastAsia" w:ascii="宋体" w:hAnsi="宋体" w:cs="宋体"/>
                <w:color w:val="auto"/>
                <w:szCs w:val="21"/>
                <w:highlight w:val="none"/>
              </w:rPr>
              <w:t>A020619照明设备</w:t>
            </w:r>
          </w:p>
        </w:tc>
        <w:tc>
          <w:tcPr>
            <w:tcW w:w="5953" w:type="dxa"/>
            <w:vAlign w:val="center"/>
          </w:tcPr>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☆普通照明用双端荧光灯。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spacing w:line="400" w:lineRule="exact"/>
              <w:ind w:left="-2" w:leftChars="-1"/>
              <w:jc w:val="center"/>
              <w:rPr>
                <w:rFonts w:ascii="宋体" w:hAnsi="宋体" w:cs="宋体"/>
                <w:color w:val="auto"/>
                <w:szCs w:val="21"/>
                <w:highlight w:val="none"/>
              </w:rPr>
            </w:pPr>
            <w:r>
              <w:rPr>
                <w:rFonts w:hint="eastAsia" w:ascii="宋体" w:hAnsi="宋体" w:cs="宋体"/>
                <w:color w:val="auto"/>
                <w:szCs w:val="21"/>
                <w:highlight w:val="none"/>
              </w:rPr>
              <w:t>12</w:t>
            </w:r>
          </w:p>
        </w:tc>
        <w:tc>
          <w:tcPr>
            <w:tcW w:w="2268" w:type="dxa"/>
            <w:vAlign w:val="center"/>
          </w:tcPr>
          <w:p>
            <w:pPr>
              <w:spacing w:line="400" w:lineRule="exact"/>
              <w:ind w:left="-2" w:leftChars="-1"/>
              <w:rPr>
                <w:rFonts w:ascii="宋体" w:hAnsi="宋体" w:cs="宋体"/>
                <w:color w:val="auto"/>
                <w:szCs w:val="21"/>
                <w:highlight w:val="none"/>
              </w:rPr>
            </w:pPr>
            <w:r>
              <w:rPr>
                <w:rFonts w:hint="eastAsia" w:ascii="宋体" w:hAnsi="宋体" w:cs="宋体"/>
                <w:color w:val="auto"/>
                <w:szCs w:val="21"/>
                <w:highlight w:val="none"/>
              </w:rPr>
              <w:t>☆A020910电视设备</w:t>
            </w:r>
          </w:p>
        </w:tc>
        <w:tc>
          <w:tcPr>
            <w:tcW w:w="5953" w:type="dxa"/>
            <w:vAlign w:val="center"/>
          </w:tcPr>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A02091001普通电视设备（电视机）。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spacing w:line="400" w:lineRule="exact"/>
              <w:ind w:left="-2" w:leftChars="-1"/>
              <w:jc w:val="center"/>
              <w:rPr>
                <w:rFonts w:ascii="宋体" w:hAnsi="宋体" w:cs="宋体"/>
                <w:color w:val="auto"/>
                <w:szCs w:val="21"/>
                <w:highlight w:val="none"/>
              </w:rPr>
            </w:pPr>
            <w:r>
              <w:rPr>
                <w:rFonts w:hint="eastAsia" w:ascii="宋体" w:hAnsi="宋体" w:cs="宋体"/>
                <w:color w:val="auto"/>
                <w:szCs w:val="21"/>
                <w:highlight w:val="none"/>
              </w:rPr>
              <w:t>13</w:t>
            </w:r>
          </w:p>
        </w:tc>
        <w:tc>
          <w:tcPr>
            <w:tcW w:w="2268" w:type="dxa"/>
            <w:vAlign w:val="center"/>
          </w:tcPr>
          <w:p>
            <w:pPr>
              <w:spacing w:line="400" w:lineRule="exact"/>
              <w:ind w:left="-2" w:leftChars="-1"/>
              <w:rPr>
                <w:rFonts w:ascii="宋体" w:hAnsi="宋体" w:cs="宋体"/>
                <w:color w:val="auto"/>
                <w:szCs w:val="21"/>
                <w:highlight w:val="none"/>
              </w:rPr>
            </w:pPr>
            <w:r>
              <w:rPr>
                <w:rFonts w:hint="eastAsia" w:ascii="宋体" w:hAnsi="宋体" w:cs="宋体"/>
                <w:color w:val="auto"/>
                <w:szCs w:val="21"/>
                <w:highlight w:val="none"/>
              </w:rPr>
              <w:t>☆A020911视频设备</w:t>
            </w:r>
          </w:p>
        </w:tc>
        <w:tc>
          <w:tcPr>
            <w:tcW w:w="5953" w:type="dxa"/>
            <w:vAlign w:val="center"/>
          </w:tcPr>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监视器。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spacing w:line="400" w:lineRule="exact"/>
              <w:ind w:left="-2" w:leftChars="-1"/>
              <w:jc w:val="center"/>
              <w:rPr>
                <w:rFonts w:ascii="宋体" w:hAnsi="宋体" w:cs="宋体"/>
                <w:color w:val="auto"/>
                <w:szCs w:val="21"/>
                <w:highlight w:val="none"/>
              </w:rPr>
            </w:pPr>
            <w:r>
              <w:rPr>
                <w:rFonts w:hint="eastAsia" w:ascii="宋体" w:hAnsi="宋体" w:cs="宋体"/>
                <w:color w:val="auto"/>
                <w:szCs w:val="21"/>
                <w:highlight w:val="none"/>
              </w:rPr>
              <w:t>15</w:t>
            </w:r>
          </w:p>
        </w:tc>
        <w:tc>
          <w:tcPr>
            <w:tcW w:w="2268" w:type="dxa"/>
            <w:vAlign w:val="center"/>
          </w:tcPr>
          <w:p>
            <w:pPr>
              <w:spacing w:line="400" w:lineRule="exact"/>
              <w:ind w:left="-2" w:leftChars="-1"/>
              <w:rPr>
                <w:rFonts w:ascii="宋体" w:hAnsi="宋体" w:cs="宋体"/>
                <w:color w:val="auto"/>
                <w:szCs w:val="21"/>
                <w:highlight w:val="none"/>
              </w:rPr>
            </w:pPr>
            <w:r>
              <w:rPr>
                <w:rFonts w:hint="eastAsia" w:ascii="宋体" w:hAnsi="宋体" w:cs="宋体"/>
                <w:color w:val="auto"/>
                <w:szCs w:val="21"/>
                <w:highlight w:val="none"/>
              </w:rPr>
              <w:t>☆A060805便器</w:t>
            </w:r>
          </w:p>
        </w:tc>
        <w:tc>
          <w:tcPr>
            <w:tcW w:w="5953" w:type="dxa"/>
            <w:vAlign w:val="center"/>
          </w:tcPr>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坐便器、蹲便器、小便器。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spacing w:line="400" w:lineRule="exact"/>
              <w:ind w:left="-2" w:leftChars="-1"/>
              <w:jc w:val="center"/>
              <w:rPr>
                <w:rFonts w:ascii="宋体" w:hAnsi="宋体" w:cs="宋体"/>
                <w:color w:val="auto"/>
                <w:szCs w:val="21"/>
                <w:highlight w:val="none"/>
              </w:rPr>
            </w:pPr>
            <w:r>
              <w:rPr>
                <w:rFonts w:hint="eastAsia" w:ascii="宋体" w:hAnsi="宋体" w:cs="宋体"/>
                <w:color w:val="auto"/>
                <w:szCs w:val="21"/>
                <w:highlight w:val="none"/>
              </w:rPr>
              <w:t>16</w:t>
            </w:r>
          </w:p>
        </w:tc>
        <w:tc>
          <w:tcPr>
            <w:tcW w:w="2268" w:type="dxa"/>
            <w:vAlign w:val="center"/>
          </w:tcPr>
          <w:p>
            <w:pPr>
              <w:spacing w:line="400" w:lineRule="exact"/>
              <w:ind w:left="-2" w:leftChars="-1"/>
              <w:rPr>
                <w:rFonts w:ascii="宋体" w:hAnsi="宋体" w:cs="宋体"/>
                <w:color w:val="auto"/>
                <w:szCs w:val="21"/>
                <w:highlight w:val="none"/>
              </w:rPr>
            </w:pPr>
            <w:r>
              <w:rPr>
                <w:rFonts w:hint="eastAsia" w:ascii="宋体" w:hAnsi="宋体" w:cs="宋体"/>
                <w:color w:val="auto"/>
                <w:szCs w:val="21"/>
                <w:highlight w:val="none"/>
              </w:rPr>
              <w:t>☆A060806水嘴</w:t>
            </w:r>
          </w:p>
        </w:tc>
        <w:tc>
          <w:tcPr>
            <w:tcW w:w="5953" w:type="dxa"/>
            <w:vAlign w:val="center"/>
          </w:tcPr>
          <w:p>
            <w:pPr>
              <w:spacing w:line="400" w:lineRule="exact"/>
              <w:ind w:left="-2" w:leftChars="-1"/>
              <w:jc w:val="left"/>
              <w:rPr>
                <w:rFonts w:ascii="宋体" w:hAnsi="宋体" w:cs="宋体"/>
                <w:color w:val="auto"/>
                <w:szCs w:val="21"/>
                <w:highlight w:val="none"/>
              </w:rPr>
            </w:pPr>
            <w:r>
              <w:rPr>
                <w:rFonts w:hint="eastAsia" w:ascii="宋体" w:hAnsi="宋体" w:cs="宋体"/>
                <w:color w:val="auto"/>
                <w:szCs w:val="21"/>
                <w:highlight w:val="none"/>
              </w:rPr>
              <w:t>水嘴。</w:t>
            </w:r>
          </w:p>
        </w:tc>
      </w:tr>
    </w:tbl>
    <w:p>
      <w:pPr>
        <w:spacing w:line="40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二、</w:t>
      </w:r>
      <w:r>
        <w:rPr>
          <w:rFonts w:hint="eastAsia" w:ascii="宋体" w:hAnsi="宋体" w:cs="宋体"/>
          <w:b/>
          <w:bCs/>
          <w:color w:val="auto"/>
          <w:szCs w:val="21"/>
          <w:highlight w:val="none"/>
        </w:rPr>
        <w:t>评标程序</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2.1第一阶段评审</w:t>
      </w:r>
    </w:p>
    <w:p>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2.1.1资格文件、商务和技术文件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cs="宋体"/>
          <w:b/>
          <w:color w:val="auto"/>
          <w:szCs w:val="21"/>
          <w:highlight w:val="none"/>
        </w:rPr>
        <w:t>资格性审查和符合性审查中，有任意一项审查结论不合格的，作无效标处理。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w:t>
      </w:r>
      <w:r>
        <w:rPr>
          <w:rFonts w:hint="eastAsia" w:ascii="宋体" w:hAnsi="宋体" w:cs="宋体"/>
          <w:color w:val="auto"/>
          <w:szCs w:val="21"/>
          <w:highlight w:val="none"/>
          <w:lang w:val="zh-CN"/>
        </w:rPr>
        <w:t>比较与评价：</w:t>
      </w:r>
      <w:r>
        <w:rPr>
          <w:rFonts w:hint="eastAsia" w:ascii="宋体" w:hAnsi="宋体" w:cs="宋体"/>
          <w:color w:val="auto"/>
          <w:szCs w:val="21"/>
          <w:highlight w:val="none"/>
        </w:rPr>
        <w:t>评标委员会根据“附表3商务和技术评分表”的要求，</w:t>
      </w:r>
      <w:r>
        <w:rPr>
          <w:rFonts w:hint="eastAsia" w:ascii="宋体" w:hAnsi="宋体" w:cs="宋体"/>
          <w:color w:val="auto"/>
          <w:szCs w:val="21"/>
          <w:highlight w:val="none"/>
          <w:lang w:val="zh-CN"/>
        </w:rPr>
        <w:t>对照投标文件的应答进行比较，判定其偏差性质和程度，</w:t>
      </w:r>
      <w:r>
        <w:rPr>
          <w:rFonts w:hint="eastAsia" w:ascii="宋体" w:hAnsi="宋体" w:cs="宋体"/>
          <w:color w:val="auto"/>
          <w:szCs w:val="21"/>
          <w:highlight w:val="none"/>
        </w:rPr>
        <w:t>由评标委员会成员在分值范围内自行评分。供应商商务和技术得分为各评标委员会成员有效评分的算术平均值（小数点后保留二位数）。</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2.2第二阶段评审</w:t>
      </w:r>
    </w:p>
    <w:p>
      <w:pPr>
        <w:spacing w:line="40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2.2.1报价文件初步审查：报价文件初步审查是指评标委员会根据“附表4初步审查表”的要求对投标文件逐一进行评审。</w:t>
      </w:r>
      <w:r>
        <w:rPr>
          <w:rFonts w:hint="eastAsia" w:ascii="宋体" w:hAnsi="宋体" w:cs="宋体"/>
          <w:b/>
          <w:color w:val="auto"/>
          <w:szCs w:val="21"/>
          <w:highlight w:val="none"/>
        </w:rPr>
        <w:t>初步审查中，审查结论不合格的，作无效标处理。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2.2.2在评标过程中，发现的价格计算错误按下述原则修正：</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（1）投标文件中开标一览表内容与投标文件中相应内容不一致的，以开标一览表为准；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同时出现两种以上不一致的，按照前款规定的顺序修正。</w:t>
      </w:r>
      <w:r>
        <w:rPr>
          <w:rFonts w:hint="eastAsia" w:ascii="宋体" w:hAnsi="宋体" w:cs="宋体"/>
          <w:color w:val="auto"/>
          <w:szCs w:val="21"/>
          <w:highlight w:val="none"/>
        </w:rPr>
        <w:t>▲</w:t>
      </w:r>
      <w:r>
        <w:rPr>
          <w:rFonts w:hint="eastAsia" w:ascii="宋体" w:hAnsi="宋体" w:cs="宋体"/>
          <w:color w:val="auto"/>
          <w:highlight w:val="none"/>
        </w:rPr>
        <w:t>修正后的报价经供应商确认后产生约束力，供应商不确认的，其投标无效。</w:t>
      </w:r>
    </w:p>
    <w:p>
      <w:pPr>
        <w:spacing w:line="4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2.2.3</w:t>
      </w:r>
      <w:r>
        <w:rPr>
          <w:rFonts w:hint="eastAsia" w:ascii="宋体" w:hAnsi="宋体" w:cs="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cs="宋体"/>
          <w:color w:val="auto"/>
          <w:szCs w:val="21"/>
          <w:highlight w:val="none"/>
        </w:rPr>
        <w:t>候选</w:t>
      </w:r>
      <w:r>
        <w:rPr>
          <w:rFonts w:hint="eastAsia" w:ascii="宋体" w:hAnsi="宋体" w:cs="宋体"/>
          <w:color w:val="auto"/>
          <w:highlight w:val="none"/>
        </w:rPr>
        <w:t>人推荐资格；综合得分相同的，由评标委员会采取随机抽取方式确定，其他同品牌供应商不作为中标候选人。</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非单一产品采购项目，多家供应商提供的核心产品品牌相同的，按上述规定处理。</w:t>
      </w:r>
    </w:p>
    <w:p>
      <w:pPr>
        <w:spacing w:line="40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cs="宋体"/>
          <w:b/>
          <w:bCs/>
          <w:color w:val="auto"/>
          <w:highlight w:val="none"/>
        </w:rPr>
        <w:t>核心产品</w:t>
      </w:r>
      <w:r>
        <w:rPr>
          <w:rFonts w:hint="eastAsia" w:ascii="宋体" w:hAnsi="宋体" w:cs="宋体"/>
          <w:b/>
          <w:bCs/>
          <w:color w:val="auto"/>
          <w:highlight w:val="none"/>
          <w:lang w:eastAsia="zh-CN"/>
        </w:rPr>
        <w:t>：</w:t>
      </w:r>
      <w:r>
        <w:rPr>
          <w:rFonts w:hint="eastAsia" w:ascii="宋体" w:hAnsi="宋体" w:cs="宋体"/>
          <w:b/>
          <w:bCs/>
          <w:color w:val="auto"/>
          <w:szCs w:val="21"/>
          <w:highlight w:val="none"/>
        </w:rPr>
        <w:t>风冷螺杆机组</w:t>
      </w:r>
      <w:r>
        <w:rPr>
          <w:rFonts w:hint="eastAsia" w:ascii="宋体" w:hAnsi="宋体" w:cs="宋体"/>
          <w:b/>
          <w:bCs/>
          <w:color w:val="auto"/>
          <w:szCs w:val="21"/>
          <w:highlight w:val="none"/>
          <w:lang w:eastAsia="zh-CN"/>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2.2.4评标委员会根据“附表5价格评分表”的规定，计算供应商报价得分（小数点后保留二位数）。</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2.2.5综合评估：供应商的综合得分为商务和技术得分与报价得分之和。</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2.2.6推荐中标候选人：评标委员会根据供应商综合得分由高到低进行排序，向采购人推荐一名中标候选人。若供应商的综合得分相等，则投标报价低者列前。若投标报价也相同时，采取随机抽签的方式确定排序。</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2.3确定中标供应商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代理机构应当自评审结束之日起2个工作日内将评审报告送交采购人。采购人应当自收到评审报告之日起5个工作日内在评审报告推荐的中标候选人中按顺序确定1名中标供应商。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中标供应商拒绝与采购人签订合同的，采购人重新采购。</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三、投标的澄清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3.2政采云具体操作如下：</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路径：用户中心—项目采购—询标澄清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3.3供应商未在截止时间前完成澄清，将被视作自动放弃。</w:t>
      </w:r>
    </w:p>
    <w:p>
      <w:pPr>
        <w:spacing w:line="400" w:lineRule="exact"/>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四、特别声明：价格是评标的重要因素之一，但最低价不是中标的唯一依据。</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五、重新招标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有下列情形之一的，采购人将重新招标：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5.1投标截止时间止，单个标项供应商少于3个的；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5.2评标委员会评标过程中，单个标项有效供应商少于3个的；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widowControl/>
        <w:spacing w:line="400" w:lineRule="exact"/>
        <w:jc w:val="lef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 w:val="24"/>
          <w:szCs w:val="24"/>
          <w:highlight w:val="none"/>
        </w:rPr>
        <w:br w:type="page"/>
      </w:r>
      <w:r>
        <w:rPr>
          <w:rFonts w:hint="eastAsia" w:ascii="宋体" w:hAnsi="宋体" w:cs="宋体"/>
          <w:color w:val="auto"/>
          <w:szCs w:val="21"/>
          <w:highlight w:val="none"/>
        </w:rPr>
        <w:t>附表1：</w:t>
      </w:r>
    </w:p>
    <w:p>
      <w:pPr>
        <w:widowControl/>
        <w:snapToGrid w:val="0"/>
        <w:spacing w:line="560" w:lineRule="exact"/>
        <w:jc w:val="center"/>
        <w:rPr>
          <w:rFonts w:ascii="宋体" w:hAnsi="宋体" w:cs="宋体"/>
          <w:b/>
          <w:color w:val="auto"/>
          <w:szCs w:val="21"/>
          <w:highlight w:val="none"/>
        </w:rPr>
      </w:pPr>
      <w:r>
        <w:rPr>
          <w:rFonts w:hint="eastAsia" w:ascii="宋体" w:hAnsi="宋体" w:cs="宋体"/>
          <w:b/>
          <w:color w:val="auto"/>
          <w:szCs w:val="21"/>
          <w:highlight w:val="none"/>
        </w:rPr>
        <w:t>资格审查表</w:t>
      </w:r>
    </w:p>
    <w:tbl>
      <w:tblPr>
        <w:tblStyle w:val="44"/>
        <w:tblW w:w="976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803"/>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0"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803"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要求说明</w:t>
            </w:r>
          </w:p>
        </w:tc>
        <w:tc>
          <w:tcPr>
            <w:tcW w:w="4242"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803" w:type="dxa"/>
            <w:vAlign w:val="center"/>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p>
        </w:tc>
        <w:tc>
          <w:tcPr>
            <w:tcW w:w="4242" w:type="dxa"/>
            <w:vAlign w:val="center"/>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A1、关于资格的承诺函;</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A2、营业执照副本（或事业法人登记证副本或其他登记证明材料）扫描件加盖供应商公章（供应商如果有名称变更的，应提供由行政主管部门出具的变更证明文件扫描件加盖供应商公章）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3" w:type="dxa"/>
            <w:gridSpan w:val="2"/>
            <w:vAlign w:val="center"/>
          </w:tcPr>
          <w:p>
            <w:pPr>
              <w:spacing w:line="360" w:lineRule="exact"/>
              <w:jc w:val="center"/>
              <w:rPr>
                <w:rFonts w:ascii="宋体" w:hAnsi="宋体" w:cs="宋体"/>
                <w:color w:val="auto"/>
                <w:highlight w:val="none"/>
              </w:rPr>
            </w:pPr>
            <w:r>
              <w:rPr>
                <w:rFonts w:hint="eastAsia" w:ascii="宋体" w:hAnsi="宋体" w:cs="宋体"/>
                <w:b/>
                <w:color w:val="auto"/>
                <w:szCs w:val="21"/>
                <w:highlight w:val="none"/>
              </w:rPr>
              <w:t>资格性审查结论</w:t>
            </w:r>
          </w:p>
        </w:tc>
        <w:tc>
          <w:tcPr>
            <w:tcW w:w="4242" w:type="dxa"/>
            <w:vAlign w:val="center"/>
          </w:tcPr>
          <w:p>
            <w:pPr>
              <w:spacing w:line="360" w:lineRule="exact"/>
              <w:jc w:val="center"/>
              <w:rPr>
                <w:rFonts w:ascii="宋体" w:hAnsi="宋体" w:cs="宋体"/>
                <w:color w:val="auto"/>
                <w:szCs w:val="21"/>
                <w:highlight w:val="none"/>
              </w:rPr>
            </w:pPr>
          </w:p>
        </w:tc>
      </w:tr>
    </w:tbl>
    <w:p>
      <w:pPr>
        <w:spacing w:line="400" w:lineRule="atLeast"/>
        <w:rPr>
          <w:rFonts w:ascii="宋体" w:hAnsi="宋体" w:cs="宋体"/>
          <w:b/>
          <w:color w:val="auto"/>
          <w:highlight w:val="none"/>
        </w:rPr>
      </w:pPr>
      <w:r>
        <w:rPr>
          <w:rFonts w:hint="eastAsia" w:ascii="宋体" w:hAnsi="宋体" w:cs="宋体"/>
          <w:b/>
          <w:color w:val="auto"/>
          <w:highlight w:val="none"/>
        </w:rPr>
        <w:t>注：1、上述资格证明文件未按招标文件要求附入投标文件中的，资格性审查不合格。</w:t>
      </w:r>
    </w:p>
    <w:p>
      <w:pPr>
        <w:spacing w:line="400" w:lineRule="atLeast"/>
        <w:ind w:firstLine="422" w:firstLineChars="200"/>
        <w:rPr>
          <w:rFonts w:ascii="宋体" w:hAnsi="宋体" w:cs="宋体"/>
          <w:b/>
          <w:color w:val="auto"/>
          <w:highlight w:val="none"/>
        </w:rPr>
      </w:pPr>
      <w:r>
        <w:rPr>
          <w:rFonts w:hint="eastAsia" w:ascii="宋体" w:hAnsi="宋体" w:cs="宋体"/>
          <w:b/>
          <w:color w:val="auto"/>
          <w:highlight w:val="none"/>
        </w:rPr>
        <w:t>2、上述审查项目中，任意一项不符合的，资格性审查不合格。</w:t>
      </w:r>
    </w:p>
    <w:p>
      <w:pPr>
        <w:spacing w:line="400" w:lineRule="atLeast"/>
        <w:ind w:firstLine="422" w:firstLineChars="200"/>
        <w:rPr>
          <w:rFonts w:ascii="宋体" w:hAnsi="宋体" w:cs="宋体"/>
          <w:b/>
          <w:color w:val="auto"/>
          <w:highlight w:val="none"/>
        </w:rPr>
      </w:pPr>
      <w:r>
        <w:rPr>
          <w:rFonts w:hint="eastAsia" w:ascii="宋体" w:hAnsi="宋体" w:cs="宋体"/>
          <w:b/>
          <w:color w:val="auto"/>
          <w:highlight w:val="none"/>
        </w:rPr>
        <w:t>3、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pPr>
        <w:spacing w:line="400" w:lineRule="atLeast"/>
        <w:ind w:firstLine="422" w:firstLineChars="200"/>
        <w:rPr>
          <w:rFonts w:ascii="宋体" w:hAnsi="宋体" w:cs="宋体"/>
          <w:b/>
          <w:color w:val="auto"/>
          <w:highlight w:val="none"/>
        </w:rPr>
      </w:pPr>
      <w:r>
        <w:rPr>
          <w:rFonts w:hint="eastAsia" w:ascii="宋体" w:hAnsi="宋体" w:cs="宋体"/>
          <w:b/>
          <w:color w:val="auto"/>
          <w:highlight w:val="none"/>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pPr>
        <w:spacing w:line="400" w:lineRule="exact"/>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附表2：</w:t>
      </w:r>
    </w:p>
    <w:p>
      <w:pPr>
        <w:widowControl/>
        <w:snapToGrid w:val="0"/>
        <w:spacing w:line="560" w:lineRule="exact"/>
        <w:jc w:val="center"/>
        <w:rPr>
          <w:rFonts w:ascii="宋体" w:hAnsi="宋体" w:cs="宋体"/>
          <w:b/>
          <w:color w:val="auto"/>
          <w:szCs w:val="21"/>
          <w:highlight w:val="none"/>
        </w:rPr>
      </w:pPr>
      <w:r>
        <w:rPr>
          <w:rFonts w:hint="eastAsia" w:ascii="宋体" w:hAnsi="宋体" w:cs="宋体"/>
          <w:b/>
          <w:color w:val="auto"/>
          <w:szCs w:val="21"/>
          <w:highlight w:val="none"/>
        </w:rPr>
        <w:t>符合性审查表</w:t>
      </w:r>
    </w:p>
    <w:tbl>
      <w:tblPr>
        <w:tblStyle w:val="44"/>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625"/>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6"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6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要求说明</w:t>
            </w:r>
          </w:p>
        </w:tc>
        <w:tc>
          <w:tcPr>
            <w:tcW w:w="32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62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投标有效期：符合第二章“投标须知”第六、1条的要求。</w:t>
            </w:r>
          </w:p>
        </w:tc>
        <w:tc>
          <w:tcPr>
            <w:tcW w:w="323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提供“投标书”。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562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法定代表人身份证明、法定代表人授权书。</w:t>
            </w:r>
          </w:p>
        </w:tc>
        <w:tc>
          <w:tcPr>
            <w:tcW w:w="323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（1）投标文件由法定代表人签字或盖章的，提供“法定代表人身份证明”。</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（2）投标文件由授权代表签字或盖章的，提供“法定代表人身份证明”和“法定代表人授权书”。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562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资格文件、商务和技术文件中不得出现涉及投标价格的内容。</w:t>
            </w:r>
          </w:p>
        </w:tc>
        <w:tc>
          <w:tcPr>
            <w:tcW w:w="32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资格文件、商务和技术文件中是否出现涉及投标价格的内容。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562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符合第二章“投标须知”第九、1条的要求。</w:t>
            </w:r>
          </w:p>
        </w:tc>
        <w:tc>
          <w:tcPr>
            <w:tcW w:w="323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562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对同个标项不允许提供两个投标方案。</w:t>
            </w:r>
          </w:p>
        </w:tc>
        <w:tc>
          <w:tcPr>
            <w:tcW w:w="323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562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供应商不得在投标活动中提供任何虚假材料或从事其他违法活动的。</w:t>
            </w:r>
          </w:p>
        </w:tc>
        <w:tc>
          <w:tcPr>
            <w:tcW w:w="323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5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有下列情形之一的，属于恶意串通，其投标无效：</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①供应商直接或者间接从采购人或者采购机构处获得其他供应商的相关情况并修改其投标文件；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②供应商按照采购人或者采购机构的授意撤换、修改投标文件；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③供应商之间协商报价、技术方案等投标文件的实质性内容；</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④属于同一集团、协会、商会等组织成员的供应商按照该组织要求协同参加政府采购活动；</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⑤供应商之间事先约定由某一特定供应商中标、成交；</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⑥供应商之间商定部分供应商放弃参加政府采购活动或者放弃中标、成交；</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⑦供应商与采购人或者采购机构之间、供应商相互之间，为谋求特定供应商中标、成交或者排斥其他供应商的其他串通行为。</w:t>
            </w:r>
          </w:p>
        </w:tc>
        <w:tc>
          <w:tcPr>
            <w:tcW w:w="32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5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有下列情形之一的，视为供应商串通投标，其投标无效：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①不同供应商的投标文件由同一单位或者个人编制；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②不同供应商委托同一单位或者个人办理投标事宜；</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③不同供应商的投标文件载明的项目管理成员或者联系人员为同一人；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④不同供应商的投标文件异常一致或者投标报价呈规律性差异；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⑤不同供应商的投标文件相互混装；</w:t>
            </w:r>
          </w:p>
        </w:tc>
        <w:tc>
          <w:tcPr>
            <w:tcW w:w="32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5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存在下列情形之一且无法合理解释的，其投标文件无效：</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①不同供应商的电子投标文件上传计算机的网卡MAC地址或硬盘序列号等硬件信息相同的；</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②上传的电子投标文件若出现使用本项目其他投标供应商的数字证书加密的，或者加盖本项目其他投标供应商的电子印章的；</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③不同供应商的投标文件的内容存在3处（含）以上错误一致的；</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④不同供应商联系人为同一人或不同联系人的联系电话一致的。</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⑤不同供应商在相同Internet主机分配地址（相同IP地址）获取招标文件或网上投标的。</w:t>
            </w:r>
          </w:p>
        </w:tc>
        <w:tc>
          <w:tcPr>
            <w:tcW w:w="32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56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符合法律、法规和招标文件中规定的其他实质性要求（实质性要求招标文件中“</w:t>
            </w:r>
            <w:r>
              <w:rPr>
                <w:rFonts w:hint="eastAsia" w:ascii="宋体" w:hAnsi="宋体" w:cs="宋体"/>
                <w:b/>
                <w:color w:val="auto"/>
                <w:szCs w:val="21"/>
                <w:highlight w:val="none"/>
              </w:rPr>
              <w:t>▲</w:t>
            </w:r>
            <w:r>
              <w:rPr>
                <w:rFonts w:hint="eastAsia" w:ascii="宋体" w:hAnsi="宋体" w:cs="宋体"/>
                <w:color w:val="auto"/>
                <w:szCs w:val="21"/>
                <w:highlight w:val="none"/>
              </w:rPr>
              <w:t>”标记）。</w:t>
            </w:r>
          </w:p>
        </w:tc>
        <w:tc>
          <w:tcPr>
            <w:tcW w:w="32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5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本项目不接受联合体投标。</w:t>
            </w:r>
          </w:p>
        </w:tc>
        <w:tc>
          <w:tcPr>
            <w:tcW w:w="32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符合性审查结论</w:t>
            </w:r>
          </w:p>
        </w:tc>
        <w:tc>
          <w:tcPr>
            <w:tcW w:w="32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p>
        </w:tc>
      </w:tr>
    </w:tbl>
    <w:p>
      <w:pPr>
        <w:spacing w:line="400" w:lineRule="exact"/>
        <w:rPr>
          <w:rFonts w:ascii="宋体" w:hAnsi="宋体" w:cs="宋体"/>
          <w:b/>
          <w:color w:val="auto"/>
          <w:highlight w:val="none"/>
        </w:rPr>
      </w:pPr>
      <w:r>
        <w:rPr>
          <w:rFonts w:hint="eastAsia" w:ascii="宋体" w:hAnsi="宋体" w:cs="宋体"/>
          <w:b/>
          <w:color w:val="auto"/>
          <w:highlight w:val="none"/>
        </w:rPr>
        <w:t>注：1、上述审查项目中，任意一项不符合的，符合性审查不合格。</w:t>
      </w: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2、序号3-序号11在政采云上无须添加关联点。</w:t>
      </w:r>
    </w:p>
    <w:p>
      <w:pPr>
        <w:spacing w:line="400" w:lineRule="exact"/>
        <w:rPr>
          <w:rFonts w:ascii="宋体" w:hAnsi="宋体" w:cs="宋体"/>
          <w:color w:val="auto"/>
          <w:szCs w:val="21"/>
          <w:highlight w:val="none"/>
        </w:rPr>
      </w:pPr>
      <w:r>
        <w:rPr>
          <w:rFonts w:hint="eastAsia" w:ascii="宋体" w:hAnsi="宋体" w:cs="宋体"/>
          <w:b/>
          <w:color w:val="auto"/>
          <w:highlight w:val="none"/>
        </w:rPr>
        <w:br w:type="page"/>
      </w:r>
      <w:r>
        <w:rPr>
          <w:rFonts w:hint="eastAsia" w:ascii="宋体" w:hAnsi="宋体" w:cs="宋体"/>
          <w:color w:val="auto"/>
          <w:szCs w:val="21"/>
          <w:highlight w:val="none"/>
        </w:rPr>
        <w:t>附表3：</w:t>
      </w:r>
    </w:p>
    <w:p>
      <w:pPr>
        <w:jc w:val="center"/>
        <w:rPr>
          <w:rFonts w:ascii="宋体" w:hAnsi="宋体" w:cs="宋体"/>
          <w:b/>
          <w:color w:val="auto"/>
          <w:sz w:val="24"/>
          <w:highlight w:val="none"/>
        </w:rPr>
      </w:pPr>
      <w:r>
        <w:rPr>
          <w:rFonts w:hint="eastAsia" w:ascii="宋体" w:hAnsi="宋体" w:cs="宋体"/>
          <w:b/>
          <w:color w:val="auto"/>
          <w:sz w:val="24"/>
          <w:highlight w:val="none"/>
        </w:rPr>
        <w:t>商务和技术评分表</w:t>
      </w:r>
    </w:p>
    <w:tbl>
      <w:tblPr>
        <w:tblStyle w:val="44"/>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8556"/>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blHeader/>
          <w:jc w:val="center"/>
        </w:trPr>
        <w:tc>
          <w:tcPr>
            <w:tcW w:w="9581" w:type="dxa"/>
            <w:gridSpan w:val="2"/>
            <w:tcBorders>
              <w:top w:val="single" w:color="auto" w:sz="4" w:space="0"/>
              <w:left w:val="single" w:color="auto" w:sz="4" w:space="0"/>
              <w:bottom w:val="single" w:color="auto" w:sz="4" w:space="0"/>
              <w:right w:val="single" w:color="auto" w:sz="4" w:space="0"/>
              <w:tl2br w:val="single" w:color="000000" w:sz="4" w:space="0"/>
            </w:tcBorders>
          </w:tcPr>
          <w:p>
            <w:pPr>
              <w:spacing w:line="400" w:lineRule="exact"/>
              <w:ind w:right="420" w:firstLine="4410" w:firstLineChars="2100"/>
              <w:jc w:val="right"/>
              <w:rPr>
                <w:rFonts w:ascii="宋体" w:hAnsi="宋体" w:cs="宋体"/>
                <w:color w:val="auto"/>
                <w:szCs w:val="21"/>
                <w:highlight w:val="none"/>
              </w:rPr>
            </w:pPr>
            <w:r>
              <w:rPr>
                <w:rFonts w:hint="eastAsia" w:ascii="宋体" w:hAnsi="宋体" w:cs="宋体"/>
                <w:color w:val="auto"/>
                <w:szCs w:val="21"/>
                <w:highlight w:val="none"/>
              </w:rPr>
              <w:t>供应商</w:t>
            </w:r>
          </w:p>
          <w:p>
            <w:pPr>
              <w:spacing w:line="400" w:lineRule="exact"/>
              <w:ind w:firstLine="945" w:firstLineChars="450"/>
              <w:rPr>
                <w:rFonts w:ascii="宋体" w:hAnsi="宋体" w:cs="宋体"/>
                <w:color w:val="auto"/>
                <w:szCs w:val="21"/>
                <w:highlight w:val="none"/>
                <w:lang w:val="ru-RU"/>
              </w:rPr>
            </w:pPr>
            <w:r>
              <w:rPr>
                <w:rFonts w:hint="eastAsia" w:ascii="宋体" w:hAnsi="宋体" w:cs="宋体"/>
                <w:color w:val="auto"/>
                <w:szCs w:val="21"/>
                <w:highlight w:val="none"/>
              </w:rPr>
              <w:t>分值</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lang w:val="ru-RU"/>
              </w:rPr>
            </w:pPr>
            <w:r>
              <w:rPr>
                <w:rFonts w:hint="eastAsia" w:ascii="宋体" w:hAnsi="宋体" w:cs="宋体"/>
                <w:color w:val="auto"/>
                <w:szCs w:val="21"/>
                <w:highlight w:val="none"/>
                <w:lang w:val="ru-RU"/>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1025" w:type="dxa"/>
            <w:vMerge w:val="restart"/>
            <w:tcBorders>
              <w:left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bookmarkStart w:id="37" w:name="_Hlk200118574"/>
            <w:r>
              <w:rPr>
                <w:rFonts w:hint="eastAsia" w:ascii="宋体" w:hAnsi="宋体" w:cs="宋体"/>
                <w:b/>
                <w:color w:val="auto"/>
                <w:szCs w:val="21"/>
                <w:highlight w:val="none"/>
              </w:rPr>
              <w:t>商务和技术得分60</w:t>
            </w:r>
          </w:p>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分</w:t>
            </w:r>
          </w:p>
        </w:tc>
        <w:tc>
          <w:tcPr>
            <w:tcW w:w="855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技术指标响应性（</w:t>
            </w: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val="zh-CN"/>
              </w:rPr>
              <w:t>分）：</w:t>
            </w:r>
          </w:p>
          <w:p>
            <w:pPr>
              <w:spacing w:line="400" w:lineRule="exact"/>
              <w:rPr>
                <w:rFonts w:ascii="宋体" w:hAnsi="宋体" w:cs="宋体"/>
                <w:bCs/>
                <w:color w:val="auto"/>
                <w:szCs w:val="21"/>
                <w:highlight w:val="none"/>
              </w:rPr>
            </w:pPr>
            <w:r>
              <w:rPr>
                <w:rFonts w:hint="eastAsia" w:ascii="宋体" w:hAnsi="宋体" w:cs="宋体"/>
                <w:color w:val="auto"/>
                <w:szCs w:val="21"/>
                <w:highlight w:val="none"/>
              </w:rPr>
              <w:t>完全响应“第五章  招标内容与技术需求”中的</w:t>
            </w:r>
            <w:r>
              <w:rPr>
                <w:rFonts w:hint="eastAsia" w:ascii="宋体" w:hAnsi="宋体" w:cs="宋体"/>
                <w:bCs/>
                <w:color w:val="auto"/>
                <w:szCs w:val="21"/>
                <w:highlight w:val="none"/>
              </w:rPr>
              <w:t>“三、技术要求”所有技术指标要求的得1</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分，未标“▲”或“★”的技术要求每负偏离一项扣1分；标有“★”的技术要求每负偏离一项扣2分；标有“▲”的技术参数出现负偏离的，作无效投标处理。</w:t>
            </w:r>
          </w:p>
          <w:p>
            <w:pPr>
              <w:spacing w:line="400" w:lineRule="exact"/>
              <w:rPr>
                <w:rFonts w:ascii="宋体" w:hAnsi="宋体" w:cs="宋体"/>
                <w:color w:val="auto"/>
                <w:szCs w:val="21"/>
                <w:highlight w:val="none"/>
              </w:rPr>
            </w:pPr>
            <w:r>
              <w:rPr>
                <w:rFonts w:hint="eastAsia" w:ascii="宋体" w:hAnsi="宋体" w:cs="宋体"/>
                <w:bCs/>
                <w:color w:val="auto"/>
                <w:szCs w:val="21"/>
                <w:highlight w:val="none"/>
              </w:rPr>
              <w:t>▲本项扣分分值达到1</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分的，作无效投标处理。</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1025" w:type="dxa"/>
            <w:vMerge w:val="continue"/>
            <w:tcBorders>
              <w:left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p>
        </w:tc>
        <w:tc>
          <w:tcPr>
            <w:tcW w:w="85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bCs/>
                <w:color w:val="auto"/>
                <w:highlight w:val="none"/>
              </w:rPr>
            </w:pPr>
            <w:r>
              <w:rPr>
                <w:rFonts w:hint="eastAsia" w:ascii="宋体" w:hAnsi="宋体" w:cs="宋体"/>
                <w:b/>
                <w:bCs/>
                <w:color w:val="auto"/>
                <w:highlight w:val="none"/>
              </w:rPr>
              <w:t>2、评标委员会对供应商所投的风冷螺杆机性能评议：（10分）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（1）制冷性能系数COPc值：</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制冷COPc值≥3.50得3分；3.47≤制冷COPc值＜3.50得2分，3.44≤制冷COPc值＜3.47得1分，其他不得分。具体数据以“中国能效标识网”上下载的数据为准。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（2）机组制冷综合部分性能系数CSPF值：</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制冷CSPF值≥4.30得3分；4.20≤制冷CSPF值＜4.30得2分，4.10≤制冷CSPF值＜4.20得1分，其他不得分。具体数据以“中国能效标识网”上下载的数据为准。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（3）风冷螺杆机组冷凝器形式采用V型换热器，翅片换热器采用高效内螺纹换热管和亲水铝箔经过机械涨接合成得2分，其他形式得1分。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（4）膨胀阀调节步数：调节步数≥3800步为得2分，其他得1分。</w:t>
            </w:r>
          </w:p>
          <w:p>
            <w:pPr>
              <w:spacing w:line="400" w:lineRule="exact"/>
              <w:rPr>
                <w:rFonts w:ascii="宋体" w:hAnsi="宋体" w:cs="宋体"/>
                <w:color w:val="auto"/>
                <w:highlight w:val="none"/>
              </w:rPr>
            </w:pPr>
            <w:r>
              <w:rPr>
                <w:rFonts w:hint="eastAsia" w:ascii="宋体" w:hAnsi="宋体" w:cs="宋体"/>
                <w:color w:val="auto"/>
                <w:szCs w:val="21"/>
                <w:highlight w:val="none"/>
              </w:rPr>
              <w:t>第（3）条至第（4条）以产品样本数据为准。</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1025" w:type="dxa"/>
            <w:vMerge w:val="continue"/>
            <w:tcBorders>
              <w:left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p>
        </w:tc>
        <w:tc>
          <w:tcPr>
            <w:tcW w:w="85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color w:val="auto"/>
                <w:szCs w:val="21"/>
                <w:highlight w:val="none"/>
              </w:rPr>
            </w:pPr>
            <w:r>
              <w:rPr>
                <w:rFonts w:hint="eastAsia" w:ascii="宋体" w:hAnsi="宋体" w:cs="宋体"/>
                <w:b/>
                <w:color w:val="auto"/>
                <w:szCs w:val="21"/>
                <w:highlight w:val="none"/>
              </w:rPr>
              <w:t>3、评标委员会对选用的安装材料（阀门、管道等）的材质、规格、性能等进行评议：（5分）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安装材料的材质、规格、性能完全符合本项目要求的得5分；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安装材料的材质、规格、性能适用于本项目的得3分；</w:t>
            </w:r>
          </w:p>
          <w:p>
            <w:pPr>
              <w:spacing w:line="400" w:lineRule="exact"/>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安装材料的材质、规格、性能与本项目不相匹配的得1分</w:t>
            </w:r>
            <w:r>
              <w:rPr>
                <w:rFonts w:hint="eastAsia" w:ascii="宋体" w:hAnsi="宋体" w:cs="宋体"/>
                <w:color w:val="auto"/>
                <w:szCs w:val="21"/>
                <w:highlight w:val="none"/>
                <w:lang w:eastAsia="zh-CN"/>
              </w:rPr>
              <w:t>。</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1025" w:type="dxa"/>
            <w:vMerge w:val="continue"/>
            <w:tcBorders>
              <w:left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p>
        </w:tc>
        <w:tc>
          <w:tcPr>
            <w:tcW w:w="85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color w:val="auto"/>
                <w:szCs w:val="21"/>
                <w:highlight w:val="none"/>
              </w:rPr>
            </w:pPr>
            <w:r>
              <w:rPr>
                <w:rFonts w:hint="eastAsia" w:ascii="宋体" w:hAnsi="宋体" w:cs="宋体"/>
                <w:b/>
                <w:color w:val="auto"/>
                <w:szCs w:val="21"/>
                <w:highlight w:val="none"/>
              </w:rPr>
              <w:t>4、评标委员会对供应商的施工方案、措施进行评议：（5分）</w:t>
            </w:r>
          </w:p>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施工方案全面、先进、安全、可行性高，能够做到安全文明施工、管理制度完善，且安全、消防、环保、节能、接地等方面考虑周全、可靠的的得5分；</w:t>
            </w:r>
          </w:p>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施工方案、措施能够做到安全文明施工、管理制度完善，基本符合采购人要求的得3分；</w:t>
            </w:r>
          </w:p>
          <w:p>
            <w:pPr>
              <w:spacing w:line="400" w:lineRule="exact"/>
              <w:rPr>
                <w:rFonts w:hint="eastAsia" w:ascii="宋体" w:hAnsi="宋体" w:eastAsia="宋体" w:cs="宋体"/>
                <w:b/>
                <w:color w:val="auto"/>
                <w:sz w:val="18"/>
                <w:szCs w:val="18"/>
                <w:highlight w:val="none"/>
                <w:lang w:eastAsia="zh-CN"/>
              </w:rPr>
            </w:pPr>
            <w:r>
              <w:rPr>
                <w:rFonts w:hint="eastAsia" w:ascii="宋体" w:hAnsi="宋体" w:cs="宋体"/>
                <w:bCs/>
                <w:color w:val="auto"/>
                <w:szCs w:val="21"/>
                <w:highlight w:val="none"/>
              </w:rPr>
              <w:t>施工方案、措施存在缺陷或不能满足采购人需求的得1分</w:t>
            </w:r>
            <w:r>
              <w:rPr>
                <w:rFonts w:hint="eastAsia" w:ascii="宋体" w:hAnsi="宋体" w:cs="宋体"/>
                <w:bCs/>
                <w:color w:val="auto"/>
                <w:szCs w:val="21"/>
                <w:highlight w:val="none"/>
                <w:lang w:eastAsia="zh-CN"/>
              </w:rPr>
              <w:t>。</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025" w:type="dxa"/>
            <w:vMerge w:val="continue"/>
            <w:tcBorders>
              <w:left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p>
        </w:tc>
        <w:tc>
          <w:tcPr>
            <w:tcW w:w="85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5、评标委员会对供应商的供货保障措施方案进行评议：（3分）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措施方案内容详实，可全面覆盖备货、运输、装卸、交货等项目各阶段；有详细的供货进度安排及时间规划，保障措施合理可行的得3分；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措施方案内容基本完整，供货进度安排及保障措施基本能满足项目交货期的要求的得2分；</w:t>
            </w:r>
          </w:p>
          <w:p>
            <w:pPr>
              <w:spacing w:line="400" w:lineRule="exact"/>
              <w:rPr>
                <w:rFonts w:ascii="宋体" w:hAnsi="宋体" w:cs="宋体"/>
                <w:b/>
                <w:color w:val="auto"/>
                <w:szCs w:val="21"/>
                <w:highlight w:val="none"/>
              </w:rPr>
            </w:pPr>
            <w:r>
              <w:rPr>
                <w:rFonts w:hint="eastAsia" w:ascii="宋体" w:hAnsi="宋体" w:cs="宋体"/>
                <w:color w:val="auto"/>
                <w:szCs w:val="21"/>
                <w:highlight w:val="none"/>
              </w:rPr>
              <w:t>供货进度安排不明确或无法提供具体时间规划的得1分。</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025" w:type="dxa"/>
            <w:vMerge w:val="continue"/>
            <w:tcBorders>
              <w:left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p>
        </w:tc>
        <w:tc>
          <w:tcPr>
            <w:tcW w:w="85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6、评标委员会对供应商提供的产品质量保证措施进行评议：（4分）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对备货、运输、装卸、交货等各阶段可能出现的产品质量问题有充分的预计，制定的保证措施针对性好、可行性好，产品质量有良好保障的得4分；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对产品的常见质量问题有预计，产品质量管控措施及处置流程基本到位，产品质量有基本保障的得2分；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对产品质量问题预计不充分，制定的质量保证措施单一，产品质量无良好保障的得1分。</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25"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color w:val="auto"/>
                <w:szCs w:val="21"/>
                <w:highlight w:val="none"/>
              </w:rPr>
            </w:pPr>
          </w:p>
        </w:tc>
        <w:tc>
          <w:tcPr>
            <w:tcW w:w="85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7、评标委员会对供应商的售后服务方案进行评议,包括响应时间及问题处理时间、服务力量安排、备品准备等：（5分）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响应时间、问题处理时间短，售后服务团队配置完整，备品准备充分、调换货便利性好的得5分；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响应时间、问题处理时间较短，服务团队配置、备品准备基本到位的得3分；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响应时间、问题处理时间长，服务团队配置不到位，备品准备不足的得1分。</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25"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color w:val="auto"/>
                <w:szCs w:val="21"/>
                <w:highlight w:val="none"/>
              </w:rPr>
            </w:pPr>
          </w:p>
        </w:tc>
        <w:tc>
          <w:tcPr>
            <w:tcW w:w="85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8、质保期：（3分）</w:t>
            </w:r>
          </w:p>
          <w:p>
            <w:pPr>
              <w:spacing w:line="400" w:lineRule="exact"/>
              <w:rPr>
                <w:rFonts w:ascii="宋体" w:hAnsi="宋体" w:cs="宋体"/>
                <w:color w:val="auto"/>
                <w:szCs w:val="21"/>
                <w:highlight w:val="none"/>
              </w:rPr>
            </w:pPr>
            <w:r>
              <w:rPr>
                <w:rFonts w:hint="eastAsia" w:ascii="宋体" w:hAnsi="宋体"/>
                <w:color w:val="auto"/>
                <w:szCs w:val="21"/>
                <w:highlight w:val="none"/>
              </w:rPr>
              <w:t>质保期满足招标文件要求（24个月）的不得分，每增加6个月得</w:t>
            </w:r>
            <w:r>
              <w:rPr>
                <w:rFonts w:ascii="宋体" w:hAnsi="宋体"/>
                <w:color w:val="auto"/>
                <w:szCs w:val="21"/>
                <w:highlight w:val="none"/>
              </w:rPr>
              <w:t>1</w:t>
            </w:r>
            <w:r>
              <w:rPr>
                <w:rFonts w:hint="eastAsia" w:ascii="宋体" w:hAnsi="宋体"/>
                <w:color w:val="auto"/>
                <w:szCs w:val="21"/>
                <w:highlight w:val="none"/>
              </w:rPr>
              <w:t>分，最高得</w:t>
            </w:r>
            <w:r>
              <w:rPr>
                <w:rFonts w:ascii="宋体" w:hAnsi="宋体"/>
                <w:color w:val="auto"/>
                <w:szCs w:val="21"/>
                <w:highlight w:val="none"/>
              </w:rPr>
              <w:t>3</w:t>
            </w:r>
            <w:r>
              <w:rPr>
                <w:rFonts w:hint="eastAsia" w:ascii="宋体" w:hAnsi="宋体"/>
                <w:color w:val="auto"/>
                <w:szCs w:val="21"/>
                <w:highlight w:val="none"/>
              </w:rPr>
              <w:t>分。</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25"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color w:val="auto"/>
                <w:szCs w:val="21"/>
                <w:highlight w:val="none"/>
              </w:rPr>
            </w:pPr>
          </w:p>
        </w:tc>
        <w:tc>
          <w:tcPr>
            <w:tcW w:w="85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9、业绩：（4分）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供应商自2022年1月1日（以合同签订时间为准）至今，具有中央空调主机采购及安装业绩的，每提供1个得1分，最高得4分。</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（投标文件中提供合同扫描件加盖供应商公章，以及对应合同的中标（成交）通知书扫描件或网上结果公示截图或采购公告发布前开具的合同履行期间内任意一期的合同款支付税务发票扫描件加盖供应商公章。）</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25"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color w:val="auto"/>
                <w:szCs w:val="21"/>
                <w:highlight w:val="none"/>
              </w:rPr>
            </w:pPr>
          </w:p>
        </w:tc>
        <w:tc>
          <w:tcPr>
            <w:tcW w:w="85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10、体系认证：（</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分）</w:t>
            </w:r>
          </w:p>
          <w:p>
            <w:pPr>
              <w:autoSpaceDE w:val="0"/>
              <w:autoSpaceDN w:val="0"/>
              <w:spacing w:line="400" w:lineRule="exact"/>
              <w:rPr>
                <w:rFonts w:ascii="宋体" w:hAnsi="宋体" w:cs="宋体"/>
                <w:color w:val="auto"/>
                <w:szCs w:val="21"/>
                <w:highlight w:val="none"/>
              </w:rPr>
            </w:pPr>
            <w:r>
              <w:rPr>
                <w:rFonts w:hint="eastAsia" w:ascii="宋体" w:hAnsi="宋体" w:cs="宋体"/>
                <w:color w:val="auto"/>
                <w:szCs w:val="21"/>
                <w:highlight w:val="none"/>
              </w:rPr>
              <w:t>供应商或制造商通过以下体系认证的，每提供1种得1分，最高得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autoSpaceDE w:val="0"/>
              <w:autoSpaceDN w:val="0"/>
              <w:spacing w:line="400" w:lineRule="exact"/>
              <w:rPr>
                <w:rFonts w:ascii="宋体" w:hAnsi="宋体" w:cs="宋体"/>
                <w:color w:val="auto"/>
                <w:szCs w:val="21"/>
                <w:highlight w:val="none"/>
              </w:rPr>
            </w:pPr>
            <w:r>
              <w:rPr>
                <w:rFonts w:hint="eastAsia" w:ascii="宋体" w:hAnsi="宋体" w:cs="宋体"/>
                <w:color w:val="auto"/>
                <w:szCs w:val="21"/>
                <w:highlight w:val="none"/>
              </w:rPr>
              <w:t>①质量管理体系认证；②环境管理体系认证；③职业健康安全管理体系认证。</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（投标文件中同时提供有效期内的证书扫描件，</w:t>
            </w:r>
            <w:bookmarkStart w:id="38" w:name="OLE_LINK31"/>
            <w:bookmarkStart w:id="39" w:name="OLE_LINK30"/>
            <w:r>
              <w:rPr>
                <w:rFonts w:hint="eastAsia" w:ascii="宋体" w:hAnsi="宋体" w:cs="宋体"/>
                <w:b/>
                <w:color w:val="auto"/>
                <w:szCs w:val="21"/>
                <w:highlight w:val="none"/>
              </w:rPr>
              <w:t>以及证书在“全国认证认可信息公共服务平台”查询状态为“有效”的网页截图扫描件加盖供应商公章。</w:t>
            </w:r>
            <w:bookmarkEnd w:id="38"/>
            <w:bookmarkEnd w:id="39"/>
            <w:r>
              <w:rPr>
                <w:rFonts w:hint="eastAsia" w:ascii="宋体" w:hAnsi="宋体" w:cs="宋体"/>
                <w:b/>
                <w:color w:val="auto"/>
                <w:szCs w:val="21"/>
                <w:highlight w:val="none"/>
              </w:rPr>
              <w:t>）</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25"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color w:val="auto"/>
                <w:szCs w:val="21"/>
                <w:highlight w:val="none"/>
              </w:rPr>
            </w:pPr>
          </w:p>
        </w:tc>
        <w:tc>
          <w:tcPr>
            <w:tcW w:w="855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rPr>
                <w:rFonts w:ascii="宋体" w:hAnsi="宋体" w:cs="宋体"/>
                <w:b/>
                <w:color w:val="auto"/>
                <w:szCs w:val="21"/>
                <w:highlight w:val="none"/>
              </w:rPr>
            </w:pPr>
            <w:r>
              <w:rPr>
                <w:rFonts w:hint="eastAsia" w:ascii="宋体" w:hAnsi="宋体" w:cs="宋体"/>
                <w:b/>
                <w:bCs/>
                <w:color w:val="auto"/>
                <w:sz w:val="22"/>
                <w:szCs w:val="22"/>
                <w:highlight w:val="none"/>
              </w:rPr>
              <w:t>证书</w:t>
            </w:r>
            <w:r>
              <w:rPr>
                <w:rFonts w:hint="eastAsia" w:ascii="宋体" w:hAnsi="宋体" w:cs="宋体"/>
                <w:b/>
                <w:bCs/>
                <w:color w:val="auto"/>
                <w:szCs w:val="21"/>
                <w:highlight w:val="none"/>
              </w:rPr>
              <w:t>：</w:t>
            </w:r>
            <w:r>
              <w:rPr>
                <w:rFonts w:hint="eastAsia" w:ascii="宋体" w:hAnsi="宋体" w:cs="宋体"/>
                <w:b/>
                <w:color w:val="auto"/>
                <w:szCs w:val="21"/>
                <w:highlight w:val="none"/>
              </w:rPr>
              <w:t>（1分）</w:t>
            </w:r>
          </w:p>
          <w:p>
            <w:pPr>
              <w:spacing w:line="400" w:lineRule="exact"/>
              <w:rPr>
                <w:rFonts w:ascii="宋体" w:hAnsi="宋体" w:cs="宋体"/>
                <w:b/>
                <w:color w:val="auto"/>
                <w:szCs w:val="21"/>
                <w:highlight w:val="none"/>
              </w:rPr>
            </w:pPr>
            <w:r>
              <w:rPr>
                <w:rFonts w:hint="eastAsia" w:ascii="宋体" w:hAnsi="宋体" w:cs="宋体"/>
                <w:color w:val="auto"/>
                <w:sz w:val="22"/>
                <w:szCs w:val="22"/>
                <w:highlight w:val="none"/>
              </w:rPr>
              <w:t>投标品牌中央空调风冷螺杆系列具有</w:t>
            </w:r>
            <w:bookmarkStart w:id="40" w:name="OLE_LINK1"/>
            <w:r>
              <w:rPr>
                <w:rFonts w:hint="eastAsia" w:ascii="宋体" w:hAnsi="宋体" w:cs="宋体"/>
                <w:color w:val="auto"/>
                <w:sz w:val="22"/>
                <w:szCs w:val="22"/>
                <w:highlight w:val="none"/>
              </w:rPr>
              <w:t>中央空调系统节能工程在役跟踪检查合格证书</w:t>
            </w:r>
            <w:bookmarkEnd w:id="40"/>
            <w:r>
              <w:rPr>
                <w:rFonts w:hint="eastAsia" w:ascii="宋体" w:hAnsi="宋体" w:cs="宋体"/>
                <w:color w:val="auto"/>
                <w:sz w:val="22"/>
                <w:szCs w:val="22"/>
                <w:highlight w:val="none"/>
              </w:rPr>
              <w:t>的得1分。</w:t>
            </w:r>
            <w:r>
              <w:rPr>
                <w:rFonts w:hint="eastAsia" w:ascii="宋体" w:hAnsi="宋体" w:cs="宋体"/>
                <w:b/>
                <w:bCs/>
                <w:color w:val="auto"/>
                <w:sz w:val="22"/>
                <w:szCs w:val="22"/>
                <w:highlight w:val="none"/>
              </w:rPr>
              <w:t>（</w:t>
            </w:r>
            <w:r>
              <w:rPr>
                <w:rFonts w:hint="eastAsia" w:ascii="宋体" w:hAnsi="宋体" w:cs="宋体"/>
                <w:b/>
                <w:bCs/>
                <w:color w:val="auto"/>
                <w:szCs w:val="21"/>
                <w:highlight w:val="none"/>
              </w:rPr>
              <w:t>投标文件中提供证书扫描件加盖供应商公章。</w:t>
            </w:r>
            <w:r>
              <w:rPr>
                <w:rFonts w:hint="eastAsia" w:ascii="宋体" w:hAnsi="宋体" w:cs="宋体"/>
                <w:b/>
                <w:bCs/>
                <w:color w:val="auto"/>
                <w:sz w:val="22"/>
                <w:szCs w:val="22"/>
                <w:highlight w:val="none"/>
              </w:rPr>
              <w:t>）</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25"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color w:val="auto"/>
                <w:szCs w:val="21"/>
                <w:highlight w:val="none"/>
              </w:rPr>
            </w:pPr>
          </w:p>
        </w:tc>
        <w:tc>
          <w:tcPr>
            <w:tcW w:w="85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12</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政策性因素加分：（1分）</w:t>
            </w:r>
          </w:p>
          <w:p>
            <w:pPr>
              <w:spacing w:line="400" w:lineRule="exact"/>
              <w:rPr>
                <w:rFonts w:ascii="宋体" w:hAnsi="宋体" w:cs="宋体"/>
                <w:b/>
                <w:bCs/>
                <w:color w:val="auto"/>
                <w:szCs w:val="21"/>
                <w:highlight w:val="none"/>
              </w:rPr>
            </w:pPr>
            <w:r>
              <w:rPr>
                <w:rFonts w:hint="eastAsia" w:ascii="宋体" w:hAnsi="宋体" w:cs="宋体"/>
                <w:color w:val="auto"/>
                <w:szCs w:val="21"/>
                <w:highlight w:val="none"/>
              </w:rPr>
              <w:t>供应商所投产品</w:t>
            </w:r>
            <w:r>
              <w:rPr>
                <w:rFonts w:hint="eastAsia" w:ascii="宋体" w:hAnsi="宋体" w:cs="宋体"/>
                <w:color w:val="auto"/>
                <w:highlight w:val="none"/>
              </w:rPr>
              <w:t>获得国</w:t>
            </w:r>
            <w:r>
              <w:rPr>
                <w:rFonts w:hint="eastAsia" w:ascii="宋体" w:hAnsi="宋体" w:cs="宋体"/>
                <w:color w:val="auto"/>
                <w:szCs w:val="21"/>
                <w:highlight w:val="none"/>
              </w:rPr>
              <w:t>家确定的认证机构出具的、处于有效期之内的</w:t>
            </w:r>
            <w:r>
              <w:rPr>
                <w:rFonts w:hint="eastAsia" w:ascii="宋体" w:hAnsi="宋体" w:cs="宋体"/>
                <w:color w:val="auto"/>
                <w:highlight w:val="none"/>
              </w:rPr>
              <w:t>环境标志产品证书</w:t>
            </w:r>
            <w:r>
              <w:rPr>
                <w:rFonts w:hint="eastAsia" w:ascii="宋体" w:hAnsi="宋体" w:cs="宋体"/>
                <w:color w:val="auto"/>
                <w:szCs w:val="21"/>
                <w:highlight w:val="none"/>
              </w:rPr>
              <w:t>的得1分。所需证明材料要求详见本章第1.5条。</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581" w:type="dxa"/>
            <w:gridSpan w:val="2"/>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商务和技术得分</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=SUM(BELOW) \* MERGEFORMAT </w:instrText>
            </w:r>
            <w:r>
              <w:rPr>
                <w:rFonts w:ascii="宋体" w:hAnsi="宋体" w:cs="宋体"/>
                <w:color w:val="auto"/>
                <w:szCs w:val="21"/>
                <w:highlight w:val="none"/>
              </w:rPr>
              <w:fldChar w:fldCharType="separate"/>
            </w:r>
            <w:r>
              <w:rPr>
                <w:rFonts w:ascii="宋体" w:hAnsi="宋体" w:cs="宋体"/>
                <w:color w:val="auto"/>
                <w:szCs w:val="21"/>
                <w:highlight w:val="none"/>
              </w:rPr>
              <w:t>60</w:t>
            </w:r>
            <w:r>
              <w:rPr>
                <w:rFonts w:ascii="宋体" w:hAnsi="宋体" w:cs="宋体"/>
                <w:color w:val="auto"/>
                <w:szCs w:val="21"/>
                <w:highlight w:val="none"/>
              </w:rPr>
              <w:fldChar w:fldCharType="end"/>
            </w:r>
          </w:p>
        </w:tc>
      </w:tr>
      <w:bookmarkEnd w:id="37"/>
    </w:tbl>
    <w:p>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注：1、无相应方案、措施或表内要求提供的资料，未按要求提供的均不得分。</w:t>
      </w:r>
    </w:p>
    <w:p>
      <w:pPr>
        <w:spacing w:line="360" w:lineRule="exact"/>
        <w:rPr>
          <w:rFonts w:ascii="宋体" w:hAnsi="宋体" w:cs="宋体"/>
          <w:color w:val="auto"/>
          <w:sz w:val="28"/>
          <w:szCs w:val="28"/>
          <w:highlight w:val="none"/>
        </w:rPr>
      </w:pPr>
      <w:r>
        <w:rPr>
          <w:rFonts w:hint="eastAsia" w:ascii="宋体" w:hAnsi="宋体" w:cs="宋体"/>
          <w:color w:val="auto"/>
          <w:szCs w:val="21"/>
          <w:highlight w:val="none"/>
        </w:rPr>
        <w:t>评委签名：                                                           年  月   日</w:t>
      </w:r>
    </w:p>
    <w:p>
      <w:pPr>
        <w:spacing w:line="400" w:lineRule="exact"/>
        <w:rPr>
          <w:rFonts w:ascii="宋体" w:hAnsi="宋体" w:cs="宋体"/>
          <w:color w:val="auto"/>
          <w:szCs w:val="21"/>
          <w:highlight w:val="none"/>
        </w:rPr>
      </w:pPr>
      <w:r>
        <w:rPr>
          <w:rFonts w:hint="eastAsia" w:ascii="宋体" w:hAnsi="宋体" w:cs="宋体"/>
          <w:color w:val="auto"/>
          <w:sz w:val="28"/>
          <w:szCs w:val="28"/>
          <w:highlight w:val="none"/>
        </w:rPr>
        <w:br w:type="page"/>
      </w:r>
      <w:r>
        <w:rPr>
          <w:rFonts w:hint="eastAsia" w:ascii="宋体" w:hAnsi="宋体" w:cs="宋体"/>
          <w:color w:val="auto"/>
          <w:szCs w:val="21"/>
          <w:highlight w:val="none"/>
        </w:rPr>
        <w:t>附表4</w:t>
      </w:r>
    </w:p>
    <w:p>
      <w:pPr>
        <w:widowControl/>
        <w:snapToGrid w:val="0"/>
        <w:spacing w:line="560" w:lineRule="exact"/>
        <w:ind w:right="105"/>
        <w:jc w:val="center"/>
        <w:rPr>
          <w:rFonts w:ascii="宋体" w:hAnsi="宋体" w:cs="宋体"/>
          <w:b/>
          <w:color w:val="auto"/>
          <w:szCs w:val="21"/>
          <w:highlight w:val="none"/>
        </w:rPr>
      </w:pPr>
      <w:r>
        <w:rPr>
          <w:rFonts w:hint="eastAsia" w:ascii="宋体" w:hAnsi="宋体" w:cs="宋体"/>
          <w:b/>
          <w:color w:val="auto"/>
          <w:szCs w:val="21"/>
          <w:highlight w:val="none"/>
        </w:rPr>
        <w:t>初步审查表</w:t>
      </w:r>
    </w:p>
    <w:tbl>
      <w:tblPr>
        <w:tblStyle w:val="4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51"/>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6051"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要求说明</w:t>
            </w:r>
          </w:p>
        </w:tc>
        <w:tc>
          <w:tcPr>
            <w:tcW w:w="2459" w:type="dxa"/>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6051" w:type="dxa"/>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符合第二章“投标须知”第十六条的要求。</w:t>
            </w:r>
          </w:p>
        </w:tc>
        <w:tc>
          <w:tcPr>
            <w:tcW w:w="2459"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6051"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符合第二章“投标须知”第九、1条的要求。</w:t>
            </w:r>
          </w:p>
        </w:tc>
        <w:tc>
          <w:tcPr>
            <w:tcW w:w="2459"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6051"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供应商不得出现赠送或零元报价。</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459"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6051"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符合法律、法规和招标文件中规定的其他实质性要求（实质性要求招标文件中“</w:t>
            </w:r>
            <w:r>
              <w:rPr>
                <w:rFonts w:hint="eastAsia" w:ascii="宋体" w:hAnsi="宋体" w:cs="宋体"/>
                <w:b/>
                <w:color w:val="auto"/>
                <w:sz w:val="24"/>
                <w:highlight w:val="none"/>
              </w:rPr>
              <w:t>▲</w:t>
            </w:r>
            <w:r>
              <w:rPr>
                <w:rFonts w:hint="eastAsia" w:ascii="宋体" w:hAnsi="宋体" w:cs="宋体"/>
                <w:color w:val="auto"/>
                <w:szCs w:val="21"/>
                <w:highlight w:val="none"/>
              </w:rPr>
              <w:t>”标记）。</w:t>
            </w:r>
          </w:p>
        </w:tc>
        <w:tc>
          <w:tcPr>
            <w:tcW w:w="2459"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1" w:type="dxa"/>
            <w:gridSpan w:val="2"/>
            <w:vAlign w:val="center"/>
          </w:tcPr>
          <w:p>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初步审查结论</w:t>
            </w:r>
          </w:p>
        </w:tc>
        <w:tc>
          <w:tcPr>
            <w:tcW w:w="2459" w:type="dxa"/>
            <w:vAlign w:val="center"/>
          </w:tcPr>
          <w:p>
            <w:pPr>
              <w:spacing w:line="400" w:lineRule="exact"/>
              <w:rPr>
                <w:rFonts w:ascii="宋体" w:hAnsi="宋体" w:cs="宋体"/>
                <w:color w:val="auto"/>
                <w:szCs w:val="21"/>
                <w:highlight w:val="none"/>
              </w:rPr>
            </w:pPr>
          </w:p>
        </w:tc>
      </w:tr>
    </w:tbl>
    <w:p>
      <w:pPr>
        <w:spacing w:line="400" w:lineRule="exact"/>
        <w:rPr>
          <w:rFonts w:ascii="宋体" w:hAnsi="宋体" w:cs="宋体"/>
          <w:color w:val="auto"/>
          <w:szCs w:val="21"/>
          <w:highlight w:val="none"/>
        </w:rPr>
      </w:pPr>
      <w:r>
        <w:rPr>
          <w:rFonts w:hint="eastAsia" w:ascii="宋体" w:hAnsi="宋体" w:cs="宋体"/>
          <w:b/>
          <w:color w:val="auto"/>
          <w:highlight w:val="none"/>
        </w:rPr>
        <w:t>注：1、上述审查项目中，任意一项不符合的，初步审查不合格。</w:t>
      </w:r>
    </w:p>
    <w:p>
      <w:pPr>
        <w:spacing w:line="400" w:lineRule="exact"/>
        <w:ind w:firstLine="422" w:firstLineChars="200"/>
        <w:rPr>
          <w:rFonts w:ascii="宋体" w:hAnsi="宋体" w:cs="宋体"/>
          <w:color w:val="auto"/>
          <w:szCs w:val="21"/>
          <w:highlight w:val="none"/>
        </w:rPr>
      </w:pPr>
      <w:r>
        <w:rPr>
          <w:rFonts w:hint="eastAsia" w:ascii="宋体" w:hAnsi="宋体" w:cs="宋体"/>
          <w:b/>
          <w:color w:val="auto"/>
          <w:highlight w:val="none"/>
        </w:rPr>
        <w:t>2、序号2-序号4在政采云上无须添加关联点。</w:t>
      </w:r>
    </w:p>
    <w:p>
      <w:pPr>
        <w:spacing w:line="400" w:lineRule="exact"/>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附表5</w:t>
      </w:r>
    </w:p>
    <w:p>
      <w:pPr>
        <w:widowControl/>
        <w:snapToGrid w:val="0"/>
        <w:spacing w:line="560" w:lineRule="exact"/>
        <w:jc w:val="center"/>
        <w:rPr>
          <w:rFonts w:ascii="宋体" w:hAnsi="宋体" w:cs="宋体"/>
          <w:b/>
          <w:color w:val="auto"/>
          <w:szCs w:val="21"/>
          <w:highlight w:val="none"/>
        </w:rPr>
      </w:pPr>
      <w:r>
        <w:rPr>
          <w:rFonts w:hint="eastAsia" w:ascii="宋体" w:hAnsi="宋体" w:cs="宋体"/>
          <w:b/>
          <w:color w:val="auto"/>
          <w:szCs w:val="21"/>
          <w:highlight w:val="none"/>
        </w:rPr>
        <w:t>价格评分表</w:t>
      </w:r>
    </w:p>
    <w:tbl>
      <w:tblPr>
        <w:tblStyle w:val="4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pPr>
              <w:spacing w:line="400" w:lineRule="exact"/>
              <w:ind w:right="420" w:firstLine="4410" w:firstLineChars="2100"/>
              <w:rPr>
                <w:rFonts w:ascii="宋体" w:hAnsi="宋体" w:cs="宋体"/>
                <w:color w:val="auto"/>
                <w:szCs w:val="21"/>
                <w:highlight w:val="none"/>
              </w:rPr>
            </w:pPr>
            <w:r>
              <w:rPr>
                <w:rFonts w:hint="eastAsia" w:ascii="宋体" w:hAnsi="宋体" w:cs="宋体"/>
                <w:color w:val="auto"/>
                <w:szCs w:val="21"/>
                <w:highlight w:val="none"/>
              </w:rPr>
              <w:t xml:space="preserve">                        供应商</w:t>
            </w:r>
          </w:p>
          <w:p>
            <w:pPr>
              <w:spacing w:line="400" w:lineRule="exact"/>
              <w:ind w:firstLine="945" w:firstLineChars="450"/>
              <w:rPr>
                <w:rFonts w:ascii="宋体" w:hAnsi="宋体" w:cs="宋体"/>
                <w:color w:val="auto"/>
                <w:szCs w:val="21"/>
                <w:highlight w:val="none"/>
                <w:lang w:val="ru-RU"/>
              </w:rPr>
            </w:pPr>
            <w:r>
              <w:rPr>
                <w:rFonts w:hint="eastAsia" w:ascii="宋体" w:hAnsi="宋体" w:cs="宋体"/>
                <w:color w:val="auto"/>
                <w:szCs w:val="21"/>
                <w:highlight w:val="none"/>
              </w:rPr>
              <w:t>分值</w:t>
            </w:r>
          </w:p>
        </w:tc>
        <w:tc>
          <w:tcPr>
            <w:tcW w:w="955" w:type="dxa"/>
            <w:vAlign w:val="center"/>
          </w:tcPr>
          <w:p>
            <w:pPr>
              <w:spacing w:line="400" w:lineRule="exact"/>
              <w:jc w:val="center"/>
              <w:rPr>
                <w:rFonts w:ascii="宋体" w:hAnsi="宋体" w:cs="宋体"/>
                <w:color w:val="auto"/>
                <w:szCs w:val="21"/>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价格分40分</w:t>
            </w:r>
          </w:p>
        </w:tc>
        <w:tc>
          <w:tcPr>
            <w:tcW w:w="7604"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参与评审的价格=投标报价-小微企业价格扣除优惠值10%；</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评标基准价=满足采购文件要求且“参与评审的价格”中最低的价格为评标基准价；</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基准价得分为满分40分，其他投标报价得分计算公式如下：</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投标报价得分=（评标基准价/参与评审的价格）×40%×100</w:t>
            </w:r>
          </w:p>
        </w:tc>
        <w:tc>
          <w:tcPr>
            <w:tcW w:w="955" w:type="dxa"/>
            <w:vAlign w:val="center"/>
          </w:tcPr>
          <w:p>
            <w:pP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报价得分（40分）</w:t>
            </w:r>
          </w:p>
        </w:tc>
        <w:tc>
          <w:tcPr>
            <w:tcW w:w="955" w:type="dxa"/>
            <w:vAlign w:val="center"/>
          </w:tcPr>
          <w:p>
            <w:pPr>
              <w:spacing w:line="400" w:lineRule="exact"/>
              <w:jc w:val="center"/>
              <w:rPr>
                <w:rFonts w:ascii="宋体" w:hAnsi="宋体" w:cs="宋体"/>
                <w:color w:val="auto"/>
                <w:szCs w:val="21"/>
                <w:highlight w:val="none"/>
              </w:rPr>
            </w:pPr>
          </w:p>
        </w:tc>
      </w:tr>
    </w:tbl>
    <w:p>
      <w:pPr>
        <w:ind w:right="-1226" w:rightChars="-584"/>
        <w:jc w:val="center"/>
        <w:rPr>
          <w:rFonts w:ascii="宋体" w:hAnsi="宋体" w:cs="宋体"/>
          <w:color w:val="auto"/>
          <w:sz w:val="28"/>
          <w:szCs w:val="28"/>
          <w:highlight w:val="none"/>
        </w:rPr>
      </w:pPr>
    </w:p>
    <w:p>
      <w:pPr>
        <w:ind w:right="-1226" w:rightChars="-584"/>
        <w:jc w:val="center"/>
        <w:rPr>
          <w:rFonts w:ascii="宋体" w:hAnsi="宋体" w:cs="宋体"/>
          <w:color w:val="auto"/>
          <w:sz w:val="28"/>
          <w:szCs w:val="28"/>
          <w:highlight w:val="none"/>
        </w:rPr>
      </w:pPr>
    </w:p>
    <w:p>
      <w:pPr>
        <w:ind w:right="-1226" w:rightChars="-584"/>
        <w:jc w:val="center"/>
        <w:rPr>
          <w:rFonts w:ascii="宋体" w:hAnsi="宋体" w:cs="宋体"/>
          <w:color w:val="auto"/>
          <w:sz w:val="28"/>
          <w:szCs w:val="28"/>
          <w:highlight w:val="none"/>
        </w:rPr>
      </w:pPr>
    </w:p>
    <w:p>
      <w:pPr>
        <w:ind w:right="-1226" w:rightChars="-584"/>
        <w:jc w:val="center"/>
        <w:rPr>
          <w:rFonts w:ascii="宋体" w:hAnsi="宋体" w:cs="宋体"/>
          <w:color w:val="auto"/>
          <w:sz w:val="28"/>
          <w:szCs w:val="28"/>
          <w:highlight w:val="none"/>
        </w:rPr>
        <w:sectPr>
          <w:headerReference r:id="rId8" w:type="default"/>
          <w:footerReference r:id="rId9" w:type="default"/>
          <w:type w:val="nextColumn"/>
          <w:pgSz w:w="11907" w:h="16840"/>
          <w:pgMar w:top="854" w:right="1588" w:bottom="993" w:left="1588" w:header="285" w:footer="616" w:gutter="0"/>
          <w:cols w:space="720" w:num="1"/>
          <w:docGrid w:linePitch="285" w:charSpace="0"/>
        </w:sectPr>
      </w:pPr>
    </w:p>
    <w:p>
      <w:pPr>
        <w:spacing w:line="400" w:lineRule="exact"/>
        <w:jc w:val="center"/>
        <w:outlineLvl w:val="0"/>
        <w:rPr>
          <w:rFonts w:ascii="宋体" w:hAnsi="宋体" w:cs="宋体"/>
          <w:b/>
          <w:color w:val="auto"/>
          <w:sz w:val="32"/>
          <w:highlight w:val="none"/>
        </w:rPr>
      </w:pPr>
      <w:bookmarkStart w:id="41" w:name="_Toc55385105"/>
      <w:r>
        <w:rPr>
          <w:rFonts w:hint="eastAsia" w:ascii="宋体" w:hAnsi="宋体" w:cs="宋体"/>
          <w:b/>
          <w:color w:val="auto"/>
          <w:sz w:val="32"/>
          <w:highlight w:val="none"/>
        </w:rPr>
        <w:t>第四章  合同样本</w:t>
      </w:r>
      <w:bookmarkEnd w:id="41"/>
    </w:p>
    <w:p>
      <w:pPr>
        <w:pStyle w:val="21"/>
        <w:snapToGrid w:val="0"/>
        <w:spacing w:line="400" w:lineRule="exact"/>
        <w:jc w:val="center"/>
        <w:rPr>
          <w:b/>
          <w:color w:val="auto"/>
          <w:sz w:val="21"/>
          <w:szCs w:val="21"/>
          <w:highlight w:val="none"/>
        </w:rPr>
      </w:pPr>
      <w:r>
        <w:rPr>
          <w:rFonts w:hint="eastAsia"/>
          <w:b/>
          <w:color w:val="auto"/>
          <w:sz w:val="21"/>
          <w:szCs w:val="21"/>
          <w:highlight w:val="none"/>
        </w:rPr>
        <w:t>（本合同为合同样稿，最终稿由甲乙双方协商后确定）</w:t>
      </w:r>
    </w:p>
    <w:p>
      <w:pPr>
        <w:widowControl/>
        <w:overflowPunct w:val="0"/>
        <w:autoSpaceDE w:val="0"/>
        <w:autoSpaceDN w:val="0"/>
        <w:adjustRightInd w:val="0"/>
        <w:snapToGrid w:val="0"/>
        <w:spacing w:line="400" w:lineRule="exact"/>
        <w:ind w:left="-171"/>
        <w:jc w:val="left"/>
        <w:textAlignment w:val="baseline"/>
        <w:rPr>
          <w:rFonts w:ascii="宋体" w:hAnsi="宋体" w:cs="宋体"/>
          <w:color w:val="auto"/>
          <w:kern w:val="0"/>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编号：</w:t>
      </w:r>
    </w:p>
    <w:p>
      <w:pPr>
        <w:widowControl/>
        <w:overflowPunct w:val="0"/>
        <w:autoSpaceDE w:val="0"/>
        <w:autoSpaceDN w:val="0"/>
        <w:adjustRightInd w:val="0"/>
        <w:snapToGrid w:val="0"/>
        <w:spacing w:line="400" w:lineRule="exact"/>
        <w:ind w:left="-171"/>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甲方（采购人）：</w:t>
      </w:r>
    </w:p>
    <w:p>
      <w:pPr>
        <w:widowControl/>
        <w:overflowPunct w:val="0"/>
        <w:autoSpaceDE w:val="0"/>
        <w:autoSpaceDN w:val="0"/>
        <w:adjustRightInd w:val="0"/>
        <w:snapToGrid w:val="0"/>
        <w:spacing w:line="400" w:lineRule="exact"/>
        <w:ind w:left="-171"/>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乙方（中标供应商）：</w:t>
      </w:r>
    </w:p>
    <w:p>
      <w:pPr>
        <w:widowControl/>
        <w:overflowPunct w:val="0"/>
        <w:autoSpaceDE w:val="0"/>
        <w:autoSpaceDN w:val="0"/>
        <w:adjustRightInd w:val="0"/>
        <w:snapToGrid w:val="0"/>
        <w:spacing w:line="400" w:lineRule="exact"/>
        <w:ind w:left="-170" w:leftChars="-81"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公开招标采购结果（项目编号：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），确定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为中标单位，甲、乙双方经协商，达成以下条款：</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一、货物内容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1.1货物名称：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1.2品牌型号规格：</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1.3数量：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1.4主要配置：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二、合同金额</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2.1本合同金额为（大写）：_____________________元（￥_______________元）人民币。</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本合同金额包括但不仅限于原设备拆除费用(含老水泵、老主机、老水箱、老阀件、老管道拆除费用、雨棚拆装费用，及拆除材料吊装、运输、整理归库移交费用)、新设备供货、包装、运输、装卸、搬运、吊装就位、安装、产品保管保护、调试、运行、验收、税金技术服务与培训、质量保证期内的售后服务、利润等完成本项目所需的全部费用。乙方在投标时应考虑到所有报价项目，如果有遗漏，自行承担风险，甲方不再支付其它费用。</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三、技术资料</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3.1乙方应按招标文件规定的时间向甲方提供使用货物的有关技术资料。</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四、知识产权</w:t>
      </w:r>
    </w:p>
    <w:p>
      <w:pPr>
        <w:spacing w:line="42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4.1乙方应保证所提供的货物或其任何一部分及全部技术资料均不会侵犯任何第三方的知识产权，如受任何第三方提出侵权控告，乙方需与第三方交涉并承担发生的一切费用，如甲方因此而遭致损失的，乙方应予以赔偿。</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五、产权担保</w:t>
      </w:r>
    </w:p>
    <w:p>
      <w:pPr>
        <w:spacing w:line="4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5.1乙方保证所交付的货物的所有权完全属于乙方且无任何抵押、查封等产权瑕疵。</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六、履约保证金</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6.1不适用。</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七、转包或分包</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7.1本合同范围的货物，应由乙方直接供应，不得转让他人供应；</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7.2除非得到甲方的书面同意，乙方不得部分分包给他人供应。</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7.3如有转让和未经甲方同意的分包行为，甲方有权给予终止合同。</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八、质保期</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8.1质保期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年。（自交货验收合格之日起计）</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九、交货期、交货方式及交货地点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9.1交货期：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9.2交货方式：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9.3交货地点：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9.4安装调试及时间：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2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9.5安装标准须符合我国国家有关技术规范和技术标准。</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十、付款方式</w:t>
      </w:r>
    </w:p>
    <w:p>
      <w:pPr>
        <w:spacing w:line="400" w:lineRule="exact"/>
        <w:ind w:firstLine="420" w:firstLineChars="200"/>
        <w:rPr>
          <w:rFonts w:ascii="宋体" w:hAnsi="宋体" w:cs="宋体"/>
          <w:color w:val="auto"/>
          <w:szCs w:val="21"/>
          <w:highlight w:val="none"/>
        </w:rPr>
      </w:pPr>
      <w:bookmarkStart w:id="42" w:name="OLE_LINK27"/>
      <w:bookmarkStart w:id="43" w:name="OLE_LINK26"/>
      <w:r>
        <w:rPr>
          <w:rFonts w:hint="eastAsia" w:ascii="宋体" w:hAnsi="宋体" w:cs="宋体"/>
          <w:color w:val="auto"/>
          <w:szCs w:val="21"/>
          <w:highlight w:val="none"/>
        </w:rPr>
        <w:t>10.1合同生效以及具备实施条件后7个工作日内，甲方向乙方支付合同总价40%的预付款（乙方在签订合同时，表示无需预付款或主动要求降低预付款比例的，可不适用本条款）。若需要支付预付款的，在预付款支付前，乙方需提交等额的银行、保险公司等金融机构出具的预付款保函或其他担保措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10.2所有货物交付完毕并通过甲方验收后7个工作日内，甲方支付余款。</w:t>
      </w:r>
      <w:bookmarkEnd w:id="42"/>
      <w:bookmarkEnd w:id="43"/>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10.3乙方</w:t>
      </w:r>
      <w:r>
        <w:rPr>
          <w:rFonts w:hint="eastAsia" w:ascii="宋体" w:hAnsi="宋体" w:cs="宋体"/>
          <w:color w:val="auto"/>
          <w:szCs w:val="21"/>
          <w:highlight w:val="none"/>
          <w:lang w:val="zh-CN"/>
        </w:rPr>
        <w:t>不提供发票的，</w:t>
      </w:r>
      <w:r>
        <w:rPr>
          <w:rFonts w:hint="eastAsia" w:ascii="宋体" w:hAnsi="宋体" w:cs="宋体"/>
          <w:color w:val="auto"/>
          <w:szCs w:val="21"/>
          <w:highlight w:val="none"/>
        </w:rPr>
        <w:t>甲方</w:t>
      </w:r>
      <w:r>
        <w:rPr>
          <w:rFonts w:hint="eastAsia" w:ascii="宋体" w:hAnsi="宋体" w:cs="宋体"/>
          <w:color w:val="auto"/>
          <w:szCs w:val="21"/>
          <w:highlight w:val="none"/>
          <w:lang w:val="zh-CN"/>
        </w:rPr>
        <w:t>有权不予支付。</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十一、税</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11.1本合同执行中相关的一切税费均由乙方负担。</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十二、质量保证及售后服务</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12.1乙方应按招标文件规定的货物性能、技术要求、质量标准向甲方提供未经使用的全新产品。</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12.2乙方提供的货物在质量保证期内因货物本身的质量问题发生故障，乙方应在</w:t>
      </w:r>
      <w:r>
        <w:rPr>
          <w:rFonts w:hint="eastAsia" w:ascii="宋体" w:hAnsi="宋体" w:cs="宋体"/>
          <w:color w:val="auto"/>
          <w:szCs w:val="21"/>
          <w:highlight w:val="none"/>
          <w:u w:val="single"/>
        </w:rPr>
        <w:t>3</w:t>
      </w:r>
      <w:r>
        <w:rPr>
          <w:rFonts w:hint="eastAsia" w:ascii="宋体" w:hAnsi="宋体" w:cs="宋体"/>
          <w:color w:val="auto"/>
          <w:szCs w:val="21"/>
          <w:highlight w:val="none"/>
        </w:rPr>
        <w:t>天负责免费更换，逾期按本合同15.2款乙方逾期交货违约处理。对达不到技术要求者，根据实际情况，经双方协商，甲方有权在以下办法中选择一种方式处理：</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（1）更换：由乙方承担所发生的全部费用。</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（2）贬值处理：由甲乙双方合议定价。</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（3）退货处理：乙方应退还甲方支付的合同款，同时应承担该货物的直接费用（运输、保险、检验、货款利息及银行手续费等）。</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12.3如在使用过程中发生质量问题，乙方在接到甲方通知后在</w:t>
      </w:r>
      <w:r>
        <w:rPr>
          <w:rFonts w:hint="eastAsia" w:ascii="宋体" w:hAnsi="宋体" w:cs="宋体"/>
          <w:color w:val="auto"/>
          <w:szCs w:val="21"/>
          <w:highlight w:val="none"/>
          <w:u w:val="single"/>
        </w:rPr>
        <w:t>2</w:t>
      </w:r>
      <w:r>
        <w:rPr>
          <w:rFonts w:hint="eastAsia" w:ascii="宋体" w:hAnsi="宋体" w:cs="宋体"/>
          <w:color w:val="auto"/>
          <w:szCs w:val="21"/>
          <w:highlight w:val="none"/>
        </w:rPr>
        <w:t>小时内到达甲方现场。</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12.4在质保期内，乙方应对货物出现的质量及安全问题负责处理解决并承担一切费用。</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12.5上述的货物免费保修期为</w:t>
      </w:r>
      <w:r>
        <w:rPr>
          <w:rFonts w:hint="eastAsia" w:ascii="宋体" w:hAnsi="宋体" w:cs="宋体"/>
          <w:color w:val="auto"/>
          <w:szCs w:val="21"/>
          <w:highlight w:val="none"/>
          <w:u w:val="single"/>
        </w:rPr>
        <w:t>2</w:t>
      </w:r>
      <w:r>
        <w:rPr>
          <w:rFonts w:hint="eastAsia" w:ascii="宋体" w:hAnsi="宋体" w:cs="宋体"/>
          <w:color w:val="auto"/>
          <w:szCs w:val="21"/>
          <w:highlight w:val="none"/>
        </w:rPr>
        <w:t>年，因人为因素出现的故障不在免费保修范围内。超过保修期的机器设备，终生维修，维修时只收部件成本费。</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十三、调试和验收</w:t>
      </w:r>
    </w:p>
    <w:p>
      <w:pPr>
        <w:spacing w:line="42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13.1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13.2乙方交货前应对产品作出全面检查和对验收文件进行整理，并列出清单，作为甲方收货验收和使用的技术条件依据，检验的结果应随货物交甲方。</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13.3甲方对乙方提供的货物在使用前进行调试时，乙方需负责培训甲方的使用操作人员，并协助甲方一起调试，直到符合技术要求，甲方才做最终验收。</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13.4对技术复杂的货物，甲方应请国家认可的专业检测机构参与初步验收及最终验收，并由其出具质量检测报告。</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13.5验收时乙方必须在现场，验收完毕后作出验收结果报告；验收费用由乙方负责。</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十四、货物包装、发运及运输</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14.1乙方应在货物发运前对其进行满足运输距离、防潮、防震、防锈和防破损装卸等要求包装，以保证货物安全运达甲方指定地点。</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14.2使用说明书、质量检验证明书、随配附件和工具以及清单一并附于货物内。</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14.3乙方在货物发运手续办理完毕后24小时内或货到甲方48小时前通知甲方，以准备接货。</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14.4货物在交付甲方前发生的风险均由乙方负责。</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14.5货物在规定的交付期限内由乙方送达甲方指定地点视为交付，乙方同时需通知甲方货物已送达。</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十五、违约责任</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15.1甲方逾期支付合同款项的，以甲方支付当日计，每逾期支付一天，按银行同期活期存款利率（不计复利）支付利息。</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15.2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乙方所交的货物品种、型号、规格、技术参数、质量不符合合同规定及招标文件规定标准的，甲方有权拒收该货物，乙方愿意更换货物但逾期交货的，按本合同15.2款乙方逾期交货违约处理。乙方拒绝更换货物的，甲方可单方面解除合同。</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十六、不可抗力事件处理</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16.1在合同有效期内，任何一方因不可抗力事件导致不能履行合同，则合同履行期可延长，其延长期与不可抗力影响期相同。</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16.2不可抗力事件发生后，应立即通知对方，并寄送有关权威机构出具的证明。</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16.3不可抗力事件延续120天以上，双方应通过友好协商，确定是否继续履行合同。</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十七、诉讼</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17.1双方在执行合同中所发生的一切争议，应通过协商解决。如协商不成，可向甲方所在地法院起诉。</w:t>
      </w:r>
    </w:p>
    <w:p>
      <w:pPr>
        <w:spacing w:line="42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十八、合同生效及其它</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18.1合同经双方法定代表人或授权委托代理人签字并加盖单位公章后生效。</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18.2本合同未尽事宜，遵照《中华人民共和国民法典》有关条文执行。</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18.3本合同正本一式</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份，具有同等法律效力，甲乙双方各执一份。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18.4下列文件是本合同不可分割的组成部分，本合同未尽事宜从其规定，相互解释，互为说明。除合同另有规定外，其优先顺序如下：</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（1）合同及合同附件（如有）；</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（2）中标通知书；</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（3）投标文件及修改补充文件（如有）；</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（4）招标文件及修改补充文件（如有）；</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（5）其他协议文件（包括但不限于甲方的相关管理办法和规定，如有）。</w:t>
      </w:r>
    </w:p>
    <w:p>
      <w:pPr>
        <w:widowControl/>
        <w:overflowPunct w:val="0"/>
        <w:autoSpaceDE w:val="0"/>
        <w:autoSpaceDN w:val="0"/>
        <w:adjustRightInd w:val="0"/>
        <w:snapToGrid w:val="0"/>
        <w:spacing w:line="400" w:lineRule="exact"/>
        <w:jc w:val="left"/>
        <w:textAlignment w:val="baseline"/>
        <w:rPr>
          <w:rFonts w:ascii="宋体" w:hAnsi="宋体" w:cs="宋体"/>
          <w:b/>
          <w:bCs/>
          <w:color w:val="auto"/>
          <w:kern w:val="0"/>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甲方（盖章）：                                  乙方（盖章）：</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地址：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法定代表人（或授权委托人）：                    法定代表人（或授权委托人）：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开户银行：                                      开户银行：</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账号：                                          账号：</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签订地点：                                      签订日期：    年    月    日</w:t>
      </w:r>
    </w:p>
    <w:p>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宋体"/>
          <w:color w:val="auto"/>
          <w:kern w:val="0"/>
          <w:szCs w:val="21"/>
          <w:highlight w:val="none"/>
        </w:rPr>
      </w:pPr>
    </w:p>
    <w:p>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宋体"/>
          <w:color w:val="auto"/>
          <w:kern w:val="0"/>
          <w:szCs w:val="21"/>
          <w:highlight w:val="none"/>
        </w:rPr>
      </w:pPr>
    </w:p>
    <w:p>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宋体"/>
          <w:color w:val="auto"/>
          <w:kern w:val="0"/>
          <w:szCs w:val="21"/>
          <w:highlight w:val="none"/>
        </w:rPr>
      </w:pPr>
    </w:p>
    <w:p>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宋体"/>
          <w:color w:val="auto"/>
          <w:kern w:val="0"/>
          <w:szCs w:val="21"/>
          <w:highlight w:val="none"/>
        </w:rPr>
        <w:sectPr>
          <w:headerReference r:id="rId10" w:type="default"/>
          <w:pgSz w:w="11907" w:h="16840"/>
          <w:pgMar w:top="851" w:right="1655" w:bottom="851" w:left="1632" w:header="284" w:footer="420" w:gutter="0"/>
          <w:cols w:space="720" w:num="1"/>
          <w:docGrid w:linePitch="286" w:charSpace="0"/>
        </w:sectPr>
      </w:pPr>
      <w:bookmarkStart w:id="44" w:name="_Toc216662965"/>
    </w:p>
    <w:p>
      <w:pPr>
        <w:spacing w:line="400" w:lineRule="exact"/>
        <w:jc w:val="center"/>
        <w:outlineLvl w:val="0"/>
        <w:rPr>
          <w:rFonts w:ascii="宋体" w:hAnsi="宋体" w:cs="宋体"/>
          <w:b/>
          <w:color w:val="auto"/>
          <w:sz w:val="32"/>
          <w:highlight w:val="none"/>
        </w:rPr>
      </w:pPr>
      <w:bookmarkStart w:id="45" w:name="_Toc55385106"/>
      <w:r>
        <w:rPr>
          <w:rFonts w:hint="eastAsia" w:ascii="宋体" w:hAnsi="宋体" w:cs="宋体"/>
          <w:b/>
          <w:color w:val="auto"/>
          <w:sz w:val="32"/>
          <w:highlight w:val="none"/>
        </w:rPr>
        <w:t>第五章  招标内容与技术需求</w:t>
      </w:r>
      <w:bookmarkEnd w:id="45"/>
    </w:p>
    <w:p>
      <w:pPr>
        <w:spacing w:line="40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 xml:space="preserve"> 一、招标内容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须按本招标文件技术要求完成原有设备（1台风冷螺杆）和相关管线拆除、中标设备制造、试验、运输装卸和运输保险、安装、管线对接安装、群控系统集成、调试、验收、成品保护、试运行、技术服务及培训、相关文件的提交、与技术规格一致的设备图表、土建基础图及资料、质保期内的免费维修和保养等工作。</w:t>
      </w:r>
    </w:p>
    <w:p>
      <w:pPr>
        <w:spacing w:line="400" w:lineRule="exact"/>
        <w:ind w:right="25" w:rightChars="12"/>
        <w:rPr>
          <w:rFonts w:ascii="宋体" w:hAnsi="宋体" w:cs="宋体"/>
          <w:b/>
          <w:color w:val="auto"/>
          <w:szCs w:val="21"/>
          <w:highlight w:val="none"/>
        </w:rPr>
      </w:pPr>
      <w:r>
        <w:rPr>
          <w:rFonts w:hint="eastAsia" w:ascii="宋体" w:hAnsi="宋体" w:cs="宋体"/>
          <w:b/>
          <w:color w:val="auto"/>
          <w:szCs w:val="21"/>
          <w:highlight w:val="none"/>
        </w:rPr>
        <w:t>二、采购清单</w:t>
      </w:r>
    </w:p>
    <w:tbl>
      <w:tblPr>
        <w:tblStyle w:val="44"/>
        <w:tblW w:w="5208" w:type="pct"/>
        <w:tblInd w:w="0" w:type="dxa"/>
        <w:tblLayout w:type="fixed"/>
        <w:tblCellMar>
          <w:top w:w="0" w:type="dxa"/>
          <w:left w:w="108" w:type="dxa"/>
          <w:bottom w:w="0" w:type="dxa"/>
          <w:right w:w="108" w:type="dxa"/>
        </w:tblCellMar>
      </w:tblPr>
      <w:tblGrid>
        <w:gridCol w:w="774"/>
        <w:gridCol w:w="2417"/>
        <w:gridCol w:w="827"/>
        <w:gridCol w:w="891"/>
        <w:gridCol w:w="4455"/>
      </w:tblGrid>
      <w:tr>
        <w:tblPrEx>
          <w:tblCellMar>
            <w:top w:w="0" w:type="dxa"/>
            <w:left w:w="108" w:type="dxa"/>
            <w:bottom w:w="0" w:type="dxa"/>
            <w:right w:w="108" w:type="dxa"/>
          </w:tblCellMar>
        </w:tblPrEx>
        <w:trPr>
          <w:trHeight w:val="340" w:hRule="atLeast"/>
          <w:tblHeader/>
        </w:trPr>
        <w:tc>
          <w:tcPr>
            <w:tcW w:w="413"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89"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名称</w:t>
            </w:r>
          </w:p>
        </w:tc>
        <w:tc>
          <w:tcPr>
            <w:tcW w:w="441"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476"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2378"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风冷螺杆机组</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隔振垫</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块</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成套配电箱安装落地式</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基础型钢制作</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KG</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1.4</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基础槽钢安装</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循环水泵</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2.1</w:t>
            </w:r>
          </w:p>
        </w:tc>
        <w:tc>
          <w:tcPr>
            <w:tcW w:w="128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隔振垫</w:t>
            </w:r>
          </w:p>
        </w:tc>
        <w:tc>
          <w:tcPr>
            <w:tcW w:w="441"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块</w:t>
            </w:r>
          </w:p>
        </w:tc>
        <w:tc>
          <w:tcPr>
            <w:tcW w:w="476"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2378"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2.2</w:t>
            </w:r>
          </w:p>
        </w:tc>
        <w:tc>
          <w:tcPr>
            <w:tcW w:w="128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成套配电箱安装落地式</w:t>
            </w:r>
          </w:p>
        </w:tc>
        <w:tc>
          <w:tcPr>
            <w:tcW w:w="441"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476"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378"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2.3</w:t>
            </w:r>
          </w:p>
        </w:tc>
        <w:tc>
          <w:tcPr>
            <w:tcW w:w="128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基础型钢制作</w:t>
            </w:r>
          </w:p>
        </w:tc>
        <w:tc>
          <w:tcPr>
            <w:tcW w:w="441"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KG</w:t>
            </w:r>
          </w:p>
        </w:tc>
        <w:tc>
          <w:tcPr>
            <w:tcW w:w="476"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2378"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128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基础槽钢安装</w:t>
            </w:r>
          </w:p>
        </w:tc>
        <w:tc>
          <w:tcPr>
            <w:tcW w:w="441"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476"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2378"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水箱</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镀锌钢管</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378" w:type="pct"/>
            <w:tcBorders>
              <w:top w:val="nil"/>
              <w:left w:val="nil"/>
              <w:bottom w:val="single" w:color="auto" w:sz="4" w:space="0"/>
              <w:right w:val="single" w:color="auto" w:sz="4" w:space="0"/>
            </w:tcBorders>
            <w:vAlign w:val="center"/>
          </w:tcPr>
          <w:p>
            <w:pPr>
              <w:widowControl/>
              <w:spacing w:line="400" w:lineRule="exact"/>
              <w:rPr>
                <w:rFonts w:ascii="宋体" w:hAnsi="宋体" w:cs="宋体"/>
                <w:bCs/>
                <w:color w:val="auto"/>
                <w:szCs w:val="21"/>
                <w:highlight w:val="none"/>
              </w:rPr>
            </w:pPr>
            <w:r>
              <w:rPr>
                <w:rFonts w:hint="eastAsia" w:ascii="宋体" w:hAnsi="宋体" w:cs="宋体"/>
                <w:bCs/>
                <w:color w:val="auto"/>
                <w:szCs w:val="21"/>
                <w:highlight w:val="none"/>
              </w:rPr>
              <w:t>DN150</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镀锌钢管</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15</w:t>
            </w:r>
          </w:p>
        </w:tc>
        <w:tc>
          <w:tcPr>
            <w:tcW w:w="2378" w:type="pct"/>
            <w:tcBorders>
              <w:top w:val="nil"/>
              <w:left w:val="nil"/>
              <w:bottom w:val="single" w:color="auto" w:sz="4" w:space="0"/>
              <w:right w:val="single" w:color="auto" w:sz="4" w:space="0"/>
            </w:tcBorders>
            <w:vAlign w:val="center"/>
          </w:tcPr>
          <w:p>
            <w:pPr>
              <w:widowControl/>
              <w:spacing w:line="400" w:lineRule="exact"/>
              <w:rPr>
                <w:rFonts w:ascii="宋体" w:hAnsi="宋体" w:cs="宋体"/>
                <w:bCs/>
                <w:color w:val="auto"/>
                <w:szCs w:val="21"/>
                <w:highlight w:val="none"/>
              </w:rPr>
            </w:pPr>
            <w:r>
              <w:rPr>
                <w:rFonts w:hint="eastAsia" w:ascii="宋体" w:hAnsi="宋体" w:cs="宋体"/>
                <w:bCs/>
                <w:color w:val="auto"/>
                <w:szCs w:val="21"/>
                <w:highlight w:val="none"/>
              </w:rPr>
              <w:t>DN40</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低压法兰阀门</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金属软接DN150</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低压法兰阀门</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涡轮蝶阀DN150</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低压法兰阀门</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Y型过滤器DN150</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低压法兰阀门</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止回阀DN150</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螺纹阀门</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铜截止阀DN40</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低压碳钢焊接法兰</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副</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25</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法兰DN150</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压力仪表</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温度仪表</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支</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14</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螺纹阀门</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15</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螺纹阀门</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截止阀DN20</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16</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螺纹阀门</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泄水阀DN40</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17</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电力电缆</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30</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YJV-4*10+1*4</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18</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电力电缆</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30</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YJV-4*120+1*70</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19</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电力电缆头</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2378"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截面积10mm2以下</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电力电缆头</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2378" w:type="pct"/>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截面积120mm2以下</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21</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桥架</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30</w:t>
            </w:r>
          </w:p>
        </w:tc>
        <w:tc>
          <w:tcPr>
            <w:tcW w:w="2378" w:type="pct"/>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200*100*1.2</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22</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设备支架</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kg</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1270</w:t>
            </w:r>
          </w:p>
        </w:tc>
        <w:tc>
          <w:tcPr>
            <w:tcW w:w="2378" w:type="pct"/>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23</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管道支架</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kg</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260</w:t>
            </w:r>
          </w:p>
        </w:tc>
        <w:tc>
          <w:tcPr>
            <w:tcW w:w="2378" w:type="pct"/>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128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金属结构刷油</w:t>
            </w:r>
          </w:p>
        </w:tc>
        <w:tc>
          <w:tcPr>
            <w:tcW w:w="441"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kg</w:t>
            </w:r>
          </w:p>
        </w:tc>
        <w:tc>
          <w:tcPr>
            <w:tcW w:w="476"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1530</w:t>
            </w:r>
          </w:p>
        </w:tc>
        <w:tc>
          <w:tcPr>
            <w:tcW w:w="2378" w:type="pct"/>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25</w:t>
            </w:r>
          </w:p>
        </w:tc>
        <w:tc>
          <w:tcPr>
            <w:tcW w:w="128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防潮层、保护层</w:t>
            </w:r>
          </w:p>
        </w:tc>
        <w:tc>
          <w:tcPr>
            <w:tcW w:w="441"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m2</w:t>
            </w:r>
          </w:p>
        </w:tc>
        <w:tc>
          <w:tcPr>
            <w:tcW w:w="476"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25</w:t>
            </w:r>
          </w:p>
        </w:tc>
        <w:tc>
          <w:tcPr>
            <w:tcW w:w="2378" w:type="pct"/>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厚度：0.5mm</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26</w:t>
            </w:r>
          </w:p>
        </w:tc>
        <w:tc>
          <w:tcPr>
            <w:tcW w:w="128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管道绝热</w:t>
            </w:r>
          </w:p>
        </w:tc>
        <w:tc>
          <w:tcPr>
            <w:tcW w:w="441"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m3</w:t>
            </w:r>
          </w:p>
        </w:tc>
        <w:tc>
          <w:tcPr>
            <w:tcW w:w="476"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color w:val="auto"/>
                <w:spacing w:val="-2"/>
                <w:szCs w:val="21"/>
                <w:highlight w:val="none"/>
              </w:rPr>
              <w:t>0.86</w:t>
            </w:r>
          </w:p>
        </w:tc>
        <w:tc>
          <w:tcPr>
            <w:tcW w:w="2378"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绝热厚度：30mm</w:t>
            </w:r>
          </w:p>
          <w:p>
            <w:pPr>
              <w:pStyle w:val="42"/>
              <w:spacing w:line="400" w:lineRule="exact"/>
              <w:ind w:firstLine="0" w:firstLineChars="0"/>
              <w:rPr>
                <w:rFonts w:ascii="宋体" w:hAnsi="宋体" w:cs="宋体"/>
                <w:color w:val="auto"/>
                <w:szCs w:val="21"/>
                <w:highlight w:val="none"/>
              </w:rPr>
            </w:pPr>
            <w:r>
              <w:rPr>
                <w:rFonts w:hint="eastAsia" w:ascii="宋体" w:hAnsi="宋体" w:cs="宋体"/>
                <w:bCs/>
                <w:color w:val="auto"/>
                <w:szCs w:val="21"/>
                <w:highlight w:val="none"/>
              </w:rPr>
              <w:t>DN200mm以下</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27</w:t>
            </w:r>
          </w:p>
        </w:tc>
        <w:tc>
          <w:tcPr>
            <w:tcW w:w="128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阀门绝热</w:t>
            </w:r>
          </w:p>
        </w:tc>
        <w:tc>
          <w:tcPr>
            <w:tcW w:w="441"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476"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color w:val="auto"/>
                <w:spacing w:val="-6"/>
                <w:szCs w:val="21"/>
                <w:highlight w:val="none"/>
              </w:rPr>
              <w:t>18</w:t>
            </w:r>
          </w:p>
        </w:tc>
        <w:tc>
          <w:tcPr>
            <w:tcW w:w="2378"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绝热厚度：40mm</w:t>
            </w:r>
          </w:p>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阀门DN200mm</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28</w:t>
            </w:r>
          </w:p>
        </w:tc>
        <w:tc>
          <w:tcPr>
            <w:tcW w:w="128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阀门绝热</w:t>
            </w:r>
          </w:p>
        </w:tc>
        <w:tc>
          <w:tcPr>
            <w:tcW w:w="441"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476"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color w:val="auto"/>
                <w:spacing w:val="-12"/>
                <w:szCs w:val="21"/>
                <w:highlight w:val="none"/>
              </w:rPr>
              <w:t>3</w:t>
            </w:r>
          </w:p>
        </w:tc>
        <w:tc>
          <w:tcPr>
            <w:tcW w:w="2378"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绝热厚度：40mm</w:t>
            </w:r>
          </w:p>
          <w:p>
            <w:pPr>
              <w:pStyle w:val="42"/>
              <w:spacing w:line="400" w:lineRule="exact"/>
              <w:ind w:firstLine="0" w:firstLineChars="0"/>
              <w:rPr>
                <w:rFonts w:ascii="宋体" w:hAnsi="宋体" w:cs="宋体"/>
                <w:color w:val="auto"/>
                <w:szCs w:val="21"/>
                <w:highlight w:val="none"/>
              </w:rPr>
            </w:pPr>
            <w:r>
              <w:rPr>
                <w:rFonts w:hint="eastAsia" w:ascii="宋体" w:hAnsi="宋体" w:cs="宋体"/>
                <w:bCs/>
                <w:color w:val="auto"/>
                <w:szCs w:val="21"/>
                <w:highlight w:val="none"/>
              </w:rPr>
              <w:t>阀门DN50mm以下</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29</w:t>
            </w:r>
          </w:p>
        </w:tc>
        <w:tc>
          <w:tcPr>
            <w:tcW w:w="128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法兰绝热</w:t>
            </w:r>
          </w:p>
        </w:tc>
        <w:tc>
          <w:tcPr>
            <w:tcW w:w="441"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476"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25</w:t>
            </w:r>
          </w:p>
        </w:tc>
        <w:tc>
          <w:tcPr>
            <w:tcW w:w="2378" w:type="pct"/>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绝热厚度：40mm</w:t>
            </w:r>
          </w:p>
          <w:p>
            <w:pPr>
              <w:widowControl/>
              <w:spacing w:line="400" w:lineRule="exact"/>
              <w:jc w:val="left"/>
              <w:rPr>
                <w:rFonts w:ascii="宋体" w:hAnsi="宋体" w:cs="宋体"/>
                <w:color w:val="auto"/>
                <w:szCs w:val="21"/>
                <w:highlight w:val="none"/>
              </w:rPr>
            </w:pPr>
            <w:r>
              <w:rPr>
                <w:rFonts w:hint="eastAsia" w:ascii="宋体" w:hAnsi="宋体" w:cs="宋体"/>
                <w:bCs/>
                <w:color w:val="auto"/>
                <w:szCs w:val="21"/>
                <w:highlight w:val="none"/>
              </w:rPr>
              <w:t>法兰DN200mm以下</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30</w:t>
            </w:r>
          </w:p>
        </w:tc>
        <w:tc>
          <w:tcPr>
            <w:tcW w:w="128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原设备拆除费用</w:t>
            </w:r>
          </w:p>
        </w:tc>
        <w:tc>
          <w:tcPr>
            <w:tcW w:w="441"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476"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378" w:type="pct"/>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含老水泵、老主机、老水箱、老阀件、老管道拆除费用、雨棚拆装费用，及拆除材料吊装、运输、人工、整理归库移交费用。</w:t>
            </w: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31</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系统调试费</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378" w:type="pct"/>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413"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32</w:t>
            </w:r>
          </w:p>
        </w:tc>
        <w:tc>
          <w:tcPr>
            <w:tcW w:w="128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脚手架搭拆</w:t>
            </w:r>
          </w:p>
        </w:tc>
        <w:tc>
          <w:tcPr>
            <w:tcW w:w="441"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47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378" w:type="pct"/>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　</w:t>
            </w:r>
          </w:p>
        </w:tc>
      </w:tr>
    </w:tbl>
    <w:p>
      <w:pPr>
        <w:spacing w:line="400" w:lineRule="exact"/>
        <w:ind w:right="25" w:rightChars="12"/>
        <w:rPr>
          <w:rFonts w:hint="eastAsia" w:ascii="宋体" w:hAnsi="宋体" w:cs="宋体"/>
          <w:b/>
          <w:color w:val="auto"/>
          <w:szCs w:val="21"/>
          <w:highlight w:val="none"/>
        </w:rPr>
      </w:pPr>
      <w:r>
        <w:rPr>
          <w:rFonts w:hint="eastAsia" w:ascii="宋体" w:hAnsi="宋体" w:cs="宋体"/>
          <w:b/>
          <w:color w:val="auto"/>
          <w:szCs w:val="21"/>
          <w:highlight w:val="none"/>
        </w:rPr>
        <w:t>三、技术要求</w:t>
      </w:r>
    </w:p>
    <w:tbl>
      <w:tblPr>
        <w:tblStyle w:val="44"/>
        <w:tblpPr w:leftFromText="180" w:rightFromText="180" w:vertAnchor="text" w:horzAnchor="page" w:tblpX="1541" w:tblpY="381"/>
        <w:tblOverlap w:val="never"/>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8011"/>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011" w:type="dxa"/>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招标要求</w:t>
            </w:r>
          </w:p>
        </w:tc>
        <w:tc>
          <w:tcPr>
            <w:tcW w:w="648" w:type="dxa"/>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b/>
                <w:color w:val="auto"/>
                <w:szCs w:val="21"/>
                <w:highlight w:val="none"/>
              </w:rPr>
              <w:t>风冷螺杆机组的技术要求</w:t>
            </w:r>
          </w:p>
        </w:tc>
        <w:tc>
          <w:tcPr>
            <w:tcW w:w="648" w:type="dxa"/>
            <w:vAlign w:val="center"/>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机组数量（台）：1</w:t>
            </w:r>
          </w:p>
        </w:tc>
        <w:tc>
          <w:tcPr>
            <w:tcW w:w="648" w:type="dxa"/>
            <w:vAlign w:val="center"/>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机组型号：供应商提供</w:t>
            </w:r>
          </w:p>
        </w:tc>
        <w:tc>
          <w:tcPr>
            <w:tcW w:w="648" w:type="dxa"/>
            <w:vAlign w:val="center"/>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color w:val="auto"/>
                <w:highlight w:val="none"/>
              </w:rPr>
              <w:t>▲</w:t>
            </w:r>
            <w:r>
              <w:rPr>
                <w:rFonts w:hint="eastAsia" w:ascii="宋体" w:hAnsi="宋体" w:cs="宋体"/>
                <w:color w:val="auto"/>
                <w:kern w:val="0"/>
                <w:szCs w:val="21"/>
                <w:highlight w:val="none"/>
              </w:rPr>
              <w:t>3</w:t>
            </w:r>
          </w:p>
        </w:tc>
        <w:tc>
          <w:tcPr>
            <w:tcW w:w="8011" w:type="dxa"/>
            <w:shd w:val="clear" w:color="auto" w:fill="auto"/>
            <w:vAlign w:val="center"/>
          </w:tcPr>
          <w:p>
            <w:pPr>
              <w:widowControl/>
              <w:spacing w:line="400" w:lineRule="exact"/>
              <w:jc w:val="left"/>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制冷量（kW）：≥584KW，</w:t>
            </w:r>
            <w:r>
              <w:rPr>
                <w:rFonts w:hint="eastAsia" w:ascii="宋体" w:hAnsi="宋体" w:cs="宋体"/>
                <w:color w:val="auto"/>
                <w:kern w:val="0"/>
                <w:szCs w:val="21"/>
                <w:highlight w:val="none"/>
                <w:lang w:eastAsia="zh-CN"/>
              </w:rPr>
              <w:t>要求提供产品样本等证明资料</w:t>
            </w:r>
            <w:r>
              <w:rPr>
                <w:rFonts w:hint="eastAsia" w:ascii="宋体" w:hAnsi="宋体" w:cs="宋体"/>
                <w:color w:val="auto"/>
                <w:kern w:val="0"/>
                <w:szCs w:val="21"/>
                <w:highlight w:val="none"/>
                <w:lang w:val="en-US" w:eastAsia="zh-CN"/>
              </w:rPr>
              <w:t>加盖供应商公章</w:t>
            </w:r>
          </w:p>
        </w:tc>
        <w:tc>
          <w:tcPr>
            <w:tcW w:w="648" w:type="dxa"/>
            <w:vAlign w:val="center"/>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011" w:type="dxa"/>
            <w:shd w:val="clear" w:color="auto" w:fill="auto"/>
            <w:vAlign w:val="center"/>
          </w:tcPr>
          <w:p>
            <w:pPr>
              <w:widowControl/>
              <w:spacing w:line="40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制热量（kW）：≥571.4KW，</w:t>
            </w:r>
            <w:r>
              <w:rPr>
                <w:rFonts w:hint="eastAsia" w:ascii="宋体" w:hAnsi="宋体" w:cs="宋体"/>
                <w:color w:val="auto"/>
                <w:kern w:val="0"/>
                <w:szCs w:val="21"/>
                <w:highlight w:val="none"/>
                <w:lang w:eastAsia="zh-CN"/>
              </w:rPr>
              <w:t>要求提供产品样本等证明资料</w:t>
            </w:r>
            <w:r>
              <w:rPr>
                <w:rFonts w:hint="eastAsia" w:ascii="宋体" w:hAnsi="宋体" w:cs="宋体"/>
                <w:color w:val="auto"/>
                <w:kern w:val="0"/>
                <w:szCs w:val="21"/>
                <w:highlight w:val="none"/>
                <w:lang w:val="en-US" w:eastAsia="zh-CN"/>
              </w:rPr>
              <w:t>加盖供应商公章</w:t>
            </w:r>
          </w:p>
        </w:tc>
        <w:tc>
          <w:tcPr>
            <w:tcW w:w="648" w:type="dxa"/>
            <w:vAlign w:val="center"/>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011" w:type="dxa"/>
            <w:shd w:val="clear" w:color="auto" w:fill="auto"/>
            <w:vAlign w:val="center"/>
          </w:tcPr>
          <w:p>
            <w:pPr>
              <w:widowControl/>
              <w:spacing w:line="40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机组输入功率（制冷kW）：≤170kw，</w:t>
            </w:r>
            <w:r>
              <w:rPr>
                <w:rFonts w:hint="eastAsia" w:ascii="宋体" w:hAnsi="宋体" w:cs="宋体"/>
                <w:color w:val="auto"/>
                <w:kern w:val="0"/>
                <w:szCs w:val="21"/>
                <w:highlight w:val="none"/>
                <w:lang w:eastAsia="zh-CN"/>
              </w:rPr>
              <w:t>要求提供具有CMA或CNAS认证的第三方产品检测报告</w:t>
            </w:r>
            <w:r>
              <w:rPr>
                <w:rFonts w:hint="eastAsia" w:ascii="宋体" w:hAnsi="宋体" w:cs="宋体"/>
                <w:color w:val="auto"/>
                <w:kern w:val="0"/>
                <w:szCs w:val="21"/>
                <w:highlight w:val="none"/>
                <w:lang w:val="en-US" w:eastAsia="zh-CN"/>
              </w:rPr>
              <w:t>加盖供应商公章</w:t>
            </w:r>
          </w:p>
        </w:tc>
        <w:tc>
          <w:tcPr>
            <w:tcW w:w="648" w:type="dxa"/>
            <w:vAlign w:val="center"/>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011" w:type="dxa"/>
            <w:shd w:val="clear" w:color="auto" w:fill="auto"/>
            <w:vAlign w:val="center"/>
          </w:tcPr>
          <w:p>
            <w:pPr>
              <w:widowControl/>
              <w:spacing w:line="40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机组输入功率（制热kW）：≤167.1kw，</w:t>
            </w:r>
            <w:r>
              <w:rPr>
                <w:rFonts w:hint="eastAsia" w:ascii="宋体" w:hAnsi="宋体" w:cs="宋体"/>
                <w:color w:val="auto"/>
                <w:kern w:val="0"/>
                <w:szCs w:val="21"/>
                <w:highlight w:val="none"/>
                <w:lang w:eastAsia="zh-CN"/>
              </w:rPr>
              <w:t>要求提供具有CMA或CNAS认证的第三方产品检测报告</w:t>
            </w:r>
            <w:r>
              <w:rPr>
                <w:rFonts w:hint="eastAsia" w:ascii="宋体" w:hAnsi="宋体" w:cs="宋体"/>
                <w:color w:val="auto"/>
                <w:kern w:val="0"/>
                <w:szCs w:val="21"/>
                <w:highlight w:val="none"/>
                <w:lang w:val="en-US" w:eastAsia="zh-CN"/>
              </w:rPr>
              <w:t>加盖供应商公章</w:t>
            </w:r>
          </w:p>
        </w:tc>
        <w:tc>
          <w:tcPr>
            <w:tcW w:w="648" w:type="dxa"/>
            <w:vAlign w:val="center"/>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011" w:type="dxa"/>
            <w:shd w:val="clear" w:color="auto" w:fill="auto"/>
            <w:vAlign w:val="center"/>
          </w:tcPr>
          <w:p>
            <w:pPr>
              <w:widowControl/>
              <w:spacing w:line="40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制冷性能系数COPc值（功率含压缩机和风机功率）：≥3.43，</w:t>
            </w:r>
            <w:r>
              <w:rPr>
                <w:rFonts w:hint="eastAsia" w:ascii="宋体" w:hAnsi="宋体" w:cs="宋体"/>
                <w:color w:val="auto"/>
                <w:kern w:val="0"/>
                <w:szCs w:val="21"/>
                <w:highlight w:val="none"/>
                <w:lang w:eastAsia="zh-CN"/>
              </w:rPr>
              <w:t>要求提供具有CMA或CNAS认证的第三方产品检测报告</w:t>
            </w:r>
            <w:r>
              <w:rPr>
                <w:rFonts w:hint="eastAsia" w:ascii="宋体" w:hAnsi="宋体" w:cs="宋体"/>
                <w:color w:val="auto"/>
                <w:kern w:val="0"/>
                <w:szCs w:val="21"/>
                <w:highlight w:val="none"/>
                <w:lang w:val="en-US" w:eastAsia="zh-CN"/>
              </w:rPr>
              <w:t>加盖供应商公章</w:t>
            </w:r>
          </w:p>
        </w:tc>
        <w:tc>
          <w:tcPr>
            <w:tcW w:w="648" w:type="dxa"/>
            <w:vAlign w:val="center"/>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8011" w:type="dxa"/>
            <w:shd w:val="clear" w:color="auto" w:fill="auto"/>
            <w:vAlign w:val="center"/>
          </w:tcPr>
          <w:p>
            <w:pPr>
              <w:widowControl/>
              <w:spacing w:line="40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依据标准GB 19577-2024进行检测，机组制冷综合部分性能系数CSPF：≥4.09，</w:t>
            </w:r>
            <w:r>
              <w:rPr>
                <w:rFonts w:hint="eastAsia" w:ascii="宋体" w:hAnsi="宋体" w:cs="宋体"/>
                <w:color w:val="auto"/>
                <w:kern w:val="0"/>
                <w:szCs w:val="21"/>
                <w:highlight w:val="none"/>
                <w:lang w:eastAsia="zh-CN"/>
              </w:rPr>
              <w:t>要求提供具有CMA或CNAS认证的第三方产品检测报告</w:t>
            </w:r>
            <w:r>
              <w:rPr>
                <w:rFonts w:hint="eastAsia" w:ascii="宋体" w:hAnsi="宋体" w:cs="宋体"/>
                <w:color w:val="auto"/>
                <w:kern w:val="0"/>
                <w:szCs w:val="21"/>
                <w:highlight w:val="none"/>
                <w:lang w:val="en-US" w:eastAsia="zh-CN"/>
              </w:rPr>
              <w:t>加盖供应商公章</w:t>
            </w:r>
          </w:p>
        </w:tc>
        <w:tc>
          <w:tcPr>
            <w:tcW w:w="648" w:type="dxa"/>
            <w:vAlign w:val="center"/>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011" w:type="dxa"/>
            <w:shd w:val="clear" w:color="auto" w:fill="auto"/>
            <w:vAlign w:val="center"/>
          </w:tcPr>
          <w:p>
            <w:pPr>
              <w:widowControl/>
              <w:spacing w:line="40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机组制热性能系数：≥3.42，</w:t>
            </w:r>
            <w:r>
              <w:rPr>
                <w:rFonts w:hint="eastAsia" w:ascii="宋体" w:hAnsi="宋体" w:cs="宋体"/>
                <w:color w:val="auto"/>
                <w:kern w:val="0"/>
                <w:szCs w:val="21"/>
                <w:highlight w:val="none"/>
                <w:lang w:eastAsia="zh-CN"/>
              </w:rPr>
              <w:t>要求提供产品样本等证明资料</w:t>
            </w:r>
            <w:r>
              <w:rPr>
                <w:rFonts w:hint="eastAsia" w:ascii="宋体" w:hAnsi="宋体" w:cs="宋体"/>
                <w:color w:val="auto"/>
                <w:kern w:val="0"/>
                <w:szCs w:val="21"/>
                <w:highlight w:val="none"/>
                <w:lang w:val="en-US" w:eastAsia="zh-CN"/>
              </w:rPr>
              <w:t>加盖供应商公章</w:t>
            </w:r>
          </w:p>
        </w:tc>
        <w:tc>
          <w:tcPr>
            <w:tcW w:w="648" w:type="dxa"/>
            <w:vAlign w:val="center"/>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011" w:type="dxa"/>
            <w:shd w:val="clear" w:color="auto" w:fill="auto"/>
            <w:vAlign w:val="center"/>
          </w:tcPr>
          <w:p>
            <w:pPr>
              <w:widowControl/>
              <w:spacing w:line="40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制冷工况进出水温度（℃）：12℃/7℃，</w:t>
            </w:r>
            <w:r>
              <w:rPr>
                <w:rFonts w:hint="eastAsia" w:ascii="宋体" w:hAnsi="宋体" w:cs="宋体"/>
                <w:color w:val="auto"/>
                <w:kern w:val="0"/>
                <w:szCs w:val="21"/>
                <w:highlight w:val="none"/>
                <w:lang w:eastAsia="zh-CN"/>
              </w:rPr>
              <w:t>要求提供产品样本等证明资料</w:t>
            </w:r>
            <w:r>
              <w:rPr>
                <w:rFonts w:hint="eastAsia" w:ascii="宋体" w:hAnsi="宋体" w:cs="宋体"/>
                <w:color w:val="auto"/>
                <w:kern w:val="0"/>
                <w:szCs w:val="21"/>
                <w:highlight w:val="none"/>
                <w:lang w:val="en-US" w:eastAsia="zh-CN"/>
              </w:rPr>
              <w:t>加盖供应商公章</w:t>
            </w:r>
          </w:p>
        </w:tc>
        <w:tc>
          <w:tcPr>
            <w:tcW w:w="648" w:type="dxa"/>
            <w:vAlign w:val="center"/>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011" w:type="dxa"/>
            <w:shd w:val="clear" w:color="auto" w:fill="auto"/>
            <w:vAlign w:val="center"/>
          </w:tcPr>
          <w:p>
            <w:pPr>
              <w:widowControl/>
              <w:spacing w:line="40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制热工况进出水温度（℃）：40℃/45℃，</w:t>
            </w:r>
            <w:r>
              <w:rPr>
                <w:rFonts w:hint="eastAsia" w:ascii="宋体" w:hAnsi="宋体" w:cs="宋体"/>
                <w:color w:val="auto"/>
                <w:kern w:val="0"/>
                <w:szCs w:val="21"/>
                <w:highlight w:val="none"/>
                <w:lang w:eastAsia="zh-CN"/>
              </w:rPr>
              <w:t>要求提供产品样本等证明资料</w:t>
            </w:r>
            <w:r>
              <w:rPr>
                <w:rFonts w:hint="eastAsia" w:ascii="宋体" w:hAnsi="宋体" w:cs="宋体"/>
                <w:color w:val="auto"/>
                <w:kern w:val="0"/>
                <w:szCs w:val="21"/>
                <w:highlight w:val="none"/>
                <w:lang w:val="en-US" w:eastAsia="zh-CN"/>
              </w:rPr>
              <w:t>加盖供应商公章</w:t>
            </w:r>
          </w:p>
        </w:tc>
        <w:tc>
          <w:tcPr>
            <w:tcW w:w="648" w:type="dxa"/>
            <w:vAlign w:val="center"/>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水压降（Kpa）：≤53</w:t>
            </w:r>
          </w:p>
        </w:tc>
        <w:tc>
          <w:tcPr>
            <w:tcW w:w="648" w:type="dxa"/>
            <w:vAlign w:val="center"/>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color w:val="auto"/>
                <w:highlight w:val="none"/>
              </w:rPr>
              <w:t>▲</w:t>
            </w:r>
            <w:r>
              <w:rPr>
                <w:rFonts w:hint="eastAsia" w:ascii="宋体" w:hAnsi="宋体" w:cs="宋体"/>
                <w:color w:val="auto"/>
                <w:kern w:val="0"/>
                <w:szCs w:val="21"/>
                <w:highlight w:val="none"/>
              </w:rPr>
              <w:t>13</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机组能效值：国家一级能效及以上（COPc、CSPF均满足）</w:t>
            </w:r>
          </w:p>
        </w:tc>
        <w:tc>
          <w:tcPr>
            <w:tcW w:w="648" w:type="dxa"/>
            <w:vAlign w:val="center"/>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压缩机形式：半封闭式双螺杆压缩机</w:t>
            </w:r>
          </w:p>
        </w:tc>
        <w:tc>
          <w:tcPr>
            <w:tcW w:w="648" w:type="dxa"/>
            <w:vAlign w:val="center"/>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压缩机数量：1</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制冷剂类型：R134A</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011" w:type="dxa"/>
            <w:shd w:val="clear" w:color="auto" w:fill="auto"/>
            <w:vAlign w:val="center"/>
          </w:tcPr>
          <w:p>
            <w:pPr>
              <w:widowControl/>
              <w:spacing w:line="40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风扇数量：</w:t>
            </w:r>
            <w:r>
              <w:rPr>
                <w:rFonts w:hint="eastAsia" w:ascii="宋体" w:hAnsi="宋体" w:cs="宋体"/>
                <w:color w:val="auto"/>
                <w:szCs w:val="21"/>
                <w:highlight w:val="none"/>
              </w:rPr>
              <w:t>≥</w:t>
            </w:r>
            <w:r>
              <w:rPr>
                <w:rFonts w:hint="eastAsia" w:ascii="宋体" w:hAnsi="宋体" w:cs="宋体"/>
                <w:color w:val="auto"/>
                <w:kern w:val="0"/>
                <w:szCs w:val="21"/>
                <w:highlight w:val="none"/>
              </w:rPr>
              <w:t>10，</w:t>
            </w:r>
            <w:r>
              <w:rPr>
                <w:rFonts w:hint="eastAsia" w:ascii="宋体" w:hAnsi="宋体" w:cs="宋体"/>
                <w:color w:val="auto"/>
                <w:kern w:val="0"/>
                <w:szCs w:val="21"/>
                <w:highlight w:val="none"/>
                <w:lang w:eastAsia="zh-CN"/>
              </w:rPr>
              <w:t>要求提供产品样本等证明资料</w:t>
            </w:r>
            <w:r>
              <w:rPr>
                <w:rFonts w:hint="eastAsia" w:ascii="宋体" w:hAnsi="宋体" w:cs="宋体"/>
                <w:color w:val="auto"/>
                <w:kern w:val="0"/>
                <w:szCs w:val="21"/>
                <w:highlight w:val="none"/>
                <w:lang w:val="en-US" w:eastAsia="zh-CN"/>
              </w:rPr>
              <w:t>加盖供应商公章</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8011" w:type="dxa"/>
            <w:shd w:val="clear" w:color="auto" w:fill="auto"/>
            <w:vAlign w:val="center"/>
          </w:tcPr>
          <w:p>
            <w:pPr>
              <w:widowControl/>
              <w:spacing w:line="400" w:lineRule="exact"/>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单风机风量：</w:t>
            </w:r>
            <w:r>
              <w:rPr>
                <w:rFonts w:hint="eastAsia" w:ascii="宋体" w:hAnsi="宋体" w:cs="宋体"/>
                <w:color w:val="auto"/>
                <w:szCs w:val="21"/>
                <w:highlight w:val="none"/>
              </w:rPr>
              <w:t>≥21000 m³/h，</w:t>
            </w:r>
            <w:r>
              <w:rPr>
                <w:rFonts w:hint="eastAsia" w:ascii="宋体" w:hAnsi="宋体" w:cs="宋体"/>
                <w:color w:val="auto"/>
                <w:kern w:val="0"/>
                <w:szCs w:val="21"/>
                <w:highlight w:val="none"/>
                <w:lang w:eastAsia="zh-CN"/>
              </w:rPr>
              <w:t>要求提供产品样本等证明资料</w:t>
            </w:r>
            <w:r>
              <w:rPr>
                <w:rFonts w:hint="eastAsia" w:ascii="宋体" w:hAnsi="宋体" w:cs="宋体"/>
                <w:color w:val="auto"/>
                <w:kern w:val="0"/>
                <w:szCs w:val="21"/>
                <w:highlight w:val="none"/>
                <w:lang w:val="en-US" w:eastAsia="zh-CN"/>
              </w:rPr>
              <w:t>加盖供应商公章</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风机调节范围：双速调节</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能量调节范围：无极25-100%负荷调节</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水侧换热器：降膜式</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空气侧换热器形式：高效换热器</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压缩机防护等级：IP55</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电机防护等级：IP55</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节流元件：电子膨胀阀</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机组尺寸（长*宽*高 mm）：供应商提供</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电源：供应商提供</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单台运行重量（kg）：≤6</w:t>
            </w: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0</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接管口径/连接方式：供应商提供</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操作、控制界面：液晶显示触摸屏</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化霜功能：机组具有智能化霜</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制冷环境温度：15℃-50℃</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制热环境温度：-10～25℃</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snapToGrid w:val="0"/>
                <w:color w:val="auto"/>
                <w:kern w:val="0"/>
                <w:szCs w:val="21"/>
                <w:highlight w:val="none"/>
              </w:rPr>
              <w:t>通讯接口</w:t>
            </w:r>
            <w:r>
              <w:rPr>
                <w:rFonts w:hint="eastAsia" w:ascii="宋体" w:hAnsi="宋体" w:cs="宋体"/>
                <w:color w:val="auto"/>
                <w:kern w:val="0"/>
                <w:szCs w:val="21"/>
                <w:highlight w:val="none"/>
              </w:rPr>
              <w:t>：提供</w:t>
            </w:r>
            <w:r>
              <w:rPr>
                <w:rFonts w:hint="eastAsia" w:ascii="宋体" w:hAnsi="宋体" w:cs="宋体"/>
                <w:snapToGrid w:val="0"/>
                <w:color w:val="auto"/>
                <w:kern w:val="0"/>
                <w:szCs w:val="21"/>
                <w:highlight w:val="none"/>
              </w:rPr>
              <w:t>RS485标准接口，</w:t>
            </w:r>
            <w:r>
              <w:rPr>
                <w:rFonts w:hint="eastAsia" w:ascii="宋体" w:hAnsi="宋体" w:cs="宋体"/>
                <w:color w:val="auto"/>
                <w:kern w:val="0"/>
                <w:szCs w:val="21"/>
                <w:highlight w:val="none"/>
              </w:rPr>
              <w:t>免费开放ModBus通讯协议</w:t>
            </w:r>
            <w:r>
              <w:rPr>
                <w:rFonts w:hint="eastAsia" w:ascii="宋体" w:hAnsi="宋体" w:cs="宋体"/>
                <w:snapToGrid w:val="0"/>
                <w:color w:val="auto"/>
                <w:kern w:val="0"/>
                <w:szCs w:val="21"/>
                <w:highlight w:val="none"/>
              </w:rPr>
              <w:t>，可实现远程数据查看、机组故障预防、运转数据记忆、故障快速处理等</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压力容器要求：</w:t>
            </w:r>
            <w:r>
              <w:rPr>
                <w:rFonts w:hint="eastAsia" w:ascii="宋体" w:hAnsi="宋体" w:cs="宋体"/>
                <w:snapToGrid w:val="0"/>
                <w:color w:val="auto"/>
                <w:kern w:val="0"/>
                <w:szCs w:val="21"/>
                <w:highlight w:val="none"/>
              </w:rPr>
              <w:t>压力容器的设计、制造和检验应符合压力容器的相关规范的要求</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控制柜要求：</w:t>
            </w:r>
            <w:r>
              <w:rPr>
                <w:rFonts w:hint="eastAsia" w:ascii="宋体" w:hAnsi="宋体" w:cs="宋体"/>
                <w:snapToGrid w:val="0"/>
                <w:color w:val="auto"/>
                <w:kern w:val="0"/>
                <w:szCs w:val="21"/>
                <w:highlight w:val="none"/>
              </w:rPr>
              <w:t>机组均应配有控制柜，机载一体化</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8011" w:type="dxa"/>
            <w:shd w:val="clear" w:color="auto" w:fill="auto"/>
            <w:vAlign w:val="center"/>
          </w:tcPr>
          <w:p>
            <w:pPr>
              <w:widowControl/>
              <w:spacing w:line="400" w:lineRule="exact"/>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控制要求：</w:t>
            </w:r>
            <w:r>
              <w:rPr>
                <w:rFonts w:hint="eastAsia" w:ascii="宋体" w:hAnsi="宋体" w:cs="宋体"/>
                <w:snapToGrid w:val="0"/>
                <w:color w:val="auto"/>
                <w:kern w:val="0"/>
                <w:szCs w:val="21"/>
                <w:highlight w:val="none"/>
              </w:rPr>
              <w:t>机组的运行过程由微机控制，实现以下基本功能（但不仅仅限于以下内容）：机组的定时和自动开、停功能；根据负荷变化，自动调节的功能；故障自动保护、自动诊断和工况记忆、故障记忆功能；机组防误操作的功能；各种运行状态的显示及故障报警功能</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8011" w:type="dxa"/>
            <w:shd w:val="clear" w:color="auto" w:fill="auto"/>
            <w:vAlign w:val="center"/>
          </w:tcPr>
          <w:p>
            <w:pPr>
              <w:widowControl/>
              <w:spacing w:line="400" w:lineRule="exact"/>
              <w:jc w:val="left"/>
              <w:textAlignment w:val="center"/>
              <w:rPr>
                <w:rFonts w:ascii="宋体" w:hAnsi="宋体" w:cs="宋体"/>
                <w:snapToGrid w:val="0"/>
                <w:color w:val="auto"/>
                <w:kern w:val="0"/>
                <w:szCs w:val="21"/>
                <w:highlight w:val="none"/>
              </w:rPr>
            </w:pPr>
            <w:r>
              <w:rPr>
                <w:rFonts w:hint="eastAsia" w:ascii="宋体" w:hAnsi="宋体" w:cs="宋体"/>
                <w:color w:val="auto"/>
                <w:kern w:val="0"/>
                <w:szCs w:val="21"/>
                <w:highlight w:val="none"/>
              </w:rPr>
              <w:t>安全保护装置：高低压、油压差、电机过载、欠压、缺相、防冻、断水等</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widowControl/>
              <w:spacing w:line="400" w:lineRule="exact"/>
              <w:jc w:val="center"/>
              <w:textAlignment w:val="center"/>
              <w:rPr>
                <w:rFonts w:ascii="宋体" w:hAnsi="宋体" w:cs="宋体"/>
                <w:color w:val="auto"/>
                <w:highlight w:val="none"/>
              </w:rPr>
            </w:pPr>
            <w:r>
              <w:rPr>
                <w:rFonts w:hint="eastAsia" w:ascii="宋体" w:hAnsi="宋体" w:cs="宋体"/>
                <w:color w:val="auto"/>
                <w:highlight w:val="none"/>
              </w:rPr>
              <w:t>二</w:t>
            </w:r>
          </w:p>
        </w:tc>
        <w:tc>
          <w:tcPr>
            <w:tcW w:w="8011" w:type="dxa"/>
            <w:shd w:val="clear" w:color="auto" w:fill="auto"/>
            <w:vAlign w:val="center"/>
          </w:tcPr>
          <w:p>
            <w:pPr>
              <w:widowControl/>
              <w:spacing w:line="400" w:lineRule="exact"/>
              <w:jc w:val="left"/>
              <w:textAlignment w:val="center"/>
              <w:rPr>
                <w:rFonts w:ascii="宋体" w:hAnsi="宋体" w:cs="宋体"/>
                <w:color w:val="auto"/>
                <w:szCs w:val="21"/>
                <w:highlight w:val="none"/>
              </w:rPr>
            </w:pPr>
            <w:r>
              <w:rPr>
                <w:rFonts w:hint="eastAsia" w:ascii="宋体" w:hAnsi="宋体" w:cs="宋体"/>
                <w:b/>
                <w:color w:val="auto"/>
                <w:szCs w:val="21"/>
                <w:highlight w:val="none"/>
              </w:rPr>
              <w:t>其他辅助设备安装材料要求</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循环泵（自带控制柜）：100KQL115-34-15/2+YE3电机，立式，口径DN100，流量120m3/h，扬程30m，功率15kw，其他：含隔振橡胶垫，控制柜，两用一备</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水箱：不锈钢膨胀水箱1.2t</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8011" w:type="dxa"/>
            <w:shd w:val="clear" w:color="auto" w:fill="auto"/>
            <w:vAlign w:val="center"/>
          </w:tcPr>
          <w:p>
            <w:pPr>
              <w:widowControl/>
              <w:tabs>
                <w:tab w:val="left" w:pos="2142"/>
              </w:tabs>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镀锌钢管：DN150，焊接法兰连接，含配件、含压力试验及吹扫、冲洗，焊接处防锈防腐处理</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镀锌钢管：DN40，焊接法兰连接，含配件、含压力试验及吹扫、冲洗，焊接处防锈防腐处理</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低压法兰阀门：金属软接DN150，法兰连接</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低压法兰阀门：涡轮蝶阀DN150，法兰连接</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低压法兰阀门：Y型过滤器DN150，法兰连接</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低压法兰阀门：止回阀DN150，法兰连接</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螺纹阀门：铜截止阀DN40，螺纹连接</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低压碳钢焊接法兰：DN150，含配套螺栓及垫片</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压力仪表：压力表安装，包括表弯和接头、压力表旋塞</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温度仪表：温度表连同套管</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螺纹阀门：自动排气阀DN15，螺纹连接，含1个截止阀</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14</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螺纹阀门：截止阀DN20 1003001003螺纹阀门，螺纹连接</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15</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螺纹阀门：泄水阀DN40 1003001004螺纹阀门，螺纹连接</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16</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铜芯电力电缆：YJV-4*10+1*4，敷设方式或部位：桥架或管内，电压等级（kv）：1kv以下</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17</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铜芯电力电缆：YJV-4*120+1*70，敷设方式或部位：桥架或管内，电压等级（kv）：1kv以下</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18</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电缆终端头制作：多芯，截面积10mm2以下，材质、类型：户内干包式，电压等级（kv）：1kv以下</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19</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电缆终端头制作：多芯，截面积120mm2以下，材质、类型：户内干包式，电压等级（kv）：1kv以下</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热镀锌板普通喷塑金属桥架：200*100*1.2，含桥架盖板、盖板扣锁、桥架连接片、连接螺栓，接地：显跨接接地</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21</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设备支架制作安装</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22</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型钢（含木垫）管道支架，木垫式管架制作安装</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23</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金属结构刷油：除锈级别：手工除锈，一般钢结构轻锈，油漆品种：樟丹，调和漆，涂刷遍数、漆膜厚浓：防锈漆一道，调和漆一道</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防潮层、保护层：保护层材料品种：铝皮保护层，厚度：0.5mm</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25</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管道绝热：绝热材料品种：难燃B1级闭泡橡塑材料，绝热厚度：30mm，管道外径：DN200mm以下</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26</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阀门绝热：绝热材料品种：难燃B1级闭泡橡塑材料，绝热厚度：40mm，阀门规格：阀门DN200mm以下</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27</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阀门绝热：绝热材料品种：难燃B1级闭泡橡塑材料，绝热厚度：40mm，阀门规格：阀门DN50mm以下</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28</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法兰绝热：绝热材料品种：难燃B1级闭泡橡塑材料，绝热厚度：40mm，法兰规格：法兰DN200mm以下</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29</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原设备拆除：含老水泵、老主机、老水箱、老阀件、老管道拆除费用、雨棚拆装费用，及拆除材料吊装、运输、人工、整理归库移交费用</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30</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系统调试</w:t>
            </w:r>
          </w:p>
        </w:tc>
        <w:tc>
          <w:tcPr>
            <w:tcW w:w="648" w:type="dxa"/>
          </w:tcPr>
          <w:p>
            <w:pPr>
              <w:spacing w:line="40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31</w:t>
            </w:r>
          </w:p>
        </w:tc>
        <w:tc>
          <w:tcPr>
            <w:tcW w:w="8011" w:type="dxa"/>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脚手架搭拆：满足设计及使用要求</w:t>
            </w:r>
          </w:p>
        </w:tc>
        <w:tc>
          <w:tcPr>
            <w:tcW w:w="648" w:type="dxa"/>
          </w:tcPr>
          <w:p>
            <w:pPr>
              <w:spacing w:line="400" w:lineRule="exact"/>
              <w:jc w:val="center"/>
              <w:rPr>
                <w:rFonts w:ascii="宋体" w:hAnsi="宋体" w:cs="宋体"/>
                <w:color w:val="auto"/>
                <w:kern w:val="0"/>
                <w:szCs w:val="21"/>
                <w:highlight w:val="none"/>
              </w:rPr>
            </w:pPr>
          </w:p>
        </w:tc>
      </w:tr>
    </w:tbl>
    <w:p>
      <w:pPr>
        <w:spacing w:line="400" w:lineRule="exact"/>
        <w:rPr>
          <w:rFonts w:ascii="宋体" w:hAnsi="宋体" w:cs="宋体"/>
          <w:b/>
          <w:color w:val="auto"/>
          <w:szCs w:val="21"/>
          <w:highlight w:val="none"/>
        </w:rPr>
      </w:pPr>
    </w:p>
    <w:p>
      <w:pPr>
        <w:spacing w:line="400" w:lineRule="exact"/>
        <w:rPr>
          <w:rFonts w:ascii="宋体" w:hAnsi="宋体" w:cs="宋体"/>
          <w:b/>
          <w:color w:val="auto"/>
          <w:szCs w:val="21"/>
          <w:highlight w:val="none"/>
        </w:rPr>
      </w:pPr>
    </w:p>
    <w:p>
      <w:pPr>
        <w:spacing w:line="400" w:lineRule="exact"/>
        <w:rPr>
          <w:rFonts w:ascii="宋体" w:hAnsi="宋体" w:cs="宋体"/>
          <w:b/>
          <w:color w:val="auto"/>
          <w:szCs w:val="21"/>
          <w:highlight w:val="none"/>
        </w:rPr>
      </w:pPr>
    </w:p>
    <w:p>
      <w:pPr>
        <w:spacing w:line="400" w:lineRule="exact"/>
        <w:ind w:firstLine="422" w:firstLineChars="200"/>
        <w:rPr>
          <w:rFonts w:ascii="宋体" w:hAnsi="宋体" w:cs="宋体"/>
          <w:b/>
          <w:color w:val="auto"/>
          <w:szCs w:val="21"/>
          <w:highlight w:val="none"/>
        </w:rPr>
      </w:pPr>
    </w:p>
    <w:p>
      <w:pPr>
        <w:spacing w:line="400" w:lineRule="exact"/>
        <w:ind w:firstLine="422" w:firstLineChars="200"/>
        <w:rPr>
          <w:rFonts w:ascii="宋体" w:hAnsi="宋体" w:cs="宋体"/>
          <w:b/>
          <w:color w:val="auto"/>
          <w:szCs w:val="21"/>
          <w:highlight w:val="none"/>
        </w:rPr>
        <w:sectPr>
          <w:pgSz w:w="11907" w:h="16840"/>
          <w:pgMar w:top="851" w:right="1588" w:bottom="851" w:left="1545" w:header="285" w:footer="418" w:gutter="0"/>
          <w:cols w:space="720" w:num="1"/>
          <w:docGrid w:linePitch="286" w:charSpace="0"/>
        </w:sectPr>
      </w:pPr>
    </w:p>
    <w:p>
      <w:pPr>
        <w:spacing w:line="600" w:lineRule="exact"/>
        <w:jc w:val="center"/>
        <w:outlineLvl w:val="0"/>
        <w:rPr>
          <w:rFonts w:ascii="宋体" w:hAnsi="宋体" w:cs="宋体"/>
          <w:b/>
          <w:color w:val="auto"/>
          <w:sz w:val="32"/>
          <w:highlight w:val="none"/>
        </w:rPr>
      </w:pPr>
      <w:bookmarkStart w:id="46" w:name="_Toc55385107"/>
      <w:r>
        <w:rPr>
          <w:rFonts w:hint="eastAsia" w:ascii="宋体" w:hAnsi="宋体" w:cs="宋体"/>
          <w:b/>
          <w:color w:val="auto"/>
          <w:sz w:val="32"/>
          <w:highlight w:val="none"/>
        </w:rPr>
        <w:t>第六章  商务条款</w:t>
      </w:r>
      <w:bookmarkEnd w:id="46"/>
    </w:p>
    <w:tbl>
      <w:tblPr>
        <w:tblStyle w:val="44"/>
        <w:tblW w:w="9072" w:type="dxa"/>
        <w:tblInd w:w="108" w:type="dxa"/>
        <w:tblLayout w:type="fixed"/>
        <w:tblCellMar>
          <w:top w:w="0" w:type="dxa"/>
          <w:left w:w="108" w:type="dxa"/>
          <w:bottom w:w="0" w:type="dxa"/>
          <w:right w:w="108" w:type="dxa"/>
        </w:tblCellMar>
      </w:tblPr>
      <w:tblGrid>
        <w:gridCol w:w="851"/>
        <w:gridCol w:w="8221"/>
      </w:tblGrid>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221" w:type="dxa"/>
            <w:tcBorders>
              <w:top w:val="single" w:color="auto" w:sz="4" w:space="0"/>
              <w:left w:val="nil"/>
              <w:bottom w:val="single" w:color="000000" w:sz="6" w:space="0"/>
              <w:right w:val="single" w:color="auto" w:sz="4" w:space="0"/>
            </w:tcBorders>
            <w:vAlign w:val="center"/>
          </w:tcPr>
          <w:p>
            <w:pPr>
              <w:autoSpaceDE w:val="0"/>
              <w:autoSpaceDN w:val="0"/>
              <w:adjustRightIn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      容</w:t>
            </w:r>
          </w:p>
        </w:tc>
      </w:tr>
      <w:tr>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221" w:type="dxa"/>
            <w:tcBorders>
              <w:top w:val="single" w:color="000000" w:sz="6" w:space="0"/>
              <w:left w:val="nil"/>
              <w:bottom w:val="single" w:color="000000" w:sz="6" w:space="0"/>
              <w:right w:val="single" w:color="auto"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交货地点：采购人指定地点。</w:t>
            </w:r>
          </w:p>
        </w:tc>
      </w:tr>
      <w:tr>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221" w:type="dxa"/>
            <w:tcBorders>
              <w:top w:val="single" w:color="000000" w:sz="6" w:space="0"/>
              <w:left w:val="nil"/>
              <w:bottom w:val="single" w:color="000000" w:sz="6" w:space="0"/>
              <w:right w:val="single" w:color="auto"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交货期：</w:t>
            </w:r>
            <w:r>
              <w:rPr>
                <w:rFonts w:hint="eastAsia" w:ascii="宋体" w:hAnsi="宋体" w:cs="宋体"/>
                <w:color w:val="auto"/>
                <w:szCs w:val="21"/>
                <w:highlight w:val="none"/>
              </w:rPr>
              <w:t>合同签订生效、接采购人开工通知后40天内完成原设备拆除、新设备供货、安装、调试，并通过验收</w:t>
            </w:r>
            <w:r>
              <w:rPr>
                <w:rFonts w:hint="eastAsia" w:ascii="宋体" w:hAnsi="宋体" w:cs="宋体"/>
                <w:color w:val="auto"/>
                <w:highlight w:val="none"/>
              </w:rPr>
              <w:t>。</w:t>
            </w:r>
          </w:p>
        </w:tc>
      </w:tr>
      <w:tr>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221" w:type="dxa"/>
            <w:tcBorders>
              <w:top w:val="single" w:color="000000" w:sz="6" w:space="0"/>
              <w:left w:val="nil"/>
              <w:bottom w:val="single" w:color="000000" w:sz="6" w:space="0"/>
              <w:right w:val="single" w:color="auto" w:sz="4" w:space="0"/>
            </w:tcBorders>
            <w:vAlign w:val="center"/>
          </w:tcPr>
          <w:p>
            <w:pPr>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付款方法和条件：</w:t>
            </w:r>
          </w:p>
          <w:p>
            <w:pPr>
              <w:spacing w:line="400" w:lineRule="exact"/>
              <w:rPr>
                <w:rFonts w:ascii="宋体" w:hAnsi="宋体" w:cs="宋体"/>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.1合同生效</w:t>
            </w:r>
            <w:r>
              <w:rPr>
                <w:rFonts w:hint="eastAsia" w:ascii="宋体" w:hAnsi="宋体" w:cs="宋体"/>
                <w:color w:val="auto"/>
                <w:szCs w:val="21"/>
                <w:highlight w:val="none"/>
              </w:rPr>
              <w:t>以及</w:t>
            </w:r>
            <w:r>
              <w:rPr>
                <w:rFonts w:hint="eastAsia" w:ascii="宋体" w:hAnsi="宋体" w:cs="宋体"/>
                <w:color w:val="auto"/>
                <w:szCs w:val="21"/>
                <w:highlight w:val="none"/>
                <w:lang w:val="zh-CN"/>
              </w:rPr>
              <w:t>具备实施条件后7个工作日内，采购人向供应商支付合同总价40%的预付款（供应商在签订合同时，表示无需预付款或主动要求降低预付款比例的，可不适用本条款）。若需要</w:t>
            </w:r>
            <w:r>
              <w:rPr>
                <w:rFonts w:hint="eastAsia" w:ascii="宋体" w:hAnsi="宋体" w:cs="宋体"/>
                <w:color w:val="auto"/>
                <w:szCs w:val="21"/>
                <w:highlight w:val="none"/>
              </w:rPr>
              <w:t>支付</w:t>
            </w:r>
            <w:r>
              <w:rPr>
                <w:rFonts w:hint="eastAsia" w:ascii="宋体" w:hAnsi="宋体" w:cs="宋体"/>
                <w:color w:val="auto"/>
                <w:szCs w:val="21"/>
                <w:highlight w:val="none"/>
                <w:lang w:val="zh-CN"/>
              </w:rPr>
              <w:t>预付款的，</w:t>
            </w:r>
            <w:r>
              <w:rPr>
                <w:rFonts w:hint="eastAsia" w:ascii="宋体" w:hAnsi="宋体" w:cs="宋体"/>
                <w:color w:val="auto"/>
                <w:szCs w:val="21"/>
                <w:highlight w:val="none"/>
              </w:rPr>
              <w:t>在</w:t>
            </w:r>
            <w:r>
              <w:rPr>
                <w:rFonts w:hint="eastAsia" w:ascii="宋体" w:hAnsi="宋体" w:cs="宋体"/>
                <w:color w:val="auto"/>
                <w:szCs w:val="21"/>
                <w:highlight w:val="none"/>
                <w:lang w:val="zh-CN"/>
              </w:rPr>
              <w:t>预付款支付前，供应商需提交</w:t>
            </w:r>
            <w:r>
              <w:rPr>
                <w:rFonts w:hint="eastAsia" w:ascii="宋体" w:hAnsi="宋体" w:cs="宋体"/>
                <w:color w:val="auto"/>
                <w:szCs w:val="21"/>
                <w:highlight w:val="none"/>
              </w:rPr>
              <w:t>等额的</w:t>
            </w:r>
            <w:r>
              <w:rPr>
                <w:rFonts w:hint="eastAsia" w:ascii="宋体" w:hAnsi="宋体" w:cs="宋体"/>
                <w:color w:val="auto"/>
                <w:szCs w:val="21"/>
                <w:highlight w:val="none"/>
                <w:lang w:val="zh-CN"/>
              </w:rPr>
              <w:t>银行、保险公司等金融机构出具的预付款保函或其他担保措施。</w:t>
            </w:r>
          </w:p>
          <w:p>
            <w:pPr>
              <w:spacing w:line="400" w:lineRule="exact"/>
              <w:rPr>
                <w:rFonts w:ascii="宋体" w:hAnsi="宋体" w:cs="宋体"/>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.2所有货物交付完毕并通过采购人验收后7个工作日内，采购人支付余款。</w:t>
            </w:r>
          </w:p>
          <w:p>
            <w:pPr>
              <w:spacing w:line="400" w:lineRule="exact"/>
              <w:rPr>
                <w:rFonts w:ascii="宋体" w:hAnsi="宋体" w:cs="宋体"/>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.3供应商不提供发票的，采购人有权不予支付。</w:t>
            </w:r>
          </w:p>
        </w:tc>
      </w:tr>
      <w:tr>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221" w:type="dxa"/>
            <w:tcBorders>
              <w:top w:val="single" w:color="auto" w:sz="4" w:space="0"/>
              <w:left w:val="nil"/>
              <w:bottom w:val="single" w:color="000000" w:sz="6" w:space="0"/>
              <w:right w:val="single" w:color="auto"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质保期及售后服务：</w:t>
            </w:r>
          </w:p>
          <w:p>
            <w:pPr>
              <w:spacing w:line="400" w:lineRule="exact"/>
              <w:rPr>
                <w:rFonts w:ascii="宋体" w:hAnsi="宋体" w:cs="宋体"/>
                <w:color w:val="auto"/>
                <w:highlight w:val="none"/>
              </w:rPr>
            </w:pPr>
            <w:r>
              <w:rPr>
                <w:rFonts w:hint="eastAsia" w:ascii="宋体" w:hAnsi="宋体" w:cs="宋体"/>
                <w:color w:val="auto"/>
                <w:highlight w:val="none"/>
              </w:rPr>
              <w:t>4.1本次招标设备整体质保期要求24个月，时间自当地相关部门验收合格之日起。在质保期内，中标人免费负责修理和替换任何由于设备制造、质量缺陷而造成的损坏及故障。</w:t>
            </w:r>
          </w:p>
          <w:p>
            <w:pPr>
              <w:spacing w:line="400" w:lineRule="exact"/>
              <w:rPr>
                <w:rFonts w:ascii="宋体" w:hAnsi="宋体" w:cs="宋体"/>
                <w:color w:val="auto"/>
                <w:highlight w:val="none"/>
              </w:rPr>
            </w:pPr>
            <w:r>
              <w:rPr>
                <w:rFonts w:hint="eastAsia" w:ascii="宋体" w:hAnsi="宋体" w:cs="宋体"/>
                <w:color w:val="auto"/>
                <w:highlight w:val="none"/>
              </w:rPr>
              <w:t>4.2任何因损坏被更换的零部件质保期自更换之日起24个月。</w:t>
            </w:r>
          </w:p>
          <w:p>
            <w:pPr>
              <w:spacing w:line="400" w:lineRule="exact"/>
              <w:rPr>
                <w:rFonts w:ascii="宋体" w:hAnsi="宋体" w:cs="宋体"/>
                <w:color w:val="auto"/>
                <w:highlight w:val="none"/>
              </w:rPr>
            </w:pPr>
            <w:r>
              <w:rPr>
                <w:rFonts w:hint="eastAsia" w:ascii="宋体" w:hAnsi="宋体" w:cs="宋体"/>
                <w:color w:val="auto"/>
                <w:highlight w:val="none"/>
              </w:rPr>
              <w:t>4.3中标人须提供全年24小时/天的售后服务支持，故障响应时间≤1小时，一般故障修复时间≤4小时，重大故障修复时间≤36小时。提供不间断的服务直至完成修复。中标人应在宁波本地有充足的备件以满足维修所需。</w:t>
            </w:r>
          </w:p>
          <w:p>
            <w:pPr>
              <w:spacing w:line="400" w:lineRule="exact"/>
              <w:rPr>
                <w:rFonts w:ascii="宋体" w:hAnsi="宋体" w:cs="宋体"/>
                <w:color w:val="auto"/>
                <w:highlight w:val="none"/>
              </w:rPr>
            </w:pPr>
            <w:r>
              <w:rPr>
                <w:rFonts w:hint="eastAsia" w:ascii="宋体" w:hAnsi="宋体" w:cs="宋体"/>
                <w:color w:val="auto"/>
                <w:highlight w:val="none"/>
              </w:rPr>
              <w:t>4.4质保期内，中标人每年不得少于两次日常维护保养，保养时间需采购人确认。</w:t>
            </w:r>
          </w:p>
        </w:tc>
      </w:tr>
      <w:tr>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221" w:type="dxa"/>
            <w:tcBorders>
              <w:top w:val="single" w:color="000000" w:sz="6" w:space="0"/>
              <w:left w:val="nil"/>
              <w:bottom w:val="single" w:color="000000" w:sz="6" w:space="0"/>
              <w:right w:val="single" w:color="auto" w:sz="4" w:space="0"/>
            </w:tcBorders>
            <w:vAlign w:val="center"/>
          </w:tcPr>
          <w:p>
            <w:pPr>
              <w:autoSpaceDE w:val="0"/>
              <w:autoSpaceDN w:val="0"/>
              <w:adjustRightInd w:val="0"/>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授予合同：</w:t>
            </w:r>
          </w:p>
          <w:p>
            <w:pPr>
              <w:autoSpaceDE w:val="0"/>
              <w:autoSpaceDN w:val="0"/>
              <w:adjustRightInd w:val="0"/>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①中标通知书发出之日起30天内，中标供应商应按照采购文件的规定、中标供应商的投标文件及中标通知书确定的金额签订合同。</w:t>
            </w:r>
          </w:p>
          <w:p>
            <w:pPr>
              <w:autoSpaceDE w:val="0"/>
              <w:autoSpaceDN w:val="0"/>
              <w:adjustRightInd w:val="0"/>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②中标供应商如不遵守招标文件各项条款的邀约与要约，或在接到中标通知书后借故拖延，拒签合同的，采购人将按《浙江省政府采购供应商注册及诚信管理暂行办法》的规定上报诚信状况。给采购人造成的损失的还应当予以赔偿。</w:t>
            </w:r>
          </w:p>
        </w:tc>
      </w:tr>
    </w:tbl>
    <w:p>
      <w:pPr>
        <w:spacing w:line="400" w:lineRule="exact"/>
        <w:jc w:val="center"/>
        <w:outlineLvl w:val="0"/>
        <w:rPr>
          <w:rFonts w:ascii="宋体" w:hAnsi="宋体" w:cs="宋体"/>
          <w:b/>
          <w:color w:val="auto"/>
          <w:sz w:val="32"/>
          <w:highlight w:val="none"/>
        </w:rPr>
      </w:pPr>
    </w:p>
    <w:p>
      <w:pPr>
        <w:spacing w:line="400" w:lineRule="exact"/>
        <w:outlineLvl w:val="0"/>
        <w:rPr>
          <w:rFonts w:ascii="宋体" w:hAnsi="宋体" w:cs="宋体"/>
          <w:bCs/>
          <w:color w:val="auto"/>
          <w:sz w:val="24"/>
          <w:highlight w:val="none"/>
        </w:rPr>
      </w:pPr>
    </w:p>
    <w:p>
      <w:pPr>
        <w:spacing w:line="400" w:lineRule="exact"/>
        <w:jc w:val="center"/>
        <w:rPr>
          <w:rFonts w:ascii="宋体" w:hAnsi="宋体" w:cs="宋体"/>
          <w:b/>
          <w:color w:val="auto"/>
          <w:sz w:val="32"/>
          <w:highlight w:val="none"/>
        </w:rPr>
        <w:sectPr>
          <w:pgSz w:w="11907" w:h="16840"/>
          <w:pgMar w:top="851" w:right="1588" w:bottom="851" w:left="1545" w:header="285" w:footer="418" w:gutter="0"/>
          <w:cols w:space="720" w:num="1"/>
          <w:docGrid w:linePitch="285" w:charSpace="0"/>
        </w:sectPr>
      </w:pPr>
    </w:p>
    <w:bookmarkEnd w:id="44"/>
    <w:p>
      <w:pPr>
        <w:spacing w:line="400" w:lineRule="exact"/>
        <w:jc w:val="center"/>
        <w:outlineLvl w:val="0"/>
        <w:rPr>
          <w:rFonts w:ascii="宋体" w:hAnsi="宋体" w:cs="宋体"/>
          <w:b/>
          <w:color w:val="auto"/>
          <w:sz w:val="32"/>
          <w:highlight w:val="none"/>
        </w:rPr>
      </w:pPr>
      <w:bookmarkStart w:id="47" w:name="_Toc55385108"/>
      <w:r>
        <w:rPr>
          <w:rFonts w:hint="eastAsia" w:ascii="宋体" w:hAnsi="宋体" w:cs="宋体"/>
          <w:b/>
          <w:color w:val="auto"/>
          <w:sz w:val="32"/>
          <w:highlight w:val="none"/>
        </w:rPr>
        <w:t>第七章  附件</w:t>
      </w:r>
      <w:bookmarkEnd w:id="47"/>
    </w:p>
    <w:p>
      <w:pPr>
        <w:spacing w:line="360" w:lineRule="auto"/>
        <w:rPr>
          <w:rStyle w:val="88"/>
          <w:rFonts w:ascii="宋体" w:hAnsi="宋体" w:cs="宋体"/>
          <w:color w:val="auto"/>
          <w:sz w:val="21"/>
          <w:szCs w:val="21"/>
          <w:highlight w:val="none"/>
        </w:rPr>
      </w:pPr>
    </w:p>
    <w:p>
      <w:pPr>
        <w:spacing w:line="400" w:lineRule="exact"/>
        <w:rPr>
          <w:rStyle w:val="88"/>
          <w:rFonts w:ascii="宋体" w:hAnsi="宋体" w:cs="宋体"/>
          <w:b w:val="0"/>
          <w:color w:val="auto"/>
          <w:spacing w:val="0"/>
          <w:sz w:val="21"/>
          <w:szCs w:val="21"/>
          <w:highlight w:val="none"/>
        </w:rPr>
      </w:pPr>
      <w:r>
        <w:rPr>
          <w:rStyle w:val="88"/>
          <w:rFonts w:hint="eastAsia" w:ascii="宋体" w:hAnsi="宋体" w:cs="宋体"/>
          <w:color w:val="auto"/>
          <w:sz w:val="21"/>
          <w:szCs w:val="21"/>
          <w:highlight w:val="none"/>
        </w:rPr>
        <w:t>封面</w:t>
      </w:r>
    </w:p>
    <w:p>
      <w:pPr>
        <w:spacing w:line="360" w:lineRule="auto"/>
        <w:ind w:firstLine="1189" w:firstLineChars="400"/>
        <w:rPr>
          <w:rFonts w:ascii="宋体" w:hAnsi="宋体" w:cs="宋体"/>
          <w:b/>
          <w:color w:val="auto"/>
          <w:sz w:val="32"/>
          <w:szCs w:val="32"/>
          <w:highlight w:val="none"/>
        </w:rPr>
      </w:pPr>
      <w:r>
        <w:rPr>
          <w:rStyle w:val="88"/>
          <w:rFonts w:hint="eastAsia" w:ascii="宋体" w:hAnsi="宋体" w:cs="宋体"/>
          <w:color w:val="auto"/>
          <w:sz w:val="30"/>
          <w:szCs w:val="30"/>
          <w:highlight w:val="none"/>
        </w:rPr>
        <w:t xml:space="preserve">   </w:t>
      </w:r>
      <w:r>
        <w:rPr>
          <w:rFonts w:hint="eastAsia" w:ascii="宋体" w:hAnsi="宋体" w:cs="宋体"/>
          <w:color w:val="auto"/>
          <w:sz w:val="28"/>
          <w:highlight w:val="none"/>
        </w:rPr>
        <w:t xml:space="preserve">                                         </w:t>
      </w:r>
    </w:p>
    <w:p>
      <w:pPr>
        <w:spacing w:line="360" w:lineRule="auto"/>
        <w:rPr>
          <w:rFonts w:ascii="宋体" w:hAnsi="宋体" w:cs="宋体"/>
          <w:color w:val="auto"/>
          <w:sz w:val="28"/>
          <w:szCs w:val="28"/>
          <w:highlight w:val="none"/>
        </w:rPr>
      </w:pPr>
    </w:p>
    <w:p>
      <w:pPr>
        <w:spacing w:line="360" w:lineRule="auto"/>
        <w:jc w:val="center"/>
        <w:rPr>
          <w:rFonts w:ascii="宋体" w:hAnsi="宋体" w:cs="宋体"/>
          <w:b/>
          <w:color w:val="auto"/>
          <w:sz w:val="46"/>
          <w:szCs w:val="52"/>
          <w:highlight w:val="none"/>
        </w:rPr>
      </w:pPr>
      <w:r>
        <w:rPr>
          <w:rFonts w:hint="eastAsia" w:ascii="宋体" w:hAnsi="宋体" w:cs="宋体"/>
          <w:b/>
          <w:color w:val="auto"/>
          <w:sz w:val="46"/>
          <w:szCs w:val="52"/>
          <w:highlight w:val="none"/>
        </w:rPr>
        <w:t>宁波前湾新区管委会大楼中央空调主机采购及安装项目</w:t>
      </w:r>
    </w:p>
    <w:p>
      <w:pPr>
        <w:spacing w:line="360" w:lineRule="auto"/>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u w:val="single"/>
          <w:lang w:eastAsia="zh-CN"/>
        </w:rPr>
        <w:t>QWZFCG25060（NBITC-202510974G）</w:t>
      </w:r>
    </w:p>
    <w:p>
      <w:pP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（资格文件/商务和技术文件/报价文件）</w:t>
      </w:r>
    </w:p>
    <w:p>
      <w:pPr>
        <w:spacing w:line="360" w:lineRule="auto"/>
        <w:jc w:val="center"/>
        <w:rPr>
          <w:rFonts w:ascii="宋体" w:hAnsi="宋体" w:cs="宋体"/>
          <w:b/>
          <w:color w:val="auto"/>
          <w:sz w:val="72"/>
          <w:szCs w:val="72"/>
          <w:highlight w:val="none"/>
        </w:rPr>
      </w:pPr>
    </w:p>
    <w:p>
      <w:pPr>
        <w:spacing w:line="360" w:lineRule="auto"/>
        <w:jc w:val="center"/>
        <w:rPr>
          <w:rFonts w:ascii="宋体" w:hAnsi="宋体" w:cs="宋体"/>
          <w:color w:val="auto"/>
          <w:sz w:val="36"/>
          <w:szCs w:val="36"/>
          <w:highlight w:val="none"/>
          <w:u w:val="single"/>
        </w:rPr>
      </w:pPr>
      <w:r>
        <w:rPr>
          <w:rFonts w:hint="eastAsia" w:ascii="宋体" w:hAnsi="宋体" w:cs="宋体"/>
          <w:color w:val="auto"/>
          <w:sz w:val="36"/>
          <w:szCs w:val="36"/>
          <w:highlight w:val="none"/>
        </w:rPr>
        <w:t>供应商全称：</w:t>
      </w:r>
      <w:r>
        <w:rPr>
          <w:rFonts w:hint="eastAsia" w:ascii="宋体" w:hAnsi="宋体" w:cs="宋体"/>
          <w:color w:val="auto"/>
          <w:sz w:val="36"/>
          <w:szCs w:val="36"/>
          <w:highlight w:val="none"/>
          <w:u w:val="single"/>
        </w:rPr>
        <w:t>（加盖单位公章）</w:t>
      </w:r>
    </w:p>
    <w:p>
      <w:pPr>
        <w:pStyle w:val="23"/>
        <w:ind w:left="101" w:leftChars="48" w:firstLine="1920" w:firstLineChars="800"/>
        <w:jc w:val="left"/>
        <w:rPr>
          <w:rFonts w:hAnsi="宋体" w:cs="宋体"/>
          <w:color w:val="auto"/>
          <w:szCs w:val="28"/>
          <w:highlight w:val="none"/>
          <w:u w:val="single"/>
        </w:rPr>
      </w:pPr>
    </w:p>
    <w:p>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年   月   日</w:t>
      </w:r>
    </w:p>
    <w:p>
      <w:pPr>
        <w:pStyle w:val="21"/>
        <w:snapToGrid w:val="0"/>
        <w:spacing w:line="400" w:lineRule="exact"/>
        <w:rPr>
          <w:rStyle w:val="88"/>
          <w:color w:val="auto"/>
          <w:sz w:val="21"/>
          <w:highlight w:val="none"/>
        </w:rPr>
      </w:pPr>
      <w:r>
        <w:rPr>
          <w:rFonts w:hint="eastAsia"/>
          <w:color w:val="auto"/>
          <w:sz w:val="36"/>
          <w:szCs w:val="36"/>
          <w:highlight w:val="none"/>
        </w:rPr>
        <w:br w:type="page"/>
      </w:r>
    </w:p>
    <w:p>
      <w:pPr>
        <w:spacing w:line="400" w:lineRule="exact"/>
        <w:jc w:val="center"/>
        <w:rPr>
          <w:rFonts w:ascii="宋体" w:hAnsi="宋体" w:cs="宋体"/>
          <w:b/>
          <w:color w:val="auto"/>
          <w:szCs w:val="21"/>
          <w:highlight w:val="none"/>
        </w:rPr>
      </w:pPr>
      <w:r>
        <w:rPr>
          <w:rStyle w:val="88"/>
          <w:rFonts w:hint="eastAsia" w:ascii="宋体" w:hAnsi="宋体" w:cs="宋体"/>
          <w:color w:val="auto"/>
          <w:sz w:val="21"/>
          <w:szCs w:val="21"/>
          <w:highlight w:val="none"/>
        </w:rPr>
        <w:t>A1、关于</w:t>
      </w:r>
      <w:r>
        <w:rPr>
          <w:rFonts w:hint="eastAsia" w:ascii="宋体" w:hAnsi="宋体" w:cs="宋体"/>
          <w:b/>
          <w:color w:val="auto"/>
          <w:szCs w:val="21"/>
          <w:highlight w:val="none"/>
        </w:rPr>
        <w:t>资格的承诺函</w:t>
      </w:r>
    </w:p>
    <w:p>
      <w:pPr>
        <w:spacing w:line="400" w:lineRule="exact"/>
        <w:rPr>
          <w:rFonts w:ascii="宋体" w:hAnsi="宋体" w:cs="宋体"/>
          <w:b/>
          <w:color w:val="auto"/>
          <w:szCs w:val="21"/>
          <w:highlight w:val="none"/>
        </w:rPr>
      </w:pPr>
      <w:r>
        <w:rPr>
          <w:rFonts w:hint="eastAsia" w:ascii="宋体" w:hAnsi="宋体" w:cs="宋体"/>
          <w:color w:val="auto"/>
          <w:szCs w:val="21"/>
          <w:highlight w:val="none"/>
        </w:rPr>
        <w:t>致：采购人</w:t>
      </w:r>
    </w:p>
    <w:p>
      <w:pPr>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我单位承诺：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我单位满足《中华人民共和国政府采购法》第二十二条 供应商参加政府采购活动应当具备的下列条件：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（一）具有独立承担民事责任的能力；</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（二）具有良好的商业信誉和健全的财务会计制度；</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（三）具有履行合同所必需的设备和专业技术能力；</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（四）有依法缴纳税收和社会保障资金的良好记录；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（五）参加政府采购活动前三年内，在经营活动中没有重大违法记录；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（六）法律、行政法规规定的其他条件。</w:t>
      </w: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注：政府采购法所称重大违法记录：是指供应商因违法经营受到刑事处罚或者责令停产停业、吊销许可证或者执照、较大数额罚款等行政处罚。</w:t>
      </w: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p>
    <w:p>
      <w:pPr>
        <w:spacing w:line="400" w:lineRule="atLeast"/>
        <w:jc w:val="left"/>
        <w:rPr>
          <w:rFonts w:ascii="宋体" w:hAnsi="宋体" w:cs="宋体"/>
          <w:color w:val="auto"/>
          <w:szCs w:val="21"/>
          <w:highlight w:val="none"/>
        </w:rPr>
      </w:pPr>
      <w:r>
        <w:rPr>
          <w:rFonts w:hint="eastAsia" w:ascii="宋体" w:hAnsi="宋体" w:cs="宋体"/>
          <w:color w:val="auto"/>
          <w:szCs w:val="21"/>
          <w:highlight w:val="none"/>
        </w:rPr>
        <w:t xml:space="preserve">供应商（盖章）：          </w:t>
      </w:r>
    </w:p>
    <w:p>
      <w:pPr>
        <w:spacing w:line="400" w:lineRule="exact"/>
        <w:rPr>
          <w:rFonts w:ascii="宋体" w:hAnsi="宋体" w:cs="宋体"/>
          <w:b/>
          <w:color w:val="auto"/>
          <w:szCs w:val="21"/>
          <w:highlight w:val="none"/>
        </w:rPr>
      </w:pPr>
      <w:r>
        <w:rPr>
          <w:rFonts w:hint="eastAsia" w:ascii="宋体" w:hAnsi="宋体" w:cs="宋体"/>
          <w:color w:val="auto"/>
          <w:szCs w:val="21"/>
          <w:highlight w:val="none"/>
        </w:rPr>
        <w:t>日          期：</w:t>
      </w:r>
    </w:p>
    <w:p>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br w:type="page"/>
      </w:r>
    </w:p>
    <w:p>
      <w:pPr>
        <w:widowControl/>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A2、营业执照副本（或事业法人登记证副本或其他登记证明材料）扫描件加盖供应商公章（供应商如果有名称变更的，应提供由行政主管部门出具的变更证明文件扫描件加盖供应商公章）</w:t>
      </w:r>
    </w:p>
    <w:p>
      <w:pPr>
        <w:widowControl/>
        <w:spacing w:line="400" w:lineRule="exact"/>
        <w:jc w:val="left"/>
        <w:rPr>
          <w:rFonts w:ascii="宋体" w:hAnsi="宋体" w:cs="宋体"/>
          <w:b/>
          <w:color w:val="auto"/>
          <w:szCs w:val="21"/>
          <w:highlight w:val="none"/>
        </w:rPr>
      </w:pPr>
    </w:p>
    <w:p>
      <w:pPr>
        <w:widowControl/>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A3、供应商认为需要的其他资料（如有需提供）。</w:t>
      </w:r>
    </w:p>
    <w:p>
      <w:pPr>
        <w:widowControl/>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br w:type="page"/>
      </w:r>
    </w:p>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B1、投标书</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致：采购人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(供应商全称) </w:t>
      </w:r>
      <w:r>
        <w:rPr>
          <w:rFonts w:hint="eastAsia" w:ascii="宋体" w:hAnsi="宋体" w:cs="宋体"/>
          <w:color w:val="auto"/>
          <w:szCs w:val="21"/>
          <w:highlight w:val="none"/>
        </w:rPr>
        <w:t>授权</w:t>
      </w:r>
      <w:r>
        <w:rPr>
          <w:rFonts w:hint="eastAsia" w:ascii="宋体" w:hAnsi="宋体" w:cs="宋体"/>
          <w:color w:val="auto"/>
          <w:szCs w:val="21"/>
          <w:highlight w:val="none"/>
          <w:u w:val="single"/>
        </w:rPr>
        <w:t xml:space="preserve">  （全名、职务）  </w:t>
      </w:r>
      <w:r>
        <w:rPr>
          <w:rFonts w:hint="eastAsia" w:ascii="宋体" w:hAnsi="宋体" w:cs="宋体"/>
          <w:color w:val="auto"/>
          <w:szCs w:val="21"/>
          <w:highlight w:val="none"/>
        </w:rPr>
        <w:t>为全权代表，参加贵方组织的</w:t>
      </w:r>
      <w:r>
        <w:rPr>
          <w:rFonts w:hint="eastAsia" w:ascii="宋体" w:hAnsi="宋体" w:cs="宋体"/>
          <w:color w:val="auto"/>
          <w:szCs w:val="21"/>
          <w:highlight w:val="none"/>
          <w:u w:val="single"/>
        </w:rPr>
        <w:t>宁波前湾新区管委会大楼中央空调主机采购及安装项目</w:t>
      </w: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QWZFCG25060（NBITC-202510974G）</w:t>
      </w:r>
      <w:r>
        <w:rPr>
          <w:rFonts w:hint="eastAsia" w:ascii="宋体" w:hAnsi="宋体" w:cs="宋体"/>
          <w:color w:val="auto"/>
          <w:szCs w:val="21"/>
          <w:highlight w:val="none"/>
        </w:rPr>
        <w:t>）招标活动并投标，为便于贵方公正、择优地确定中标供应商及其服务，我方就本次投标有关事项郑重声明如下：</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1、我方向贵方提交的所有投标文件、资料都是准确的和真实的。如有虚假或隐瞒，我方愿意承担一切后果，并不再寻求任何旨在减轻或免除法律责任的辩解。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2、我方不是为本项目提供整体设计、规范编制或者项目管理、监理、检测等服务的供应商。</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3、我们已详细审查全部招标文件及有关的澄清/修改文件(若有)，我们完全理解并同意放弃对这方面提出任何异议的权利。</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highlight w:val="none"/>
        </w:rPr>
        <w:t>保证遵守招标文件有关条款规定。</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5、本项目的投标报价详见“开标一览表”。</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6、投标文件有效期为自开标之日起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个日历日。</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7、保证在中标后忠实地执行与采购人所签署的合同，并承担合同规定的责任义务。</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color w:val="auto"/>
          <w:highlight w:val="none"/>
        </w:rPr>
        <w:t>据此函，签字代表宣布并承诺如下：同意招标文件中有关招标代理服务费的条款，如有异议在投标前会以书面方式向招标代理机构提出，保证在中标后按照招标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采购人的协调</w:t>
      </w:r>
      <w:r>
        <w:rPr>
          <w:rFonts w:hint="eastAsia" w:ascii="宋体" w:hAnsi="宋体" w:cs="宋体"/>
          <w:color w:val="auto"/>
          <w:szCs w:val="21"/>
          <w:highlight w:val="none"/>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9、与本投标有关的一切正式来往通讯请寄：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00" w:lineRule="exact"/>
        <w:ind w:left="540" w:firstLine="30"/>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供应商（盖章）：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r>
        <w:rPr>
          <w:rFonts w:hint="eastAsia" w:ascii="宋体" w:hAnsi="宋体" w:cs="宋体"/>
          <w:color w:val="auto"/>
          <w:szCs w:val="21"/>
          <w:highlight w:val="none"/>
          <w:u w:val="single"/>
        </w:rPr>
        <w:t xml:space="preserve">                  </w:t>
      </w:r>
    </w:p>
    <w:p>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pPr>
        <w:spacing w:line="400" w:lineRule="exact"/>
        <w:rPr>
          <w:rFonts w:ascii="宋体" w:hAnsi="宋体" w:cs="宋体"/>
          <w:color w:val="auto"/>
          <w:szCs w:val="21"/>
          <w:highlight w:val="none"/>
          <w:u w:val="single"/>
        </w:rPr>
      </w:pPr>
    </w:p>
    <w:p>
      <w:pPr>
        <w:spacing w:line="400" w:lineRule="exact"/>
        <w:rPr>
          <w:rFonts w:ascii="宋体" w:hAnsi="宋体" w:cs="宋体"/>
          <w:color w:val="auto"/>
          <w:szCs w:val="21"/>
          <w:highlight w:val="none"/>
          <w:u w:val="single"/>
        </w:rPr>
      </w:pPr>
    </w:p>
    <w:p>
      <w:pPr>
        <w:pStyle w:val="21"/>
        <w:snapToGrid w:val="0"/>
        <w:spacing w:line="400" w:lineRule="exact"/>
        <w:rPr>
          <w:b/>
          <w:color w:val="auto"/>
          <w:sz w:val="21"/>
          <w:szCs w:val="21"/>
          <w:highlight w:val="none"/>
        </w:rPr>
      </w:pPr>
      <w:r>
        <w:rPr>
          <w:rStyle w:val="88"/>
          <w:rFonts w:hint="eastAsia"/>
          <w:color w:val="auto"/>
          <w:sz w:val="21"/>
          <w:szCs w:val="21"/>
          <w:highlight w:val="none"/>
        </w:rPr>
        <w:br w:type="page"/>
      </w:r>
      <w:bookmarkStart w:id="48" w:name="OLE_LINK17"/>
    </w:p>
    <w:p>
      <w:pPr>
        <w:spacing w:line="400" w:lineRule="exact"/>
        <w:jc w:val="center"/>
        <w:outlineLvl w:val="0"/>
        <w:rPr>
          <w:rFonts w:ascii="宋体" w:hAnsi="宋体" w:cs="宋体"/>
          <w:b/>
          <w:color w:val="auto"/>
          <w:szCs w:val="21"/>
          <w:highlight w:val="none"/>
        </w:rPr>
      </w:pPr>
      <w:bookmarkStart w:id="49" w:name="_Toc55385109"/>
      <w:bookmarkStart w:id="50" w:name="_Toc529355821"/>
      <w:r>
        <w:rPr>
          <w:rFonts w:hint="eastAsia" w:ascii="宋体" w:hAnsi="宋体" w:cs="宋体"/>
          <w:b/>
          <w:color w:val="auto"/>
          <w:szCs w:val="21"/>
          <w:highlight w:val="none"/>
        </w:rPr>
        <w:t>B2、法定代表人身份证明</w:t>
      </w:r>
      <w:bookmarkEnd w:id="49"/>
      <w:bookmarkEnd w:id="50"/>
    </w:p>
    <w:p>
      <w:pPr>
        <w:spacing w:line="400" w:lineRule="exact"/>
        <w:jc w:val="center"/>
        <w:outlineLvl w:val="0"/>
        <w:rPr>
          <w:rFonts w:ascii="宋体" w:hAnsi="宋体" w:cs="宋体"/>
          <w:b/>
          <w:color w:val="auto"/>
          <w:szCs w:val="21"/>
          <w:highlight w:val="none"/>
        </w:rPr>
      </w:pPr>
    </w:p>
    <w:p>
      <w:pPr>
        <w:spacing w:afterLines="50" w:line="400" w:lineRule="exact"/>
        <w:rPr>
          <w:rFonts w:ascii="宋体" w:hAnsi="宋体" w:cs="宋体"/>
          <w:color w:val="auto"/>
          <w:szCs w:val="21"/>
          <w:highlight w:val="none"/>
          <w:u w:val="singl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pPr>
        <w:spacing w:afterLines="50" w:line="400" w:lineRule="exact"/>
        <w:rPr>
          <w:rFonts w:ascii="宋体" w:hAnsi="宋体" w:cs="宋体"/>
          <w:color w:val="auto"/>
          <w:szCs w:val="21"/>
          <w:highlight w:val="none"/>
          <w:u w:val="singl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pPr>
        <w:spacing w:afterLines="50" w:line="400" w:lineRule="exact"/>
        <w:rPr>
          <w:rFonts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afterLines="50" w:line="400" w:lineRule="exact"/>
        <w:rPr>
          <w:rFonts w:ascii="宋体" w:hAnsi="宋体" w:cs="宋体"/>
          <w:color w:val="auto"/>
          <w:szCs w:val="21"/>
          <w:highlight w:val="none"/>
          <w:u w:val="singl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afterLines="50" w:line="400" w:lineRule="exact"/>
        <w:rPr>
          <w:rFonts w:ascii="宋体" w:hAnsi="宋体" w:cs="宋体"/>
          <w:color w:val="auto"/>
          <w:szCs w:val="21"/>
          <w:highlight w:val="none"/>
          <w:u w:val="singl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afterLines="50" w:line="400" w:lineRule="exact"/>
        <w:rPr>
          <w:rFonts w:ascii="宋体" w:hAnsi="宋体" w:cs="宋体"/>
          <w:color w:val="auto"/>
          <w:szCs w:val="21"/>
          <w:highlight w:val="none"/>
          <w:u w:val="singl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afterLines="50" w:line="400" w:lineRule="exact"/>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400" w:lineRule="exact"/>
        <w:ind w:firstLine="560"/>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w:t>
      </w:r>
    </w:p>
    <w:p>
      <w:pPr>
        <w:spacing w:line="400" w:lineRule="exact"/>
        <w:ind w:firstLine="560"/>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特此证明。</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供应商（盖章）：</w:t>
      </w:r>
    </w:p>
    <w:p>
      <w:pPr>
        <w:spacing w:line="400" w:lineRule="exact"/>
        <w:ind w:right="560"/>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400" w:lineRule="exact"/>
        <w:ind w:right="560"/>
        <w:rPr>
          <w:rFonts w:ascii="宋体" w:hAnsi="宋体" w:cs="宋体"/>
          <w:color w:val="auto"/>
          <w:szCs w:val="21"/>
          <w:highlight w:val="none"/>
        </w:rPr>
      </w:pPr>
    </w:p>
    <w:p>
      <w:pPr>
        <w:spacing w:line="400" w:lineRule="exact"/>
        <w:ind w:right="560"/>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附：法定代表人身份证扫描件正反面</w:t>
      </w:r>
    </w:p>
    <w:p>
      <w:pPr>
        <w:spacing w:line="400" w:lineRule="exact"/>
        <w:jc w:val="left"/>
        <w:rPr>
          <w:rStyle w:val="88"/>
          <w:rFonts w:ascii="宋体" w:hAnsi="宋体" w:cs="宋体"/>
          <w:color w:val="auto"/>
          <w:sz w:val="21"/>
          <w:szCs w:val="21"/>
          <w:highlight w:val="none"/>
        </w:rPr>
      </w:pPr>
    </w:p>
    <w:p>
      <w:pPr>
        <w:spacing w:line="400" w:lineRule="exact"/>
        <w:jc w:val="left"/>
        <w:rPr>
          <w:rStyle w:val="88"/>
          <w:rFonts w:ascii="宋体" w:hAnsi="宋体" w:cs="宋体"/>
          <w:color w:val="auto"/>
          <w:sz w:val="21"/>
          <w:szCs w:val="21"/>
          <w:highlight w:val="none"/>
        </w:rPr>
      </w:pPr>
    </w:p>
    <w:p>
      <w:pPr>
        <w:spacing w:line="400" w:lineRule="exact"/>
        <w:jc w:val="left"/>
        <w:rPr>
          <w:rStyle w:val="88"/>
          <w:rFonts w:ascii="宋体" w:hAnsi="宋体" w:cs="宋体"/>
          <w:color w:val="auto"/>
          <w:sz w:val="21"/>
          <w:szCs w:val="21"/>
          <w:highlight w:val="none"/>
        </w:rPr>
      </w:pPr>
    </w:p>
    <w:p>
      <w:pPr>
        <w:spacing w:line="400" w:lineRule="exact"/>
        <w:jc w:val="left"/>
        <w:rPr>
          <w:rStyle w:val="88"/>
          <w:rFonts w:ascii="宋体" w:hAnsi="宋体" w:cs="宋体"/>
          <w:color w:val="auto"/>
          <w:sz w:val="21"/>
          <w:szCs w:val="21"/>
          <w:highlight w:val="none"/>
        </w:rPr>
      </w:pPr>
    </w:p>
    <w:bookmarkEnd w:id="48"/>
    <w:p>
      <w:pPr>
        <w:widowControl/>
        <w:jc w:val="left"/>
        <w:rPr>
          <w:rFonts w:ascii="宋体" w:hAnsi="宋体" w:cs="宋体"/>
          <w:b/>
          <w:color w:val="auto"/>
          <w:szCs w:val="21"/>
          <w:highlight w:val="none"/>
        </w:rPr>
      </w:pPr>
      <w:r>
        <w:rPr>
          <w:rFonts w:hint="eastAsia" w:ascii="宋体" w:hAnsi="宋体" w:cs="宋体"/>
          <w:b/>
          <w:color w:val="auto"/>
          <w:szCs w:val="21"/>
          <w:highlight w:val="none"/>
        </w:rPr>
        <w:br w:type="page"/>
      </w:r>
    </w:p>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B3、法定代表人授权书</w:t>
      </w:r>
    </w:p>
    <w:p>
      <w:pPr>
        <w:spacing w:line="400" w:lineRule="exact"/>
        <w:jc w:val="center"/>
        <w:rPr>
          <w:rFonts w:ascii="宋体" w:hAnsi="宋体" w:cs="宋体"/>
          <w:b/>
          <w:color w:val="auto"/>
          <w:szCs w:val="21"/>
          <w:highlight w:val="none"/>
        </w:rPr>
      </w:pPr>
      <w:r>
        <w:rPr>
          <w:rFonts w:hint="eastAsia" w:ascii="宋体" w:hAnsi="宋体" w:cs="宋体"/>
          <w:color w:val="auto"/>
          <w:szCs w:val="21"/>
          <w:highlight w:val="none"/>
        </w:rPr>
        <w:t>（投标文件由授权代表签字（或盖章）的须提供）</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致：采购人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（供应商全称）</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（法定代表人姓名）</w:t>
      </w:r>
      <w:r>
        <w:rPr>
          <w:rFonts w:hint="eastAsia" w:ascii="宋体" w:hAnsi="宋体" w:cs="宋体"/>
          <w:color w:val="auto"/>
          <w:szCs w:val="21"/>
          <w:highlight w:val="none"/>
        </w:rPr>
        <w:t>授权</w:t>
      </w:r>
      <w:r>
        <w:rPr>
          <w:rFonts w:hint="eastAsia" w:ascii="宋体" w:hAnsi="宋体" w:cs="宋体"/>
          <w:color w:val="auto"/>
          <w:szCs w:val="21"/>
          <w:highlight w:val="none"/>
          <w:u w:val="single"/>
        </w:rPr>
        <w:t xml:space="preserve"> （授权代表姓名）</w:t>
      </w:r>
      <w:r>
        <w:rPr>
          <w:rFonts w:hint="eastAsia" w:ascii="宋体" w:hAnsi="宋体" w:cs="宋体"/>
          <w:color w:val="auto"/>
          <w:szCs w:val="21"/>
          <w:highlight w:val="none"/>
        </w:rPr>
        <w:t>为授权代表，参加</w:t>
      </w:r>
      <w:r>
        <w:rPr>
          <w:rFonts w:hint="eastAsia" w:ascii="宋体" w:hAnsi="宋体" w:cs="宋体"/>
          <w:color w:val="auto"/>
          <w:szCs w:val="21"/>
          <w:highlight w:val="none"/>
          <w:u w:val="single"/>
        </w:rPr>
        <w:t>宁波前湾新区管委会大楼中央空调主机采购及安装项目</w:t>
      </w:r>
      <w:r>
        <w:rPr>
          <w:rFonts w:hint="eastAsia" w:ascii="宋体" w:hAnsi="宋体" w:cs="宋体"/>
          <w:color w:val="auto"/>
          <w:szCs w:val="21"/>
          <w:highlight w:val="none"/>
        </w:rPr>
        <w:t>，项目编号为</w:t>
      </w:r>
      <w:r>
        <w:rPr>
          <w:rFonts w:hint="eastAsia" w:ascii="宋体" w:hAnsi="宋体" w:cs="宋体"/>
          <w:color w:val="auto"/>
          <w:szCs w:val="21"/>
          <w:highlight w:val="none"/>
          <w:u w:val="single"/>
          <w:lang w:eastAsia="zh-CN"/>
        </w:rPr>
        <w:t>QWZFCG25060（NBITC-202510974G）</w:t>
      </w:r>
      <w:r>
        <w:rPr>
          <w:rFonts w:hint="eastAsia" w:ascii="宋体" w:hAnsi="宋体" w:cs="宋体"/>
          <w:color w:val="auto"/>
          <w:szCs w:val="21"/>
          <w:highlight w:val="none"/>
        </w:rPr>
        <w:t>，其在招投标活动中的一切活动本公司均予承认。</w:t>
      </w: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供应商（盖章）：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法定代表人（签字或盖章）：</w:t>
      </w:r>
      <w:r>
        <w:rPr>
          <w:rFonts w:hint="eastAsia" w:ascii="宋体" w:hAnsi="宋体" w:cs="宋体"/>
          <w:color w:val="auto"/>
          <w:szCs w:val="21"/>
          <w:highlight w:val="none"/>
          <w:u w:val="single"/>
        </w:rPr>
        <w:t xml:space="preserve">                  </w:t>
      </w:r>
    </w:p>
    <w:p>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附：</w:t>
      </w:r>
    </w:p>
    <w:p>
      <w:pPr>
        <w:spacing w:line="400" w:lineRule="exact"/>
        <w:ind w:firstLine="555"/>
        <w:rPr>
          <w:rFonts w:ascii="宋体" w:hAnsi="宋体" w:cs="宋体"/>
          <w:color w:val="auto"/>
          <w:szCs w:val="21"/>
          <w:highlight w:val="none"/>
          <w:u w:val="single"/>
        </w:rPr>
      </w:pPr>
      <w:r>
        <w:rPr>
          <w:rFonts w:hint="eastAsia" w:ascii="宋体" w:hAnsi="宋体" w:cs="宋体"/>
          <w:color w:val="auto"/>
          <w:szCs w:val="21"/>
          <w:highlight w:val="none"/>
        </w:rPr>
        <w:t>授权代表姓名：</w:t>
      </w:r>
      <w:r>
        <w:rPr>
          <w:rFonts w:hint="eastAsia" w:ascii="宋体" w:hAnsi="宋体" w:cs="宋体"/>
          <w:color w:val="auto"/>
          <w:szCs w:val="21"/>
          <w:highlight w:val="none"/>
          <w:u w:val="single"/>
        </w:rPr>
        <w:t xml:space="preserve">                 </w:t>
      </w:r>
    </w:p>
    <w:p>
      <w:pPr>
        <w:spacing w:line="400" w:lineRule="exact"/>
        <w:ind w:firstLine="555"/>
        <w:rPr>
          <w:rFonts w:ascii="宋体" w:hAnsi="宋体" w:cs="宋体"/>
          <w:color w:val="auto"/>
          <w:szCs w:val="21"/>
          <w:highlight w:val="none"/>
          <w:u w:val="single"/>
        </w:rPr>
      </w:pPr>
      <w:r>
        <w:rPr>
          <w:rFonts w:hint="eastAsia" w:ascii="宋体" w:hAnsi="宋体" w:cs="宋体"/>
          <w:color w:val="auto"/>
          <w:szCs w:val="21"/>
          <w:highlight w:val="none"/>
        </w:rPr>
        <w:t>授权代表身份证号码：</w:t>
      </w:r>
      <w:r>
        <w:rPr>
          <w:rFonts w:hint="eastAsia" w:ascii="宋体" w:hAnsi="宋体" w:cs="宋体"/>
          <w:color w:val="auto"/>
          <w:szCs w:val="21"/>
          <w:highlight w:val="none"/>
          <w:u w:val="single"/>
        </w:rPr>
        <w:t xml:space="preserve">           </w:t>
      </w:r>
    </w:p>
    <w:p>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     详细通讯地址：</w:t>
      </w:r>
      <w:r>
        <w:rPr>
          <w:rFonts w:hint="eastAsia" w:ascii="宋体" w:hAnsi="宋体" w:cs="宋体"/>
          <w:color w:val="auto"/>
          <w:szCs w:val="21"/>
          <w:highlight w:val="none"/>
          <w:u w:val="single"/>
        </w:rPr>
        <w:t xml:space="preserve">                                  </w:t>
      </w:r>
    </w:p>
    <w:p>
      <w:pPr>
        <w:spacing w:line="400" w:lineRule="exact"/>
        <w:ind w:firstLine="525" w:firstLineChars="250"/>
        <w:rPr>
          <w:rFonts w:ascii="宋体" w:hAnsi="宋体" w:cs="宋体"/>
          <w:color w:val="auto"/>
          <w:szCs w:val="21"/>
          <w:highlight w:val="none"/>
          <w:u w:val="singl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邮编：</w:t>
      </w:r>
      <w:r>
        <w:rPr>
          <w:rFonts w:hint="eastAsia" w:ascii="宋体" w:hAnsi="宋体" w:cs="宋体"/>
          <w:color w:val="auto"/>
          <w:szCs w:val="21"/>
          <w:highlight w:val="none"/>
          <w:u w:val="single"/>
        </w:rPr>
        <w:t xml:space="preserve">          </w:t>
      </w:r>
    </w:p>
    <w:p>
      <w:pPr>
        <w:spacing w:line="400" w:lineRule="exact"/>
        <w:ind w:firstLine="517" w:firstLineChars="250"/>
        <w:jc w:val="center"/>
        <w:rPr>
          <w:rStyle w:val="88"/>
          <w:rFonts w:ascii="宋体" w:hAnsi="宋体" w:cs="宋体"/>
          <w:color w:val="auto"/>
          <w:sz w:val="21"/>
          <w:szCs w:val="21"/>
          <w:highlight w:val="none"/>
        </w:rPr>
      </w:pPr>
    </w:p>
    <w:p>
      <w:pPr>
        <w:spacing w:line="400" w:lineRule="exact"/>
        <w:ind w:firstLine="517" w:firstLineChars="250"/>
        <w:jc w:val="center"/>
        <w:rPr>
          <w:rStyle w:val="88"/>
          <w:rFonts w:ascii="宋体" w:hAnsi="宋体" w:cs="宋体"/>
          <w:color w:val="auto"/>
          <w:sz w:val="21"/>
          <w:szCs w:val="21"/>
          <w:highlight w:val="none"/>
        </w:rPr>
      </w:pP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后附：授权代表身份证扫描件正反面</w:t>
      </w:r>
    </w:p>
    <w:p>
      <w:pPr>
        <w:spacing w:line="400" w:lineRule="exact"/>
        <w:jc w:val="left"/>
        <w:rPr>
          <w:rStyle w:val="88"/>
          <w:rFonts w:ascii="宋体" w:hAnsi="宋体" w:cs="宋体"/>
          <w:color w:val="auto"/>
          <w:sz w:val="21"/>
          <w:szCs w:val="21"/>
          <w:highlight w:val="none"/>
        </w:rPr>
      </w:pPr>
      <w:r>
        <w:rPr>
          <w:rStyle w:val="88"/>
          <w:rFonts w:hint="eastAsia" w:ascii="宋体" w:hAnsi="宋体" w:cs="宋体"/>
          <w:color w:val="auto"/>
          <w:sz w:val="21"/>
          <w:szCs w:val="21"/>
          <w:highlight w:val="none"/>
        </w:rPr>
        <w:br w:type="page"/>
      </w:r>
    </w:p>
    <w:p>
      <w:pPr>
        <w:spacing w:line="400" w:lineRule="exact"/>
        <w:jc w:val="center"/>
        <w:rPr>
          <w:rFonts w:ascii="宋体" w:hAnsi="宋体" w:cs="宋体"/>
          <w:b/>
          <w:color w:val="auto"/>
          <w:spacing w:val="20"/>
          <w:szCs w:val="21"/>
          <w:highlight w:val="none"/>
        </w:rPr>
      </w:pPr>
      <w:r>
        <w:rPr>
          <w:rFonts w:hint="eastAsia" w:ascii="宋体" w:hAnsi="宋体" w:cs="宋体"/>
          <w:b/>
          <w:color w:val="auto"/>
          <w:szCs w:val="21"/>
          <w:highlight w:val="none"/>
        </w:rPr>
        <w:t>B4、商务条款响应表</w:t>
      </w:r>
    </w:p>
    <w:p>
      <w:pPr>
        <w:spacing w:line="400" w:lineRule="exact"/>
        <w:ind w:left="540"/>
        <w:jc w:val="center"/>
        <w:rPr>
          <w:rFonts w:ascii="宋体" w:hAnsi="宋体" w:cs="宋体"/>
          <w:b/>
          <w:color w:val="auto"/>
          <w:szCs w:val="21"/>
          <w:highlight w:val="none"/>
        </w:rPr>
      </w:pP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宁波前湾新区管委会大楼中央空调主机采购及安装项目</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QWZFCG25060（NBITC-202510974G）</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824"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招标要求</w:t>
            </w:r>
          </w:p>
        </w:tc>
        <w:tc>
          <w:tcPr>
            <w:tcW w:w="2835"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投标响应</w:t>
            </w:r>
          </w:p>
        </w:tc>
        <w:tc>
          <w:tcPr>
            <w:tcW w:w="2369"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s="宋体"/>
                <w:color w:val="auto"/>
                <w:szCs w:val="21"/>
                <w:highlight w:val="none"/>
              </w:rPr>
            </w:pPr>
          </w:p>
        </w:tc>
        <w:tc>
          <w:tcPr>
            <w:tcW w:w="2824" w:type="dxa"/>
            <w:vAlign w:val="center"/>
          </w:tcPr>
          <w:p>
            <w:pPr>
              <w:adjustRightInd w:val="0"/>
              <w:snapToGrid w:val="0"/>
              <w:spacing w:line="400" w:lineRule="exact"/>
              <w:jc w:val="center"/>
              <w:rPr>
                <w:rFonts w:ascii="宋体" w:hAnsi="宋体" w:cs="宋体"/>
                <w:color w:val="auto"/>
                <w:szCs w:val="21"/>
                <w:highlight w:val="none"/>
              </w:rPr>
            </w:pPr>
          </w:p>
        </w:tc>
        <w:tc>
          <w:tcPr>
            <w:tcW w:w="2835" w:type="dxa"/>
            <w:vAlign w:val="center"/>
          </w:tcPr>
          <w:p>
            <w:pPr>
              <w:adjustRightInd w:val="0"/>
              <w:snapToGrid w:val="0"/>
              <w:spacing w:line="400" w:lineRule="exact"/>
              <w:jc w:val="center"/>
              <w:rPr>
                <w:rFonts w:ascii="宋体" w:hAnsi="宋体" w:cs="宋体"/>
                <w:color w:val="auto"/>
                <w:szCs w:val="21"/>
                <w:highlight w:val="none"/>
              </w:rPr>
            </w:pPr>
          </w:p>
        </w:tc>
        <w:tc>
          <w:tcPr>
            <w:tcW w:w="2369" w:type="dxa"/>
            <w:vAlign w:val="center"/>
          </w:tcPr>
          <w:p>
            <w:pPr>
              <w:adjustRightInd w:val="0"/>
              <w:snapToGri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s="宋体"/>
                <w:color w:val="auto"/>
                <w:szCs w:val="21"/>
                <w:highlight w:val="none"/>
              </w:rPr>
            </w:pPr>
          </w:p>
        </w:tc>
        <w:tc>
          <w:tcPr>
            <w:tcW w:w="2824" w:type="dxa"/>
            <w:vAlign w:val="center"/>
          </w:tcPr>
          <w:p>
            <w:pPr>
              <w:adjustRightInd w:val="0"/>
              <w:snapToGrid w:val="0"/>
              <w:spacing w:line="400" w:lineRule="exact"/>
              <w:jc w:val="center"/>
              <w:rPr>
                <w:rFonts w:ascii="宋体" w:hAnsi="宋体" w:cs="宋体"/>
                <w:color w:val="auto"/>
                <w:szCs w:val="21"/>
                <w:highlight w:val="none"/>
              </w:rPr>
            </w:pPr>
          </w:p>
        </w:tc>
        <w:tc>
          <w:tcPr>
            <w:tcW w:w="2835" w:type="dxa"/>
            <w:vAlign w:val="center"/>
          </w:tcPr>
          <w:p>
            <w:pPr>
              <w:adjustRightInd w:val="0"/>
              <w:snapToGrid w:val="0"/>
              <w:spacing w:line="400" w:lineRule="exact"/>
              <w:jc w:val="center"/>
              <w:rPr>
                <w:rFonts w:ascii="宋体" w:hAnsi="宋体" w:cs="宋体"/>
                <w:color w:val="auto"/>
                <w:szCs w:val="21"/>
                <w:highlight w:val="none"/>
              </w:rPr>
            </w:pPr>
          </w:p>
        </w:tc>
        <w:tc>
          <w:tcPr>
            <w:tcW w:w="2369" w:type="dxa"/>
            <w:vAlign w:val="center"/>
          </w:tcPr>
          <w:p>
            <w:pPr>
              <w:adjustRightInd w:val="0"/>
              <w:snapToGri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s="宋体"/>
                <w:color w:val="auto"/>
                <w:szCs w:val="21"/>
                <w:highlight w:val="none"/>
              </w:rPr>
            </w:pPr>
          </w:p>
        </w:tc>
        <w:tc>
          <w:tcPr>
            <w:tcW w:w="2824" w:type="dxa"/>
            <w:vAlign w:val="center"/>
          </w:tcPr>
          <w:p>
            <w:pPr>
              <w:adjustRightInd w:val="0"/>
              <w:snapToGrid w:val="0"/>
              <w:spacing w:line="400" w:lineRule="exact"/>
              <w:jc w:val="center"/>
              <w:rPr>
                <w:rFonts w:ascii="宋体" w:hAnsi="宋体" w:cs="宋体"/>
                <w:color w:val="auto"/>
                <w:szCs w:val="21"/>
                <w:highlight w:val="none"/>
              </w:rPr>
            </w:pPr>
          </w:p>
        </w:tc>
        <w:tc>
          <w:tcPr>
            <w:tcW w:w="2835" w:type="dxa"/>
            <w:vAlign w:val="center"/>
          </w:tcPr>
          <w:p>
            <w:pPr>
              <w:adjustRightInd w:val="0"/>
              <w:snapToGrid w:val="0"/>
              <w:spacing w:line="400" w:lineRule="exact"/>
              <w:jc w:val="center"/>
              <w:rPr>
                <w:rFonts w:ascii="宋体" w:hAnsi="宋体" w:cs="宋体"/>
                <w:color w:val="auto"/>
                <w:szCs w:val="21"/>
                <w:highlight w:val="none"/>
              </w:rPr>
            </w:pPr>
          </w:p>
        </w:tc>
        <w:tc>
          <w:tcPr>
            <w:tcW w:w="2369" w:type="dxa"/>
            <w:vAlign w:val="center"/>
          </w:tcPr>
          <w:p>
            <w:pPr>
              <w:adjustRightInd w:val="0"/>
              <w:snapToGri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s="宋体"/>
                <w:color w:val="auto"/>
                <w:szCs w:val="21"/>
                <w:highlight w:val="none"/>
              </w:rPr>
            </w:pPr>
          </w:p>
        </w:tc>
        <w:tc>
          <w:tcPr>
            <w:tcW w:w="2824" w:type="dxa"/>
            <w:vAlign w:val="center"/>
          </w:tcPr>
          <w:p>
            <w:pPr>
              <w:adjustRightInd w:val="0"/>
              <w:snapToGrid w:val="0"/>
              <w:spacing w:line="400" w:lineRule="exact"/>
              <w:jc w:val="center"/>
              <w:rPr>
                <w:rFonts w:ascii="宋体" w:hAnsi="宋体" w:cs="宋体"/>
                <w:color w:val="auto"/>
                <w:szCs w:val="21"/>
                <w:highlight w:val="none"/>
              </w:rPr>
            </w:pPr>
          </w:p>
        </w:tc>
        <w:tc>
          <w:tcPr>
            <w:tcW w:w="2835" w:type="dxa"/>
            <w:vAlign w:val="center"/>
          </w:tcPr>
          <w:p>
            <w:pPr>
              <w:adjustRightInd w:val="0"/>
              <w:snapToGrid w:val="0"/>
              <w:spacing w:line="400" w:lineRule="exact"/>
              <w:jc w:val="center"/>
              <w:rPr>
                <w:rFonts w:ascii="宋体" w:hAnsi="宋体" w:cs="宋体"/>
                <w:color w:val="auto"/>
                <w:szCs w:val="21"/>
                <w:highlight w:val="none"/>
              </w:rPr>
            </w:pPr>
          </w:p>
        </w:tc>
        <w:tc>
          <w:tcPr>
            <w:tcW w:w="2369" w:type="dxa"/>
            <w:vAlign w:val="center"/>
          </w:tcPr>
          <w:p>
            <w:pPr>
              <w:adjustRightInd w:val="0"/>
              <w:snapToGri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s="宋体"/>
                <w:color w:val="auto"/>
                <w:szCs w:val="21"/>
                <w:highlight w:val="none"/>
              </w:rPr>
            </w:pPr>
          </w:p>
        </w:tc>
        <w:tc>
          <w:tcPr>
            <w:tcW w:w="2824" w:type="dxa"/>
            <w:vAlign w:val="center"/>
          </w:tcPr>
          <w:p>
            <w:pPr>
              <w:adjustRightInd w:val="0"/>
              <w:snapToGrid w:val="0"/>
              <w:spacing w:line="400" w:lineRule="exact"/>
              <w:jc w:val="center"/>
              <w:rPr>
                <w:rFonts w:ascii="宋体" w:hAnsi="宋体" w:cs="宋体"/>
                <w:color w:val="auto"/>
                <w:szCs w:val="21"/>
                <w:highlight w:val="none"/>
              </w:rPr>
            </w:pPr>
          </w:p>
        </w:tc>
        <w:tc>
          <w:tcPr>
            <w:tcW w:w="2835" w:type="dxa"/>
            <w:vAlign w:val="center"/>
          </w:tcPr>
          <w:p>
            <w:pPr>
              <w:adjustRightInd w:val="0"/>
              <w:snapToGrid w:val="0"/>
              <w:spacing w:line="400" w:lineRule="exact"/>
              <w:jc w:val="center"/>
              <w:rPr>
                <w:rFonts w:ascii="宋体" w:hAnsi="宋体" w:cs="宋体"/>
                <w:color w:val="auto"/>
                <w:szCs w:val="21"/>
                <w:highlight w:val="none"/>
              </w:rPr>
            </w:pPr>
          </w:p>
        </w:tc>
        <w:tc>
          <w:tcPr>
            <w:tcW w:w="2369" w:type="dxa"/>
            <w:vAlign w:val="center"/>
          </w:tcPr>
          <w:p>
            <w:pPr>
              <w:adjustRightInd w:val="0"/>
              <w:snapToGrid w:val="0"/>
              <w:spacing w:line="400" w:lineRule="exact"/>
              <w:jc w:val="center"/>
              <w:rPr>
                <w:rFonts w:ascii="宋体" w:hAnsi="宋体" w:cs="宋体"/>
                <w:color w:val="auto"/>
                <w:szCs w:val="21"/>
                <w:highlight w:val="none"/>
              </w:rPr>
            </w:pPr>
          </w:p>
        </w:tc>
      </w:tr>
    </w:tbl>
    <w:p>
      <w:pPr>
        <w:adjustRightInd w:val="0"/>
        <w:snapToGrid w:val="0"/>
        <w:spacing w:line="400" w:lineRule="exact"/>
        <w:ind w:left="319" w:leftChars="152"/>
        <w:rPr>
          <w:rFonts w:ascii="宋体" w:hAnsi="宋体" w:cs="宋体"/>
          <w:color w:val="auto"/>
          <w:spacing w:val="20"/>
          <w:szCs w:val="21"/>
          <w:highlight w:val="none"/>
        </w:rPr>
      </w:pPr>
      <w:r>
        <w:rPr>
          <w:rFonts w:hint="eastAsia" w:ascii="宋体" w:hAnsi="宋体" w:cs="宋体"/>
          <w:color w:val="auto"/>
          <w:spacing w:val="20"/>
          <w:szCs w:val="21"/>
          <w:highlight w:val="none"/>
        </w:rPr>
        <w:t>注：</w:t>
      </w:r>
      <w:r>
        <w:rPr>
          <w:rFonts w:hint="eastAsia" w:ascii="宋体" w:hAnsi="宋体" w:cs="宋体"/>
          <w:color w:val="auto"/>
          <w:szCs w:val="21"/>
          <w:highlight w:val="none"/>
        </w:rPr>
        <w:t>须与“第六章 商务条款”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ascii="宋体" w:hAnsi="宋体" w:cs="宋体"/>
          <w:color w:val="auto"/>
          <w:spacing w:val="20"/>
          <w:szCs w:val="21"/>
          <w:highlight w:val="none"/>
        </w:rPr>
      </w:pPr>
    </w:p>
    <w:p>
      <w:pPr>
        <w:adjustRightInd w:val="0"/>
        <w:snapToGrid w:val="0"/>
        <w:spacing w:line="400" w:lineRule="exact"/>
        <w:rPr>
          <w:rFonts w:ascii="宋体" w:hAnsi="宋体" w:cs="宋体"/>
          <w:color w:val="auto"/>
          <w:spacing w:val="20"/>
          <w:szCs w:val="21"/>
          <w:highlight w:val="none"/>
        </w:rPr>
      </w:pPr>
    </w:p>
    <w:p>
      <w:pPr>
        <w:spacing w:line="400" w:lineRule="exact"/>
        <w:jc w:val="left"/>
        <w:rPr>
          <w:rFonts w:ascii="宋体" w:hAnsi="宋体" w:cs="宋体"/>
          <w:color w:val="auto"/>
          <w:szCs w:val="21"/>
          <w:highlight w:val="none"/>
        </w:rPr>
      </w:pPr>
      <w:bookmarkStart w:id="51" w:name="_Toc436408720"/>
      <w:bookmarkStart w:id="52" w:name="_Toc441316563"/>
      <w:r>
        <w:rPr>
          <w:rFonts w:hint="eastAsia" w:ascii="宋体" w:hAnsi="宋体" w:cs="宋体"/>
          <w:color w:val="auto"/>
          <w:szCs w:val="21"/>
          <w:highlight w:val="none"/>
        </w:rPr>
        <w:t>供应商（盖章）：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pPr>
        <w:spacing w:line="400" w:lineRule="exact"/>
        <w:jc w:val="left"/>
        <w:rPr>
          <w:rFonts w:ascii="宋体" w:hAnsi="宋体" w:cs="宋体"/>
          <w:color w:val="auto"/>
          <w:szCs w:val="21"/>
          <w:highlight w:val="none"/>
          <w:u w:val="single"/>
        </w:rPr>
      </w:pPr>
    </w:p>
    <w:p>
      <w:pPr>
        <w:spacing w:line="400" w:lineRule="exact"/>
        <w:jc w:val="center"/>
        <w:rPr>
          <w:rFonts w:ascii="宋体" w:hAnsi="宋体" w:cs="宋体"/>
          <w:b/>
          <w:color w:val="auto"/>
          <w:szCs w:val="21"/>
          <w:highlight w:val="none"/>
        </w:rPr>
      </w:pPr>
      <w:r>
        <w:rPr>
          <w:rStyle w:val="88"/>
          <w:rFonts w:hint="eastAsia" w:ascii="宋体" w:hAnsi="宋体" w:cs="宋体"/>
          <w:color w:val="auto"/>
          <w:sz w:val="21"/>
          <w:szCs w:val="21"/>
          <w:highlight w:val="none"/>
        </w:rPr>
        <w:br w:type="page"/>
      </w:r>
      <w:bookmarkEnd w:id="51"/>
      <w:bookmarkEnd w:id="52"/>
      <w:r>
        <w:rPr>
          <w:rFonts w:hint="eastAsia" w:ascii="宋体" w:hAnsi="宋体" w:cs="宋体"/>
          <w:b/>
          <w:color w:val="auto"/>
          <w:szCs w:val="21"/>
          <w:highlight w:val="none"/>
        </w:rPr>
        <w:t>B5、技术条款响应表</w:t>
      </w:r>
    </w:p>
    <w:p>
      <w:pPr>
        <w:spacing w:line="400" w:lineRule="exact"/>
        <w:ind w:left="540"/>
        <w:jc w:val="center"/>
        <w:rPr>
          <w:rFonts w:ascii="宋体" w:hAnsi="宋体" w:cs="宋体"/>
          <w:b/>
          <w:color w:val="auto"/>
          <w:szCs w:val="21"/>
          <w:highlight w:val="none"/>
        </w:rPr>
      </w:pP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宁波前湾新区管委会大楼中央空调主机采购及安装项目</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QWZFCG25060（NBITC-202510974G）</w:t>
      </w:r>
    </w:p>
    <w:p>
      <w:pPr>
        <w:adjustRightInd w:val="0"/>
        <w:snapToGrid w:val="0"/>
        <w:spacing w:line="400" w:lineRule="exact"/>
        <w:rPr>
          <w:rFonts w:hint="default"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表1：</w:t>
      </w:r>
    </w:p>
    <w:tbl>
      <w:tblPr>
        <w:tblStyle w:val="44"/>
        <w:tblW w:w="5370" w:type="pct"/>
        <w:tblInd w:w="0" w:type="dxa"/>
        <w:tblLayout w:type="fixed"/>
        <w:tblCellMar>
          <w:top w:w="0" w:type="dxa"/>
          <w:left w:w="108" w:type="dxa"/>
          <w:bottom w:w="0" w:type="dxa"/>
          <w:right w:w="108" w:type="dxa"/>
        </w:tblCellMar>
      </w:tblPr>
      <w:tblGrid>
        <w:gridCol w:w="1317"/>
        <w:gridCol w:w="4089"/>
        <w:gridCol w:w="1102"/>
        <w:gridCol w:w="1104"/>
        <w:gridCol w:w="1132"/>
        <w:gridCol w:w="1133"/>
      </w:tblGrid>
      <w:tr>
        <w:tblPrEx>
          <w:tblCellMar>
            <w:top w:w="0" w:type="dxa"/>
            <w:left w:w="108" w:type="dxa"/>
            <w:bottom w:w="0" w:type="dxa"/>
            <w:right w:w="108" w:type="dxa"/>
          </w:tblCellMar>
        </w:tblPrEx>
        <w:trPr>
          <w:trHeight w:val="340" w:hRule="atLeast"/>
          <w:tblHeader/>
        </w:trPr>
        <w:tc>
          <w:tcPr>
            <w:tcW w:w="666"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069"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名称</w:t>
            </w:r>
          </w:p>
        </w:tc>
        <w:tc>
          <w:tcPr>
            <w:tcW w:w="55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558"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573"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产地品牌</w:t>
            </w:r>
          </w:p>
        </w:tc>
        <w:tc>
          <w:tcPr>
            <w:tcW w:w="573"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规格型号</w:t>
            </w: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风冷螺杆机组</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隔振垫</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块</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成套配电箱安装落地式</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基础型钢制作</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KG</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1.4</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基础槽钢安装</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循环水泵</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2.1</w:t>
            </w:r>
          </w:p>
        </w:tc>
        <w:tc>
          <w:tcPr>
            <w:tcW w:w="206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隔振垫</w:t>
            </w:r>
          </w:p>
        </w:tc>
        <w:tc>
          <w:tcPr>
            <w:tcW w:w="557"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块</w:t>
            </w:r>
          </w:p>
        </w:tc>
        <w:tc>
          <w:tcPr>
            <w:tcW w:w="558"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573"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2.2</w:t>
            </w:r>
          </w:p>
        </w:tc>
        <w:tc>
          <w:tcPr>
            <w:tcW w:w="206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成套配电箱安装落地式</w:t>
            </w:r>
          </w:p>
        </w:tc>
        <w:tc>
          <w:tcPr>
            <w:tcW w:w="557"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558"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573"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2.3</w:t>
            </w:r>
          </w:p>
        </w:tc>
        <w:tc>
          <w:tcPr>
            <w:tcW w:w="206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基础型钢制作</w:t>
            </w:r>
          </w:p>
        </w:tc>
        <w:tc>
          <w:tcPr>
            <w:tcW w:w="557"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KG</w:t>
            </w:r>
          </w:p>
        </w:tc>
        <w:tc>
          <w:tcPr>
            <w:tcW w:w="558"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573"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206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基础槽钢安装</w:t>
            </w:r>
          </w:p>
        </w:tc>
        <w:tc>
          <w:tcPr>
            <w:tcW w:w="557"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558"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573"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水箱</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镀锌钢管</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镀锌钢管</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15</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低压法兰阀门</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低压法兰阀门</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低压法兰阀门</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低压法兰阀门</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螺纹阀门</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低压碳钢焊接法兰</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副</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25</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压力仪表</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温度仪表</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支</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14</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螺纹阀门</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15</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螺纹阀门</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16</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螺纹阀门</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17</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电力电缆</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30</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18</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电力电缆</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30</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19</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电力电缆头</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电力电缆头</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21</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桥架</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30</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22</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设备支架</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kg</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1270</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23</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管道支架</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kg</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260</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206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金属结构刷油</w:t>
            </w:r>
          </w:p>
        </w:tc>
        <w:tc>
          <w:tcPr>
            <w:tcW w:w="557"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kg</w:t>
            </w:r>
          </w:p>
        </w:tc>
        <w:tc>
          <w:tcPr>
            <w:tcW w:w="558"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1530</w:t>
            </w:r>
          </w:p>
        </w:tc>
        <w:tc>
          <w:tcPr>
            <w:tcW w:w="573"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25</w:t>
            </w:r>
          </w:p>
        </w:tc>
        <w:tc>
          <w:tcPr>
            <w:tcW w:w="206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防潮层、保护层</w:t>
            </w:r>
          </w:p>
        </w:tc>
        <w:tc>
          <w:tcPr>
            <w:tcW w:w="557"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m2</w:t>
            </w:r>
          </w:p>
        </w:tc>
        <w:tc>
          <w:tcPr>
            <w:tcW w:w="558"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25</w:t>
            </w:r>
          </w:p>
        </w:tc>
        <w:tc>
          <w:tcPr>
            <w:tcW w:w="573"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26</w:t>
            </w:r>
          </w:p>
        </w:tc>
        <w:tc>
          <w:tcPr>
            <w:tcW w:w="206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管道绝热</w:t>
            </w:r>
          </w:p>
        </w:tc>
        <w:tc>
          <w:tcPr>
            <w:tcW w:w="557"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m3</w:t>
            </w:r>
          </w:p>
        </w:tc>
        <w:tc>
          <w:tcPr>
            <w:tcW w:w="558"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color w:val="auto"/>
                <w:spacing w:val="-2"/>
                <w:szCs w:val="21"/>
                <w:highlight w:val="none"/>
              </w:rPr>
              <w:t>0.86</w:t>
            </w:r>
          </w:p>
        </w:tc>
        <w:tc>
          <w:tcPr>
            <w:tcW w:w="573"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2"/>
                <w:szCs w:val="21"/>
                <w:highlight w:val="none"/>
              </w:rPr>
            </w:pPr>
          </w:p>
        </w:tc>
        <w:tc>
          <w:tcPr>
            <w:tcW w:w="573"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2"/>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27</w:t>
            </w:r>
          </w:p>
        </w:tc>
        <w:tc>
          <w:tcPr>
            <w:tcW w:w="206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阀门绝热</w:t>
            </w:r>
          </w:p>
        </w:tc>
        <w:tc>
          <w:tcPr>
            <w:tcW w:w="557"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558"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color w:val="auto"/>
                <w:spacing w:val="-6"/>
                <w:szCs w:val="21"/>
                <w:highlight w:val="none"/>
              </w:rPr>
              <w:t>18</w:t>
            </w:r>
          </w:p>
        </w:tc>
        <w:tc>
          <w:tcPr>
            <w:tcW w:w="573"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6"/>
                <w:szCs w:val="21"/>
                <w:highlight w:val="none"/>
              </w:rPr>
            </w:pPr>
          </w:p>
        </w:tc>
        <w:tc>
          <w:tcPr>
            <w:tcW w:w="573"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6"/>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28</w:t>
            </w:r>
          </w:p>
        </w:tc>
        <w:tc>
          <w:tcPr>
            <w:tcW w:w="206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阀门绝热</w:t>
            </w:r>
          </w:p>
        </w:tc>
        <w:tc>
          <w:tcPr>
            <w:tcW w:w="557"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558"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color w:val="auto"/>
                <w:spacing w:val="-12"/>
                <w:szCs w:val="21"/>
                <w:highlight w:val="none"/>
              </w:rPr>
              <w:t>3</w:t>
            </w:r>
          </w:p>
        </w:tc>
        <w:tc>
          <w:tcPr>
            <w:tcW w:w="573"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12"/>
                <w:szCs w:val="21"/>
                <w:highlight w:val="none"/>
              </w:rPr>
            </w:pPr>
          </w:p>
        </w:tc>
        <w:tc>
          <w:tcPr>
            <w:tcW w:w="573"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12"/>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29</w:t>
            </w:r>
          </w:p>
        </w:tc>
        <w:tc>
          <w:tcPr>
            <w:tcW w:w="206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法兰绝热</w:t>
            </w:r>
          </w:p>
        </w:tc>
        <w:tc>
          <w:tcPr>
            <w:tcW w:w="557"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558"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25</w:t>
            </w:r>
          </w:p>
        </w:tc>
        <w:tc>
          <w:tcPr>
            <w:tcW w:w="573"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30</w:t>
            </w:r>
          </w:p>
        </w:tc>
        <w:tc>
          <w:tcPr>
            <w:tcW w:w="2069"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原设备拆除费用</w:t>
            </w:r>
          </w:p>
        </w:tc>
        <w:tc>
          <w:tcPr>
            <w:tcW w:w="557"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558"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573"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31</w:t>
            </w:r>
          </w:p>
        </w:tc>
        <w:tc>
          <w:tcPr>
            <w:tcW w:w="2069"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系统调试费</w:t>
            </w:r>
          </w:p>
        </w:tc>
        <w:tc>
          <w:tcPr>
            <w:tcW w:w="55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558"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32</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脚手架搭拆</w:t>
            </w:r>
          </w:p>
        </w:tc>
        <w:tc>
          <w:tcPr>
            <w:tcW w:w="557"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558"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573"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40" w:hRule="atLeast"/>
        </w:trPr>
        <w:tc>
          <w:tcPr>
            <w:tcW w:w="666"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33</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其他（如有）</w:t>
            </w:r>
          </w:p>
        </w:tc>
        <w:tc>
          <w:tcPr>
            <w:tcW w:w="557"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58"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573"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bl>
    <w:p>
      <w:pPr>
        <w:adjustRightInd w:val="0"/>
        <w:snapToGrid w:val="0"/>
        <w:spacing w:line="400" w:lineRule="exact"/>
        <w:rPr>
          <w:rFonts w:hint="eastAsia" w:ascii="宋体" w:hAnsi="宋体" w:cs="宋体"/>
          <w:color w:val="auto"/>
          <w:szCs w:val="21"/>
          <w:highlight w:val="none"/>
          <w:u w:val="single"/>
          <w:lang w:eastAsia="zh-CN"/>
        </w:rPr>
      </w:pPr>
    </w:p>
    <w:p>
      <w:pPr>
        <w:adjustRightInd w:val="0"/>
        <w:snapToGrid w:val="0"/>
        <w:spacing w:line="400" w:lineRule="exact"/>
        <w:rPr>
          <w:rFonts w:hint="default"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表2：</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824"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招标要求</w:t>
            </w:r>
          </w:p>
        </w:tc>
        <w:tc>
          <w:tcPr>
            <w:tcW w:w="2835"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投标响应</w:t>
            </w:r>
          </w:p>
        </w:tc>
        <w:tc>
          <w:tcPr>
            <w:tcW w:w="2369" w:type="dxa"/>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s="宋体"/>
                <w:color w:val="auto"/>
                <w:szCs w:val="21"/>
                <w:highlight w:val="none"/>
              </w:rPr>
            </w:pPr>
          </w:p>
        </w:tc>
        <w:tc>
          <w:tcPr>
            <w:tcW w:w="2824" w:type="dxa"/>
            <w:vAlign w:val="center"/>
          </w:tcPr>
          <w:p>
            <w:pPr>
              <w:adjustRightInd w:val="0"/>
              <w:snapToGrid w:val="0"/>
              <w:spacing w:line="400" w:lineRule="exact"/>
              <w:jc w:val="center"/>
              <w:rPr>
                <w:rFonts w:ascii="宋体" w:hAnsi="宋体" w:cs="宋体"/>
                <w:color w:val="auto"/>
                <w:szCs w:val="21"/>
                <w:highlight w:val="none"/>
              </w:rPr>
            </w:pPr>
          </w:p>
        </w:tc>
        <w:tc>
          <w:tcPr>
            <w:tcW w:w="2835" w:type="dxa"/>
            <w:vAlign w:val="center"/>
          </w:tcPr>
          <w:p>
            <w:pPr>
              <w:adjustRightInd w:val="0"/>
              <w:snapToGrid w:val="0"/>
              <w:spacing w:line="400" w:lineRule="exact"/>
              <w:jc w:val="center"/>
              <w:rPr>
                <w:rFonts w:ascii="宋体" w:hAnsi="宋体" w:cs="宋体"/>
                <w:color w:val="auto"/>
                <w:szCs w:val="21"/>
                <w:highlight w:val="none"/>
              </w:rPr>
            </w:pPr>
          </w:p>
        </w:tc>
        <w:tc>
          <w:tcPr>
            <w:tcW w:w="2369" w:type="dxa"/>
            <w:vAlign w:val="center"/>
          </w:tcPr>
          <w:p>
            <w:pPr>
              <w:adjustRightInd w:val="0"/>
              <w:snapToGri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s="宋体"/>
                <w:color w:val="auto"/>
                <w:szCs w:val="21"/>
                <w:highlight w:val="none"/>
              </w:rPr>
            </w:pPr>
          </w:p>
        </w:tc>
        <w:tc>
          <w:tcPr>
            <w:tcW w:w="2824" w:type="dxa"/>
            <w:vAlign w:val="center"/>
          </w:tcPr>
          <w:p>
            <w:pPr>
              <w:adjustRightInd w:val="0"/>
              <w:snapToGrid w:val="0"/>
              <w:spacing w:line="400" w:lineRule="exact"/>
              <w:jc w:val="center"/>
              <w:rPr>
                <w:rFonts w:ascii="宋体" w:hAnsi="宋体" w:cs="宋体"/>
                <w:color w:val="auto"/>
                <w:szCs w:val="21"/>
                <w:highlight w:val="none"/>
              </w:rPr>
            </w:pPr>
          </w:p>
        </w:tc>
        <w:tc>
          <w:tcPr>
            <w:tcW w:w="2835" w:type="dxa"/>
            <w:vAlign w:val="center"/>
          </w:tcPr>
          <w:p>
            <w:pPr>
              <w:adjustRightInd w:val="0"/>
              <w:snapToGrid w:val="0"/>
              <w:spacing w:line="400" w:lineRule="exact"/>
              <w:jc w:val="center"/>
              <w:rPr>
                <w:rFonts w:ascii="宋体" w:hAnsi="宋体" w:cs="宋体"/>
                <w:color w:val="auto"/>
                <w:szCs w:val="21"/>
                <w:highlight w:val="none"/>
              </w:rPr>
            </w:pPr>
          </w:p>
        </w:tc>
        <w:tc>
          <w:tcPr>
            <w:tcW w:w="2369" w:type="dxa"/>
            <w:vAlign w:val="center"/>
          </w:tcPr>
          <w:p>
            <w:pPr>
              <w:adjustRightInd w:val="0"/>
              <w:snapToGri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s="宋体"/>
                <w:color w:val="auto"/>
                <w:szCs w:val="21"/>
                <w:highlight w:val="none"/>
              </w:rPr>
            </w:pPr>
          </w:p>
        </w:tc>
        <w:tc>
          <w:tcPr>
            <w:tcW w:w="2824" w:type="dxa"/>
            <w:vAlign w:val="center"/>
          </w:tcPr>
          <w:p>
            <w:pPr>
              <w:adjustRightInd w:val="0"/>
              <w:snapToGrid w:val="0"/>
              <w:spacing w:line="400" w:lineRule="exact"/>
              <w:jc w:val="center"/>
              <w:rPr>
                <w:rFonts w:ascii="宋体" w:hAnsi="宋体" w:cs="宋体"/>
                <w:color w:val="auto"/>
                <w:szCs w:val="21"/>
                <w:highlight w:val="none"/>
              </w:rPr>
            </w:pPr>
          </w:p>
        </w:tc>
        <w:tc>
          <w:tcPr>
            <w:tcW w:w="2835" w:type="dxa"/>
            <w:vAlign w:val="center"/>
          </w:tcPr>
          <w:p>
            <w:pPr>
              <w:adjustRightInd w:val="0"/>
              <w:snapToGrid w:val="0"/>
              <w:spacing w:line="400" w:lineRule="exact"/>
              <w:jc w:val="center"/>
              <w:rPr>
                <w:rFonts w:ascii="宋体" w:hAnsi="宋体" w:cs="宋体"/>
                <w:color w:val="auto"/>
                <w:szCs w:val="21"/>
                <w:highlight w:val="none"/>
              </w:rPr>
            </w:pPr>
          </w:p>
        </w:tc>
        <w:tc>
          <w:tcPr>
            <w:tcW w:w="2369" w:type="dxa"/>
            <w:vAlign w:val="center"/>
          </w:tcPr>
          <w:p>
            <w:pPr>
              <w:adjustRightInd w:val="0"/>
              <w:snapToGri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s="宋体"/>
                <w:color w:val="auto"/>
                <w:szCs w:val="21"/>
                <w:highlight w:val="none"/>
              </w:rPr>
            </w:pPr>
          </w:p>
        </w:tc>
        <w:tc>
          <w:tcPr>
            <w:tcW w:w="2824" w:type="dxa"/>
            <w:vAlign w:val="center"/>
          </w:tcPr>
          <w:p>
            <w:pPr>
              <w:adjustRightInd w:val="0"/>
              <w:snapToGrid w:val="0"/>
              <w:spacing w:line="400" w:lineRule="exact"/>
              <w:jc w:val="center"/>
              <w:rPr>
                <w:rFonts w:ascii="宋体" w:hAnsi="宋体" w:cs="宋体"/>
                <w:color w:val="auto"/>
                <w:szCs w:val="21"/>
                <w:highlight w:val="none"/>
              </w:rPr>
            </w:pPr>
          </w:p>
        </w:tc>
        <w:tc>
          <w:tcPr>
            <w:tcW w:w="2835" w:type="dxa"/>
            <w:vAlign w:val="center"/>
          </w:tcPr>
          <w:p>
            <w:pPr>
              <w:adjustRightInd w:val="0"/>
              <w:snapToGrid w:val="0"/>
              <w:spacing w:line="400" w:lineRule="exact"/>
              <w:jc w:val="center"/>
              <w:rPr>
                <w:rFonts w:ascii="宋体" w:hAnsi="宋体" w:cs="宋体"/>
                <w:color w:val="auto"/>
                <w:szCs w:val="21"/>
                <w:highlight w:val="none"/>
              </w:rPr>
            </w:pPr>
          </w:p>
        </w:tc>
        <w:tc>
          <w:tcPr>
            <w:tcW w:w="2369" w:type="dxa"/>
            <w:vAlign w:val="center"/>
          </w:tcPr>
          <w:p>
            <w:pPr>
              <w:adjustRightInd w:val="0"/>
              <w:snapToGri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s="宋体"/>
                <w:color w:val="auto"/>
                <w:szCs w:val="21"/>
                <w:highlight w:val="none"/>
              </w:rPr>
            </w:pPr>
          </w:p>
        </w:tc>
        <w:tc>
          <w:tcPr>
            <w:tcW w:w="2824" w:type="dxa"/>
            <w:vAlign w:val="center"/>
          </w:tcPr>
          <w:p>
            <w:pPr>
              <w:adjustRightInd w:val="0"/>
              <w:snapToGrid w:val="0"/>
              <w:spacing w:line="400" w:lineRule="exact"/>
              <w:jc w:val="center"/>
              <w:rPr>
                <w:rFonts w:ascii="宋体" w:hAnsi="宋体" w:cs="宋体"/>
                <w:color w:val="auto"/>
                <w:szCs w:val="21"/>
                <w:highlight w:val="none"/>
              </w:rPr>
            </w:pPr>
          </w:p>
        </w:tc>
        <w:tc>
          <w:tcPr>
            <w:tcW w:w="2835" w:type="dxa"/>
            <w:vAlign w:val="center"/>
          </w:tcPr>
          <w:p>
            <w:pPr>
              <w:adjustRightInd w:val="0"/>
              <w:snapToGrid w:val="0"/>
              <w:spacing w:line="400" w:lineRule="exact"/>
              <w:jc w:val="center"/>
              <w:rPr>
                <w:rFonts w:ascii="宋体" w:hAnsi="宋体" w:cs="宋体"/>
                <w:color w:val="auto"/>
                <w:szCs w:val="21"/>
                <w:highlight w:val="none"/>
              </w:rPr>
            </w:pPr>
          </w:p>
        </w:tc>
        <w:tc>
          <w:tcPr>
            <w:tcW w:w="2369" w:type="dxa"/>
            <w:vAlign w:val="center"/>
          </w:tcPr>
          <w:p>
            <w:pPr>
              <w:adjustRightInd w:val="0"/>
              <w:snapToGrid w:val="0"/>
              <w:spacing w:line="400" w:lineRule="exact"/>
              <w:jc w:val="center"/>
              <w:rPr>
                <w:rFonts w:ascii="宋体" w:hAnsi="宋体" w:cs="宋体"/>
                <w:color w:val="auto"/>
                <w:szCs w:val="21"/>
                <w:highlight w:val="none"/>
              </w:rPr>
            </w:pPr>
          </w:p>
        </w:tc>
      </w:tr>
    </w:tbl>
    <w:p>
      <w:pPr>
        <w:spacing w:line="400" w:lineRule="exact"/>
        <w:rPr>
          <w:rFonts w:ascii="宋体" w:hAnsi="宋体" w:cs="宋体"/>
          <w:color w:val="auto"/>
          <w:szCs w:val="21"/>
          <w:highlight w:val="none"/>
        </w:rPr>
      </w:pPr>
      <w:r>
        <w:rPr>
          <w:rFonts w:hint="eastAsia" w:ascii="宋体" w:hAnsi="宋体" w:cs="宋体"/>
          <w:color w:val="auto"/>
          <w:szCs w:val="21"/>
          <w:highlight w:val="none"/>
        </w:rPr>
        <w:t>注：须与“第五章 招标内容与技术需求”中的</w:t>
      </w:r>
      <w:r>
        <w:rPr>
          <w:rFonts w:hint="eastAsia" w:ascii="宋体" w:hAnsi="宋体" w:cs="宋体"/>
          <w:b/>
          <w:color w:val="auto"/>
          <w:szCs w:val="21"/>
          <w:highlight w:val="none"/>
        </w:rPr>
        <w:t>“三</w:t>
      </w:r>
      <w:r>
        <w:rPr>
          <w:rFonts w:hint="eastAsia" w:ascii="宋体" w:hAnsi="宋体" w:cs="宋体"/>
          <w:b/>
          <w:bCs/>
          <w:color w:val="auto"/>
          <w:szCs w:val="21"/>
          <w:highlight w:val="none"/>
        </w:rPr>
        <w:t>、技术要求</w:t>
      </w:r>
      <w:r>
        <w:rPr>
          <w:rFonts w:hint="eastAsia" w:ascii="宋体" w:hAnsi="宋体" w:cs="宋体"/>
          <w:b/>
          <w:color w:val="auto"/>
          <w:szCs w:val="21"/>
          <w:highlight w:val="none"/>
        </w:rPr>
        <w:t>”</w:t>
      </w:r>
      <w:r>
        <w:rPr>
          <w:rFonts w:hint="eastAsia" w:ascii="宋体" w:hAnsi="宋体" w:cs="宋体"/>
          <w:color w:val="auto"/>
          <w:szCs w:val="21"/>
          <w:highlight w:val="none"/>
        </w:rPr>
        <w:t>逐项比较，如有偏离的，须在本表中列明，并提供详细的偏离说明。</w:t>
      </w:r>
    </w:p>
    <w:p>
      <w:pPr>
        <w:adjustRightInd w:val="0"/>
        <w:snapToGrid w:val="0"/>
        <w:spacing w:line="400" w:lineRule="exact"/>
        <w:rPr>
          <w:rFonts w:ascii="宋体" w:hAnsi="宋体" w:cs="宋体"/>
          <w:color w:val="auto"/>
          <w:spacing w:val="20"/>
          <w:szCs w:val="21"/>
          <w:highlight w:val="none"/>
        </w:rPr>
      </w:pPr>
    </w:p>
    <w:p>
      <w:pPr>
        <w:adjustRightInd w:val="0"/>
        <w:snapToGrid w:val="0"/>
        <w:spacing w:line="400" w:lineRule="exact"/>
        <w:rPr>
          <w:rFonts w:ascii="宋体" w:hAnsi="宋体" w:cs="宋体"/>
          <w:color w:val="auto"/>
          <w:spacing w:val="20"/>
          <w:szCs w:val="21"/>
          <w:highlight w:val="none"/>
        </w:rPr>
      </w:pP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供应商（盖章）：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日            期：</w:t>
      </w:r>
    </w:p>
    <w:p>
      <w:pPr>
        <w:spacing w:line="400" w:lineRule="exact"/>
        <w:jc w:val="left"/>
        <w:rPr>
          <w:rFonts w:ascii="宋体" w:hAnsi="宋体" w:cs="宋体"/>
          <w:b/>
          <w:color w:val="auto"/>
          <w:szCs w:val="21"/>
          <w:highlight w:val="none"/>
        </w:rPr>
      </w:pPr>
      <w:r>
        <w:rPr>
          <w:rFonts w:hint="eastAsia" w:ascii="宋体" w:hAnsi="宋体" w:cs="宋体"/>
          <w:color w:val="auto"/>
          <w:szCs w:val="21"/>
          <w:highlight w:val="none"/>
        </w:rPr>
        <w:br w:type="page"/>
      </w:r>
    </w:p>
    <w:p>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B6、第三章“评标办法及标准”中“商务和技术评分表”要求提供的其他资料（如有需提供）；</w:t>
      </w:r>
    </w:p>
    <w:p>
      <w:pPr>
        <w:rPr>
          <w:rFonts w:ascii="宋体" w:hAnsi="宋体" w:cs="宋体"/>
          <w:b/>
          <w:color w:val="auto"/>
          <w:szCs w:val="21"/>
          <w:highlight w:val="none"/>
        </w:rPr>
      </w:pPr>
    </w:p>
    <w:p>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B7、供应商认为需要的其他资料（如有需提供）。</w:t>
      </w:r>
    </w:p>
    <w:p>
      <w:pPr>
        <w:rPr>
          <w:rFonts w:ascii="宋体" w:hAnsi="宋体" w:cs="宋体"/>
          <w:b/>
          <w:color w:val="auto"/>
          <w:szCs w:val="21"/>
          <w:highlight w:val="none"/>
        </w:rPr>
      </w:pPr>
      <w:r>
        <w:rPr>
          <w:rFonts w:hint="eastAsia" w:ascii="宋体" w:hAnsi="宋体" w:cs="宋体"/>
          <w:b/>
          <w:color w:val="auto"/>
          <w:szCs w:val="21"/>
          <w:highlight w:val="none"/>
        </w:rPr>
        <w:br w:type="page"/>
      </w:r>
    </w:p>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C1、开标一览表</w:t>
      </w:r>
    </w:p>
    <w:p>
      <w:pPr>
        <w:pStyle w:val="17"/>
        <w:spacing w:line="400" w:lineRule="exact"/>
        <w:ind w:firstLine="0"/>
        <w:rPr>
          <w:rFonts w:ascii="宋体" w:hAnsi="宋体" w:eastAsia="宋体" w:cs="宋体"/>
          <w:color w:val="auto"/>
          <w:sz w:val="21"/>
          <w:szCs w:val="21"/>
          <w:highlight w:val="none"/>
        </w:rPr>
      </w:pPr>
    </w:p>
    <w:p>
      <w:pPr>
        <w:pStyle w:val="17"/>
        <w:spacing w:line="400" w:lineRule="exact"/>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宁波前湾新区管委会大楼中央空调主机采购及安装项目</w:t>
      </w:r>
      <w:r>
        <w:rPr>
          <w:rFonts w:hint="eastAsia" w:ascii="宋体" w:hAnsi="宋体" w:eastAsia="宋体" w:cs="宋体"/>
          <w:color w:val="auto"/>
          <w:sz w:val="21"/>
          <w:szCs w:val="21"/>
          <w:highlight w:val="none"/>
        </w:rPr>
        <w:t xml:space="preserve">              </w:t>
      </w:r>
    </w:p>
    <w:p>
      <w:pPr>
        <w:pStyle w:val="17"/>
        <w:spacing w:line="400" w:lineRule="exact"/>
        <w:ind w:firstLine="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eastAsia="zh-CN"/>
        </w:rPr>
        <w:t>QWZFCG25060（NBITC-202510974G）</w:t>
      </w:r>
    </w:p>
    <w:p>
      <w:pPr>
        <w:pStyle w:val="21"/>
        <w:snapToGrid w:val="0"/>
        <w:spacing w:line="400" w:lineRule="exact"/>
        <w:ind w:firstLine="4515" w:firstLineChars="2150"/>
        <w:rPr>
          <w:color w:val="auto"/>
          <w:sz w:val="21"/>
          <w:szCs w:val="21"/>
          <w:highlight w:val="none"/>
        </w:rPr>
      </w:pPr>
      <w:r>
        <w:rPr>
          <w:rFonts w:hint="eastAsia"/>
          <w:color w:val="auto"/>
          <w:sz w:val="21"/>
          <w:szCs w:val="21"/>
          <w:highlight w:val="none"/>
        </w:rPr>
        <w:t xml:space="preserve">                      货币单位：人民币（元）</w:t>
      </w:r>
    </w:p>
    <w:tbl>
      <w:tblPr>
        <w:tblStyle w:val="44"/>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268"/>
        <w:gridCol w:w="1984"/>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标项</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标项名称</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038"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ind w:firstLine="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40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小写：___________________元</w:t>
            </w:r>
          </w:p>
          <w:p>
            <w:pPr>
              <w:spacing w:line="400" w:lineRule="exact"/>
              <w:jc w:val="center"/>
              <w:rPr>
                <w:rFonts w:ascii="宋体" w:hAnsi="宋体" w:cs="宋体"/>
                <w:color w:val="auto"/>
                <w:szCs w:val="21"/>
                <w:highlight w:val="none"/>
              </w:rPr>
            </w:pPr>
          </w:p>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大写：__________________元</w:t>
            </w:r>
          </w:p>
          <w:p>
            <w:pPr>
              <w:spacing w:line="400" w:lineRule="exact"/>
              <w:jc w:val="center"/>
              <w:rPr>
                <w:rFonts w:ascii="宋体" w:hAnsi="宋体" w:cs="宋体"/>
                <w:color w:val="auto"/>
                <w:szCs w:val="21"/>
                <w:highlight w:val="none"/>
              </w:rPr>
            </w:pPr>
          </w:p>
        </w:tc>
      </w:tr>
    </w:tbl>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注：本表所填内容与政采云系统“开标一览表”中录入的内容不一致的，以上传的盖章版投标文件中本表所填内容为准。</w:t>
      </w:r>
    </w:p>
    <w:p>
      <w:pPr>
        <w:snapToGrid w:val="0"/>
        <w:spacing w:line="400" w:lineRule="exact"/>
        <w:rPr>
          <w:rFonts w:ascii="宋体" w:hAnsi="宋体" w:cs="宋体"/>
          <w:color w:val="auto"/>
          <w:szCs w:val="21"/>
          <w:highlight w:val="none"/>
          <w:u w:val="single"/>
        </w:rPr>
      </w:pPr>
    </w:p>
    <w:p>
      <w:pPr>
        <w:snapToGrid w:val="0"/>
        <w:spacing w:line="400" w:lineRule="exact"/>
        <w:rPr>
          <w:rFonts w:ascii="宋体" w:hAnsi="宋体" w:cs="宋体"/>
          <w:color w:val="auto"/>
          <w:szCs w:val="21"/>
          <w:highlight w:val="none"/>
          <w:u w:val="single"/>
        </w:rPr>
      </w:pPr>
    </w:p>
    <w:p>
      <w:pPr>
        <w:snapToGrid w:val="0"/>
        <w:spacing w:line="400" w:lineRule="exact"/>
        <w:rPr>
          <w:rFonts w:ascii="宋体" w:hAnsi="宋体" w:cs="宋体"/>
          <w:color w:val="auto"/>
          <w:szCs w:val="21"/>
          <w:highlight w:val="none"/>
          <w:u w:val="single"/>
        </w:rPr>
      </w:pP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供应商（盖章）：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日            期：                            </w:t>
      </w: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400" w:lineRule="exact"/>
        <w:jc w:val="left"/>
        <w:rPr>
          <w:rFonts w:ascii="宋体" w:hAnsi="宋体" w:cs="宋体"/>
          <w:color w:val="auto"/>
          <w:szCs w:val="21"/>
          <w:highlight w:val="none"/>
        </w:rPr>
        <w:sectPr>
          <w:headerReference r:id="rId11" w:type="default"/>
          <w:footerReference r:id="rId12" w:type="default"/>
          <w:pgSz w:w="11907" w:h="16840"/>
          <w:pgMar w:top="1138" w:right="1588" w:bottom="1135" w:left="1339" w:header="285" w:footer="990" w:gutter="0"/>
          <w:cols w:space="720" w:num="1"/>
          <w:docGrid w:linePitch="285" w:charSpace="0"/>
        </w:sectPr>
      </w:pPr>
    </w:p>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C2、分项报价表</w:t>
      </w:r>
    </w:p>
    <w:p>
      <w:pPr>
        <w:pStyle w:val="17"/>
        <w:spacing w:line="400" w:lineRule="exact"/>
        <w:ind w:firstLine="420" w:firstLineChars="200"/>
        <w:rPr>
          <w:rFonts w:ascii="宋体" w:hAnsi="宋体" w:eastAsia="宋体" w:cs="宋体"/>
          <w:color w:val="auto"/>
          <w:sz w:val="21"/>
          <w:szCs w:val="21"/>
          <w:highlight w:val="none"/>
        </w:rPr>
      </w:pPr>
    </w:p>
    <w:p>
      <w:pPr>
        <w:pStyle w:val="17"/>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宁波前湾新区管委会大楼中央空调主机采购及安装项目</w:t>
      </w:r>
      <w:r>
        <w:rPr>
          <w:rFonts w:hint="eastAsia" w:ascii="宋体" w:hAnsi="宋体" w:eastAsia="宋体" w:cs="宋体"/>
          <w:color w:val="auto"/>
          <w:sz w:val="21"/>
          <w:szCs w:val="21"/>
          <w:highlight w:val="none"/>
        </w:rPr>
        <w:t xml:space="preserve"> </w:t>
      </w:r>
    </w:p>
    <w:p>
      <w:pPr>
        <w:pStyle w:val="17"/>
        <w:spacing w:line="40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eastAsia="zh-CN"/>
        </w:rPr>
        <w:t>QWZFCG25060（NBITC-202510974G）</w:t>
      </w:r>
    </w:p>
    <w:p>
      <w:pPr>
        <w:pStyle w:val="17"/>
        <w:spacing w:line="400" w:lineRule="exact"/>
        <w:ind w:firstLine="42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44"/>
        <w:tblW w:w="5346" w:type="pct"/>
        <w:tblInd w:w="0" w:type="dxa"/>
        <w:tblLayout w:type="fixed"/>
        <w:tblCellMar>
          <w:top w:w="0" w:type="dxa"/>
          <w:left w:w="108" w:type="dxa"/>
          <w:bottom w:w="0" w:type="dxa"/>
          <w:right w:w="108" w:type="dxa"/>
        </w:tblCellMar>
      </w:tblPr>
      <w:tblGrid>
        <w:gridCol w:w="874"/>
        <w:gridCol w:w="2713"/>
        <w:gridCol w:w="731"/>
        <w:gridCol w:w="732"/>
        <w:gridCol w:w="687"/>
        <w:gridCol w:w="795"/>
        <w:gridCol w:w="837"/>
        <w:gridCol w:w="984"/>
        <w:gridCol w:w="1943"/>
      </w:tblGrid>
      <w:tr>
        <w:tblPrEx>
          <w:tblCellMar>
            <w:top w:w="0" w:type="dxa"/>
            <w:left w:w="108" w:type="dxa"/>
            <w:bottom w:w="0" w:type="dxa"/>
            <w:right w:w="108" w:type="dxa"/>
          </w:tblCellMar>
        </w:tblPrEx>
        <w:trPr>
          <w:trHeight w:val="1522" w:hRule="atLeast"/>
          <w:tblHeader/>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317"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名称</w:t>
            </w:r>
          </w:p>
        </w:tc>
        <w:tc>
          <w:tcPr>
            <w:tcW w:w="35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355"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333"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产地品牌</w:t>
            </w:r>
          </w:p>
        </w:tc>
        <w:tc>
          <w:tcPr>
            <w:tcW w:w="386"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规格型号</w:t>
            </w:r>
          </w:p>
        </w:tc>
        <w:tc>
          <w:tcPr>
            <w:tcW w:w="406"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综合单价</w:t>
            </w:r>
          </w:p>
        </w:tc>
        <w:tc>
          <w:tcPr>
            <w:tcW w:w="47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合计</w:t>
            </w:r>
          </w:p>
        </w:tc>
        <w:tc>
          <w:tcPr>
            <w:tcW w:w="943"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备注</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风冷螺杆机组</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隔振垫</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块</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成套配电箱安装落地式</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基础型钢制作</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KG</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1.4</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基础槽钢安装</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循环水泵</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　</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2.1</w:t>
            </w:r>
          </w:p>
        </w:tc>
        <w:tc>
          <w:tcPr>
            <w:tcW w:w="131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隔振垫</w:t>
            </w:r>
          </w:p>
        </w:tc>
        <w:tc>
          <w:tcPr>
            <w:tcW w:w="354"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块</w:t>
            </w:r>
          </w:p>
        </w:tc>
        <w:tc>
          <w:tcPr>
            <w:tcW w:w="35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333"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2.2</w:t>
            </w:r>
          </w:p>
        </w:tc>
        <w:tc>
          <w:tcPr>
            <w:tcW w:w="131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成套配电箱安装落地式</w:t>
            </w:r>
          </w:p>
        </w:tc>
        <w:tc>
          <w:tcPr>
            <w:tcW w:w="354"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35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33"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2.3</w:t>
            </w:r>
          </w:p>
        </w:tc>
        <w:tc>
          <w:tcPr>
            <w:tcW w:w="131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基础型钢制作</w:t>
            </w:r>
          </w:p>
        </w:tc>
        <w:tc>
          <w:tcPr>
            <w:tcW w:w="354"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KG</w:t>
            </w:r>
          </w:p>
        </w:tc>
        <w:tc>
          <w:tcPr>
            <w:tcW w:w="35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333"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131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基础槽钢安装</w:t>
            </w:r>
          </w:p>
        </w:tc>
        <w:tc>
          <w:tcPr>
            <w:tcW w:w="354"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355"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333"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水箱</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　</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镀锌钢管</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DN150</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镀锌钢管</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15</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DN40</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低压法兰阀门</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金属软接DN150</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低压法兰阀门</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涡轮蝶阀DN150</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低压法兰阀门</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Y型过滤器DN150</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低压法兰阀门</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止回阀DN150</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螺纹阀门</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铜截止阀DN40</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低压碳钢焊接法兰</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副</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25</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法兰DN150</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压力仪表</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台</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温度仪表</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支</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14</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螺纹阀门</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15</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螺纹阀门</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　截止阀DN20</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16</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螺纹阀门</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　泄水阀DN40</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17</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电力电缆</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30</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YJV-4*10+1*4</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18</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电力电缆</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30</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YJV-4*120+1*70</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19</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电力电缆头</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截面积10mm2以下</w:t>
            </w:r>
          </w:p>
        </w:tc>
      </w:tr>
      <w:tr>
        <w:tblPrEx>
          <w:tblCellMar>
            <w:top w:w="0" w:type="dxa"/>
            <w:left w:w="108" w:type="dxa"/>
            <w:bottom w:w="0" w:type="dxa"/>
            <w:right w:w="108" w:type="dxa"/>
          </w:tblCellMar>
        </w:tblPrEx>
        <w:trPr>
          <w:trHeight w:val="766"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电力电缆头</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截面积120mm2以下</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21</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桥架</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30</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200*100*1.2</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22</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设备支架</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kg</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1270</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23</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管道支架</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kg</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260</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24</w:t>
            </w:r>
          </w:p>
        </w:tc>
        <w:tc>
          <w:tcPr>
            <w:tcW w:w="131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金属结构刷油</w:t>
            </w:r>
          </w:p>
        </w:tc>
        <w:tc>
          <w:tcPr>
            <w:tcW w:w="354"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kg</w:t>
            </w:r>
          </w:p>
        </w:tc>
        <w:tc>
          <w:tcPr>
            <w:tcW w:w="355"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1530</w:t>
            </w:r>
          </w:p>
        </w:tc>
        <w:tc>
          <w:tcPr>
            <w:tcW w:w="333"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25</w:t>
            </w:r>
          </w:p>
        </w:tc>
        <w:tc>
          <w:tcPr>
            <w:tcW w:w="131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防潮层、保护层</w:t>
            </w:r>
          </w:p>
        </w:tc>
        <w:tc>
          <w:tcPr>
            <w:tcW w:w="354"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m2</w:t>
            </w:r>
          </w:p>
        </w:tc>
        <w:tc>
          <w:tcPr>
            <w:tcW w:w="355"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25</w:t>
            </w:r>
          </w:p>
        </w:tc>
        <w:tc>
          <w:tcPr>
            <w:tcW w:w="333"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厚度：0.5mm</w:t>
            </w:r>
          </w:p>
        </w:tc>
      </w:tr>
      <w:tr>
        <w:tblPrEx>
          <w:tblCellMar>
            <w:top w:w="0" w:type="dxa"/>
            <w:left w:w="108" w:type="dxa"/>
            <w:bottom w:w="0" w:type="dxa"/>
            <w:right w:w="108" w:type="dxa"/>
          </w:tblCellMar>
        </w:tblPrEx>
        <w:trPr>
          <w:trHeight w:val="879"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26</w:t>
            </w:r>
          </w:p>
        </w:tc>
        <w:tc>
          <w:tcPr>
            <w:tcW w:w="131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管道绝热</w:t>
            </w:r>
          </w:p>
        </w:tc>
        <w:tc>
          <w:tcPr>
            <w:tcW w:w="354"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m3</w:t>
            </w:r>
          </w:p>
        </w:tc>
        <w:tc>
          <w:tcPr>
            <w:tcW w:w="355"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color w:val="auto"/>
                <w:spacing w:val="-2"/>
                <w:szCs w:val="21"/>
                <w:highlight w:val="none"/>
              </w:rPr>
              <w:t>0.86</w:t>
            </w:r>
          </w:p>
        </w:tc>
        <w:tc>
          <w:tcPr>
            <w:tcW w:w="333"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2"/>
                <w:szCs w:val="21"/>
                <w:highlight w:val="none"/>
              </w:rPr>
            </w:pPr>
          </w:p>
        </w:tc>
        <w:tc>
          <w:tcPr>
            <w:tcW w:w="386"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2"/>
                <w:szCs w:val="21"/>
                <w:highlight w:val="none"/>
              </w:rPr>
            </w:pPr>
          </w:p>
        </w:tc>
        <w:tc>
          <w:tcPr>
            <w:tcW w:w="406"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2"/>
                <w:szCs w:val="21"/>
                <w:highlight w:val="none"/>
              </w:rPr>
            </w:pPr>
          </w:p>
        </w:tc>
        <w:tc>
          <w:tcPr>
            <w:tcW w:w="477"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2"/>
                <w:szCs w:val="21"/>
                <w:highlight w:val="none"/>
              </w:rPr>
            </w:pPr>
          </w:p>
        </w:tc>
        <w:tc>
          <w:tcPr>
            <w:tcW w:w="943"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绝热厚度：30mm</w:t>
            </w:r>
          </w:p>
          <w:p>
            <w:pPr>
              <w:pStyle w:val="42"/>
              <w:spacing w:line="400" w:lineRule="exact"/>
              <w:ind w:firstLine="0" w:firstLineChars="0"/>
              <w:rPr>
                <w:rFonts w:ascii="宋体" w:hAnsi="宋体" w:eastAsia="宋体" w:cs="宋体"/>
                <w:i w:val="0"/>
                <w:color w:val="auto"/>
                <w:kern w:val="0"/>
                <w:sz w:val="21"/>
                <w:szCs w:val="21"/>
                <w:highlight w:val="none"/>
                <w:lang w:val="en-US" w:eastAsia="zh-CN" w:bidi="ar-SA"/>
              </w:rPr>
            </w:pPr>
            <w:r>
              <w:rPr>
                <w:rFonts w:hint="eastAsia" w:ascii="宋体" w:hAnsi="宋体" w:cs="宋体"/>
                <w:bCs/>
                <w:color w:val="auto"/>
                <w:szCs w:val="21"/>
                <w:highlight w:val="none"/>
              </w:rPr>
              <w:t>DN200mm以下</w:t>
            </w:r>
          </w:p>
        </w:tc>
      </w:tr>
      <w:tr>
        <w:tblPrEx>
          <w:tblCellMar>
            <w:top w:w="0" w:type="dxa"/>
            <w:left w:w="108" w:type="dxa"/>
            <w:bottom w:w="0" w:type="dxa"/>
            <w:right w:w="108" w:type="dxa"/>
          </w:tblCellMar>
        </w:tblPrEx>
        <w:trPr>
          <w:trHeight w:val="766"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27</w:t>
            </w:r>
          </w:p>
        </w:tc>
        <w:tc>
          <w:tcPr>
            <w:tcW w:w="131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阀门绝热</w:t>
            </w:r>
          </w:p>
        </w:tc>
        <w:tc>
          <w:tcPr>
            <w:tcW w:w="354"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355"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color w:val="auto"/>
                <w:spacing w:val="-6"/>
                <w:szCs w:val="21"/>
                <w:highlight w:val="none"/>
              </w:rPr>
              <w:t>18</w:t>
            </w:r>
          </w:p>
        </w:tc>
        <w:tc>
          <w:tcPr>
            <w:tcW w:w="333"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6"/>
                <w:szCs w:val="21"/>
                <w:highlight w:val="none"/>
              </w:rPr>
            </w:pPr>
          </w:p>
        </w:tc>
        <w:tc>
          <w:tcPr>
            <w:tcW w:w="386"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6"/>
                <w:szCs w:val="21"/>
                <w:highlight w:val="none"/>
              </w:rPr>
            </w:pPr>
          </w:p>
        </w:tc>
        <w:tc>
          <w:tcPr>
            <w:tcW w:w="406"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6"/>
                <w:szCs w:val="21"/>
                <w:highlight w:val="none"/>
              </w:rPr>
            </w:pPr>
          </w:p>
        </w:tc>
        <w:tc>
          <w:tcPr>
            <w:tcW w:w="477"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6"/>
                <w:szCs w:val="21"/>
                <w:highlight w:val="none"/>
              </w:rPr>
            </w:pPr>
          </w:p>
        </w:tc>
        <w:tc>
          <w:tcPr>
            <w:tcW w:w="943"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绝热厚度：40mm</w:t>
            </w:r>
          </w:p>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阀门DN200mm</w:t>
            </w:r>
          </w:p>
        </w:tc>
      </w:tr>
      <w:tr>
        <w:tblPrEx>
          <w:tblCellMar>
            <w:top w:w="0" w:type="dxa"/>
            <w:left w:w="108" w:type="dxa"/>
            <w:bottom w:w="0" w:type="dxa"/>
            <w:right w:w="108" w:type="dxa"/>
          </w:tblCellMar>
        </w:tblPrEx>
        <w:trPr>
          <w:trHeight w:val="879"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28</w:t>
            </w:r>
          </w:p>
        </w:tc>
        <w:tc>
          <w:tcPr>
            <w:tcW w:w="131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阀门绝热</w:t>
            </w:r>
          </w:p>
        </w:tc>
        <w:tc>
          <w:tcPr>
            <w:tcW w:w="354"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355"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auto"/>
                <w:szCs w:val="21"/>
                <w:highlight w:val="none"/>
              </w:rPr>
            </w:pPr>
            <w:r>
              <w:rPr>
                <w:rFonts w:hint="eastAsia" w:ascii="宋体" w:hAnsi="宋体" w:cs="宋体"/>
                <w:color w:val="auto"/>
                <w:spacing w:val="-12"/>
                <w:szCs w:val="21"/>
                <w:highlight w:val="none"/>
              </w:rPr>
              <w:t>3</w:t>
            </w:r>
          </w:p>
        </w:tc>
        <w:tc>
          <w:tcPr>
            <w:tcW w:w="333"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12"/>
                <w:szCs w:val="21"/>
                <w:highlight w:val="none"/>
              </w:rPr>
            </w:pPr>
          </w:p>
        </w:tc>
        <w:tc>
          <w:tcPr>
            <w:tcW w:w="386"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12"/>
                <w:szCs w:val="21"/>
                <w:highlight w:val="none"/>
              </w:rPr>
            </w:pPr>
          </w:p>
        </w:tc>
        <w:tc>
          <w:tcPr>
            <w:tcW w:w="406"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12"/>
                <w:szCs w:val="21"/>
                <w:highlight w:val="none"/>
              </w:rPr>
            </w:pPr>
          </w:p>
        </w:tc>
        <w:tc>
          <w:tcPr>
            <w:tcW w:w="477"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auto"/>
                <w:spacing w:val="-12"/>
                <w:szCs w:val="21"/>
                <w:highlight w:val="none"/>
              </w:rPr>
            </w:pPr>
          </w:p>
        </w:tc>
        <w:tc>
          <w:tcPr>
            <w:tcW w:w="943"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绝热厚度：40mm</w:t>
            </w:r>
          </w:p>
          <w:p>
            <w:pPr>
              <w:pStyle w:val="42"/>
              <w:spacing w:line="400" w:lineRule="exact"/>
              <w:ind w:firstLine="0" w:firstLineChars="0"/>
              <w:rPr>
                <w:rFonts w:ascii="宋体" w:hAnsi="宋体" w:eastAsia="宋体" w:cs="宋体"/>
                <w:i w:val="0"/>
                <w:color w:val="auto"/>
                <w:kern w:val="0"/>
                <w:sz w:val="21"/>
                <w:szCs w:val="21"/>
                <w:highlight w:val="none"/>
                <w:lang w:val="en-US" w:eastAsia="zh-CN" w:bidi="ar-SA"/>
              </w:rPr>
            </w:pPr>
            <w:r>
              <w:rPr>
                <w:rFonts w:hint="eastAsia" w:ascii="宋体" w:hAnsi="宋体" w:cs="宋体"/>
                <w:bCs/>
                <w:color w:val="auto"/>
                <w:szCs w:val="21"/>
                <w:highlight w:val="none"/>
              </w:rPr>
              <w:t>阀门DN50mm以下</w:t>
            </w:r>
          </w:p>
        </w:tc>
      </w:tr>
      <w:tr>
        <w:tblPrEx>
          <w:tblCellMar>
            <w:top w:w="0" w:type="dxa"/>
            <w:left w:w="108" w:type="dxa"/>
            <w:bottom w:w="0" w:type="dxa"/>
            <w:right w:w="108" w:type="dxa"/>
          </w:tblCellMar>
        </w:tblPrEx>
        <w:trPr>
          <w:trHeight w:val="766"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29</w:t>
            </w:r>
          </w:p>
        </w:tc>
        <w:tc>
          <w:tcPr>
            <w:tcW w:w="131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法兰绝热</w:t>
            </w:r>
          </w:p>
        </w:tc>
        <w:tc>
          <w:tcPr>
            <w:tcW w:w="354"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个</w:t>
            </w:r>
          </w:p>
        </w:tc>
        <w:tc>
          <w:tcPr>
            <w:tcW w:w="355"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25</w:t>
            </w:r>
          </w:p>
        </w:tc>
        <w:tc>
          <w:tcPr>
            <w:tcW w:w="333"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绝热厚度：40mm</w:t>
            </w:r>
          </w:p>
          <w:p>
            <w:pPr>
              <w:widowControl/>
              <w:spacing w:line="400" w:lineRule="exact"/>
              <w:jc w:val="left"/>
              <w:rPr>
                <w:rFonts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法兰DN200mm以下</w:t>
            </w:r>
          </w:p>
        </w:tc>
      </w:tr>
      <w:tr>
        <w:tblPrEx>
          <w:tblCellMar>
            <w:top w:w="0" w:type="dxa"/>
            <w:left w:w="108" w:type="dxa"/>
            <w:bottom w:w="0" w:type="dxa"/>
            <w:right w:w="108" w:type="dxa"/>
          </w:tblCellMar>
        </w:tblPrEx>
        <w:trPr>
          <w:trHeight w:val="2656"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30</w:t>
            </w:r>
          </w:p>
        </w:tc>
        <w:tc>
          <w:tcPr>
            <w:tcW w:w="131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原设备拆除费用</w:t>
            </w:r>
          </w:p>
        </w:tc>
        <w:tc>
          <w:tcPr>
            <w:tcW w:w="354"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355"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33"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含老水泵、老主机、老水箱、老阀件、老管道拆除费用、雨棚拆装费用，及拆除材料吊装、运输、人工、整理归库移交费用。</w:t>
            </w:r>
          </w:p>
        </w:tc>
      </w:tr>
      <w:tr>
        <w:tblPrEx>
          <w:tblCellMar>
            <w:top w:w="0" w:type="dxa"/>
            <w:left w:w="108" w:type="dxa"/>
            <w:bottom w:w="0" w:type="dxa"/>
            <w:right w:w="108" w:type="dxa"/>
          </w:tblCellMar>
        </w:tblPrEx>
        <w:trPr>
          <w:trHeight w:val="388" w:hRule="atLeast"/>
        </w:trPr>
        <w:tc>
          <w:tcPr>
            <w:tcW w:w="424" w:type="pc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31</w:t>
            </w:r>
          </w:p>
        </w:tc>
        <w:tc>
          <w:tcPr>
            <w:tcW w:w="1317" w:type="pct"/>
            <w:tcBorders>
              <w:top w:val="nil"/>
              <w:left w:val="nil"/>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系统调试费</w:t>
            </w:r>
          </w:p>
        </w:tc>
        <w:tc>
          <w:tcPr>
            <w:tcW w:w="354"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355"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33"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388"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32</w:t>
            </w:r>
          </w:p>
        </w:tc>
        <w:tc>
          <w:tcPr>
            <w:tcW w:w="131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脚手架搭拆</w:t>
            </w:r>
          </w:p>
        </w:tc>
        <w:tc>
          <w:tcPr>
            <w:tcW w:w="354"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355"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33"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　</w:t>
            </w:r>
          </w:p>
        </w:tc>
      </w:tr>
      <w:tr>
        <w:tblPrEx>
          <w:tblCellMar>
            <w:top w:w="0" w:type="dxa"/>
            <w:left w:w="108" w:type="dxa"/>
            <w:bottom w:w="0" w:type="dxa"/>
            <w:right w:w="108" w:type="dxa"/>
          </w:tblCellMar>
        </w:tblPrEx>
        <w:trPr>
          <w:trHeight w:val="388"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33</w:t>
            </w:r>
          </w:p>
        </w:tc>
        <w:tc>
          <w:tcPr>
            <w:tcW w:w="131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其他（如有）</w:t>
            </w:r>
          </w:p>
        </w:tc>
        <w:tc>
          <w:tcPr>
            <w:tcW w:w="354"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33"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88"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bCs/>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33"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386"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477"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r>
        <w:tblPrEx>
          <w:tblCellMar>
            <w:top w:w="0" w:type="dxa"/>
            <w:left w:w="108" w:type="dxa"/>
            <w:bottom w:w="0" w:type="dxa"/>
            <w:right w:w="108" w:type="dxa"/>
          </w:tblCellMar>
        </w:tblPrEx>
        <w:trPr>
          <w:trHeight w:val="397" w:hRule="atLeast"/>
        </w:trPr>
        <w:tc>
          <w:tcPr>
            <w:tcW w:w="4056" w:type="pct"/>
            <w:gridSpan w:val="8"/>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投标报价</w:t>
            </w:r>
          </w:p>
        </w:tc>
        <w:tc>
          <w:tcPr>
            <w:tcW w:w="943"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Cs/>
                <w:color w:val="auto"/>
                <w:szCs w:val="21"/>
                <w:highlight w:val="none"/>
              </w:rPr>
            </w:pPr>
          </w:p>
        </w:tc>
      </w:tr>
    </w:tbl>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供应商（盖章）：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日       期：                  </w:t>
      </w:r>
    </w:p>
    <w:p>
      <w:pPr>
        <w:rPr>
          <w:rFonts w:ascii="宋体" w:hAnsi="宋体" w:cs="宋体"/>
          <w:color w:val="auto"/>
          <w:szCs w:val="21"/>
          <w:highlight w:val="none"/>
        </w:rPr>
      </w:pPr>
      <w:r>
        <w:rPr>
          <w:rFonts w:hint="eastAsia" w:ascii="宋体" w:hAnsi="宋体" w:cs="宋体"/>
          <w:color w:val="auto"/>
          <w:szCs w:val="21"/>
          <w:highlight w:val="none"/>
        </w:rPr>
        <w:br w:type="page"/>
      </w:r>
    </w:p>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C3、中小企业声明函（货物）</w:t>
      </w:r>
    </w:p>
    <w:p>
      <w:pPr>
        <w:rPr>
          <w:rFonts w:ascii="宋体" w:hAnsi="宋体" w:cs="宋体"/>
          <w:color w:val="auto"/>
          <w:szCs w:val="21"/>
          <w:highlight w:val="none"/>
        </w:rPr>
      </w:pP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rPr>
        <w:t>本公司（联合体）郑重声明，根据《政府采购促进中小企业发展管理办法》（财库﹝2020﹞46号）的规定，本公司（联合体）参加</w:t>
      </w:r>
      <w:r>
        <w:rPr>
          <w:rFonts w:hint="eastAsia" w:ascii="宋体" w:hAnsi="宋体" w:cs="宋体"/>
          <w:b/>
          <w:bCs/>
          <w:i w:val="0"/>
          <w:iCs/>
          <w:color w:val="auto"/>
          <w:sz w:val="21"/>
          <w:szCs w:val="21"/>
          <w:highlight w:val="none"/>
          <w:u w:val="single"/>
        </w:rPr>
        <w:t>宁波前湾新区管理委员会办公室</w:t>
      </w:r>
      <w:r>
        <w:rPr>
          <w:rFonts w:hint="eastAsia" w:ascii="宋体" w:hAnsi="宋体" w:cs="宋体"/>
          <w:i w:val="0"/>
          <w:color w:val="auto"/>
          <w:sz w:val="21"/>
          <w:szCs w:val="21"/>
          <w:highlight w:val="none"/>
        </w:rPr>
        <w:t>的</w:t>
      </w:r>
      <w:r>
        <w:rPr>
          <w:rFonts w:hint="eastAsia" w:ascii="宋体" w:hAnsi="宋体" w:cs="宋体"/>
          <w:b/>
          <w:bCs/>
          <w:i w:val="0"/>
          <w:iCs/>
          <w:color w:val="auto"/>
          <w:sz w:val="21"/>
          <w:szCs w:val="21"/>
          <w:highlight w:val="none"/>
          <w:u w:val="single"/>
        </w:rPr>
        <w:t>宁波前湾新区管委会大楼中央空调主机采购及安装项目</w:t>
      </w:r>
      <w:r>
        <w:rPr>
          <w:rFonts w:hint="eastAsia" w:ascii="宋体" w:hAnsi="宋体" w:cs="宋体"/>
          <w:i w:val="0"/>
          <w:color w:val="auto"/>
          <w:sz w:val="21"/>
          <w:szCs w:val="21"/>
          <w:highlight w:val="none"/>
        </w:rPr>
        <w:t>采购活动，提供的货物全部由符合政策要求的中小企业制造。相关企业（含联合体中的中小企业、签订分包意向协议的中小企业）的具体情况如下：</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rPr>
        <w:t>1.</w:t>
      </w:r>
      <w:r>
        <w:rPr>
          <w:rFonts w:hint="eastAsia" w:ascii="宋体" w:hAnsi="宋体" w:cs="宋体"/>
          <w:color w:val="auto"/>
          <w:highlight w:val="none"/>
        </w:rPr>
        <w:t xml:space="preserve"> </w:t>
      </w:r>
      <w:r>
        <w:rPr>
          <w:rFonts w:hint="eastAsia" w:ascii="宋体" w:hAnsi="宋体" w:cs="宋体"/>
          <w:b/>
          <w:bCs/>
          <w:i w:val="0"/>
          <w:iCs/>
          <w:color w:val="auto"/>
          <w:highlight w:val="none"/>
          <w:u w:val="single"/>
        </w:rPr>
        <w:t>风冷螺杆机组</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2</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cs="宋体"/>
          <w:b/>
          <w:bCs/>
          <w:i w:val="0"/>
          <w:iCs/>
          <w:color w:val="auto"/>
          <w:highlight w:val="none"/>
          <w:u w:val="single"/>
        </w:rPr>
        <w:t>循环水泵</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3</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cs="宋体"/>
          <w:b/>
          <w:bCs/>
          <w:i w:val="0"/>
          <w:iCs/>
          <w:color w:val="auto"/>
          <w:highlight w:val="none"/>
          <w:u w:val="single"/>
          <w:lang w:val="en-US" w:eastAsia="zh-CN"/>
        </w:rPr>
        <w:t>水箱</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4</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eastAsia="宋体" w:cs="宋体"/>
          <w:b/>
          <w:bCs/>
          <w:i w:val="0"/>
          <w:iCs/>
          <w:color w:val="auto"/>
          <w:highlight w:val="none"/>
          <w:u w:val="single"/>
          <w:lang w:val="en-US" w:eastAsia="zh-CN"/>
        </w:rPr>
        <w:t>镀锌钢管</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5</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eastAsia="宋体" w:cs="宋体"/>
          <w:b/>
          <w:bCs/>
          <w:i w:val="0"/>
          <w:iCs/>
          <w:color w:val="auto"/>
          <w:highlight w:val="none"/>
          <w:u w:val="single"/>
          <w:lang w:val="en-US" w:eastAsia="zh-CN"/>
        </w:rPr>
        <w:t>低压法兰阀门</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6</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eastAsia="宋体" w:cs="宋体"/>
          <w:b/>
          <w:bCs/>
          <w:i w:val="0"/>
          <w:iCs/>
          <w:color w:val="auto"/>
          <w:highlight w:val="none"/>
          <w:u w:val="single"/>
          <w:lang w:val="en-US" w:eastAsia="zh-CN"/>
        </w:rPr>
        <w:t>螺纹阀门</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7</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eastAsia="宋体" w:cs="宋体"/>
          <w:b/>
          <w:bCs/>
          <w:i w:val="0"/>
          <w:iCs/>
          <w:color w:val="auto"/>
          <w:highlight w:val="none"/>
          <w:u w:val="single"/>
          <w:lang w:val="en-US" w:eastAsia="zh-CN"/>
        </w:rPr>
        <w:t>低压碳钢焊接法兰</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8</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eastAsia="宋体" w:cs="宋体"/>
          <w:b/>
          <w:bCs/>
          <w:i w:val="0"/>
          <w:iCs/>
          <w:color w:val="auto"/>
          <w:highlight w:val="none"/>
          <w:u w:val="single"/>
          <w:lang w:val="en-US" w:eastAsia="zh-CN"/>
        </w:rPr>
        <w:t>压力仪表</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9</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eastAsia="宋体" w:cs="宋体"/>
          <w:b/>
          <w:bCs/>
          <w:i w:val="0"/>
          <w:iCs/>
          <w:color w:val="auto"/>
          <w:highlight w:val="none"/>
          <w:u w:val="single"/>
          <w:lang w:val="en-US" w:eastAsia="zh-CN"/>
        </w:rPr>
        <w:t>温度仪表</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10</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eastAsia="宋体" w:cs="宋体"/>
          <w:b/>
          <w:bCs/>
          <w:i w:val="0"/>
          <w:iCs/>
          <w:color w:val="auto"/>
          <w:highlight w:val="none"/>
          <w:u w:val="single"/>
          <w:lang w:val="en-US" w:eastAsia="zh-CN"/>
        </w:rPr>
        <w:t>螺纹阀门</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11</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eastAsia="宋体" w:cs="宋体"/>
          <w:b/>
          <w:bCs/>
          <w:i w:val="0"/>
          <w:iCs/>
          <w:color w:val="auto"/>
          <w:highlight w:val="none"/>
          <w:u w:val="single"/>
          <w:lang w:val="en-US" w:eastAsia="zh-CN"/>
        </w:rPr>
        <w:t>电力电缆</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12</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eastAsia="宋体" w:cs="宋体"/>
          <w:b/>
          <w:bCs/>
          <w:i w:val="0"/>
          <w:iCs/>
          <w:color w:val="auto"/>
          <w:highlight w:val="none"/>
          <w:u w:val="single"/>
          <w:lang w:val="en-US" w:eastAsia="zh-CN"/>
        </w:rPr>
        <w:t>电力电缆头</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13</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eastAsia="宋体" w:cs="宋体"/>
          <w:b/>
          <w:bCs/>
          <w:i w:val="0"/>
          <w:iCs/>
          <w:color w:val="auto"/>
          <w:highlight w:val="none"/>
          <w:u w:val="single"/>
          <w:lang w:val="en-US" w:eastAsia="zh-CN"/>
        </w:rPr>
        <w:t>桥架</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14</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eastAsia="宋体" w:cs="宋体"/>
          <w:b/>
          <w:bCs/>
          <w:i w:val="0"/>
          <w:iCs/>
          <w:color w:val="auto"/>
          <w:highlight w:val="none"/>
          <w:u w:val="single"/>
          <w:lang w:val="en-US" w:eastAsia="zh-CN"/>
        </w:rPr>
        <w:t>设备支架</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hint="eastAsia" w:ascii="宋体" w:hAnsi="宋体" w:cs="宋体"/>
          <w:i w:val="0"/>
          <w:color w:val="auto"/>
          <w:sz w:val="21"/>
          <w:szCs w:val="21"/>
          <w:highlight w:val="none"/>
          <w:lang w:eastAsia="zh-CN"/>
        </w:rPr>
      </w:pP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15</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eastAsia="宋体" w:cs="宋体"/>
          <w:b/>
          <w:bCs/>
          <w:i w:val="0"/>
          <w:iCs/>
          <w:color w:val="auto"/>
          <w:highlight w:val="none"/>
          <w:u w:val="single"/>
          <w:lang w:val="en-US" w:eastAsia="zh-CN"/>
        </w:rPr>
        <w:t>管道支架</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16</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eastAsia="宋体" w:cs="宋体"/>
          <w:b/>
          <w:bCs/>
          <w:i w:val="0"/>
          <w:iCs/>
          <w:color w:val="auto"/>
          <w:highlight w:val="none"/>
          <w:u w:val="single"/>
          <w:lang w:val="en-US" w:eastAsia="zh-CN"/>
        </w:rPr>
        <w:t>金属结构刷油</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17</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eastAsia="宋体" w:cs="宋体"/>
          <w:b/>
          <w:bCs/>
          <w:i w:val="0"/>
          <w:iCs/>
          <w:color w:val="auto"/>
          <w:highlight w:val="none"/>
          <w:u w:val="single"/>
          <w:lang w:val="en-US" w:eastAsia="zh-CN"/>
        </w:rPr>
        <w:t>防潮层、保护层</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lang w:val="en-US" w:eastAsia="zh-CN"/>
        </w:rPr>
        <w:t>18</w:t>
      </w:r>
      <w:r>
        <w:rPr>
          <w:rFonts w:hint="eastAsia" w:ascii="宋体" w:hAnsi="宋体" w:cs="宋体"/>
          <w:i w:val="0"/>
          <w:color w:val="auto"/>
          <w:sz w:val="21"/>
          <w:szCs w:val="21"/>
          <w:highlight w:val="none"/>
        </w:rPr>
        <w:t>.</w:t>
      </w:r>
      <w:r>
        <w:rPr>
          <w:rFonts w:hint="eastAsia" w:ascii="宋体" w:hAnsi="宋体" w:cs="宋体"/>
          <w:color w:val="auto"/>
          <w:highlight w:val="none"/>
        </w:rPr>
        <w:t xml:space="preserve"> </w:t>
      </w:r>
      <w:r>
        <w:rPr>
          <w:rFonts w:hint="eastAsia" w:ascii="宋体" w:hAnsi="宋体" w:eastAsia="宋体" w:cs="宋体"/>
          <w:b/>
          <w:bCs/>
          <w:i w:val="0"/>
          <w:iCs/>
          <w:color w:val="auto"/>
          <w:highlight w:val="none"/>
          <w:u w:val="single"/>
          <w:lang w:val="en-US" w:eastAsia="zh-CN"/>
        </w:rPr>
        <w:t xml:space="preserve">          （标的名称）</w:t>
      </w:r>
      <w:r>
        <w:rPr>
          <w:rFonts w:hint="eastAsia" w:ascii="宋体" w:hAnsi="宋体" w:cs="宋体"/>
          <w:i w:val="0"/>
          <w:color w:val="auto"/>
          <w:sz w:val="21"/>
          <w:szCs w:val="21"/>
          <w:highlight w:val="none"/>
        </w:rPr>
        <w:t>，属于</w:t>
      </w:r>
      <w:r>
        <w:rPr>
          <w:rFonts w:hint="eastAsia" w:ascii="宋体" w:hAnsi="宋体" w:cs="宋体"/>
          <w:b/>
          <w:i w:val="0"/>
          <w:iCs/>
          <w:color w:val="auto"/>
          <w:sz w:val="21"/>
          <w:szCs w:val="21"/>
          <w:highlight w:val="none"/>
          <w:u w:val="single"/>
        </w:rPr>
        <w:t>工业</w:t>
      </w:r>
      <w:r>
        <w:rPr>
          <w:rFonts w:hint="eastAsia" w:ascii="宋体" w:hAnsi="宋体" w:cs="宋体"/>
          <w:i w:val="0"/>
          <w:color w:val="auto"/>
          <w:sz w:val="21"/>
          <w:szCs w:val="21"/>
          <w:highlight w:val="none"/>
        </w:rPr>
        <w:t>；制造商为</w:t>
      </w:r>
      <w:r>
        <w:rPr>
          <w:rFonts w:hint="eastAsia" w:ascii="宋体" w:hAnsi="宋体" w:cs="宋体"/>
          <w:i w:val="0"/>
          <w:iCs/>
          <w:color w:val="auto"/>
          <w:sz w:val="21"/>
          <w:szCs w:val="21"/>
          <w:highlight w:val="none"/>
          <w:u w:val="single"/>
        </w:rPr>
        <w:t>（企业名称）</w:t>
      </w:r>
      <w:r>
        <w:rPr>
          <w:rFonts w:hint="eastAsia" w:ascii="宋体" w:hAnsi="宋体" w:cs="宋体"/>
          <w:i w:val="0"/>
          <w:color w:val="auto"/>
          <w:sz w:val="21"/>
          <w:szCs w:val="21"/>
          <w:highlight w:val="none"/>
        </w:rPr>
        <w:t>，从业人员</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人，营业收入为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万元，资产总额为</w:t>
      </w:r>
      <w:r>
        <w:rPr>
          <w:rFonts w:hint="eastAsia" w:ascii="宋体" w:hAnsi="宋体" w:cs="宋体"/>
          <w:i w:val="0"/>
          <w:color w:val="auto"/>
          <w:sz w:val="21"/>
          <w:szCs w:val="21"/>
          <w:highlight w:val="none"/>
          <w:u w:val="single"/>
        </w:rPr>
        <w:t xml:space="preserve">    </w:t>
      </w:r>
      <w:r>
        <w:rPr>
          <w:rFonts w:hint="eastAsia" w:ascii="宋体" w:hAnsi="宋体" w:cs="宋体"/>
          <w:i w:val="0"/>
          <w:color w:val="auto"/>
          <w:sz w:val="21"/>
          <w:szCs w:val="21"/>
          <w:highlight w:val="none"/>
        </w:rPr>
        <w:t>万元，属于</w:t>
      </w:r>
      <w:r>
        <w:rPr>
          <w:rFonts w:hint="eastAsia" w:ascii="宋体" w:hAnsi="宋体" w:cs="宋体"/>
          <w:i w:val="0"/>
          <w:iCs/>
          <w:color w:val="auto"/>
          <w:sz w:val="21"/>
          <w:szCs w:val="21"/>
          <w:highlight w:val="none"/>
          <w:u w:val="single"/>
        </w:rPr>
        <w:t>（中型企业、小型企业、微型企业）</w:t>
      </w:r>
      <w:r>
        <w:rPr>
          <w:rFonts w:hint="eastAsia" w:ascii="宋体" w:hAnsi="宋体" w:cs="宋体"/>
          <w:i w:val="0"/>
          <w:color w:val="auto"/>
          <w:sz w:val="21"/>
          <w:szCs w:val="21"/>
          <w:highlight w:val="none"/>
        </w:rPr>
        <w:t>；</w:t>
      </w:r>
    </w:p>
    <w:p>
      <w:pPr>
        <w:pStyle w:val="16"/>
        <w:spacing w:line="400" w:lineRule="exact"/>
        <w:ind w:firstLine="420" w:firstLineChars="200"/>
        <w:jc w:val="left"/>
        <w:rPr>
          <w:rFonts w:hint="eastAsia" w:ascii="宋体" w:hAnsi="宋体" w:cs="宋体"/>
          <w:i w:val="0"/>
          <w:color w:val="auto"/>
          <w:sz w:val="21"/>
          <w:szCs w:val="21"/>
          <w:highlight w:val="none"/>
          <w:lang w:eastAsia="zh-CN"/>
        </w:rPr>
      </w:pPr>
      <w:r>
        <w:rPr>
          <w:rFonts w:hint="eastAsia" w:ascii="宋体" w:hAnsi="宋体" w:cs="宋体"/>
          <w:i w:val="0"/>
          <w:color w:val="auto"/>
          <w:sz w:val="21"/>
          <w:szCs w:val="21"/>
          <w:highlight w:val="none"/>
          <w:lang w:eastAsia="zh-CN"/>
        </w:rPr>
        <w:t>……</w:t>
      </w:r>
    </w:p>
    <w:p>
      <w:pPr>
        <w:pStyle w:val="16"/>
        <w:spacing w:line="400" w:lineRule="exact"/>
        <w:ind w:firstLine="420" w:firstLineChars="200"/>
        <w:jc w:val="left"/>
        <w:rPr>
          <w:rFonts w:hint="eastAsia" w:ascii="宋体" w:hAnsi="宋体" w:cs="宋体"/>
          <w:i w:val="0"/>
          <w:color w:val="auto"/>
          <w:sz w:val="21"/>
          <w:szCs w:val="21"/>
          <w:highlight w:val="none"/>
          <w:lang w:eastAsia="zh-CN"/>
        </w:rPr>
      </w:pPr>
      <w:r>
        <w:rPr>
          <w:rFonts w:hint="eastAsia" w:ascii="宋体" w:hAnsi="宋体" w:cs="宋体"/>
          <w:i w:val="0"/>
          <w:color w:val="auto"/>
          <w:sz w:val="21"/>
          <w:szCs w:val="21"/>
          <w:highlight w:val="none"/>
          <w:lang w:eastAsia="zh-CN"/>
        </w:rPr>
        <w:t>……</w:t>
      </w:r>
    </w:p>
    <w:p>
      <w:pPr>
        <w:rPr>
          <w:rFonts w:hint="eastAsia"/>
          <w:color w:val="auto"/>
          <w:highlight w:val="none"/>
          <w:lang w:eastAsia="zh-CN"/>
        </w:rPr>
      </w:pPr>
    </w:p>
    <w:p>
      <w:pPr>
        <w:pStyle w:val="38"/>
        <w:spacing w:line="400" w:lineRule="exact"/>
        <w:ind w:firstLine="422" w:firstLineChars="200"/>
        <w:rPr>
          <w:rFonts w:hint="eastAsia"/>
          <w:b/>
          <w:bCs/>
          <w:color w:val="auto"/>
          <w:sz w:val="21"/>
          <w:szCs w:val="21"/>
          <w:highlight w:val="none"/>
        </w:rPr>
      </w:pPr>
      <w:r>
        <w:rPr>
          <w:rFonts w:hint="eastAsia"/>
          <w:b/>
          <w:bCs/>
          <w:color w:val="auto"/>
          <w:sz w:val="21"/>
          <w:szCs w:val="21"/>
          <w:highlight w:val="none"/>
        </w:rPr>
        <w:t>（供应商应当根据采购产品清单逐项对所投产品的制造商进行填报）</w:t>
      </w: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pStyle w:val="16"/>
        <w:spacing w:line="400" w:lineRule="exact"/>
        <w:ind w:firstLine="420" w:firstLineChars="200"/>
        <w:jc w:val="left"/>
        <w:rPr>
          <w:rFonts w:ascii="宋体" w:hAnsi="宋体" w:cs="宋体"/>
          <w:i w:val="0"/>
          <w:color w:val="auto"/>
          <w:sz w:val="21"/>
          <w:szCs w:val="21"/>
          <w:highlight w:val="none"/>
        </w:rPr>
      </w:pPr>
      <w:r>
        <w:rPr>
          <w:rFonts w:hint="eastAsia" w:ascii="宋体" w:hAnsi="宋体" w:cs="宋体"/>
          <w:i w:val="0"/>
          <w:color w:val="auto"/>
          <w:sz w:val="21"/>
          <w:szCs w:val="21"/>
          <w:highlight w:val="none"/>
        </w:rPr>
        <w:t>以上企业，不属于大企业的分支机构，不存在控股股东为大企业的情形，也不存在与大企业的负责人为同一人的情形。</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pacing w:line="400" w:lineRule="exact"/>
        <w:ind w:firstLine="420" w:firstLineChars="200"/>
        <w:rPr>
          <w:rFonts w:ascii="宋体" w:hAnsi="宋体" w:cs="宋体"/>
          <w:color w:val="auto"/>
          <w:szCs w:val="21"/>
          <w:highlight w:val="none"/>
        </w:rPr>
      </w:pPr>
    </w:p>
    <w:p>
      <w:pPr>
        <w:pStyle w:val="16"/>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1、从业人员、营业收入、资产总额填报上一年度数据，无上一年度数据的新成立企业可不填报。</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供应商（盖章）：</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日          期：</w:t>
      </w:r>
    </w:p>
    <w:p>
      <w:pPr>
        <w:spacing w:line="400" w:lineRule="exact"/>
        <w:jc w:val="left"/>
        <w:rPr>
          <w:rFonts w:ascii="宋体" w:hAnsi="宋体" w:cs="宋体"/>
          <w:color w:val="auto"/>
          <w:szCs w:val="21"/>
          <w:highlight w:val="none"/>
        </w:rPr>
      </w:pPr>
    </w:p>
    <w:p>
      <w:pPr>
        <w:snapToGrid w:val="0"/>
        <w:spacing w:line="400" w:lineRule="exact"/>
        <w:jc w:val="center"/>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C4、残疾人福利性单位声明函（如有需提供）</w:t>
      </w:r>
    </w:p>
    <w:p>
      <w:pPr>
        <w:spacing w:line="588"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pacing w:line="588" w:lineRule="exact"/>
        <w:ind w:firstLine="420" w:firstLineChars="200"/>
        <w:rPr>
          <w:rFonts w:ascii="宋体" w:hAnsi="宋体" w:cs="宋体"/>
          <w:color w:val="auto"/>
          <w:szCs w:val="21"/>
          <w:highlight w:val="none"/>
        </w:rPr>
      </w:pPr>
    </w:p>
    <w:p>
      <w:pPr>
        <w:spacing w:line="588" w:lineRule="exact"/>
        <w:ind w:firstLine="420" w:firstLineChars="200"/>
        <w:rPr>
          <w:rFonts w:ascii="宋体" w:hAnsi="宋体" w:cs="宋体"/>
          <w:color w:val="auto"/>
          <w:szCs w:val="21"/>
          <w:highlight w:val="none"/>
        </w:rPr>
      </w:pPr>
    </w:p>
    <w:p>
      <w:pPr>
        <w:tabs>
          <w:tab w:val="left" w:pos="4860"/>
        </w:tabs>
        <w:spacing w:line="588" w:lineRule="exact"/>
        <w:ind w:right="1560"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供应商（盖章）：</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pPr>
        <w:spacing w:line="400" w:lineRule="exact"/>
        <w:ind w:firstLine="420" w:firstLineChars="200"/>
        <w:rPr>
          <w:rFonts w:ascii="宋体" w:hAnsi="宋体" w:cs="宋体"/>
          <w:color w:val="auto"/>
          <w:szCs w:val="21"/>
          <w:highlight w:val="none"/>
        </w:rPr>
      </w:pPr>
    </w:p>
    <w:p>
      <w:pPr>
        <w:widowControl/>
        <w:jc w:val="left"/>
        <w:rPr>
          <w:rFonts w:ascii="宋体" w:hAnsi="宋体" w:cs="宋体"/>
          <w:b/>
          <w:color w:val="auto"/>
          <w:szCs w:val="21"/>
          <w:highlight w:val="none"/>
        </w:rPr>
      </w:pPr>
      <w:r>
        <w:rPr>
          <w:rFonts w:hint="eastAsia" w:ascii="宋体" w:hAnsi="宋体" w:cs="宋体"/>
          <w:b/>
          <w:color w:val="auto"/>
          <w:szCs w:val="21"/>
          <w:highlight w:val="none"/>
        </w:rPr>
        <w:br w:type="page"/>
      </w:r>
    </w:p>
    <w:p>
      <w:pPr>
        <w:spacing w:line="400" w:lineRule="exact"/>
        <w:ind w:firstLine="422" w:firstLineChars="200"/>
        <w:jc w:val="left"/>
        <w:rPr>
          <w:rFonts w:ascii="宋体" w:hAnsi="宋体" w:cs="宋体"/>
          <w:b/>
          <w:bCs/>
          <w:color w:val="auto"/>
          <w:szCs w:val="21"/>
          <w:highlight w:val="none"/>
        </w:rPr>
      </w:pPr>
      <w:bookmarkStart w:id="53" w:name="_Toc65915724"/>
      <w:r>
        <w:rPr>
          <w:rFonts w:hint="eastAsia" w:ascii="宋体" w:hAnsi="宋体" w:cs="宋体"/>
          <w:b/>
          <w:bCs/>
          <w:color w:val="auto"/>
          <w:szCs w:val="21"/>
          <w:highlight w:val="none"/>
        </w:rPr>
        <w:t>C5、监狱企业（监狱和戒毒企业）提供自己企业的产品（服务）的：提供由省级以上监狱管理局、戒毒管理局（含新疆生产建设兵团）出具的属于监狱企业的证明文件（如有需提供）；</w:t>
      </w:r>
    </w:p>
    <w:p>
      <w:pPr>
        <w:spacing w:line="400" w:lineRule="exact"/>
        <w:ind w:firstLine="422" w:firstLineChars="200"/>
        <w:jc w:val="left"/>
        <w:rPr>
          <w:rFonts w:ascii="宋体" w:hAnsi="宋体" w:cs="宋体"/>
          <w:b/>
          <w:bCs/>
          <w:color w:val="auto"/>
          <w:szCs w:val="21"/>
          <w:highlight w:val="none"/>
        </w:rPr>
      </w:pPr>
    </w:p>
    <w:p>
      <w:pPr>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C6、供应商认为需要的其他资料。</w:t>
      </w:r>
    </w:p>
    <w:p>
      <w:pPr>
        <w:rPr>
          <w:rFonts w:ascii="宋体" w:hAnsi="宋体" w:cs="宋体"/>
          <w:b/>
          <w:color w:val="auto"/>
          <w:highlight w:val="none"/>
        </w:rPr>
      </w:pPr>
      <w:r>
        <w:rPr>
          <w:rFonts w:hint="eastAsia" w:ascii="宋体" w:hAnsi="宋体" w:cs="宋体"/>
          <w:b/>
          <w:color w:val="auto"/>
          <w:highlight w:val="none"/>
        </w:rPr>
        <w:br w:type="page"/>
      </w:r>
    </w:p>
    <w:p>
      <w:pPr>
        <w:jc w:val="center"/>
        <w:rPr>
          <w:rFonts w:ascii="宋体" w:hAnsi="宋体" w:cs="宋体"/>
          <w:b/>
          <w:color w:val="auto"/>
          <w:highlight w:val="none"/>
        </w:rPr>
      </w:pPr>
      <w:r>
        <w:rPr>
          <w:rFonts w:hint="eastAsia" w:ascii="宋体" w:hAnsi="宋体" w:cs="宋体"/>
          <w:b/>
          <w:color w:val="auto"/>
          <w:highlight w:val="none"/>
        </w:rPr>
        <w:t>政府采购活动现场确认声明书</w:t>
      </w:r>
      <w:bookmarkEnd w:id="53"/>
    </w:p>
    <w:p>
      <w:pPr>
        <w:pStyle w:val="187"/>
        <w:snapToGrid w:val="0"/>
        <w:spacing w:line="400" w:lineRule="exact"/>
        <w:rPr>
          <w:rFonts w:hAnsi="宋体" w:cs="宋体"/>
          <w:color w:val="auto"/>
          <w:szCs w:val="21"/>
          <w:highlight w:val="none"/>
        </w:rPr>
      </w:pPr>
      <w:r>
        <w:rPr>
          <w:rFonts w:hint="eastAsia" w:hAnsi="宋体" w:cs="宋体"/>
          <w:color w:val="auto"/>
          <w:szCs w:val="21"/>
          <w:highlight w:val="none"/>
        </w:rPr>
        <w:t>致：采购人</w:t>
      </w:r>
    </w:p>
    <w:p>
      <w:pPr>
        <w:pStyle w:val="187"/>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本人经由</w:t>
      </w:r>
      <w:r>
        <w:rPr>
          <w:rFonts w:hint="eastAsia" w:hAnsi="宋体" w:cs="宋体"/>
          <w:color w:val="auto"/>
          <w:szCs w:val="21"/>
          <w:highlight w:val="none"/>
          <w:u w:val="single"/>
        </w:rPr>
        <w:t>（供应商名称）</w:t>
      </w:r>
      <w:r>
        <w:rPr>
          <w:rFonts w:hint="eastAsia" w:hAnsi="宋体" w:cs="宋体"/>
          <w:color w:val="auto"/>
          <w:szCs w:val="21"/>
          <w:highlight w:val="none"/>
        </w:rPr>
        <w:t>法人代表（负责人）</w:t>
      </w:r>
      <w:r>
        <w:rPr>
          <w:rFonts w:hint="eastAsia" w:hAnsi="宋体" w:cs="宋体"/>
          <w:color w:val="auto"/>
          <w:szCs w:val="21"/>
          <w:highlight w:val="none"/>
          <w:u w:val="single"/>
        </w:rPr>
        <w:t xml:space="preserve">    （姓名）</w:t>
      </w:r>
      <w:r>
        <w:rPr>
          <w:rFonts w:hint="eastAsia" w:hAnsi="宋体" w:cs="宋体"/>
          <w:color w:val="auto"/>
          <w:szCs w:val="21"/>
          <w:highlight w:val="none"/>
        </w:rPr>
        <w:t>合法授权参加</w:t>
      </w:r>
      <w:r>
        <w:rPr>
          <w:rFonts w:hint="eastAsia" w:hAnsi="宋体" w:cs="宋体"/>
          <w:iCs/>
          <w:color w:val="auto"/>
          <w:szCs w:val="21"/>
          <w:highlight w:val="none"/>
          <w:u w:val="single"/>
        </w:rPr>
        <w:t>宁波前湾新区管委会大楼中央空调主机采购及安装项目</w:t>
      </w:r>
      <w:r>
        <w:rPr>
          <w:rFonts w:hint="eastAsia" w:hAnsi="宋体" w:cs="宋体"/>
          <w:color w:val="auto"/>
          <w:szCs w:val="21"/>
          <w:highlight w:val="none"/>
        </w:rPr>
        <w:t>（项目编号：</w:t>
      </w:r>
      <w:r>
        <w:rPr>
          <w:rFonts w:hint="eastAsia" w:hAnsi="宋体" w:cs="宋体"/>
          <w:color w:val="auto"/>
          <w:szCs w:val="21"/>
          <w:highlight w:val="none"/>
          <w:u w:val="single"/>
          <w:lang w:eastAsia="zh-CN"/>
        </w:rPr>
        <w:t>QWZFCG25060（NBITC-202510974G）</w:t>
      </w:r>
      <w:r>
        <w:rPr>
          <w:rFonts w:hint="eastAsia" w:hAnsi="宋体" w:cs="宋体"/>
          <w:color w:val="auto"/>
          <w:szCs w:val="21"/>
          <w:highlight w:val="none"/>
        </w:rPr>
        <w:t>）政府采购活动，经与本单位法人代表（负责人）联系确认，现就有关公平竞争事项郑重声明如下：</w:t>
      </w:r>
    </w:p>
    <w:p>
      <w:pPr>
        <w:pStyle w:val="176"/>
        <w:widowControl/>
        <w:numPr>
          <w:ilvl w:val="0"/>
          <w:numId w:val="3"/>
        </w:numPr>
        <w:snapToGrid w:val="0"/>
        <w:spacing w:line="400" w:lineRule="exact"/>
        <w:ind w:firstLine="396" w:firstLineChars="189"/>
        <w:rPr>
          <w:rFonts w:hint="default" w:ascii="宋体" w:hAnsi="宋体" w:cs="宋体"/>
          <w:color w:val="auto"/>
          <w:szCs w:val="21"/>
          <w:highlight w:val="none"/>
        </w:rPr>
      </w:pPr>
      <w:r>
        <w:rPr>
          <w:rFonts w:ascii="宋体" w:hAnsi="宋体" w:cs="宋体"/>
          <w:color w:val="auto"/>
          <w:szCs w:val="21"/>
          <w:highlight w:val="none"/>
        </w:rPr>
        <w:t>本单位与采购人之间</w:t>
      </w:r>
    </w:p>
    <w:p>
      <w:pPr>
        <w:pStyle w:val="176"/>
        <w:widowControl/>
        <w:snapToGrid w:val="0"/>
        <w:spacing w:line="400" w:lineRule="exact"/>
        <w:ind w:firstLine="425"/>
        <w:rPr>
          <w:rFonts w:hint="default" w:ascii="宋体" w:hAnsi="宋体" w:cs="宋体"/>
          <w:color w:val="auto"/>
          <w:szCs w:val="21"/>
          <w:highlight w:val="none"/>
        </w:rPr>
      </w:pPr>
      <w:r>
        <w:rPr>
          <w:rFonts w:ascii="宋体" w:hAnsi="宋体" w:cs="宋体"/>
          <w:color w:val="auto"/>
          <w:szCs w:val="21"/>
          <w:highlight w:val="none"/>
        </w:rPr>
        <w:t>□不存在利害关系</w:t>
      </w:r>
    </w:p>
    <w:p>
      <w:pPr>
        <w:pStyle w:val="176"/>
        <w:widowControl/>
        <w:snapToGrid w:val="0"/>
        <w:spacing w:line="400" w:lineRule="exact"/>
        <w:ind w:firstLine="425"/>
        <w:rPr>
          <w:rFonts w:hint="default" w:ascii="宋体" w:hAnsi="宋体" w:cs="宋体"/>
          <w:color w:val="auto"/>
          <w:szCs w:val="21"/>
          <w:highlight w:val="none"/>
        </w:rPr>
      </w:pPr>
      <w:r>
        <w:rPr>
          <w:rFonts w:ascii="宋体" w:hAnsi="宋体" w:cs="宋体"/>
          <w:color w:val="auto"/>
          <w:szCs w:val="21"/>
          <w:highlight w:val="none"/>
        </w:rPr>
        <w:t>□存在下列利害关系：</w:t>
      </w:r>
    </w:p>
    <w:p>
      <w:pPr>
        <w:pStyle w:val="176"/>
        <w:widowControl/>
        <w:snapToGrid w:val="0"/>
        <w:spacing w:line="400" w:lineRule="exact"/>
        <w:ind w:left="397" w:firstLine="28"/>
        <w:rPr>
          <w:rFonts w:hint="default" w:ascii="宋体" w:hAnsi="宋体" w:cs="宋体"/>
          <w:color w:val="auto"/>
          <w:szCs w:val="21"/>
          <w:highlight w:val="none"/>
        </w:rPr>
      </w:pPr>
      <w:r>
        <w:rPr>
          <w:rFonts w:ascii="宋体" w:hAnsi="宋体" w:cs="宋体"/>
          <w:color w:val="auto"/>
          <w:szCs w:val="21"/>
          <w:highlight w:val="none"/>
        </w:rPr>
        <w:t>A.投资关系    B.行政隶属关系    C.业务指导关系</w:t>
      </w:r>
    </w:p>
    <w:p>
      <w:pPr>
        <w:pStyle w:val="176"/>
        <w:widowControl/>
        <w:snapToGrid w:val="0"/>
        <w:spacing w:line="400" w:lineRule="exact"/>
        <w:ind w:left="397" w:firstLine="23"/>
        <w:rPr>
          <w:rFonts w:hint="default" w:ascii="宋体" w:hAnsi="宋体" w:cs="宋体"/>
          <w:color w:val="auto"/>
          <w:szCs w:val="21"/>
          <w:highlight w:val="none"/>
        </w:rPr>
      </w:pPr>
      <w:r>
        <w:rPr>
          <w:rFonts w:ascii="宋体" w:hAnsi="宋体" w:cs="宋体"/>
          <w:color w:val="auto"/>
          <w:szCs w:val="21"/>
          <w:highlight w:val="none"/>
        </w:rPr>
        <w:t>D.其他可能影响采购公正的利害关系</w:t>
      </w:r>
      <w:r>
        <w:rPr>
          <w:rFonts w:ascii="宋体" w:hAnsi="宋体" w:cs="宋体"/>
          <w:color w:val="auto"/>
          <w:szCs w:val="21"/>
          <w:highlight w:val="none"/>
          <w:u w:val="single"/>
        </w:rPr>
        <w:t xml:space="preserve">（如有，请如实说明）                 </w:t>
      </w:r>
      <w:r>
        <w:rPr>
          <w:rFonts w:ascii="宋体" w:hAnsi="宋体" w:cs="宋体"/>
          <w:color w:val="auto"/>
          <w:szCs w:val="21"/>
          <w:highlight w:val="none"/>
        </w:rPr>
        <w:t>。</w:t>
      </w:r>
    </w:p>
    <w:p>
      <w:pPr>
        <w:pStyle w:val="176"/>
        <w:widowControl/>
        <w:snapToGrid w:val="0"/>
        <w:spacing w:line="4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二、现已清楚知道参加本项目采购活动的其他所有供应商名称，本单位</w:t>
      </w:r>
    </w:p>
    <w:p>
      <w:pPr>
        <w:pStyle w:val="176"/>
        <w:widowControl/>
        <w:snapToGrid w:val="0"/>
        <w:spacing w:line="4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□与其他所有供应商之间均不存在利害关系</w:t>
      </w:r>
    </w:p>
    <w:p>
      <w:pPr>
        <w:pStyle w:val="176"/>
        <w:widowControl/>
        <w:snapToGrid w:val="0"/>
        <w:spacing w:line="4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□与</w:t>
      </w:r>
      <w:r>
        <w:rPr>
          <w:rFonts w:ascii="宋体" w:hAnsi="宋体" w:cs="宋体"/>
          <w:color w:val="auto"/>
          <w:szCs w:val="21"/>
          <w:highlight w:val="none"/>
          <w:u w:val="single"/>
        </w:rPr>
        <w:t xml:space="preserve">           （供应商名称）</w:t>
      </w:r>
      <w:r>
        <w:rPr>
          <w:rFonts w:ascii="宋体" w:hAnsi="宋体" w:cs="宋体"/>
          <w:color w:val="auto"/>
          <w:szCs w:val="21"/>
          <w:highlight w:val="none"/>
        </w:rPr>
        <w:t>之间存在下列利害关系：</w:t>
      </w:r>
    </w:p>
    <w:p>
      <w:pPr>
        <w:pStyle w:val="176"/>
        <w:widowControl/>
        <w:snapToGrid w:val="0"/>
        <w:spacing w:line="4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A.法定代表人或负责人或实际控制人是同一人</w:t>
      </w:r>
    </w:p>
    <w:p>
      <w:pPr>
        <w:pStyle w:val="176"/>
        <w:widowControl/>
        <w:snapToGrid w:val="0"/>
        <w:spacing w:line="4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B.法定代表人或负责人或实际控制人是夫妻关系</w:t>
      </w:r>
    </w:p>
    <w:p>
      <w:pPr>
        <w:pStyle w:val="176"/>
        <w:widowControl/>
        <w:snapToGrid w:val="0"/>
        <w:spacing w:line="4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C.法定代表人或负责人或实际控制人是直系血亲关系</w:t>
      </w:r>
    </w:p>
    <w:p>
      <w:pPr>
        <w:pStyle w:val="176"/>
        <w:widowControl/>
        <w:snapToGrid w:val="0"/>
        <w:spacing w:line="4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D.法定代表人或负责人或实际控制人存在三代以内旁系血亲关系</w:t>
      </w:r>
    </w:p>
    <w:p>
      <w:pPr>
        <w:pStyle w:val="176"/>
        <w:widowControl/>
        <w:snapToGrid w:val="0"/>
        <w:spacing w:line="4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E.法定代表人或负责人或实际控制人存在近姻亲关系</w:t>
      </w:r>
    </w:p>
    <w:p>
      <w:pPr>
        <w:pStyle w:val="176"/>
        <w:widowControl/>
        <w:snapToGrid w:val="0"/>
        <w:spacing w:line="4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F.法定代表人或负责人或实际控制人存在股份控制或实际控制关系</w:t>
      </w:r>
    </w:p>
    <w:p>
      <w:pPr>
        <w:pStyle w:val="176"/>
        <w:widowControl/>
        <w:snapToGrid w:val="0"/>
        <w:spacing w:line="4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G.存在共同直接或间接投资设立子公司、联营企业和合营企业情况</w:t>
      </w:r>
    </w:p>
    <w:p>
      <w:pPr>
        <w:pStyle w:val="176"/>
        <w:widowControl/>
        <w:snapToGrid w:val="0"/>
        <w:spacing w:line="4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H.存在分级代理或代销关系、同一生产制造商关系、管理关系、重要业务（占主营业务收入50%以上）或重要财务往来关系（如融资）等其他实质性控制关系</w:t>
      </w:r>
    </w:p>
    <w:p>
      <w:pPr>
        <w:pStyle w:val="176"/>
        <w:widowControl/>
        <w:snapToGrid w:val="0"/>
        <w:spacing w:line="4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I.其他利害关系情况。</w:t>
      </w:r>
    </w:p>
    <w:p>
      <w:pPr>
        <w:pStyle w:val="176"/>
        <w:widowControl/>
        <w:numPr>
          <w:ilvl w:val="0"/>
          <w:numId w:val="4"/>
        </w:numPr>
        <w:snapToGrid w:val="0"/>
        <w:spacing w:line="400" w:lineRule="exact"/>
        <w:ind w:firstLine="396" w:firstLineChars="189"/>
        <w:rPr>
          <w:rFonts w:hint="default" w:ascii="宋体" w:hAnsi="宋体" w:cs="宋体"/>
          <w:color w:val="auto"/>
          <w:szCs w:val="21"/>
          <w:highlight w:val="none"/>
        </w:rPr>
      </w:pPr>
      <w:r>
        <w:rPr>
          <w:rFonts w:ascii="宋体" w:hAnsi="宋体" w:cs="宋体"/>
          <w:color w:val="auto"/>
          <w:szCs w:val="21"/>
          <w:highlight w:val="none"/>
        </w:rPr>
        <w:t>现已清楚知道并严格遵守政府采购法律法规和现场纪律。</w:t>
      </w:r>
    </w:p>
    <w:p>
      <w:pPr>
        <w:pStyle w:val="176"/>
        <w:widowControl/>
        <w:numPr>
          <w:ilvl w:val="0"/>
          <w:numId w:val="4"/>
        </w:numPr>
        <w:snapToGrid w:val="0"/>
        <w:spacing w:line="400" w:lineRule="exact"/>
        <w:ind w:firstLine="396" w:firstLineChars="189"/>
        <w:rPr>
          <w:rFonts w:hint="default" w:ascii="宋体" w:hAnsi="宋体" w:cs="宋体"/>
          <w:color w:val="auto"/>
          <w:szCs w:val="21"/>
          <w:highlight w:val="none"/>
        </w:rPr>
      </w:pPr>
      <w:r>
        <w:rPr>
          <w:rFonts w:ascii="宋体" w:hAnsi="宋体" w:cs="宋体"/>
          <w:color w:val="auto"/>
          <w:szCs w:val="21"/>
          <w:highlight w:val="none"/>
        </w:rPr>
        <w:t>我发现</w:t>
      </w:r>
      <w:r>
        <w:rPr>
          <w:rFonts w:ascii="宋体" w:hAnsi="宋体" w:cs="宋体"/>
          <w:color w:val="auto"/>
          <w:szCs w:val="21"/>
          <w:highlight w:val="none"/>
          <w:u w:val="single"/>
        </w:rPr>
        <w:t xml:space="preserve">           供应商           </w:t>
      </w:r>
      <w:r>
        <w:rPr>
          <w:rFonts w:ascii="宋体" w:hAnsi="宋体" w:cs="宋体"/>
          <w:color w:val="auto"/>
          <w:szCs w:val="21"/>
          <w:highlight w:val="none"/>
        </w:rPr>
        <w:t>之间存在或可能存在上述第二条第项利害关系。</w:t>
      </w:r>
    </w:p>
    <w:p>
      <w:pPr>
        <w:pStyle w:val="187"/>
        <w:snapToGrid w:val="0"/>
        <w:spacing w:line="400" w:lineRule="exact"/>
        <w:ind w:firstLine="420" w:firstLineChars="200"/>
        <w:rPr>
          <w:rFonts w:hAnsi="宋体" w:cs="宋体"/>
          <w:color w:val="auto"/>
          <w:szCs w:val="21"/>
          <w:highlight w:val="none"/>
        </w:rPr>
      </w:pPr>
    </w:p>
    <w:p>
      <w:pPr>
        <w:pStyle w:val="187"/>
        <w:snapToGrid w:val="0"/>
        <w:spacing w:line="400" w:lineRule="exact"/>
        <w:ind w:firstLine="1365" w:firstLineChars="650"/>
        <w:rPr>
          <w:rFonts w:hAnsi="宋体" w:cs="宋体"/>
          <w:color w:val="auto"/>
          <w:szCs w:val="21"/>
          <w:highlight w:val="none"/>
        </w:rPr>
      </w:pPr>
      <w:r>
        <w:rPr>
          <w:rFonts w:hint="eastAsia" w:hAnsi="宋体" w:cs="宋体"/>
          <w:color w:val="auto"/>
          <w:szCs w:val="21"/>
          <w:highlight w:val="none"/>
        </w:rPr>
        <w:t xml:space="preserve">                                （供应商代表签名）</w:t>
      </w:r>
    </w:p>
    <w:p>
      <w:pPr>
        <w:spacing w:line="400" w:lineRule="exact"/>
        <w:ind w:firstLine="1318" w:firstLineChars="628"/>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500" w:lineRule="exact"/>
        <w:rPr>
          <w:rFonts w:ascii="宋体" w:hAnsi="宋体" w:cs="宋体"/>
          <w:b/>
          <w:color w:val="auto"/>
          <w:szCs w:val="21"/>
          <w:highlight w:val="none"/>
        </w:rPr>
      </w:pPr>
      <w:r>
        <w:rPr>
          <w:rFonts w:hint="eastAsia" w:ascii="宋体" w:hAnsi="宋体" w:cs="宋体"/>
          <w:b/>
          <w:color w:val="auto"/>
          <w:szCs w:val="21"/>
          <w:highlight w:val="none"/>
        </w:rPr>
        <w:t>注：1、本表非投标文件的组成内容，不须在投标文件中提供。</w:t>
      </w:r>
    </w:p>
    <w:p>
      <w:pPr>
        <w:spacing w:line="500" w:lineRule="exact"/>
        <w:ind w:firstLine="422" w:firstLineChars="200"/>
        <w:rPr>
          <w:rFonts w:ascii="宋体" w:hAnsi="宋体" w:cs="宋体"/>
          <w:color w:val="auto"/>
          <w:highlight w:val="none"/>
        </w:rPr>
      </w:pPr>
      <w:r>
        <w:rPr>
          <w:rFonts w:hint="eastAsia" w:ascii="宋体" w:hAnsi="宋体" w:cs="宋体"/>
          <w:b/>
          <w:color w:val="auto"/>
          <w:szCs w:val="21"/>
          <w:highlight w:val="none"/>
        </w:rPr>
        <w:t>2、开标现场，供应商如发现有上述相关利害关系的，应签署提供，未提供的视为不存在上述关系。</w:t>
      </w: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sectPr>
          <w:headerReference r:id="rId13" w:type="default"/>
          <w:footerReference r:id="rId14" w:type="default"/>
          <w:pgSz w:w="11907" w:h="16840"/>
          <w:pgMar w:top="1440" w:right="1247" w:bottom="1440" w:left="1247" w:header="285" w:footer="990" w:gutter="0"/>
          <w:cols w:space="720" w:num="1"/>
          <w:docGrid w:linePitch="285" w:charSpace="0"/>
        </w:sectPr>
      </w:pPr>
    </w:p>
    <w:tbl>
      <w:tblPr>
        <w:tblStyle w:val="44"/>
        <w:tblW w:w="0" w:type="auto"/>
        <w:tblInd w:w="-176" w:type="dxa"/>
        <w:tblLayout w:type="fixed"/>
        <w:tblCellMar>
          <w:top w:w="0" w:type="dxa"/>
          <w:left w:w="108" w:type="dxa"/>
          <w:bottom w:w="0" w:type="dxa"/>
          <w:right w:w="108" w:type="dxa"/>
        </w:tblCellMar>
      </w:tblPr>
      <w:tblGrid>
        <w:gridCol w:w="1985"/>
        <w:gridCol w:w="1498"/>
        <w:gridCol w:w="1763"/>
        <w:gridCol w:w="1660"/>
        <w:gridCol w:w="1458"/>
        <w:gridCol w:w="1480"/>
        <w:gridCol w:w="1520"/>
        <w:gridCol w:w="1285"/>
        <w:gridCol w:w="1275"/>
        <w:gridCol w:w="1221"/>
      </w:tblGrid>
      <w:tr>
        <w:tblPrEx>
          <w:tblCellMar>
            <w:top w:w="0" w:type="dxa"/>
            <w:left w:w="108" w:type="dxa"/>
            <w:bottom w:w="0" w:type="dxa"/>
            <w:right w:w="108" w:type="dxa"/>
          </w:tblCellMar>
        </w:tblPrEx>
        <w:trPr>
          <w:trHeight w:val="420" w:hRule="atLeast"/>
        </w:trPr>
        <w:tc>
          <w:tcPr>
            <w:tcW w:w="15145" w:type="dxa"/>
            <w:gridSpan w:val="10"/>
            <w:tcBorders>
              <w:top w:val="nil"/>
              <w:left w:val="nil"/>
              <w:bottom w:val="nil"/>
              <w:right w:val="nil"/>
            </w:tcBorders>
            <w:vAlign w:val="bottom"/>
          </w:tcPr>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21"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45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781"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rPr>
                <w:rFonts w:ascii="宋体" w:hAnsi="宋体" w:cs="宋体"/>
                <w:b/>
                <w:bCs/>
                <w:color w:val="auto"/>
                <w:kern w:val="0"/>
                <w:sz w:val="24"/>
                <w:highlight w:val="none"/>
              </w:rPr>
            </w:pPr>
          </w:p>
        </w:tc>
        <w:tc>
          <w:tcPr>
            <w:tcW w:w="1498"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763"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60"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458"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480"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20"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85"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275"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营业收入Y（万元）</w:t>
            </w:r>
          </w:p>
        </w:tc>
        <w:tc>
          <w:tcPr>
            <w:tcW w:w="1221"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资产总额Z（万元）</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1、农林牧渔业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50≤Y＜500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Y＜50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2、工业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2000≤Y＜40000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300≤Y＜2000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Y＜300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3、建筑业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6000≤Y＜80000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5000≤Z＜80000</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300≤Y＜6000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300≤Z＜5000</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Y＜300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Z＜300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4、批发业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20≤X＜200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5000≤Y＜40000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5≤X＜20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1000≤Y＜5000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X＜5</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5、零售业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50≤X＜300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10≤X＜50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100≤Y＜500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6、交通运输业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3000≤Y＜30000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200≤Y＜3000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V＜200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7、仓储业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100≤X＜200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1000≤Y＜30000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8、邮政业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2000≤Y＜30000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9、住宿业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10、餐饮业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V＜100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11、信息传输业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100≤X＜2000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1000≤Y＜100000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12、软件和信息技术服务业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1000≤Y＜10000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50≤Y＜1000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Y＜50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13、房地产开发经营</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1000≤Y＜200000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5000≤Z＜10000</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2000≤Z＜5000</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Z＜2000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14、物业管理</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1000≤Y＜5000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500≤Y＜1000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Y＜500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15、租赁和商务服务业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8000≤Z＜120000</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100≤Z＜8000</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Z＜100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16、其他未列明行业</w:t>
            </w:r>
          </w:p>
        </w:tc>
        <w:tc>
          <w:tcPr>
            <w:tcW w:w="1498" w:type="dxa"/>
            <w:tcBorders>
              <w:top w:val="nil"/>
              <w:left w:val="nil"/>
              <w:bottom w:val="single" w:color="auto" w:sz="8"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8"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660" w:type="dxa"/>
            <w:tcBorders>
              <w:top w:val="nil"/>
              <w:left w:val="nil"/>
              <w:bottom w:val="single" w:color="auto" w:sz="8"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458" w:type="dxa"/>
            <w:tcBorders>
              <w:top w:val="nil"/>
              <w:left w:val="nil"/>
              <w:bottom w:val="single" w:color="auto" w:sz="8"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480" w:type="dxa"/>
            <w:tcBorders>
              <w:top w:val="nil"/>
              <w:left w:val="nil"/>
              <w:bottom w:val="single" w:color="auto" w:sz="8"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520" w:type="dxa"/>
            <w:tcBorders>
              <w:top w:val="nil"/>
              <w:left w:val="nil"/>
              <w:bottom w:val="single" w:color="auto" w:sz="8"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85" w:type="dxa"/>
            <w:tcBorders>
              <w:top w:val="nil"/>
              <w:left w:val="nil"/>
              <w:bottom w:val="single" w:color="auto" w:sz="8"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8" w:space="0"/>
              <w:right w:val="single" w:color="auto" w:sz="4"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c>
          <w:tcPr>
            <w:tcW w:w="1221" w:type="dxa"/>
            <w:tcBorders>
              <w:top w:val="nil"/>
              <w:left w:val="nil"/>
              <w:bottom w:val="single" w:color="auto" w:sz="8" w:space="0"/>
              <w:right w:val="single" w:color="auto" w:sz="8" w:space="0"/>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w:t>
            </w:r>
          </w:p>
        </w:tc>
      </w:tr>
      <w:tr>
        <w:tblPrEx>
          <w:tblCellMar>
            <w:top w:w="0" w:type="dxa"/>
            <w:left w:w="108" w:type="dxa"/>
            <w:bottom w:w="0" w:type="dxa"/>
            <w:right w:w="108" w:type="dxa"/>
          </w:tblCellMar>
        </w:tblPrEx>
        <w:trPr>
          <w:trHeight w:val="285" w:hRule="atLeast"/>
        </w:trPr>
        <w:tc>
          <w:tcPr>
            <w:tcW w:w="15145" w:type="dxa"/>
            <w:gridSpan w:val="10"/>
            <w:tcBorders>
              <w:top w:val="nil"/>
              <w:left w:val="nil"/>
              <w:bottom w:val="nil"/>
              <w:right w:val="nil"/>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 1、企业类型的划分以统计部门的统计数据为依据。</w:t>
            </w:r>
          </w:p>
          <w:p>
            <w:pPr>
              <w:widowControl/>
              <w:ind w:firstLine="600" w:firstLineChars="300"/>
              <w:jc w:val="left"/>
              <w:rPr>
                <w:rFonts w:ascii="宋体" w:hAnsi="宋体" w:cs="宋体"/>
                <w:color w:val="auto"/>
                <w:kern w:val="0"/>
                <w:sz w:val="20"/>
                <w:highlight w:val="none"/>
              </w:rPr>
            </w:pPr>
            <w:r>
              <w:rPr>
                <w:rFonts w:hint="eastAsia" w:ascii="宋体" w:hAnsi="宋体" w:cs="宋体"/>
                <w:color w:val="auto"/>
                <w:kern w:val="0"/>
                <w:sz w:val="20"/>
                <w:highlight w:val="none"/>
              </w:rPr>
              <w:t>2、个体工商户和本规定以外的行业，参照本规定进行划型。</w:t>
            </w:r>
          </w:p>
          <w:p>
            <w:pPr>
              <w:widowControl/>
              <w:ind w:firstLine="600" w:firstLineChars="300"/>
              <w:jc w:val="left"/>
              <w:rPr>
                <w:rFonts w:ascii="宋体" w:hAnsi="宋体" w:cs="宋体"/>
                <w:color w:val="auto"/>
                <w:kern w:val="0"/>
                <w:sz w:val="20"/>
                <w:highlight w:val="none"/>
              </w:rPr>
            </w:pPr>
            <w:r>
              <w:rPr>
                <w:rFonts w:hint="eastAsia" w:ascii="宋体" w:hAnsi="宋体" w:cs="宋体"/>
                <w:color w:val="auto"/>
                <w:kern w:val="0"/>
                <w:sz w:val="20"/>
                <w:highlight w:val="none"/>
              </w:rPr>
              <w:t>3、本规定的中型企业标准上限即为大型企业标准的下限。</w:t>
            </w:r>
          </w:p>
        </w:tc>
      </w:tr>
    </w:tbl>
    <w:p>
      <w:pPr>
        <w:spacing w:line="400" w:lineRule="exact"/>
        <w:ind w:firstLine="420" w:firstLineChars="200"/>
        <w:rPr>
          <w:rFonts w:ascii="宋体" w:hAnsi="宋体" w:cs="宋体"/>
          <w:color w:val="auto"/>
          <w:highlight w:val="none"/>
        </w:rPr>
      </w:pPr>
    </w:p>
    <w:sectPr>
      <w:headerReference r:id="rId15" w:type="default"/>
      <w:footerReference r:id="rId16" w:type="default"/>
      <w:pgSz w:w="16840" w:h="11907" w:orient="landscape"/>
      <w:pgMar w:top="1338" w:right="1140" w:bottom="1138" w:left="1134" w:header="284" w:footer="992"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8"/>
      </w:rPr>
    </w:pPr>
    <w:r>
      <w:fldChar w:fldCharType="begin"/>
    </w:r>
    <w:r>
      <w:rPr>
        <w:rStyle w:val="48"/>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8"/>
      </w:rPr>
    </w:pPr>
    <w:r>
      <w:fldChar w:fldCharType="begin"/>
    </w:r>
    <w:r>
      <w:rPr>
        <w:rStyle w:val="48"/>
      </w:rPr>
      <w:instrText xml:space="preserve">PAGE  </w:instrText>
    </w:r>
    <w:r>
      <w:fldChar w:fldCharType="separate"/>
    </w:r>
    <w:r>
      <w:rPr>
        <w:rStyle w:val="48"/>
      </w:rPr>
      <w:t>10</w:t>
    </w:r>
    <w:r>
      <w:fldChar w:fldCharType="end"/>
    </w:r>
  </w:p>
  <w:p>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8"/>
      </w:rPr>
    </w:pPr>
    <w:r>
      <w:fldChar w:fldCharType="begin"/>
    </w:r>
    <w:r>
      <w:rPr>
        <w:rStyle w:val="48"/>
      </w:rPr>
      <w:instrText xml:space="preserve">PAGE  </w:instrText>
    </w:r>
    <w:r>
      <w:fldChar w:fldCharType="separate"/>
    </w:r>
    <w:r>
      <w:rPr>
        <w:rStyle w:val="48"/>
      </w:rPr>
      <w:t>31</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jc w:val="center"/>
      <w:rPr>
        <w:rStyle w:val="48"/>
      </w:rPr>
    </w:pPr>
    <w:r>
      <w:fldChar w:fldCharType="begin"/>
    </w:r>
    <w:r>
      <w:rPr>
        <w:rStyle w:val="48"/>
      </w:rPr>
      <w:instrText xml:space="preserve">PAGE  </w:instrText>
    </w:r>
    <w:r>
      <w:fldChar w:fldCharType="separate"/>
    </w:r>
    <w:r>
      <w:rPr>
        <w:rStyle w:val="48"/>
      </w:rPr>
      <w:t>41</w:t>
    </w:r>
    <w:r>
      <w:fldChar w:fldCharType="end"/>
    </w:r>
  </w:p>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jc w:val="center"/>
      <w:rPr>
        <w:rStyle w:val="48"/>
      </w:rPr>
    </w:pPr>
    <w:r>
      <w:fldChar w:fldCharType="begin"/>
    </w:r>
    <w:r>
      <w:rPr>
        <w:rStyle w:val="48"/>
      </w:rPr>
      <w:instrText xml:space="preserve">PAGE  </w:instrText>
    </w:r>
    <w:r>
      <w:fldChar w:fldCharType="separate"/>
    </w:r>
    <w:r>
      <w:rPr>
        <w:rStyle w:val="48"/>
      </w:rPr>
      <w:t>43</w:t>
    </w:r>
    <w:r>
      <w:fldChar w:fldCharType="end"/>
    </w:r>
  </w:p>
  <w:p>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jc w:val="center"/>
      <w:rPr>
        <w:rStyle w:val="48"/>
      </w:rPr>
    </w:pPr>
    <w:r>
      <w:fldChar w:fldCharType="begin"/>
    </w:r>
    <w:r>
      <w:rPr>
        <w:rStyle w:val="48"/>
      </w:rPr>
      <w:instrText xml:space="preserve">PAGE  </w:instrText>
    </w:r>
    <w:r>
      <w:fldChar w:fldCharType="separate"/>
    </w:r>
    <w:r>
      <w:rPr>
        <w:rStyle w:val="48"/>
      </w:rPr>
      <w:t>48</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ECD0C"/>
    <w:multiLevelType w:val="singleLevel"/>
    <w:tmpl w:val="A6DECD0C"/>
    <w:lvl w:ilvl="0" w:tentative="0">
      <w:start w:val="1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rPr>
        <w:rFonts w:cs="Times New Roman"/>
      </w:rPr>
    </w:lvl>
  </w:abstractNum>
  <w:abstractNum w:abstractNumId="2">
    <w:nsid w:val="557FD3DA"/>
    <w:multiLevelType w:val="singleLevel"/>
    <w:tmpl w:val="557FD3DA"/>
    <w:lvl w:ilvl="0" w:tentative="0">
      <w:start w:val="3"/>
      <w:numFmt w:val="chineseCounting"/>
      <w:suff w:val="nothing"/>
      <w:lvlText w:val="%1、"/>
      <w:lvlJc w:val="left"/>
      <w:rPr>
        <w:rFonts w:cs="Times New Roman"/>
      </w:rPr>
    </w:lvl>
  </w:abstractNum>
  <w:abstractNum w:abstractNumId="3">
    <w:nsid w:val="63560EEE"/>
    <w:multiLevelType w:val="singleLevel"/>
    <w:tmpl w:val="63560EEE"/>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compatSetting w:name="compatibilityMode" w:uri="http://schemas.microsoft.com/office/word" w:val="12"/>
  </w:compat>
  <w:docVars>
    <w:docVar w:name="commondata" w:val="eyJoZGlkIjoiN2YzNjBkOTgyNWQ1YTMxYzM3MzMwNWFiODNmOWIzYWMifQ=="/>
  </w:docVars>
  <w:rsids>
    <w:rsidRoot w:val="00D719E6"/>
    <w:rsid w:val="00000399"/>
    <w:rsid w:val="000008B6"/>
    <w:rsid w:val="00000F6F"/>
    <w:rsid w:val="00000FD8"/>
    <w:rsid w:val="00001A82"/>
    <w:rsid w:val="00002288"/>
    <w:rsid w:val="00002B25"/>
    <w:rsid w:val="0000343E"/>
    <w:rsid w:val="00003757"/>
    <w:rsid w:val="0000377D"/>
    <w:rsid w:val="0000380B"/>
    <w:rsid w:val="00003965"/>
    <w:rsid w:val="00003A34"/>
    <w:rsid w:val="00003B24"/>
    <w:rsid w:val="00003B7F"/>
    <w:rsid w:val="00003E11"/>
    <w:rsid w:val="00003F93"/>
    <w:rsid w:val="0000405C"/>
    <w:rsid w:val="00004888"/>
    <w:rsid w:val="00004C35"/>
    <w:rsid w:val="000053D5"/>
    <w:rsid w:val="00005A5E"/>
    <w:rsid w:val="00005AD2"/>
    <w:rsid w:val="00005B62"/>
    <w:rsid w:val="000060A7"/>
    <w:rsid w:val="000060C9"/>
    <w:rsid w:val="00006265"/>
    <w:rsid w:val="0000684E"/>
    <w:rsid w:val="0000693E"/>
    <w:rsid w:val="00007A27"/>
    <w:rsid w:val="00007A91"/>
    <w:rsid w:val="00007AFA"/>
    <w:rsid w:val="00007FB4"/>
    <w:rsid w:val="00010002"/>
    <w:rsid w:val="0001031A"/>
    <w:rsid w:val="000105DB"/>
    <w:rsid w:val="0001102F"/>
    <w:rsid w:val="00011313"/>
    <w:rsid w:val="00011427"/>
    <w:rsid w:val="00011727"/>
    <w:rsid w:val="000117D3"/>
    <w:rsid w:val="00011872"/>
    <w:rsid w:val="00012022"/>
    <w:rsid w:val="00012585"/>
    <w:rsid w:val="00012728"/>
    <w:rsid w:val="0001286E"/>
    <w:rsid w:val="000129F0"/>
    <w:rsid w:val="00014763"/>
    <w:rsid w:val="000147A6"/>
    <w:rsid w:val="000147E2"/>
    <w:rsid w:val="000156FF"/>
    <w:rsid w:val="0001664F"/>
    <w:rsid w:val="00016E4F"/>
    <w:rsid w:val="000171FF"/>
    <w:rsid w:val="000174C2"/>
    <w:rsid w:val="00017DC3"/>
    <w:rsid w:val="0002053F"/>
    <w:rsid w:val="000207B6"/>
    <w:rsid w:val="00020890"/>
    <w:rsid w:val="0002108C"/>
    <w:rsid w:val="0002115F"/>
    <w:rsid w:val="000212AE"/>
    <w:rsid w:val="000217E4"/>
    <w:rsid w:val="00021CC3"/>
    <w:rsid w:val="000222E6"/>
    <w:rsid w:val="00022DC6"/>
    <w:rsid w:val="000235AF"/>
    <w:rsid w:val="000238B5"/>
    <w:rsid w:val="00024548"/>
    <w:rsid w:val="00024EC2"/>
    <w:rsid w:val="00024F13"/>
    <w:rsid w:val="0002570D"/>
    <w:rsid w:val="00026061"/>
    <w:rsid w:val="00026D80"/>
    <w:rsid w:val="000270C0"/>
    <w:rsid w:val="00027906"/>
    <w:rsid w:val="0002795F"/>
    <w:rsid w:val="00027A5D"/>
    <w:rsid w:val="00027AC0"/>
    <w:rsid w:val="0003018B"/>
    <w:rsid w:val="00030242"/>
    <w:rsid w:val="000308B3"/>
    <w:rsid w:val="00030919"/>
    <w:rsid w:val="00030B2F"/>
    <w:rsid w:val="000312DA"/>
    <w:rsid w:val="000322B7"/>
    <w:rsid w:val="000324FE"/>
    <w:rsid w:val="000328FE"/>
    <w:rsid w:val="00032B67"/>
    <w:rsid w:val="0003301F"/>
    <w:rsid w:val="0003306F"/>
    <w:rsid w:val="0003344C"/>
    <w:rsid w:val="00033877"/>
    <w:rsid w:val="00034019"/>
    <w:rsid w:val="000344B9"/>
    <w:rsid w:val="0003542B"/>
    <w:rsid w:val="000354B7"/>
    <w:rsid w:val="000357C9"/>
    <w:rsid w:val="00035A63"/>
    <w:rsid w:val="000363B7"/>
    <w:rsid w:val="00036D1A"/>
    <w:rsid w:val="000378FE"/>
    <w:rsid w:val="00037CD2"/>
    <w:rsid w:val="00037CE4"/>
    <w:rsid w:val="00040383"/>
    <w:rsid w:val="000406F5"/>
    <w:rsid w:val="000408D4"/>
    <w:rsid w:val="00040B4D"/>
    <w:rsid w:val="00040C62"/>
    <w:rsid w:val="000414C4"/>
    <w:rsid w:val="00041A39"/>
    <w:rsid w:val="00042059"/>
    <w:rsid w:val="00042CA9"/>
    <w:rsid w:val="00043490"/>
    <w:rsid w:val="00043530"/>
    <w:rsid w:val="0004386C"/>
    <w:rsid w:val="00044A80"/>
    <w:rsid w:val="00045CE3"/>
    <w:rsid w:val="0004615F"/>
    <w:rsid w:val="000467BF"/>
    <w:rsid w:val="00046F89"/>
    <w:rsid w:val="00047373"/>
    <w:rsid w:val="000479BA"/>
    <w:rsid w:val="00050357"/>
    <w:rsid w:val="00050C52"/>
    <w:rsid w:val="00051226"/>
    <w:rsid w:val="0005145F"/>
    <w:rsid w:val="00051EC3"/>
    <w:rsid w:val="00052035"/>
    <w:rsid w:val="00052187"/>
    <w:rsid w:val="0005273A"/>
    <w:rsid w:val="00052B1F"/>
    <w:rsid w:val="00052B7C"/>
    <w:rsid w:val="00052BBD"/>
    <w:rsid w:val="00053208"/>
    <w:rsid w:val="00053211"/>
    <w:rsid w:val="0005437E"/>
    <w:rsid w:val="000546A6"/>
    <w:rsid w:val="00054803"/>
    <w:rsid w:val="00054925"/>
    <w:rsid w:val="00054AD8"/>
    <w:rsid w:val="00054CDC"/>
    <w:rsid w:val="00054D7E"/>
    <w:rsid w:val="00055134"/>
    <w:rsid w:val="000555E4"/>
    <w:rsid w:val="00055A3D"/>
    <w:rsid w:val="00055A61"/>
    <w:rsid w:val="00055A6F"/>
    <w:rsid w:val="000564BB"/>
    <w:rsid w:val="000567F0"/>
    <w:rsid w:val="00056B02"/>
    <w:rsid w:val="00056DC8"/>
    <w:rsid w:val="00056F94"/>
    <w:rsid w:val="00057B58"/>
    <w:rsid w:val="00057B61"/>
    <w:rsid w:val="00057D5B"/>
    <w:rsid w:val="0006041F"/>
    <w:rsid w:val="00060FB1"/>
    <w:rsid w:val="000613FD"/>
    <w:rsid w:val="000617D3"/>
    <w:rsid w:val="00061A87"/>
    <w:rsid w:val="00061D54"/>
    <w:rsid w:val="00061F8D"/>
    <w:rsid w:val="00062322"/>
    <w:rsid w:val="000627EB"/>
    <w:rsid w:val="000628D7"/>
    <w:rsid w:val="00062A9E"/>
    <w:rsid w:val="00063297"/>
    <w:rsid w:val="00063327"/>
    <w:rsid w:val="00063E9D"/>
    <w:rsid w:val="000641E4"/>
    <w:rsid w:val="00064C04"/>
    <w:rsid w:val="00065328"/>
    <w:rsid w:val="00065BA9"/>
    <w:rsid w:val="00065CDD"/>
    <w:rsid w:val="000675B4"/>
    <w:rsid w:val="0007040C"/>
    <w:rsid w:val="0007088F"/>
    <w:rsid w:val="00070AC0"/>
    <w:rsid w:val="00071AB2"/>
    <w:rsid w:val="00071F49"/>
    <w:rsid w:val="0007223B"/>
    <w:rsid w:val="000727D6"/>
    <w:rsid w:val="000729D0"/>
    <w:rsid w:val="00072F9F"/>
    <w:rsid w:val="00072FA2"/>
    <w:rsid w:val="00073D89"/>
    <w:rsid w:val="00073E27"/>
    <w:rsid w:val="00073E9D"/>
    <w:rsid w:val="00074517"/>
    <w:rsid w:val="00074529"/>
    <w:rsid w:val="000746FD"/>
    <w:rsid w:val="0007479C"/>
    <w:rsid w:val="000749F0"/>
    <w:rsid w:val="00074C0F"/>
    <w:rsid w:val="00074FCC"/>
    <w:rsid w:val="00075876"/>
    <w:rsid w:val="0007617D"/>
    <w:rsid w:val="00076AD7"/>
    <w:rsid w:val="00076EAC"/>
    <w:rsid w:val="000770AD"/>
    <w:rsid w:val="00077207"/>
    <w:rsid w:val="000772D3"/>
    <w:rsid w:val="0007754D"/>
    <w:rsid w:val="00077720"/>
    <w:rsid w:val="00077864"/>
    <w:rsid w:val="00077ED8"/>
    <w:rsid w:val="00077F66"/>
    <w:rsid w:val="00080227"/>
    <w:rsid w:val="00080787"/>
    <w:rsid w:val="00080A0D"/>
    <w:rsid w:val="00080BBB"/>
    <w:rsid w:val="000816EB"/>
    <w:rsid w:val="000817BD"/>
    <w:rsid w:val="00081933"/>
    <w:rsid w:val="00081DAC"/>
    <w:rsid w:val="00081E32"/>
    <w:rsid w:val="00082367"/>
    <w:rsid w:val="0008275C"/>
    <w:rsid w:val="00083375"/>
    <w:rsid w:val="000839A6"/>
    <w:rsid w:val="00083CA0"/>
    <w:rsid w:val="00084354"/>
    <w:rsid w:val="000846B2"/>
    <w:rsid w:val="0008474C"/>
    <w:rsid w:val="000848B5"/>
    <w:rsid w:val="00084A15"/>
    <w:rsid w:val="00084E12"/>
    <w:rsid w:val="0008644B"/>
    <w:rsid w:val="0008654F"/>
    <w:rsid w:val="0008683C"/>
    <w:rsid w:val="00087365"/>
    <w:rsid w:val="00090344"/>
    <w:rsid w:val="00090391"/>
    <w:rsid w:val="00090836"/>
    <w:rsid w:val="00090BEC"/>
    <w:rsid w:val="00090E11"/>
    <w:rsid w:val="0009114B"/>
    <w:rsid w:val="000912DB"/>
    <w:rsid w:val="00091A35"/>
    <w:rsid w:val="00092307"/>
    <w:rsid w:val="0009241D"/>
    <w:rsid w:val="000929F7"/>
    <w:rsid w:val="00092D61"/>
    <w:rsid w:val="000931F0"/>
    <w:rsid w:val="000938B8"/>
    <w:rsid w:val="00093CBA"/>
    <w:rsid w:val="00093EC3"/>
    <w:rsid w:val="0009437E"/>
    <w:rsid w:val="000945F2"/>
    <w:rsid w:val="00094B0A"/>
    <w:rsid w:val="00094F80"/>
    <w:rsid w:val="0009506C"/>
    <w:rsid w:val="00095896"/>
    <w:rsid w:val="00096587"/>
    <w:rsid w:val="00096A7B"/>
    <w:rsid w:val="00096C6C"/>
    <w:rsid w:val="00097214"/>
    <w:rsid w:val="0009722E"/>
    <w:rsid w:val="00097CB6"/>
    <w:rsid w:val="00097E9F"/>
    <w:rsid w:val="000A01C4"/>
    <w:rsid w:val="000A0479"/>
    <w:rsid w:val="000A0519"/>
    <w:rsid w:val="000A0641"/>
    <w:rsid w:val="000A0A04"/>
    <w:rsid w:val="000A0EE3"/>
    <w:rsid w:val="000A1236"/>
    <w:rsid w:val="000A1BEB"/>
    <w:rsid w:val="000A1FFE"/>
    <w:rsid w:val="000A2220"/>
    <w:rsid w:val="000A24ED"/>
    <w:rsid w:val="000A2586"/>
    <w:rsid w:val="000A2F3B"/>
    <w:rsid w:val="000A3203"/>
    <w:rsid w:val="000A33F2"/>
    <w:rsid w:val="000A387A"/>
    <w:rsid w:val="000A3B0C"/>
    <w:rsid w:val="000A3CD8"/>
    <w:rsid w:val="000A3CEB"/>
    <w:rsid w:val="000A4188"/>
    <w:rsid w:val="000A4819"/>
    <w:rsid w:val="000A57F0"/>
    <w:rsid w:val="000A5C01"/>
    <w:rsid w:val="000A5D38"/>
    <w:rsid w:val="000A5EDF"/>
    <w:rsid w:val="000A6039"/>
    <w:rsid w:val="000A6155"/>
    <w:rsid w:val="000A7192"/>
    <w:rsid w:val="000A79AE"/>
    <w:rsid w:val="000A7A23"/>
    <w:rsid w:val="000A7C4C"/>
    <w:rsid w:val="000B03F1"/>
    <w:rsid w:val="000B07BA"/>
    <w:rsid w:val="000B084C"/>
    <w:rsid w:val="000B107C"/>
    <w:rsid w:val="000B10E2"/>
    <w:rsid w:val="000B1B5F"/>
    <w:rsid w:val="000B1CF7"/>
    <w:rsid w:val="000B2117"/>
    <w:rsid w:val="000B212C"/>
    <w:rsid w:val="000B24B3"/>
    <w:rsid w:val="000B330B"/>
    <w:rsid w:val="000B3414"/>
    <w:rsid w:val="000B3BC9"/>
    <w:rsid w:val="000B3C5E"/>
    <w:rsid w:val="000B3D15"/>
    <w:rsid w:val="000B435E"/>
    <w:rsid w:val="000B4418"/>
    <w:rsid w:val="000B44B1"/>
    <w:rsid w:val="000B45AC"/>
    <w:rsid w:val="000B494B"/>
    <w:rsid w:val="000B4D71"/>
    <w:rsid w:val="000B5D68"/>
    <w:rsid w:val="000B5FA9"/>
    <w:rsid w:val="000B779E"/>
    <w:rsid w:val="000C001F"/>
    <w:rsid w:val="000C00C1"/>
    <w:rsid w:val="000C083F"/>
    <w:rsid w:val="000C12D4"/>
    <w:rsid w:val="000C1494"/>
    <w:rsid w:val="000C162E"/>
    <w:rsid w:val="000C1EB3"/>
    <w:rsid w:val="000C27D4"/>
    <w:rsid w:val="000C28B3"/>
    <w:rsid w:val="000C29B6"/>
    <w:rsid w:val="000C2F90"/>
    <w:rsid w:val="000C30FE"/>
    <w:rsid w:val="000C3334"/>
    <w:rsid w:val="000C3E16"/>
    <w:rsid w:val="000C59C2"/>
    <w:rsid w:val="000C5B6F"/>
    <w:rsid w:val="000C6077"/>
    <w:rsid w:val="000C608D"/>
    <w:rsid w:val="000C6114"/>
    <w:rsid w:val="000C6820"/>
    <w:rsid w:val="000C71FA"/>
    <w:rsid w:val="000C7929"/>
    <w:rsid w:val="000D00BF"/>
    <w:rsid w:val="000D06B7"/>
    <w:rsid w:val="000D0747"/>
    <w:rsid w:val="000D094C"/>
    <w:rsid w:val="000D0C42"/>
    <w:rsid w:val="000D15A4"/>
    <w:rsid w:val="000D15FE"/>
    <w:rsid w:val="000D1698"/>
    <w:rsid w:val="000D24F3"/>
    <w:rsid w:val="000D2D36"/>
    <w:rsid w:val="000D3060"/>
    <w:rsid w:val="000D380C"/>
    <w:rsid w:val="000D3BFB"/>
    <w:rsid w:val="000D429B"/>
    <w:rsid w:val="000D4688"/>
    <w:rsid w:val="000D4F25"/>
    <w:rsid w:val="000D5205"/>
    <w:rsid w:val="000D5379"/>
    <w:rsid w:val="000D53F8"/>
    <w:rsid w:val="000D5612"/>
    <w:rsid w:val="000D58AC"/>
    <w:rsid w:val="000D5F1A"/>
    <w:rsid w:val="000D6083"/>
    <w:rsid w:val="000D72BD"/>
    <w:rsid w:val="000D766C"/>
    <w:rsid w:val="000D7823"/>
    <w:rsid w:val="000D7EEF"/>
    <w:rsid w:val="000D7FF8"/>
    <w:rsid w:val="000E038D"/>
    <w:rsid w:val="000E07CB"/>
    <w:rsid w:val="000E0C9E"/>
    <w:rsid w:val="000E1014"/>
    <w:rsid w:val="000E1D05"/>
    <w:rsid w:val="000E1F13"/>
    <w:rsid w:val="000E2042"/>
    <w:rsid w:val="000E2627"/>
    <w:rsid w:val="000E2E11"/>
    <w:rsid w:val="000E2E16"/>
    <w:rsid w:val="000E2FFC"/>
    <w:rsid w:val="000E32E1"/>
    <w:rsid w:val="000E3656"/>
    <w:rsid w:val="000E3906"/>
    <w:rsid w:val="000E4299"/>
    <w:rsid w:val="000E5124"/>
    <w:rsid w:val="000E5258"/>
    <w:rsid w:val="000E5D43"/>
    <w:rsid w:val="000E68DF"/>
    <w:rsid w:val="000E6DDA"/>
    <w:rsid w:val="000E728B"/>
    <w:rsid w:val="000E7861"/>
    <w:rsid w:val="000E7F53"/>
    <w:rsid w:val="000F0E41"/>
    <w:rsid w:val="000F1C49"/>
    <w:rsid w:val="000F1C96"/>
    <w:rsid w:val="000F1FC1"/>
    <w:rsid w:val="000F1FC2"/>
    <w:rsid w:val="000F2087"/>
    <w:rsid w:val="000F22BF"/>
    <w:rsid w:val="000F2351"/>
    <w:rsid w:val="000F24E1"/>
    <w:rsid w:val="000F25BC"/>
    <w:rsid w:val="000F2642"/>
    <w:rsid w:val="000F29BC"/>
    <w:rsid w:val="000F2C17"/>
    <w:rsid w:val="000F33E3"/>
    <w:rsid w:val="000F3C7F"/>
    <w:rsid w:val="000F459B"/>
    <w:rsid w:val="000F488F"/>
    <w:rsid w:val="000F4958"/>
    <w:rsid w:val="000F4CBF"/>
    <w:rsid w:val="000F4D92"/>
    <w:rsid w:val="000F4F75"/>
    <w:rsid w:val="000F52F1"/>
    <w:rsid w:val="000F5B2B"/>
    <w:rsid w:val="000F5B4B"/>
    <w:rsid w:val="000F6476"/>
    <w:rsid w:val="000F6D25"/>
    <w:rsid w:val="000F6F06"/>
    <w:rsid w:val="000F76B2"/>
    <w:rsid w:val="00100704"/>
    <w:rsid w:val="00100F0C"/>
    <w:rsid w:val="00101002"/>
    <w:rsid w:val="00101345"/>
    <w:rsid w:val="00101556"/>
    <w:rsid w:val="00101FBA"/>
    <w:rsid w:val="00102534"/>
    <w:rsid w:val="00102A0A"/>
    <w:rsid w:val="00102BB1"/>
    <w:rsid w:val="001035C7"/>
    <w:rsid w:val="00103700"/>
    <w:rsid w:val="00103BD2"/>
    <w:rsid w:val="001040C1"/>
    <w:rsid w:val="00104683"/>
    <w:rsid w:val="001047ED"/>
    <w:rsid w:val="00104D43"/>
    <w:rsid w:val="0010559C"/>
    <w:rsid w:val="001055C2"/>
    <w:rsid w:val="00105721"/>
    <w:rsid w:val="00106100"/>
    <w:rsid w:val="001062FF"/>
    <w:rsid w:val="00106308"/>
    <w:rsid w:val="00106EC8"/>
    <w:rsid w:val="00107792"/>
    <w:rsid w:val="001079C0"/>
    <w:rsid w:val="001103FB"/>
    <w:rsid w:val="001104B2"/>
    <w:rsid w:val="001105D7"/>
    <w:rsid w:val="00110BBC"/>
    <w:rsid w:val="00111378"/>
    <w:rsid w:val="001117E4"/>
    <w:rsid w:val="00111993"/>
    <w:rsid w:val="00111D5E"/>
    <w:rsid w:val="00112313"/>
    <w:rsid w:val="00112949"/>
    <w:rsid w:val="00112E6F"/>
    <w:rsid w:val="00113033"/>
    <w:rsid w:val="0011325D"/>
    <w:rsid w:val="0011397C"/>
    <w:rsid w:val="00113A35"/>
    <w:rsid w:val="00113C05"/>
    <w:rsid w:val="00113C92"/>
    <w:rsid w:val="00113FDE"/>
    <w:rsid w:val="0011415F"/>
    <w:rsid w:val="001147B5"/>
    <w:rsid w:val="00114B04"/>
    <w:rsid w:val="00114BAC"/>
    <w:rsid w:val="00114C3A"/>
    <w:rsid w:val="001155EA"/>
    <w:rsid w:val="0011576C"/>
    <w:rsid w:val="0011637E"/>
    <w:rsid w:val="00116E96"/>
    <w:rsid w:val="00117106"/>
    <w:rsid w:val="001176FB"/>
    <w:rsid w:val="00117790"/>
    <w:rsid w:val="001178EF"/>
    <w:rsid w:val="00117C5C"/>
    <w:rsid w:val="00117E03"/>
    <w:rsid w:val="00120442"/>
    <w:rsid w:val="001212F8"/>
    <w:rsid w:val="00121861"/>
    <w:rsid w:val="00121966"/>
    <w:rsid w:val="00121F01"/>
    <w:rsid w:val="00123CC5"/>
    <w:rsid w:val="0012424E"/>
    <w:rsid w:val="00124275"/>
    <w:rsid w:val="0012428B"/>
    <w:rsid w:val="001243EA"/>
    <w:rsid w:val="0012453B"/>
    <w:rsid w:val="0012455A"/>
    <w:rsid w:val="001248F7"/>
    <w:rsid w:val="00124F2B"/>
    <w:rsid w:val="00125836"/>
    <w:rsid w:val="00125C6D"/>
    <w:rsid w:val="00125DA2"/>
    <w:rsid w:val="00126530"/>
    <w:rsid w:val="001269AD"/>
    <w:rsid w:val="00126A5F"/>
    <w:rsid w:val="00126E75"/>
    <w:rsid w:val="00127C2A"/>
    <w:rsid w:val="00127CD2"/>
    <w:rsid w:val="001302F6"/>
    <w:rsid w:val="00130341"/>
    <w:rsid w:val="0013050A"/>
    <w:rsid w:val="0013059A"/>
    <w:rsid w:val="001310CF"/>
    <w:rsid w:val="0013128B"/>
    <w:rsid w:val="00131991"/>
    <w:rsid w:val="00131ACB"/>
    <w:rsid w:val="00131DCD"/>
    <w:rsid w:val="00131EF0"/>
    <w:rsid w:val="00132372"/>
    <w:rsid w:val="001323E6"/>
    <w:rsid w:val="00132658"/>
    <w:rsid w:val="001328DE"/>
    <w:rsid w:val="00132CE1"/>
    <w:rsid w:val="001330A5"/>
    <w:rsid w:val="00133159"/>
    <w:rsid w:val="00133304"/>
    <w:rsid w:val="0013339A"/>
    <w:rsid w:val="001335EE"/>
    <w:rsid w:val="00133A14"/>
    <w:rsid w:val="00133AAC"/>
    <w:rsid w:val="00133B90"/>
    <w:rsid w:val="00133F6B"/>
    <w:rsid w:val="0013482F"/>
    <w:rsid w:val="0013584A"/>
    <w:rsid w:val="001359EE"/>
    <w:rsid w:val="00135E21"/>
    <w:rsid w:val="00136205"/>
    <w:rsid w:val="001364D0"/>
    <w:rsid w:val="001368FC"/>
    <w:rsid w:val="00136D4A"/>
    <w:rsid w:val="00136F9A"/>
    <w:rsid w:val="00137704"/>
    <w:rsid w:val="00137933"/>
    <w:rsid w:val="00140A16"/>
    <w:rsid w:val="00141496"/>
    <w:rsid w:val="001415AD"/>
    <w:rsid w:val="001416F1"/>
    <w:rsid w:val="001417DC"/>
    <w:rsid w:val="00141A3D"/>
    <w:rsid w:val="00141E30"/>
    <w:rsid w:val="001426B2"/>
    <w:rsid w:val="00142CBE"/>
    <w:rsid w:val="00142FFA"/>
    <w:rsid w:val="001436B1"/>
    <w:rsid w:val="00143987"/>
    <w:rsid w:val="0014457B"/>
    <w:rsid w:val="00144EAC"/>
    <w:rsid w:val="00144F73"/>
    <w:rsid w:val="0014506D"/>
    <w:rsid w:val="001451DC"/>
    <w:rsid w:val="001458B9"/>
    <w:rsid w:val="00145B87"/>
    <w:rsid w:val="001461CF"/>
    <w:rsid w:val="0014627F"/>
    <w:rsid w:val="0014637C"/>
    <w:rsid w:val="0014680E"/>
    <w:rsid w:val="001468E2"/>
    <w:rsid w:val="0014709C"/>
    <w:rsid w:val="001474EC"/>
    <w:rsid w:val="00147F26"/>
    <w:rsid w:val="00150002"/>
    <w:rsid w:val="00150074"/>
    <w:rsid w:val="0015014F"/>
    <w:rsid w:val="0015027B"/>
    <w:rsid w:val="001503E2"/>
    <w:rsid w:val="00150C69"/>
    <w:rsid w:val="001511A8"/>
    <w:rsid w:val="0015242E"/>
    <w:rsid w:val="00152754"/>
    <w:rsid w:val="00152888"/>
    <w:rsid w:val="00152D09"/>
    <w:rsid w:val="00153195"/>
    <w:rsid w:val="0015323D"/>
    <w:rsid w:val="00153474"/>
    <w:rsid w:val="00153BC7"/>
    <w:rsid w:val="001547B5"/>
    <w:rsid w:val="001554DC"/>
    <w:rsid w:val="00155677"/>
    <w:rsid w:val="00155C60"/>
    <w:rsid w:val="00155DD1"/>
    <w:rsid w:val="00156540"/>
    <w:rsid w:val="0015657B"/>
    <w:rsid w:val="00156B14"/>
    <w:rsid w:val="001576C6"/>
    <w:rsid w:val="00157814"/>
    <w:rsid w:val="0016019B"/>
    <w:rsid w:val="0016029D"/>
    <w:rsid w:val="00160AEE"/>
    <w:rsid w:val="0016122F"/>
    <w:rsid w:val="0016197A"/>
    <w:rsid w:val="001622EC"/>
    <w:rsid w:val="00162340"/>
    <w:rsid w:val="001627F0"/>
    <w:rsid w:val="0016287E"/>
    <w:rsid w:val="00162CE9"/>
    <w:rsid w:val="00162FA5"/>
    <w:rsid w:val="00162FAC"/>
    <w:rsid w:val="0016318C"/>
    <w:rsid w:val="001633C4"/>
    <w:rsid w:val="001635BE"/>
    <w:rsid w:val="00163A31"/>
    <w:rsid w:val="00164368"/>
    <w:rsid w:val="0016437F"/>
    <w:rsid w:val="0016484A"/>
    <w:rsid w:val="00164BD5"/>
    <w:rsid w:val="001657E4"/>
    <w:rsid w:val="001659A8"/>
    <w:rsid w:val="00165F65"/>
    <w:rsid w:val="00166657"/>
    <w:rsid w:val="001674DB"/>
    <w:rsid w:val="00167523"/>
    <w:rsid w:val="0016794D"/>
    <w:rsid w:val="00170054"/>
    <w:rsid w:val="001702D9"/>
    <w:rsid w:val="001703BA"/>
    <w:rsid w:val="001705D6"/>
    <w:rsid w:val="001709FC"/>
    <w:rsid w:val="00170C4D"/>
    <w:rsid w:val="00170FD2"/>
    <w:rsid w:val="0017144A"/>
    <w:rsid w:val="0017189E"/>
    <w:rsid w:val="00172247"/>
    <w:rsid w:val="00172561"/>
    <w:rsid w:val="00172D38"/>
    <w:rsid w:val="00173931"/>
    <w:rsid w:val="001739A9"/>
    <w:rsid w:val="00173E29"/>
    <w:rsid w:val="001741D7"/>
    <w:rsid w:val="00174277"/>
    <w:rsid w:val="00174EFC"/>
    <w:rsid w:val="0017524D"/>
    <w:rsid w:val="00175525"/>
    <w:rsid w:val="0017575F"/>
    <w:rsid w:val="00175A54"/>
    <w:rsid w:val="00175F2F"/>
    <w:rsid w:val="00175F46"/>
    <w:rsid w:val="00176341"/>
    <w:rsid w:val="001767B7"/>
    <w:rsid w:val="001775BD"/>
    <w:rsid w:val="001775F1"/>
    <w:rsid w:val="0017763A"/>
    <w:rsid w:val="001779C1"/>
    <w:rsid w:val="001800AD"/>
    <w:rsid w:val="001801EC"/>
    <w:rsid w:val="00181450"/>
    <w:rsid w:val="00181697"/>
    <w:rsid w:val="001817EF"/>
    <w:rsid w:val="00181974"/>
    <w:rsid w:val="0018278E"/>
    <w:rsid w:val="00182B02"/>
    <w:rsid w:val="00182BB0"/>
    <w:rsid w:val="00183054"/>
    <w:rsid w:val="0018342B"/>
    <w:rsid w:val="001837F7"/>
    <w:rsid w:val="00184286"/>
    <w:rsid w:val="001843A4"/>
    <w:rsid w:val="00184CCA"/>
    <w:rsid w:val="0018503F"/>
    <w:rsid w:val="00185099"/>
    <w:rsid w:val="001854F3"/>
    <w:rsid w:val="0018565C"/>
    <w:rsid w:val="00185801"/>
    <w:rsid w:val="0018608B"/>
    <w:rsid w:val="0018613E"/>
    <w:rsid w:val="0018614A"/>
    <w:rsid w:val="001865FE"/>
    <w:rsid w:val="00186A73"/>
    <w:rsid w:val="00186DA3"/>
    <w:rsid w:val="00187302"/>
    <w:rsid w:val="001875C4"/>
    <w:rsid w:val="00187636"/>
    <w:rsid w:val="0018780A"/>
    <w:rsid w:val="00187B3F"/>
    <w:rsid w:val="00187BF6"/>
    <w:rsid w:val="00187CBC"/>
    <w:rsid w:val="00187FF2"/>
    <w:rsid w:val="00190BFC"/>
    <w:rsid w:val="00190FD9"/>
    <w:rsid w:val="0019113E"/>
    <w:rsid w:val="0019118D"/>
    <w:rsid w:val="001919BD"/>
    <w:rsid w:val="00191CF6"/>
    <w:rsid w:val="00192116"/>
    <w:rsid w:val="0019317F"/>
    <w:rsid w:val="00193C09"/>
    <w:rsid w:val="0019423B"/>
    <w:rsid w:val="0019477B"/>
    <w:rsid w:val="001949B8"/>
    <w:rsid w:val="00194FA2"/>
    <w:rsid w:val="0019565D"/>
    <w:rsid w:val="001967E0"/>
    <w:rsid w:val="00196C38"/>
    <w:rsid w:val="00196ED6"/>
    <w:rsid w:val="0019790F"/>
    <w:rsid w:val="00197AD2"/>
    <w:rsid w:val="00197E50"/>
    <w:rsid w:val="00197EBB"/>
    <w:rsid w:val="001A084B"/>
    <w:rsid w:val="001A114C"/>
    <w:rsid w:val="001A173D"/>
    <w:rsid w:val="001A1A43"/>
    <w:rsid w:val="001A2045"/>
    <w:rsid w:val="001A2482"/>
    <w:rsid w:val="001A263B"/>
    <w:rsid w:val="001A2952"/>
    <w:rsid w:val="001A2DEC"/>
    <w:rsid w:val="001A34EA"/>
    <w:rsid w:val="001A361A"/>
    <w:rsid w:val="001A3807"/>
    <w:rsid w:val="001A3BF8"/>
    <w:rsid w:val="001A4B78"/>
    <w:rsid w:val="001A4C9C"/>
    <w:rsid w:val="001A4CDB"/>
    <w:rsid w:val="001A4E91"/>
    <w:rsid w:val="001A558F"/>
    <w:rsid w:val="001A587D"/>
    <w:rsid w:val="001A5B02"/>
    <w:rsid w:val="001A6DE5"/>
    <w:rsid w:val="001A7F2E"/>
    <w:rsid w:val="001B0193"/>
    <w:rsid w:val="001B0EDA"/>
    <w:rsid w:val="001B1106"/>
    <w:rsid w:val="001B17AA"/>
    <w:rsid w:val="001B18AA"/>
    <w:rsid w:val="001B1B2E"/>
    <w:rsid w:val="001B21C0"/>
    <w:rsid w:val="001B24B3"/>
    <w:rsid w:val="001B2D59"/>
    <w:rsid w:val="001B3110"/>
    <w:rsid w:val="001B4088"/>
    <w:rsid w:val="001B4173"/>
    <w:rsid w:val="001B4465"/>
    <w:rsid w:val="001B47B7"/>
    <w:rsid w:val="001B55D1"/>
    <w:rsid w:val="001B5875"/>
    <w:rsid w:val="001B5ECA"/>
    <w:rsid w:val="001B6EE2"/>
    <w:rsid w:val="001B723E"/>
    <w:rsid w:val="001B7372"/>
    <w:rsid w:val="001B77D1"/>
    <w:rsid w:val="001B78A1"/>
    <w:rsid w:val="001B7B54"/>
    <w:rsid w:val="001B7F5F"/>
    <w:rsid w:val="001C0372"/>
    <w:rsid w:val="001C0919"/>
    <w:rsid w:val="001C0A74"/>
    <w:rsid w:val="001C0D00"/>
    <w:rsid w:val="001C1322"/>
    <w:rsid w:val="001C174F"/>
    <w:rsid w:val="001C2294"/>
    <w:rsid w:val="001C22C5"/>
    <w:rsid w:val="001C22E7"/>
    <w:rsid w:val="001C27EC"/>
    <w:rsid w:val="001C2994"/>
    <w:rsid w:val="001C2F31"/>
    <w:rsid w:val="001C2FC9"/>
    <w:rsid w:val="001C40E9"/>
    <w:rsid w:val="001C4160"/>
    <w:rsid w:val="001C44D5"/>
    <w:rsid w:val="001C4585"/>
    <w:rsid w:val="001C4D15"/>
    <w:rsid w:val="001C4FDF"/>
    <w:rsid w:val="001C5694"/>
    <w:rsid w:val="001C5777"/>
    <w:rsid w:val="001C6080"/>
    <w:rsid w:val="001C616D"/>
    <w:rsid w:val="001C66C4"/>
    <w:rsid w:val="001C6C5A"/>
    <w:rsid w:val="001C6FFC"/>
    <w:rsid w:val="001C70C4"/>
    <w:rsid w:val="001C711E"/>
    <w:rsid w:val="001C7BA9"/>
    <w:rsid w:val="001D0098"/>
    <w:rsid w:val="001D00EE"/>
    <w:rsid w:val="001D05C7"/>
    <w:rsid w:val="001D0795"/>
    <w:rsid w:val="001D094C"/>
    <w:rsid w:val="001D0F4B"/>
    <w:rsid w:val="001D1073"/>
    <w:rsid w:val="001D13DD"/>
    <w:rsid w:val="001D17B4"/>
    <w:rsid w:val="001D1EA3"/>
    <w:rsid w:val="001D24D5"/>
    <w:rsid w:val="001D26E1"/>
    <w:rsid w:val="001D281A"/>
    <w:rsid w:val="001D2AD6"/>
    <w:rsid w:val="001D2F31"/>
    <w:rsid w:val="001D33B2"/>
    <w:rsid w:val="001D3A0E"/>
    <w:rsid w:val="001D3A5A"/>
    <w:rsid w:val="001D4289"/>
    <w:rsid w:val="001D50A0"/>
    <w:rsid w:val="001D5B7B"/>
    <w:rsid w:val="001D5FAC"/>
    <w:rsid w:val="001D64BE"/>
    <w:rsid w:val="001D6DA4"/>
    <w:rsid w:val="001D6DB6"/>
    <w:rsid w:val="001D7120"/>
    <w:rsid w:val="001D799D"/>
    <w:rsid w:val="001D79FA"/>
    <w:rsid w:val="001E07F5"/>
    <w:rsid w:val="001E0AE2"/>
    <w:rsid w:val="001E157E"/>
    <w:rsid w:val="001E17AA"/>
    <w:rsid w:val="001E1C51"/>
    <w:rsid w:val="001E2582"/>
    <w:rsid w:val="001E2AF8"/>
    <w:rsid w:val="001E2B42"/>
    <w:rsid w:val="001E343C"/>
    <w:rsid w:val="001E3AB7"/>
    <w:rsid w:val="001E47D7"/>
    <w:rsid w:val="001E4B3F"/>
    <w:rsid w:val="001E5632"/>
    <w:rsid w:val="001E5698"/>
    <w:rsid w:val="001E5B5D"/>
    <w:rsid w:val="001E6312"/>
    <w:rsid w:val="001E6DA3"/>
    <w:rsid w:val="001E6E32"/>
    <w:rsid w:val="001E7213"/>
    <w:rsid w:val="001E7BBF"/>
    <w:rsid w:val="001F00A4"/>
    <w:rsid w:val="001F02D5"/>
    <w:rsid w:val="001F12E8"/>
    <w:rsid w:val="001F1483"/>
    <w:rsid w:val="001F17B7"/>
    <w:rsid w:val="001F183C"/>
    <w:rsid w:val="001F1D4B"/>
    <w:rsid w:val="001F1D5B"/>
    <w:rsid w:val="001F216C"/>
    <w:rsid w:val="001F2172"/>
    <w:rsid w:val="001F261C"/>
    <w:rsid w:val="001F2E1E"/>
    <w:rsid w:val="001F368A"/>
    <w:rsid w:val="001F3C7A"/>
    <w:rsid w:val="001F3D29"/>
    <w:rsid w:val="001F4180"/>
    <w:rsid w:val="001F48F1"/>
    <w:rsid w:val="001F4B0A"/>
    <w:rsid w:val="001F55D6"/>
    <w:rsid w:val="001F5E23"/>
    <w:rsid w:val="001F5EA6"/>
    <w:rsid w:val="001F643F"/>
    <w:rsid w:val="001F659E"/>
    <w:rsid w:val="001F6635"/>
    <w:rsid w:val="001F6ECB"/>
    <w:rsid w:val="001F708B"/>
    <w:rsid w:val="002011FA"/>
    <w:rsid w:val="00201833"/>
    <w:rsid w:val="00201BD5"/>
    <w:rsid w:val="00201C82"/>
    <w:rsid w:val="00201E8C"/>
    <w:rsid w:val="00202929"/>
    <w:rsid w:val="00202BE3"/>
    <w:rsid w:val="002032BD"/>
    <w:rsid w:val="002036BD"/>
    <w:rsid w:val="002054C7"/>
    <w:rsid w:val="0020554A"/>
    <w:rsid w:val="00205CA2"/>
    <w:rsid w:val="002062FF"/>
    <w:rsid w:val="002069A1"/>
    <w:rsid w:val="00206BD2"/>
    <w:rsid w:val="00206FFE"/>
    <w:rsid w:val="002072D8"/>
    <w:rsid w:val="00207581"/>
    <w:rsid w:val="002076EA"/>
    <w:rsid w:val="00207AD7"/>
    <w:rsid w:val="00207D8B"/>
    <w:rsid w:val="00207DA1"/>
    <w:rsid w:val="00207E23"/>
    <w:rsid w:val="00210039"/>
    <w:rsid w:val="002108AC"/>
    <w:rsid w:val="002111A4"/>
    <w:rsid w:val="002112B5"/>
    <w:rsid w:val="002113AD"/>
    <w:rsid w:val="0021142E"/>
    <w:rsid w:val="002118CD"/>
    <w:rsid w:val="002118FE"/>
    <w:rsid w:val="00211D45"/>
    <w:rsid w:val="00211D58"/>
    <w:rsid w:val="00211DE6"/>
    <w:rsid w:val="00211F41"/>
    <w:rsid w:val="00211F70"/>
    <w:rsid w:val="00212479"/>
    <w:rsid w:val="002125FD"/>
    <w:rsid w:val="0021290B"/>
    <w:rsid w:val="00212BE6"/>
    <w:rsid w:val="00213360"/>
    <w:rsid w:val="002138AE"/>
    <w:rsid w:val="00213FBE"/>
    <w:rsid w:val="0021401E"/>
    <w:rsid w:val="00214B65"/>
    <w:rsid w:val="0021517E"/>
    <w:rsid w:val="00215494"/>
    <w:rsid w:val="00215742"/>
    <w:rsid w:val="0021577D"/>
    <w:rsid w:val="00215858"/>
    <w:rsid w:val="00215FA5"/>
    <w:rsid w:val="002161BB"/>
    <w:rsid w:val="0021626E"/>
    <w:rsid w:val="00216684"/>
    <w:rsid w:val="00216ACC"/>
    <w:rsid w:val="00217322"/>
    <w:rsid w:val="00220B4B"/>
    <w:rsid w:val="002212F0"/>
    <w:rsid w:val="00221B65"/>
    <w:rsid w:val="00221F5E"/>
    <w:rsid w:val="00222E3E"/>
    <w:rsid w:val="00222F93"/>
    <w:rsid w:val="00223172"/>
    <w:rsid w:val="002234A0"/>
    <w:rsid w:val="00224083"/>
    <w:rsid w:val="00224273"/>
    <w:rsid w:val="00224483"/>
    <w:rsid w:val="002246AB"/>
    <w:rsid w:val="00224993"/>
    <w:rsid w:val="00224BB0"/>
    <w:rsid w:val="00224D5D"/>
    <w:rsid w:val="00225387"/>
    <w:rsid w:val="00225714"/>
    <w:rsid w:val="0022571D"/>
    <w:rsid w:val="0022589F"/>
    <w:rsid w:val="00225A0F"/>
    <w:rsid w:val="00225A19"/>
    <w:rsid w:val="0022634C"/>
    <w:rsid w:val="002265C8"/>
    <w:rsid w:val="00226A8F"/>
    <w:rsid w:val="0022710C"/>
    <w:rsid w:val="00227126"/>
    <w:rsid w:val="0022733D"/>
    <w:rsid w:val="00227828"/>
    <w:rsid w:val="00227937"/>
    <w:rsid w:val="002301F6"/>
    <w:rsid w:val="002305B8"/>
    <w:rsid w:val="002305FF"/>
    <w:rsid w:val="0023088F"/>
    <w:rsid w:val="00230A4F"/>
    <w:rsid w:val="00230A9F"/>
    <w:rsid w:val="00230C6C"/>
    <w:rsid w:val="00230E81"/>
    <w:rsid w:val="00230F5B"/>
    <w:rsid w:val="002311BB"/>
    <w:rsid w:val="002316AE"/>
    <w:rsid w:val="00231710"/>
    <w:rsid w:val="002317E2"/>
    <w:rsid w:val="00232184"/>
    <w:rsid w:val="002323CD"/>
    <w:rsid w:val="002327D0"/>
    <w:rsid w:val="002329AA"/>
    <w:rsid w:val="00232A15"/>
    <w:rsid w:val="00232E52"/>
    <w:rsid w:val="00233995"/>
    <w:rsid w:val="002347FB"/>
    <w:rsid w:val="00234838"/>
    <w:rsid w:val="00234C94"/>
    <w:rsid w:val="00235EBA"/>
    <w:rsid w:val="00235F4C"/>
    <w:rsid w:val="002361D9"/>
    <w:rsid w:val="0023645E"/>
    <w:rsid w:val="00236949"/>
    <w:rsid w:val="002369E4"/>
    <w:rsid w:val="00237CC6"/>
    <w:rsid w:val="00237F21"/>
    <w:rsid w:val="00237FA3"/>
    <w:rsid w:val="00240028"/>
    <w:rsid w:val="00240193"/>
    <w:rsid w:val="0024036D"/>
    <w:rsid w:val="0024149A"/>
    <w:rsid w:val="002416BD"/>
    <w:rsid w:val="00241A97"/>
    <w:rsid w:val="00241BB1"/>
    <w:rsid w:val="00241C29"/>
    <w:rsid w:val="00242946"/>
    <w:rsid w:val="002430F9"/>
    <w:rsid w:val="00243E7D"/>
    <w:rsid w:val="002444C6"/>
    <w:rsid w:val="00244819"/>
    <w:rsid w:val="00244A46"/>
    <w:rsid w:val="0024530B"/>
    <w:rsid w:val="0024539B"/>
    <w:rsid w:val="00245B36"/>
    <w:rsid w:val="002466D0"/>
    <w:rsid w:val="00246A3E"/>
    <w:rsid w:val="00246E6A"/>
    <w:rsid w:val="002473E7"/>
    <w:rsid w:val="00247521"/>
    <w:rsid w:val="00247547"/>
    <w:rsid w:val="00247835"/>
    <w:rsid w:val="002501F2"/>
    <w:rsid w:val="00250DB5"/>
    <w:rsid w:val="0025122B"/>
    <w:rsid w:val="00251264"/>
    <w:rsid w:val="00251512"/>
    <w:rsid w:val="00251A7D"/>
    <w:rsid w:val="00252178"/>
    <w:rsid w:val="002521E4"/>
    <w:rsid w:val="002529CD"/>
    <w:rsid w:val="00252A15"/>
    <w:rsid w:val="00252CCA"/>
    <w:rsid w:val="00252D94"/>
    <w:rsid w:val="002534DC"/>
    <w:rsid w:val="002535FF"/>
    <w:rsid w:val="00253AF0"/>
    <w:rsid w:val="00253BB7"/>
    <w:rsid w:val="002540B2"/>
    <w:rsid w:val="00254650"/>
    <w:rsid w:val="0025473D"/>
    <w:rsid w:val="00254784"/>
    <w:rsid w:val="00254C67"/>
    <w:rsid w:val="00255800"/>
    <w:rsid w:val="002564F9"/>
    <w:rsid w:val="002569A7"/>
    <w:rsid w:val="00257B77"/>
    <w:rsid w:val="00257DA9"/>
    <w:rsid w:val="00260059"/>
    <w:rsid w:val="002604E4"/>
    <w:rsid w:val="00260F75"/>
    <w:rsid w:val="0026256B"/>
    <w:rsid w:val="002628B7"/>
    <w:rsid w:val="00262A5C"/>
    <w:rsid w:val="00262C6F"/>
    <w:rsid w:val="00263008"/>
    <w:rsid w:val="0026311C"/>
    <w:rsid w:val="002633C1"/>
    <w:rsid w:val="0026376C"/>
    <w:rsid w:val="00263CB9"/>
    <w:rsid w:val="00264512"/>
    <w:rsid w:val="002654D8"/>
    <w:rsid w:val="00265891"/>
    <w:rsid w:val="00265A13"/>
    <w:rsid w:val="00265A7A"/>
    <w:rsid w:val="00265F60"/>
    <w:rsid w:val="00266705"/>
    <w:rsid w:val="00267A1C"/>
    <w:rsid w:val="0027013D"/>
    <w:rsid w:val="0027171F"/>
    <w:rsid w:val="002719BC"/>
    <w:rsid w:val="00271E58"/>
    <w:rsid w:val="002723FB"/>
    <w:rsid w:val="002728FB"/>
    <w:rsid w:val="00272DD0"/>
    <w:rsid w:val="00272FD8"/>
    <w:rsid w:val="00273AE8"/>
    <w:rsid w:val="002749ED"/>
    <w:rsid w:val="00274BA5"/>
    <w:rsid w:val="002752B1"/>
    <w:rsid w:val="002754F8"/>
    <w:rsid w:val="0027597E"/>
    <w:rsid w:val="002761E0"/>
    <w:rsid w:val="0027663C"/>
    <w:rsid w:val="00276910"/>
    <w:rsid w:val="0027698A"/>
    <w:rsid w:val="002779BA"/>
    <w:rsid w:val="00277B43"/>
    <w:rsid w:val="00277C3C"/>
    <w:rsid w:val="002803A6"/>
    <w:rsid w:val="00280457"/>
    <w:rsid w:val="002804F4"/>
    <w:rsid w:val="002805B2"/>
    <w:rsid w:val="002807FE"/>
    <w:rsid w:val="00280D28"/>
    <w:rsid w:val="002812DC"/>
    <w:rsid w:val="00281388"/>
    <w:rsid w:val="00281496"/>
    <w:rsid w:val="0028198E"/>
    <w:rsid w:val="00281A1E"/>
    <w:rsid w:val="00281F2F"/>
    <w:rsid w:val="002823A4"/>
    <w:rsid w:val="00282E77"/>
    <w:rsid w:val="002830B3"/>
    <w:rsid w:val="002837B8"/>
    <w:rsid w:val="002839A0"/>
    <w:rsid w:val="00283AB3"/>
    <w:rsid w:val="00283F66"/>
    <w:rsid w:val="002845A7"/>
    <w:rsid w:val="00284B50"/>
    <w:rsid w:val="00284C1F"/>
    <w:rsid w:val="002850CA"/>
    <w:rsid w:val="00285374"/>
    <w:rsid w:val="002854F4"/>
    <w:rsid w:val="0028585D"/>
    <w:rsid w:val="002858EA"/>
    <w:rsid w:val="00286585"/>
    <w:rsid w:val="0028682F"/>
    <w:rsid w:val="00286910"/>
    <w:rsid w:val="002878A8"/>
    <w:rsid w:val="00287D44"/>
    <w:rsid w:val="00290274"/>
    <w:rsid w:val="002903FF"/>
    <w:rsid w:val="002909BC"/>
    <w:rsid w:val="002909F9"/>
    <w:rsid w:val="00291588"/>
    <w:rsid w:val="00291C06"/>
    <w:rsid w:val="0029225A"/>
    <w:rsid w:val="00292750"/>
    <w:rsid w:val="00292F54"/>
    <w:rsid w:val="00293373"/>
    <w:rsid w:val="00293ACD"/>
    <w:rsid w:val="00294724"/>
    <w:rsid w:val="00294756"/>
    <w:rsid w:val="002951E1"/>
    <w:rsid w:val="0029533D"/>
    <w:rsid w:val="00295A1B"/>
    <w:rsid w:val="00295AFE"/>
    <w:rsid w:val="002963A6"/>
    <w:rsid w:val="00296AE1"/>
    <w:rsid w:val="0029702C"/>
    <w:rsid w:val="002975D0"/>
    <w:rsid w:val="002976CE"/>
    <w:rsid w:val="00297A1C"/>
    <w:rsid w:val="00297B92"/>
    <w:rsid w:val="002A0C24"/>
    <w:rsid w:val="002A0D4C"/>
    <w:rsid w:val="002A0FC3"/>
    <w:rsid w:val="002A189E"/>
    <w:rsid w:val="002A1AA2"/>
    <w:rsid w:val="002A1D3C"/>
    <w:rsid w:val="002A205B"/>
    <w:rsid w:val="002A20BF"/>
    <w:rsid w:val="002A2265"/>
    <w:rsid w:val="002A2459"/>
    <w:rsid w:val="002A2FB0"/>
    <w:rsid w:val="002A3672"/>
    <w:rsid w:val="002A4F86"/>
    <w:rsid w:val="002A5301"/>
    <w:rsid w:val="002A5322"/>
    <w:rsid w:val="002A65DA"/>
    <w:rsid w:val="002A6C23"/>
    <w:rsid w:val="002A743D"/>
    <w:rsid w:val="002A7744"/>
    <w:rsid w:val="002B01E1"/>
    <w:rsid w:val="002B0267"/>
    <w:rsid w:val="002B0A17"/>
    <w:rsid w:val="002B0D51"/>
    <w:rsid w:val="002B2560"/>
    <w:rsid w:val="002B281C"/>
    <w:rsid w:val="002B284F"/>
    <w:rsid w:val="002B2A17"/>
    <w:rsid w:val="002B37E3"/>
    <w:rsid w:val="002B3BE5"/>
    <w:rsid w:val="002B3F9B"/>
    <w:rsid w:val="002B4B98"/>
    <w:rsid w:val="002B4C4D"/>
    <w:rsid w:val="002B4C9E"/>
    <w:rsid w:val="002B4DA2"/>
    <w:rsid w:val="002B5CD2"/>
    <w:rsid w:val="002B65D6"/>
    <w:rsid w:val="002B6FA2"/>
    <w:rsid w:val="002B6FE4"/>
    <w:rsid w:val="002B71F4"/>
    <w:rsid w:val="002B72F0"/>
    <w:rsid w:val="002B7A93"/>
    <w:rsid w:val="002C00F0"/>
    <w:rsid w:val="002C04DC"/>
    <w:rsid w:val="002C074A"/>
    <w:rsid w:val="002C0E8E"/>
    <w:rsid w:val="002C12FE"/>
    <w:rsid w:val="002C1799"/>
    <w:rsid w:val="002C2A5F"/>
    <w:rsid w:val="002C2A7F"/>
    <w:rsid w:val="002C2B1E"/>
    <w:rsid w:val="002C2ECA"/>
    <w:rsid w:val="002C31FB"/>
    <w:rsid w:val="002C3A5C"/>
    <w:rsid w:val="002C4055"/>
    <w:rsid w:val="002C423E"/>
    <w:rsid w:val="002C4337"/>
    <w:rsid w:val="002C4656"/>
    <w:rsid w:val="002C4D5A"/>
    <w:rsid w:val="002C4F35"/>
    <w:rsid w:val="002C5293"/>
    <w:rsid w:val="002C5956"/>
    <w:rsid w:val="002C59AB"/>
    <w:rsid w:val="002C5B03"/>
    <w:rsid w:val="002C5B79"/>
    <w:rsid w:val="002C6C35"/>
    <w:rsid w:val="002D0262"/>
    <w:rsid w:val="002D079C"/>
    <w:rsid w:val="002D0B7A"/>
    <w:rsid w:val="002D10E6"/>
    <w:rsid w:val="002D20A5"/>
    <w:rsid w:val="002D2141"/>
    <w:rsid w:val="002D2725"/>
    <w:rsid w:val="002D293E"/>
    <w:rsid w:val="002D2A82"/>
    <w:rsid w:val="002D34B2"/>
    <w:rsid w:val="002D3EF6"/>
    <w:rsid w:val="002D4451"/>
    <w:rsid w:val="002D4657"/>
    <w:rsid w:val="002D4757"/>
    <w:rsid w:val="002D4B75"/>
    <w:rsid w:val="002D4BA2"/>
    <w:rsid w:val="002D4D0A"/>
    <w:rsid w:val="002D5159"/>
    <w:rsid w:val="002D52B7"/>
    <w:rsid w:val="002D601D"/>
    <w:rsid w:val="002D65B6"/>
    <w:rsid w:val="002D6B47"/>
    <w:rsid w:val="002D6E45"/>
    <w:rsid w:val="002D7B1A"/>
    <w:rsid w:val="002D7D14"/>
    <w:rsid w:val="002D7E2F"/>
    <w:rsid w:val="002D7E6B"/>
    <w:rsid w:val="002E003F"/>
    <w:rsid w:val="002E0B36"/>
    <w:rsid w:val="002E0C8C"/>
    <w:rsid w:val="002E0F28"/>
    <w:rsid w:val="002E0F62"/>
    <w:rsid w:val="002E158C"/>
    <w:rsid w:val="002E1624"/>
    <w:rsid w:val="002E1645"/>
    <w:rsid w:val="002E1747"/>
    <w:rsid w:val="002E174E"/>
    <w:rsid w:val="002E1BC9"/>
    <w:rsid w:val="002E1CC2"/>
    <w:rsid w:val="002E3137"/>
    <w:rsid w:val="002E3CA2"/>
    <w:rsid w:val="002E3E28"/>
    <w:rsid w:val="002E46EA"/>
    <w:rsid w:val="002E4DDC"/>
    <w:rsid w:val="002E4E49"/>
    <w:rsid w:val="002E6A87"/>
    <w:rsid w:val="002E74A5"/>
    <w:rsid w:val="002E7BEF"/>
    <w:rsid w:val="002E7C07"/>
    <w:rsid w:val="002E7DD7"/>
    <w:rsid w:val="002F0073"/>
    <w:rsid w:val="002F0A9A"/>
    <w:rsid w:val="002F0C9C"/>
    <w:rsid w:val="002F0CA8"/>
    <w:rsid w:val="002F125E"/>
    <w:rsid w:val="002F1738"/>
    <w:rsid w:val="002F1B20"/>
    <w:rsid w:val="002F1CCB"/>
    <w:rsid w:val="002F2408"/>
    <w:rsid w:val="002F2680"/>
    <w:rsid w:val="002F37D5"/>
    <w:rsid w:val="002F3F3B"/>
    <w:rsid w:val="002F4187"/>
    <w:rsid w:val="002F4337"/>
    <w:rsid w:val="002F45F7"/>
    <w:rsid w:val="002F46C6"/>
    <w:rsid w:val="002F4964"/>
    <w:rsid w:val="002F5660"/>
    <w:rsid w:val="002F5B59"/>
    <w:rsid w:val="002F5DA6"/>
    <w:rsid w:val="002F5F0F"/>
    <w:rsid w:val="002F6104"/>
    <w:rsid w:val="002F64DF"/>
    <w:rsid w:val="002F660A"/>
    <w:rsid w:val="002F6A15"/>
    <w:rsid w:val="002F6C95"/>
    <w:rsid w:val="002F780F"/>
    <w:rsid w:val="002F7D1B"/>
    <w:rsid w:val="002F7D83"/>
    <w:rsid w:val="00300DDF"/>
    <w:rsid w:val="00300E6D"/>
    <w:rsid w:val="0030106A"/>
    <w:rsid w:val="00301205"/>
    <w:rsid w:val="00301E8D"/>
    <w:rsid w:val="00302055"/>
    <w:rsid w:val="00302955"/>
    <w:rsid w:val="00302C4D"/>
    <w:rsid w:val="00302E0A"/>
    <w:rsid w:val="0030319E"/>
    <w:rsid w:val="00303367"/>
    <w:rsid w:val="003034ED"/>
    <w:rsid w:val="003036FD"/>
    <w:rsid w:val="003039BE"/>
    <w:rsid w:val="00303C59"/>
    <w:rsid w:val="00303E06"/>
    <w:rsid w:val="00303F00"/>
    <w:rsid w:val="00304094"/>
    <w:rsid w:val="00304CC5"/>
    <w:rsid w:val="0030547E"/>
    <w:rsid w:val="003059B5"/>
    <w:rsid w:val="00305C47"/>
    <w:rsid w:val="00305D31"/>
    <w:rsid w:val="003068C5"/>
    <w:rsid w:val="0030730D"/>
    <w:rsid w:val="003073BF"/>
    <w:rsid w:val="003074F4"/>
    <w:rsid w:val="003079DC"/>
    <w:rsid w:val="003109D7"/>
    <w:rsid w:val="003109E6"/>
    <w:rsid w:val="0031116B"/>
    <w:rsid w:val="003117C9"/>
    <w:rsid w:val="00311A25"/>
    <w:rsid w:val="00312165"/>
    <w:rsid w:val="003127A7"/>
    <w:rsid w:val="003128CE"/>
    <w:rsid w:val="00312D44"/>
    <w:rsid w:val="00312DC9"/>
    <w:rsid w:val="00312FCD"/>
    <w:rsid w:val="0031325A"/>
    <w:rsid w:val="00313831"/>
    <w:rsid w:val="00313D22"/>
    <w:rsid w:val="00313F62"/>
    <w:rsid w:val="003148A4"/>
    <w:rsid w:val="00314FD2"/>
    <w:rsid w:val="00315053"/>
    <w:rsid w:val="00315092"/>
    <w:rsid w:val="00315629"/>
    <w:rsid w:val="003159B1"/>
    <w:rsid w:val="00315F34"/>
    <w:rsid w:val="00315FD7"/>
    <w:rsid w:val="00316339"/>
    <w:rsid w:val="00316A0C"/>
    <w:rsid w:val="00316EA3"/>
    <w:rsid w:val="0031720C"/>
    <w:rsid w:val="003175B9"/>
    <w:rsid w:val="00317789"/>
    <w:rsid w:val="003178C6"/>
    <w:rsid w:val="00317CF4"/>
    <w:rsid w:val="00317D21"/>
    <w:rsid w:val="00320536"/>
    <w:rsid w:val="0032067B"/>
    <w:rsid w:val="003214B7"/>
    <w:rsid w:val="00322215"/>
    <w:rsid w:val="003222D9"/>
    <w:rsid w:val="003242E1"/>
    <w:rsid w:val="00324461"/>
    <w:rsid w:val="003245D7"/>
    <w:rsid w:val="00324A2D"/>
    <w:rsid w:val="003251D6"/>
    <w:rsid w:val="003256BF"/>
    <w:rsid w:val="003262C2"/>
    <w:rsid w:val="00326922"/>
    <w:rsid w:val="0032736B"/>
    <w:rsid w:val="00327409"/>
    <w:rsid w:val="00327D1D"/>
    <w:rsid w:val="00327F40"/>
    <w:rsid w:val="0033022F"/>
    <w:rsid w:val="00330528"/>
    <w:rsid w:val="00330A59"/>
    <w:rsid w:val="0033120E"/>
    <w:rsid w:val="003315A0"/>
    <w:rsid w:val="00331721"/>
    <w:rsid w:val="00332194"/>
    <w:rsid w:val="003323E0"/>
    <w:rsid w:val="00332C45"/>
    <w:rsid w:val="00333166"/>
    <w:rsid w:val="00333282"/>
    <w:rsid w:val="0033339D"/>
    <w:rsid w:val="003334E9"/>
    <w:rsid w:val="0033430B"/>
    <w:rsid w:val="00334479"/>
    <w:rsid w:val="0033480B"/>
    <w:rsid w:val="00334D0E"/>
    <w:rsid w:val="00334EB3"/>
    <w:rsid w:val="00335092"/>
    <w:rsid w:val="003356FB"/>
    <w:rsid w:val="00336150"/>
    <w:rsid w:val="003361E3"/>
    <w:rsid w:val="00336D04"/>
    <w:rsid w:val="003372AA"/>
    <w:rsid w:val="003372CD"/>
    <w:rsid w:val="00337695"/>
    <w:rsid w:val="00337750"/>
    <w:rsid w:val="003377EC"/>
    <w:rsid w:val="00337C1A"/>
    <w:rsid w:val="00337FBC"/>
    <w:rsid w:val="00340322"/>
    <w:rsid w:val="00340418"/>
    <w:rsid w:val="00340B82"/>
    <w:rsid w:val="00340B84"/>
    <w:rsid w:val="00340E0C"/>
    <w:rsid w:val="00340E9D"/>
    <w:rsid w:val="00340F02"/>
    <w:rsid w:val="00340F37"/>
    <w:rsid w:val="00340F77"/>
    <w:rsid w:val="003411B4"/>
    <w:rsid w:val="00341564"/>
    <w:rsid w:val="00341A3B"/>
    <w:rsid w:val="00341DB1"/>
    <w:rsid w:val="00342203"/>
    <w:rsid w:val="00342220"/>
    <w:rsid w:val="003431C2"/>
    <w:rsid w:val="003432EF"/>
    <w:rsid w:val="00343815"/>
    <w:rsid w:val="00343B29"/>
    <w:rsid w:val="00343C82"/>
    <w:rsid w:val="0034405E"/>
    <w:rsid w:val="003447EC"/>
    <w:rsid w:val="00344CC5"/>
    <w:rsid w:val="003453F1"/>
    <w:rsid w:val="0034586D"/>
    <w:rsid w:val="00345964"/>
    <w:rsid w:val="00346D94"/>
    <w:rsid w:val="00346EE7"/>
    <w:rsid w:val="0034764C"/>
    <w:rsid w:val="00347BAF"/>
    <w:rsid w:val="0035043F"/>
    <w:rsid w:val="0035065E"/>
    <w:rsid w:val="00351CE2"/>
    <w:rsid w:val="0035256B"/>
    <w:rsid w:val="00352707"/>
    <w:rsid w:val="00352D19"/>
    <w:rsid w:val="00353ABF"/>
    <w:rsid w:val="00354D74"/>
    <w:rsid w:val="003554D6"/>
    <w:rsid w:val="00355752"/>
    <w:rsid w:val="00355BC5"/>
    <w:rsid w:val="00355DAE"/>
    <w:rsid w:val="00355E0E"/>
    <w:rsid w:val="00356151"/>
    <w:rsid w:val="003563F4"/>
    <w:rsid w:val="00356456"/>
    <w:rsid w:val="003566A5"/>
    <w:rsid w:val="003569B8"/>
    <w:rsid w:val="00357355"/>
    <w:rsid w:val="00357508"/>
    <w:rsid w:val="00357538"/>
    <w:rsid w:val="00357CF7"/>
    <w:rsid w:val="003605F2"/>
    <w:rsid w:val="003606BE"/>
    <w:rsid w:val="003607D0"/>
    <w:rsid w:val="00360C20"/>
    <w:rsid w:val="003619BD"/>
    <w:rsid w:val="003619CE"/>
    <w:rsid w:val="00361A9F"/>
    <w:rsid w:val="0036202A"/>
    <w:rsid w:val="0036223C"/>
    <w:rsid w:val="00362579"/>
    <w:rsid w:val="00362587"/>
    <w:rsid w:val="003626EC"/>
    <w:rsid w:val="003627A8"/>
    <w:rsid w:val="00362C7E"/>
    <w:rsid w:val="00362E4E"/>
    <w:rsid w:val="00363343"/>
    <w:rsid w:val="00363473"/>
    <w:rsid w:val="003634BD"/>
    <w:rsid w:val="00363E59"/>
    <w:rsid w:val="00363F82"/>
    <w:rsid w:val="00364836"/>
    <w:rsid w:val="003648B6"/>
    <w:rsid w:val="00366A1A"/>
    <w:rsid w:val="003678BE"/>
    <w:rsid w:val="00367C43"/>
    <w:rsid w:val="00367E31"/>
    <w:rsid w:val="00367E98"/>
    <w:rsid w:val="00370043"/>
    <w:rsid w:val="0037007E"/>
    <w:rsid w:val="00370BC1"/>
    <w:rsid w:val="00370BC8"/>
    <w:rsid w:val="00370C6C"/>
    <w:rsid w:val="00370D3F"/>
    <w:rsid w:val="00370D87"/>
    <w:rsid w:val="00370E83"/>
    <w:rsid w:val="003713D4"/>
    <w:rsid w:val="00371408"/>
    <w:rsid w:val="0037186E"/>
    <w:rsid w:val="00371F0C"/>
    <w:rsid w:val="0037255D"/>
    <w:rsid w:val="00372AB3"/>
    <w:rsid w:val="00372DB9"/>
    <w:rsid w:val="00373C35"/>
    <w:rsid w:val="00374082"/>
    <w:rsid w:val="00374755"/>
    <w:rsid w:val="00374F02"/>
    <w:rsid w:val="003754FE"/>
    <w:rsid w:val="0037580F"/>
    <w:rsid w:val="00376786"/>
    <w:rsid w:val="00376B09"/>
    <w:rsid w:val="003770EF"/>
    <w:rsid w:val="00377610"/>
    <w:rsid w:val="003777DC"/>
    <w:rsid w:val="003779B8"/>
    <w:rsid w:val="003779F3"/>
    <w:rsid w:val="00377C39"/>
    <w:rsid w:val="0038019B"/>
    <w:rsid w:val="00380387"/>
    <w:rsid w:val="003806D3"/>
    <w:rsid w:val="00380D1A"/>
    <w:rsid w:val="00381439"/>
    <w:rsid w:val="003814CE"/>
    <w:rsid w:val="00381A39"/>
    <w:rsid w:val="00381E97"/>
    <w:rsid w:val="00381ED9"/>
    <w:rsid w:val="003825C7"/>
    <w:rsid w:val="003829D0"/>
    <w:rsid w:val="00382C65"/>
    <w:rsid w:val="00382CA0"/>
    <w:rsid w:val="00383037"/>
    <w:rsid w:val="00384341"/>
    <w:rsid w:val="00384555"/>
    <w:rsid w:val="00384AE3"/>
    <w:rsid w:val="00384C62"/>
    <w:rsid w:val="003852D9"/>
    <w:rsid w:val="003855F9"/>
    <w:rsid w:val="00385DCA"/>
    <w:rsid w:val="00386161"/>
    <w:rsid w:val="00386529"/>
    <w:rsid w:val="00386C69"/>
    <w:rsid w:val="00386D82"/>
    <w:rsid w:val="00387033"/>
    <w:rsid w:val="003870B5"/>
    <w:rsid w:val="00387BDB"/>
    <w:rsid w:val="00387C7F"/>
    <w:rsid w:val="00387D7D"/>
    <w:rsid w:val="00387F7D"/>
    <w:rsid w:val="003908D0"/>
    <w:rsid w:val="003909B9"/>
    <w:rsid w:val="00390C8E"/>
    <w:rsid w:val="00390FE2"/>
    <w:rsid w:val="00391160"/>
    <w:rsid w:val="003911D4"/>
    <w:rsid w:val="00391365"/>
    <w:rsid w:val="003914CA"/>
    <w:rsid w:val="00391866"/>
    <w:rsid w:val="003927F9"/>
    <w:rsid w:val="00392FA6"/>
    <w:rsid w:val="003930A1"/>
    <w:rsid w:val="00393614"/>
    <w:rsid w:val="003945F9"/>
    <w:rsid w:val="003946C0"/>
    <w:rsid w:val="003951A4"/>
    <w:rsid w:val="0039586B"/>
    <w:rsid w:val="00395DF9"/>
    <w:rsid w:val="0039643C"/>
    <w:rsid w:val="003966C7"/>
    <w:rsid w:val="00396874"/>
    <w:rsid w:val="00396C65"/>
    <w:rsid w:val="00396DB0"/>
    <w:rsid w:val="00397222"/>
    <w:rsid w:val="003976CE"/>
    <w:rsid w:val="00397842"/>
    <w:rsid w:val="003979B0"/>
    <w:rsid w:val="00397B84"/>
    <w:rsid w:val="003A0062"/>
    <w:rsid w:val="003A012B"/>
    <w:rsid w:val="003A0248"/>
    <w:rsid w:val="003A081B"/>
    <w:rsid w:val="003A0A88"/>
    <w:rsid w:val="003A18E1"/>
    <w:rsid w:val="003A238A"/>
    <w:rsid w:val="003A2397"/>
    <w:rsid w:val="003A2468"/>
    <w:rsid w:val="003A26BE"/>
    <w:rsid w:val="003A2B31"/>
    <w:rsid w:val="003A2CB3"/>
    <w:rsid w:val="003A3D58"/>
    <w:rsid w:val="003A3FB4"/>
    <w:rsid w:val="003A435E"/>
    <w:rsid w:val="003A49D0"/>
    <w:rsid w:val="003A4ADF"/>
    <w:rsid w:val="003A64A9"/>
    <w:rsid w:val="003A674A"/>
    <w:rsid w:val="003A6EA4"/>
    <w:rsid w:val="003A728C"/>
    <w:rsid w:val="003A739F"/>
    <w:rsid w:val="003A7FC2"/>
    <w:rsid w:val="003B006D"/>
    <w:rsid w:val="003B080A"/>
    <w:rsid w:val="003B0E33"/>
    <w:rsid w:val="003B10C4"/>
    <w:rsid w:val="003B1E93"/>
    <w:rsid w:val="003B211F"/>
    <w:rsid w:val="003B22F9"/>
    <w:rsid w:val="003B24F8"/>
    <w:rsid w:val="003B26FD"/>
    <w:rsid w:val="003B299C"/>
    <w:rsid w:val="003B2C9E"/>
    <w:rsid w:val="003B3019"/>
    <w:rsid w:val="003B3E34"/>
    <w:rsid w:val="003B4EE0"/>
    <w:rsid w:val="003B5289"/>
    <w:rsid w:val="003B537E"/>
    <w:rsid w:val="003B54A2"/>
    <w:rsid w:val="003B58C2"/>
    <w:rsid w:val="003B5C8A"/>
    <w:rsid w:val="003B7012"/>
    <w:rsid w:val="003B73D0"/>
    <w:rsid w:val="003B7CDB"/>
    <w:rsid w:val="003B7F83"/>
    <w:rsid w:val="003C06E9"/>
    <w:rsid w:val="003C0B7D"/>
    <w:rsid w:val="003C105D"/>
    <w:rsid w:val="003C109F"/>
    <w:rsid w:val="003C1235"/>
    <w:rsid w:val="003C160A"/>
    <w:rsid w:val="003C16FD"/>
    <w:rsid w:val="003C19D5"/>
    <w:rsid w:val="003C1BE5"/>
    <w:rsid w:val="003C1F05"/>
    <w:rsid w:val="003C22E8"/>
    <w:rsid w:val="003C23B0"/>
    <w:rsid w:val="003C247D"/>
    <w:rsid w:val="003C299A"/>
    <w:rsid w:val="003C2E93"/>
    <w:rsid w:val="003C3489"/>
    <w:rsid w:val="003C435D"/>
    <w:rsid w:val="003C43FF"/>
    <w:rsid w:val="003C5362"/>
    <w:rsid w:val="003C57CE"/>
    <w:rsid w:val="003C764D"/>
    <w:rsid w:val="003D05A8"/>
    <w:rsid w:val="003D0811"/>
    <w:rsid w:val="003D1B33"/>
    <w:rsid w:val="003D1FEF"/>
    <w:rsid w:val="003D2BB6"/>
    <w:rsid w:val="003D34EB"/>
    <w:rsid w:val="003D34F3"/>
    <w:rsid w:val="003D3A68"/>
    <w:rsid w:val="003D3E7F"/>
    <w:rsid w:val="003D41C6"/>
    <w:rsid w:val="003D4367"/>
    <w:rsid w:val="003D47DA"/>
    <w:rsid w:val="003D4A8A"/>
    <w:rsid w:val="003D4D53"/>
    <w:rsid w:val="003D520B"/>
    <w:rsid w:val="003D52A8"/>
    <w:rsid w:val="003D539F"/>
    <w:rsid w:val="003D5CA9"/>
    <w:rsid w:val="003D5E45"/>
    <w:rsid w:val="003D6116"/>
    <w:rsid w:val="003D6283"/>
    <w:rsid w:val="003D66C2"/>
    <w:rsid w:val="003D6A2D"/>
    <w:rsid w:val="003D6F50"/>
    <w:rsid w:val="003D6FCE"/>
    <w:rsid w:val="003D7992"/>
    <w:rsid w:val="003D7D66"/>
    <w:rsid w:val="003E0B46"/>
    <w:rsid w:val="003E0DE2"/>
    <w:rsid w:val="003E178D"/>
    <w:rsid w:val="003E19B0"/>
    <w:rsid w:val="003E1D1E"/>
    <w:rsid w:val="003E1DE0"/>
    <w:rsid w:val="003E1E8E"/>
    <w:rsid w:val="003E1F39"/>
    <w:rsid w:val="003E2383"/>
    <w:rsid w:val="003E2427"/>
    <w:rsid w:val="003E24FB"/>
    <w:rsid w:val="003E2786"/>
    <w:rsid w:val="003E2CA0"/>
    <w:rsid w:val="003E2DEA"/>
    <w:rsid w:val="003E3731"/>
    <w:rsid w:val="003E386E"/>
    <w:rsid w:val="003E3C01"/>
    <w:rsid w:val="003E4228"/>
    <w:rsid w:val="003E4FF7"/>
    <w:rsid w:val="003E52D8"/>
    <w:rsid w:val="003E5407"/>
    <w:rsid w:val="003E5461"/>
    <w:rsid w:val="003E59C8"/>
    <w:rsid w:val="003E5F37"/>
    <w:rsid w:val="003E6A82"/>
    <w:rsid w:val="003E6EF5"/>
    <w:rsid w:val="003E77C9"/>
    <w:rsid w:val="003F0AEF"/>
    <w:rsid w:val="003F0EC4"/>
    <w:rsid w:val="003F12F5"/>
    <w:rsid w:val="003F146B"/>
    <w:rsid w:val="003F157C"/>
    <w:rsid w:val="003F18B9"/>
    <w:rsid w:val="003F1C0F"/>
    <w:rsid w:val="003F2594"/>
    <w:rsid w:val="003F25DC"/>
    <w:rsid w:val="003F269A"/>
    <w:rsid w:val="003F2B2C"/>
    <w:rsid w:val="003F2D13"/>
    <w:rsid w:val="003F2EB2"/>
    <w:rsid w:val="003F2FB9"/>
    <w:rsid w:val="003F3316"/>
    <w:rsid w:val="003F3757"/>
    <w:rsid w:val="003F3D6B"/>
    <w:rsid w:val="003F40F3"/>
    <w:rsid w:val="003F4554"/>
    <w:rsid w:val="003F465D"/>
    <w:rsid w:val="003F491E"/>
    <w:rsid w:val="003F536D"/>
    <w:rsid w:val="003F5CD2"/>
    <w:rsid w:val="003F6C5B"/>
    <w:rsid w:val="003F6EDF"/>
    <w:rsid w:val="003F74B4"/>
    <w:rsid w:val="003F79C5"/>
    <w:rsid w:val="00400448"/>
    <w:rsid w:val="004004DD"/>
    <w:rsid w:val="004007F6"/>
    <w:rsid w:val="00400A4A"/>
    <w:rsid w:val="00400A95"/>
    <w:rsid w:val="00400EA0"/>
    <w:rsid w:val="00401427"/>
    <w:rsid w:val="00401C3C"/>
    <w:rsid w:val="00401E38"/>
    <w:rsid w:val="004021E7"/>
    <w:rsid w:val="0040263B"/>
    <w:rsid w:val="00402887"/>
    <w:rsid w:val="00403024"/>
    <w:rsid w:val="004030F9"/>
    <w:rsid w:val="004031B5"/>
    <w:rsid w:val="004033B2"/>
    <w:rsid w:val="00403C7A"/>
    <w:rsid w:val="00404B13"/>
    <w:rsid w:val="00404B63"/>
    <w:rsid w:val="00404B91"/>
    <w:rsid w:val="00404CBB"/>
    <w:rsid w:val="00406766"/>
    <w:rsid w:val="00406C01"/>
    <w:rsid w:val="0040706F"/>
    <w:rsid w:val="0040787F"/>
    <w:rsid w:val="0041070C"/>
    <w:rsid w:val="0041097A"/>
    <w:rsid w:val="00410EC1"/>
    <w:rsid w:val="00410EF1"/>
    <w:rsid w:val="004115AF"/>
    <w:rsid w:val="0041188A"/>
    <w:rsid w:val="00412901"/>
    <w:rsid w:val="00412AEA"/>
    <w:rsid w:val="00412BBE"/>
    <w:rsid w:val="00412F00"/>
    <w:rsid w:val="00413C17"/>
    <w:rsid w:val="00413F74"/>
    <w:rsid w:val="00414739"/>
    <w:rsid w:val="00414BF2"/>
    <w:rsid w:val="00414C23"/>
    <w:rsid w:val="00414E3D"/>
    <w:rsid w:val="00414F78"/>
    <w:rsid w:val="00415189"/>
    <w:rsid w:val="0041524D"/>
    <w:rsid w:val="00415957"/>
    <w:rsid w:val="00415A36"/>
    <w:rsid w:val="00416D47"/>
    <w:rsid w:val="00416F43"/>
    <w:rsid w:val="004171DB"/>
    <w:rsid w:val="004171E9"/>
    <w:rsid w:val="00417274"/>
    <w:rsid w:val="00417439"/>
    <w:rsid w:val="004200AC"/>
    <w:rsid w:val="004204E5"/>
    <w:rsid w:val="00420537"/>
    <w:rsid w:val="00420A5E"/>
    <w:rsid w:val="00420F3A"/>
    <w:rsid w:val="004216F5"/>
    <w:rsid w:val="004219EE"/>
    <w:rsid w:val="00422121"/>
    <w:rsid w:val="00422778"/>
    <w:rsid w:val="0042278D"/>
    <w:rsid w:val="004228B6"/>
    <w:rsid w:val="00422CE2"/>
    <w:rsid w:val="00423696"/>
    <w:rsid w:val="00423B90"/>
    <w:rsid w:val="00423BA7"/>
    <w:rsid w:val="0042435C"/>
    <w:rsid w:val="0042476A"/>
    <w:rsid w:val="00424B16"/>
    <w:rsid w:val="0042564D"/>
    <w:rsid w:val="00425B7C"/>
    <w:rsid w:val="00425CB8"/>
    <w:rsid w:val="00425EDD"/>
    <w:rsid w:val="0042622A"/>
    <w:rsid w:val="00426536"/>
    <w:rsid w:val="00426964"/>
    <w:rsid w:val="00426F3F"/>
    <w:rsid w:val="00427636"/>
    <w:rsid w:val="00427F4F"/>
    <w:rsid w:val="0043108A"/>
    <w:rsid w:val="00431331"/>
    <w:rsid w:val="00431C21"/>
    <w:rsid w:val="00433588"/>
    <w:rsid w:val="004339E5"/>
    <w:rsid w:val="004341F7"/>
    <w:rsid w:val="0043447A"/>
    <w:rsid w:val="00434AA9"/>
    <w:rsid w:val="00435442"/>
    <w:rsid w:val="00435719"/>
    <w:rsid w:val="00435FCB"/>
    <w:rsid w:val="004360FA"/>
    <w:rsid w:val="00436335"/>
    <w:rsid w:val="004364F1"/>
    <w:rsid w:val="0043658E"/>
    <w:rsid w:val="004368B3"/>
    <w:rsid w:val="00436A58"/>
    <w:rsid w:val="00436F4E"/>
    <w:rsid w:val="004375B0"/>
    <w:rsid w:val="004375BD"/>
    <w:rsid w:val="00440847"/>
    <w:rsid w:val="00440A95"/>
    <w:rsid w:val="00440DC6"/>
    <w:rsid w:val="004410E9"/>
    <w:rsid w:val="00441703"/>
    <w:rsid w:val="00441DF4"/>
    <w:rsid w:val="00441F10"/>
    <w:rsid w:val="00441FBA"/>
    <w:rsid w:val="00442820"/>
    <w:rsid w:val="00442E01"/>
    <w:rsid w:val="004436A8"/>
    <w:rsid w:val="00443C86"/>
    <w:rsid w:val="00444D7C"/>
    <w:rsid w:val="00444F6F"/>
    <w:rsid w:val="00445448"/>
    <w:rsid w:val="00445545"/>
    <w:rsid w:val="00446870"/>
    <w:rsid w:val="00446C04"/>
    <w:rsid w:val="00446CCD"/>
    <w:rsid w:val="00446E71"/>
    <w:rsid w:val="00446FF1"/>
    <w:rsid w:val="004476E5"/>
    <w:rsid w:val="004479E7"/>
    <w:rsid w:val="004501CC"/>
    <w:rsid w:val="004501D6"/>
    <w:rsid w:val="00450467"/>
    <w:rsid w:val="00450C96"/>
    <w:rsid w:val="00450E30"/>
    <w:rsid w:val="00450E84"/>
    <w:rsid w:val="00451850"/>
    <w:rsid w:val="00451C67"/>
    <w:rsid w:val="00451E23"/>
    <w:rsid w:val="00452858"/>
    <w:rsid w:val="00453774"/>
    <w:rsid w:val="00453AB9"/>
    <w:rsid w:val="00453DD8"/>
    <w:rsid w:val="00454807"/>
    <w:rsid w:val="00454E46"/>
    <w:rsid w:val="0045585C"/>
    <w:rsid w:val="00456C78"/>
    <w:rsid w:val="00456E5F"/>
    <w:rsid w:val="00456F96"/>
    <w:rsid w:val="00457196"/>
    <w:rsid w:val="00457366"/>
    <w:rsid w:val="00457530"/>
    <w:rsid w:val="004578E7"/>
    <w:rsid w:val="0045795A"/>
    <w:rsid w:val="00457A32"/>
    <w:rsid w:val="0046002D"/>
    <w:rsid w:val="004600BC"/>
    <w:rsid w:val="00460ADA"/>
    <w:rsid w:val="00461101"/>
    <w:rsid w:val="00461F85"/>
    <w:rsid w:val="00462557"/>
    <w:rsid w:val="004626A9"/>
    <w:rsid w:val="004626B8"/>
    <w:rsid w:val="00462B76"/>
    <w:rsid w:val="004636B8"/>
    <w:rsid w:val="00463F28"/>
    <w:rsid w:val="004644D4"/>
    <w:rsid w:val="00464842"/>
    <w:rsid w:val="00464856"/>
    <w:rsid w:val="004649DE"/>
    <w:rsid w:val="00464DC3"/>
    <w:rsid w:val="00464F3E"/>
    <w:rsid w:val="004654F5"/>
    <w:rsid w:val="00465874"/>
    <w:rsid w:val="004660A6"/>
    <w:rsid w:val="00466219"/>
    <w:rsid w:val="0046685E"/>
    <w:rsid w:val="0046716C"/>
    <w:rsid w:val="004675B9"/>
    <w:rsid w:val="00467D6F"/>
    <w:rsid w:val="0047014A"/>
    <w:rsid w:val="004708F3"/>
    <w:rsid w:val="00470D85"/>
    <w:rsid w:val="00470EA2"/>
    <w:rsid w:val="004718C4"/>
    <w:rsid w:val="0047268D"/>
    <w:rsid w:val="00472B0D"/>
    <w:rsid w:val="00472DBD"/>
    <w:rsid w:val="00472E0F"/>
    <w:rsid w:val="0047351E"/>
    <w:rsid w:val="00473765"/>
    <w:rsid w:val="00473AB1"/>
    <w:rsid w:val="00473C0E"/>
    <w:rsid w:val="004744A6"/>
    <w:rsid w:val="0047471F"/>
    <w:rsid w:val="004748E8"/>
    <w:rsid w:val="004749B0"/>
    <w:rsid w:val="004751C5"/>
    <w:rsid w:val="004764C1"/>
    <w:rsid w:val="004766F8"/>
    <w:rsid w:val="00477985"/>
    <w:rsid w:val="0048014E"/>
    <w:rsid w:val="0048041D"/>
    <w:rsid w:val="00480495"/>
    <w:rsid w:val="0048049B"/>
    <w:rsid w:val="00480B82"/>
    <w:rsid w:val="00480CAA"/>
    <w:rsid w:val="00481546"/>
    <w:rsid w:val="0048166F"/>
    <w:rsid w:val="004819E2"/>
    <w:rsid w:val="00481B26"/>
    <w:rsid w:val="00481D96"/>
    <w:rsid w:val="00481ED1"/>
    <w:rsid w:val="00482425"/>
    <w:rsid w:val="00482D44"/>
    <w:rsid w:val="00483016"/>
    <w:rsid w:val="00484475"/>
    <w:rsid w:val="00484E4A"/>
    <w:rsid w:val="00485283"/>
    <w:rsid w:val="00485467"/>
    <w:rsid w:val="00486C1A"/>
    <w:rsid w:val="00487243"/>
    <w:rsid w:val="004874D1"/>
    <w:rsid w:val="004875D0"/>
    <w:rsid w:val="004900BF"/>
    <w:rsid w:val="004901FE"/>
    <w:rsid w:val="00490438"/>
    <w:rsid w:val="00490F5A"/>
    <w:rsid w:val="00490F5E"/>
    <w:rsid w:val="0049124E"/>
    <w:rsid w:val="004916A6"/>
    <w:rsid w:val="004918CA"/>
    <w:rsid w:val="004919FD"/>
    <w:rsid w:val="00491D51"/>
    <w:rsid w:val="00491DA3"/>
    <w:rsid w:val="00491E7C"/>
    <w:rsid w:val="004923D5"/>
    <w:rsid w:val="00492C5A"/>
    <w:rsid w:val="00492EE8"/>
    <w:rsid w:val="00493031"/>
    <w:rsid w:val="00494293"/>
    <w:rsid w:val="00494355"/>
    <w:rsid w:val="004944A3"/>
    <w:rsid w:val="00494634"/>
    <w:rsid w:val="00494ABA"/>
    <w:rsid w:val="00494B5E"/>
    <w:rsid w:val="0049502D"/>
    <w:rsid w:val="00495053"/>
    <w:rsid w:val="004950BF"/>
    <w:rsid w:val="00495121"/>
    <w:rsid w:val="004951F3"/>
    <w:rsid w:val="004954F7"/>
    <w:rsid w:val="004959C7"/>
    <w:rsid w:val="00495EE5"/>
    <w:rsid w:val="00495F25"/>
    <w:rsid w:val="0049604B"/>
    <w:rsid w:val="004960B7"/>
    <w:rsid w:val="004966B6"/>
    <w:rsid w:val="0049673F"/>
    <w:rsid w:val="00496822"/>
    <w:rsid w:val="004969B1"/>
    <w:rsid w:val="0049723F"/>
    <w:rsid w:val="004A13F8"/>
    <w:rsid w:val="004A19E0"/>
    <w:rsid w:val="004A1A22"/>
    <w:rsid w:val="004A1FD2"/>
    <w:rsid w:val="004A2126"/>
    <w:rsid w:val="004A2FF5"/>
    <w:rsid w:val="004A35EE"/>
    <w:rsid w:val="004A3856"/>
    <w:rsid w:val="004A3CDC"/>
    <w:rsid w:val="004A4F4C"/>
    <w:rsid w:val="004A509D"/>
    <w:rsid w:val="004A51E1"/>
    <w:rsid w:val="004A576B"/>
    <w:rsid w:val="004A5AF5"/>
    <w:rsid w:val="004A5C99"/>
    <w:rsid w:val="004A5D2C"/>
    <w:rsid w:val="004A652B"/>
    <w:rsid w:val="004A67FF"/>
    <w:rsid w:val="004A74F6"/>
    <w:rsid w:val="004A7938"/>
    <w:rsid w:val="004A7C61"/>
    <w:rsid w:val="004B0A99"/>
    <w:rsid w:val="004B0CED"/>
    <w:rsid w:val="004B10D0"/>
    <w:rsid w:val="004B121D"/>
    <w:rsid w:val="004B12CF"/>
    <w:rsid w:val="004B13D7"/>
    <w:rsid w:val="004B245E"/>
    <w:rsid w:val="004B27F1"/>
    <w:rsid w:val="004B34CA"/>
    <w:rsid w:val="004B39F2"/>
    <w:rsid w:val="004B3D1A"/>
    <w:rsid w:val="004B414E"/>
    <w:rsid w:val="004B4B8D"/>
    <w:rsid w:val="004B4BEC"/>
    <w:rsid w:val="004B5699"/>
    <w:rsid w:val="004B56DC"/>
    <w:rsid w:val="004B5834"/>
    <w:rsid w:val="004B5E73"/>
    <w:rsid w:val="004B5F30"/>
    <w:rsid w:val="004B609A"/>
    <w:rsid w:val="004B62F2"/>
    <w:rsid w:val="004B642A"/>
    <w:rsid w:val="004B6901"/>
    <w:rsid w:val="004B6D26"/>
    <w:rsid w:val="004B6ED1"/>
    <w:rsid w:val="004B6FA1"/>
    <w:rsid w:val="004B70E0"/>
    <w:rsid w:val="004B73C7"/>
    <w:rsid w:val="004B7632"/>
    <w:rsid w:val="004B7F6B"/>
    <w:rsid w:val="004C02B9"/>
    <w:rsid w:val="004C0F47"/>
    <w:rsid w:val="004C1B89"/>
    <w:rsid w:val="004C1ED2"/>
    <w:rsid w:val="004C2139"/>
    <w:rsid w:val="004C2304"/>
    <w:rsid w:val="004C25FD"/>
    <w:rsid w:val="004C2BE9"/>
    <w:rsid w:val="004C2F79"/>
    <w:rsid w:val="004C3B29"/>
    <w:rsid w:val="004C40D6"/>
    <w:rsid w:val="004C41C0"/>
    <w:rsid w:val="004C427B"/>
    <w:rsid w:val="004C42BB"/>
    <w:rsid w:val="004C4840"/>
    <w:rsid w:val="004C4E9C"/>
    <w:rsid w:val="004C524F"/>
    <w:rsid w:val="004C5CB2"/>
    <w:rsid w:val="004C5F9F"/>
    <w:rsid w:val="004C676A"/>
    <w:rsid w:val="004C6878"/>
    <w:rsid w:val="004C6A21"/>
    <w:rsid w:val="004C6A78"/>
    <w:rsid w:val="004C6B23"/>
    <w:rsid w:val="004C7C71"/>
    <w:rsid w:val="004C7EC6"/>
    <w:rsid w:val="004D0179"/>
    <w:rsid w:val="004D0451"/>
    <w:rsid w:val="004D04C8"/>
    <w:rsid w:val="004D0AE7"/>
    <w:rsid w:val="004D0B63"/>
    <w:rsid w:val="004D0EF2"/>
    <w:rsid w:val="004D0FD2"/>
    <w:rsid w:val="004D1AD2"/>
    <w:rsid w:val="004D1E78"/>
    <w:rsid w:val="004D1F4A"/>
    <w:rsid w:val="004D31BB"/>
    <w:rsid w:val="004D3210"/>
    <w:rsid w:val="004D3217"/>
    <w:rsid w:val="004D3248"/>
    <w:rsid w:val="004D362D"/>
    <w:rsid w:val="004D39DF"/>
    <w:rsid w:val="004D3A30"/>
    <w:rsid w:val="004D4273"/>
    <w:rsid w:val="004D4CFE"/>
    <w:rsid w:val="004D4FA7"/>
    <w:rsid w:val="004D506E"/>
    <w:rsid w:val="004D53B6"/>
    <w:rsid w:val="004D5876"/>
    <w:rsid w:val="004D59B9"/>
    <w:rsid w:val="004D5B1F"/>
    <w:rsid w:val="004D5EEF"/>
    <w:rsid w:val="004D67B3"/>
    <w:rsid w:val="004D6F4C"/>
    <w:rsid w:val="004D7E7C"/>
    <w:rsid w:val="004E016C"/>
    <w:rsid w:val="004E02C4"/>
    <w:rsid w:val="004E083A"/>
    <w:rsid w:val="004E0C8E"/>
    <w:rsid w:val="004E1326"/>
    <w:rsid w:val="004E1787"/>
    <w:rsid w:val="004E1D90"/>
    <w:rsid w:val="004E29A3"/>
    <w:rsid w:val="004E2CBB"/>
    <w:rsid w:val="004E3671"/>
    <w:rsid w:val="004E375C"/>
    <w:rsid w:val="004E38F2"/>
    <w:rsid w:val="004E398A"/>
    <w:rsid w:val="004E3A0C"/>
    <w:rsid w:val="004E47F0"/>
    <w:rsid w:val="004E4EAB"/>
    <w:rsid w:val="004E5199"/>
    <w:rsid w:val="004E5A1B"/>
    <w:rsid w:val="004E6551"/>
    <w:rsid w:val="004E66A2"/>
    <w:rsid w:val="004E7141"/>
    <w:rsid w:val="004E74E1"/>
    <w:rsid w:val="004E75A9"/>
    <w:rsid w:val="004E79A0"/>
    <w:rsid w:val="004E7A8E"/>
    <w:rsid w:val="004F0BA4"/>
    <w:rsid w:val="004F17B4"/>
    <w:rsid w:val="004F1A98"/>
    <w:rsid w:val="004F1E34"/>
    <w:rsid w:val="004F247F"/>
    <w:rsid w:val="004F28A3"/>
    <w:rsid w:val="004F40DF"/>
    <w:rsid w:val="004F50E6"/>
    <w:rsid w:val="004F524F"/>
    <w:rsid w:val="004F5EE7"/>
    <w:rsid w:val="004F607A"/>
    <w:rsid w:val="004F64AE"/>
    <w:rsid w:val="004F6701"/>
    <w:rsid w:val="004F6EA1"/>
    <w:rsid w:val="004F6F96"/>
    <w:rsid w:val="004F73B3"/>
    <w:rsid w:val="004F7423"/>
    <w:rsid w:val="004F7766"/>
    <w:rsid w:val="004F7F63"/>
    <w:rsid w:val="00500A26"/>
    <w:rsid w:val="00500A64"/>
    <w:rsid w:val="00500B26"/>
    <w:rsid w:val="00501195"/>
    <w:rsid w:val="00501367"/>
    <w:rsid w:val="00502379"/>
    <w:rsid w:val="00502577"/>
    <w:rsid w:val="005033CB"/>
    <w:rsid w:val="00503823"/>
    <w:rsid w:val="00503DCA"/>
    <w:rsid w:val="00503E36"/>
    <w:rsid w:val="00503E82"/>
    <w:rsid w:val="00504298"/>
    <w:rsid w:val="00504403"/>
    <w:rsid w:val="00504C34"/>
    <w:rsid w:val="00504F13"/>
    <w:rsid w:val="00505207"/>
    <w:rsid w:val="00505FA4"/>
    <w:rsid w:val="00506A2B"/>
    <w:rsid w:val="00507701"/>
    <w:rsid w:val="00507B42"/>
    <w:rsid w:val="005109EE"/>
    <w:rsid w:val="00510D96"/>
    <w:rsid w:val="0051108B"/>
    <w:rsid w:val="00511A26"/>
    <w:rsid w:val="005131C1"/>
    <w:rsid w:val="005131E8"/>
    <w:rsid w:val="00513D16"/>
    <w:rsid w:val="00514091"/>
    <w:rsid w:val="005142DE"/>
    <w:rsid w:val="0051498A"/>
    <w:rsid w:val="00515023"/>
    <w:rsid w:val="00515341"/>
    <w:rsid w:val="005153A5"/>
    <w:rsid w:val="00515490"/>
    <w:rsid w:val="005154C9"/>
    <w:rsid w:val="0051553D"/>
    <w:rsid w:val="00515B04"/>
    <w:rsid w:val="00515E32"/>
    <w:rsid w:val="00515F4B"/>
    <w:rsid w:val="00515F81"/>
    <w:rsid w:val="00517EAD"/>
    <w:rsid w:val="00517F6A"/>
    <w:rsid w:val="00517F6D"/>
    <w:rsid w:val="00517FF6"/>
    <w:rsid w:val="00520F00"/>
    <w:rsid w:val="0052187F"/>
    <w:rsid w:val="00521F1C"/>
    <w:rsid w:val="00522004"/>
    <w:rsid w:val="00522A39"/>
    <w:rsid w:val="00523F97"/>
    <w:rsid w:val="00524082"/>
    <w:rsid w:val="00524397"/>
    <w:rsid w:val="00524BE9"/>
    <w:rsid w:val="00524CF4"/>
    <w:rsid w:val="00524E4C"/>
    <w:rsid w:val="00524E7F"/>
    <w:rsid w:val="00525023"/>
    <w:rsid w:val="00525067"/>
    <w:rsid w:val="0052531D"/>
    <w:rsid w:val="0052547C"/>
    <w:rsid w:val="00525496"/>
    <w:rsid w:val="00525965"/>
    <w:rsid w:val="00525A5C"/>
    <w:rsid w:val="005264F1"/>
    <w:rsid w:val="005265A5"/>
    <w:rsid w:val="005266D9"/>
    <w:rsid w:val="0052699B"/>
    <w:rsid w:val="005272DA"/>
    <w:rsid w:val="0052745D"/>
    <w:rsid w:val="00530505"/>
    <w:rsid w:val="00530800"/>
    <w:rsid w:val="00530F97"/>
    <w:rsid w:val="005310D8"/>
    <w:rsid w:val="0053118A"/>
    <w:rsid w:val="0053181A"/>
    <w:rsid w:val="00531D8A"/>
    <w:rsid w:val="0053225E"/>
    <w:rsid w:val="00532415"/>
    <w:rsid w:val="00532ADD"/>
    <w:rsid w:val="00532B9A"/>
    <w:rsid w:val="00532ED6"/>
    <w:rsid w:val="0053387B"/>
    <w:rsid w:val="00533A30"/>
    <w:rsid w:val="00533AA8"/>
    <w:rsid w:val="00533E41"/>
    <w:rsid w:val="005342AD"/>
    <w:rsid w:val="00534C0B"/>
    <w:rsid w:val="0053555E"/>
    <w:rsid w:val="00535EE1"/>
    <w:rsid w:val="0053645A"/>
    <w:rsid w:val="005364DC"/>
    <w:rsid w:val="0053657D"/>
    <w:rsid w:val="00537229"/>
    <w:rsid w:val="00537986"/>
    <w:rsid w:val="00537D34"/>
    <w:rsid w:val="00537D6E"/>
    <w:rsid w:val="00537DC6"/>
    <w:rsid w:val="005401CE"/>
    <w:rsid w:val="0054038E"/>
    <w:rsid w:val="0054067A"/>
    <w:rsid w:val="00540B79"/>
    <w:rsid w:val="00540C21"/>
    <w:rsid w:val="00540E70"/>
    <w:rsid w:val="00540FCA"/>
    <w:rsid w:val="005412F8"/>
    <w:rsid w:val="00541562"/>
    <w:rsid w:val="00541F2F"/>
    <w:rsid w:val="00542041"/>
    <w:rsid w:val="0054245A"/>
    <w:rsid w:val="00542546"/>
    <w:rsid w:val="00542967"/>
    <w:rsid w:val="00542A1E"/>
    <w:rsid w:val="00542A3D"/>
    <w:rsid w:val="00542D58"/>
    <w:rsid w:val="0054360B"/>
    <w:rsid w:val="00543788"/>
    <w:rsid w:val="00543AC6"/>
    <w:rsid w:val="00543DDF"/>
    <w:rsid w:val="005446DD"/>
    <w:rsid w:val="00544E80"/>
    <w:rsid w:val="00544F4B"/>
    <w:rsid w:val="00545217"/>
    <w:rsid w:val="00545436"/>
    <w:rsid w:val="0054569D"/>
    <w:rsid w:val="00546434"/>
    <w:rsid w:val="0054675F"/>
    <w:rsid w:val="00546FE3"/>
    <w:rsid w:val="00547036"/>
    <w:rsid w:val="005473FE"/>
    <w:rsid w:val="00547430"/>
    <w:rsid w:val="00547DA6"/>
    <w:rsid w:val="005504C8"/>
    <w:rsid w:val="00550985"/>
    <w:rsid w:val="00550BFD"/>
    <w:rsid w:val="00551310"/>
    <w:rsid w:val="00551357"/>
    <w:rsid w:val="00551DED"/>
    <w:rsid w:val="00551EB9"/>
    <w:rsid w:val="0055223F"/>
    <w:rsid w:val="00552AA8"/>
    <w:rsid w:val="005534C2"/>
    <w:rsid w:val="00553C61"/>
    <w:rsid w:val="00553D1A"/>
    <w:rsid w:val="00553ECC"/>
    <w:rsid w:val="005541A5"/>
    <w:rsid w:val="00554977"/>
    <w:rsid w:val="005563DB"/>
    <w:rsid w:val="00556401"/>
    <w:rsid w:val="00556F2E"/>
    <w:rsid w:val="005575FC"/>
    <w:rsid w:val="00557752"/>
    <w:rsid w:val="005578A8"/>
    <w:rsid w:val="005578D6"/>
    <w:rsid w:val="00560263"/>
    <w:rsid w:val="0056056A"/>
    <w:rsid w:val="00561257"/>
    <w:rsid w:val="00561670"/>
    <w:rsid w:val="00561865"/>
    <w:rsid w:val="00562CEC"/>
    <w:rsid w:val="00562FA0"/>
    <w:rsid w:val="00562FAB"/>
    <w:rsid w:val="00563026"/>
    <w:rsid w:val="005631D7"/>
    <w:rsid w:val="00563428"/>
    <w:rsid w:val="00563A9C"/>
    <w:rsid w:val="00563B8E"/>
    <w:rsid w:val="00563DF1"/>
    <w:rsid w:val="00563F9F"/>
    <w:rsid w:val="005649A9"/>
    <w:rsid w:val="00564C74"/>
    <w:rsid w:val="00564E8F"/>
    <w:rsid w:val="005653CC"/>
    <w:rsid w:val="00565536"/>
    <w:rsid w:val="00565650"/>
    <w:rsid w:val="005656B3"/>
    <w:rsid w:val="005656BD"/>
    <w:rsid w:val="005660BA"/>
    <w:rsid w:val="005667B7"/>
    <w:rsid w:val="00567120"/>
    <w:rsid w:val="00567165"/>
    <w:rsid w:val="005672FE"/>
    <w:rsid w:val="00567B0C"/>
    <w:rsid w:val="00570E77"/>
    <w:rsid w:val="005715C2"/>
    <w:rsid w:val="00571AEA"/>
    <w:rsid w:val="00571EAC"/>
    <w:rsid w:val="00571F04"/>
    <w:rsid w:val="00572A8D"/>
    <w:rsid w:val="00572BD1"/>
    <w:rsid w:val="00573E77"/>
    <w:rsid w:val="00574A92"/>
    <w:rsid w:val="00574BC7"/>
    <w:rsid w:val="0057522A"/>
    <w:rsid w:val="00576359"/>
    <w:rsid w:val="005769F0"/>
    <w:rsid w:val="005777B1"/>
    <w:rsid w:val="00577E5C"/>
    <w:rsid w:val="00580032"/>
    <w:rsid w:val="0058066E"/>
    <w:rsid w:val="00580676"/>
    <w:rsid w:val="00580B66"/>
    <w:rsid w:val="00580FE1"/>
    <w:rsid w:val="00581806"/>
    <w:rsid w:val="00581C52"/>
    <w:rsid w:val="005825E3"/>
    <w:rsid w:val="00582814"/>
    <w:rsid w:val="005829AC"/>
    <w:rsid w:val="00582D0B"/>
    <w:rsid w:val="00582E25"/>
    <w:rsid w:val="00582FC3"/>
    <w:rsid w:val="00583263"/>
    <w:rsid w:val="00583267"/>
    <w:rsid w:val="005832EC"/>
    <w:rsid w:val="00583416"/>
    <w:rsid w:val="00583756"/>
    <w:rsid w:val="00583BED"/>
    <w:rsid w:val="005847B0"/>
    <w:rsid w:val="00584AAB"/>
    <w:rsid w:val="00584ABA"/>
    <w:rsid w:val="00584E22"/>
    <w:rsid w:val="00584E93"/>
    <w:rsid w:val="00585065"/>
    <w:rsid w:val="005861B3"/>
    <w:rsid w:val="00586232"/>
    <w:rsid w:val="00586600"/>
    <w:rsid w:val="00586BFC"/>
    <w:rsid w:val="005871D0"/>
    <w:rsid w:val="00587772"/>
    <w:rsid w:val="005879A9"/>
    <w:rsid w:val="00587E8D"/>
    <w:rsid w:val="00590051"/>
    <w:rsid w:val="005902EF"/>
    <w:rsid w:val="0059068E"/>
    <w:rsid w:val="00590B28"/>
    <w:rsid w:val="00592802"/>
    <w:rsid w:val="00593A1A"/>
    <w:rsid w:val="00593A49"/>
    <w:rsid w:val="00593CD4"/>
    <w:rsid w:val="005940CD"/>
    <w:rsid w:val="005944EE"/>
    <w:rsid w:val="005945F4"/>
    <w:rsid w:val="00595320"/>
    <w:rsid w:val="00596110"/>
    <w:rsid w:val="005961E8"/>
    <w:rsid w:val="0059630A"/>
    <w:rsid w:val="00596693"/>
    <w:rsid w:val="00596C25"/>
    <w:rsid w:val="00596EFC"/>
    <w:rsid w:val="0059721A"/>
    <w:rsid w:val="0059795E"/>
    <w:rsid w:val="00597AE7"/>
    <w:rsid w:val="00597D4B"/>
    <w:rsid w:val="00597FF9"/>
    <w:rsid w:val="005A0186"/>
    <w:rsid w:val="005A0260"/>
    <w:rsid w:val="005A02B7"/>
    <w:rsid w:val="005A0322"/>
    <w:rsid w:val="005A048C"/>
    <w:rsid w:val="005A0CE5"/>
    <w:rsid w:val="005A10BE"/>
    <w:rsid w:val="005A1291"/>
    <w:rsid w:val="005A1BC6"/>
    <w:rsid w:val="005A1C2B"/>
    <w:rsid w:val="005A2304"/>
    <w:rsid w:val="005A230B"/>
    <w:rsid w:val="005A28AE"/>
    <w:rsid w:val="005A2F39"/>
    <w:rsid w:val="005A320C"/>
    <w:rsid w:val="005A335A"/>
    <w:rsid w:val="005A3BD8"/>
    <w:rsid w:val="005A3D19"/>
    <w:rsid w:val="005A3E1C"/>
    <w:rsid w:val="005A3EBB"/>
    <w:rsid w:val="005A46CA"/>
    <w:rsid w:val="005A477F"/>
    <w:rsid w:val="005A49D4"/>
    <w:rsid w:val="005A4F40"/>
    <w:rsid w:val="005A5AEA"/>
    <w:rsid w:val="005A63AC"/>
    <w:rsid w:val="005A655B"/>
    <w:rsid w:val="005A662B"/>
    <w:rsid w:val="005A675D"/>
    <w:rsid w:val="005A69D9"/>
    <w:rsid w:val="005A6C39"/>
    <w:rsid w:val="005A7506"/>
    <w:rsid w:val="005A7823"/>
    <w:rsid w:val="005A7916"/>
    <w:rsid w:val="005A7D3A"/>
    <w:rsid w:val="005A7EF9"/>
    <w:rsid w:val="005A7F6C"/>
    <w:rsid w:val="005B06D2"/>
    <w:rsid w:val="005B0CFC"/>
    <w:rsid w:val="005B0FDF"/>
    <w:rsid w:val="005B1AE2"/>
    <w:rsid w:val="005B1DA6"/>
    <w:rsid w:val="005B1DB6"/>
    <w:rsid w:val="005B1DDF"/>
    <w:rsid w:val="005B1E34"/>
    <w:rsid w:val="005B28C3"/>
    <w:rsid w:val="005B29E3"/>
    <w:rsid w:val="005B330A"/>
    <w:rsid w:val="005B35B4"/>
    <w:rsid w:val="005B379A"/>
    <w:rsid w:val="005B3E94"/>
    <w:rsid w:val="005B56B6"/>
    <w:rsid w:val="005B5FBF"/>
    <w:rsid w:val="005B5FE6"/>
    <w:rsid w:val="005B6287"/>
    <w:rsid w:val="005B62CE"/>
    <w:rsid w:val="005B6322"/>
    <w:rsid w:val="005B6C70"/>
    <w:rsid w:val="005B7092"/>
    <w:rsid w:val="005B766E"/>
    <w:rsid w:val="005B7AE9"/>
    <w:rsid w:val="005B7D97"/>
    <w:rsid w:val="005C08C4"/>
    <w:rsid w:val="005C0CE4"/>
    <w:rsid w:val="005C0E3A"/>
    <w:rsid w:val="005C1538"/>
    <w:rsid w:val="005C18E6"/>
    <w:rsid w:val="005C19E1"/>
    <w:rsid w:val="005C1B6E"/>
    <w:rsid w:val="005C1FA2"/>
    <w:rsid w:val="005C2424"/>
    <w:rsid w:val="005C2572"/>
    <w:rsid w:val="005C28A8"/>
    <w:rsid w:val="005C3A1E"/>
    <w:rsid w:val="005C3A5F"/>
    <w:rsid w:val="005C4087"/>
    <w:rsid w:val="005C42F4"/>
    <w:rsid w:val="005C4370"/>
    <w:rsid w:val="005C4D82"/>
    <w:rsid w:val="005C51ED"/>
    <w:rsid w:val="005C543A"/>
    <w:rsid w:val="005C5F9B"/>
    <w:rsid w:val="005C6A0B"/>
    <w:rsid w:val="005C6CB5"/>
    <w:rsid w:val="005C6EC9"/>
    <w:rsid w:val="005C6F72"/>
    <w:rsid w:val="005C7489"/>
    <w:rsid w:val="005C77B1"/>
    <w:rsid w:val="005C78CA"/>
    <w:rsid w:val="005C7970"/>
    <w:rsid w:val="005D0112"/>
    <w:rsid w:val="005D04FA"/>
    <w:rsid w:val="005D0D2A"/>
    <w:rsid w:val="005D0F8E"/>
    <w:rsid w:val="005D15DA"/>
    <w:rsid w:val="005D1A91"/>
    <w:rsid w:val="005D1AA4"/>
    <w:rsid w:val="005D1AE8"/>
    <w:rsid w:val="005D1CED"/>
    <w:rsid w:val="005D2B0A"/>
    <w:rsid w:val="005D2E51"/>
    <w:rsid w:val="005D3510"/>
    <w:rsid w:val="005D36DA"/>
    <w:rsid w:val="005D41E5"/>
    <w:rsid w:val="005D5414"/>
    <w:rsid w:val="005D54F9"/>
    <w:rsid w:val="005D579D"/>
    <w:rsid w:val="005D5C81"/>
    <w:rsid w:val="005D60FB"/>
    <w:rsid w:val="005D6408"/>
    <w:rsid w:val="005D6CF3"/>
    <w:rsid w:val="005D6E28"/>
    <w:rsid w:val="005D7425"/>
    <w:rsid w:val="005E06B9"/>
    <w:rsid w:val="005E095A"/>
    <w:rsid w:val="005E0D38"/>
    <w:rsid w:val="005E10DC"/>
    <w:rsid w:val="005E1214"/>
    <w:rsid w:val="005E1C51"/>
    <w:rsid w:val="005E2397"/>
    <w:rsid w:val="005E2594"/>
    <w:rsid w:val="005E2CC6"/>
    <w:rsid w:val="005E316B"/>
    <w:rsid w:val="005E3906"/>
    <w:rsid w:val="005E3BD9"/>
    <w:rsid w:val="005E3D61"/>
    <w:rsid w:val="005E40AE"/>
    <w:rsid w:val="005E467A"/>
    <w:rsid w:val="005E4745"/>
    <w:rsid w:val="005E4FA4"/>
    <w:rsid w:val="005E57D0"/>
    <w:rsid w:val="005E7209"/>
    <w:rsid w:val="005E732A"/>
    <w:rsid w:val="005E7A65"/>
    <w:rsid w:val="005E7AFC"/>
    <w:rsid w:val="005F0020"/>
    <w:rsid w:val="005F03FB"/>
    <w:rsid w:val="005F089D"/>
    <w:rsid w:val="005F091C"/>
    <w:rsid w:val="005F0928"/>
    <w:rsid w:val="005F0DC4"/>
    <w:rsid w:val="005F225E"/>
    <w:rsid w:val="005F27F0"/>
    <w:rsid w:val="005F3867"/>
    <w:rsid w:val="005F3A92"/>
    <w:rsid w:val="005F3E48"/>
    <w:rsid w:val="005F40B6"/>
    <w:rsid w:val="005F4B21"/>
    <w:rsid w:val="005F53C6"/>
    <w:rsid w:val="005F58B4"/>
    <w:rsid w:val="005F6252"/>
    <w:rsid w:val="005F638A"/>
    <w:rsid w:val="005F6C32"/>
    <w:rsid w:val="005F71EA"/>
    <w:rsid w:val="005F7B58"/>
    <w:rsid w:val="005F7C9A"/>
    <w:rsid w:val="00600A8E"/>
    <w:rsid w:val="00600E96"/>
    <w:rsid w:val="00600F2D"/>
    <w:rsid w:val="00601DB3"/>
    <w:rsid w:val="00601ECF"/>
    <w:rsid w:val="00601F02"/>
    <w:rsid w:val="00602549"/>
    <w:rsid w:val="0060259B"/>
    <w:rsid w:val="0060285F"/>
    <w:rsid w:val="006038CB"/>
    <w:rsid w:val="0060398F"/>
    <w:rsid w:val="00603F5B"/>
    <w:rsid w:val="00604092"/>
    <w:rsid w:val="00604737"/>
    <w:rsid w:val="00604901"/>
    <w:rsid w:val="00604AB4"/>
    <w:rsid w:val="00605097"/>
    <w:rsid w:val="006053C8"/>
    <w:rsid w:val="00605749"/>
    <w:rsid w:val="00605B55"/>
    <w:rsid w:val="00607035"/>
    <w:rsid w:val="006070D6"/>
    <w:rsid w:val="006074FE"/>
    <w:rsid w:val="0060757B"/>
    <w:rsid w:val="00610018"/>
    <w:rsid w:val="006100F7"/>
    <w:rsid w:val="006105B6"/>
    <w:rsid w:val="0061076B"/>
    <w:rsid w:val="006108E8"/>
    <w:rsid w:val="00610B93"/>
    <w:rsid w:val="00610C19"/>
    <w:rsid w:val="006123A4"/>
    <w:rsid w:val="006124B2"/>
    <w:rsid w:val="006125AA"/>
    <w:rsid w:val="00612716"/>
    <w:rsid w:val="006129BB"/>
    <w:rsid w:val="006130DB"/>
    <w:rsid w:val="006132B8"/>
    <w:rsid w:val="006132C9"/>
    <w:rsid w:val="0061365D"/>
    <w:rsid w:val="0061392A"/>
    <w:rsid w:val="006156CC"/>
    <w:rsid w:val="0061654E"/>
    <w:rsid w:val="0061694E"/>
    <w:rsid w:val="00616BB6"/>
    <w:rsid w:val="006170C6"/>
    <w:rsid w:val="00617410"/>
    <w:rsid w:val="00617C76"/>
    <w:rsid w:val="00617E3C"/>
    <w:rsid w:val="00620593"/>
    <w:rsid w:val="00620786"/>
    <w:rsid w:val="00620C62"/>
    <w:rsid w:val="006214CF"/>
    <w:rsid w:val="0062223E"/>
    <w:rsid w:val="00623469"/>
    <w:rsid w:val="0062382D"/>
    <w:rsid w:val="00623970"/>
    <w:rsid w:val="006240B6"/>
    <w:rsid w:val="00624472"/>
    <w:rsid w:val="006244D7"/>
    <w:rsid w:val="006252B7"/>
    <w:rsid w:val="00625639"/>
    <w:rsid w:val="0062586C"/>
    <w:rsid w:val="00625B8A"/>
    <w:rsid w:val="0062679C"/>
    <w:rsid w:val="00626815"/>
    <w:rsid w:val="00626C8E"/>
    <w:rsid w:val="00626F68"/>
    <w:rsid w:val="00627365"/>
    <w:rsid w:val="00627C66"/>
    <w:rsid w:val="006309D3"/>
    <w:rsid w:val="00630B26"/>
    <w:rsid w:val="00630BB7"/>
    <w:rsid w:val="006316B8"/>
    <w:rsid w:val="006317B8"/>
    <w:rsid w:val="0063190B"/>
    <w:rsid w:val="006319FE"/>
    <w:rsid w:val="00631E4D"/>
    <w:rsid w:val="006324E3"/>
    <w:rsid w:val="0063272F"/>
    <w:rsid w:val="0063286B"/>
    <w:rsid w:val="00632AB3"/>
    <w:rsid w:val="00632BD2"/>
    <w:rsid w:val="00633324"/>
    <w:rsid w:val="006334E3"/>
    <w:rsid w:val="00633CBC"/>
    <w:rsid w:val="00633E3A"/>
    <w:rsid w:val="00634056"/>
    <w:rsid w:val="00634E0A"/>
    <w:rsid w:val="00635D78"/>
    <w:rsid w:val="0063614A"/>
    <w:rsid w:val="00636535"/>
    <w:rsid w:val="00636D72"/>
    <w:rsid w:val="006376F7"/>
    <w:rsid w:val="0063775E"/>
    <w:rsid w:val="00637A60"/>
    <w:rsid w:val="00640052"/>
    <w:rsid w:val="00640068"/>
    <w:rsid w:val="00640462"/>
    <w:rsid w:val="00641910"/>
    <w:rsid w:val="006427A4"/>
    <w:rsid w:val="00642B46"/>
    <w:rsid w:val="00642BE9"/>
    <w:rsid w:val="006435CC"/>
    <w:rsid w:val="00643EB4"/>
    <w:rsid w:val="006455B4"/>
    <w:rsid w:val="00645718"/>
    <w:rsid w:val="00645A6A"/>
    <w:rsid w:val="00645DDE"/>
    <w:rsid w:val="00646460"/>
    <w:rsid w:val="0064650B"/>
    <w:rsid w:val="00646CD3"/>
    <w:rsid w:val="0064726A"/>
    <w:rsid w:val="006472EB"/>
    <w:rsid w:val="00647A47"/>
    <w:rsid w:val="00647B4C"/>
    <w:rsid w:val="00647BA9"/>
    <w:rsid w:val="00647DC0"/>
    <w:rsid w:val="006513B5"/>
    <w:rsid w:val="00651463"/>
    <w:rsid w:val="0065146D"/>
    <w:rsid w:val="00651595"/>
    <w:rsid w:val="0065162A"/>
    <w:rsid w:val="00651C9A"/>
    <w:rsid w:val="00651DF8"/>
    <w:rsid w:val="00651EE5"/>
    <w:rsid w:val="006521E3"/>
    <w:rsid w:val="00652260"/>
    <w:rsid w:val="00652817"/>
    <w:rsid w:val="006529A4"/>
    <w:rsid w:val="00652C88"/>
    <w:rsid w:val="006537DD"/>
    <w:rsid w:val="00653C4A"/>
    <w:rsid w:val="0065456F"/>
    <w:rsid w:val="006548E4"/>
    <w:rsid w:val="00654D85"/>
    <w:rsid w:val="00655031"/>
    <w:rsid w:val="00655187"/>
    <w:rsid w:val="00655E52"/>
    <w:rsid w:val="006560D5"/>
    <w:rsid w:val="006563A4"/>
    <w:rsid w:val="00656566"/>
    <w:rsid w:val="0065669D"/>
    <w:rsid w:val="0065682E"/>
    <w:rsid w:val="00656A17"/>
    <w:rsid w:val="00656D8A"/>
    <w:rsid w:val="00656F96"/>
    <w:rsid w:val="006570E3"/>
    <w:rsid w:val="006578BC"/>
    <w:rsid w:val="00657D80"/>
    <w:rsid w:val="00657DC6"/>
    <w:rsid w:val="0066023F"/>
    <w:rsid w:val="006602B1"/>
    <w:rsid w:val="0066042F"/>
    <w:rsid w:val="00660928"/>
    <w:rsid w:val="006610F2"/>
    <w:rsid w:val="0066117E"/>
    <w:rsid w:val="006613F6"/>
    <w:rsid w:val="00661517"/>
    <w:rsid w:val="006620BB"/>
    <w:rsid w:val="00662243"/>
    <w:rsid w:val="00662470"/>
    <w:rsid w:val="0066279C"/>
    <w:rsid w:val="00663190"/>
    <w:rsid w:val="00663688"/>
    <w:rsid w:val="00664843"/>
    <w:rsid w:val="006653C5"/>
    <w:rsid w:val="00666114"/>
    <w:rsid w:val="00666122"/>
    <w:rsid w:val="00666806"/>
    <w:rsid w:val="00666BC5"/>
    <w:rsid w:val="006678BA"/>
    <w:rsid w:val="00667A14"/>
    <w:rsid w:val="00667D79"/>
    <w:rsid w:val="00670113"/>
    <w:rsid w:val="0067041A"/>
    <w:rsid w:val="006708ED"/>
    <w:rsid w:val="00670AA6"/>
    <w:rsid w:val="00670D32"/>
    <w:rsid w:val="00670F15"/>
    <w:rsid w:val="00671631"/>
    <w:rsid w:val="00672577"/>
    <w:rsid w:val="00672610"/>
    <w:rsid w:val="00672792"/>
    <w:rsid w:val="006727FB"/>
    <w:rsid w:val="00672B18"/>
    <w:rsid w:val="0067314B"/>
    <w:rsid w:val="006738CA"/>
    <w:rsid w:val="00673F9D"/>
    <w:rsid w:val="006743E0"/>
    <w:rsid w:val="00674C12"/>
    <w:rsid w:val="00674F2E"/>
    <w:rsid w:val="006752C6"/>
    <w:rsid w:val="00675A98"/>
    <w:rsid w:val="00675B31"/>
    <w:rsid w:val="006762DE"/>
    <w:rsid w:val="0067682B"/>
    <w:rsid w:val="0067710C"/>
    <w:rsid w:val="00677EE7"/>
    <w:rsid w:val="00677F71"/>
    <w:rsid w:val="006800EB"/>
    <w:rsid w:val="00680569"/>
    <w:rsid w:val="00680A8F"/>
    <w:rsid w:val="00680C5C"/>
    <w:rsid w:val="00680FAC"/>
    <w:rsid w:val="00681019"/>
    <w:rsid w:val="00681EA5"/>
    <w:rsid w:val="0068217A"/>
    <w:rsid w:val="00682199"/>
    <w:rsid w:val="0068246A"/>
    <w:rsid w:val="006828C1"/>
    <w:rsid w:val="00682929"/>
    <w:rsid w:val="00682BDF"/>
    <w:rsid w:val="0068306B"/>
    <w:rsid w:val="00683A29"/>
    <w:rsid w:val="00683D9F"/>
    <w:rsid w:val="0068422A"/>
    <w:rsid w:val="006849C4"/>
    <w:rsid w:val="00684B8C"/>
    <w:rsid w:val="00685211"/>
    <w:rsid w:val="00685BDC"/>
    <w:rsid w:val="006864DE"/>
    <w:rsid w:val="00686DB0"/>
    <w:rsid w:val="0068720A"/>
    <w:rsid w:val="006873EA"/>
    <w:rsid w:val="00687ACA"/>
    <w:rsid w:val="00687B02"/>
    <w:rsid w:val="00687C00"/>
    <w:rsid w:val="006903F3"/>
    <w:rsid w:val="006904ED"/>
    <w:rsid w:val="0069065E"/>
    <w:rsid w:val="00690A97"/>
    <w:rsid w:val="00691411"/>
    <w:rsid w:val="00691430"/>
    <w:rsid w:val="006922B8"/>
    <w:rsid w:val="00692386"/>
    <w:rsid w:val="00692D17"/>
    <w:rsid w:val="00692E98"/>
    <w:rsid w:val="00692FA7"/>
    <w:rsid w:val="0069347A"/>
    <w:rsid w:val="00693CCD"/>
    <w:rsid w:val="00693EEF"/>
    <w:rsid w:val="00694B73"/>
    <w:rsid w:val="00694B91"/>
    <w:rsid w:val="0069508C"/>
    <w:rsid w:val="0069514E"/>
    <w:rsid w:val="006954EB"/>
    <w:rsid w:val="00695BE0"/>
    <w:rsid w:val="00695F1C"/>
    <w:rsid w:val="006966C0"/>
    <w:rsid w:val="00696A71"/>
    <w:rsid w:val="00697197"/>
    <w:rsid w:val="00697F0C"/>
    <w:rsid w:val="006A00BB"/>
    <w:rsid w:val="006A0671"/>
    <w:rsid w:val="006A0855"/>
    <w:rsid w:val="006A0B58"/>
    <w:rsid w:val="006A1366"/>
    <w:rsid w:val="006A144D"/>
    <w:rsid w:val="006A1711"/>
    <w:rsid w:val="006A1808"/>
    <w:rsid w:val="006A1DD0"/>
    <w:rsid w:val="006A27EA"/>
    <w:rsid w:val="006A35D5"/>
    <w:rsid w:val="006A392F"/>
    <w:rsid w:val="006A3C5E"/>
    <w:rsid w:val="006A42EE"/>
    <w:rsid w:val="006A432A"/>
    <w:rsid w:val="006A4684"/>
    <w:rsid w:val="006A490A"/>
    <w:rsid w:val="006A4967"/>
    <w:rsid w:val="006A4DD8"/>
    <w:rsid w:val="006A4E98"/>
    <w:rsid w:val="006A4FD8"/>
    <w:rsid w:val="006A50C4"/>
    <w:rsid w:val="006A52F1"/>
    <w:rsid w:val="006A564D"/>
    <w:rsid w:val="006A587A"/>
    <w:rsid w:val="006A5B07"/>
    <w:rsid w:val="006A5DBD"/>
    <w:rsid w:val="006A5DC0"/>
    <w:rsid w:val="006A5E01"/>
    <w:rsid w:val="006A5F60"/>
    <w:rsid w:val="006A61F5"/>
    <w:rsid w:val="006A637C"/>
    <w:rsid w:val="006A641F"/>
    <w:rsid w:val="006A64A9"/>
    <w:rsid w:val="006A6E3A"/>
    <w:rsid w:val="006A727F"/>
    <w:rsid w:val="006A72D8"/>
    <w:rsid w:val="006A797B"/>
    <w:rsid w:val="006A7C62"/>
    <w:rsid w:val="006B113C"/>
    <w:rsid w:val="006B269D"/>
    <w:rsid w:val="006B2D05"/>
    <w:rsid w:val="006B2D5D"/>
    <w:rsid w:val="006B3261"/>
    <w:rsid w:val="006B3600"/>
    <w:rsid w:val="006B3D9C"/>
    <w:rsid w:val="006B3F72"/>
    <w:rsid w:val="006B41DD"/>
    <w:rsid w:val="006B45E5"/>
    <w:rsid w:val="006B45E9"/>
    <w:rsid w:val="006B4AC1"/>
    <w:rsid w:val="006B4AD5"/>
    <w:rsid w:val="006B4AF5"/>
    <w:rsid w:val="006B5561"/>
    <w:rsid w:val="006B5C7A"/>
    <w:rsid w:val="006B5F73"/>
    <w:rsid w:val="006B682C"/>
    <w:rsid w:val="006B738C"/>
    <w:rsid w:val="006C018B"/>
    <w:rsid w:val="006C0610"/>
    <w:rsid w:val="006C080F"/>
    <w:rsid w:val="006C1812"/>
    <w:rsid w:val="006C181D"/>
    <w:rsid w:val="006C1A28"/>
    <w:rsid w:val="006C1A60"/>
    <w:rsid w:val="006C1F76"/>
    <w:rsid w:val="006C2140"/>
    <w:rsid w:val="006C2282"/>
    <w:rsid w:val="006C2402"/>
    <w:rsid w:val="006C25D1"/>
    <w:rsid w:val="006C270A"/>
    <w:rsid w:val="006C3528"/>
    <w:rsid w:val="006C37D3"/>
    <w:rsid w:val="006C3826"/>
    <w:rsid w:val="006C3D11"/>
    <w:rsid w:val="006C4654"/>
    <w:rsid w:val="006C4AA8"/>
    <w:rsid w:val="006C4D97"/>
    <w:rsid w:val="006C5400"/>
    <w:rsid w:val="006C5FF0"/>
    <w:rsid w:val="006C6437"/>
    <w:rsid w:val="006C7061"/>
    <w:rsid w:val="006C72E4"/>
    <w:rsid w:val="006C7B21"/>
    <w:rsid w:val="006D0738"/>
    <w:rsid w:val="006D08AB"/>
    <w:rsid w:val="006D0AD4"/>
    <w:rsid w:val="006D0E5B"/>
    <w:rsid w:val="006D1179"/>
    <w:rsid w:val="006D12EA"/>
    <w:rsid w:val="006D1930"/>
    <w:rsid w:val="006D1A6F"/>
    <w:rsid w:val="006D1B89"/>
    <w:rsid w:val="006D1BD1"/>
    <w:rsid w:val="006D2078"/>
    <w:rsid w:val="006D2435"/>
    <w:rsid w:val="006D2E3E"/>
    <w:rsid w:val="006D32D9"/>
    <w:rsid w:val="006D3408"/>
    <w:rsid w:val="006D3DD9"/>
    <w:rsid w:val="006D3EE2"/>
    <w:rsid w:val="006D4107"/>
    <w:rsid w:val="006D4609"/>
    <w:rsid w:val="006D527E"/>
    <w:rsid w:val="006D5A89"/>
    <w:rsid w:val="006D6061"/>
    <w:rsid w:val="006D6CE8"/>
    <w:rsid w:val="006D6D0D"/>
    <w:rsid w:val="006D6DC8"/>
    <w:rsid w:val="006D700E"/>
    <w:rsid w:val="006D7986"/>
    <w:rsid w:val="006D7FF5"/>
    <w:rsid w:val="006E0E47"/>
    <w:rsid w:val="006E1E19"/>
    <w:rsid w:val="006E31E2"/>
    <w:rsid w:val="006E38ED"/>
    <w:rsid w:val="006E3A44"/>
    <w:rsid w:val="006E4BC0"/>
    <w:rsid w:val="006E566C"/>
    <w:rsid w:val="006E5CDA"/>
    <w:rsid w:val="006E6354"/>
    <w:rsid w:val="006E64A3"/>
    <w:rsid w:val="006E64AE"/>
    <w:rsid w:val="006E672F"/>
    <w:rsid w:val="006E6D9F"/>
    <w:rsid w:val="006E7249"/>
    <w:rsid w:val="006E7432"/>
    <w:rsid w:val="006E7629"/>
    <w:rsid w:val="006E767E"/>
    <w:rsid w:val="006E7A51"/>
    <w:rsid w:val="006E7C7F"/>
    <w:rsid w:val="006E7DE3"/>
    <w:rsid w:val="006E7EF7"/>
    <w:rsid w:val="006F00F0"/>
    <w:rsid w:val="006F018B"/>
    <w:rsid w:val="006F0F55"/>
    <w:rsid w:val="006F11E3"/>
    <w:rsid w:val="006F1A31"/>
    <w:rsid w:val="006F1B41"/>
    <w:rsid w:val="006F1BE0"/>
    <w:rsid w:val="006F1CB8"/>
    <w:rsid w:val="006F1CBA"/>
    <w:rsid w:val="006F1D02"/>
    <w:rsid w:val="006F1DB5"/>
    <w:rsid w:val="006F2504"/>
    <w:rsid w:val="006F29D5"/>
    <w:rsid w:val="006F2D48"/>
    <w:rsid w:val="006F2EE2"/>
    <w:rsid w:val="006F2F48"/>
    <w:rsid w:val="006F310E"/>
    <w:rsid w:val="006F356E"/>
    <w:rsid w:val="006F36E2"/>
    <w:rsid w:val="006F3ABE"/>
    <w:rsid w:val="006F4484"/>
    <w:rsid w:val="006F47D9"/>
    <w:rsid w:val="006F4A2A"/>
    <w:rsid w:val="006F4B2F"/>
    <w:rsid w:val="006F4B46"/>
    <w:rsid w:val="006F4E58"/>
    <w:rsid w:val="006F4E97"/>
    <w:rsid w:val="006F533B"/>
    <w:rsid w:val="006F56E8"/>
    <w:rsid w:val="006F5CDF"/>
    <w:rsid w:val="006F696E"/>
    <w:rsid w:val="006F6B67"/>
    <w:rsid w:val="006F7EA9"/>
    <w:rsid w:val="00700590"/>
    <w:rsid w:val="00700A9D"/>
    <w:rsid w:val="00700EF8"/>
    <w:rsid w:val="00700F04"/>
    <w:rsid w:val="007013B3"/>
    <w:rsid w:val="00701944"/>
    <w:rsid w:val="00701C06"/>
    <w:rsid w:val="00702936"/>
    <w:rsid w:val="00702B71"/>
    <w:rsid w:val="00703084"/>
    <w:rsid w:val="007030A3"/>
    <w:rsid w:val="007044B2"/>
    <w:rsid w:val="007044E3"/>
    <w:rsid w:val="00704BA0"/>
    <w:rsid w:val="00704C62"/>
    <w:rsid w:val="007055A2"/>
    <w:rsid w:val="00705858"/>
    <w:rsid w:val="00705DEB"/>
    <w:rsid w:val="00705F08"/>
    <w:rsid w:val="00706457"/>
    <w:rsid w:val="00706554"/>
    <w:rsid w:val="00706C57"/>
    <w:rsid w:val="00706D1F"/>
    <w:rsid w:val="007076B2"/>
    <w:rsid w:val="00707DB4"/>
    <w:rsid w:val="00710B5B"/>
    <w:rsid w:val="00710B64"/>
    <w:rsid w:val="00710B6E"/>
    <w:rsid w:val="00710FB8"/>
    <w:rsid w:val="007110AC"/>
    <w:rsid w:val="0071148D"/>
    <w:rsid w:val="007114DB"/>
    <w:rsid w:val="00711E6A"/>
    <w:rsid w:val="00711EFD"/>
    <w:rsid w:val="00712245"/>
    <w:rsid w:val="0071230F"/>
    <w:rsid w:val="007123D5"/>
    <w:rsid w:val="00712672"/>
    <w:rsid w:val="00712ABB"/>
    <w:rsid w:val="00712ED4"/>
    <w:rsid w:val="0071403A"/>
    <w:rsid w:val="007141FB"/>
    <w:rsid w:val="00714AE1"/>
    <w:rsid w:val="00715053"/>
    <w:rsid w:val="0071599F"/>
    <w:rsid w:val="00715D34"/>
    <w:rsid w:val="007163B4"/>
    <w:rsid w:val="0071675A"/>
    <w:rsid w:val="007168FF"/>
    <w:rsid w:val="00716AB7"/>
    <w:rsid w:val="00716BBE"/>
    <w:rsid w:val="00716D1F"/>
    <w:rsid w:val="00717CDB"/>
    <w:rsid w:val="0072099E"/>
    <w:rsid w:val="007212CC"/>
    <w:rsid w:val="00721335"/>
    <w:rsid w:val="00721811"/>
    <w:rsid w:val="00721E76"/>
    <w:rsid w:val="00721EC4"/>
    <w:rsid w:val="00721F96"/>
    <w:rsid w:val="007221A8"/>
    <w:rsid w:val="00722206"/>
    <w:rsid w:val="007227C0"/>
    <w:rsid w:val="00722C0C"/>
    <w:rsid w:val="007230B7"/>
    <w:rsid w:val="00723528"/>
    <w:rsid w:val="00723DA6"/>
    <w:rsid w:val="0072403D"/>
    <w:rsid w:val="00724365"/>
    <w:rsid w:val="00724A29"/>
    <w:rsid w:val="00724A59"/>
    <w:rsid w:val="00725501"/>
    <w:rsid w:val="00725E18"/>
    <w:rsid w:val="00725E67"/>
    <w:rsid w:val="00726842"/>
    <w:rsid w:val="0073050E"/>
    <w:rsid w:val="0073056D"/>
    <w:rsid w:val="00730BA5"/>
    <w:rsid w:val="007316BE"/>
    <w:rsid w:val="0073171C"/>
    <w:rsid w:val="00731AC0"/>
    <w:rsid w:val="007324CC"/>
    <w:rsid w:val="0073287D"/>
    <w:rsid w:val="0073309C"/>
    <w:rsid w:val="007332E4"/>
    <w:rsid w:val="00733A1D"/>
    <w:rsid w:val="00734C2B"/>
    <w:rsid w:val="00734CC7"/>
    <w:rsid w:val="00735834"/>
    <w:rsid w:val="007359E9"/>
    <w:rsid w:val="00735B0C"/>
    <w:rsid w:val="0073621A"/>
    <w:rsid w:val="00736354"/>
    <w:rsid w:val="007364E1"/>
    <w:rsid w:val="00736605"/>
    <w:rsid w:val="0073674A"/>
    <w:rsid w:val="00736E9D"/>
    <w:rsid w:val="00737738"/>
    <w:rsid w:val="007378C9"/>
    <w:rsid w:val="00740037"/>
    <w:rsid w:val="007406E4"/>
    <w:rsid w:val="00740CE2"/>
    <w:rsid w:val="00740DDE"/>
    <w:rsid w:val="00740F23"/>
    <w:rsid w:val="00741015"/>
    <w:rsid w:val="0074166F"/>
    <w:rsid w:val="007419E6"/>
    <w:rsid w:val="00741AE0"/>
    <w:rsid w:val="007422CE"/>
    <w:rsid w:val="007427A4"/>
    <w:rsid w:val="007428AC"/>
    <w:rsid w:val="0074341E"/>
    <w:rsid w:val="007437FC"/>
    <w:rsid w:val="00743A4C"/>
    <w:rsid w:val="00744211"/>
    <w:rsid w:val="00744607"/>
    <w:rsid w:val="00744CD1"/>
    <w:rsid w:val="007459EE"/>
    <w:rsid w:val="00745A31"/>
    <w:rsid w:val="00745E96"/>
    <w:rsid w:val="00746286"/>
    <w:rsid w:val="007469AD"/>
    <w:rsid w:val="00746CBC"/>
    <w:rsid w:val="0074764D"/>
    <w:rsid w:val="00747791"/>
    <w:rsid w:val="007507C4"/>
    <w:rsid w:val="00750963"/>
    <w:rsid w:val="00751280"/>
    <w:rsid w:val="00751416"/>
    <w:rsid w:val="0075177E"/>
    <w:rsid w:val="00752A45"/>
    <w:rsid w:val="00753288"/>
    <w:rsid w:val="00753639"/>
    <w:rsid w:val="00753D0D"/>
    <w:rsid w:val="00754F76"/>
    <w:rsid w:val="00755762"/>
    <w:rsid w:val="00756A2A"/>
    <w:rsid w:val="00756B7B"/>
    <w:rsid w:val="00757270"/>
    <w:rsid w:val="007578F4"/>
    <w:rsid w:val="00757BC8"/>
    <w:rsid w:val="00760437"/>
    <w:rsid w:val="00760ADF"/>
    <w:rsid w:val="00760B67"/>
    <w:rsid w:val="00760FEF"/>
    <w:rsid w:val="00761836"/>
    <w:rsid w:val="00761AC8"/>
    <w:rsid w:val="00762064"/>
    <w:rsid w:val="007623FF"/>
    <w:rsid w:val="007639B4"/>
    <w:rsid w:val="007639C2"/>
    <w:rsid w:val="007644AC"/>
    <w:rsid w:val="007646D3"/>
    <w:rsid w:val="00764784"/>
    <w:rsid w:val="007665AF"/>
    <w:rsid w:val="00766C80"/>
    <w:rsid w:val="00766E68"/>
    <w:rsid w:val="00766FF8"/>
    <w:rsid w:val="007671CC"/>
    <w:rsid w:val="00767253"/>
    <w:rsid w:val="007673B0"/>
    <w:rsid w:val="0076764D"/>
    <w:rsid w:val="00767753"/>
    <w:rsid w:val="00767C85"/>
    <w:rsid w:val="00770882"/>
    <w:rsid w:val="00770A9B"/>
    <w:rsid w:val="00770DC0"/>
    <w:rsid w:val="00770EBD"/>
    <w:rsid w:val="00771DC1"/>
    <w:rsid w:val="00772DA5"/>
    <w:rsid w:val="00772E74"/>
    <w:rsid w:val="00773562"/>
    <w:rsid w:val="00773D88"/>
    <w:rsid w:val="00774880"/>
    <w:rsid w:val="0077545B"/>
    <w:rsid w:val="00775864"/>
    <w:rsid w:val="00775E38"/>
    <w:rsid w:val="007760F9"/>
    <w:rsid w:val="007762CC"/>
    <w:rsid w:val="007768B8"/>
    <w:rsid w:val="00776943"/>
    <w:rsid w:val="007773E1"/>
    <w:rsid w:val="00780F0C"/>
    <w:rsid w:val="00780F32"/>
    <w:rsid w:val="0078232D"/>
    <w:rsid w:val="00782855"/>
    <w:rsid w:val="00782AA8"/>
    <w:rsid w:val="00782E09"/>
    <w:rsid w:val="00782E1F"/>
    <w:rsid w:val="00783306"/>
    <w:rsid w:val="007839CC"/>
    <w:rsid w:val="00784BCC"/>
    <w:rsid w:val="00785ED8"/>
    <w:rsid w:val="00785FC8"/>
    <w:rsid w:val="00786A3E"/>
    <w:rsid w:val="0078717C"/>
    <w:rsid w:val="007872A6"/>
    <w:rsid w:val="00787487"/>
    <w:rsid w:val="00787A3A"/>
    <w:rsid w:val="00787F21"/>
    <w:rsid w:val="00787F92"/>
    <w:rsid w:val="00790052"/>
    <w:rsid w:val="00790108"/>
    <w:rsid w:val="0079038C"/>
    <w:rsid w:val="00790DA1"/>
    <w:rsid w:val="00791BCD"/>
    <w:rsid w:val="00791CE8"/>
    <w:rsid w:val="00791EEC"/>
    <w:rsid w:val="00792EE2"/>
    <w:rsid w:val="0079479E"/>
    <w:rsid w:val="0079496D"/>
    <w:rsid w:val="00794A98"/>
    <w:rsid w:val="00794EB8"/>
    <w:rsid w:val="00794F7C"/>
    <w:rsid w:val="00794F84"/>
    <w:rsid w:val="0079510F"/>
    <w:rsid w:val="00795175"/>
    <w:rsid w:val="0079520A"/>
    <w:rsid w:val="0079593F"/>
    <w:rsid w:val="00795C2F"/>
    <w:rsid w:val="00796BA8"/>
    <w:rsid w:val="00797FC1"/>
    <w:rsid w:val="007A015F"/>
    <w:rsid w:val="007A0524"/>
    <w:rsid w:val="007A080C"/>
    <w:rsid w:val="007A1277"/>
    <w:rsid w:val="007A12F0"/>
    <w:rsid w:val="007A16E0"/>
    <w:rsid w:val="007A1C87"/>
    <w:rsid w:val="007A1E5B"/>
    <w:rsid w:val="007A2135"/>
    <w:rsid w:val="007A23E1"/>
    <w:rsid w:val="007A288C"/>
    <w:rsid w:val="007A2ABE"/>
    <w:rsid w:val="007A2C9E"/>
    <w:rsid w:val="007A2E52"/>
    <w:rsid w:val="007A3089"/>
    <w:rsid w:val="007A31CF"/>
    <w:rsid w:val="007A322F"/>
    <w:rsid w:val="007A35DE"/>
    <w:rsid w:val="007A3A47"/>
    <w:rsid w:val="007A3BEB"/>
    <w:rsid w:val="007A3C3B"/>
    <w:rsid w:val="007A4041"/>
    <w:rsid w:val="007A4641"/>
    <w:rsid w:val="007A5ACD"/>
    <w:rsid w:val="007A5B21"/>
    <w:rsid w:val="007A5EBB"/>
    <w:rsid w:val="007A603B"/>
    <w:rsid w:val="007A6258"/>
    <w:rsid w:val="007A6AEC"/>
    <w:rsid w:val="007A6CA4"/>
    <w:rsid w:val="007A6CE5"/>
    <w:rsid w:val="007A714D"/>
    <w:rsid w:val="007A75E8"/>
    <w:rsid w:val="007A77F7"/>
    <w:rsid w:val="007A7805"/>
    <w:rsid w:val="007A7B6A"/>
    <w:rsid w:val="007A7E2A"/>
    <w:rsid w:val="007B0553"/>
    <w:rsid w:val="007B055B"/>
    <w:rsid w:val="007B089B"/>
    <w:rsid w:val="007B0C9C"/>
    <w:rsid w:val="007B13CD"/>
    <w:rsid w:val="007B183B"/>
    <w:rsid w:val="007B2C61"/>
    <w:rsid w:val="007B3425"/>
    <w:rsid w:val="007B3F28"/>
    <w:rsid w:val="007B4703"/>
    <w:rsid w:val="007B548B"/>
    <w:rsid w:val="007B6216"/>
    <w:rsid w:val="007B629A"/>
    <w:rsid w:val="007B6F5D"/>
    <w:rsid w:val="007B7897"/>
    <w:rsid w:val="007B7903"/>
    <w:rsid w:val="007C00CD"/>
    <w:rsid w:val="007C0A4E"/>
    <w:rsid w:val="007C0ADE"/>
    <w:rsid w:val="007C12F8"/>
    <w:rsid w:val="007C1536"/>
    <w:rsid w:val="007C158D"/>
    <w:rsid w:val="007C268C"/>
    <w:rsid w:val="007C3EA8"/>
    <w:rsid w:val="007C3F08"/>
    <w:rsid w:val="007C4D04"/>
    <w:rsid w:val="007C4FF5"/>
    <w:rsid w:val="007C53E2"/>
    <w:rsid w:val="007C58AB"/>
    <w:rsid w:val="007C58C1"/>
    <w:rsid w:val="007C5CFB"/>
    <w:rsid w:val="007C638E"/>
    <w:rsid w:val="007C66D7"/>
    <w:rsid w:val="007C6CB8"/>
    <w:rsid w:val="007C6EF7"/>
    <w:rsid w:val="007C77B6"/>
    <w:rsid w:val="007C7C36"/>
    <w:rsid w:val="007C7DCB"/>
    <w:rsid w:val="007C7EDB"/>
    <w:rsid w:val="007D01E3"/>
    <w:rsid w:val="007D0BF3"/>
    <w:rsid w:val="007D0E7B"/>
    <w:rsid w:val="007D1A08"/>
    <w:rsid w:val="007D1ACD"/>
    <w:rsid w:val="007D1D31"/>
    <w:rsid w:val="007D2C9B"/>
    <w:rsid w:val="007D2D52"/>
    <w:rsid w:val="007D3845"/>
    <w:rsid w:val="007D3A93"/>
    <w:rsid w:val="007D4276"/>
    <w:rsid w:val="007D5323"/>
    <w:rsid w:val="007D5993"/>
    <w:rsid w:val="007D5A1E"/>
    <w:rsid w:val="007D5ADD"/>
    <w:rsid w:val="007D5CA7"/>
    <w:rsid w:val="007D66F6"/>
    <w:rsid w:val="007D67BA"/>
    <w:rsid w:val="007D7073"/>
    <w:rsid w:val="007D730C"/>
    <w:rsid w:val="007D7A57"/>
    <w:rsid w:val="007E041A"/>
    <w:rsid w:val="007E09FE"/>
    <w:rsid w:val="007E0DB0"/>
    <w:rsid w:val="007E12DD"/>
    <w:rsid w:val="007E162B"/>
    <w:rsid w:val="007E1DAD"/>
    <w:rsid w:val="007E1EE6"/>
    <w:rsid w:val="007E2350"/>
    <w:rsid w:val="007E2427"/>
    <w:rsid w:val="007E28F0"/>
    <w:rsid w:val="007E2903"/>
    <w:rsid w:val="007E29C2"/>
    <w:rsid w:val="007E3B71"/>
    <w:rsid w:val="007E3BA2"/>
    <w:rsid w:val="007E40A5"/>
    <w:rsid w:val="007E43AF"/>
    <w:rsid w:val="007E58B0"/>
    <w:rsid w:val="007E5DAF"/>
    <w:rsid w:val="007E666B"/>
    <w:rsid w:val="007E6741"/>
    <w:rsid w:val="007E7CA8"/>
    <w:rsid w:val="007F0299"/>
    <w:rsid w:val="007F0658"/>
    <w:rsid w:val="007F102F"/>
    <w:rsid w:val="007F131A"/>
    <w:rsid w:val="007F143D"/>
    <w:rsid w:val="007F1A55"/>
    <w:rsid w:val="007F1FEA"/>
    <w:rsid w:val="007F216A"/>
    <w:rsid w:val="007F2CA6"/>
    <w:rsid w:val="007F2DF2"/>
    <w:rsid w:val="007F30F8"/>
    <w:rsid w:val="007F32FE"/>
    <w:rsid w:val="007F37F6"/>
    <w:rsid w:val="007F3DD9"/>
    <w:rsid w:val="007F3F06"/>
    <w:rsid w:val="007F4783"/>
    <w:rsid w:val="007F4B13"/>
    <w:rsid w:val="007F4D37"/>
    <w:rsid w:val="007F54CA"/>
    <w:rsid w:val="007F55C0"/>
    <w:rsid w:val="007F571F"/>
    <w:rsid w:val="007F57AB"/>
    <w:rsid w:val="007F612E"/>
    <w:rsid w:val="007F63FC"/>
    <w:rsid w:val="007F6551"/>
    <w:rsid w:val="007F6949"/>
    <w:rsid w:val="007F7770"/>
    <w:rsid w:val="007F7B16"/>
    <w:rsid w:val="007F7BA5"/>
    <w:rsid w:val="0080015F"/>
    <w:rsid w:val="0080162A"/>
    <w:rsid w:val="00801870"/>
    <w:rsid w:val="0080188C"/>
    <w:rsid w:val="00801911"/>
    <w:rsid w:val="00801C8E"/>
    <w:rsid w:val="00801E3A"/>
    <w:rsid w:val="0080209A"/>
    <w:rsid w:val="008020C0"/>
    <w:rsid w:val="00802BAC"/>
    <w:rsid w:val="008030F3"/>
    <w:rsid w:val="00803B73"/>
    <w:rsid w:val="00803FAA"/>
    <w:rsid w:val="00804052"/>
    <w:rsid w:val="00804C45"/>
    <w:rsid w:val="00804F9B"/>
    <w:rsid w:val="00805517"/>
    <w:rsid w:val="0080563B"/>
    <w:rsid w:val="00805C48"/>
    <w:rsid w:val="00805E85"/>
    <w:rsid w:val="0080695C"/>
    <w:rsid w:val="008076BA"/>
    <w:rsid w:val="0080789A"/>
    <w:rsid w:val="008078BB"/>
    <w:rsid w:val="00807D01"/>
    <w:rsid w:val="00807FAA"/>
    <w:rsid w:val="00810492"/>
    <w:rsid w:val="00810872"/>
    <w:rsid w:val="00811009"/>
    <w:rsid w:val="008114AA"/>
    <w:rsid w:val="00811988"/>
    <w:rsid w:val="00812B6C"/>
    <w:rsid w:val="008136AD"/>
    <w:rsid w:val="008143DC"/>
    <w:rsid w:val="008145BB"/>
    <w:rsid w:val="008149CF"/>
    <w:rsid w:val="00814B00"/>
    <w:rsid w:val="00814E10"/>
    <w:rsid w:val="00814F1E"/>
    <w:rsid w:val="008151F2"/>
    <w:rsid w:val="0081566C"/>
    <w:rsid w:val="00815697"/>
    <w:rsid w:val="00815DAC"/>
    <w:rsid w:val="00816330"/>
    <w:rsid w:val="00816F61"/>
    <w:rsid w:val="008173DD"/>
    <w:rsid w:val="008174A0"/>
    <w:rsid w:val="008178A1"/>
    <w:rsid w:val="00817A9B"/>
    <w:rsid w:val="00817E9D"/>
    <w:rsid w:val="008201C0"/>
    <w:rsid w:val="008205DF"/>
    <w:rsid w:val="00820F81"/>
    <w:rsid w:val="008219F9"/>
    <w:rsid w:val="00821A71"/>
    <w:rsid w:val="00821EED"/>
    <w:rsid w:val="00821F4D"/>
    <w:rsid w:val="008222DB"/>
    <w:rsid w:val="00822327"/>
    <w:rsid w:val="00822A96"/>
    <w:rsid w:val="00822AAD"/>
    <w:rsid w:val="00822B95"/>
    <w:rsid w:val="00822BE9"/>
    <w:rsid w:val="00824839"/>
    <w:rsid w:val="00824900"/>
    <w:rsid w:val="00825CF0"/>
    <w:rsid w:val="00825D01"/>
    <w:rsid w:val="00825DD2"/>
    <w:rsid w:val="00826754"/>
    <w:rsid w:val="00826895"/>
    <w:rsid w:val="0082785C"/>
    <w:rsid w:val="00827E21"/>
    <w:rsid w:val="00830389"/>
    <w:rsid w:val="008307F9"/>
    <w:rsid w:val="00831181"/>
    <w:rsid w:val="00831183"/>
    <w:rsid w:val="008313D8"/>
    <w:rsid w:val="00831647"/>
    <w:rsid w:val="00831817"/>
    <w:rsid w:val="008319B5"/>
    <w:rsid w:val="00831B5F"/>
    <w:rsid w:val="00831C27"/>
    <w:rsid w:val="00831C56"/>
    <w:rsid w:val="00832092"/>
    <w:rsid w:val="00832304"/>
    <w:rsid w:val="008324BE"/>
    <w:rsid w:val="00832878"/>
    <w:rsid w:val="00834190"/>
    <w:rsid w:val="008342CE"/>
    <w:rsid w:val="0083431C"/>
    <w:rsid w:val="00834CCF"/>
    <w:rsid w:val="00834E5A"/>
    <w:rsid w:val="0083500F"/>
    <w:rsid w:val="0083532A"/>
    <w:rsid w:val="00835ED7"/>
    <w:rsid w:val="0083609B"/>
    <w:rsid w:val="008360FF"/>
    <w:rsid w:val="008361A5"/>
    <w:rsid w:val="00836216"/>
    <w:rsid w:val="00837465"/>
    <w:rsid w:val="00837A21"/>
    <w:rsid w:val="00840F2D"/>
    <w:rsid w:val="008412F8"/>
    <w:rsid w:val="00841360"/>
    <w:rsid w:val="00841556"/>
    <w:rsid w:val="00841800"/>
    <w:rsid w:val="00841ECD"/>
    <w:rsid w:val="00841F11"/>
    <w:rsid w:val="00842073"/>
    <w:rsid w:val="00842467"/>
    <w:rsid w:val="00843EAD"/>
    <w:rsid w:val="008440C2"/>
    <w:rsid w:val="008443CE"/>
    <w:rsid w:val="008447BC"/>
    <w:rsid w:val="00844EB7"/>
    <w:rsid w:val="0084510B"/>
    <w:rsid w:val="00845805"/>
    <w:rsid w:val="00845E89"/>
    <w:rsid w:val="0084640F"/>
    <w:rsid w:val="008466FE"/>
    <w:rsid w:val="00846712"/>
    <w:rsid w:val="00846731"/>
    <w:rsid w:val="008468C1"/>
    <w:rsid w:val="008468CD"/>
    <w:rsid w:val="00846930"/>
    <w:rsid w:val="008469C3"/>
    <w:rsid w:val="00846F65"/>
    <w:rsid w:val="00847262"/>
    <w:rsid w:val="00847845"/>
    <w:rsid w:val="00847A6C"/>
    <w:rsid w:val="00847EEB"/>
    <w:rsid w:val="008501EF"/>
    <w:rsid w:val="00850269"/>
    <w:rsid w:val="0085060F"/>
    <w:rsid w:val="0085112B"/>
    <w:rsid w:val="0085168A"/>
    <w:rsid w:val="00851C40"/>
    <w:rsid w:val="00852677"/>
    <w:rsid w:val="00852DC8"/>
    <w:rsid w:val="00852E6D"/>
    <w:rsid w:val="0085332D"/>
    <w:rsid w:val="0085357A"/>
    <w:rsid w:val="008537AA"/>
    <w:rsid w:val="008539CA"/>
    <w:rsid w:val="008543C9"/>
    <w:rsid w:val="00854660"/>
    <w:rsid w:val="00854BB7"/>
    <w:rsid w:val="00854C8D"/>
    <w:rsid w:val="00854DD2"/>
    <w:rsid w:val="00855429"/>
    <w:rsid w:val="00855836"/>
    <w:rsid w:val="00855AB5"/>
    <w:rsid w:val="008561E9"/>
    <w:rsid w:val="0085682F"/>
    <w:rsid w:val="00856CC8"/>
    <w:rsid w:val="00856DA4"/>
    <w:rsid w:val="008570C8"/>
    <w:rsid w:val="00857278"/>
    <w:rsid w:val="008575C5"/>
    <w:rsid w:val="008578FB"/>
    <w:rsid w:val="00857957"/>
    <w:rsid w:val="00857B45"/>
    <w:rsid w:val="008602F3"/>
    <w:rsid w:val="00860313"/>
    <w:rsid w:val="008603AC"/>
    <w:rsid w:val="00860B75"/>
    <w:rsid w:val="00860E6D"/>
    <w:rsid w:val="00860EA0"/>
    <w:rsid w:val="0086124D"/>
    <w:rsid w:val="00861DCC"/>
    <w:rsid w:val="0086464F"/>
    <w:rsid w:val="0086472E"/>
    <w:rsid w:val="00864F1E"/>
    <w:rsid w:val="0086537B"/>
    <w:rsid w:val="00867143"/>
    <w:rsid w:val="00867383"/>
    <w:rsid w:val="0086740B"/>
    <w:rsid w:val="008675DE"/>
    <w:rsid w:val="00867ABF"/>
    <w:rsid w:val="00867AF9"/>
    <w:rsid w:val="00867B00"/>
    <w:rsid w:val="00867DAB"/>
    <w:rsid w:val="00870528"/>
    <w:rsid w:val="00870792"/>
    <w:rsid w:val="0087091C"/>
    <w:rsid w:val="00870C8D"/>
    <w:rsid w:val="008710DC"/>
    <w:rsid w:val="00871473"/>
    <w:rsid w:val="00871865"/>
    <w:rsid w:val="00871CC7"/>
    <w:rsid w:val="00871DC9"/>
    <w:rsid w:val="00871E25"/>
    <w:rsid w:val="00872956"/>
    <w:rsid w:val="00872974"/>
    <w:rsid w:val="00872979"/>
    <w:rsid w:val="008731B5"/>
    <w:rsid w:val="00873633"/>
    <w:rsid w:val="0087371F"/>
    <w:rsid w:val="008739BD"/>
    <w:rsid w:val="00873A7D"/>
    <w:rsid w:val="00873AEA"/>
    <w:rsid w:val="00873BCC"/>
    <w:rsid w:val="00873DCA"/>
    <w:rsid w:val="00873FD2"/>
    <w:rsid w:val="00874641"/>
    <w:rsid w:val="00874849"/>
    <w:rsid w:val="00874C16"/>
    <w:rsid w:val="0087548A"/>
    <w:rsid w:val="00875B04"/>
    <w:rsid w:val="00875F00"/>
    <w:rsid w:val="00876772"/>
    <w:rsid w:val="00876952"/>
    <w:rsid w:val="00876F59"/>
    <w:rsid w:val="0087780A"/>
    <w:rsid w:val="00877E0C"/>
    <w:rsid w:val="00880D51"/>
    <w:rsid w:val="00880F8A"/>
    <w:rsid w:val="00881AA1"/>
    <w:rsid w:val="00881CDA"/>
    <w:rsid w:val="0088202A"/>
    <w:rsid w:val="00882112"/>
    <w:rsid w:val="008821DB"/>
    <w:rsid w:val="00883375"/>
    <w:rsid w:val="0088350C"/>
    <w:rsid w:val="00883879"/>
    <w:rsid w:val="00883ACE"/>
    <w:rsid w:val="00883C24"/>
    <w:rsid w:val="00883F8C"/>
    <w:rsid w:val="0088428B"/>
    <w:rsid w:val="00884644"/>
    <w:rsid w:val="00884C8C"/>
    <w:rsid w:val="00885189"/>
    <w:rsid w:val="008859E7"/>
    <w:rsid w:val="00886072"/>
    <w:rsid w:val="008861AF"/>
    <w:rsid w:val="00886763"/>
    <w:rsid w:val="008868D0"/>
    <w:rsid w:val="00886A48"/>
    <w:rsid w:val="00886C1C"/>
    <w:rsid w:val="00886F7F"/>
    <w:rsid w:val="00887335"/>
    <w:rsid w:val="008873B1"/>
    <w:rsid w:val="00887737"/>
    <w:rsid w:val="00887A9A"/>
    <w:rsid w:val="00887C8F"/>
    <w:rsid w:val="00887D35"/>
    <w:rsid w:val="00890482"/>
    <w:rsid w:val="008908D5"/>
    <w:rsid w:val="0089160B"/>
    <w:rsid w:val="00891AC1"/>
    <w:rsid w:val="00891E1D"/>
    <w:rsid w:val="00891F7F"/>
    <w:rsid w:val="008924ED"/>
    <w:rsid w:val="00892834"/>
    <w:rsid w:val="00892A61"/>
    <w:rsid w:val="00892DFB"/>
    <w:rsid w:val="00893144"/>
    <w:rsid w:val="00893892"/>
    <w:rsid w:val="00893D31"/>
    <w:rsid w:val="00893EFE"/>
    <w:rsid w:val="00894263"/>
    <w:rsid w:val="00894546"/>
    <w:rsid w:val="00894B25"/>
    <w:rsid w:val="00894FBC"/>
    <w:rsid w:val="0089508A"/>
    <w:rsid w:val="008956A6"/>
    <w:rsid w:val="00895D7E"/>
    <w:rsid w:val="00895ED9"/>
    <w:rsid w:val="0089616C"/>
    <w:rsid w:val="008961A4"/>
    <w:rsid w:val="0089683D"/>
    <w:rsid w:val="00897B9F"/>
    <w:rsid w:val="00897C3D"/>
    <w:rsid w:val="00897DD4"/>
    <w:rsid w:val="008A040A"/>
    <w:rsid w:val="008A087D"/>
    <w:rsid w:val="008A12F9"/>
    <w:rsid w:val="008A137C"/>
    <w:rsid w:val="008A14BA"/>
    <w:rsid w:val="008A1B7C"/>
    <w:rsid w:val="008A1BF4"/>
    <w:rsid w:val="008A2240"/>
    <w:rsid w:val="008A25B6"/>
    <w:rsid w:val="008A26B3"/>
    <w:rsid w:val="008A2AC4"/>
    <w:rsid w:val="008A2D0E"/>
    <w:rsid w:val="008A3023"/>
    <w:rsid w:val="008A33B1"/>
    <w:rsid w:val="008A4385"/>
    <w:rsid w:val="008A5372"/>
    <w:rsid w:val="008A56BA"/>
    <w:rsid w:val="008A57DA"/>
    <w:rsid w:val="008A6718"/>
    <w:rsid w:val="008A6781"/>
    <w:rsid w:val="008A6CA8"/>
    <w:rsid w:val="008A6DA8"/>
    <w:rsid w:val="008B06CF"/>
    <w:rsid w:val="008B0CC2"/>
    <w:rsid w:val="008B0D8B"/>
    <w:rsid w:val="008B0E6B"/>
    <w:rsid w:val="008B0F3C"/>
    <w:rsid w:val="008B178D"/>
    <w:rsid w:val="008B1F3A"/>
    <w:rsid w:val="008B2BC7"/>
    <w:rsid w:val="008B2D61"/>
    <w:rsid w:val="008B2F9D"/>
    <w:rsid w:val="008B3740"/>
    <w:rsid w:val="008B397D"/>
    <w:rsid w:val="008B3B6B"/>
    <w:rsid w:val="008B3DC0"/>
    <w:rsid w:val="008B44D4"/>
    <w:rsid w:val="008B51A9"/>
    <w:rsid w:val="008B5815"/>
    <w:rsid w:val="008B591F"/>
    <w:rsid w:val="008B5C4F"/>
    <w:rsid w:val="008B5D27"/>
    <w:rsid w:val="008B6C87"/>
    <w:rsid w:val="008B7180"/>
    <w:rsid w:val="008B72FB"/>
    <w:rsid w:val="008B78C7"/>
    <w:rsid w:val="008B7E96"/>
    <w:rsid w:val="008C01F9"/>
    <w:rsid w:val="008C03AD"/>
    <w:rsid w:val="008C0C2A"/>
    <w:rsid w:val="008C0F6E"/>
    <w:rsid w:val="008C11D0"/>
    <w:rsid w:val="008C17D2"/>
    <w:rsid w:val="008C1FDA"/>
    <w:rsid w:val="008C22A0"/>
    <w:rsid w:val="008C22C0"/>
    <w:rsid w:val="008C271C"/>
    <w:rsid w:val="008C2936"/>
    <w:rsid w:val="008C36DE"/>
    <w:rsid w:val="008C381D"/>
    <w:rsid w:val="008C4081"/>
    <w:rsid w:val="008C4593"/>
    <w:rsid w:val="008C49E5"/>
    <w:rsid w:val="008C4E58"/>
    <w:rsid w:val="008C594D"/>
    <w:rsid w:val="008C5CA8"/>
    <w:rsid w:val="008C60C5"/>
    <w:rsid w:val="008C6341"/>
    <w:rsid w:val="008C64A6"/>
    <w:rsid w:val="008C6E1D"/>
    <w:rsid w:val="008C7E5F"/>
    <w:rsid w:val="008D0668"/>
    <w:rsid w:val="008D0B15"/>
    <w:rsid w:val="008D0E9E"/>
    <w:rsid w:val="008D125E"/>
    <w:rsid w:val="008D1552"/>
    <w:rsid w:val="008D1753"/>
    <w:rsid w:val="008D1EB3"/>
    <w:rsid w:val="008D2624"/>
    <w:rsid w:val="008D2681"/>
    <w:rsid w:val="008D26A6"/>
    <w:rsid w:val="008D26DD"/>
    <w:rsid w:val="008D2A79"/>
    <w:rsid w:val="008D2AC4"/>
    <w:rsid w:val="008D2E02"/>
    <w:rsid w:val="008D372D"/>
    <w:rsid w:val="008D3C32"/>
    <w:rsid w:val="008D4B01"/>
    <w:rsid w:val="008D525C"/>
    <w:rsid w:val="008D54E3"/>
    <w:rsid w:val="008D57A0"/>
    <w:rsid w:val="008D5A4A"/>
    <w:rsid w:val="008D5DA6"/>
    <w:rsid w:val="008D61F5"/>
    <w:rsid w:val="008D6DC5"/>
    <w:rsid w:val="008D72F1"/>
    <w:rsid w:val="008D74B7"/>
    <w:rsid w:val="008D7E86"/>
    <w:rsid w:val="008E0342"/>
    <w:rsid w:val="008E0449"/>
    <w:rsid w:val="008E06D7"/>
    <w:rsid w:val="008E1667"/>
    <w:rsid w:val="008E1991"/>
    <w:rsid w:val="008E1A52"/>
    <w:rsid w:val="008E3589"/>
    <w:rsid w:val="008E43B5"/>
    <w:rsid w:val="008E462E"/>
    <w:rsid w:val="008E4C43"/>
    <w:rsid w:val="008E5ABE"/>
    <w:rsid w:val="008E6070"/>
    <w:rsid w:val="008E6134"/>
    <w:rsid w:val="008E6197"/>
    <w:rsid w:val="008E7822"/>
    <w:rsid w:val="008E7940"/>
    <w:rsid w:val="008F0293"/>
    <w:rsid w:val="008F0BC3"/>
    <w:rsid w:val="008F0C7D"/>
    <w:rsid w:val="008F10A5"/>
    <w:rsid w:val="008F1414"/>
    <w:rsid w:val="008F174F"/>
    <w:rsid w:val="008F190D"/>
    <w:rsid w:val="008F1C15"/>
    <w:rsid w:val="008F2010"/>
    <w:rsid w:val="008F256B"/>
    <w:rsid w:val="008F2599"/>
    <w:rsid w:val="008F2684"/>
    <w:rsid w:val="008F2BB1"/>
    <w:rsid w:val="008F361D"/>
    <w:rsid w:val="008F37A8"/>
    <w:rsid w:val="008F3FC4"/>
    <w:rsid w:val="008F432C"/>
    <w:rsid w:val="008F441E"/>
    <w:rsid w:val="008F4866"/>
    <w:rsid w:val="008F4912"/>
    <w:rsid w:val="008F538B"/>
    <w:rsid w:val="008F5400"/>
    <w:rsid w:val="008F557D"/>
    <w:rsid w:val="008F5BEC"/>
    <w:rsid w:val="008F5F32"/>
    <w:rsid w:val="008F60FA"/>
    <w:rsid w:val="008F6A4C"/>
    <w:rsid w:val="008F6E11"/>
    <w:rsid w:val="008F709B"/>
    <w:rsid w:val="008F75CD"/>
    <w:rsid w:val="008F7FF3"/>
    <w:rsid w:val="009005BB"/>
    <w:rsid w:val="009006B5"/>
    <w:rsid w:val="00902640"/>
    <w:rsid w:val="00902FB2"/>
    <w:rsid w:val="009036DB"/>
    <w:rsid w:val="00903701"/>
    <w:rsid w:val="00903E4D"/>
    <w:rsid w:val="009040F2"/>
    <w:rsid w:val="009046CB"/>
    <w:rsid w:val="00904BB5"/>
    <w:rsid w:val="00904C8A"/>
    <w:rsid w:val="00904E96"/>
    <w:rsid w:val="00905611"/>
    <w:rsid w:val="00905A1B"/>
    <w:rsid w:val="00905AC7"/>
    <w:rsid w:val="00905D77"/>
    <w:rsid w:val="00905E5C"/>
    <w:rsid w:val="00906157"/>
    <w:rsid w:val="0090666D"/>
    <w:rsid w:val="00906B4D"/>
    <w:rsid w:val="00907157"/>
    <w:rsid w:val="009072BC"/>
    <w:rsid w:val="00910BBC"/>
    <w:rsid w:val="00910BCF"/>
    <w:rsid w:val="00910EAC"/>
    <w:rsid w:val="00911302"/>
    <w:rsid w:val="009119F5"/>
    <w:rsid w:val="00912129"/>
    <w:rsid w:val="009123D5"/>
    <w:rsid w:val="009130B6"/>
    <w:rsid w:val="009139DF"/>
    <w:rsid w:val="00913FA1"/>
    <w:rsid w:val="00914172"/>
    <w:rsid w:val="00914847"/>
    <w:rsid w:val="0091499B"/>
    <w:rsid w:val="00914B0D"/>
    <w:rsid w:val="00915149"/>
    <w:rsid w:val="0091517B"/>
    <w:rsid w:val="0091635C"/>
    <w:rsid w:val="00916D63"/>
    <w:rsid w:val="00916E44"/>
    <w:rsid w:val="00916E72"/>
    <w:rsid w:val="00917022"/>
    <w:rsid w:val="009170B7"/>
    <w:rsid w:val="00917821"/>
    <w:rsid w:val="0092041E"/>
    <w:rsid w:val="0092083E"/>
    <w:rsid w:val="0092096C"/>
    <w:rsid w:val="00920B36"/>
    <w:rsid w:val="00920EA2"/>
    <w:rsid w:val="00921455"/>
    <w:rsid w:val="00921923"/>
    <w:rsid w:val="00921AE3"/>
    <w:rsid w:val="00922125"/>
    <w:rsid w:val="009221F4"/>
    <w:rsid w:val="0092283F"/>
    <w:rsid w:val="00922BA7"/>
    <w:rsid w:val="00923197"/>
    <w:rsid w:val="00923256"/>
    <w:rsid w:val="0092355B"/>
    <w:rsid w:val="00923638"/>
    <w:rsid w:val="00923F36"/>
    <w:rsid w:val="00924234"/>
    <w:rsid w:val="009245B4"/>
    <w:rsid w:val="00924DF4"/>
    <w:rsid w:val="00925095"/>
    <w:rsid w:val="00925F37"/>
    <w:rsid w:val="009273FF"/>
    <w:rsid w:val="0092788A"/>
    <w:rsid w:val="009278A1"/>
    <w:rsid w:val="00927B39"/>
    <w:rsid w:val="00930BF4"/>
    <w:rsid w:val="00930C28"/>
    <w:rsid w:val="00931B44"/>
    <w:rsid w:val="00931E9A"/>
    <w:rsid w:val="009321C8"/>
    <w:rsid w:val="009323F2"/>
    <w:rsid w:val="00932FB6"/>
    <w:rsid w:val="00932FD2"/>
    <w:rsid w:val="009331EC"/>
    <w:rsid w:val="00933375"/>
    <w:rsid w:val="009333F1"/>
    <w:rsid w:val="0093341E"/>
    <w:rsid w:val="0093370C"/>
    <w:rsid w:val="009338CE"/>
    <w:rsid w:val="0093397D"/>
    <w:rsid w:val="0093422B"/>
    <w:rsid w:val="0093441B"/>
    <w:rsid w:val="00934766"/>
    <w:rsid w:val="0093497C"/>
    <w:rsid w:val="00934EB8"/>
    <w:rsid w:val="009354AD"/>
    <w:rsid w:val="009362FB"/>
    <w:rsid w:val="00936631"/>
    <w:rsid w:val="00936963"/>
    <w:rsid w:val="00936C0A"/>
    <w:rsid w:val="00936CB6"/>
    <w:rsid w:val="00936E3E"/>
    <w:rsid w:val="00936E68"/>
    <w:rsid w:val="0093704B"/>
    <w:rsid w:val="009373ED"/>
    <w:rsid w:val="009377A9"/>
    <w:rsid w:val="00940739"/>
    <w:rsid w:val="00941224"/>
    <w:rsid w:val="00941234"/>
    <w:rsid w:val="00941BA6"/>
    <w:rsid w:val="00941DB6"/>
    <w:rsid w:val="00941EB7"/>
    <w:rsid w:val="00942239"/>
    <w:rsid w:val="009426B6"/>
    <w:rsid w:val="00942855"/>
    <w:rsid w:val="00942AB6"/>
    <w:rsid w:val="00942ADF"/>
    <w:rsid w:val="00942B10"/>
    <w:rsid w:val="00942B7E"/>
    <w:rsid w:val="00942B86"/>
    <w:rsid w:val="00943A78"/>
    <w:rsid w:val="00943E32"/>
    <w:rsid w:val="009440F7"/>
    <w:rsid w:val="0094412B"/>
    <w:rsid w:val="00944240"/>
    <w:rsid w:val="00944306"/>
    <w:rsid w:val="00944695"/>
    <w:rsid w:val="009448BB"/>
    <w:rsid w:val="00944E28"/>
    <w:rsid w:val="009451E0"/>
    <w:rsid w:val="009456AD"/>
    <w:rsid w:val="0094624F"/>
    <w:rsid w:val="009465FC"/>
    <w:rsid w:val="0094687C"/>
    <w:rsid w:val="009469F5"/>
    <w:rsid w:val="00946A4A"/>
    <w:rsid w:val="00946D24"/>
    <w:rsid w:val="00947380"/>
    <w:rsid w:val="00950609"/>
    <w:rsid w:val="00950839"/>
    <w:rsid w:val="00950C27"/>
    <w:rsid w:val="00950CB2"/>
    <w:rsid w:val="009512CD"/>
    <w:rsid w:val="0095209D"/>
    <w:rsid w:val="009535E3"/>
    <w:rsid w:val="00953602"/>
    <w:rsid w:val="00954056"/>
    <w:rsid w:val="009545A3"/>
    <w:rsid w:val="009545B0"/>
    <w:rsid w:val="00954B0E"/>
    <w:rsid w:val="009551F2"/>
    <w:rsid w:val="00955245"/>
    <w:rsid w:val="009553C2"/>
    <w:rsid w:val="009556F8"/>
    <w:rsid w:val="00955846"/>
    <w:rsid w:val="009561F3"/>
    <w:rsid w:val="00956262"/>
    <w:rsid w:val="00956508"/>
    <w:rsid w:val="0095653D"/>
    <w:rsid w:val="009568B7"/>
    <w:rsid w:val="00956968"/>
    <w:rsid w:val="00957370"/>
    <w:rsid w:val="009573CA"/>
    <w:rsid w:val="00957578"/>
    <w:rsid w:val="00957F30"/>
    <w:rsid w:val="00960063"/>
    <w:rsid w:val="0096045D"/>
    <w:rsid w:val="00960C07"/>
    <w:rsid w:val="00960C10"/>
    <w:rsid w:val="009610B6"/>
    <w:rsid w:val="00961272"/>
    <w:rsid w:val="00961661"/>
    <w:rsid w:val="00961CFC"/>
    <w:rsid w:val="00962D81"/>
    <w:rsid w:val="00963072"/>
    <w:rsid w:val="00963476"/>
    <w:rsid w:val="00963D08"/>
    <w:rsid w:val="00964036"/>
    <w:rsid w:val="0096431A"/>
    <w:rsid w:val="00964ADF"/>
    <w:rsid w:val="00964F66"/>
    <w:rsid w:val="00965107"/>
    <w:rsid w:val="0096510E"/>
    <w:rsid w:val="009653F0"/>
    <w:rsid w:val="00965681"/>
    <w:rsid w:val="009656BD"/>
    <w:rsid w:val="009659EC"/>
    <w:rsid w:val="009661BD"/>
    <w:rsid w:val="00966685"/>
    <w:rsid w:val="0096670F"/>
    <w:rsid w:val="00966A20"/>
    <w:rsid w:val="00967279"/>
    <w:rsid w:val="00967580"/>
    <w:rsid w:val="0096791A"/>
    <w:rsid w:val="00967CBB"/>
    <w:rsid w:val="00967F8E"/>
    <w:rsid w:val="009704F3"/>
    <w:rsid w:val="009706F1"/>
    <w:rsid w:val="00970BAB"/>
    <w:rsid w:val="00970E47"/>
    <w:rsid w:val="00971845"/>
    <w:rsid w:val="00972738"/>
    <w:rsid w:val="00972E14"/>
    <w:rsid w:val="00973172"/>
    <w:rsid w:val="00973B70"/>
    <w:rsid w:val="00973D91"/>
    <w:rsid w:val="00973FA3"/>
    <w:rsid w:val="00974038"/>
    <w:rsid w:val="00974361"/>
    <w:rsid w:val="009749EF"/>
    <w:rsid w:val="00975D2D"/>
    <w:rsid w:val="0097618F"/>
    <w:rsid w:val="009763C7"/>
    <w:rsid w:val="00976732"/>
    <w:rsid w:val="00976F78"/>
    <w:rsid w:val="009770B5"/>
    <w:rsid w:val="0097722D"/>
    <w:rsid w:val="00977283"/>
    <w:rsid w:val="0097752C"/>
    <w:rsid w:val="0097797D"/>
    <w:rsid w:val="00981487"/>
    <w:rsid w:val="009816B2"/>
    <w:rsid w:val="0098170D"/>
    <w:rsid w:val="00981BEB"/>
    <w:rsid w:val="00981F6C"/>
    <w:rsid w:val="009825A6"/>
    <w:rsid w:val="009826DC"/>
    <w:rsid w:val="00982911"/>
    <w:rsid w:val="00982FAC"/>
    <w:rsid w:val="0098345F"/>
    <w:rsid w:val="0098382C"/>
    <w:rsid w:val="00983E39"/>
    <w:rsid w:val="009856E0"/>
    <w:rsid w:val="00985707"/>
    <w:rsid w:val="009858CF"/>
    <w:rsid w:val="0098593E"/>
    <w:rsid w:val="00985D19"/>
    <w:rsid w:val="0098696E"/>
    <w:rsid w:val="00986C95"/>
    <w:rsid w:val="00987320"/>
    <w:rsid w:val="00987DBF"/>
    <w:rsid w:val="009900BD"/>
    <w:rsid w:val="009906BB"/>
    <w:rsid w:val="00990B91"/>
    <w:rsid w:val="00990BE7"/>
    <w:rsid w:val="00990D57"/>
    <w:rsid w:val="00990E1B"/>
    <w:rsid w:val="00991C8F"/>
    <w:rsid w:val="00992004"/>
    <w:rsid w:val="00992DBB"/>
    <w:rsid w:val="00992F08"/>
    <w:rsid w:val="00992FA4"/>
    <w:rsid w:val="00993251"/>
    <w:rsid w:val="0099342D"/>
    <w:rsid w:val="00993838"/>
    <w:rsid w:val="009939AF"/>
    <w:rsid w:val="009939B5"/>
    <w:rsid w:val="00993B0B"/>
    <w:rsid w:val="00994054"/>
    <w:rsid w:val="009944AC"/>
    <w:rsid w:val="0099463F"/>
    <w:rsid w:val="0099486B"/>
    <w:rsid w:val="00995734"/>
    <w:rsid w:val="009957E4"/>
    <w:rsid w:val="00995A64"/>
    <w:rsid w:val="00995E10"/>
    <w:rsid w:val="00996399"/>
    <w:rsid w:val="00996411"/>
    <w:rsid w:val="00996479"/>
    <w:rsid w:val="009969AC"/>
    <w:rsid w:val="00996DEB"/>
    <w:rsid w:val="00997E87"/>
    <w:rsid w:val="00997FC5"/>
    <w:rsid w:val="009A01EE"/>
    <w:rsid w:val="009A01F5"/>
    <w:rsid w:val="009A035D"/>
    <w:rsid w:val="009A06E4"/>
    <w:rsid w:val="009A09F0"/>
    <w:rsid w:val="009A0A46"/>
    <w:rsid w:val="009A0B64"/>
    <w:rsid w:val="009A0DE5"/>
    <w:rsid w:val="009A0E94"/>
    <w:rsid w:val="009A0EA2"/>
    <w:rsid w:val="009A0F46"/>
    <w:rsid w:val="009A179A"/>
    <w:rsid w:val="009A1B5D"/>
    <w:rsid w:val="009A1DBD"/>
    <w:rsid w:val="009A21DA"/>
    <w:rsid w:val="009A2740"/>
    <w:rsid w:val="009A2840"/>
    <w:rsid w:val="009A289D"/>
    <w:rsid w:val="009A2B6B"/>
    <w:rsid w:val="009A41DF"/>
    <w:rsid w:val="009A4234"/>
    <w:rsid w:val="009A4249"/>
    <w:rsid w:val="009A44C2"/>
    <w:rsid w:val="009A45B1"/>
    <w:rsid w:val="009A48A6"/>
    <w:rsid w:val="009A511B"/>
    <w:rsid w:val="009A5339"/>
    <w:rsid w:val="009A5721"/>
    <w:rsid w:val="009A5736"/>
    <w:rsid w:val="009A5CC1"/>
    <w:rsid w:val="009A6307"/>
    <w:rsid w:val="009A664E"/>
    <w:rsid w:val="009A6AA5"/>
    <w:rsid w:val="009A708B"/>
    <w:rsid w:val="009A7892"/>
    <w:rsid w:val="009A79AA"/>
    <w:rsid w:val="009B0180"/>
    <w:rsid w:val="009B05F2"/>
    <w:rsid w:val="009B11D4"/>
    <w:rsid w:val="009B1354"/>
    <w:rsid w:val="009B1C1B"/>
    <w:rsid w:val="009B1ED9"/>
    <w:rsid w:val="009B269F"/>
    <w:rsid w:val="009B2858"/>
    <w:rsid w:val="009B313F"/>
    <w:rsid w:val="009B351D"/>
    <w:rsid w:val="009B47E1"/>
    <w:rsid w:val="009B48E8"/>
    <w:rsid w:val="009B622B"/>
    <w:rsid w:val="009B694A"/>
    <w:rsid w:val="009B6C65"/>
    <w:rsid w:val="009B6CD8"/>
    <w:rsid w:val="009B7882"/>
    <w:rsid w:val="009B79E5"/>
    <w:rsid w:val="009C0661"/>
    <w:rsid w:val="009C0968"/>
    <w:rsid w:val="009C0CFC"/>
    <w:rsid w:val="009C1699"/>
    <w:rsid w:val="009C172B"/>
    <w:rsid w:val="009C1C50"/>
    <w:rsid w:val="009C1CDE"/>
    <w:rsid w:val="009C1E8C"/>
    <w:rsid w:val="009C237C"/>
    <w:rsid w:val="009C2D54"/>
    <w:rsid w:val="009C325F"/>
    <w:rsid w:val="009C3292"/>
    <w:rsid w:val="009C36B6"/>
    <w:rsid w:val="009C3E5F"/>
    <w:rsid w:val="009C3EAB"/>
    <w:rsid w:val="009C41B8"/>
    <w:rsid w:val="009C4A85"/>
    <w:rsid w:val="009C4AA9"/>
    <w:rsid w:val="009C4E42"/>
    <w:rsid w:val="009C52E2"/>
    <w:rsid w:val="009C5447"/>
    <w:rsid w:val="009C5BBA"/>
    <w:rsid w:val="009C5D9A"/>
    <w:rsid w:val="009C6400"/>
    <w:rsid w:val="009C65D3"/>
    <w:rsid w:val="009C6662"/>
    <w:rsid w:val="009C69C4"/>
    <w:rsid w:val="009C6B5E"/>
    <w:rsid w:val="009C6DAE"/>
    <w:rsid w:val="009C6E21"/>
    <w:rsid w:val="009D02B8"/>
    <w:rsid w:val="009D0365"/>
    <w:rsid w:val="009D03F7"/>
    <w:rsid w:val="009D043A"/>
    <w:rsid w:val="009D0A06"/>
    <w:rsid w:val="009D0B1E"/>
    <w:rsid w:val="009D153F"/>
    <w:rsid w:val="009D1BDA"/>
    <w:rsid w:val="009D3702"/>
    <w:rsid w:val="009D3735"/>
    <w:rsid w:val="009D3D0B"/>
    <w:rsid w:val="009D4ED4"/>
    <w:rsid w:val="009D5217"/>
    <w:rsid w:val="009D5242"/>
    <w:rsid w:val="009D55A5"/>
    <w:rsid w:val="009D57AC"/>
    <w:rsid w:val="009D5C87"/>
    <w:rsid w:val="009D609B"/>
    <w:rsid w:val="009D641C"/>
    <w:rsid w:val="009D662B"/>
    <w:rsid w:val="009D6710"/>
    <w:rsid w:val="009D6729"/>
    <w:rsid w:val="009D69B1"/>
    <w:rsid w:val="009D6F2D"/>
    <w:rsid w:val="009D71B8"/>
    <w:rsid w:val="009D738D"/>
    <w:rsid w:val="009D73C4"/>
    <w:rsid w:val="009D7566"/>
    <w:rsid w:val="009D7769"/>
    <w:rsid w:val="009D7AEA"/>
    <w:rsid w:val="009E00D4"/>
    <w:rsid w:val="009E01DA"/>
    <w:rsid w:val="009E0A53"/>
    <w:rsid w:val="009E0D85"/>
    <w:rsid w:val="009E10CA"/>
    <w:rsid w:val="009E12AF"/>
    <w:rsid w:val="009E2A55"/>
    <w:rsid w:val="009E2E1B"/>
    <w:rsid w:val="009E3F6A"/>
    <w:rsid w:val="009E4804"/>
    <w:rsid w:val="009E5195"/>
    <w:rsid w:val="009E5A32"/>
    <w:rsid w:val="009E5EAD"/>
    <w:rsid w:val="009E6FFE"/>
    <w:rsid w:val="009E7509"/>
    <w:rsid w:val="009E7BF4"/>
    <w:rsid w:val="009F026E"/>
    <w:rsid w:val="009F028D"/>
    <w:rsid w:val="009F0646"/>
    <w:rsid w:val="009F108C"/>
    <w:rsid w:val="009F1AB5"/>
    <w:rsid w:val="009F1B28"/>
    <w:rsid w:val="009F2548"/>
    <w:rsid w:val="009F2623"/>
    <w:rsid w:val="009F27D9"/>
    <w:rsid w:val="009F31A1"/>
    <w:rsid w:val="009F32E3"/>
    <w:rsid w:val="009F3529"/>
    <w:rsid w:val="009F3A7D"/>
    <w:rsid w:val="009F44EB"/>
    <w:rsid w:val="009F4D04"/>
    <w:rsid w:val="009F4D97"/>
    <w:rsid w:val="009F56F4"/>
    <w:rsid w:val="009F6121"/>
    <w:rsid w:val="009F61DA"/>
    <w:rsid w:val="009F649C"/>
    <w:rsid w:val="009F6551"/>
    <w:rsid w:val="009F709D"/>
    <w:rsid w:val="009F7146"/>
    <w:rsid w:val="009F7294"/>
    <w:rsid w:val="009F77BB"/>
    <w:rsid w:val="009F7C35"/>
    <w:rsid w:val="00A0056A"/>
    <w:rsid w:val="00A005EF"/>
    <w:rsid w:val="00A008C4"/>
    <w:rsid w:val="00A00DA5"/>
    <w:rsid w:val="00A00E28"/>
    <w:rsid w:val="00A02130"/>
    <w:rsid w:val="00A0259F"/>
    <w:rsid w:val="00A025A0"/>
    <w:rsid w:val="00A025C9"/>
    <w:rsid w:val="00A03175"/>
    <w:rsid w:val="00A03995"/>
    <w:rsid w:val="00A0436E"/>
    <w:rsid w:val="00A04655"/>
    <w:rsid w:val="00A04699"/>
    <w:rsid w:val="00A0470C"/>
    <w:rsid w:val="00A04859"/>
    <w:rsid w:val="00A0493F"/>
    <w:rsid w:val="00A04F1C"/>
    <w:rsid w:val="00A051A8"/>
    <w:rsid w:val="00A05868"/>
    <w:rsid w:val="00A05C98"/>
    <w:rsid w:val="00A062B8"/>
    <w:rsid w:val="00A069F2"/>
    <w:rsid w:val="00A06FC1"/>
    <w:rsid w:val="00A073A0"/>
    <w:rsid w:val="00A075BF"/>
    <w:rsid w:val="00A07A04"/>
    <w:rsid w:val="00A10033"/>
    <w:rsid w:val="00A101F7"/>
    <w:rsid w:val="00A1043B"/>
    <w:rsid w:val="00A116A4"/>
    <w:rsid w:val="00A11B6F"/>
    <w:rsid w:val="00A126FE"/>
    <w:rsid w:val="00A12735"/>
    <w:rsid w:val="00A12932"/>
    <w:rsid w:val="00A12F69"/>
    <w:rsid w:val="00A13125"/>
    <w:rsid w:val="00A1318F"/>
    <w:rsid w:val="00A132F2"/>
    <w:rsid w:val="00A135BC"/>
    <w:rsid w:val="00A13866"/>
    <w:rsid w:val="00A14342"/>
    <w:rsid w:val="00A149BB"/>
    <w:rsid w:val="00A152AD"/>
    <w:rsid w:val="00A15DFA"/>
    <w:rsid w:val="00A15F79"/>
    <w:rsid w:val="00A161DD"/>
    <w:rsid w:val="00A166AF"/>
    <w:rsid w:val="00A1680E"/>
    <w:rsid w:val="00A172B0"/>
    <w:rsid w:val="00A174DC"/>
    <w:rsid w:val="00A17868"/>
    <w:rsid w:val="00A17C12"/>
    <w:rsid w:val="00A20133"/>
    <w:rsid w:val="00A2057F"/>
    <w:rsid w:val="00A206EB"/>
    <w:rsid w:val="00A215D5"/>
    <w:rsid w:val="00A21658"/>
    <w:rsid w:val="00A21879"/>
    <w:rsid w:val="00A21E0A"/>
    <w:rsid w:val="00A222F2"/>
    <w:rsid w:val="00A224B9"/>
    <w:rsid w:val="00A22516"/>
    <w:rsid w:val="00A228D4"/>
    <w:rsid w:val="00A22ED2"/>
    <w:rsid w:val="00A23209"/>
    <w:rsid w:val="00A23979"/>
    <w:rsid w:val="00A23B13"/>
    <w:rsid w:val="00A247A2"/>
    <w:rsid w:val="00A24C88"/>
    <w:rsid w:val="00A24DA0"/>
    <w:rsid w:val="00A252C3"/>
    <w:rsid w:val="00A253C2"/>
    <w:rsid w:val="00A260B3"/>
    <w:rsid w:val="00A268DC"/>
    <w:rsid w:val="00A27303"/>
    <w:rsid w:val="00A27C26"/>
    <w:rsid w:val="00A30524"/>
    <w:rsid w:val="00A30844"/>
    <w:rsid w:val="00A312F9"/>
    <w:rsid w:val="00A313FA"/>
    <w:rsid w:val="00A31B3C"/>
    <w:rsid w:val="00A31FA5"/>
    <w:rsid w:val="00A32292"/>
    <w:rsid w:val="00A3261F"/>
    <w:rsid w:val="00A32AC3"/>
    <w:rsid w:val="00A32BBF"/>
    <w:rsid w:val="00A339E1"/>
    <w:rsid w:val="00A33BFD"/>
    <w:rsid w:val="00A34746"/>
    <w:rsid w:val="00A34AE9"/>
    <w:rsid w:val="00A3510D"/>
    <w:rsid w:val="00A35544"/>
    <w:rsid w:val="00A36A79"/>
    <w:rsid w:val="00A36E32"/>
    <w:rsid w:val="00A36F3F"/>
    <w:rsid w:val="00A371C0"/>
    <w:rsid w:val="00A37E36"/>
    <w:rsid w:val="00A4054C"/>
    <w:rsid w:val="00A40B64"/>
    <w:rsid w:val="00A40ED5"/>
    <w:rsid w:val="00A41181"/>
    <w:rsid w:val="00A420C5"/>
    <w:rsid w:val="00A424A6"/>
    <w:rsid w:val="00A42CF3"/>
    <w:rsid w:val="00A42D4D"/>
    <w:rsid w:val="00A43789"/>
    <w:rsid w:val="00A43BB2"/>
    <w:rsid w:val="00A44207"/>
    <w:rsid w:val="00A4426B"/>
    <w:rsid w:val="00A44AB0"/>
    <w:rsid w:val="00A44D33"/>
    <w:rsid w:val="00A44D43"/>
    <w:rsid w:val="00A44DD2"/>
    <w:rsid w:val="00A45017"/>
    <w:rsid w:val="00A45429"/>
    <w:rsid w:val="00A4581E"/>
    <w:rsid w:val="00A45A60"/>
    <w:rsid w:val="00A46875"/>
    <w:rsid w:val="00A47684"/>
    <w:rsid w:val="00A47845"/>
    <w:rsid w:val="00A47880"/>
    <w:rsid w:val="00A47C7E"/>
    <w:rsid w:val="00A503EA"/>
    <w:rsid w:val="00A50623"/>
    <w:rsid w:val="00A50948"/>
    <w:rsid w:val="00A509A7"/>
    <w:rsid w:val="00A50B1B"/>
    <w:rsid w:val="00A50BCF"/>
    <w:rsid w:val="00A50E95"/>
    <w:rsid w:val="00A51108"/>
    <w:rsid w:val="00A51398"/>
    <w:rsid w:val="00A51A98"/>
    <w:rsid w:val="00A51C6B"/>
    <w:rsid w:val="00A526C6"/>
    <w:rsid w:val="00A52AA3"/>
    <w:rsid w:val="00A52B22"/>
    <w:rsid w:val="00A53B4D"/>
    <w:rsid w:val="00A5475B"/>
    <w:rsid w:val="00A54A27"/>
    <w:rsid w:val="00A550D5"/>
    <w:rsid w:val="00A55169"/>
    <w:rsid w:val="00A556CE"/>
    <w:rsid w:val="00A55ACC"/>
    <w:rsid w:val="00A55FF4"/>
    <w:rsid w:val="00A56399"/>
    <w:rsid w:val="00A5672F"/>
    <w:rsid w:val="00A567D4"/>
    <w:rsid w:val="00A567E0"/>
    <w:rsid w:val="00A56BBE"/>
    <w:rsid w:val="00A56D55"/>
    <w:rsid w:val="00A56EEE"/>
    <w:rsid w:val="00A57249"/>
    <w:rsid w:val="00A5728A"/>
    <w:rsid w:val="00A57DFA"/>
    <w:rsid w:val="00A60F0B"/>
    <w:rsid w:val="00A6146F"/>
    <w:rsid w:val="00A6194C"/>
    <w:rsid w:val="00A61BB0"/>
    <w:rsid w:val="00A61E4B"/>
    <w:rsid w:val="00A628AA"/>
    <w:rsid w:val="00A62B18"/>
    <w:rsid w:val="00A63A04"/>
    <w:rsid w:val="00A63C59"/>
    <w:rsid w:val="00A640C6"/>
    <w:rsid w:val="00A64401"/>
    <w:rsid w:val="00A648AC"/>
    <w:rsid w:val="00A64A71"/>
    <w:rsid w:val="00A65590"/>
    <w:rsid w:val="00A656FE"/>
    <w:rsid w:val="00A65DB9"/>
    <w:rsid w:val="00A65DBD"/>
    <w:rsid w:val="00A6678F"/>
    <w:rsid w:val="00A668F4"/>
    <w:rsid w:val="00A66F40"/>
    <w:rsid w:val="00A66F56"/>
    <w:rsid w:val="00A675CA"/>
    <w:rsid w:val="00A67789"/>
    <w:rsid w:val="00A6791D"/>
    <w:rsid w:val="00A67BFF"/>
    <w:rsid w:val="00A67FCD"/>
    <w:rsid w:val="00A70192"/>
    <w:rsid w:val="00A7027F"/>
    <w:rsid w:val="00A702B5"/>
    <w:rsid w:val="00A7050C"/>
    <w:rsid w:val="00A7092E"/>
    <w:rsid w:val="00A713BB"/>
    <w:rsid w:val="00A71881"/>
    <w:rsid w:val="00A71D5A"/>
    <w:rsid w:val="00A71F74"/>
    <w:rsid w:val="00A72089"/>
    <w:rsid w:val="00A7249D"/>
    <w:rsid w:val="00A72AB3"/>
    <w:rsid w:val="00A72D05"/>
    <w:rsid w:val="00A731C8"/>
    <w:rsid w:val="00A73833"/>
    <w:rsid w:val="00A73A12"/>
    <w:rsid w:val="00A742F3"/>
    <w:rsid w:val="00A746DE"/>
    <w:rsid w:val="00A751EA"/>
    <w:rsid w:val="00A75220"/>
    <w:rsid w:val="00A75A93"/>
    <w:rsid w:val="00A75ED0"/>
    <w:rsid w:val="00A7630B"/>
    <w:rsid w:val="00A76CCE"/>
    <w:rsid w:val="00A76CFB"/>
    <w:rsid w:val="00A76D03"/>
    <w:rsid w:val="00A77446"/>
    <w:rsid w:val="00A7750C"/>
    <w:rsid w:val="00A779FA"/>
    <w:rsid w:val="00A77F1C"/>
    <w:rsid w:val="00A80106"/>
    <w:rsid w:val="00A806F1"/>
    <w:rsid w:val="00A80BB5"/>
    <w:rsid w:val="00A80BEB"/>
    <w:rsid w:val="00A813B4"/>
    <w:rsid w:val="00A81901"/>
    <w:rsid w:val="00A828E4"/>
    <w:rsid w:val="00A83814"/>
    <w:rsid w:val="00A839FA"/>
    <w:rsid w:val="00A83CD9"/>
    <w:rsid w:val="00A83FAD"/>
    <w:rsid w:val="00A8412E"/>
    <w:rsid w:val="00A8414B"/>
    <w:rsid w:val="00A847E6"/>
    <w:rsid w:val="00A84E98"/>
    <w:rsid w:val="00A85447"/>
    <w:rsid w:val="00A864B0"/>
    <w:rsid w:val="00A86BB0"/>
    <w:rsid w:val="00A87A1A"/>
    <w:rsid w:val="00A87A81"/>
    <w:rsid w:val="00A9042C"/>
    <w:rsid w:val="00A912E0"/>
    <w:rsid w:val="00A91456"/>
    <w:rsid w:val="00A91BDA"/>
    <w:rsid w:val="00A92265"/>
    <w:rsid w:val="00A92615"/>
    <w:rsid w:val="00A92B1A"/>
    <w:rsid w:val="00A92D4B"/>
    <w:rsid w:val="00A93B9F"/>
    <w:rsid w:val="00A93EE2"/>
    <w:rsid w:val="00A946B4"/>
    <w:rsid w:val="00A94EB8"/>
    <w:rsid w:val="00A95078"/>
    <w:rsid w:val="00A95799"/>
    <w:rsid w:val="00A958BD"/>
    <w:rsid w:val="00A96296"/>
    <w:rsid w:val="00A9721D"/>
    <w:rsid w:val="00A9723D"/>
    <w:rsid w:val="00A9725A"/>
    <w:rsid w:val="00A973AB"/>
    <w:rsid w:val="00A97730"/>
    <w:rsid w:val="00AA0A26"/>
    <w:rsid w:val="00AA0EB0"/>
    <w:rsid w:val="00AA17AF"/>
    <w:rsid w:val="00AA18A2"/>
    <w:rsid w:val="00AA2097"/>
    <w:rsid w:val="00AA233E"/>
    <w:rsid w:val="00AA2599"/>
    <w:rsid w:val="00AA2964"/>
    <w:rsid w:val="00AA3CEF"/>
    <w:rsid w:val="00AA3F56"/>
    <w:rsid w:val="00AA4690"/>
    <w:rsid w:val="00AA4EFD"/>
    <w:rsid w:val="00AA4F3B"/>
    <w:rsid w:val="00AA4FF6"/>
    <w:rsid w:val="00AA5332"/>
    <w:rsid w:val="00AA53F7"/>
    <w:rsid w:val="00AA545D"/>
    <w:rsid w:val="00AA5C3C"/>
    <w:rsid w:val="00AA5CCB"/>
    <w:rsid w:val="00AA635D"/>
    <w:rsid w:val="00AA6584"/>
    <w:rsid w:val="00AA6E43"/>
    <w:rsid w:val="00AA7834"/>
    <w:rsid w:val="00AA79E3"/>
    <w:rsid w:val="00AA7B25"/>
    <w:rsid w:val="00AB0938"/>
    <w:rsid w:val="00AB0C5D"/>
    <w:rsid w:val="00AB2333"/>
    <w:rsid w:val="00AB2CFF"/>
    <w:rsid w:val="00AB2D09"/>
    <w:rsid w:val="00AB2F38"/>
    <w:rsid w:val="00AB32DA"/>
    <w:rsid w:val="00AB33DB"/>
    <w:rsid w:val="00AB3437"/>
    <w:rsid w:val="00AB35B1"/>
    <w:rsid w:val="00AB384A"/>
    <w:rsid w:val="00AB3A3B"/>
    <w:rsid w:val="00AB3B1B"/>
    <w:rsid w:val="00AB4076"/>
    <w:rsid w:val="00AB44E0"/>
    <w:rsid w:val="00AB465D"/>
    <w:rsid w:val="00AB4835"/>
    <w:rsid w:val="00AB5216"/>
    <w:rsid w:val="00AB5520"/>
    <w:rsid w:val="00AB5775"/>
    <w:rsid w:val="00AB58AE"/>
    <w:rsid w:val="00AB590A"/>
    <w:rsid w:val="00AB5931"/>
    <w:rsid w:val="00AB5AE5"/>
    <w:rsid w:val="00AB5F68"/>
    <w:rsid w:val="00AB5FD7"/>
    <w:rsid w:val="00AB6045"/>
    <w:rsid w:val="00AB6839"/>
    <w:rsid w:val="00AB6F20"/>
    <w:rsid w:val="00AB74B3"/>
    <w:rsid w:val="00AB7539"/>
    <w:rsid w:val="00AC00BC"/>
    <w:rsid w:val="00AC07E0"/>
    <w:rsid w:val="00AC0E7F"/>
    <w:rsid w:val="00AC1014"/>
    <w:rsid w:val="00AC10FA"/>
    <w:rsid w:val="00AC1BA2"/>
    <w:rsid w:val="00AC21BB"/>
    <w:rsid w:val="00AC3438"/>
    <w:rsid w:val="00AC3537"/>
    <w:rsid w:val="00AC369C"/>
    <w:rsid w:val="00AC37FA"/>
    <w:rsid w:val="00AC4072"/>
    <w:rsid w:val="00AC488A"/>
    <w:rsid w:val="00AC64B2"/>
    <w:rsid w:val="00AC666D"/>
    <w:rsid w:val="00AC7193"/>
    <w:rsid w:val="00AC71F1"/>
    <w:rsid w:val="00AC7A65"/>
    <w:rsid w:val="00AC7F97"/>
    <w:rsid w:val="00AD0005"/>
    <w:rsid w:val="00AD01C4"/>
    <w:rsid w:val="00AD0EC4"/>
    <w:rsid w:val="00AD14D5"/>
    <w:rsid w:val="00AD1B58"/>
    <w:rsid w:val="00AD1C73"/>
    <w:rsid w:val="00AD2572"/>
    <w:rsid w:val="00AD2776"/>
    <w:rsid w:val="00AD2A4A"/>
    <w:rsid w:val="00AD2A6C"/>
    <w:rsid w:val="00AD39CE"/>
    <w:rsid w:val="00AD3A44"/>
    <w:rsid w:val="00AD3A72"/>
    <w:rsid w:val="00AD3E7A"/>
    <w:rsid w:val="00AD436B"/>
    <w:rsid w:val="00AD4D8A"/>
    <w:rsid w:val="00AD4F47"/>
    <w:rsid w:val="00AD51A2"/>
    <w:rsid w:val="00AD5288"/>
    <w:rsid w:val="00AD680E"/>
    <w:rsid w:val="00AD69F5"/>
    <w:rsid w:val="00AD6CCA"/>
    <w:rsid w:val="00AE0235"/>
    <w:rsid w:val="00AE0389"/>
    <w:rsid w:val="00AE08D6"/>
    <w:rsid w:val="00AE0BB2"/>
    <w:rsid w:val="00AE0BF3"/>
    <w:rsid w:val="00AE0E4D"/>
    <w:rsid w:val="00AE10F5"/>
    <w:rsid w:val="00AE11DC"/>
    <w:rsid w:val="00AE14B2"/>
    <w:rsid w:val="00AE1BD8"/>
    <w:rsid w:val="00AE268E"/>
    <w:rsid w:val="00AE2E9A"/>
    <w:rsid w:val="00AE2F57"/>
    <w:rsid w:val="00AE37D9"/>
    <w:rsid w:val="00AE3CCB"/>
    <w:rsid w:val="00AE49BF"/>
    <w:rsid w:val="00AE4A58"/>
    <w:rsid w:val="00AE5437"/>
    <w:rsid w:val="00AE5B08"/>
    <w:rsid w:val="00AE5B50"/>
    <w:rsid w:val="00AE5B8E"/>
    <w:rsid w:val="00AE5F23"/>
    <w:rsid w:val="00AE6B8B"/>
    <w:rsid w:val="00AE6D5F"/>
    <w:rsid w:val="00AE7561"/>
    <w:rsid w:val="00AE778D"/>
    <w:rsid w:val="00AE7C3D"/>
    <w:rsid w:val="00AE7FF1"/>
    <w:rsid w:val="00AF019C"/>
    <w:rsid w:val="00AF03C1"/>
    <w:rsid w:val="00AF041C"/>
    <w:rsid w:val="00AF0674"/>
    <w:rsid w:val="00AF084C"/>
    <w:rsid w:val="00AF0E15"/>
    <w:rsid w:val="00AF162C"/>
    <w:rsid w:val="00AF1A7F"/>
    <w:rsid w:val="00AF1FA1"/>
    <w:rsid w:val="00AF2864"/>
    <w:rsid w:val="00AF28BB"/>
    <w:rsid w:val="00AF2AE2"/>
    <w:rsid w:val="00AF38AA"/>
    <w:rsid w:val="00AF3E86"/>
    <w:rsid w:val="00AF3F55"/>
    <w:rsid w:val="00AF4074"/>
    <w:rsid w:val="00AF4082"/>
    <w:rsid w:val="00AF4664"/>
    <w:rsid w:val="00AF6545"/>
    <w:rsid w:val="00AF7119"/>
    <w:rsid w:val="00AF71BD"/>
    <w:rsid w:val="00AF790A"/>
    <w:rsid w:val="00B000C2"/>
    <w:rsid w:val="00B000EB"/>
    <w:rsid w:val="00B00105"/>
    <w:rsid w:val="00B001A8"/>
    <w:rsid w:val="00B00707"/>
    <w:rsid w:val="00B007FA"/>
    <w:rsid w:val="00B00A42"/>
    <w:rsid w:val="00B01D9D"/>
    <w:rsid w:val="00B030E7"/>
    <w:rsid w:val="00B03148"/>
    <w:rsid w:val="00B0399B"/>
    <w:rsid w:val="00B03C82"/>
    <w:rsid w:val="00B0437F"/>
    <w:rsid w:val="00B048D3"/>
    <w:rsid w:val="00B049E1"/>
    <w:rsid w:val="00B04A6F"/>
    <w:rsid w:val="00B04C85"/>
    <w:rsid w:val="00B04DDE"/>
    <w:rsid w:val="00B052AD"/>
    <w:rsid w:val="00B055AD"/>
    <w:rsid w:val="00B0607B"/>
    <w:rsid w:val="00B0643E"/>
    <w:rsid w:val="00B067E6"/>
    <w:rsid w:val="00B0718B"/>
    <w:rsid w:val="00B109AA"/>
    <w:rsid w:val="00B11B75"/>
    <w:rsid w:val="00B1208D"/>
    <w:rsid w:val="00B12355"/>
    <w:rsid w:val="00B1262D"/>
    <w:rsid w:val="00B133B6"/>
    <w:rsid w:val="00B1392D"/>
    <w:rsid w:val="00B13F74"/>
    <w:rsid w:val="00B140C6"/>
    <w:rsid w:val="00B14989"/>
    <w:rsid w:val="00B14F1D"/>
    <w:rsid w:val="00B15653"/>
    <w:rsid w:val="00B157BC"/>
    <w:rsid w:val="00B1588A"/>
    <w:rsid w:val="00B15950"/>
    <w:rsid w:val="00B15BFB"/>
    <w:rsid w:val="00B15CF8"/>
    <w:rsid w:val="00B16804"/>
    <w:rsid w:val="00B16DE4"/>
    <w:rsid w:val="00B1737E"/>
    <w:rsid w:val="00B175FE"/>
    <w:rsid w:val="00B20274"/>
    <w:rsid w:val="00B20B90"/>
    <w:rsid w:val="00B21B44"/>
    <w:rsid w:val="00B21E82"/>
    <w:rsid w:val="00B22E16"/>
    <w:rsid w:val="00B236E8"/>
    <w:rsid w:val="00B23956"/>
    <w:rsid w:val="00B239A9"/>
    <w:rsid w:val="00B23ED5"/>
    <w:rsid w:val="00B24A20"/>
    <w:rsid w:val="00B24A5F"/>
    <w:rsid w:val="00B24B34"/>
    <w:rsid w:val="00B256A7"/>
    <w:rsid w:val="00B2596E"/>
    <w:rsid w:val="00B25BC4"/>
    <w:rsid w:val="00B25C69"/>
    <w:rsid w:val="00B26149"/>
    <w:rsid w:val="00B262B4"/>
    <w:rsid w:val="00B263D3"/>
    <w:rsid w:val="00B26687"/>
    <w:rsid w:val="00B2682E"/>
    <w:rsid w:val="00B2686B"/>
    <w:rsid w:val="00B272D5"/>
    <w:rsid w:val="00B27668"/>
    <w:rsid w:val="00B2792F"/>
    <w:rsid w:val="00B3031C"/>
    <w:rsid w:val="00B3043E"/>
    <w:rsid w:val="00B309ED"/>
    <w:rsid w:val="00B315B1"/>
    <w:rsid w:val="00B31722"/>
    <w:rsid w:val="00B319AA"/>
    <w:rsid w:val="00B32B06"/>
    <w:rsid w:val="00B33693"/>
    <w:rsid w:val="00B33A13"/>
    <w:rsid w:val="00B34301"/>
    <w:rsid w:val="00B34C97"/>
    <w:rsid w:val="00B34F1B"/>
    <w:rsid w:val="00B350E2"/>
    <w:rsid w:val="00B35823"/>
    <w:rsid w:val="00B35AD4"/>
    <w:rsid w:val="00B35C03"/>
    <w:rsid w:val="00B3654C"/>
    <w:rsid w:val="00B3656A"/>
    <w:rsid w:val="00B36BF7"/>
    <w:rsid w:val="00B3730C"/>
    <w:rsid w:val="00B375E2"/>
    <w:rsid w:val="00B3764A"/>
    <w:rsid w:val="00B378DF"/>
    <w:rsid w:val="00B37A99"/>
    <w:rsid w:val="00B404DD"/>
    <w:rsid w:val="00B40E1B"/>
    <w:rsid w:val="00B41140"/>
    <w:rsid w:val="00B4119E"/>
    <w:rsid w:val="00B41953"/>
    <w:rsid w:val="00B42386"/>
    <w:rsid w:val="00B427BD"/>
    <w:rsid w:val="00B42D82"/>
    <w:rsid w:val="00B42DB7"/>
    <w:rsid w:val="00B433CD"/>
    <w:rsid w:val="00B4387D"/>
    <w:rsid w:val="00B439AE"/>
    <w:rsid w:val="00B43B1E"/>
    <w:rsid w:val="00B43BFA"/>
    <w:rsid w:val="00B43D3F"/>
    <w:rsid w:val="00B440C7"/>
    <w:rsid w:val="00B44408"/>
    <w:rsid w:val="00B44566"/>
    <w:rsid w:val="00B445A5"/>
    <w:rsid w:val="00B44666"/>
    <w:rsid w:val="00B4490C"/>
    <w:rsid w:val="00B44DFB"/>
    <w:rsid w:val="00B455BE"/>
    <w:rsid w:val="00B4563F"/>
    <w:rsid w:val="00B45B0D"/>
    <w:rsid w:val="00B45B2F"/>
    <w:rsid w:val="00B466F9"/>
    <w:rsid w:val="00B46CD3"/>
    <w:rsid w:val="00B46D34"/>
    <w:rsid w:val="00B47169"/>
    <w:rsid w:val="00B477FF"/>
    <w:rsid w:val="00B4787B"/>
    <w:rsid w:val="00B47E10"/>
    <w:rsid w:val="00B47E52"/>
    <w:rsid w:val="00B500AB"/>
    <w:rsid w:val="00B50263"/>
    <w:rsid w:val="00B50AFD"/>
    <w:rsid w:val="00B50D50"/>
    <w:rsid w:val="00B5100C"/>
    <w:rsid w:val="00B51763"/>
    <w:rsid w:val="00B5211E"/>
    <w:rsid w:val="00B52127"/>
    <w:rsid w:val="00B535B9"/>
    <w:rsid w:val="00B538AD"/>
    <w:rsid w:val="00B546FE"/>
    <w:rsid w:val="00B54A08"/>
    <w:rsid w:val="00B55443"/>
    <w:rsid w:val="00B55872"/>
    <w:rsid w:val="00B55945"/>
    <w:rsid w:val="00B55A92"/>
    <w:rsid w:val="00B5671A"/>
    <w:rsid w:val="00B56779"/>
    <w:rsid w:val="00B56D2C"/>
    <w:rsid w:val="00B57533"/>
    <w:rsid w:val="00B57B4C"/>
    <w:rsid w:val="00B57E30"/>
    <w:rsid w:val="00B60368"/>
    <w:rsid w:val="00B60425"/>
    <w:rsid w:val="00B60B07"/>
    <w:rsid w:val="00B60F76"/>
    <w:rsid w:val="00B61363"/>
    <w:rsid w:val="00B61722"/>
    <w:rsid w:val="00B623FB"/>
    <w:rsid w:val="00B626EA"/>
    <w:rsid w:val="00B62720"/>
    <w:rsid w:val="00B62C90"/>
    <w:rsid w:val="00B62F42"/>
    <w:rsid w:val="00B62FB9"/>
    <w:rsid w:val="00B63128"/>
    <w:rsid w:val="00B6373D"/>
    <w:rsid w:val="00B63863"/>
    <w:rsid w:val="00B63A75"/>
    <w:rsid w:val="00B63AA6"/>
    <w:rsid w:val="00B63E05"/>
    <w:rsid w:val="00B63E31"/>
    <w:rsid w:val="00B646A5"/>
    <w:rsid w:val="00B6492C"/>
    <w:rsid w:val="00B64C24"/>
    <w:rsid w:val="00B64C5B"/>
    <w:rsid w:val="00B64E7C"/>
    <w:rsid w:val="00B65A48"/>
    <w:rsid w:val="00B6650B"/>
    <w:rsid w:val="00B665B8"/>
    <w:rsid w:val="00B66648"/>
    <w:rsid w:val="00B66B36"/>
    <w:rsid w:val="00B66CE2"/>
    <w:rsid w:val="00B67038"/>
    <w:rsid w:val="00B67DF9"/>
    <w:rsid w:val="00B7024C"/>
    <w:rsid w:val="00B704F5"/>
    <w:rsid w:val="00B7050F"/>
    <w:rsid w:val="00B70C16"/>
    <w:rsid w:val="00B715BF"/>
    <w:rsid w:val="00B718C7"/>
    <w:rsid w:val="00B71BDF"/>
    <w:rsid w:val="00B71E7E"/>
    <w:rsid w:val="00B71EA4"/>
    <w:rsid w:val="00B71FFF"/>
    <w:rsid w:val="00B72663"/>
    <w:rsid w:val="00B72817"/>
    <w:rsid w:val="00B72A52"/>
    <w:rsid w:val="00B72B68"/>
    <w:rsid w:val="00B730B2"/>
    <w:rsid w:val="00B730F4"/>
    <w:rsid w:val="00B73D0A"/>
    <w:rsid w:val="00B73D1F"/>
    <w:rsid w:val="00B747DE"/>
    <w:rsid w:val="00B74C54"/>
    <w:rsid w:val="00B7530D"/>
    <w:rsid w:val="00B7541E"/>
    <w:rsid w:val="00B7615C"/>
    <w:rsid w:val="00B767E9"/>
    <w:rsid w:val="00B767F5"/>
    <w:rsid w:val="00B7680F"/>
    <w:rsid w:val="00B76834"/>
    <w:rsid w:val="00B76DE3"/>
    <w:rsid w:val="00B7746C"/>
    <w:rsid w:val="00B7749E"/>
    <w:rsid w:val="00B774DD"/>
    <w:rsid w:val="00B776E9"/>
    <w:rsid w:val="00B77C89"/>
    <w:rsid w:val="00B8047F"/>
    <w:rsid w:val="00B80AA2"/>
    <w:rsid w:val="00B816FB"/>
    <w:rsid w:val="00B819B9"/>
    <w:rsid w:val="00B81B26"/>
    <w:rsid w:val="00B81C94"/>
    <w:rsid w:val="00B825AB"/>
    <w:rsid w:val="00B82860"/>
    <w:rsid w:val="00B828A5"/>
    <w:rsid w:val="00B82B80"/>
    <w:rsid w:val="00B82FDC"/>
    <w:rsid w:val="00B838E4"/>
    <w:rsid w:val="00B838EC"/>
    <w:rsid w:val="00B83E21"/>
    <w:rsid w:val="00B8411E"/>
    <w:rsid w:val="00B84441"/>
    <w:rsid w:val="00B84522"/>
    <w:rsid w:val="00B8466B"/>
    <w:rsid w:val="00B8487E"/>
    <w:rsid w:val="00B85702"/>
    <w:rsid w:val="00B857E5"/>
    <w:rsid w:val="00B85BE3"/>
    <w:rsid w:val="00B85C2A"/>
    <w:rsid w:val="00B85F4C"/>
    <w:rsid w:val="00B86086"/>
    <w:rsid w:val="00B861C1"/>
    <w:rsid w:val="00B86296"/>
    <w:rsid w:val="00B86626"/>
    <w:rsid w:val="00B86EB3"/>
    <w:rsid w:val="00B872EA"/>
    <w:rsid w:val="00B87564"/>
    <w:rsid w:val="00B87616"/>
    <w:rsid w:val="00B87E8B"/>
    <w:rsid w:val="00B91ACB"/>
    <w:rsid w:val="00B91BF1"/>
    <w:rsid w:val="00B91E02"/>
    <w:rsid w:val="00B921E7"/>
    <w:rsid w:val="00B92943"/>
    <w:rsid w:val="00B92DD0"/>
    <w:rsid w:val="00B92E2F"/>
    <w:rsid w:val="00B92F96"/>
    <w:rsid w:val="00B92FC9"/>
    <w:rsid w:val="00B933CF"/>
    <w:rsid w:val="00B9354F"/>
    <w:rsid w:val="00B93D9B"/>
    <w:rsid w:val="00B94979"/>
    <w:rsid w:val="00B949E7"/>
    <w:rsid w:val="00B94AAA"/>
    <w:rsid w:val="00B956B5"/>
    <w:rsid w:val="00B9656E"/>
    <w:rsid w:val="00B966B5"/>
    <w:rsid w:val="00B96DA7"/>
    <w:rsid w:val="00B974CA"/>
    <w:rsid w:val="00B977A2"/>
    <w:rsid w:val="00B97C2F"/>
    <w:rsid w:val="00BA0818"/>
    <w:rsid w:val="00BA0C91"/>
    <w:rsid w:val="00BA10D1"/>
    <w:rsid w:val="00BA147B"/>
    <w:rsid w:val="00BA1C2C"/>
    <w:rsid w:val="00BA201E"/>
    <w:rsid w:val="00BA246D"/>
    <w:rsid w:val="00BA29C6"/>
    <w:rsid w:val="00BA3025"/>
    <w:rsid w:val="00BA34B5"/>
    <w:rsid w:val="00BA35C9"/>
    <w:rsid w:val="00BA3957"/>
    <w:rsid w:val="00BA4658"/>
    <w:rsid w:val="00BA4BEA"/>
    <w:rsid w:val="00BA4CDF"/>
    <w:rsid w:val="00BA4E0A"/>
    <w:rsid w:val="00BA4F75"/>
    <w:rsid w:val="00BA5938"/>
    <w:rsid w:val="00BA63CB"/>
    <w:rsid w:val="00BA6D08"/>
    <w:rsid w:val="00BA743D"/>
    <w:rsid w:val="00BA7652"/>
    <w:rsid w:val="00BA766B"/>
    <w:rsid w:val="00BA7D7B"/>
    <w:rsid w:val="00BB090D"/>
    <w:rsid w:val="00BB0CBD"/>
    <w:rsid w:val="00BB0ED5"/>
    <w:rsid w:val="00BB0FAE"/>
    <w:rsid w:val="00BB1914"/>
    <w:rsid w:val="00BB1A59"/>
    <w:rsid w:val="00BB1C13"/>
    <w:rsid w:val="00BB2294"/>
    <w:rsid w:val="00BB22B2"/>
    <w:rsid w:val="00BB309D"/>
    <w:rsid w:val="00BB30B2"/>
    <w:rsid w:val="00BB30CD"/>
    <w:rsid w:val="00BB35CC"/>
    <w:rsid w:val="00BB382C"/>
    <w:rsid w:val="00BB3C2D"/>
    <w:rsid w:val="00BB3F35"/>
    <w:rsid w:val="00BB45DE"/>
    <w:rsid w:val="00BB4774"/>
    <w:rsid w:val="00BB5176"/>
    <w:rsid w:val="00BB5BFF"/>
    <w:rsid w:val="00BB608F"/>
    <w:rsid w:val="00BB6EC5"/>
    <w:rsid w:val="00BB723B"/>
    <w:rsid w:val="00BB797C"/>
    <w:rsid w:val="00BC05C8"/>
    <w:rsid w:val="00BC097E"/>
    <w:rsid w:val="00BC0BA1"/>
    <w:rsid w:val="00BC1913"/>
    <w:rsid w:val="00BC290F"/>
    <w:rsid w:val="00BC299B"/>
    <w:rsid w:val="00BC2CD0"/>
    <w:rsid w:val="00BC365C"/>
    <w:rsid w:val="00BC3AFC"/>
    <w:rsid w:val="00BC4037"/>
    <w:rsid w:val="00BC43B4"/>
    <w:rsid w:val="00BC4C4D"/>
    <w:rsid w:val="00BC5005"/>
    <w:rsid w:val="00BC5228"/>
    <w:rsid w:val="00BC5370"/>
    <w:rsid w:val="00BC58A2"/>
    <w:rsid w:val="00BC6022"/>
    <w:rsid w:val="00BC6751"/>
    <w:rsid w:val="00BC75D5"/>
    <w:rsid w:val="00BD000A"/>
    <w:rsid w:val="00BD0329"/>
    <w:rsid w:val="00BD216D"/>
    <w:rsid w:val="00BD2239"/>
    <w:rsid w:val="00BD2704"/>
    <w:rsid w:val="00BD29BE"/>
    <w:rsid w:val="00BD362A"/>
    <w:rsid w:val="00BD366C"/>
    <w:rsid w:val="00BD3701"/>
    <w:rsid w:val="00BD3887"/>
    <w:rsid w:val="00BD3C00"/>
    <w:rsid w:val="00BD3EFB"/>
    <w:rsid w:val="00BD4030"/>
    <w:rsid w:val="00BD45A7"/>
    <w:rsid w:val="00BD488C"/>
    <w:rsid w:val="00BD4E3B"/>
    <w:rsid w:val="00BD4F2F"/>
    <w:rsid w:val="00BD560A"/>
    <w:rsid w:val="00BD57C5"/>
    <w:rsid w:val="00BD5A56"/>
    <w:rsid w:val="00BD5FAB"/>
    <w:rsid w:val="00BD6071"/>
    <w:rsid w:val="00BD6678"/>
    <w:rsid w:val="00BD6737"/>
    <w:rsid w:val="00BD6A32"/>
    <w:rsid w:val="00BD6AA1"/>
    <w:rsid w:val="00BD6DB9"/>
    <w:rsid w:val="00BD7593"/>
    <w:rsid w:val="00BD759A"/>
    <w:rsid w:val="00BD7AEE"/>
    <w:rsid w:val="00BD7FAE"/>
    <w:rsid w:val="00BE0314"/>
    <w:rsid w:val="00BE0967"/>
    <w:rsid w:val="00BE09C8"/>
    <w:rsid w:val="00BE0A92"/>
    <w:rsid w:val="00BE0FEB"/>
    <w:rsid w:val="00BE1191"/>
    <w:rsid w:val="00BE283A"/>
    <w:rsid w:val="00BE2C25"/>
    <w:rsid w:val="00BE2C84"/>
    <w:rsid w:val="00BE2E37"/>
    <w:rsid w:val="00BE3060"/>
    <w:rsid w:val="00BE336E"/>
    <w:rsid w:val="00BE342F"/>
    <w:rsid w:val="00BE390F"/>
    <w:rsid w:val="00BE3984"/>
    <w:rsid w:val="00BE4C28"/>
    <w:rsid w:val="00BE51D8"/>
    <w:rsid w:val="00BE52C0"/>
    <w:rsid w:val="00BE570F"/>
    <w:rsid w:val="00BE5CEB"/>
    <w:rsid w:val="00BE6455"/>
    <w:rsid w:val="00BE66C4"/>
    <w:rsid w:val="00BE66CF"/>
    <w:rsid w:val="00BF000C"/>
    <w:rsid w:val="00BF0172"/>
    <w:rsid w:val="00BF10B3"/>
    <w:rsid w:val="00BF11DF"/>
    <w:rsid w:val="00BF120F"/>
    <w:rsid w:val="00BF1635"/>
    <w:rsid w:val="00BF17FA"/>
    <w:rsid w:val="00BF253B"/>
    <w:rsid w:val="00BF2B9A"/>
    <w:rsid w:val="00BF2C07"/>
    <w:rsid w:val="00BF3785"/>
    <w:rsid w:val="00BF3BAC"/>
    <w:rsid w:val="00BF3C55"/>
    <w:rsid w:val="00BF3E1B"/>
    <w:rsid w:val="00BF3F81"/>
    <w:rsid w:val="00BF4911"/>
    <w:rsid w:val="00BF4C17"/>
    <w:rsid w:val="00BF52D6"/>
    <w:rsid w:val="00BF62D8"/>
    <w:rsid w:val="00BF6877"/>
    <w:rsid w:val="00BF69AE"/>
    <w:rsid w:val="00BF6AEF"/>
    <w:rsid w:val="00BF7044"/>
    <w:rsid w:val="00BF7202"/>
    <w:rsid w:val="00BF74E5"/>
    <w:rsid w:val="00C00312"/>
    <w:rsid w:val="00C00384"/>
    <w:rsid w:val="00C00DD2"/>
    <w:rsid w:val="00C02164"/>
    <w:rsid w:val="00C02A2B"/>
    <w:rsid w:val="00C02B6B"/>
    <w:rsid w:val="00C02CE1"/>
    <w:rsid w:val="00C034FE"/>
    <w:rsid w:val="00C03878"/>
    <w:rsid w:val="00C03ED6"/>
    <w:rsid w:val="00C04942"/>
    <w:rsid w:val="00C04CF3"/>
    <w:rsid w:val="00C04F94"/>
    <w:rsid w:val="00C051E2"/>
    <w:rsid w:val="00C069B4"/>
    <w:rsid w:val="00C06A43"/>
    <w:rsid w:val="00C06AAD"/>
    <w:rsid w:val="00C07251"/>
    <w:rsid w:val="00C076D1"/>
    <w:rsid w:val="00C077DA"/>
    <w:rsid w:val="00C10387"/>
    <w:rsid w:val="00C10AEC"/>
    <w:rsid w:val="00C11103"/>
    <w:rsid w:val="00C1130F"/>
    <w:rsid w:val="00C116F5"/>
    <w:rsid w:val="00C117C5"/>
    <w:rsid w:val="00C1183F"/>
    <w:rsid w:val="00C118AD"/>
    <w:rsid w:val="00C119AD"/>
    <w:rsid w:val="00C11C8E"/>
    <w:rsid w:val="00C11EE2"/>
    <w:rsid w:val="00C1204E"/>
    <w:rsid w:val="00C12C03"/>
    <w:rsid w:val="00C1348F"/>
    <w:rsid w:val="00C13749"/>
    <w:rsid w:val="00C13F6C"/>
    <w:rsid w:val="00C13FBF"/>
    <w:rsid w:val="00C1425B"/>
    <w:rsid w:val="00C14C7A"/>
    <w:rsid w:val="00C14CF8"/>
    <w:rsid w:val="00C1519C"/>
    <w:rsid w:val="00C15792"/>
    <w:rsid w:val="00C15C55"/>
    <w:rsid w:val="00C15ED1"/>
    <w:rsid w:val="00C161B7"/>
    <w:rsid w:val="00C16790"/>
    <w:rsid w:val="00C1728E"/>
    <w:rsid w:val="00C173C2"/>
    <w:rsid w:val="00C17534"/>
    <w:rsid w:val="00C176AE"/>
    <w:rsid w:val="00C179E5"/>
    <w:rsid w:val="00C17BB0"/>
    <w:rsid w:val="00C17D29"/>
    <w:rsid w:val="00C17E50"/>
    <w:rsid w:val="00C17EAC"/>
    <w:rsid w:val="00C2011C"/>
    <w:rsid w:val="00C205D4"/>
    <w:rsid w:val="00C208D0"/>
    <w:rsid w:val="00C215C5"/>
    <w:rsid w:val="00C218F3"/>
    <w:rsid w:val="00C2193E"/>
    <w:rsid w:val="00C21AF0"/>
    <w:rsid w:val="00C22366"/>
    <w:rsid w:val="00C2276E"/>
    <w:rsid w:val="00C23151"/>
    <w:rsid w:val="00C23198"/>
    <w:rsid w:val="00C23304"/>
    <w:rsid w:val="00C23B5B"/>
    <w:rsid w:val="00C23E51"/>
    <w:rsid w:val="00C244DE"/>
    <w:rsid w:val="00C25446"/>
    <w:rsid w:val="00C25575"/>
    <w:rsid w:val="00C2587B"/>
    <w:rsid w:val="00C25DF8"/>
    <w:rsid w:val="00C26979"/>
    <w:rsid w:val="00C26DB9"/>
    <w:rsid w:val="00C26E9A"/>
    <w:rsid w:val="00C27C89"/>
    <w:rsid w:val="00C30531"/>
    <w:rsid w:val="00C30B5E"/>
    <w:rsid w:val="00C30EF4"/>
    <w:rsid w:val="00C3155F"/>
    <w:rsid w:val="00C31A70"/>
    <w:rsid w:val="00C31E6E"/>
    <w:rsid w:val="00C32944"/>
    <w:rsid w:val="00C32B97"/>
    <w:rsid w:val="00C332B3"/>
    <w:rsid w:val="00C336EB"/>
    <w:rsid w:val="00C3377B"/>
    <w:rsid w:val="00C3399E"/>
    <w:rsid w:val="00C344AF"/>
    <w:rsid w:val="00C34552"/>
    <w:rsid w:val="00C34602"/>
    <w:rsid w:val="00C34FDF"/>
    <w:rsid w:val="00C36090"/>
    <w:rsid w:val="00C362EE"/>
    <w:rsid w:val="00C36B23"/>
    <w:rsid w:val="00C36D89"/>
    <w:rsid w:val="00C36EE7"/>
    <w:rsid w:val="00C37103"/>
    <w:rsid w:val="00C373E0"/>
    <w:rsid w:val="00C40131"/>
    <w:rsid w:val="00C402AC"/>
    <w:rsid w:val="00C407E5"/>
    <w:rsid w:val="00C40DB2"/>
    <w:rsid w:val="00C40F31"/>
    <w:rsid w:val="00C41070"/>
    <w:rsid w:val="00C4119A"/>
    <w:rsid w:val="00C412D6"/>
    <w:rsid w:val="00C41546"/>
    <w:rsid w:val="00C41A04"/>
    <w:rsid w:val="00C4231D"/>
    <w:rsid w:val="00C4300D"/>
    <w:rsid w:val="00C43568"/>
    <w:rsid w:val="00C435D6"/>
    <w:rsid w:val="00C43CCF"/>
    <w:rsid w:val="00C43D06"/>
    <w:rsid w:val="00C43FBD"/>
    <w:rsid w:val="00C444EB"/>
    <w:rsid w:val="00C44CAE"/>
    <w:rsid w:val="00C44D29"/>
    <w:rsid w:val="00C44FE7"/>
    <w:rsid w:val="00C45415"/>
    <w:rsid w:val="00C45711"/>
    <w:rsid w:val="00C46023"/>
    <w:rsid w:val="00C462EE"/>
    <w:rsid w:val="00C46508"/>
    <w:rsid w:val="00C465A0"/>
    <w:rsid w:val="00C4689D"/>
    <w:rsid w:val="00C46954"/>
    <w:rsid w:val="00C46B8C"/>
    <w:rsid w:val="00C46D6B"/>
    <w:rsid w:val="00C47C92"/>
    <w:rsid w:val="00C507CD"/>
    <w:rsid w:val="00C50B92"/>
    <w:rsid w:val="00C50C71"/>
    <w:rsid w:val="00C50DF8"/>
    <w:rsid w:val="00C510F2"/>
    <w:rsid w:val="00C516A4"/>
    <w:rsid w:val="00C52045"/>
    <w:rsid w:val="00C52566"/>
    <w:rsid w:val="00C534FF"/>
    <w:rsid w:val="00C536BD"/>
    <w:rsid w:val="00C5450B"/>
    <w:rsid w:val="00C54657"/>
    <w:rsid w:val="00C551C4"/>
    <w:rsid w:val="00C55341"/>
    <w:rsid w:val="00C554BC"/>
    <w:rsid w:val="00C555B6"/>
    <w:rsid w:val="00C55E5A"/>
    <w:rsid w:val="00C56122"/>
    <w:rsid w:val="00C56915"/>
    <w:rsid w:val="00C56A0F"/>
    <w:rsid w:val="00C56C0E"/>
    <w:rsid w:val="00C56CED"/>
    <w:rsid w:val="00C56D70"/>
    <w:rsid w:val="00C56DC4"/>
    <w:rsid w:val="00C57455"/>
    <w:rsid w:val="00C576DE"/>
    <w:rsid w:val="00C57896"/>
    <w:rsid w:val="00C609A5"/>
    <w:rsid w:val="00C6142B"/>
    <w:rsid w:val="00C620FE"/>
    <w:rsid w:val="00C62193"/>
    <w:rsid w:val="00C62463"/>
    <w:rsid w:val="00C62A00"/>
    <w:rsid w:val="00C62A10"/>
    <w:rsid w:val="00C63185"/>
    <w:rsid w:val="00C6346A"/>
    <w:rsid w:val="00C64109"/>
    <w:rsid w:val="00C6464A"/>
    <w:rsid w:val="00C64B54"/>
    <w:rsid w:val="00C64FAD"/>
    <w:rsid w:val="00C65134"/>
    <w:rsid w:val="00C65189"/>
    <w:rsid w:val="00C65432"/>
    <w:rsid w:val="00C6543B"/>
    <w:rsid w:val="00C657D6"/>
    <w:rsid w:val="00C65C48"/>
    <w:rsid w:val="00C65C72"/>
    <w:rsid w:val="00C6632D"/>
    <w:rsid w:val="00C67663"/>
    <w:rsid w:val="00C67C76"/>
    <w:rsid w:val="00C703F6"/>
    <w:rsid w:val="00C7098D"/>
    <w:rsid w:val="00C7107D"/>
    <w:rsid w:val="00C71DCC"/>
    <w:rsid w:val="00C723CB"/>
    <w:rsid w:val="00C729A3"/>
    <w:rsid w:val="00C72A0C"/>
    <w:rsid w:val="00C72ABC"/>
    <w:rsid w:val="00C73CEE"/>
    <w:rsid w:val="00C74A8B"/>
    <w:rsid w:val="00C74DD0"/>
    <w:rsid w:val="00C751FB"/>
    <w:rsid w:val="00C75694"/>
    <w:rsid w:val="00C759CF"/>
    <w:rsid w:val="00C75D46"/>
    <w:rsid w:val="00C7651C"/>
    <w:rsid w:val="00C76604"/>
    <w:rsid w:val="00C77136"/>
    <w:rsid w:val="00C77D9D"/>
    <w:rsid w:val="00C77EFF"/>
    <w:rsid w:val="00C802F0"/>
    <w:rsid w:val="00C805B6"/>
    <w:rsid w:val="00C810C3"/>
    <w:rsid w:val="00C81106"/>
    <w:rsid w:val="00C81175"/>
    <w:rsid w:val="00C82540"/>
    <w:rsid w:val="00C825A9"/>
    <w:rsid w:val="00C8279B"/>
    <w:rsid w:val="00C82C9C"/>
    <w:rsid w:val="00C83210"/>
    <w:rsid w:val="00C833C8"/>
    <w:rsid w:val="00C84422"/>
    <w:rsid w:val="00C84EE8"/>
    <w:rsid w:val="00C8556B"/>
    <w:rsid w:val="00C86E44"/>
    <w:rsid w:val="00C87BB8"/>
    <w:rsid w:val="00C901AA"/>
    <w:rsid w:val="00C9022C"/>
    <w:rsid w:val="00C9035B"/>
    <w:rsid w:val="00C903A8"/>
    <w:rsid w:val="00C90847"/>
    <w:rsid w:val="00C9084D"/>
    <w:rsid w:val="00C90E29"/>
    <w:rsid w:val="00C913D4"/>
    <w:rsid w:val="00C9183A"/>
    <w:rsid w:val="00C91CF1"/>
    <w:rsid w:val="00C91E5F"/>
    <w:rsid w:val="00C921AA"/>
    <w:rsid w:val="00C92CF0"/>
    <w:rsid w:val="00C9305F"/>
    <w:rsid w:val="00C936F8"/>
    <w:rsid w:val="00C93793"/>
    <w:rsid w:val="00C9436F"/>
    <w:rsid w:val="00C944DC"/>
    <w:rsid w:val="00C94672"/>
    <w:rsid w:val="00C94CE5"/>
    <w:rsid w:val="00C94FD7"/>
    <w:rsid w:val="00C9534B"/>
    <w:rsid w:val="00C95AE9"/>
    <w:rsid w:val="00C95F8E"/>
    <w:rsid w:val="00C96122"/>
    <w:rsid w:val="00C96213"/>
    <w:rsid w:val="00C96D51"/>
    <w:rsid w:val="00C97133"/>
    <w:rsid w:val="00C97524"/>
    <w:rsid w:val="00C97FCB"/>
    <w:rsid w:val="00CA0173"/>
    <w:rsid w:val="00CA0B22"/>
    <w:rsid w:val="00CA0CA1"/>
    <w:rsid w:val="00CA105A"/>
    <w:rsid w:val="00CA215A"/>
    <w:rsid w:val="00CA268A"/>
    <w:rsid w:val="00CA3732"/>
    <w:rsid w:val="00CA37B4"/>
    <w:rsid w:val="00CA37C4"/>
    <w:rsid w:val="00CA3B5D"/>
    <w:rsid w:val="00CA3ECE"/>
    <w:rsid w:val="00CA44B3"/>
    <w:rsid w:val="00CA4542"/>
    <w:rsid w:val="00CA5032"/>
    <w:rsid w:val="00CA514F"/>
    <w:rsid w:val="00CA5B53"/>
    <w:rsid w:val="00CA5F60"/>
    <w:rsid w:val="00CA5FF0"/>
    <w:rsid w:val="00CA6648"/>
    <w:rsid w:val="00CA66DC"/>
    <w:rsid w:val="00CA6AD8"/>
    <w:rsid w:val="00CA6E93"/>
    <w:rsid w:val="00CA7C56"/>
    <w:rsid w:val="00CB06BD"/>
    <w:rsid w:val="00CB07E7"/>
    <w:rsid w:val="00CB0B19"/>
    <w:rsid w:val="00CB0F2E"/>
    <w:rsid w:val="00CB152B"/>
    <w:rsid w:val="00CB17D7"/>
    <w:rsid w:val="00CB1B6A"/>
    <w:rsid w:val="00CB1F7F"/>
    <w:rsid w:val="00CB2174"/>
    <w:rsid w:val="00CB2479"/>
    <w:rsid w:val="00CB26EA"/>
    <w:rsid w:val="00CB27A6"/>
    <w:rsid w:val="00CB2F00"/>
    <w:rsid w:val="00CB2F6A"/>
    <w:rsid w:val="00CB371F"/>
    <w:rsid w:val="00CB3AE1"/>
    <w:rsid w:val="00CB3D8F"/>
    <w:rsid w:val="00CB41D6"/>
    <w:rsid w:val="00CB4329"/>
    <w:rsid w:val="00CB4672"/>
    <w:rsid w:val="00CB4BB8"/>
    <w:rsid w:val="00CB4CD5"/>
    <w:rsid w:val="00CB5192"/>
    <w:rsid w:val="00CB5209"/>
    <w:rsid w:val="00CB558B"/>
    <w:rsid w:val="00CB56B8"/>
    <w:rsid w:val="00CB5863"/>
    <w:rsid w:val="00CB5ACF"/>
    <w:rsid w:val="00CB5CB2"/>
    <w:rsid w:val="00CB5F02"/>
    <w:rsid w:val="00CB6751"/>
    <w:rsid w:val="00CB691B"/>
    <w:rsid w:val="00CB6935"/>
    <w:rsid w:val="00CB6C30"/>
    <w:rsid w:val="00CB6D23"/>
    <w:rsid w:val="00CB7545"/>
    <w:rsid w:val="00CB7B74"/>
    <w:rsid w:val="00CC0633"/>
    <w:rsid w:val="00CC0677"/>
    <w:rsid w:val="00CC0EE1"/>
    <w:rsid w:val="00CC133D"/>
    <w:rsid w:val="00CC1506"/>
    <w:rsid w:val="00CC161C"/>
    <w:rsid w:val="00CC1DF7"/>
    <w:rsid w:val="00CC1E7D"/>
    <w:rsid w:val="00CC28BF"/>
    <w:rsid w:val="00CC307C"/>
    <w:rsid w:val="00CC3582"/>
    <w:rsid w:val="00CC3EF4"/>
    <w:rsid w:val="00CC429B"/>
    <w:rsid w:val="00CC4A2A"/>
    <w:rsid w:val="00CC4D39"/>
    <w:rsid w:val="00CC4E37"/>
    <w:rsid w:val="00CC50BF"/>
    <w:rsid w:val="00CC5328"/>
    <w:rsid w:val="00CC5F0B"/>
    <w:rsid w:val="00CC63DB"/>
    <w:rsid w:val="00CC641D"/>
    <w:rsid w:val="00CC7329"/>
    <w:rsid w:val="00CC779A"/>
    <w:rsid w:val="00CC7C3D"/>
    <w:rsid w:val="00CD0475"/>
    <w:rsid w:val="00CD0A32"/>
    <w:rsid w:val="00CD15D6"/>
    <w:rsid w:val="00CD1B53"/>
    <w:rsid w:val="00CD1BD3"/>
    <w:rsid w:val="00CD2A7F"/>
    <w:rsid w:val="00CD2DA6"/>
    <w:rsid w:val="00CD2F05"/>
    <w:rsid w:val="00CD3004"/>
    <w:rsid w:val="00CD32A6"/>
    <w:rsid w:val="00CD3479"/>
    <w:rsid w:val="00CD4159"/>
    <w:rsid w:val="00CD4633"/>
    <w:rsid w:val="00CD4774"/>
    <w:rsid w:val="00CD4D25"/>
    <w:rsid w:val="00CD5159"/>
    <w:rsid w:val="00CD5435"/>
    <w:rsid w:val="00CD5AA8"/>
    <w:rsid w:val="00CD5F3F"/>
    <w:rsid w:val="00CD62A7"/>
    <w:rsid w:val="00CD62E0"/>
    <w:rsid w:val="00CD67C4"/>
    <w:rsid w:val="00CD77D2"/>
    <w:rsid w:val="00CD7B36"/>
    <w:rsid w:val="00CE0BFA"/>
    <w:rsid w:val="00CE0C25"/>
    <w:rsid w:val="00CE0DE1"/>
    <w:rsid w:val="00CE0F3D"/>
    <w:rsid w:val="00CE13A6"/>
    <w:rsid w:val="00CE17A7"/>
    <w:rsid w:val="00CE2524"/>
    <w:rsid w:val="00CE3F47"/>
    <w:rsid w:val="00CE5585"/>
    <w:rsid w:val="00CE592F"/>
    <w:rsid w:val="00CE5E22"/>
    <w:rsid w:val="00CE5E60"/>
    <w:rsid w:val="00CE63E4"/>
    <w:rsid w:val="00CE6DAC"/>
    <w:rsid w:val="00CE72FD"/>
    <w:rsid w:val="00CE792A"/>
    <w:rsid w:val="00CE7C23"/>
    <w:rsid w:val="00CE7E99"/>
    <w:rsid w:val="00CF06E5"/>
    <w:rsid w:val="00CF07F5"/>
    <w:rsid w:val="00CF0D08"/>
    <w:rsid w:val="00CF0DA8"/>
    <w:rsid w:val="00CF0DC6"/>
    <w:rsid w:val="00CF0FBC"/>
    <w:rsid w:val="00CF100D"/>
    <w:rsid w:val="00CF11C5"/>
    <w:rsid w:val="00CF1713"/>
    <w:rsid w:val="00CF1D86"/>
    <w:rsid w:val="00CF1DE9"/>
    <w:rsid w:val="00CF1F13"/>
    <w:rsid w:val="00CF22CC"/>
    <w:rsid w:val="00CF2739"/>
    <w:rsid w:val="00CF2C43"/>
    <w:rsid w:val="00CF30FC"/>
    <w:rsid w:val="00CF3779"/>
    <w:rsid w:val="00CF3C51"/>
    <w:rsid w:val="00CF3C9E"/>
    <w:rsid w:val="00CF448A"/>
    <w:rsid w:val="00CF44C6"/>
    <w:rsid w:val="00CF4A28"/>
    <w:rsid w:val="00CF54C7"/>
    <w:rsid w:val="00CF5ACA"/>
    <w:rsid w:val="00CF6675"/>
    <w:rsid w:val="00CF6758"/>
    <w:rsid w:val="00CF6AE0"/>
    <w:rsid w:val="00CF6B6F"/>
    <w:rsid w:val="00CF7733"/>
    <w:rsid w:val="00CF7800"/>
    <w:rsid w:val="00CF7884"/>
    <w:rsid w:val="00D002B0"/>
    <w:rsid w:val="00D00744"/>
    <w:rsid w:val="00D00776"/>
    <w:rsid w:val="00D00FCA"/>
    <w:rsid w:val="00D01F26"/>
    <w:rsid w:val="00D01FA5"/>
    <w:rsid w:val="00D02389"/>
    <w:rsid w:val="00D0247C"/>
    <w:rsid w:val="00D02F10"/>
    <w:rsid w:val="00D034EF"/>
    <w:rsid w:val="00D03918"/>
    <w:rsid w:val="00D040F6"/>
    <w:rsid w:val="00D0437C"/>
    <w:rsid w:val="00D047C9"/>
    <w:rsid w:val="00D0484F"/>
    <w:rsid w:val="00D04AC9"/>
    <w:rsid w:val="00D0523F"/>
    <w:rsid w:val="00D05A66"/>
    <w:rsid w:val="00D05BF8"/>
    <w:rsid w:val="00D05DFC"/>
    <w:rsid w:val="00D06017"/>
    <w:rsid w:val="00D06217"/>
    <w:rsid w:val="00D06EE9"/>
    <w:rsid w:val="00D06FA1"/>
    <w:rsid w:val="00D070FE"/>
    <w:rsid w:val="00D07319"/>
    <w:rsid w:val="00D07660"/>
    <w:rsid w:val="00D07A8B"/>
    <w:rsid w:val="00D07D9A"/>
    <w:rsid w:val="00D07DFA"/>
    <w:rsid w:val="00D10311"/>
    <w:rsid w:val="00D10773"/>
    <w:rsid w:val="00D10991"/>
    <w:rsid w:val="00D12C34"/>
    <w:rsid w:val="00D13343"/>
    <w:rsid w:val="00D138CA"/>
    <w:rsid w:val="00D138EC"/>
    <w:rsid w:val="00D1390B"/>
    <w:rsid w:val="00D139DB"/>
    <w:rsid w:val="00D13F11"/>
    <w:rsid w:val="00D143B8"/>
    <w:rsid w:val="00D1499B"/>
    <w:rsid w:val="00D1551E"/>
    <w:rsid w:val="00D15557"/>
    <w:rsid w:val="00D155A0"/>
    <w:rsid w:val="00D1572C"/>
    <w:rsid w:val="00D159A3"/>
    <w:rsid w:val="00D15DAB"/>
    <w:rsid w:val="00D16581"/>
    <w:rsid w:val="00D1738F"/>
    <w:rsid w:val="00D17683"/>
    <w:rsid w:val="00D205EB"/>
    <w:rsid w:val="00D206FE"/>
    <w:rsid w:val="00D21527"/>
    <w:rsid w:val="00D21FAF"/>
    <w:rsid w:val="00D22123"/>
    <w:rsid w:val="00D234FF"/>
    <w:rsid w:val="00D23858"/>
    <w:rsid w:val="00D23E5C"/>
    <w:rsid w:val="00D25077"/>
    <w:rsid w:val="00D25896"/>
    <w:rsid w:val="00D25929"/>
    <w:rsid w:val="00D264D7"/>
    <w:rsid w:val="00D26741"/>
    <w:rsid w:val="00D268A6"/>
    <w:rsid w:val="00D26901"/>
    <w:rsid w:val="00D26DEA"/>
    <w:rsid w:val="00D26E9E"/>
    <w:rsid w:val="00D27604"/>
    <w:rsid w:val="00D27990"/>
    <w:rsid w:val="00D27EFD"/>
    <w:rsid w:val="00D30097"/>
    <w:rsid w:val="00D306FA"/>
    <w:rsid w:val="00D31141"/>
    <w:rsid w:val="00D31664"/>
    <w:rsid w:val="00D31AC7"/>
    <w:rsid w:val="00D31AD1"/>
    <w:rsid w:val="00D31F94"/>
    <w:rsid w:val="00D3206E"/>
    <w:rsid w:val="00D320C6"/>
    <w:rsid w:val="00D324AF"/>
    <w:rsid w:val="00D324CF"/>
    <w:rsid w:val="00D3290E"/>
    <w:rsid w:val="00D32C8B"/>
    <w:rsid w:val="00D32E89"/>
    <w:rsid w:val="00D3306F"/>
    <w:rsid w:val="00D33074"/>
    <w:rsid w:val="00D330B4"/>
    <w:rsid w:val="00D334E7"/>
    <w:rsid w:val="00D339C5"/>
    <w:rsid w:val="00D33FD1"/>
    <w:rsid w:val="00D3412B"/>
    <w:rsid w:val="00D34308"/>
    <w:rsid w:val="00D343BA"/>
    <w:rsid w:val="00D34BBA"/>
    <w:rsid w:val="00D34D8E"/>
    <w:rsid w:val="00D35497"/>
    <w:rsid w:val="00D3583F"/>
    <w:rsid w:val="00D35ACA"/>
    <w:rsid w:val="00D36DF2"/>
    <w:rsid w:val="00D36F13"/>
    <w:rsid w:val="00D37703"/>
    <w:rsid w:val="00D37DED"/>
    <w:rsid w:val="00D400C6"/>
    <w:rsid w:val="00D40A2A"/>
    <w:rsid w:val="00D40B28"/>
    <w:rsid w:val="00D40D42"/>
    <w:rsid w:val="00D40ECF"/>
    <w:rsid w:val="00D41465"/>
    <w:rsid w:val="00D422C7"/>
    <w:rsid w:val="00D42DA3"/>
    <w:rsid w:val="00D4309B"/>
    <w:rsid w:val="00D4339A"/>
    <w:rsid w:val="00D43B94"/>
    <w:rsid w:val="00D43C04"/>
    <w:rsid w:val="00D44308"/>
    <w:rsid w:val="00D44B89"/>
    <w:rsid w:val="00D455EE"/>
    <w:rsid w:val="00D45A85"/>
    <w:rsid w:val="00D45B21"/>
    <w:rsid w:val="00D45D31"/>
    <w:rsid w:val="00D45F22"/>
    <w:rsid w:val="00D46837"/>
    <w:rsid w:val="00D46F90"/>
    <w:rsid w:val="00D4708C"/>
    <w:rsid w:val="00D473DF"/>
    <w:rsid w:val="00D5009B"/>
    <w:rsid w:val="00D50451"/>
    <w:rsid w:val="00D504A5"/>
    <w:rsid w:val="00D50EA5"/>
    <w:rsid w:val="00D50F41"/>
    <w:rsid w:val="00D50FA7"/>
    <w:rsid w:val="00D5156D"/>
    <w:rsid w:val="00D5184C"/>
    <w:rsid w:val="00D51E50"/>
    <w:rsid w:val="00D52358"/>
    <w:rsid w:val="00D52916"/>
    <w:rsid w:val="00D52A67"/>
    <w:rsid w:val="00D52AEA"/>
    <w:rsid w:val="00D52CF3"/>
    <w:rsid w:val="00D52E01"/>
    <w:rsid w:val="00D52E72"/>
    <w:rsid w:val="00D534ED"/>
    <w:rsid w:val="00D53518"/>
    <w:rsid w:val="00D5362F"/>
    <w:rsid w:val="00D53FFD"/>
    <w:rsid w:val="00D5423C"/>
    <w:rsid w:val="00D544F8"/>
    <w:rsid w:val="00D547CA"/>
    <w:rsid w:val="00D5490F"/>
    <w:rsid w:val="00D54E89"/>
    <w:rsid w:val="00D5503C"/>
    <w:rsid w:val="00D552A0"/>
    <w:rsid w:val="00D556D2"/>
    <w:rsid w:val="00D56473"/>
    <w:rsid w:val="00D5741A"/>
    <w:rsid w:val="00D575F2"/>
    <w:rsid w:val="00D57AD2"/>
    <w:rsid w:val="00D57D17"/>
    <w:rsid w:val="00D603D0"/>
    <w:rsid w:val="00D604D5"/>
    <w:rsid w:val="00D60B14"/>
    <w:rsid w:val="00D60EC3"/>
    <w:rsid w:val="00D61039"/>
    <w:rsid w:val="00D61105"/>
    <w:rsid w:val="00D61679"/>
    <w:rsid w:val="00D61E6D"/>
    <w:rsid w:val="00D62CD2"/>
    <w:rsid w:val="00D6308A"/>
    <w:rsid w:val="00D630DD"/>
    <w:rsid w:val="00D6313F"/>
    <w:rsid w:val="00D63344"/>
    <w:rsid w:val="00D64005"/>
    <w:rsid w:val="00D64202"/>
    <w:rsid w:val="00D647A9"/>
    <w:rsid w:val="00D64931"/>
    <w:rsid w:val="00D64CBA"/>
    <w:rsid w:val="00D64F1E"/>
    <w:rsid w:val="00D654D0"/>
    <w:rsid w:val="00D6606F"/>
    <w:rsid w:val="00D66422"/>
    <w:rsid w:val="00D665CB"/>
    <w:rsid w:val="00D66B84"/>
    <w:rsid w:val="00D66FB0"/>
    <w:rsid w:val="00D67080"/>
    <w:rsid w:val="00D67C44"/>
    <w:rsid w:val="00D67E3E"/>
    <w:rsid w:val="00D67EF2"/>
    <w:rsid w:val="00D7066C"/>
    <w:rsid w:val="00D7197D"/>
    <w:rsid w:val="00D719E6"/>
    <w:rsid w:val="00D721F5"/>
    <w:rsid w:val="00D72381"/>
    <w:rsid w:val="00D72FC2"/>
    <w:rsid w:val="00D7357C"/>
    <w:rsid w:val="00D736D0"/>
    <w:rsid w:val="00D73EAD"/>
    <w:rsid w:val="00D7470F"/>
    <w:rsid w:val="00D74714"/>
    <w:rsid w:val="00D74B7F"/>
    <w:rsid w:val="00D7508B"/>
    <w:rsid w:val="00D76322"/>
    <w:rsid w:val="00D763E5"/>
    <w:rsid w:val="00D7667D"/>
    <w:rsid w:val="00D76C89"/>
    <w:rsid w:val="00D76D26"/>
    <w:rsid w:val="00D76EC5"/>
    <w:rsid w:val="00D77197"/>
    <w:rsid w:val="00D7782E"/>
    <w:rsid w:val="00D801C8"/>
    <w:rsid w:val="00D808D9"/>
    <w:rsid w:val="00D80FFD"/>
    <w:rsid w:val="00D813C3"/>
    <w:rsid w:val="00D81911"/>
    <w:rsid w:val="00D81937"/>
    <w:rsid w:val="00D81939"/>
    <w:rsid w:val="00D81B32"/>
    <w:rsid w:val="00D820DC"/>
    <w:rsid w:val="00D8214A"/>
    <w:rsid w:val="00D823B5"/>
    <w:rsid w:val="00D82A71"/>
    <w:rsid w:val="00D83532"/>
    <w:rsid w:val="00D8488A"/>
    <w:rsid w:val="00D84E9F"/>
    <w:rsid w:val="00D84F7E"/>
    <w:rsid w:val="00D851EE"/>
    <w:rsid w:val="00D85360"/>
    <w:rsid w:val="00D85A35"/>
    <w:rsid w:val="00D85DAF"/>
    <w:rsid w:val="00D85DEE"/>
    <w:rsid w:val="00D8630F"/>
    <w:rsid w:val="00D87024"/>
    <w:rsid w:val="00D87902"/>
    <w:rsid w:val="00D90D8E"/>
    <w:rsid w:val="00D90E03"/>
    <w:rsid w:val="00D90F81"/>
    <w:rsid w:val="00D9161E"/>
    <w:rsid w:val="00D918A2"/>
    <w:rsid w:val="00D91A04"/>
    <w:rsid w:val="00D91A4D"/>
    <w:rsid w:val="00D91D71"/>
    <w:rsid w:val="00D922FE"/>
    <w:rsid w:val="00D92401"/>
    <w:rsid w:val="00D927BC"/>
    <w:rsid w:val="00D92824"/>
    <w:rsid w:val="00D93F32"/>
    <w:rsid w:val="00D93FDD"/>
    <w:rsid w:val="00D93FE1"/>
    <w:rsid w:val="00D94A62"/>
    <w:rsid w:val="00D94ED4"/>
    <w:rsid w:val="00D9535B"/>
    <w:rsid w:val="00D95B34"/>
    <w:rsid w:val="00D95C91"/>
    <w:rsid w:val="00D95CD9"/>
    <w:rsid w:val="00D965EE"/>
    <w:rsid w:val="00D96954"/>
    <w:rsid w:val="00D96968"/>
    <w:rsid w:val="00D96B5A"/>
    <w:rsid w:val="00D96D10"/>
    <w:rsid w:val="00D96D42"/>
    <w:rsid w:val="00D977BC"/>
    <w:rsid w:val="00D97999"/>
    <w:rsid w:val="00D979E2"/>
    <w:rsid w:val="00DA013C"/>
    <w:rsid w:val="00DA0A28"/>
    <w:rsid w:val="00DA0D3A"/>
    <w:rsid w:val="00DA0D61"/>
    <w:rsid w:val="00DA124D"/>
    <w:rsid w:val="00DA149C"/>
    <w:rsid w:val="00DA1930"/>
    <w:rsid w:val="00DA2858"/>
    <w:rsid w:val="00DA2939"/>
    <w:rsid w:val="00DA29FD"/>
    <w:rsid w:val="00DA2B32"/>
    <w:rsid w:val="00DA2CCF"/>
    <w:rsid w:val="00DA2D07"/>
    <w:rsid w:val="00DA2E20"/>
    <w:rsid w:val="00DA2F0E"/>
    <w:rsid w:val="00DA3053"/>
    <w:rsid w:val="00DA3D4F"/>
    <w:rsid w:val="00DA3E7E"/>
    <w:rsid w:val="00DA3F45"/>
    <w:rsid w:val="00DA592A"/>
    <w:rsid w:val="00DA5AA6"/>
    <w:rsid w:val="00DA5C4C"/>
    <w:rsid w:val="00DA5E6D"/>
    <w:rsid w:val="00DA6141"/>
    <w:rsid w:val="00DA68E4"/>
    <w:rsid w:val="00DA6B33"/>
    <w:rsid w:val="00DA6B8E"/>
    <w:rsid w:val="00DA76F0"/>
    <w:rsid w:val="00DA77E0"/>
    <w:rsid w:val="00DB0067"/>
    <w:rsid w:val="00DB0321"/>
    <w:rsid w:val="00DB0E06"/>
    <w:rsid w:val="00DB10CA"/>
    <w:rsid w:val="00DB1E24"/>
    <w:rsid w:val="00DB1E76"/>
    <w:rsid w:val="00DB1F53"/>
    <w:rsid w:val="00DB30DD"/>
    <w:rsid w:val="00DB31C3"/>
    <w:rsid w:val="00DB368A"/>
    <w:rsid w:val="00DB3A1E"/>
    <w:rsid w:val="00DB3BA1"/>
    <w:rsid w:val="00DB44B3"/>
    <w:rsid w:val="00DB460E"/>
    <w:rsid w:val="00DB4A50"/>
    <w:rsid w:val="00DB4BF4"/>
    <w:rsid w:val="00DB4CB3"/>
    <w:rsid w:val="00DB514A"/>
    <w:rsid w:val="00DB5158"/>
    <w:rsid w:val="00DB5610"/>
    <w:rsid w:val="00DB5644"/>
    <w:rsid w:val="00DB5D7B"/>
    <w:rsid w:val="00DB5E5C"/>
    <w:rsid w:val="00DB6692"/>
    <w:rsid w:val="00DB6B43"/>
    <w:rsid w:val="00DB7305"/>
    <w:rsid w:val="00DB7A0C"/>
    <w:rsid w:val="00DC0464"/>
    <w:rsid w:val="00DC0AE0"/>
    <w:rsid w:val="00DC0FF9"/>
    <w:rsid w:val="00DC1B67"/>
    <w:rsid w:val="00DC2B8A"/>
    <w:rsid w:val="00DC2CB5"/>
    <w:rsid w:val="00DC34E9"/>
    <w:rsid w:val="00DC35A7"/>
    <w:rsid w:val="00DC37C2"/>
    <w:rsid w:val="00DC3BE4"/>
    <w:rsid w:val="00DC3D2E"/>
    <w:rsid w:val="00DC3E43"/>
    <w:rsid w:val="00DC4761"/>
    <w:rsid w:val="00DC4C0B"/>
    <w:rsid w:val="00DC5D08"/>
    <w:rsid w:val="00DC63B5"/>
    <w:rsid w:val="00DC68CB"/>
    <w:rsid w:val="00DC6C55"/>
    <w:rsid w:val="00DC7B1C"/>
    <w:rsid w:val="00DD01A5"/>
    <w:rsid w:val="00DD02AC"/>
    <w:rsid w:val="00DD0D09"/>
    <w:rsid w:val="00DD1157"/>
    <w:rsid w:val="00DD1305"/>
    <w:rsid w:val="00DD1346"/>
    <w:rsid w:val="00DD1B8B"/>
    <w:rsid w:val="00DD2095"/>
    <w:rsid w:val="00DD262D"/>
    <w:rsid w:val="00DD2856"/>
    <w:rsid w:val="00DD2B04"/>
    <w:rsid w:val="00DD2BDE"/>
    <w:rsid w:val="00DD32E3"/>
    <w:rsid w:val="00DD35C9"/>
    <w:rsid w:val="00DD36FA"/>
    <w:rsid w:val="00DD4136"/>
    <w:rsid w:val="00DD418A"/>
    <w:rsid w:val="00DD4594"/>
    <w:rsid w:val="00DD45F8"/>
    <w:rsid w:val="00DD460A"/>
    <w:rsid w:val="00DD495E"/>
    <w:rsid w:val="00DD4AE0"/>
    <w:rsid w:val="00DD52F9"/>
    <w:rsid w:val="00DD56F6"/>
    <w:rsid w:val="00DD60B7"/>
    <w:rsid w:val="00DD68FA"/>
    <w:rsid w:val="00DD6CB5"/>
    <w:rsid w:val="00DD73AA"/>
    <w:rsid w:val="00DD7624"/>
    <w:rsid w:val="00DD76F2"/>
    <w:rsid w:val="00DE0919"/>
    <w:rsid w:val="00DE0DE3"/>
    <w:rsid w:val="00DE1121"/>
    <w:rsid w:val="00DE11DC"/>
    <w:rsid w:val="00DE177F"/>
    <w:rsid w:val="00DE1CE0"/>
    <w:rsid w:val="00DE1E43"/>
    <w:rsid w:val="00DE2C1E"/>
    <w:rsid w:val="00DE2D94"/>
    <w:rsid w:val="00DE2EB0"/>
    <w:rsid w:val="00DE2EFB"/>
    <w:rsid w:val="00DE2F0F"/>
    <w:rsid w:val="00DE31D1"/>
    <w:rsid w:val="00DE40A7"/>
    <w:rsid w:val="00DE417C"/>
    <w:rsid w:val="00DE542C"/>
    <w:rsid w:val="00DE5B1F"/>
    <w:rsid w:val="00DE7043"/>
    <w:rsid w:val="00DF00D6"/>
    <w:rsid w:val="00DF02D7"/>
    <w:rsid w:val="00DF04EF"/>
    <w:rsid w:val="00DF0577"/>
    <w:rsid w:val="00DF0709"/>
    <w:rsid w:val="00DF0A67"/>
    <w:rsid w:val="00DF0C06"/>
    <w:rsid w:val="00DF14B0"/>
    <w:rsid w:val="00DF1D64"/>
    <w:rsid w:val="00DF1D68"/>
    <w:rsid w:val="00DF2BC7"/>
    <w:rsid w:val="00DF2E49"/>
    <w:rsid w:val="00DF4277"/>
    <w:rsid w:val="00DF46AB"/>
    <w:rsid w:val="00DF471F"/>
    <w:rsid w:val="00DF57AF"/>
    <w:rsid w:val="00DF585B"/>
    <w:rsid w:val="00DF5C6B"/>
    <w:rsid w:val="00DF5F4F"/>
    <w:rsid w:val="00DF63D6"/>
    <w:rsid w:val="00DF65B6"/>
    <w:rsid w:val="00DF6E51"/>
    <w:rsid w:val="00DF72AC"/>
    <w:rsid w:val="00DF7350"/>
    <w:rsid w:val="00DF743A"/>
    <w:rsid w:val="00DF74D3"/>
    <w:rsid w:val="00DF7DDB"/>
    <w:rsid w:val="00E00815"/>
    <w:rsid w:val="00E00ACE"/>
    <w:rsid w:val="00E0102C"/>
    <w:rsid w:val="00E01524"/>
    <w:rsid w:val="00E015ED"/>
    <w:rsid w:val="00E0182D"/>
    <w:rsid w:val="00E019CD"/>
    <w:rsid w:val="00E01BCC"/>
    <w:rsid w:val="00E01CCF"/>
    <w:rsid w:val="00E01D0C"/>
    <w:rsid w:val="00E01F03"/>
    <w:rsid w:val="00E025A7"/>
    <w:rsid w:val="00E02A85"/>
    <w:rsid w:val="00E02D9D"/>
    <w:rsid w:val="00E036D4"/>
    <w:rsid w:val="00E03E74"/>
    <w:rsid w:val="00E042B1"/>
    <w:rsid w:val="00E046A9"/>
    <w:rsid w:val="00E04813"/>
    <w:rsid w:val="00E04AD1"/>
    <w:rsid w:val="00E053F3"/>
    <w:rsid w:val="00E0597B"/>
    <w:rsid w:val="00E06391"/>
    <w:rsid w:val="00E06551"/>
    <w:rsid w:val="00E06D4E"/>
    <w:rsid w:val="00E06F8C"/>
    <w:rsid w:val="00E06FA8"/>
    <w:rsid w:val="00E07E49"/>
    <w:rsid w:val="00E104DD"/>
    <w:rsid w:val="00E10896"/>
    <w:rsid w:val="00E108E5"/>
    <w:rsid w:val="00E11E8F"/>
    <w:rsid w:val="00E11E9C"/>
    <w:rsid w:val="00E12A72"/>
    <w:rsid w:val="00E12B3C"/>
    <w:rsid w:val="00E12C70"/>
    <w:rsid w:val="00E1312F"/>
    <w:rsid w:val="00E13738"/>
    <w:rsid w:val="00E13A3B"/>
    <w:rsid w:val="00E14195"/>
    <w:rsid w:val="00E149D9"/>
    <w:rsid w:val="00E14C73"/>
    <w:rsid w:val="00E15088"/>
    <w:rsid w:val="00E150D2"/>
    <w:rsid w:val="00E156FD"/>
    <w:rsid w:val="00E15B6A"/>
    <w:rsid w:val="00E15E54"/>
    <w:rsid w:val="00E16032"/>
    <w:rsid w:val="00E1655D"/>
    <w:rsid w:val="00E167C8"/>
    <w:rsid w:val="00E169A3"/>
    <w:rsid w:val="00E16A78"/>
    <w:rsid w:val="00E16CC5"/>
    <w:rsid w:val="00E16F91"/>
    <w:rsid w:val="00E17817"/>
    <w:rsid w:val="00E179FC"/>
    <w:rsid w:val="00E20157"/>
    <w:rsid w:val="00E20317"/>
    <w:rsid w:val="00E205B1"/>
    <w:rsid w:val="00E208B5"/>
    <w:rsid w:val="00E215BD"/>
    <w:rsid w:val="00E217F1"/>
    <w:rsid w:val="00E21939"/>
    <w:rsid w:val="00E21ACE"/>
    <w:rsid w:val="00E21BF1"/>
    <w:rsid w:val="00E22496"/>
    <w:rsid w:val="00E22686"/>
    <w:rsid w:val="00E2294B"/>
    <w:rsid w:val="00E242F8"/>
    <w:rsid w:val="00E248EE"/>
    <w:rsid w:val="00E24F96"/>
    <w:rsid w:val="00E251E2"/>
    <w:rsid w:val="00E25527"/>
    <w:rsid w:val="00E258A2"/>
    <w:rsid w:val="00E25A19"/>
    <w:rsid w:val="00E25C59"/>
    <w:rsid w:val="00E26E6B"/>
    <w:rsid w:val="00E27206"/>
    <w:rsid w:val="00E2788A"/>
    <w:rsid w:val="00E27A4B"/>
    <w:rsid w:val="00E27AA5"/>
    <w:rsid w:val="00E27AAA"/>
    <w:rsid w:val="00E30B86"/>
    <w:rsid w:val="00E30D22"/>
    <w:rsid w:val="00E313AE"/>
    <w:rsid w:val="00E3149B"/>
    <w:rsid w:val="00E315A9"/>
    <w:rsid w:val="00E31969"/>
    <w:rsid w:val="00E325EC"/>
    <w:rsid w:val="00E340BE"/>
    <w:rsid w:val="00E340C8"/>
    <w:rsid w:val="00E342BC"/>
    <w:rsid w:val="00E342CB"/>
    <w:rsid w:val="00E34B7D"/>
    <w:rsid w:val="00E34E1F"/>
    <w:rsid w:val="00E34EF8"/>
    <w:rsid w:val="00E350EB"/>
    <w:rsid w:val="00E35799"/>
    <w:rsid w:val="00E357DA"/>
    <w:rsid w:val="00E35A02"/>
    <w:rsid w:val="00E35D2F"/>
    <w:rsid w:val="00E36D70"/>
    <w:rsid w:val="00E37096"/>
    <w:rsid w:val="00E374FE"/>
    <w:rsid w:val="00E375D4"/>
    <w:rsid w:val="00E3782D"/>
    <w:rsid w:val="00E37C6E"/>
    <w:rsid w:val="00E403DC"/>
    <w:rsid w:val="00E409F0"/>
    <w:rsid w:val="00E40CBA"/>
    <w:rsid w:val="00E40DF4"/>
    <w:rsid w:val="00E40E58"/>
    <w:rsid w:val="00E40E7B"/>
    <w:rsid w:val="00E40F43"/>
    <w:rsid w:val="00E41637"/>
    <w:rsid w:val="00E42008"/>
    <w:rsid w:val="00E424A7"/>
    <w:rsid w:val="00E42FE7"/>
    <w:rsid w:val="00E43C60"/>
    <w:rsid w:val="00E442F5"/>
    <w:rsid w:val="00E446C4"/>
    <w:rsid w:val="00E44F52"/>
    <w:rsid w:val="00E45006"/>
    <w:rsid w:val="00E4502F"/>
    <w:rsid w:val="00E45277"/>
    <w:rsid w:val="00E45648"/>
    <w:rsid w:val="00E4566B"/>
    <w:rsid w:val="00E4597C"/>
    <w:rsid w:val="00E45AD6"/>
    <w:rsid w:val="00E4621D"/>
    <w:rsid w:val="00E4697C"/>
    <w:rsid w:val="00E46B7E"/>
    <w:rsid w:val="00E46E69"/>
    <w:rsid w:val="00E46FE7"/>
    <w:rsid w:val="00E471C4"/>
    <w:rsid w:val="00E47E71"/>
    <w:rsid w:val="00E50008"/>
    <w:rsid w:val="00E50A25"/>
    <w:rsid w:val="00E50E0B"/>
    <w:rsid w:val="00E51775"/>
    <w:rsid w:val="00E51ACD"/>
    <w:rsid w:val="00E51D69"/>
    <w:rsid w:val="00E53AC7"/>
    <w:rsid w:val="00E53F28"/>
    <w:rsid w:val="00E54634"/>
    <w:rsid w:val="00E546D5"/>
    <w:rsid w:val="00E5470B"/>
    <w:rsid w:val="00E54936"/>
    <w:rsid w:val="00E55102"/>
    <w:rsid w:val="00E55A28"/>
    <w:rsid w:val="00E560A5"/>
    <w:rsid w:val="00E56A42"/>
    <w:rsid w:val="00E60B95"/>
    <w:rsid w:val="00E60C48"/>
    <w:rsid w:val="00E61250"/>
    <w:rsid w:val="00E615E1"/>
    <w:rsid w:val="00E61689"/>
    <w:rsid w:val="00E617AE"/>
    <w:rsid w:val="00E61F16"/>
    <w:rsid w:val="00E62890"/>
    <w:rsid w:val="00E62DF9"/>
    <w:rsid w:val="00E62E43"/>
    <w:rsid w:val="00E632FE"/>
    <w:rsid w:val="00E63B5A"/>
    <w:rsid w:val="00E641BC"/>
    <w:rsid w:val="00E64349"/>
    <w:rsid w:val="00E644D3"/>
    <w:rsid w:val="00E64ED5"/>
    <w:rsid w:val="00E65BEC"/>
    <w:rsid w:val="00E65C93"/>
    <w:rsid w:val="00E6603B"/>
    <w:rsid w:val="00E66314"/>
    <w:rsid w:val="00E66512"/>
    <w:rsid w:val="00E66714"/>
    <w:rsid w:val="00E66D55"/>
    <w:rsid w:val="00E67248"/>
    <w:rsid w:val="00E67EF0"/>
    <w:rsid w:val="00E67FA3"/>
    <w:rsid w:val="00E70125"/>
    <w:rsid w:val="00E7025F"/>
    <w:rsid w:val="00E702AC"/>
    <w:rsid w:val="00E703C8"/>
    <w:rsid w:val="00E704DC"/>
    <w:rsid w:val="00E70CE9"/>
    <w:rsid w:val="00E712DF"/>
    <w:rsid w:val="00E720BB"/>
    <w:rsid w:val="00E720C5"/>
    <w:rsid w:val="00E7221F"/>
    <w:rsid w:val="00E724A5"/>
    <w:rsid w:val="00E72EE9"/>
    <w:rsid w:val="00E735A8"/>
    <w:rsid w:val="00E751CD"/>
    <w:rsid w:val="00E754B9"/>
    <w:rsid w:val="00E757BB"/>
    <w:rsid w:val="00E75A79"/>
    <w:rsid w:val="00E75DD4"/>
    <w:rsid w:val="00E75F9F"/>
    <w:rsid w:val="00E76031"/>
    <w:rsid w:val="00E761E0"/>
    <w:rsid w:val="00E7660D"/>
    <w:rsid w:val="00E76A2A"/>
    <w:rsid w:val="00E7795F"/>
    <w:rsid w:val="00E77A80"/>
    <w:rsid w:val="00E80314"/>
    <w:rsid w:val="00E80696"/>
    <w:rsid w:val="00E807DD"/>
    <w:rsid w:val="00E80BEB"/>
    <w:rsid w:val="00E810D0"/>
    <w:rsid w:val="00E81C0A"/>
    <w:rsid w:val="00E8201A"/>
    <w:rsid w:val="00E82242"/>
    <w:rsid w:val="00E822CA"/>
    <w:rsid w:val="00E8265D"/>
    <w:rsid w:val="00E82AC7"/>
    <w:rsid w:val="00E82B99"/>
    <w:rsid w:val="00E82C8A"/>
    <w:rsid w:val="00E83CF7"/>
    <w:rsid w:val="00E8451B"/>
    <w:rsid w:val="00E846DD"/>
    <w:rsid w:val="00E84917"/>
    <w:rsid w:val="00E84E0F"/>
    <w:rsid w:val="00E85169"/>
    <w:rsid w:val="00E85423"/>
    <w:rsid w:val="00E85C50"/>
    <w:rsid w:val="00E8665A"/>
    <w:rsid w:val="00E879C0"/>
    <w:rsid w:val="00E87AD3"/>
    <w:rsid w:val="00E87D8F"/>
    <w:rsid w:val="00E87EC6"/>
    <w:rsid w:val="00E908C1"/>
    <w:rsid w:val="00E90A0F"/>
    <w:rsid w:val="00E90A35"/>
    <w:rsid w:val="00E90AE6"/>
    <w:rsid w:val="00E90F50"/>
    <w:rsid w:val="00E91566"/>
    <w:rsid w:val="00E91688"/>
    <w:rsid w:val="00E917A9"/>
    <w:rsid w:val="00E92011"/>
    <w:rsid w:val="00E920FC"/>
    <w:rsid w:val="00E92490"/>
    <w:rsid w:val="00E92EED"/>
    <w:rsid w:val="00E940F8"/>
    <w:rsid w:val="00E9422F"/>
    <w:rsid w:val="00E94255"/>
    <w:rsid w:val="00E943E1"/>
    <w:rsid w:val="00E94761"/>
    <w:rsid w:val="00E94E0B"/>
    <w:rsid w:val="00E94EAE"/>
    <w:rsid w:val="00E95C3D"/>
    <w:rsid w:val="00E95D4D"/>
    <w:rsid w:val="00E95E3E"/>
    <w:rsid w:val="00E97202"/>
    <w:rsid w:val="00EA0352"/>
    <w:rsid w:val="00EA08B9"/>
    <w:rsid w:val="00EA0C88"/>
    <w:rsid w:val="00EA0E55"/>
    <w:rsid w:val="00EA0F74"/>
    <w:rsid w:val="00EA12C5"/>
    <w:rsid w:val="00EA14BA"/>
    <w:rsid w:val="00EA1E06"/>
    <w:rsid w:val="00EA1E1C"/>
    <w:rsid w:val="00EA28BE"/>
    <w:rsid w:val="00EA2A03"/>
    <w:rsid w:val="00EA2E51"/>
    <w:rsid w:val="00EA2E76"/>
    <w:rsid w:val="00EA3080"/>
    <w:rsid w:val="00EA340F"/>
    <w:rsid w:val="00EA3DB0"/>
    <w:rsid w:val="00EA404E"/>
    <w:rsid w:val="00EA4463"/>
    <w:rsid w:val="00EA4526"/>
    <w:rsid w:val="00EA46F2"/>
    <w:rsid w:val="00EA4EB6"/>
    <w:rsid w:val="00EA54F0"/>
    <w:rsid w:val="00EA5EB2"/>
    <w:rsid w:val="00EA621F"/>
    <w:rsid w:val="00EA6428"/>
    <w:rsid w:val="00EA69C5"/>
    <w:rsid w:val="00EA6CDF"/>
    <w:rsid w:val="00EA71EA"/>
    <w:rsid w:val="00EA73D6"/>
    <w:rsid w:val="00EA79D5"/>
    <w:rsid w:val="00EA7AA6"/>
    <w:rsid w:val="00EB0083"/>
    <w:rsid w:val="00EB00DC"/>
    <w:rsid w:val="00EB1F94"/>
    <w:rsid w:val="00EB20B5"/>
    <w:rsid w:val="00EB2280"/>
    <w:rsid w:val="00EB2321"/>
    <w:rsid w:val="00EB24B9"/>
    <w:rsid w:val="00EB25CD"/>
    <w:rsid w:val="00EB2BC2"/>
    <w:rsid w:val="00EB30A1"/>
    <w:rsid w:val="00EB34BC"/>
    <w:rsid w:val="00EB34F5"/>
    <w:rsid w:val="00EB398A"/>
    <w:rsid w:val="00EB3D4F"/>
    <w:rsid w:val="00EB5484"/>
    <w:rsid w:val="00EB551B"/>
    <w:rsid w:val="00EB59C6"/>
    <w:rsid w:val="00EB5F2E"/>
    <w:rsid w:val="00EB61F9"/>
    <w:rsid w:val="00EB63B2"/>
    <w:rsid w:val="00EB6D22"/>
    <w:rsid w:val="00EB6DBF"/>
    <w:rsid w:val="00EB794D"/>
    <w:rsid w:val="00EC02D3"/>
    <w:rsid w:val="00EC0B85"/>
    <w:rsid w:val="00EC0EEE"/>
    <w:rsid w:val="00EC13B2"/>
    <w:rsid w:val="00EC13BA"/>
    <w:rsid w:val="00EC18BA"/>
    <w:rsid w:val="00EC1DB1"/>
    <w:rsid w:val="00EC2878"/>
    <w:rsid w:val="00EC2AC2"/>
    <w:rsid w:val="00EC2E94"/>
    <w:rsid w:val="00EC30A6"/>
    <w:rsid w:val="00EC345C"/>
    <w:rsid w:val="00EC3894"/>
    <w:rsid w:val="00EC3C27"/>
    <w:rsid w:val="00EC3CD2"/>
    <w:rsid w:val="00EC3D60"/>
    <w:rsid w:val="00EC3DA1"/>
    <w:rsid w:val="00EC47C3"/>
    <w:rsid w:val="00EC483F"/>
    <w:rsid w:val="00EC498E"/>
    <w:rsid w:val="00EC4A3A"/>
    <w:rsid w:val="00EC4D6A"/>
    <w:rsid w:val="00EC51A7"/>
    <w:rsid w:val="00EC5CEE"/>
    <w:rsid w:val="00EC70BD"/>
    <w:rsid w:val="00EC72DD"/>
    <w:rsid w:val="00EC7751"/>
    <w:rsid w:val="00ED033D"/>
    <w:rsid w:val="00ED0952"/>
    <w:rsid w:val="00ED0F33"/>
    <w:rsid w:val="00ED139A"/>
    <w:rsid w:val="00ED1561"/>
    <w:rsid w:val="00ED20A9"/>
    <w:rsid w:val="00ED290A"/>
    <w:rsid w:val="00ED3302"/>
    <w:rsid w:val="00ED3776"/>
    <w:rsid w:val="00ED394F"/>
    <w:rsid w:val="00ED3B7A"/>
    <w:rsid w:val="00ED467D"/>
    <w:rsid w:val="00ED4A4B"/>
    <w:rsid w:val="00ED4CD8"/>
    <w:rsid w:val="00ED4F49"/>
    <w:rsid w:val="00ED501D"/>
    <w:rsid w:val="00ED58E8"/>
    <w:rsid w:val="00ED5C30"/>
    <w:rsid w:val="00ED5DB1"/>
    <w:rsid w:val="00ED6485"/>
    <w:rsid w:val="00ED6BEC"/>
    <w:rsid w:val="00ED71B4"/>
    <w:rsid w:val="00ED7887"/>
    <w:rsid w:val="00ED797B"/>
    <w:rsid w:val="00ED7D81"/>
    <w:rsid w:val="00EE012F"/>
    <w:rsid w:val="00EE0494"/>
    <w:rsid w:val="00EE05AF"/>
    <w:rsid w:val="00EE0B6A"/>
    <w:rsid w:val="00EE0BF9"/>
    <w:rsid w:val="00EE0D3B"/>
    <w:rsid w:val="00EE0E55"/>
    <w:rsid w:val="00EE111E"/>
    <w:rsid w:val="00EE1703"/>
    <w:rsid w:val="00EE21B5"/>
    <w:rsid w:val="00EE274B"/>
    <w:rsid w:val="00EE29E8"/>
    <w:rsid w:val="00EE2B7A"/>
    <w:rsid w:val="00EE334A"/>
    <w:rsid w:val="00EE4196"/>
    <w:rsid w:val="00EE4222"/>
    <w:rsid w:val="00EE49F1"/>
    <w:rsid w:val="00EE4D2F"/>
    <w:rsid w:val="00EE4F8D"/>
    <w:rsid w:val="00EE5084"/>
    <w:rsid w:val="00EE50EA"/>
    <w:rsid w:val="00EE5852"/>
    <w:rsid w:val="00EE59B1"/>
    <w:rsid w:val="00EE5C12"/>
    <w:rsid w:val="00EE618F"/>
    <w:rsid w:val="00EE6A1B"/>
    <w:rsid w:val="00EE723D"/>
    <w:rsid w:val="00EE75F1"/>
    <w:rsid w:val="00EE7987"/>
    <w:rsid w:val="00EE7CA8"/>
    <w:rsid w:val="00EF0895"/>
    <w:rsid w:val="00EF0BF3"/>
    <w:rsid w:val="00EF0F1D"/>
    <w:rsid w:val="00EF11F6"/>
    <w:rsid w:val="00EF11F7"/>
    <w:rsid w:val="00EF1251"/>
    <w:rsid w:val="00EF1807"/>
    <w:rsid w:val="00EF1AC5"/>
    <w:rsid w:val="00EF1AEB"/>
    <w:rsid w:val="00EF27A2"/>
    <w:rsid w:val="00EF2C6C"/>
    <w:rsid w:val="00EF317F"/>
    <w:rsid w:val="00EF3775"/>
    <w:rsid w:val="00EF3CD1"/>
    <w:rsid w:val="00EF3DE2"/>
    <w:rsid w:val="00EF4015"/>
    <w:rsid w:val="00EF4458"/>
    <w:rsid w:val="00EF4481"/>
    <w:rsid w:val="00EF4906"/>
    <w:rsid w:val="00EF491F"/>
    <w:rsid w:val="00EF4D01"/>
    <w:rsid w:val="00EF581B"/>
    <w:rsid w:val="00EF5C40"/>
    <w:rsid w:val="00EF5F39"/>
    <w:rsid w:val="00EF675B"/>
    <w:rsid w:val="00EF6B47"/>
    <w:rsid w:val="00EF706D"/>
    <w:rsid w:val="00EF746F"/>
    <w:rsid w:val="00EF777B"/>
    <w:rsid w:val="00EF7B69"/>
    <w:rsid w:val="00F0038C"/>
    <w:rsid w:val="00F005C0"/>
    <w:rsid w:val="00F006FA"/>
    <w:rsid w:val="00F0084D"/>
    <w:rsid w:val="00F00AE8"/>
    <w:rsid w:val="00F0122C"/>
    <w:rsid w:val="00F01299"/>
    <w:rsid w:val="00F012E8"/>
    <w:rsid w:val="00F01A8B"/>
    <w:rsid w:val="00F01D89"/>
    <w:rsid w:val="00F021F3"/>
    <w:rsid w:val="00F02463"/>
    <w:rsid w:val="00F02B84"/>
    <w:rsid w:val="00F03AA9"/>
    <w:rsid w:val="00F03AD4"/>
    <w:rsid w:val="00F03C02"/>
    <w:rsid w:val="00F03F80"/>
    <w:rsid w:val="00F043BC"/>
    <w:rsid w:val="00F0443D"/>
    <w:rsid w:val="00F04476"/>
    <w:rsid w:val="00F045E2"/>
    <w:rsid w:val="00F056B5"/>
    <w:rsid w:val="00F057A4"/>
    <w:rsid w:val="00F05E1A"/>
    <w:rsid w:val="00F05F5E"/>
    <w:rsid w:val="00F05F79"/>
    <w:rsid w:val="00F061BD"/>
    <w:rsid w:val="00F06668"/>
    <w:rsid w:val="00F066FD"/>
    <w:rsid w:val="00F06908"/>
    <w:rsid w:val="00F06AA6"/>
    <w:rsid w:val="00F06BE8"/>
    <w:rsid w:val="00F06D3F"/>
    <w:rsid w:val="00F070BC"/>
    <w:rsid w:val="00F0716D"/>
    <w:rsid w:val="00F073A9"/>
    <w:rsid w:val="00F0759E"/>
    <w:rsid w:val="00F10691"/>
    <w:rsid w:val="00F110A0"/>
    <w:rsid w:val="00F110DF"/>
    <w:rsid w:val="00F11B93"/>
    <w:rsid w:val="00F12010"/>
    <w:rsid w:val="00F12CF0"/>
    <w:rsid w:val="00F12D6C"/>
    <w:rsid w:val="00F132DC"/>
    <w:rsid w:val="00F14103"/>
    <w:rsid w:val="00F14553"/>
    <w:rsid w:val="00F1475C"/>
    <w:rsid w:val="00F147AF"/>
    <w:rsid w:val="00F14948"/>
    <w:rsid w:val="00F14F43"/>
    <w:rsid w:val="00F154A2"/>
    <w:rsid w:val="00F15636"/>
    <w:rsid w:val="00F15AD1"/>
    <w:rsid w:val="00F15D5E"/>
    <w:rsid w:val="00F1629D"/>
    <w:rsid w:val="00F163A2"/>
    <w:rsid w:val="00F16C0F"/>
    <w:rsid w:val="00F1732B"/>
    <w:rsid w:val="00F173CE"/>
    <w:rsid w:val="00F177AC"/>
    <w:rsid w:val="00F177E2"/>
    <w:rsid w:val="00F17935"/>
    <w:rsid w:val="00F17CEC"/>
    <w:rsid w:val="00F20B3C"/>
    <w:rsid w:val="00F21214"/>
    <w:rsid w:val="00F217B1"/>
    <w:rsid w:val="00F21DAF"/>
    <w:rsid w:val="00F21DC1"/>
    <w:rsid w:val="00F2208D"/>
    <w:rsid w:val="00F222AE"/>
    <w:rsid w:val="00F2244E"/>
    <w:rsid w:val="00F22599"/>
    <w:rsid w:val="00F22727"/>
    <w:rsid w:val="00F2370F"/>
    <w:rsid w:val="00F239B9"/>
    <w:rsid w:val="00F23C37"/>
    <w:rsid w:val="00F23F1C"/>
    <w:rsid w:val="00F23F47"/>
    <w:rsid w:val="00F24560"/>
    <w:rsid w:val="00F24757"/>
    <w:rsid w:val="00F24D16"/>
    <w:rsid w:val="00F24EB7"/>
    <w:rsid w:val="00F251F6"/>
    <w:rsid w:val="00F25324"/>
    <w:rsid w:val="00F255FF"/>
    <w:rsid w:val="00F25AE5"/>
    <w:rsid w:val="00F25FF1"/>
    <w:rsid w:val="00F263CD"/>
    <w:rsid w:val="00F26CAF"/>
    <w:rsid w:val="00F26D7B"/>
    <w:rsid w:val="00F2734A"/>
    <w:rsid w:val="00F27B81"/>
    <w:rsid w:val="00F27E55"/>
    <w:rsid w:val="00F30435"/>
    <w:rsid w:val="00F30DAA"/>
    <w:rsid w:val="00F30F3C"/>
    <w:rsid w:val="00F32088"/>
    <w:rsid w:val="00F32540"/>
    <w:rsid w:val="00F325D8"/>
    <w:rsid w:val="00F32AE6"/>
    <w:rsid w:val="00F32AFA"/>
    <w:rsid w:val="00F32CA9"/>
    <w:rsid w:val="00F331CD"/>
    <w:rsid w:val="00F33389"/>
    <w:rsid w:val="00F334B9"/>
    <w:rsid w:val="00F33594"/>
    <w:rsid w:val="00F33B4D"/>
    <w:rsid w:val="00F33D9F"/>
    <w:rsid w:val="00F344ED"/>
    <w:rsid w:val="00F346FE"/>
    <w:rsid w:val="00F34911"/>
    <w:rsid w:val="00F34AB5"/>
    <w:rsid w:val="00F34AB8"/>
    <w:rsid w:val="00F34AB9"/>
    <w:rsid w:val="00F34E0A"/>
    <w:rsid w:val="00F3536D"/>
    <w:rsid w:val="00F35432"/>
    <w:rsid w:val="00F3556A"/>
    <w:rsid w:val="00F35FAE"/>
    <w:rsid w:val="00F364F2"/>
    <w:rsid w:val="00F36BBD"/>
    <w:rsid w:val="00F36BFA"/>
    <w:rsid w:val="00F372BA"/>
    <w:rsid w:val="00F37633"/>
    <w:rsid w:val="00F379EB"/>
    <w:rsid w:val="00F37E9C"/>
    <w:rsid w:val="00F40AEB"/>
    <w:rsid w:val="00F41552"/>
    <w:rsid w:val="00F41693"/>
    <w:rsid w:val="00F41A9B"/>
    <w:rsid w:val="00F41F44"/>
    <w:rsid w:val="00F42792"/>
    <w:rsid w:val="00F42E10"/>
    <w:rsid w:val="00F43303"/>
    <w:rsid w:val="00F434E0"/>
    <w:rsid w:val="00F43DFF"/>
    <w:rsid w:val="00F43E97"/>
    <w:rsid w:val="00F44128"/>
    <w:rsid w:val="00F44631"/>
    <w:rsid w:val="00F44676"/>
    <w:rsid w:val="00F45394"/>
    <w:rsid w:val="00F453B8"/>
    <w:rsid w:val="00F4569B"/>
    <w:rsid w:val="00F45879"/>
    <w:rsid w:val="00F45913"/>
    <w:rsid w:val="00F45BFA"/>
    <w:rsid w:val="00F45D2E"/>
    <w:rsid w:val="00F4659B"/>
    <w:rsid w:val="00F46C08"/>
    <w:rsid w:val="00F46E31"/>
    <w:rsid w:val="00F4706D"/>
    <w:rsid w:val="00F4710B"/>
    <w:rsid w:val="00F4782E"/>
    <w:rsid w:val="00F50029"/>
    <w:rsid w:val="00F5012B"/>
    <w:rsid w:val="00F5023A"/>
    <w:rsid w:val="00F50417"/>
    <w:rsid w:val="00F504A0"/>
    <w:rsid w:val="00F50685"/>
    <w:rsid w:val="00F50882"/>
    <w:rsid w:val="00F50ABB"/>
    <w:rsid w:val="00F50D1E"/>
    <w:rsid w:val="00F50E5A"/>
    <w:rsid w:val="00F51333"/>
    <w:rsid w:val="00F522C9"/>
    <w:rsid w:val="00F5239B"/>
    <w:rsid w:val="00F5288A"/>
    <w:rsid w:val="00F529DA"/>
    <w:rsid w:val="00F53425"/>
    <w:rsid w:val="00F53560"/>
    <w:rsid w:val="00F53736"/>
    <w:rsid w:val="00F5374C"/>
    <w:rsid w:val="00F537AF"/>
    <w:rsid w:val="00F547A2"/>
    <w:rsid w:val="00F54931"/>
    <w:rsid w:val="00F5515F"/>
    <w:rsid w:val="00F55AB2"/>
    <w:rsid w:val="00F55EAE"/>
    <w:rsid w:val="00F56552"/>
    <w:rsid w:val="00F5665A"/>
    <w:rsid w:val="00F56AA0"/>
    <w:rsid w:val="00F56D8B"/>
    <w:rsid w:val="00F56FAC"/>
    <w:rsid w:val="00F578DE"/>
    <w:rsid w:val="00F601C6"/>
    <w:rsid w:val="00F6076D"/>
    <w:rsid w:val="00F608DB"/>
    <w:rsid w:val="00F6098B"/>
    <w:rsid w:val="00F60C13"/>
    <w:rsid w:val="00F60C3E"/>
    <w:rsid w:val="00F6111E"/>
    <w:rsid w:val="00F6114A"/>
    <w:rsid w:val="00F61301"/>
    <w:rsid w:val="00F613FD"/>
    <w:rsid w:val="00F61424"/>
    <w:rsid w:val="00F61BE3"/>
    <w:rsid w:val="00F61C12"/>
    <w:rsid w:val="00F62036"/>
    <w:rsid w:val="00F6204D"/>
    <w:rsid w:val="00F62287"/>
    <w:rsid w:val="00F6238B"/>
    <w:rsid w:val="00F62C2F"/>
    <w:rsid w:val="00F63086"/>
    <w:rsid w:val="00F6321B"/>
    <w:rsid w:val="00F637E2"/>
    <w:rsid w:val="00F651BE"/>
    <w:rsid w:val="00F6529B"/>
    <w:rsid w:val="00F653B5"/>
    <w:rsid w:val="00F65644"/>
    <w:rsid w:val="00F65BF0"/>
    <w:rsid w:val="00F6604C"/>
    <w:rsid w:val="00F667FF"/>
    <w:rsid w:val="00F66E32"/>
    <w:rsid w:val="00F7022F"/>
    <w:rsid w:val="00F7087E"/>
    <w:rsid w:val="00F71BD1"/>
    <w:rsid w:val="00F72076"/>
    <w:rsid w:val="00F72499"/>
    <w:rsid w:val="00F725BC"/>
    <w:rsid w:val="00F7264A"/>
    <w:rsid w:val="00F7279F"/>
    <w:rsid w:val="00F728A6"/>
    <w:rsid w:val="00F72B3D"/>
    <w:rsid w:val="00F72DAE"/>
    <w:rsid w:val="00F73A88"/>
    <w:rsid w:val="00F73D21"/>
    <w:rsid w:val="00F746A8"/>
    <w:rsid w:val="00F74E5C"/>
    <w:rsid w:val="00F74EE3"/>
    <w:rsid w:val="00F7523B"/>
    <w:rsid w:val="00F752B1"/>
    <w:rsid w:val="00F75447"/>
    <w:rsid w:val="00F757B6"/>
    <w:rsid w:val="00F75DFF"/>
    <w:rsid w:val="00F75E3C"/>
    <w:rsid w:val="00F75F93"/>
    <w:rsid w:val="00F76496"/>
    <w:rsid w:val="00F7656E"/>
    <w:rsid w:val="00F76874"/>
    <w:rsid w:val="00F77638"/>
    <w:rsid w:val="00F80468"/>
    <w:rsid w:val="00F8073F"/>
    <w:rsid w:val="00F80BF5"/>
    <w:rsid w:val="00F81246"/>
    <w:rsid w:val="00F81414"/>
    <w:rsid w:val="00F8173C"/>
    <w:rsid w:val="00F81820"/>
    <w:rsid w:val="00F81B08"/>
    <w:rsid w:val="00F81B6A"/>
    <w:rsid w:val="00F8292E"/>
    <w:rsid w:val="00F82A84"/>
    <w:rsid w:val="00F82AEB"/>
    <w:rsid w:val="00F82D07"/>
    <w:rsid w:val="00F8335C"/>
    <w:rsid w:val="00F8343C"/>
    <w:rsid w:val="00F835E7"/>
    <w:rsid w:val="00F84029"/>
    <w:rsid w:val="00F8480F"/>
    <w:rsid w:val="00F84D12"/>
    <w:rsid w:val="00F85328"/>
    <w:rsid w:val="00F86058"/>
    <w:rsid w:val="00F86117"/>
    <w:rsid w:val="00F8686C"/>
    <w:rsid w:val="00F87963"/>
    <w:rsid w:val="00F87A37"/>
    <w:rsid w:val="00F87BBC"/>
    <w:rsid w:val="00F87FA0"/>
    <w:rsid w:val="00F900FD"/>
    <w:rsid w:val="00F90219"/>
    <w:rsid w:val="00F903B0"/>
    <w:rsid w:val="00F914C2"/>
    <w:rsid w:val="00F91592"/>
    <w:rsid w:val="00F91E8D"/>
    <w:rsid w:val="00F91FB1"/>
    <w:rsid w:val="00F92272"/>
    <w:rsid w:val="00F926F2"/>
    <w:rsid w:val="00F92FE6"/>
    <w:rsid w:val="00F933DF"/>
    <w:rsid w:val="00F93464"/>
    <w:rsid w:val="00F95997"/>
    <w:rsid w:val="00F95B95"/>
    <w:rsid w:val="00F96186"/>
    <w:rsid w:val="00F96A7B"/>
    <w:rsid w:val="00F96AF6"/>
    <w:rsid w:val="00F97446"/>
    <w:rsid w:val="00F979F3"/>
    <w:rsid w:val="00F97B79"/>
    <w:rsid w:val="00FA0FA1"/>
    <w:rsid w:val="00FA0FDB"/>
    <w:rsid w:val="00FA1188"/>
    <w:rsid w:val="00FA151F"/>
    <w:rsid w:val="00FA15BE"/>
    <w:rsid w:val="00FA1B82"/>
    <w:rsid w:val="00FA2455"/>
    <w:rsid w:val="00FA259C"/>
    <w:rsid w:val="00FA2D45"/>
    <w:rsid w:val="00FA3757"/>
    <w:rsid w:val="00FA375F"/>
    <w:rsid w:val="00FA38C7"/>
    <w:rsid w:val="00FA3A5A"/>
    <w:rsid w:val="00FA3E6D"/>
    <w:rsid w:val="00FA44A5"/>
    <w:rsid w:val="00FA4880"/>
    <w:rsid w:val="00FA4B5A"/>
    <w:rsid w:val="00FA4BA3"/>
    <w:rsid w:val="00FA4BF0"/>
    <w:rsid w:val="00FA55B2"/>
    <w:rsid w:val="00FA5BA0"/>
    <w:rsid w:val="00FA5FD4"/>
    <w:rsid w:val="00FA62A3"/>
    <w:rsid w:val="00FA64DB"/>
    <w:rsid w:val="00FA6AEA"/>
    <w:rsid w:val="00FA6C91"/>
    <w:rsid w:val="00FA6DEB"/>
    <w:rsid w:val="00FA7FE4"/>
    <w:rsid w:val="00FB0360"/>
    <w:rsid w:val="00FB03DA"/>
    <w:rsid w:val="00FB0A1E"/>
    <w:rsid w:val="00FB0B3B"/>
    <w:rsid w:val="00FB1051"/>
    <w:rsid w:val="00FB1627"/>
    <w:rsid w:val="00FB1755"/>
    <w:rsid w:val="00FB230B"/>
    <w:rsid w:val="00FB2607"/>
    <w:rsid w:val="00FB3481"/>
    <w:rsid w:val="00FB42CC"/>
    <w:rsid w:val="00FB4BF7"/>
    <w:rsid w:val="00FB4CD4"/>
    <w:rsid w:val="00FB51CA"/>
    <w:rsid w:val="00FB5466"/>
    <w:rsid w:val="00FB63F8"/>
    <w:rsid w:val="00FB69B6"/>
    <w:rsid w:val="00FB7630"/>
    <w:rsid w:val="00FC0007"/>
    <w:rsid w:val="00FC017C"/>
    <w:rsid w:val="00FC05F6"/>
    <w:rsid w:val="00FC0814"/>
    <w:rsid w:val="00FC1320"/>
    <w:rsid w:val="00FC151F"/>
    <w:rsid w:val="00FC1AE7"/>
    <w:rsid w:val="00FC2F4B"/>
    <w:rsid w:val="00FC3B03"/>
    <w:rsid w:val="00FC40F4"/>
    <w:rsid w:val="00FC4112"/>
    <w:rsid w:val="00FC4194"/>
    <w:rsid w:val="00FC4314"/>
    <w:rsid w:val="00FC45D3"/>
    <w:rsid w:val="00FC4DA4"/>
    <w:rsid w:val="00FC507F"/>
    <w:rsid w:val="00FC5644"/>
    <w:rsid w:val="00FC5998"/>
    <w:rsid w:val="00FC5F19"/>
    <w:rsid w:val="00FC652A"/>
    <w:rsid w:val="00FC6C0A"/>
    <w:rsid w:val="00FC7525"/>
    <w:rsid w:val="00FD18CE"/>
    <w:rsid w:val="00FD3941"/>
    <w:rsid w:val="00FD3AF2"/>
    <w:rsid w:val="00FD42A3"/>
    <w:rsid w:val="00FD42C7"/>
    <w:rsid w:val="00FD44C6"/>
    <w:rsid w:val="00FD455B"/>
    <w:rsid w:val="00FD4650"/>
    <w:rsid w:val="00FD4A46"/>
    <w:rsid w:val="00FD5E65"/>
    <w:rsid w:val="00FD626D"/>
    <w:rsid w:val="00FD708B"/>
    <w:rsid w:val="00FD70E3"/>
    <w:rsid w:val="00FD7271"/>
    <w:rsid w:val="00FD7B05"/>
    <w:rsid w:val="00FE0B2E"/>
    <w:rsid w:val="00FE16DC"/>
    <w:rsid w:val="00FE1740"/>
    <w:rsid w:val="00FE1D7A"/>
    <w:rsid w:val="00FE1E2C"/>
    <w:rsid w:val="00FE2419"/>
    <w:rsid w:val="00FE2DF4"/>
    <w:rsid w:val="00FE30A0"/>
    <w:rsid w:val="00FE3365"/>
    <w:rsid w:val="00FE356E"/>
    <w:rsid w:val="00FE39F5"/>
    <w:rsid w:val="00FE4039"/>
    <w:rsid w:val="00FE4677"/>
    <w:rsid w:val="00FE4AFD"/>
    <w:rsid w:val="00FE4CDC"/>
    <w:rsid w:val="00FE4EF7"/>
    <w:rsid w:val="00FE51AE"/>
    <w:rsid w:val="00FE56DD"/>
    <w:rsid w:val="00FE5D57"/>
    <w:rsid w:val="00FE615E"/>
    <w:rsid w:val="00FE66AC"/>
    <w:rsid w:val="00FE6D7B"/>
    <w:rsid w:val="00FE6DFE"/>
    <w:rsid w:val="00FE7442"/>
    <w:rsid w:val="00FE761A"/>
    <w:rsid w:val="00FE7647"/>
    <w:rsid w:val="00FF009F"/>
    <w:rsid w:val="00FF03F3"/>
    <w:rsid w:val="00FF09A1"/>
    <w:rsid w:val="00FF0D82"/>
    <w:rsid w:val="00FF111B"/>
    <w:rsid w:val="00FF1421"/>
    <w:rsid w:val="00FF212E"/>
    <w:rsid w:val="00FF2E79"/>
    <w:rsid w:val="00FF364C"/>
    <w:rsid w:val="00FF3E76"/>
    <w:rsid w:val="00FF4072"/>
    <w:rsid w:val="00FF4202"/>
    <w:rsid w:val="00FF42DF"/>
    <w:rsid w:val="00FF4A3E"/>
    <w:rsid w:val="00FF4B29"/>
    <w:rsid w:val="00FF4C99"/>
    <w:rsid w:val="00FF5222"/>
    <w:rsid w:val="00FF555C"/>
    <w:rsid w:val="00FF5747"/>
    <w:rsid w:val="00FF6135"/>
    <w:rsid w:val="00FF6473"/>
    <w:rsid w:val="00FF67DE"/>
    <w:rsid w:val="00FF6977"/>
    <w:rsid w:val="00FF7DD3"/>
    <w:rsid w:val="00FF7E52"/>
    <w:rsid w:val="01C473F2"/>
    <w:rsid w:val="02D0381A"/>
    <w:rsid w:val="02FF7A7B"/>
    <w:rsid w:val="03970EF3"/>
    <w:rsid w:val="03FE61E6"/>
    <w:rsid w:val="041651F4"/>
    <w:rsid w:val="04664A43"/>
    <w:rsid w:val="04893C18"/>
    <w:rsid w:val="04FF6EDD"/>
    <w:rsid w:val="0587314F"/>
    <w:rsid w:val="065906F6"/>
    <w:rsid w:val="069629CC"/>
    <w:rsid w:val="070D3824"/>
    <w:rsid w:val="075C4711"/>
    <w:rsid w:val="08EF7436"/>
    <w:rsid w:val="08FB2C0B"/>
    <w:rsid w:val="0A275C9B"/>
    <w:rsid w:val="0B0E7430"/>
    <w:rsid w:val="0BE56EA6"/>
    <w:rsid w:val="0D5364A5"/>
    <w:rsid w:val="0DEB7A82"/>
    <w:rsid w:val="0E0B4410"/>
    <w:rsid w:val="0E4E26C6"/>
    <w:rsid w:val="0F1D38DB"/>
    <w:rsid w:val="0F8F00B0"/>
    <w:rsid w:val="0F980C7B"/>
    <w:rsid w:val="12160F3D"/>
    <w:rsid w:val="12383670"/>
    <w:rsid w:val="12E54A8E"/>
    <w:rsid w:val="12EF29D9"/>
    <w:rsid w:val="15633BC1"/>
    <w:rsid w:val="15AA6DB7"/>
    <w:rsid w:val="17DC4231"/>
    <w:rsid w:val="18482FF3"/>
    <w:rsid w:val="189512DD"/>
    <w:rsid w:val="1C9C6D7D"/>
    <w:rsid w:val="1CFD009B"/>
    <w:rsid w:val="1D994751"/>
    <w:rsid w:val="1E4270D9"/>
    <w:rsid w:val="1F1C0096"/>
    <w:rsid w:val="1F8709C5"/>
    <w:rsid w:val="2109131B"/>
    <w:rsid w:val="214F03B6"/>
    <w:rsid w:val="233A4603"/>
    <w:rsid w:val="24270242"/>
    <w:rsid w:val="24327310"/>
    <w:rsid w:val="25AA584B"/>
    <w:rsid w:val="25D13E4A"/>
    <w:rsid w:val="262827A7"/>
    <w:rsid w:val="267B6266"/>
    <w:rsid w:val="28616AD6"/>
    <w:rsid w:val="288822B5"/>
    <w:rsid w:val="29123F25"/>
    <w:rsid w:val="2A4370E4"/>
    <w:rsid w:val="2ACF254B"/>
    <w:rsid w:val="2AE1060A"/>
    <w:rsid w:val="2B524FB1"/>
    <w:rsid w:val="2B6F2B6C"/>
    <w:rsid w:val="2BCB5153"/>
    <w:rsid w:val="2C1106C8"/>
    <w:rsid w:val="2C3D6F12"/>
    <w:rsid w:val="2CC66910"/>
    <w:rsid w:val="2CDA740C"/>
    <w:rsid w:val="2F0D2540"/>
    <w:rsid w:val="2FC271C4"/>
    <w:rsid w:val="313708CB"/>
    <w:rsid w:val="32744B8F"/>
    <w:rsid w:val="32CF5391"/>
    <w:rsid w:val="3424001A"/>
    <w:rsid w:val="34495886"/>
    <w:rsid w:val="34D669F4"/>
    <w:rsid w:val="356928AF"/>
    <w:rsid w:val="35782485"/>
    <w:rsid w:val="35E67601"/>
    <w:rsid w:val="36034D29"/>
    <w:rsid w:val="36FA3E77"/>
    <w:rsid w:val="36FB77C2"/>
    <w:rsid w:val="375972E4"/>
    <w:rsid w:val="377B4E57"/>
    <w:rsid w:val="383563AF"/>
    <w:rsid w:val="38B67890"/>
    <w:rsid w:val="39114C7E"/>
    <w:rsid w:val="39255B4E"/>
    <w:rsid w:val="3A287D9F"/>
    <w:rsid w:val="3BE86680"/>
    <w:rsid w:val="3DF9440A"/>
    <w:rsid w:val="3EAF254C"/>
    <w:rsid w:val="3EB954B1"/>
    <w:rsid w:val="3FED2FEE"/>
    <w:rsid w:val="4084365C"/>
    <w:rsid w:val="40A550BC"/>
    <w:rsid w:val="40D01062"/>
    <w:rsid w:val="41C20755"/>
    <w:rsid w:val="41EB0F11"/>
    <w:rsid w:val="41FB4C9F"/>
    <w:rsid w:val="436957B4"/>
    <w:rsid w:val="442707E9"/>
    <w:rsid w:val="44AD0C81"/>
    <w:rsid w:val="451B6AE0"/>
    <w:rsid w:val="45365B70"/>
    <w:rsid w:val="45CB0EDF"/>
    <w:rsid w:val="45DA617F"/>
    <w:rsid w:val="45FC0CDF"/>
    <w:rsid w:val="46591E13"/>
    <w:rsid w:val="47B906EA"/>
    <w:rsid w:val="494E0432"/>
    <w:rsid w:val="49A3785C"/>
    <w:rsid w:val="49F8439E"/>
    <w:rsid w:val="4A245310"/>
    <w:rsid w:val="4F45079D"/>
    <w:rsid w:val="4F4E3DEF"/>
    <w:rsid w:val="4FBC56DC"/>
    <w:rsid w:val="512200B2"/>
    <w:rsid w:val="52715451"/>
    <w:rsid w:val="52A948EA"/>
    <w:rsid w:val="53FF492A"/>
    <w:rsid w:val="54283E8B"/>
    <w:rsid w:val="544B7567"/>
    <w:rsid w:val="5604752C"/>
    <w:rsid w:val="563D22D4"/>
    <w:rsid w:val="57661C02"/>
    <w:rsid w:val="57DC12FD"/>
    <w:rsid w:val="59C26464"/>
    <w:rsid w:val="59C819C6"/>
    <w:rsid w:val="5B025999"/>
    <w:rsid w:val="5C60789B"/>
    <w:rsid w:val="5D215280"/>
    <w:rsid w:val="5DA17F0E"/>
    <w:rsid w:val="5F1C4882"/>
    <w:rsid w:val="5F70492E"/>
    <w:rsid w:val="5FB94285"/>
    <w:rsid w:val="5FC324AB"/>
    <w:rsid w:val="5FF067F2"/>
    <w:rsid w:val="608036B0"/>
    <w:rsid w:val="60FE69AF"/>
    <w:rsid w:val="62267E02"/>
    <w:rsid w:val="63F84A67"/>
    <w:rsid w:val="6513475D"/>
    <w:rsid w:val="65B8668C"/>
    <w:rsid w:val="66336075"/>
    <w:rsid w:val="6649368C"/>
    <w:rsid w:val="67AE7BAA"/>
    <w:rsid w:val="69382A2C"/>
    <w:rsid w:val="69434640"/>
    <w:rsid w:val="6B970DF3"/>
    <w:rsid w:val="6C7021F9"/>
    <w:rsid w:val="6D590FBF"/>
    <w:rsid w:val="6DEF7AF4"/>
    <w:rsid w:val="6DF87AF7"/>
    <w:rsid w:val="70806AF7"/>
    <w:rsid w:val="71191D5B"/>
    <w:rsid w:val="722A5A2F"/>
    <w:rsid w:val="73CF2113"/>
    <w:rsid w:val="74A6184D"/>
    <w:rsid w:val="74E941AF"/>
    <w:rsid w:val="766E211A"/>
    <w:rsid w:val="772C7214"/>
    <w:rsid w:val="77E36DBE"/>
    <w:rsid w:val="79393B8B"/>
    <w:rsid w:val="793B7C6B"/>
    <w:rsid w:val="79B73810"/>
    <w:rsid w:val="7AD0650C"/>
    <w:rsid w:val="7B28499C"/>
    <w:rsid w:val="7C4C347A"/>
    <w:rsid w:val="7D433C63"/>
    <w:rsid w:val="7D7D15ED"/>
    <w:rsid w:val="7DA6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qFormat="1" w:unhideWhenUsed="0" w:uiPriority="99"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53"/>
    <w:autoRedefine/>
    <w:qFormat/>
    <w:uiPriority w:val="9"/>
    <w:pPr>
      <w:keepNext/>
      <w:spacing w:line="380" w:lineRule="exact"/>
      <w:jc w:val="center"/>
      <w:outlineLvl w:val="0"/>
    </w:pPr>
    <w:rPr>
      <w:rFonts w:ascii="宋体"/>
      <w:b/>
      <w:bCs/>
      <w:sz w:val="28"/>
    </w:rPr>
  </w:style>
  <w:style w:type="paragraph" w:styleId="3">
    <w:name w:val="heading 2"/>
    <w:basedOn w:val="1"/>
    <w:next w:val="1"/>
    <w:link w:val="54"/>
    <w:autoRedefine/>
    <w:qFormat/>
    <w:uiPriority w:val="0"/>
    <w:pPr>
      <w:keepNext/>
      <w:keepLines/>
      <w:tabs>
        <w:tab w:val="left" w:pos="578"/>
      </w:tabs>
      <w:spacing w:beforeLines="50" w:afterLines="50" w:line="360" w:lineRule="auto"/>
      <w:ind w:left="578" w:hanging="578"/>
      <w:outlineLvl w:val="1"/>
    </w:pPr>
    <w:rPr>
      <w:rFonts w:ascii="Arial" w:hAnsi="Arial" w:eastAsia="黑体"/>
      <w:b/>
      <w:bCs/>
      <w:sz w:val="32"/>
      <w:szCs w:val="32"/>
    </w:rPr>
  </w:style>
  <w:style w:type="paragraph" w:styleId="4">
    <w:name w:val="heading 3"/>
    <w:basedOn w:val="1"/>
    <w:next w:val="1"/>
    <w:link w:val="55"/>
    <w:autoRedefine/>
    <w:qFormat/>
    <w:uiPriority w:val="9"/>
    <w:pPr>
      <w:keepNext/>
      <w:keepLines/>
      <w:tabs>
        <w:tab w:val="left" w:pos="1620"/>
      </w:tabs>
      <w:spacing w:beforeLines="50" w:afterLines="50" w:line="360" w:lineRule="auto"/>
      <w:ind w:left="1620" w:hanging="720"/>
      <w:outlineLvl w:val="2"/>
    </w:pPr>
    <w:rPr>
      <w:rFonts w:ascii="Arial" w:hAnsi="Arial" w:eastAsia="黑体" w:cs="Arial"/>
      <w:b/>
      <w:bCs/>
      <w:sz w:val="30"/>
      <w:szCs w:val="32"/>
    </w:rPr>
  </w:style>
  <w:style w:type="paragraph" w:styleId="5">
    <w:name w:val="heading 4"/>
    <w:basedOn w:val="1"/>
    <w:next w:val="1"/>
    <w:link w:val="56"/>
    <w:autoRedefine/>
    <w:qFormat/>
    <w:uiPriority w:val="9"/>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57"/>
    <w:autoRedefine/>
    <w:qFormat/>
    <w:uiPriority w:val="9"/>
    <w:pPr>
      <w:keepNext/>
      <w:keepLines/>
      <w:tabs>
        <w:tab w:val="left" w:pos="1548"/>
      </w:tabs>
      <w:spacing w:before="280" w:after="290" w:line="376" w:lineRule="auto"/>
      <w:ind w:left="1548" w:hanging="1548"/>
      <w:outlineLvl w:val="4"/>
    </w:pPr>
    <w:rPr>
      <w:b/>
      <w:bCs/>
      <w:sz w:val="28"/>
      <w:szCs w:val="28"/>
    </w:rPr>
  </w:style>
  <w:style w:type="paragraph" w:styleId="7">
    <w:name w:val="heading 6"/>
    <w:basedOn w:val="1"/>
    <w:next w:val="1"/>
    <w:link w:val="58"/>
    <w:autoRedefine/>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9"/>
    <w:autoRedefine/>
    <w:qFormat/>
    <w:uiPriority w:val="9"/>
    <w:pPr>
      <w:keepNext/>
      <w:keepLines/>
      <w:tabs>
        <w:tab w:val="left" w:pos="1296"/>
      </w:tabs>
      <w:spacing w:before="240" w:after="64" w:line="317" w:lineRule="auto"/>
      <w:ind w:left="2940" w:hanging="420"/>
      <w:outlineLvl w:val="6"/>
    </w:pPr>
    <w:rPr>
      <w:b/>
      <w:bCs/>
      <w:sz w:val="24"/>
      <w:szCs w:val="24"/>
    </w:rPr>
  </w:style>
  <w:style w:type="paragraph" w:styleId="9">
    <w:name w:val="heading 8"/>
    <w:basedOn w:val="1"/>
    <w:next w:val="1"/>
    <w:link w:val="60"/>
    <w:autoRedefine/>
    <w:qFormat/>
    <w:uiPriority w:val="9"/>
    <w:pPr>
      <w:keepNext/>
      <w:keepLines/>
      <w:tabs>
        <w:tab w:val="left" w:pos="1440"/>
      </w:tabs>
      <w:spacing w:before="240" w:after="64" w:line="317" w:lineRule="auto"/>
      <w:ind w:left="3360" w:hanging="420"/>
      <w:outlineLvl w:val="7"/>
    </w:pPr>
    <w:rPr>
      <w:rFonts w:ascii="Arial" w:hAnsi="Arial" w:eastAsia="黑体"/>
      <w:sz w:val="24"/>
      <w:szCs w:val="24"/>
    </w:rPr>
  </w:style>
  <w:style w:type="paragraph" w:styleId="10">
    <w:name w:val="heading 9"/>
    <w:basedOn w:val="1"/>
    <w:next w:val="1"/>
    <w:link w:val="61"/>
    <w:autoRedefine/>
    <w:qFormat/>
    <w:uiPriority w:val="9"/>
    <w:pPr>
      <w:keepNext/>
      <w:keepLines/>
      <w:tabs>
        <w:tab w:val="left" w:pos="1584"/>
      </w:tabs>
      <w:spacing w:before="240" w:after="64" w:line="317" w:lineRule="auto"/>
      <w:ind w:left="3780" w:hanging="420"/>
      <w:outlineLvl w:val="8"/>
    </w:pPr>
    <w:rPr>
      <w:rFonts w:ascii="Arial" w:hAnsi="Arial" w:eastAsia="黑体"/>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Normal Indent"/>
    <w:basedOn w:val="1"/>
    <w:link w:val="62"/>
    <w:autoRedefine/>
    <w:qFormat/>
    <w:uiPriority w:val="0"/>
    <w:pPr>
      <w:ind w:firstLine="420" w:firstLineChars="200"/>
    </w:pPr>
    <w:rPr>
      <w:szCs w:val="24"/>
    </w:rPr>
  </w:style>
  <w:style w:type="paragraph" w:styleId="13">
    <w:name w:val="Document Map"/>
    <w:basedOn w:val="1"/>
    <w:link w:val="63"/>
    <w:autoRedefine/>
    <w:semiHidden/>
    <w:qFormat/>
    <w:uiPriority w:val="0"/>
    <w:pPr>
      <w:shd w:val="clear" w:color="auto" w:fill="000080"/>
    </w:pPr>
  </w:style>
  <w:style w:type="paragraph" w:styleId="14">
    <w:name w:val="annotation text"/>
    <w:basedOn w:val="1"/>
    <w:link w:val="64"/>
    <w:autoRedefine/>
    <w:semiHidden/>
    <w:qFormat/>
    <w:uiPriority w:val="99"/>
    <w:pPr>
      <w:jc w:val="left"/>
    </w:pPr>
  </w:style>
  <w:style w:type="paragraph" w:styleId="15">
    <w:name w:val="Body Text 3"/>
    <w:basedOn w:val="1"/>
    <w:link w:val="65"/>
    <w:autoRedefine/>
    <w:qFormat/>
    <w:uiPriority w:val="0"/>
    <w:pPr>
      <w:spacing w:after="120" w:line="360" w:lineRule="auto"/>
    </w:pPr>
    <w:rPr>
      <w:kern w:val="0"/>
      <w:sz w:val="16"/>
      <w:szCs w:val="16"/>
    </w:rPr>
  </w:style>
  <w:style w:type="paragraph" w:styleId="16">
    <w:name w:val="Body Text"/>
    <w:basedOn w:val="1"/>
    <w:next w:val="1"/>
    <w:link w:val="66"/>
    <w:autoRedefine/>
    <w:qFormat/>
    <w:uiPriority w:val="0"/>
    <w:rPr>
      <w:i/>
      <w:sz w:val="18"/>
    </w:rPr>
  </w:style>
  <w:style w:type="paragraph" w:styleId="17">
    <w:name w:val="Body Text Indent"/>
    <w:basedOn w:val="1"/>
    <w:link w:val="67"/>
    <w:autoRedefine/>
    <w:qFormat/>
    <w:uiPriority w:val="0"/>
    <w:pPr>
      <w:spacing w:line="380" w:lineRule="exact"/>
      <w:ind w:firstLine="480"/>
    </w:pPr>
    <w:rPr>
      <w:rFonts w:eastAsia="方正书宋简体"/>
      <w:sz w:val="24"/>
    </w:rPr>
  </w:style>
  <w:style w:type="paragraph" w:styleId="18">
    <w:name w:val="List Number 3"/>
    <w:basedOn w:val="1"/>
    <w:autoRedefine/>
    <w:qFormat/>
    <w:uiPriority w:val="99"/>
    <w:pPr>
      <w:widowControl/>
      <w:tabs>
        <w:tab w:val="left" w:pos="482"/>
      </w:tabs>
      <w:spacing w:afterLines="50"/>
      <w:ind w:left="482" w:hanging="340"/>
      <w:jc w:val="left"/>
    </w:pPr>
    <w:rPr>
      <w:kern w:val="0"/>
      <w:sz w:val="24"/>
    </w:rPr>
  </w:style>
  <w:style w:type="paragraph" w:styleId="19">
    <w:name w:val="toc 5"/>
    <w:basedOn w:val="1"/>
    <w:next w:val="1"/>
    <w:autoRedefine/>
    <w:qFormat/>
    <w:uiPriority w:val="39"/>
    <w:pPr>
      <w:ind w:left="840"/>
      <w:jc w:val="left"/>
    </w:pPr>
    <w:rPr>
      <w:sz w:val="18"/>
      <w:szCs w:val="18"/>
    </w:rPr>
  </w:style>
  <w:style w:type="paragraph" w:styleId="20">
    <w:name w:val="toc 3"/>
    <w:basedOn w:val="1"/>
    <w:next w:val="1"/>
    <w:autoRedefine/>
    <w:qFormat/>
    <w:uiPriority w:val="39"/>
    <w:pPr>
      <w:ind w:left="420"/>
      <w:jc w:val="left"/>
    </w:pPr>
    <w:rPr>
      <w:i/>
      <w:iCs/>
      <w:sz w:val="20"/>
    </w:rPr>
  </w:style>
  <w:style w:type="paragraph" w:styleId="21">
    <w:name w:val="Plain Text"/>
    <w:basedOn w:val="1"/>
    <w:link w:val="68"/>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2">
    <w:name w:val="toc 8"/>
    <w:basedOn w:val="1"/>
    <w:next w:val="1"/>
    <w:autoRedefine/>
    <w:qFormat/>
    <w:uiPriority w:val="39"/>
    <w:pPr>
      <w:ind w:left="1470"/>
      <w:jc w:val="left"/>
    </w:pPr>
    <w:rPr>
      <w:sz w:val="18"/>
      <w:szCs w:val="18"/>
    </w:rPr>
  </w:style>
  <w:style w:type="paragraph" w:styleId="23">
    <w:name w:val="Date"/>
    <w:basedOn w:val="1"/>
    <w:next w:val="1"/>
    <w:link w:val="69"/>
    <w:autoRedefine/>
    <w:qFormat/>
    <w:uiPriority w:val="0"/>
    <w:pPr>
      <w:adjustRightInd w:val="0"/>
      <w:spacing w:line="312" w:lineRule="atLeast"/>
      <w:jc w:val="right"/>
      <w:textAlignment w:val="baseline"/>
    </w:pPr>
    <w:rPr>
      <w:rFonts w:ascii="宋体"/>
      <w:kern w:val="0"/>
      <w:sz w:val="24"/>
    </w:rPr>
  </w:style>
  <w:style w:type="paragraph" w:styleId="24">
    <w:name w:val="Body Text Indent 2"/>
    <w:basedOn w:val="1"/>
    <w:link w:val="70"/>
    <w:autoRedefine/>
    <w:qFormat/>
    <w:uiPriority w:val="0"/>
    <w:pPr>
      <w:spacing w:line="380" w:lineRule="exact"/>
      <w:ind w:left="840" w:hanging="45"/>
    </w:pPr>
    <w:rPr>
      <w:rFonts w:ascii="宋体"/>
      <w:sz w:val="24"/>
    </w:rPr>
  </w:style>
  <w:style w:type="paragraph" w:styleId="25">
    <w:name w:val="Balloon Text"/>
    <w:basedOn w:val="1"/>
    <w:link w:val="71"/>
    <w:autoRedefine/>
    <w:qFormat/>
    <w:uiPriority w:val="0"/>
    <w:rPr>
      <w:sz w:val="18"/>
      <w:szCs w:val="18"/>
    </w:rPr>
  </w:style>
  <w:style w:type="paragraph" w:styleId="26">
    <w:name w:val="footer"/>
    <w:basedOn w:val="1"/>
    <w:link w:val="72"/>
    <w:autoRedefine/>
    <w:qFormat/>
    <w:uiPriority w:val="0"/>
    <w:pPr>
      <w:tabs>
        <w:tab w:val="center" w:pos="4153"/>
        <w:tab w:val="right" w:pos="8306"/>
      </w:tabs>
      <w:snapToGrid w:val="0"/>
      <w:jc w:val="left"/>
    </w:pPr>
    <w:rPr>
      <w:sz w:val="18"/>
    </w:rPr>
  </w:style>
  <w:style w:type="paragraph" w:styleId="27">
    <w:name w:val="header"/>
    <w:basedOn w:val="1"/>
    <w:link w:val="73"/>
    <w:autoRedefine/>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autoRedefine/>
    <w:qFormat/>
    <w:uiPriority w:val="39"/>
    <w:pPr>
      <w:tabs>
        <w:tab w:val="right" w:leader="dot" w:pos="8721"/>
      </w:tabs>
      <w:spacing w:line="480" w:lineRule="auto"/>
    </w:pPr>
    <w:rPr>
      <w:rFonts w:ascii="宋体" w:hAnsi="宋体"/>
      <w:color w:val="000000"/>
      <w:sz w:val="32"/>
      <w:szCs w:val="32"/>
    </w:rPr>
  </w:style>
  <w:style w:type="paragraph" w:styleId="29">
    <w:name w:val="toc 4"/>
    <w:basedOn w:val="1"/>
    <w:next w:val="1"/>
    <w:autoRedefine/>
    <w:qFormat/>
    <w:uiPriority w:val="39"/>
    <w:pPr>
      <w:ind w:left="630"/>
      <w:jc w:val="left"/>
    </w:pPr>
    <w:rPr>
      <w:sz w:val="18"/>
      <w:szCs w:val="18"/>
    </w:rPr>
  </w:style>
  <w:style w:type="paragraph" w:styleId="30">
    <w:name w:val="List Number 5"/>
    <w:basedOn w:val="1"/>
    <w:autoRedefine/>
    <w:qFormat/>
    <w:uiPriority w:val="99"/>
    <w:pPr>
      <w:tabs>
        <w:tab w:val="left" w:pos="2608"/>
      </w:tabs>
      <w:spacing w:line="360" w:lineRule="auto"/>
      <w:ind w:left="840" w:hanging="360"/>
    </w:pPr>
    <w:rPr>
      <w:sz w:val="24"/>
      <w:szCs w:val="24"/>
    </w:rPr>
  </w:style>
  <w:style w:type="paragraph" w:styleId="31">
    <w:name w:val="toc 6"/>
    <w:basedOn w:val="1"/>
    <w:next w:val="1"/>
    <w:autoRedefine/>
    <w:qFormat/>
    <w:uiPriority w:val="39"/>
    <w:pPr>
      <w:ind w:left="1050"/>
      <w:jc w:val="left"/>
    </w:pPr>
    <w:rPr>
      <w:sz w:val="18"/>
      <w:szCs w:val="18"/>
    </w:rPr>
  </w:style>
  <w:style w:type="paragraph" w:styleId="32">
    <w:name w:val="Body Text Indent 3"/>
    <w:basedOn w:val="1"/>
    <w:link w:val="74"/>
    <w:autoRedefine/>
    <w:qFormat/>
    <w:uiPriority w:val="0"/>
    <w:pPr>
      <w:spacing w:line="380" w:lineRule="exact"/>
      <w:ind w:left="525"/>
    </w:pPr>
    <w:rPr>
      <w:rFonts w:ascii="宋体"/>
      <w:sz w:val="24"/>
    </w:rPr>
  </w:style>
  <w:style w:type="paragraph" w:styleId="33">
    <w:name w:val="table of figures"/>
    <w:basedOn w:val="1"/>
    <w:next w:val="1"/>
    <w:autoRedefine/>
    <w:qFormat/>
    <w:uiPriority w:val="99"/>
    <w:pPr>
      <w:ind w:left="420" w:hanging="420"/>
      <w:jc w:val="left"/>
    </w:pPr>
    <w:rPr>
      <w:smallCaps/>
      <w:sz w:val="20"/>
    </w:rPr>
  </w:style>
  <w:style w:type="paragraph" w:styleId="34">
    <w:name w:val="toc 2"/>
    <w:basedOn w:val="1"/>
    <w:next w:val="1"/>
    <w:autoRedefine/>
    <w:qFormat/>
    <w:uiPriority w:val="39"/>
    <w:pPr>
      <w:ind w:left="210"/>
      <w:jc w:val="left"/>
    </w:pPr>
    <w:rPr>
      <w:smallCaps/>
      <w:sz w:val="20"/>
    </w:rPr>
  </w:style>
  <w:style w:type="paragraph" w:styleId="35">
    <w:name w:val="toc 9"/>
    <w:basedOn w:val="1"/>
    <w:next w:val="1"/>
    <w:autoRedefine/>
    <w:qFormat/>
    <w:uiPriority w:val="39"/>
    <w:pPr>
      <w:ind w:left="1680"/>
      <w:jc w:val="left"/>
    </w:pPr>
    <w:rPr>
      <w:sz w:val="18"/>
      <w:szCs w:val="18"/>
    </w:rPr>
  </w:style>
  <w:style w:type="paragraph" w:styleId="36">
    <w:name w:val="Body Text 2"/>
    <w:basedOn w:val="1"/>
    <w:link w:val="75"/>
    <w:autoRedefine/>
    <w:qFormat/>
    <w:uiPriority w:val="0"/>
    <w:pPr>
      <w:spacing w:after="120" w:line="480" w:lineRule="auto"/>
    </w:pPr>
    <w:rPr>
      <w:kern w:val="0"/>
      <w:sz w:val="24"/>
      <w:szCs w:val="24"/>
    </w:rPr>
  </w:style>
  <w:style w:type="paragraph" w:styleId="37">
    <w:name w:val="HTML Preformatted"/>
    <w:basedOn w:val="1"/>
    <w:link w:val="76"/>
    <w:qFormat/>
    <w:uiPriority w:val="99"/>
    <w:rPr>
      <w:rFonts w:ascii="Courier New" w:hAnsi="Courier New"/>
      <w:sz w:val="20"/>
    </w:rPr>
  </w:style>
  <w:style w:type="paragraph" w:styleId="38">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39">
    <w:name w:val="index 1"/>
    <w:basedOn w:val="1"/>
    <w:next w:val="1"/>
    <w:semiHidden/>
    <w:qFormat/>
    <w:uiPriority w:val="99"/>
  </w:style>
  <w:style w:type="paragraph" w:styleId="40">
    <w:name w:val="Title"/>
    <w:basedOn w:val="1"/>
    <w:link w:val="77"/>
    <w:qFormat/>
    <w:uiPriority w:val="0"/>
    <w:pPr>
      <w:spacing w:before="240" w:after="60"/>
      <w:jc w:val="center"/>
      <w:outlineLvl w:val="0"/>
    </w:pPr>
    <w:rPr>
      <w:rFonts w:ascii="Arial" w:hAnsi="Arial" w:cs="Arial"/>
      <w:b/>
      <w:bCs/>
      <w:sz w:val="32"/>
      <w:szCs w:val="32"/>
    </w:rPr>
  </w:style>
  <w:style w:type="paragraph" w:styleId="41">
    <w:name w:val="annotation subject"/>
    <w:basedOn w:val="14"/>
    <w:next w:val="14"/>
    <w:link w:val="78"/>
    <w:autoRedefine/>
    <w:semiHidden/>
    <w:qFormat/>
    <w:uiPriority w:val="99"/>
    <w:rPr>
      <w:b/>
      <w:bCs/>
      <w:kern w:val="0"/>
      <w:sz w:val="20"/>
    </w:rPr>
  </w:style>
  <w:style w:type="paragraph" w:styleId="42">
    <w:name w:val="Body Text First Indent"/>
    <w:basedOn w:val="16"/>
    <w:next w:val="31"/>
    <w:link w:val="79"/>
    <w:qFormat/>
    <w:uiPriority w:val="0"/>
    <w:pPr>
      <w:spacing w:after="120"/>
      <w:ind w:firstLine="420" w:firstLineChars="100"/>
    </w:pPr>
    <w:rPr>
      <w:i w:val="0"/>
      <w:kern w:val="0"/>
      <w:sz w:val="21"/>
      <w:szCs w:val="24"/>
    </w:rPr>
  </w:style>
  <w:style w:type="paragraph" w:styleId="43">
    <w:name w:val="Body Text First Indent 2"/>
    <w:basedOn w:val="17"/>
    <w:link w:val="80"/>
    <w:autoRedefine/>
    <w:qFormat/>
    <w:uiPriority w:val="0"/>
    <w:pPr>
      <w:spacing w:after="120" w:line="240" w:lineRule="auto"/>
      <w:ind w:left="420" w:leftChars="200" w:firstLine="420" w:firstLineChars="200"/>
    </w:pPr>
    <w:rPr>
      <w:rFonts w:ascii="Times New Roman" w:hAnsi="Times New Roman"/>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22"/>
    <w:rPr>
      <w:b/>
      <w:bCs/>
    </w:rPr>
  </w:style>
  <w:style w:type="character" w:styleId="48">
    <w:name w:val="page number"/>
    <w:qFormat/>
    <w:uiPriority w:val="99"/>
  </w:style>
  <w:style w:type="character" w:styleId="49">
    <w:name w:val="FollowedHyperlink"/>
    <w:qFormat/>
    <w:uiPriority w:val="99"/>
    <w:rPr>
      <w:color w:val="800080"/>
      <w:u w:val="single"/>
    </w:rPr>
  </w:style>
  <w:style w:type="character" w:styleId="50">
    <w:name w:val="HTML Typewriter"/>
    <w:qFormat/>
    <w:uiPriority w:val="99"/>
    <w:rPr>
      <w:rFonts w:ascii="Courier New" w:hAnsi="Courier New" w:cs="Courier New"/>
      <w:sz w:val="20"/>
      <w:szCs w:val="20"/>
    </w:rPr>
  </w:style>
  <w:style w:type="character" w:styleId="51">
    <w:name w:val="Hyperlink"/>
    <w:qFormat/>
    <w:uiPriority w:val="99"/>
    <w:rPr>
      <w:color w:val="0000FF"/>
      <w:u w:val="single"/>
    </w:rPr>
  </w:style>
  <w:style w:type="character" w:styleId="52">
    <w:name w:val="annotation reference"/>
    <w:semiHidden/>
    <w:qFormat/>
    <w:uiPriority w:val="99"/>
    <w:rPr>
      <w:sz w:val="21"/>
      <w:szCs w:val="21"/>
    </w:rPr>
  </w:style>
  <w:style w:type="character" w:customStyle="1" w:styleId="53">
    <w:name w:val="标题 1 Char"/>
    <w:link w:val="2"/>
    <w:qFormat/>
    <w:uiPriority w:val="9"/>
    <w:rPr>
      <w:rFonts w:ascii="宋体" w:eastAsia="宋体"/>
      <w:b/>
      <w:bCs/>
      <w:kern w:val="2"/>
      <w:sz w:val="28"/>
      <w:lang w:val="en-US" w:eastAsia="zh-CN" w:bidi="ar-SA"/>
    </w:rPr>
  </w:style>
  <w:style w:type="character" w:customStyle="1" w:styleId="54">
    <w:name w:val="标题 2 Char"/>
    <w:link w:val="3"/>
    <w:qFormat/>
    <w:uiPriority w:val="0"/>
    <w:rPr>
      <w:rFonts w:ascii="Arial" w:hAnsi="Arial" w:eastAsia="黑体"/>
      <w:b/>
      <w:bCs/>
      <w:kern w:val="2"/>
      <w:sz w:val="32"/>
      <w:szCs w:val="32"/>
      <w:lang w:val="en-US" w:eastAsia="zh-CN" w:bidi="ar-SA"/>
    </w:rPr>
  </w:style>
  <w:style w:type="character" w:customStyle="1" w:styleId="55">
    <w:name w:val="标题 3 Char"/>
    <w:link w:val="4"/>
    <w:qFormat/>
    <w:uiPriority w:val="9"/>
    <w:rPr>
      <w:rFonts w:ascii="Arial" w:hAnsi="Arial" w:eastAsia="黑体" w:cs="Arial"/>
      <w:b/>
      <w:bCs/>
      <w:kern w:val="2"/>
      <w:sz w:val="30"/>
      <w:szCs w:val="32"/>
      <w:lang w:val="en-US" w:eastAsia="zh-CN" w:bidi="ar-SA"/>
    </w:rPr>
  </w:style>
  <w:style w:type="character" w:customStyle="1" w:styleId="56">
    <w:name w:val="标题 4 Char"/>
    <w:link w:val="5"/>
    <w:qFormat/>
    <w:uiPriority w:val="9"/>
    <w:rPr>
      <w:rFonts w:ascii="Arial" w:hAnsi="Arial" w:eastAsia="黑体"/>
      <w:b/>
      <w:bCs/>
      <w:kern w:val="2"/>
      <w:sz w:val="28"/>
      <w:szCs w:val="28"/>
      <w:lang w:val="en-US" w:eastAsia="zh-CN" w:bidi="ar-SA"/>
    </w:rPr>
  </w:style>
  <w:style w:type="character" w:customStyle="1" w:styleId="57">
    <w:name w:val="标题 5 Char"/>
    <w:link w:val="6"/>
    <w:qFormat/>
    <w:uiPriority w:val="9"/>
    <w:rPr>
      <w:rFonts w:eastAsia="宋体"/>
      <w:b/>
      <w:bCs/>
      <w:kern w:val="2"/>
      <w:sz w:val="28"/>
      <w:szCs w:val="28"/>
      <w:lang w:val="en-US" w:eastAsia="zh-CN" w:bidi="ar-SA"/>
    </w:rPr>
  </w:style>
  <w:style w:type="character" w:customStyle="1" w:styleId="58">
    <w:name w:val="标题 6 Char"/>
    <w:link w:val="7"/>
    <w:qFormat/>
    <w:uiPriority w:val="9"/>
    <w:rPr>
      <w:rFonts w:ascii="Cambria" w:hAnsi="Cambria" w:eastAsia="宋体"/>
      <w:b/>
      <w:bCs/>
      <w:kern w:val="2"/>
      <w:sz w:val="24"/>
      <w:szCs w:val="24"/>
      <w:lang w:val="en-US" w:eastAsia="zh-CN" w:bidi="ar-SA"/>
    </w:rPr>
  </w:style>
  <w:style w:type="character" w:customStyle="1" w:styleId="59">
    <w:name w:val="标题 7 Char"/>
    <w:link w:val="8"/>
    <w:qFormat/>
    <w:uiPriority w:val="9"/>
    <w:rPr>
      <w:rFonts w:eastAsia="宋体"/>
      <w:b/>
      <w:bCs/>
      <w:kern w:val="2"/>
      <w:sz w:val="24"/>
      <w:szCs w:val="24"/>
      <w:lang w:val="en-US" w:eastAsia="zh-CN" w:bidi="ar-SA"/>
    </w:rPr>
  </w:style>
  <w:style w:type="character" w:customStyle="1" w:styleId="60">
    <w:name w:val="标题 8 Char"/>
    <w:link w:val="9"/>
    <w:qFormat/>
    <w:uiPriority w:val="9"/>
    <w:rPr>
      <w:rFonts w:ascii="Arial" w:hAnsi="Arial" w:eastAsia="黑体"/>
      <w:kern w:val="2"/>
      <w:sz w:val="24"/>
      <w:szCs w:val="24"/>
      <w:lang w:val="en-US" w:eastAsia="zh-CN" w:bidi="ar-SA"/>
    </w:rPr>
  </w:style>
  <w:style w:type="character" w:customStyle="1" w:styleId="61">
    <w:name w:val="标题 9 Char"/>
    <w:link w:val="10"/>
    <w:qFormat/>
    <w:uiPriority w:val="9"/>
    <w:rPr>
      <w:rFonts w:ascii="Arial" w:hAnsi="Arial" w:eastAsia="黑体"/>
      <w:kern w:val="2"/>
      <w:sz w:val="21"/>
      <w:szCs w:val="21"/>
      <w:lang w:val="en-US" w:eastAsia="zh-CN" w:bidi="ar-SA"/>
    </w:rPr>
  </w:style>
  <w:style w:type="character" w:customStyle="1" w:styleId="62">
    <w:name w:val="正文缩进 Char"/>
    <w:link w:val="12"/>
    <w:qFormat/>
    <w:uiPriority w:val="0"/>
    <w:rPr>
      <w:rFonts w:eastAsia="宋体"/>
      <w:kern w:val="2"/>
      <w:sz w:val="21"/>
      <w:szCs w:val="24"/>
      <w:lang w:val="en-US" w:eastAsia="zh-CN" w:bidi="ar-SA"/>
    </w:rPr>
  </w:style>
  <w:style w:type="character" w:customStyle="1" w:styleId="63">
    <w:name w:val="文档结构图 Char"/>
    <w:link w:val="13"/>
    <w:qFormat/>
    <w:uiPriority w:val="0"/>
    <w:rPr>
      <w:rFonts w:eastAsia="宋体"/>
      <w:kern w:val="2"/>
      <w:sz w:val="21"/>
      <w:lang w:val="en-US" w:eastAsia="zh-CN" w:bidi="ar-SA"/>
    </w:rPr>
  </w:style>
  <w:style w:type="character" w:customStyle="1" w:styleId="64">
    <w:name w:val="批注文字 Char"/>
    <w:link w:val="14"/>
    <w:semiHidden/>
    <w:qFormat/>
    <w:uiPriority w:val="99"/>
    <w:rPr>
      <w:rFonts w:eastAsia="宋体"/>
      <w:kern w:val="2"/>
      <w:sz w:val="21"/>
      <w:lang w:val="en-US" w:eastAsia="zh-CN" w:bidi="ar-SA"/>
    </w:rPr>
  </w:style>
  <w:style w:type="character" w:customStyle="1" w:styleId="65">
    <w:name w:val="正文文本 3 Char"/>
    <w:link w:val="15"/>
    <w:qFormat/>
    <w:uiPriority w:val="0"/>
    <w:rPr>
      <w:rFonts w:eastAsia="宋体"/>
      <w:sz w:val="16"/>
      <w:szCs w:val="16"/>
      <w:lang w:bidi="ar-SA"/>
    </w:rPr>
  </w:style>
  <w:style w:type="character" w:customStyle="1" w:styleId="66">
    <w:name w:val="正文文本 Char"/>
    <w:link w:val="16"/>
    <w:qFormat/>
    <w:uiPriority w:val="0"/>
    <w:rPr>
      <w:rFonts w:eastAsia="宋体"/>
      <w:i/>
      <w:kern w:val="2"/>
      <w:sz w:val="18"/>
      <w:lang w:val="en-US" w:eastAsia="zh-CN" w:bidi="ar-SA"/>
    </w:rPr>
  </w:style>
  <w:style w:type="character" w:customStyle="1" w:styleId="67">
    <w:name w:val="正文文本缩进 Char"/>
    <w:link w:val="17"/>
    <w:qFormat/>
    <w:uiPriority w:val="0"/>
    <w:rPr>
      <w:rFonts w:eastAsia="方正书宋简体"/>
      <w:kern w:val="2"/>
      <w:sz w:val="24"/>
      <w:lang w:val="en-US" w:eastAsia="zh-CN" w:bidi="ar-SA"/>
    </w:rPr>
  </w:style>
  <w:style w:type="character" w:customStyle="1" w:styleId="68">
    <w:name w:val="纯文本 Char"/>
    <w:link w:val="21"/>
    <w:qFormat/>
    <w:uiPriority w:val="0"/>
    <w:rPr>
      <w:rFonts w:ascii="宋体" w:hAnsi="宋体" w:eastAsia="宋体" w:cs="宋体"/>
      <w:color w:val="000000"/>
      <w:sz w:val="24"/>
      <w:szCs w:val="24"/>
      <w:lang w:val="en-US" w:eastAsia="zh-CN" w:bidi="ar-SA"/>
    </w:rPr>
  </w:style>
  <w:style w:type="character" w:customStyle="1" w:styleId="69">
    <w:name w:val="日期 Char"/>
    <w:link w:val="23"/>
    <w:qFormat/>
    <w:uiPriority w:val="0"/>
    <w:rPr>
      <w:rFonts w:ascii="宋体"/>
      <w:sz w:val="24"/>
    </w:rPr>
  </w:style>
  <w:style w:type="character" w:customStyle="1" w:styleId="70">
    <w:name w:val="正文文本缩进 2 Char"/>
    <w:link w:val="24"/>
    <w:qFormat/>
    <w:uiPriority w:val="0"/>
    <w:rPr>
      <w:rFonts w:ascii="宋体" w:eastAsia="宋体"/>
      <w:kern w:val="2"/>
      <w:sz w:val="24"/>
      <w:lang w:val="en-US" w:eastAsia="zh-CN" w:bidi="ar-SA"/>
    </w:rPr>
  </w:style>
  <w:style w:type="character" w:customStyle="1" w:styleId="71">
    <w:name w:val="批注框文本 Char"/>
    <w:link w:val="25"/>
    <w:qFormat/>
    <w:locked/>
    <w:uiPriority w:val="0"/>
    <w:rPr>
      <w:rFonts w:eastAsia="宋体"/>
      <w:kern w:val="2"/>
      <w:sz w:val="18"/>
      <w:szCs w:val="18"/>
      <w:lang w:val="en-US" w:eastAsia="zh-CN" w:bidi="ar-SA"/>
    </w:rPr>
  </w:style>
  <w:style w:type="character" w:customStyle="1" w:styleId="72">
    <w:name w:val="页脚 Char"/>
    <w:link w:val="26"/>
    <w:qFormat/>
    <w:uiPriority w:val="0"/>
    <w:rPr>
      <w:rFonts w:eastAsia="宋体"/>
      <w:kern w:val="2"/>
      <w:sz w:val="18"/>
      <w:lang w:val="en-US" w:eastAsia="zh-CN" w:bidi="ar-SA"/>
    </w:rPr>
  </w:style>
  <w:style w:type="character" w:customStyle="1" w:styleId="73">
    <w:name w:val="页眉 Char"/>
    <w:link w:val="27"/>
    <w:qFormat/>
    <w:uiPriority w:val="0"/>
    <w:rPr>
      <w:rFonts w:eastAsia="宋体"/>
      <w:kern w:val="2"/>
      <w:sz w:val="18"/>
      <w:lang w:val="en-US" w:eastAsia="zh-CN" w:bidi="ar-SA"/>
    </w:rPr>
  </w:style>
  <w:style w:type="character" w:customStyle="1" w:styleId="74">
    <w:name w:val="正文文本缩进 3 Char"/>
    <w:link w:val="32"/>
    <w:qFormat/>
    <w:uiPriority w:val="0"/>
    <w:rPr>
      <w:rFonts w:ascii="宋体" w:eastAsia="宋体"/>
      <w:kern w:val="2"/>
      <w:sz w:val="24"/>
      <w:lang w:val="en-US" w:eastAsia="zh-CN" w:bidi="ar-SA"/>
    </w:rPr>
  </w:style>
  <w:style w:type="character" w:customStyle="1" w:styleId="75">
    <w:name w:val="正文文本 2 Char"/>
    <w:link w:val="36"/>
    <w:qFormat/>
    <w:uiPriority w:val="0"/>
    <w:rPr>
      <w:rFonts w:eastAsia="宋体"/>
      <w:sz w:val="24"/>
      <w:szCs w:val="24"/>
      <w:lang w:bidi="ar-SA"/>
    </w:rPr>
  </w:style>
  <w:style w:type="character" w:customStyle="1" w:styleId="76">
    <w:name w:val="HTML 预设格式 Char"/>
    <w:link w:val="37"/>
    <w:qFormat/>
    <w:uiPriority w:val="99"/>
    <w:rPr>
      <w:rFonts w:ascii="Courier New" w:hAnsi="Courier New" w:cs="Courier New"/>
      <w:kern w:val="2"/>
    </w:rPr>
  </w:style>
  <w:style w:type="character" w:customStyle="1" w:styleId="77">
    <w:name w:val="标题 Char"/>
    <w:link w:val="40"/>
    <w:qFormat/>
    <w:uiPriority w:val="0"/>
    <w:rPr>
      <w:rFonts w:ascii="Arial" w:hAnsi="Arial" w:eastAsia="宋体" w:cs="Arial"/>
      <w:b/>
      <w:bCs/>
      <w:kern w:val="2"/>
      <w:sz w:val="32"/>
      <w:szCs w:val="32"/>
      <w:lang w:val="en-US" w:eastAsia="zh-CN" w:bidi="ar-SA"/>
    </w:rPr>
  </w:style>
  <w:style w:type="character" w:customStyle="1" w:styleId="78">
    <w:name w:val="批注主题 Char"/>
    <w:link w:val="41"/>
    <w:semiHidden/>
    <w:qFormat/>
    <w:uiPriority w:val="99"/>
    <w:rPr>
      <w:b/>
      <w:bCs/>
    </w:rPr>
  </w:style>
  <w:style w:type="character" w:customStyle="1" w:styleId="79">
    <w:name w:val="正文首行缩进 Char"/>
    <w:link w:val="42"/>
    <w:autoRedefine/>
    <w:qFormat/>
    <w:uiPriority w:val="0"/>
    <w:rPr>
      <w:sz w:val="21"/>
      <w:szCs w:val="24"/>
      <w:lang w:val="en-US" w:eastAsia="zh-CN" w:bidi="ar-SA"/>
    </w:rPr>
  </w:style>
  <w:style w:type="character" w:customStyle="1" w:styleId="80">
    <w:name w:val="正文首行缩进 2 Char"/>
    <w:link w:val="43"/>
    <w:autoRedefine/>
    <w:qFormat/>
    <w:uiPriority w:val="0"/>
    <w:rPr>
      <w:rFonts w:ascii="Times New Roman" w:hAnsi="Times New Roman" w:eastAsia="方正书宋简体"/>
      <w:kern w:val="2"/>
      <w:sz w:val="21"/>
      <w:szCs w:val="24"/>
      <w:lang w:bidi="ar-SA"/>
    </w:rPr>
  </w:style>
  <w:style w:type="character" w:customStyle="1" w:styleId="81">
    <w:name w:val="批注文字 Char1"/>
    <w:autoRedefine/>
    <w:semiHidden/>
    <w:qFormat/>
    <w:uiPriority w:val="99"/>
    <w:rPr>
      <w:kern w:val="2"/>
      <w:sz w:val="21"/>
    </w:rPr>
  </w:style>
  <w:style w:type="character" w:customStyle="1" w:styleId="82">
    <w:name w:val="List Paragraph Char"/>
    <w:link w:val="83"/>
    <w:autoRedefine/>
    <w:qFormat/>
    <w:locked/>
    <w:uiPriority w:val="0"/>
    <w:rPr>
      <w:rFonts w:ascii="Calibri" w:hAnsi="Calibri" w:eastAsia="宋体"/>
      <w:kern w:val="2"/>
      <w:sz w:val="21"/>
      <w:szCs w:val="22"/>
      <w:lang w:val="en-US" w:eastAsia="zh-CN" w:bidi="ar-SA"/>
    </w:rPr>
  </w:style>
  <w:style w:type="paragraph" w:customStyle="1" w:styleId="83">
    <w:name w:val="List Paragraph1"/>
    <w:basedOn w:val="1"/>
    <w:link w:val="82"/>
    <w:autoRedefine/>
    <w:qFormat/>
    <w:uiPriority w:val="0"/>
    <w:pPr>
      <w:ind w:firstLine="420" w:firstLineChars="200"/>
    </w:pPr>
    <w:rPr>
      <w:szCs w:val="22"/>
    </w:rPr>
  </w:style>
  <w:style w:type="character" w:customStyle="1" w:styleId="84">
    <w:name w:val="Char Char13"/>
    <w:autoRedefine/>
    <w:qFormat/>
    <w:locked/>
    <w:uiPriority w:val="0"/>
    <w:rPr>
      <w:rFonts w:ascii="宋体" w:hAnsi="宋体" w:eastAsia="宋体"/>
      <w:kern w:val="2"/>
      <w:sz w:val="21"/>
      <w:lang w:val="en-US" w:eastAsia="zh-CN" w:bidi="ar-SA"/>
    </w:rPr>
  </w:style>
  <w:style w:type="character" w:customStyle="1" w:styleId="85">
    <w:name w:val="font71"/>
    <w:autoRedefine/>
    <w:qFormat/>
    <w:uiPriority w:val="0"/>
    <w:rPr>
      <w:rFonts w:hint="eastAsia" w:ascii="宋体" w:hAnsi="宋体" w:eastAsia="宋体" w:cs="宋体"/>
      <w:color w:val="auto"/>
      <w:sz w:val="22"/>
      <w:szCs w:val="22"/>
      <w:u w:val="none"/>
    </w:rPr>
  </w:style>
  <w:style w:type="character" w:customStyle="1" w:styleId="86">
    <w:name w:val="15"/>
    <w:qFormat/>
    <w:uiPriority w:val="0"/>
    <w:rPr>
      <w:rFonts w:hint="eastAsia" w:ascii="宋体" w:hAnsi="宋体" w:eastAsia="宋体"/>
      <w:b/>
      <w:bCs/>
      <w:color w:val="000000"/>
      <w:sz w:val="18"/>
      <w:szCs w:val="18"/>
    </w:rPr>
  </w:style>
  <w:style w:type="character" w:customStyle="1" w:styleId="87">
    <w:name w:val="font121"/>
    <w:autoRedefine/>
    <w:qFormat/>
    <w:uiPriority w:val="0"/>
    <w:rPr>
      <w:rFonts w:hint="eastAsia" w:ascii="宋体" w:hAnsi="宋体" w:eastAsia="宋体" w:cs="宋体"/>
      <w:b/>
      <w:color w:val="FF0000"/>
      <w:sz w:val="22"/>
      <w:szCs w:val="22"/>
      <w:u w:val="none"/>
    </w:rPr>
  </w:style>
  <w:style w:type="character" w:customStyle="1" w:styleId="88">
    <w:name w:val="标题 1 Char Char"/>
    <w:autoRedefine/>
    <w:qFormat/>
    <w:uiPriority w:val="0"/>
    <w:rPr>
      <w:rFonts w:eastAsia="宋体"/>
      <w:b/>
      <w:spacing w:val="-2"/>
      <w:sz w:val="24"/>
      <w:lang w:val="en-US" w:eastAsia="zh-CN" w:bidi="ar-SA"/>
    </w:rPr>
  </w:style>
  <w:style w:type="character" w:customStyle="1" w:styleId="89">
    <w:name w:val="font81"/>
    <w:autoRedefine/>
    <w:qFormat/>
    <w:uiPriority w:val="0"/>
    <w:rPr>
      <w:rFonts w:hint="eastAsia" w:ascii="宋体" w:hAnsi="宋体" w:eastAsia="宋体"/>
      <w:color w:val="FF0000"/>
      <w:sz w:val="20"/>
      <w:szCs w:val="20"/>
      <w:u w:val="none"/>
    </w:rPr>
  </w:style>
  <w:style w:type="character" w:customStyle="1" w:styleId="90">
    <w:name w:val="列出段落 Char"/>
    <w:autoRedefine/>
    <w:qFormat/>
    <w:locked/>
    <w:uiPriority w:val="0"/>
    <w:rPr>
      <w:rFonts w:eastAsia="宋体"/>
      <w:kern w:val="2"/>
      <w:sz w:val="24"/>
      <w:szCs w:val="24"/>
      <w:lang w:val="en-US" w:eastAsia="zh-CN" w:bidi="ar-SA"/>
    </w:rPr>
  </w:style>
  <w:style w:type="paragraph" w:styleId="91">
    <w:name w:val="List Paragraph"/>
    <w:basedOn w:val="1"/>
    <w:link w:val="92"/>
    <w:autoRedefine/>
    <w:qFormat/>
    <w:uiPriority w:val="0"/>
    <w:rPr>
      <w:szCs w:val="22"/>
    </w:rPr>
  </w:style>
  <w:style w:type="character" w:customStyle="1" w:styleId="92">
    <w:name w:val="列出段落 Char1"/>
    <w:link w:val="91"/>
    <w:autoRedefine/>
    <w:qFormat/>
    <w:uiPriority w:val="0"/>
    <w:rPr>
      <w:kern w:val="2"/>
      <w:sz w:val="21"/>
      <w:szCs w:val="22"/>
      <w:lang w:bidi="ar-SA"/>
    </w:rPr>
  </w:style>
  <w:style w:type="character" w:customStyle="1" w:styleId="93">
    <w:name w:val="font11"/>
    <w:autoRedefine/>
    <w:qFormat/>
    <w:uiPriority w:val="0"/>
    <w:rPr>
      <w:rFonts w:hint="default" w:ascii="Times New Roman" w:hAnsi="Times New Roman" w:cs="Times New Roman"/>
      <w:color w:val="000000"/>
      <w:sz w:val="24"/>
      <w:szCs w:val="24"/>
      <w:u w:val="none"/>
    </w:rPr>
  </w:style>
  <w:style w:type="character" w:customStyle="1" w:styleId="94">
    <w:name w:val="页眉 字符"/>
    <w:autoRedefine/>
    <w:qFormat/>
    <w:uiPriority w:val="0"/>
    <w:rPr>
      <w:kern w:val="2"/>
      <w:sz w:val="18"/>
      <w:szCs w:val="18"/>
    </w:rPr>
  </w:style>
  <w:style w:type="character" w:customStyle="1" w:styleId="95">
    <w:name w:val="Char Char"/>
    <w:autoRedefine/>
    <w:qFormat/>
    <w:locked/>
    <w:uiPriority w:val="0"/>
    <w:rPr>
      <w:rFonts w:ascii="Arial" w:hAnsi="Arial" w:eastAsia="宋体" w:cs="Arial"/>
      <w:b/>
      <w:bCs/>
      <w:kern w:val="2"/>
      <w:sz w:val="32"/>
      <w:szCs w:val="32"/>
      <w:lang w:val="en-US" w:eastAsia="zh-CN" w:bidi="ar-SA"/>
    </w:rPr>
  </w:style>
  <w:style w:type="character" w:customStyle="1" w:styleId="96">
    <w:name w:val="Char Char33"/>
    <w:autoRedefine/>
    <w:qFormat/>
    <w:uiPriority w:val="0"/>
    <w:rPr>
      <w:i/>
      <w:szCs w:val="24"/>
      <w:lang w:val="en-US" w:eastAsia="zh-CN" w:bidi="ar-SA"/>
    </w:rPr>
  </w:style>
  <w:style w:type="character" w:customStyle="1" w:styleId="97">
    <w:name w:val="Char Char11"/>
    <w:autoRedefine/>
    <w:qFormat/>
    <w:locked/>
    <w:uiPriority w:val="0"/>
    <w:rPr>
      <w:rFonts w:ascii="宋体" w:hAnsi="宋体" w:eastAsia="宋体"/>
      <w:kern w:val="2"/>
      <w:sz w:val="18"/>
      <w:lang w:val="en-US" w:eastAsia="zh-CN" w:bidi="ar-SA"/>
    </w:rPr>
  </w:style>
  <w:style w:type="character" w:customStyle="1" w:styleId="98">
    <w:name w:val="font31"/>
    <w:autoRedefine/>
    <w:qFormat/>
    <w:uiPriority w:val="0"/>
    <w:rPr>
      <w:rFonts w:hint="eastAsia" w:ascii="宋体" w:hAnsi="宋体" w:eastAsia="宋体"/>
      <w:color w:val="000000"/>
      <w:sz w:val="20"/>
      <w:szCs w:val="20"/>
      <w:u w:val="none"/>
    </w:rPr>
  </w:style>
  <w:style w:type="character" w:customStyle="1" w:styleId="99">
    <w:name w:val="页脚 字符"/>
    <w:autoRedefine/>
    <w:qFormat/>
    <w:uiPriority w:val="0"/>
    <w:rPr>
      <w:kern w:val="2"/>
      <w:sz w:val="18"/>
      <w:szCs w:val="18"/>
    </w:rPr>
  </w:style>
  <w:style w:type="character" w:customStyle="1" w:styleId="100">
    <w:name w:val="哈哈正文 Char"/>
    <w:link w:val="101"/>
    <w:autoRedefine/>
    <w:qFormat/>
    <w:uiPriority w:val="0"/>
    <w:rPr>
      <w:rFonts w:ascii="宋体" w:hAnsi="宋体" w:eastAsia="宋体" w:cs="宋体"/>
      <w:kern w:val="2"/>
      <w:sz w:val="24"/>
      <w:lang w:val="en-US" w:eastAsia="zh-CN" w:bidi="ar-SA"/>
    </w:rPr>
  </w:style>
  <w:style w:type="paragraph" w:customStyle="1" w:styleId="101">
    <w:name w:val="哈哈正文"/>
    <w:basedOn w:val="1"/>
    <w:link w:val="100"/>
    <w:autoRedefine/>
    <w:qFormat/>
    <w:uiPriority w:val="0"/>
    <w:pPr>
      <w:spacing w:line="360" w:lineRule="auto"/>
      <w:ind w:firstLine="200" w:firstLineChars="200"/>
    </w:pPr>
    <w:rPr>
      <w:rFonts w:ascii="宋体" w:hAnsi="宋体" w:cs="宋体"/>
      <w:sz w:val="24"/>
    </w:rPr>
  </w:style>
  <w:style w:type="character" w:customStyle="1" w:styleId="102">
    <w:name w:val="Char Char5"/>
    <w:autoRedefine/>
    <w:qFormat/>
    <w:locked/>
    <w:uiPriority w:val="0"/>
    <w:rPr>
      <w:rFonts w:ascii="宋体" w:hAnsi="宋体" w:eastAsia="宋体"/>
      <w:kern w:val="2"/>
      <w:sz w:val="24"/>
      <w:lang w:val="en-US" w:eastAsia="zh-CN" w:bidi="ar-SA"/>
    </w:rPr>
  </w:style>
  <w:style w:type="character" w:customStyle="1" w:styleId="103">
    <w:name w:val="apple-converted-space"/>
    <w:autoRedefine/>
    <w:qFormat/>
    <w:uiPriority w:val="0"/>
  </w:style>
  <w:style w:type="character" w:customStyle="1" w:styleId="104">
    <w:name w:val="样式4 Char"/>
    <w:link w:val="105"/>
    <w:autoRedefine/>
    <w:qFormat/>
    <w:uiPriority w:val="0"/>
    <w:rPr>
      <w:rFonts w:ascii="黑体" w:hAnsi="黑体" w:eastAsia="黑体"/>
      <w:bCs/>
      <w:kern w:val="44"/>
      <w:sz w:val="44"/>
      <w:szCs w:val="44"/>
      <w:lang w:val="en-US" w:eastAsia="zh-CN" w:bidi="ar-SA"/>
    </w:rPr>
  </w:style>
  <w:style w:type="paragraph" w:customStyle="1" w:styleId="105">
    <w:name w:val="样式4"/>
    <w:basedOn w:val="2"/>
    <w:link w:val="104"/>
    <w:autoRedefine/>
    <w:qFormat/>
    <w:uiPriority w:val="0"/>
    <w:pPr>
      <w:keepLines/>
      <w:spacing w:line="360" w:lineRule="auto"/>
    </w:pPr>
    <w:rPr>
      <w:rFonts w:ascii="黑体" w:hAnsi="黑体" w:eastAsia="黑体"/>
      <w:b w:val="0"/>
      <w:kern w:val="44"/>
      <w:sz w:val="44"/>
      <w:szCs w:val="44"/>
    </w:rPr>
  </w:style>
  <w:style w:type="character" w:customStyle="1" w:styleId="106">
    <w:name w:val="Char Char7"/>
    <w:autoRedefine/>
    <w:qFormat/>
    <w:locked/>
    <w:uiPriority w:val="0"/>
    <w:rPr>
      <w:rFonts w:ascii="宋体" w:hAnsi="宋体" w:eastAsia="宋体" w:cs="宋体"/>
      <w:color w:val="000000"/>
      <w:sz w:val="24"/>
      <w:szCs w:val="24"/>
      <w:lang w:val="en-US" w:eastAsia="zh-CN" w:bidi="ar-SA"/>
    </w:rPr>
  </w:style>
  <w:style w:type="character" w:customStyle="1" w:styleId="107">
    <w:name w:val="Char Char21"/>
    <w:autoRedefine/>
    <w:qFormat/>
    <w:locked/>
    <w:uiPriority w:val="0"/>
    <w:rPr>
      <w:rFonts w:ascii="Arial" w:hAnsi="Arial" w:eastAsia="黑体"/>
      <w:b/>
      <w:bCs/>
      <w:kern w:val="2"/>
      <w:sz w:val="32"/>
      <w:szCs w:val="32"/>
      <w:lang w:val="en-US" w:eastAsia="zh-CN" w:bidi="ar-SA"/>
    </w:rPr>
  </w:style>
  <w:style w:type="character" w:customStyle="1" w:styleId="108">
    <w:name w:val="Char Char4"/>
    <w:autoRedefine/>
    <w:qFormat/>
    <w:locked/>
    <w:uiPriority w:val="0"/>
    <w:rPr>
      <w:rFonts w:ascii="宋体" w:hAnsi="宋体" w:eastAsia="宋体"/>
      <w:kern w:val="2"/>
      <w:sz w:val="24"/>
      <w:lang w:val="en-US" w:eastAsia="zh-CN" w:bidi="ar-SA"/>
    </w:rPr>
  </w:style>
  <w:style w:type="character" w:customStyle="1" w:styleId="109">
    <w:name w:val="Char Char15"/>
    <w:autoRedefine/>
    <w:qFormat/>
    <w:locked/>
    <w:uiPriority w:val="0"/>
    <w:rPr>
      <w:rFonts w:ascii="Arial" w:hAnsi="Arial" w:eastAsia="黑体"/>
      <w:kern w:val="2"/>
      <w:sz w:val="24"/>
      <w:szCs w:val="24"/>
      <w:lang w:val="en-US" w:eastAsia="zh-CN" w:bidi="ar-SA"/>
    </w:rPr>
  </w:style>
  <w:style w:type="character" w:customStyle="1" w:styleId="110">
    <w:name w:val="Char Char14"/>
    <w:autoRedefine/>
    <w:qFormat/>
    <w:locked/>
    <w:uiPriority w:val="0"/>
    <w:rPr>
      <w:rFonts w:ascii="Arial" w:hAnsi="Arial" w:eastAsia="黑体"/>
      <w:kern w:val="2"/>
      <w:sz w:val="21"/>
      <w:szCs w:val="21"/>
      <w:lang w:val="en-US" w:eastAsia="zh-CN" w:bidi="ar-SA"/>
    </w:rPr>
  </w:style>
  <w:style w:type="character" w:customStyle="1" w:styleId="111">
    <w:name w:val="Char Char6"/>
    <w:autoRedefine/>
    <w:qFormat/>
    <w:locked/>
    <w:uiPriority w:val="0"/>
    <w:rPr>
      <w:rFonts w:ascii="宋体" w:hAnsi="宋体" w:eastAsia="宋体"/>
      <w:kern w:val="2"/>
      <w:sz w:val="18"/>
      <w:lang w:val="en-US" w:eastAsia="zh-CN" w:bidi="ar-SA"/>
    </w:rPr>
  </w:style>
  <w:style w:type="character" w:customStyle="1" w:styleId="112">
    <w:name w:val="Char Char20"/>
    <w:autoRedefine/>
    <w:qFormat/>
    <w:locked/>
    <w:uiPriority w:val="0"/>
    <w:rPr>
      <w:rFonts w:ascii="Arial" w:hAnsi="Arial" w:eastAsia="黑体" w:cs="Arial"/>
      <w:b/>
      <w:bCs/>
      <w:kern w:val="2"/>
      <w:sz w:val="30"/>
      <w:szCs w:val="32"/>
      <w:lang w:val="en-US" w:eastAsia="zh-CN" w:bidi="ar-SA"/>
    </w:rPr>
  </w:style>
  <w:style w:type="character" w:customStyle="1" w:styleId="113">
    <w:name w:val="font01"/>
    <w:autoRedefine/>
    <w:qFormat/>
    <w:uiPriority w:val="0"/>
    <w:rPr>
      <w:rFonts w:hint="eastAsia" w:ascii="宋体" w:hAnsi="宋体" w:eastAsia="宋体"/>
      <w:color w:val="000000"/>
      <w:sz w:val="24"/>
      <w:szCs w:val="24"/>
      <w:u w:val="none"/>
    </w:rPr>
  </w:style>
  <w:style w:type="character" w:customStyle="1" w:styleId="114">
    <w:name w:val="apple-style-span"/>
    <w:autoRedefine/>
    <w:qFormat/>
    <w:uiPriority w:val="0"/>
  </w:style>
  <w:style w:type="character" w:customStyle="1" w:styleId="115">
    <w:name w:val="hui3"/>
    <w:autoRedefine/>
    <w:qFormat/>
    <w:uiPriority w:val="0"/>
    <w:rPr>
      <w:color w:val="333333"/>
    </w:rPr>
  </w:style>
  <w:style w:type="character" w:customStyle="1" w:styleId="116">
    <w:name w:val="Char Char10"/>
    <w:autoRedefine/>
    <w:qFormat/>
    <w:locked/>
    <w:uiPriority w:val="0"/>
    <w:rPr>
      <w:rFonts w:ascii="宋体" w:hAnsi="宋体" w:eastAsia="宋体"/>
      <w:sz w:val="24"/>
      <w:szCs w:val="24"/>
      <w:lang w:bidi="ar-SA"/>
    </w:rPr>
  </w:style>
  <w:style w:type="character" w:customStyle="1" w:styleId="117">
    <w:name w:val="样式2 Char"/>
    <w:link w:val="118"/>
    <w:autoRedefine/>
    <w:qFormat/>
    <w:uiPriority w:val="0"/>
    <w:rPr>
      <w:rFonts w:ascii="黑体" w:hAnsi="黑体" w:eastAsia="黑体"/>
      <w:bCs/>
      <w:color w:val="FF0000"/>
      <w:kern w:val="2"/>
      <w:sz w:val="28"/>
      <w:szCs w:val="32"/>
      <w:lang w:val="en-US" w:eastAsia="zh-CN" w:bidi="ar-SA"/>
    </w:rPr>
  </w:style>
  <w:style w:type="paragraph" w:customStyle="1" w:styleId="118">
    <w:name w:val="样式2"/>
    <w:basedOn w:val="4"/>
    <w:link w:val="117"/>
    <w:autoRedefine/>
    <w:qFormat/>
    <w:uiPriority w:val="0"/>
    <w:pPr>
      <w:adjustRightInd w:val="0"/>
      <w:spacing w:beforeLines="0" w:afterLines="0"/>
      <w:ind w:left="0" w:firstLine="0"/>
      <w:textAlignment w:val="baseline"/>
    </w:pPr>
    <w:rPr>
      <w:rFonts w:ascii="黑体" w:hAnsi="黑体" w:cs="Times New Roman"/>
      <w:b w:val="0"/>
      <w:color w:val="FF0000"/>
      <w:sz w:val="28"/>
    </w:rPr>
  </w:style>
  <w:style w:type="character" w:customStyle="1" w:styleId="119">
    <w:name w:val="样式5 Char"/>
    <w:link w:val="120"/>
    <w:autoRedefine/>
    <w:qFormat/>
    <w:uiPriority w:val="0"/>
    <w:rPr>
      <w:rFonts w:eastAsia="宋体"/>
      <w:b/>
      <w:bCs/>
      <w:kern w:val="2"/>
      <w:sz w:val="28"/>
      <w:szCs w:val="28"/>
      <w:lang w:val="en-US" w:eastAsia="zh-CN" w:bidi="ar-SA"/>
    </w:rPr>
  </w:style>
  <w:style w:type="paragraph" w:customStyle="1" w:styleId="120">
    <w:name w:val="样式5"/>
    <w:basedOn w:val="1"/>
    <w:link w:val="119"/>
    <w:autoRedefine/>
    <w:qFormat/>
    <w:uiPriority w:val="0"/>
    <w:pPr>
      <w:keepNext/>
      <w:keepLines/>
      <w:spacing w:before="280" w:after="290" w:line="376" w:lineRule="auto"/>
      <w:ind w:left="210" w:leftChars="100" w:right="210" w:rightChars="100"/>
      <w:outlineLvl w:val="4"/>
    </w:pPr>
    <w:rPr>
      <w:b/>
      <w:bCs/>
      <w:sz w:val="28"/>
      <w:szCs w:val="28"/>
    </w:rPr>
  </w:style>
  <w:style w:type="character" w:customStyle="1" w:styleId="121">
    <w:name w:val="Char Char3"/>
    <w:autoRedefine/>
    <w:qFormat/>
    <w:uiPriority w:val="0"/>
    <w:rPr>
      <w:rFonts w:hint="eastAsia" w:ascii="宋体" w:hAnsi="Courier New" w:eastAsia="宋体"/>
      <w:color w:val="000000"/>
      <w:kern w:val="2"/>
      <w:sz w:val="21"/>
      <w:lang w:val="en-US" w:eastAsia="zh-CN" w:bidi="ar-SA"/>
    </w:rPr>
  </w:style>
  <w:style w:type="character" w:customStyle="1" w:styleId="122">
    <w:name w:val="Char Char17"/>
    <w:autoRedefine/>
    <w:semiHidden/>
    <w:qFormat/>
    <w:locked/>
    <w:uiPriority w:val="0"/>
    <w:rPr>
      <w:rFonts w:ascii="Cambria" w:hAnsi="Cambria" w:eastAsia="宋体"/>
      <w:b/>
      <w:bCs/>
      <w:kern w:val="2"/>
      <w:sz w:val="24"/>
      <w:szCs w:val="24"/>
      <w:lang w:val="en-US" w:eastAsia="zh-CN" w:bidi="ar-SA"/>
    </w:rPr>
  </w:style>
  <w:style w:type="character" w:customStyle="1" w:styleId="123">
    <w:name w:val="Char Char12"/>
    <w:autoRedefine/>
    <w:qFormat/>
    <w:locked/>
    <w:uiPriority w:val="0"/>
    <w:rPr>
      <w:rFonts w:ascii="宋体" w:hAnsi="宋体" w:eastAsia="宋体"/>
      <w:kern w:val="2"/>
      <w:sz w:val="21"/>
      <w:szCs w:val="24"/>
      <w:lang w:val="en-US" w:eastAsia="zh-CN" w:bidi="ar-SA"/>
    </w:rPr>
  </w:style>
  <w:style w:type="character" w:customStyle="1" w:styleId="124">
    <w:name w:val="Char Char1"/>
    <w:autoRedefine/>
    <w:qFormat/>
    <w:locked/>
    <w:uiPriority w:val="0"/>
    <w:rPr>
      <w:rFonts w:ascii="方正书宋简体" w:eastAsia="方正书宋简体"/>
      <w:kern w:val="2"/>
      <w:sz w:val="24"/>
      <w:lang w:val="en-US" w:eastAsia="zh-CN" w:bidi="ar-SA"/>
    </w:rPr>
  </w:style>
  <w:style w:type="character" w:customStyle="1" w:styleId="125">
    <w:name w:val="标题2正文 Char Char"/>
    <w:link w:val="126"/>
    <w:autoRedefine/>
    <w:qFormat/>
    <w:uiPriority w:val="0"/>
    <w:rPr>
      <w:rFonts w:eastAsia="宋体"/>
      <w:sz w:val="24"/>
      <w:szCs w:val="24"/>
      <w:lang w:bidi="ar-SA"/>
    </w:rPr>
  </w:style>
  <w:style w:type="paragraph" w:customStyle="1" w:styleId="126">
    <w:name w:val="标题2正文 Char"/>
    <w:basedOn w:val="1"/>
    <w:link w:val="125"/>
    <w:autoRedefine/>
    <w:qFormat/>
    <w:uiPriority w:val="0"/>
    <w:pPr>
      <w:spacing w:beforeLines="50" w:afterLines="50"/>
      <w:ind w:right="38" w:rightChars="18" w:firstLine="420"/>
    </w:pPr>
    <w:rPr>
      <w:kern w:val="0"/>
      <w:sz w:val="24"/>
      <w:szCs w:val="24"/>
    </w:rPr>
  </w:style>
  <w:style w:type="character" w:customStyle="1" w:styleId="127">
    <w:name w:val="Char Char16"/>
    <w:autoRedefine/>
    <w:qFormat/>
    <w:locked/>
    <w:uiPriority w:val="0"/>
    <w:rPr>
      <w:rFonts w:eastAsia="宋体"/>
      <w:b/>
      <w:bCs/>
      <w:kern w:val="2"/>
      <w:sz w:val="24"/>
      <w:szCs w:val="24"/>
      <w:lang w:val="en-US" w:eastAsia="zh-CN" w:bidi="ar-SA"/>
    </w:rPr>
  </w:style>
  <w:style w:type="character" w:customStyle="1" w:styleId="128">
    <w:name w:val="Char Char18"/>
    <w:autoRedefine/>
    <w:qFormat/>
    <w:locked/>
    <w:uiPriority w:val="0"/>
    <w:rPr>
      <w:rFonts w:eastAsia="宋体"/>
      <w:b/>
      <w:bCs/>
      <w:kern w:val="2"/>
      <w:sz w:val="28"/>
      <w:szCs w:val="28"/>
      <w:lang w:val="en-US" w:eastAsia="zh-CN" w:bidi="ar-SA"/>
    </w:rPr>
  </w:style>
  <w:style w:type="character" w:customStyle="1" w:styleId="129">
    <w:name w:val="Char Char9"/>
    <w:autoRedefine/>
    <w:qFormat/>
    <w:locked/>
    <w:uiPriority w:val="0"/>
    <w:rPr>
      <w:rFonts w:ascii="宋体" w:hAnsi="宋体" w:eastAsia="宋体"/>
      <w:sz w:val="16"/>
      <w:szCs w:val="16"/>
      <w:lang w:bidi="ar-SA"/>
    </w:rPr>
  </w:style>
  <w:style w:type="character" w:customStyle="1" w:styleId="130">
    <w:name w:val="方案－正文 Char"/>
    <w:link w:val="131"/>
    <w:autoRedefine/>
    <w:qFormat/>
    <w:uiPriority w:val="0"/>
    <w:rPr>
      <w:rFonts w:ascii="仿宋_GB2312" w:hAnsi="宋体"/>
      <w:sz w:val="24"/>
      <w:lang w:bidi="ar-SA"/>
    </w:rPr>
  </w:style>
  <w:style w:type="paragraph" w:customStyle="1" w:styleId="131">
    <w:name w:val="方案－正文"/>
    <w:basedOn w:val="1"/>
    <w:link w:val="130"/>
    <w:autoRedefine/>
    <w:qFormat/>
    <w:uiPriority w:val="0"/>
    <w:pPr>
      <w:spacing w:line="360" w:lineRule="auto"/>
      <w:ind w:firstLine="480" w:firstLineChars="200"/>
    </w:pPr>
    <w:rPr>
      <w:rFonts w:ascii="仿宋_GB2312" w:hAnsi="宋体"/>
      <w:kern w:val="0"/>
      <w:sz w:val="24"/>
    </w:rPr>
  </w:style>
  <w:style w:type="character" w:customStyle="1" w:styleId="132">
    <w:name w:val="Char Char31"/>
    <w:autoRedefine/>
    <w:qFormat/>
    <w:uiPriority w:val="0"/>
    <w:rPr>
      <w:rFonts w:ascii="宋体" w:hAnsi="Courier New" w:eastAsia="宋体"/>
      <w:color w:val="000000"/>
      <w:kern w:val="2"/>
      <w:sz w:val="21"/>
      <w:lang w:val="en-US" w:eastAsia="zh-CN" w:bidi="ar-SA"/>
    </w:rPr>
  </w:style>
  <w:style w:type="character" w:customStyle="1" w:styleId="133">
    <w:name w:val="h6 Char"/>
    <w:autoRedefine/>
    <w:qFormat/>
    <w:uiPriority w:val="0"/>
    <w:rPr>
      <w:rFonts w:ascii="Arial" w:hAnsi="Arial" w:eastAsia="宋体"/>
      <w:b/>
      <w:bCs/>
      <w:kern w:val="2"/>
      <w:sz w:val="24"/>
      <w:szCs w:val="24"/>
      <w:lang w:val="en-US" w:eastAsia="zh-CN" w:bidi="ar-SA"/>
    </w:rPr>
  </w:style>
  <w:style w:type="character" w:customStyle="1" w:styleId="134">
    <w:name w:val="Char Char2"/>
    <w:autoRedefine/>
    <w:qFormat/>
    <w:locked/>
    <w:uiPriority w:val="0"/>
    <w:rPr>
      <w:rFonts w:ascii="宋体" w:hAnsi="宋体"/>
      <w:i/>
      <w:sz w:val="21"/>
      <w:szCs w:val="24"/>
      <w:lang w:val="en-US" w:eastAsia="zh-CN" w:bidi="ar-SA"/>
    </w:rPr>
  </w:style>
  <w:style w:type="character" w:customStyle="1" w:styleId="135">
    <w:name w:val="Char Char8"/>
    <w:autoRedefine/>
    <w:qFormat/>
    <w:locked/>
    <w:uiPriority w:val="0"/>
    <w:rPr>
      <w:rFonts w:ascii="Arial" w:hAnsi="Arial" w:eastAsia="宋体" w:cs="Arial"/>
      <w:b/>
      <w:bCs/>
      <w:kern w:val="2"/>
      <w:sz w:val="32"/>
      <w:szCs w:val="32"/>
      <w:lang w:val="en-US" w:eastAsia="zh-CN" w:bidi="ar-SA"/>
    </w:rPr>
  </w:style>
  <w:style w:type="character" w:customStyle="1" w:styleId="136">
    <w:name w:val="font61"/>
    <w:autoRedefine/>
    <w:qFormat/>
    <w:uiPriority w:val="0"/>
    <w:rPr>
      <w:rFonts w:hint="eastAsia" w:ascii="宋体" w:hAnsi="宋体" w:eastAsia="宋体" w:cs="宋体"/>
      <w:b/>
      <w:color w:val="auto"/>
      <w:sz w:val="22"/>
      <w:szCs w:val="22"/>
      <w:u w:val="none"/>
    </w:rPr>
  </w:style>
  <w:style w:type="character" w:customStyle="1" w:styleId="137">
    <w:name w:val="font51"/>
    <w:autoRedefine/>
    <w:qFormat/>
    <w:uiPriority w:val="0"/>
    <w:rPr>
      <w:rFonts w:hint="eastAsia" w:ascii="宋体" w:hAnsi="宋体" w:eastAsia="宋体" w:cs="宋体"/>
      <w:color w:val="auto"/>
      <w:sz w:val="22"/>
      <w:szCs w:val="22"/>
      <w:u w:val="none"/>
    </w:rPr>
  </w:style>
  <w:style w:type="character" w:customStyle="1" w:styleId="138">
    <w:name w:val="样式1 Char"/>
    <w:link w:val="139"/>
    <w:autoRedefine/>
    <w:qFormat/>
    <w:uiPriority w:val="0"/>
    <w:rPr>
      <w:rFonts w:ascii="黑体" w:hAnsi="黑体" w:eastAsia="黑体"/>
      <w:b/>
      <w:bCs/>
      <w:kern w:val="2"/>
      <w:sz w:val="32"/>
      <w:szCs w:val="32"/>
      <w:lang w:bidi="ar-SA"/>
    </w:rPr>
  </w:style>
  <w:style w:type="paragraph" w:customStyle="1" w:styleId="139">
    <w:name w:val="样式1"/>
    <w:basedOn w:val="3"/>
    <w:link w:val="138"/>
    <w:autoRedefine/>
    <w:qFormat/>
    <w:uiPriority w:val="0"/>
    <w:pPr>
      <w:tabs>
        <w:tab w:val="clear" w:pos="578"/>
      </w:tabs>
      <w:spacing w:beforeLines="0" w:afterLines="0"/>
      <w:ind w:left="0" w:firstLine="0"/>
    </w:pPr>
    <w:rPr>
      <w:rFonts w:ascii="黑体" w:hAnsi="黑体"/>
    </w:rPr>
  </w:style>
  <w:style w:type="character" w:customStyle="1" w:styleId="140">
    <w:name w:val="font21"/>
    <w:autoRedefine/>
    <w:qFormat/>
    <w:uiPriority w:val="0"/>
    <w:rPr>
      <w:rFonts w:hint="eastAsia" w:ascii="宋体" w:hAnsi="宋体" w:eastAsia="宋体"/>
      <w:b/>
      <w:bCs/>
      <w:color w:val="000000"/>
      <w:sz w:val="20"/>
      <w:szCs w:val="20"/>
      <w:u w:val="none"/>
    </w:rPr>
  </w:style>
  <w:style w:type="character" w:customStyle="1" w:styleId="141">
    <w:name w:val="Char Char22"/>
    <w:autoRedefine/>
    <w:qFormat/>
    <w:locked/>
    <w:uiPriority w:val="0"/>
    <w:rPr>
      <w:rFonts w:ascii="宋体" w:eastAsia="宋体"/>
      <w:b/>
      <w:bCs/>
      <w:kern w:val="2"/>
      <w:sz w:val="28"/>
      <w:lang w:val="en-US" w:eastAsia="zh-CN" w:bidi="ar-SA"/>
    </w:rPr>
  </w:style>
  <w:style w:type="character" w:customStyle="1" w:styleId="142">
    <w:name w:val="Char Char19"/>
    <w:autoRedefine/>
    <w:qFormat/>
    <w:locked/>
    <w:uiPriority w:val="0"/>
    <w:rPr>
      <w:rFonts w:ascii="Arial" w:hAnsi="Arial" w:eastAsia="黑体"/>
      <w:b/>
      <w:bCs/>
      <w:kern w:val="2"/>
      <w:sz w:val="28"/>
      <w:szCs w:val="28"/>
      <w:lang w:val="en-US" w:eastAsia="zh-CN" w:bidi="ar-SA"/>
    </w:rPr>
  </w:style>
  <w:style w:type="paragraph" w:customStyle="1" w:styleId="143">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144">
    <w:name w:val="_Style 3"/>
    <w:autoRedefine/>
    <w:qFormat/>
    <w:uiPriority w:val="0"/>
    <w:rPr>
      <w:rFonts w:ascii="Calibri" w:hAnsi="Calibri" w:eastAsia="宋体" w:cs="Times New Roman"/>
      <w:sz w:val="22"/>
      <w:szCs w:val="22"/>
      <w:lang w:val="en-US" w:eastAsia="zh-CN" w:bidi="ar-SA"/>
    </w:rPr>
  </w:style>
  <w:style w:type="paragraph" w:customStyle="1" w:styleId="145">
    <w:name w:val="Char1"/>
    <w:basedOn w:val="1"/>
    <w:autoRedefine/>
    <w:qFormat/>
    <w:uiPriority w:val="0"/>
    <w:rPr>
      <w:rFonts w:ascii="仿宋_GB2312" w:eastAsia="仿宋_GB2312"/>
      <w:b/>
      <w:sz w:val="32"/>
      <w:szCs w:val="32"/>
    </w:rPr>
  </w:style>
  <w:style w:type="paragraph" w:customStyle="1" w:styleId="146">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147">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8">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49">
    <w:name w:val="Char Char Char Char1"/>
    <w:basedOn w:val="1"/>
    <w:autoRedefine/>
    <w:qFormat/>
    <w:uiPriority w:val="0"/>
    <w:pPr>
      <w:widowControl/>
      <w:spacing w:line="400" w:lineRule="exact"/>
      <w:jc w:val="center"/>
    </w:pPr>
    <w:rPr>
      <w:rFonts w:ascii="Verdana" w:hAnsi="Verdana"/>
      <w:kern w:val="0"/>
      <w:lang w:eastAsia="en-US"/>
    </w:rPr>
  </w:style>
  <w:style w:type="paragraph" w:customStyle="1" w:styleId="150">
    <w:name w:val="正文 New New New New"/>
    <w:autoRedefine/>
    <w:qFormat/>
    <w:uiPriority w:val="0"/>
    <w:pPr>
      <w:widowControl w:val="0"/>
      <w:jc w:val="both"/>
    </w:pPr>
    <w:rPr>
      <w:rFonts w:ascii="Calibri" w:hAnsi="Calibri" w:eastAsia="宋体" w:cs="Times New Roman"/>
      <w:sz w:val="21"/>
      <w:szCs w:val="24"/>
      <w:lang w:val="en-US" w:eastAsia="zh-CN" w:bidi="ar-SA"/>
    </w:rPr>
  </w:style>
  <w:style w:type="paragraph" w:customStyle="1" w:styleId="151">
    <w:name w:val="正文 居中"/>
    <w:basedOn w:val="1"/>
    <w:autoRedefine/>
    <w:qFormat/>
    <w:uiPriority w:val="0"/>
    <w:pPr>
      <w:spacing w:line="360" w:lineRule="auto"/>
      <w:jc w:val="center"/>
    </w:pPr>
    <w:rPr>
      <w:rFonts w:cs="宋体"/>
      <w:sz w:val="24"/>
    </w:rPr>
  </w:style>
  <w:style w:type="paragraph" w:customStyle="1" w:styleId="152">
    <w:name w:val="符号 1"/>
    <w:basedOn w:val="17"/>
    <w:autoRedefine/>
    <w:qFormat/>
    <w:uiPriority w:val="0"/>
    <w:pPr>
      <w:tabs>
        <w:tab w:val="left" w:pos="900"/>
      </w:tabs>
      <w:spacing w:line="360" w:lineRule="auto"/>
      <w:ind w:left="1200" w:hanging="720"/>
    </w:pPr>
    <w:rPr>
      <w:rFonts w:eastAsia="宋体"/>
      <w:kern w:val="28"/>
      <w:szCs w:val="24"/>
    </w:rPr>
  </w:style>
  <w:style w:type="paragraph" w:customStyle="1" w:styleId="153">
    <w:name w:val="默认段落字体 Para Char Char Char Char Char Char Char Char Char Char"/>
    <w:basedOn w:val="1"/>
    <w:autoRedefine/>
    <w:qFormat/>
    <w:uiPriority w:val="0"/>
    <w:rPr>
      <w:rFonts w:ascii="Tahoma" w:hAnsi="Tahoma"/>
      <w:sz w:val="24"/>
    </w:rPr>
  </w:style>
  <w:style w:type="paragraph" w:customStyle="1" w:styleId="154">
    <w:name w:val="正文编码"/>
    <w:basedOn w:val="42"/>
    <w:autoRedefine/>
    <w:qFormat/>
    <w:uiPriority w:val="0"/>
    <w:pPr>
      <w:tabs>
        <w:tab w:val="center" w:pos="2185"/>
      </w:tabs>
      <w:spacing w:after="0" w:line="360" w:lineRule="auto"/>
      <w:ind w:left="1200" w:hanging="720" w:firstLineChars="0"/>
    </w:pPr>
    <w:rPr>
      <w:rFonts w:ascii="仿宋_GB2312" w:hAnsi="宋体" w:eastAsia="仿宋_GB2312"/>
      <w:sz w:val="24"/>
      <w:szCs w:val="20"/>
    </w:rPr>
  </w:style>
  <w:style w:type="paragraph" w:customStyle="1" w:styleId="155">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6">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7">
    <w:name w:val="Char"/>
    <w:basedOn w:val="1"/>
    <w:autoRedefine/>
    <w:qFormat/>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158">
    <w:name w:val="正文文本缩进 + 四号"/>
    <w:basedOn w:val="17"/>
    <w:autoRedefine/>
    <w:qFormat/>
    <w:uiPriority w:val="0"/>
    <w:pPr>
      <w:spacing w:line="360" w:lineRule="auto"/>
      <w:ind w:firstLine="560" w:firstLineChars="200"/>
    </w:pPr>
    <w:rPr>
      <w:rFonts w:ascii="仿宋_GB2312" w:eastAsia="仿宋_GB2312"/>
      <w:color w:val="000000"/>
      <w:sz w:val="28"/>
      <w:szCs w:val="28"/>
    </w:rPr>
  </w:style>
  <w:style w:type="paragraph" w:customStyle="1" w:styleId="159">
    <w:name w:val="中等深浅网格 2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0">
    <w:name w:val="正文段"/>
    <w:basedOn w:val="1"/>
    <w:autoRedefine/>
    <w:qFormat/>
    <w:uiPriority w:val="0"/>
    <w:pPr>
      <w:widowControl/>
      <w:snapToGrid w:val="0"/>
      <w:spacing w:afterLines="50"/>
      <w:ind w:firstLine="200" w:firstLineChars="200"/>
    </w:pPr>
    <w:rPr>
      <w:kern w:val="0"/>
      <w:sz w:val="24"/>
    </w:rPr>
  </w:style>
  <w:style w:type="paragraph" w:customStyle="1" w:styleId="161">
    <w:name w:val="符号 2"/>
    <w:basedOn w:val="152"/>
    <w:autoRedefine/>
    <w:qFormat/>
    <w:uiPriority w:val="0"/>
    <w:pPr>
      <w:tabs>
        <w:tab w:val="left" w:pos="1320"/>
        <w:tab w:val="clear" w:pos="900"/>
      </w:tabs>
      <w:ind w:left="1320" w:hanging="420"/>
    </w:pPr>
  </w:style>
  <w:style w:type="paragraph" w:customStyle="1" w:styleId="162">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3">
    <w:name w:val="标题1"/>
    <w:basedOn w:val="2"/>
    <w:autoRedefine/>
    <w:qFormat/>
    <w:uiPriority w:val="0"/>
    <w:pPr>
      <w:keepLines/>
      <w:tabs>
        <w:tab w:val="left" w:pos="397"/>
      </w:tabs>
      <w:spacing w:before="120" w:after="120" w:line="300" w:lineRule="auto"/>
      <w:ind w:firstLine="340"/>
    </w:pPr>
    <w:rPr>
      <w:rFonts w:ascii="黑体" w:hAnsi="宋体" w:eastAsia="黑体"/>
      <w:b w:val="0"/>
      <w:bCs w:val="0"/>
      <w:spacing w:val="6"/>
      <w:kern w:val="44"/>
      <w:sz w:val="36"/>
    </w:rPr>
  </w:style>
  <w:style w:type="paragraph" w:customStyle="1" w:styleId="164">
    <w:name w:val="p0"/>
    <w:basedOn w:val="1"/>
    <w:autoRedefine/>
    <w:qFormat/>
    <w:uiPriority w:val="0"/>
    <w:pPr>
      <w:widowControl/>
    </w:pPr>
    <w:rPr>
      <w:kern w:val="0"/>
      <w:szCs w:val="21"/>
    </w:rPr>
  </w:style>
  <w:style w:type="paragraph" w:customStyle="1" w:styleId="165">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66">
    <w:name w:val="Char Char Char Char Char Char Char"/>
    <w:basedOn w:val="1"/>
    <w:autoRedefine/>
    <w:qFormat/>
    <w:uiPriority w:val="0"/>
    <w:pPr>
      <w:tabs>
        <w:tab w:val="left" w:pos="432"/>
      </w:tabs>
      <w:ind w:left="432" w:hanging="432"/>
    </w:pPr>
    <w:rPr>
      <w:rFonts w:ascii="Tahoma" w:hAnsi="Tahoma"/>
      <w:sz w:val="24"/>
    </w:rPr>
  </w:style>
  <w:style w:type="paragraph" w:customStyle="1" w:styleId="167">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168">
    <w:name w:val="Char Char Char Char Char Char Char1"/>
    <w:basedOn w:val="1"/>
    <w:autoRedefine/>
    <w:qFormat/>
    <w:uiPriority w:val="0"/>
    <w:pPr>
      <w:tabs>
        <w:tab w:val="left" w:pos="432"/>
      </w:tabs>
      <w:ind w:left="432" w:hanging="432"/>
    </w:pPr>
    <w:rPr>
      <w:rFonts w:ascii="Tahoma" w:hAnsi="Tahoma"/>
      <w:sz w:val="24"/>
    </w:rPr>
  </w:style>
  <w:style w:type="paragraph" w:customStyle="1" w:styleId="169">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170">
    <w:name w:val="Char111"/>
    <w:basedOn w:val="1"/>
    <w:autoRedefine/>
    <w:qFormat/>
    <w:uiPriority w:val="0"/>
    <w:rPr>
      <w:szCs w:val="24"/>
    </w:rPr>
  </w:style>
  <w:style w:type="paragraph" w:customStyle="1" w:styleId="171">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172">
    <w:name w:val="首行缩进"/>
    <w:basedOn w:val="1"/>
    <w:autoRedefine/>
    <w:qFormat/>
    <w:uiPriority w:val="0"/>
    <w:rPr>
      <w:rFonts w:ascii="等线" w:hAnsi="等线" w:eastAsia="等线"/>
      <w:szCs w:val="22"/>
      <w:lang w:val="zh-CN"/>
    </w:rPr>
  </w:style>
  <w:style w:type="paragraph" w:customStyle="1" w:styleId="173">
    <w:name w:val="正文2"/>
    <w:basedOn w:val="1"/>
    <w:autoRedefine/>
    <w:qFormat/>
    <w:uiPriority w:val="0"/>
    <w:pPr>
      <w:spacing w:beforeLines="50" w:afterLines="50" w:line="360" w:lineRule="auto"/>
      <w:ind w:firstLine="480" w:firstLineChars="200"/>
    </w:pPr>
    <w:rPr>
      <w:rFonts w:ascii="宋体" w:hAnsi="宋体"/>
      <w:sz w:val="24"/>
      <w:szCs w:val="24"/>
    </w:rPr>
  </w:style>
  <w:style w:type="paragraph" w:customStyle="1" w:styleId="174">
    <w:name w:val="标准小四"/>
    <w:basedOn w:val="1"/>
    <w:autoRedefine/>
    <w:qFormat/>
    <w:uiPriority w:val="0"/>
    <w:pPr>
      <w:spacing w:line="360" w:lineRule="auto"/>
      <w:ind w:firstLine="480" w:firstLineChars="200"/>
    </w:pPr>
    <w:rPr>
      <w:rFonts w:ascii="Arial" w:hAnsi="Arial"/>
      <w:sz w:val="24"/>
      <w:szCs w:val="21"/>
    </w:rPr>
  </w:style>
  <w:style w:type="paragraph" w:customStyle="1" w:styleId="175">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76">
    <w:name w:val="正文1"/>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77">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78">
    <w:name w:val="Proposals body"/>
    <w:basedOn w:val="1"/>
    <w:next w:val="1"/>
    <w:autoRedefine/>
    <w:qFormat/>
    <w:uiPriority w:val="0"/>
    <w:pPr>
      <w:widowControl/>
      <w:spacing w:line="360" w:lineRule="auto"/>
      <w:jc w:val="left"/>
    </w:pPr>
    <w:rPr>
      <w:rFonts w:ascii="宋体"/>
      <w:snapToGrid w:val="0"/>
      <w:color w:val="000000"/>
      <w:kern w:val="0"/>
      <w:sz w:val="24"/>
    </w:rPr>
  </w:style>
  <w:style w:type="paragraph" w:customStyle="1" w:styleId="179">
    <w:name w:val="标题3"/>
    <w:basedOn w:val="4"/>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80">
    <w:name w:val="Char Char1 Char Char Char Char"/>
    <w:basedOn w:val="1"/>
    <w:autoRedefine/>
    <w:qFormat/>
    <w:uiPriority w:val="0"/>
    <w:rPr>
      <w:rFonts w:ascii="Tahoma" w:hAnsi="Tahoma"/>
      <w:sz w:val="24"/>
    </w:rPr>
  </w:style>
  <w:style w:type="paragraph" w:customStyle="1" w:styleId="181">
    <w:name w:val="Char21"/>
    <w:basedOn w:val="1"/>
    <w:autoRedefine/>
    <w:qFormat/>
    <w:uiPriority w:val="0"/>
    <w:pPr>
      <w:tabs>
        <w:tab w:val="left" w:pos="1200"/>
      </w:tabs>
      <w:ind w:left="1200" w:hanging="720"/>
    </w:pPr>
    <w:rPr>
      <w:sz w:val="24"/>
      <w:szCs w:val="24"/>
    </w:rPr>
  </w:style>
  <w:style w:type="paragraph" w:customStyle="1" w:styleId="18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3">
    <w:name w:val="*正文"/>
    <w:basedOn w:val="1"/>
    <w:autoRedefine/>
    <w:qFormat/>
    <w:uiPriority w:val="0"/>
    <w:pPr>
      <w:widowControl/>
      <w:ind w:firstLine="200" w:firstLineChars="200"/>
    </w:pPr>
    <w:rPr>
      <w:rFonts w:ascii="仿宋_GB2312" w:hAnsi="等线" w:eastAsia="仿宋_GB2312"/>
      <w:sz w:val="24"/>
      <w:szCs w:val="28"/>
    </w:rPr>
  </w:style>
  <w:style w:type="paragraph" w:customStyle="1" w:styleId="184">
    <w:name w:val="中等深浅网格 2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5">
    <w:name w:val="默认段落字体 Para Char Char Char Char Char Char Char Char Char1 Char Char Char Char"/>
    <w:basedOn w:val="1"/>
    <w:autoRedefine/>
    <w:qFormat/>
    <w:uiPriority w:val="0"/>
    <w:rPr>
      <w:rFonts w:ascii="Tahoma" w:hAnsi="Tahoma"/>
      <w:sz w:val="24"/>
    </w:rPr>
  </w:style>
  <w:style w:type="paragraph" w:customStyle="1" w:styleId="186">
    <w:name w:val="Char Char1 Char Char Char Char1"/>
    <w:basedOn w:val="1"/>
    <w:autoRedefine/>
    <w:qFormat/>
    <w:uiPriority w:val="0"/>
    <w:rPr>
      <w:rFonts w:ascii="Tahoma" w:hAnsi="Tahoma"/>
      <w:sz w:val="24"/>
    </w:rPr>
  </w:style>
  <w:style w:type="paragraph" w:customStyle="1" w:styleId="187">
    <w:name w:val="纯文本1"/>
    <w:basedOn w:val="1"/>
    <w:autoRedefine/>
    <w:qFormat/>
    <w:uiPriority w:val="0"/>
    <w:rPr>
      <w:rFonts w:ascii="宋体" w:hAnsi="Courier New"/>
    </w:rPr>
  </w:style>
  <w:style w:type="paragraph" w:customStyle="1" w:styleId="188">
    <w:name w:val="列出段落1"/>
    <w:basedOn w:val="1"/>
    <w:autoRedefine/>
    <w:qFormat/>
    <w:uiPriority w:val="99"/>
    <w:pPr>
      <w:ind w:firstLine="420" w:firstLineChars="200"/>
    </w:pPr>
    <w:rPr>
      <w:szCs w:val="24"/>
    </w:rPr>
  </w:style>
  <w:style w:type="paragraph" w:customStyle="1" w:styleId="189">
    <w:name w:val="标准正文"/>
    <w:basedOn w:val="1"/>
    <w:autoRedefine/>
    <w:qFormat/>
    <w:uiPriority w:val="0"/>
    <w:pPr>
      <w:adjustRightInd w:val="0"/>
      <w:spacing w:line="360" w:lineRule="auto"/>
      <w:ind w:firstLine="480" w:firstLineChars="200"/>
    </w:pPr>
    <w:rPr>
      <w:kern w:val="0"/>
      <w:sz w:val="24"/>
    </w:rPr>
  </w:style>
  <w:style w:type="character" w:customStyle="1" w:styleId="190">
    <w:name w:val="批注主题 字符"/>
    <w:autoRedefine/>
    <w:qFormat/>
    <w:locked/>
    <w:uiPriority w:val="99"/>
    <w:rPr>
      <w:rFonts w:ascii="宋体" w:hAnsi="宋体" w:eastAsia="宋体" w:cs="宋体"/>
      <w:b/>
      <w:kern w:val="2"/>
      <w:sz w:val="21"/>
      <w:szCs w:val="21"/>
      <w:lang w:val="en-US" w:eastAsia="zh-CN"/>
    </w:rPr>
  </w:style>
  <w:style w:type="character" w:customStyle="1" w:styleId="191">
    <w:name w:val="正文文本缩进 3 Char1"/>
    <w:autoRedefine/>
    <w:semiHidden/>
    <w:qFormat/>
    <w:uiPriority w:val="0"/>
    <w:rPr>
      <w:kern w:val="2"/>
      <w:sz w:val="16"/>
      <w:szCs w:val="16"/>
    </w:rPr>
  </w:style>
  <w:style w:type="character" w:customStyle="1" w:styleId="192">
    <w:name w:val="正文文本 3 Char1"/>
    <w:autoRedefine/>
    <w:semiHidden/>
    <w:qFormat/>
    <w:uiPriority w:val="0"/>
    <w:rPr>
      <w:kern w:val="2"/>
      <w:sz w:val="16"/>
      <w:szCs w:val="16"/>
    </w:rPr>
  </w:style>
  <w:style w:type="character" w:customStyle="1" w:styleId="193">
    <w:name w:val="批注框文本 Char1"/>
    <w:autoRedefine/>
    <w:semiHidden/>
    <w:qFormat/>
    <w:uiPriority w:val="0"/>
    <w:rPr>
      <w:kern w:val="2"/>
      <w:sz w:val="18"/>
      <w:szCs w:val="18"/>
    </w:rPr>
  </w:style>
  <w:style w:type="character" w:customStyle="1" w:styleId="194">
    <w:name w:val="页脚 Char1"/>
    <w:autoRedefine/>
    <w:semiHidden/>
    <w:qFormat/>
    <w:uiPriority w:val="99"/>
    <w:rPr>
      <w:kern w:val="2"/>
      <w:sz w:val="18"/>
      <w:szCs w:val="18"/>
    </w:rPr>
  </w:style>
  <w:style w:type="character" w:customStyle="1" w:styleId="195">
    <w:name w:val="正文文本 Char1"/>
    <w:autoRedefine/>
    <w:semiHidden/>
    <w:qFormat/>
    <w:uiPriority w:val="0"/>
    <w:rPr>
      <w:kern w:val="2"/>
      <w:sz w:val="21"/>
    </w:rPr>
  </w:style>
  <w:style w:type="character" w:customStyle="1" w:styleId="196">
    <w:name w:val="正文首行缩进 Char1"/>
    <w:autoRedefine/>
    <w:semiHidden/>
    <w:qFormat/>
    <w:uiPriority w:val="0"/>
  </w:style>
  <w:style w:type="character" w:customStyle="1" w:styleId="197">
    <w:name w:val="纯文本 Char1"/>
    <w:autoRedefine/>
    <w:semiHidden/>
    <w:qFormat/>
    <w:uiPriority w:val="0"/>
    <w:rPr>
      <w:rFonts w:ascii="宋体" w:hAnsi="Courier New" w:cs="Courier New"/>
      <w:kern w:val="2"/>
      <w:sz w:val="21"/>
      <w:szCs w:val="21"/>
    </w:rPr>
  </w:style>
  <w:style w:type="character" w:customStyle="1" w:styleId="198">
    <w:name w:val="页眉 Char1"/>
    <w:autoRedefine/>
    <w:semiHidden/>
    <w:qFormat/>
    <w:uiPriority w:val="0"/>
    <w:rPr>
      <w:kern w:val="2"/>
      <w:sz w:val="18"/>
      <w:szCs w:val="18"/>
    </w:rPr>
  </w:style>
  <w:style w:type="character" w:customStyle="1" w:styleId="199">
    <w:name w:val="标题 Char1"/>
    <w:autoRedefine/>
    <w:qFormat/>
    <w:uiPriority w:val="0"/>
    <w:rPr>
      <w:rFonts w:ascii="Cambria" w:hAnsi="Cambria" w:cs="Times New Roman"/>
      <w:b/>
      <w:bCs/>
      <w:kern w:val="2"/>
      <w:sz w:val="32"/>
      <w:szCs w:val="32"/>
    </w:rPr>
  </w:style>
  <w:style w:type="character" w:customStyle="1" w:styleId="200">
    <w:name w:val="正文文本缩进 Char1"/>
    <w:autoRedefine/>
    <w:qFormat/>
    <w:uiPriority w:val="0"/>
    <w:rPr>
      <w:kern w:val="2"/>
      <w:sz w:val="21"/>
    </w:rPr>
  </w:style>
  <w:style w:type="character" w:customStyle="1" w:styleId="201">
    <w:name w:val="正文文本 2 Char1"/>
    <w:autoRedefine/>
    <w:semiHidden/>
    <w:qFormat/>
    <w:uiPriority w:val="0"/>
    <w:rPr>
      <w:kern w:val="2"/>
      <w:sz w:val="21"/>
    </w:rPr>
  </w:style>
  <w:style w:type="character" w:customStyle="1" w:styleId="202">
    <w:name w:val="文档结构图 Char1"/>
    <w:autoRedefine/>
    <w:semiHidden/>
    <w:qFormat/>
    <w:uiPriority w:val="0"/>
    <w:rPr>
      <w:rFonts w:ascii="宋体"/>
      <w:kern w:val="2"/>
      <w:sz w:val="18"/>
      <w:szCs w:val="18"/>
    </w:rPr>
  </w:style>
  <w:style w:type="character" w:customStyle="1" w:styleId="203">
    <w:name w:val="正文文本缩进 2 Char1"/>
    <w:autoRedefine/>
    <w:semiHidden/>
    <w:qFormat/>
    <w:uiPriority w:val="0"/>
    <w:rPr>
      <w:kern w:val="2"/>
      <w:sz w:val="21"/>
    </w:rPr>
  </w:style>
  <w:style w:type="character" w:customStyle="1" w:styleId="204">
    <w:name w:val="批注主题 Char1"/>
    <w:autoRedefine/>
    <w:semiHidden/>
    <w:qFormat/>
    <w:locked/>
    <w:uiPriority w:val="99"/>
    <w:rPr>
      <w:b/>
      <w:bCs/>
      <w:lang w:val="en-US" w:eastAsia="zh-CN" w:bidi="ar-SA"/>
    </w:rPr>
  </w:style>
  <w:style w:type="character" w:customStyle="1" w:styleId="205">
    <w:name w:val="Char Char331"/>
    <w:autoRedefine/>
    <w:qFormat/>
    <w:uiPriority w:val="0"/>
    <w:rPr>
      <w:rFonts w:hint="eastAsia" w:ascii="宋体" w:hAnsi="宋体"/>
      <w:i/>
      <w:szCs w:val="24"/>
      <w:lang w:val="en-US" w:eastAsia="zh-CN" w:bidi="ar-SA"/>
    </w:rPr>
  </w:style>
  <w:style w:type="character" w:customStyle="1" w:styleId="206">
    <w:name w:val="日期 Char1"/>
    <w:autoRedefine/>
    <w:semiHidden/>
    <w:qFormat/>
    <w:locked/>
    <w:uiPriority w:val="0"/>
    <w:rPr>
      <w:rFonts w:ascii="宋体"/>
      <w:sz w:val="24"/>
    </w:rPr>
  </w:style>
  <w:style w:type="character" w:customStyle="1" w:styleId="207">
    <w:name w:val="HTML 预设格式 Char1"/>
    <w:autoRedefine/>
    <w:semiHidden/>
    <w:qFormat/>
    <w:locked/>
    <w:uiPriority w:val="0"/>
    <w:rPr>
      <w:rFonts w:ascii="Courier New" w:hAnsi="Courier New" w:cs="Courier New"/>
      <w:kern w:val="2"/>
    </w:rPr>
  </w:style>
  <w:style w:type="paragraph" w:customStyle="1" w:styleId="208">
    <w:name w:val="F-正文"/>
    <w:autoRedefine/>
    <w:qFormat/>
    <w:uiPriority w:val="0"/>
    <w:pPr>
      <w:spacing w:line="560" w:lineRule="exact"/>
      <w:jc w:val="both"/>
    </w:pPr>
    <w:rPr>
      <w:rFonts w:ascii="Times" w:hAnsi="Times" w:eastAsia="仿宋" w:cs="Times New Roman"/>
      <w:kern w:val="2"/>
      <w:sz w:val="24"/>
      <w:lang w:val="en-US" w:eastAsia="zh-CN" w:bidi="ar-SA"/>
    </w:rPr>
  </w:style>
  <w:style w:type="character" w:customStyle="1" w:styleId="209">
    <w:name w:val="bookmark-item"/>
    <w:autoRedefine/>
    <w:qFormat/>
    <w:uiPriority w:val="0"/>
  </w:style>
  <w:style w:type="character" w:customStyle="1" w:styleId="210">
    <w:name w:val="NormalCharacter"/>
    <w:autoRedefine/>
    <w:qFormat/>
    <w:uiPriority w:val="0"/>
    <w:rPr>
      <w:kern w:val="2"/>
      <w:sz w:val="21"/>
      <w:lang w:val="en-US" w:eastAsia="zh-CN" w:bidi="ar-SA"/>
    </w:rPr>
  </w:style>
  <w:style w:type="character" w:customStyle="1" w:styleId="211">
    <w:name w:val="_Style 210"/>
    <w:autoRedefine/>
    <w:qFormat/>
    <w:uiPriority w:val="19"/>
    <w:rPr>
      <w:i/>
      <w:iCs/>
      <w:color w:val="808080"/>
    </w:rPr>
  </w:style>
  <w:style w:type="paragraph" w:customStyle="1" w:styleId="212">
    <w:name w:val="Table Paragraph"/>
    <w:basedOn w:val="1"/>
    <w:autoRedefine/>
    <w:qFormat/>
    <w:uiPriority w:val="1"/>
    <w:pPr>
      <w:autoSpaceDE w:val="0"/>
      <w:autoSpaceDN w:val="0"/>
      <w:jc w:val="left"/>
    </w:pPr>
    <w:rPr>
      <w:rFonts w:ascii="宋体" w:hAnsi="宋体" w:cs="宋体"/>
      <w:kern w:val="0"/>
      <w:sz w:val="22"/>
      <w:szCs w:val="22"/>
    </w:rPr>
  </w:style>
  <w:style w:type="character" w:customStyle="1" w:styleId="213">
    <w:name w:val="纯文本 Char3"/>
    <w:autoRedefine/>
    <w:qFormat/>
    <w:locked/>
    <w:uiPriority w:val="0"/>
    <w:rPr>
      <w:rFonts w:ascii="宋体" w:hAnsi="Courier New" w:eastAsia="宋体"/>
    </w:rPr>
  </w:style>
  <w:style w:type="character" w:customStyle="1" w:styleId="214">
    <w:name w:val="Document Map Char1"/>
    <w:autoRedefine/>
    <w:semiHidden/>
    <w:qFormat/>
    <w:uiPriority w:val="99"/>
    <w:rPr>
      <w:kern w:val="2"/>
      <w:sz w:val="16"/>
      <w:szCs w:val="0"/>
    </w:rPr>
  </w:style>
  <w:style w:type="character" w:customStyle="1" w:styleId="215">
    <w:name w:val="Body Text Char1"/>
    <w:autoRedefine/>
    <w:semiHidden/>
    <w:qFormat/>
    <w:uiPriority w:val="99"/>
    <w:rPr>
      <w:kern w:val="2"/>
      <w:sz w:val="21"/>
    </w:rPr>
  </w:style>
  <w:style w:type="character" w:customStyle="1" w:styleId="216">
    <w:name w:val="Body Text Indent 2 Char1"/>
    <w:autoRedefine/>
    <w:semiHidden/>
    <w:qFormat/>
    <w:uiPriority w:val="99"/>
    <w:rPr>
      <w:kern w:val="2"/>
      <w:sz w:val="21"/>
    </w:rPr>
  </w:style>
  <w:style w:type="character" w:customStyle="1" w:styleId="217">
    <w:name w:val="Body Text Indent Char1"/>
    <w:autoRedefine/>
    <w:semiHidden/>
    <w:qFormat/>
    <w:uiPriority w:val="99"/>
    <w:rPr>
      <w:kern w:val="2"/>
      <w:sz w:val="21"/>
    </w:rPr>
  </w:style>
  <w:style w:type="character" w:customStyle="1" w:styleId="218">
    <w:name w:val="Body Text 3 Char1"/>
    <w:autoRedefine/>
    <w:semiHidden/>
    <w:qFormat/>
    <w:uiPriority w:val="99"/>
    <w:rPr>
      <w:kern w:val="2"/>
      <w:sz w:val="16"/>
      <w:szCs w:val="16"/>
    </w:rPr>
  </w:style>
  <w:style w:type="paragraph" w:customStyle="1" w:styleId="219">
    <w:name w:val="列表段落1"/>
    <w:basedOn w:val="1"/>
    <w:autoRedefine/>
    <w:qFormat/>
    <w:uiPriority w:val="0"/>
    <w:pPr>
      <w:ind w:firstLine="420" w:firstLineChars="200"/>
    </w:pPr>
    <w:rPr>
      <w:sz w:val="22"/>
    </w:rPr>
  </w:style>
  <w:style w:type="character" w:customStyle="1" w:styleId="220">
    <w:name w:val="Footer Char1"/>
    <w:autoRedefine/>
    <w:semiHidden/>
    <w:qFormat/>
    <w:uiPriority w:val="99"/>
    <w:rPr>
      <w:kern w:val="2"/>
      <w:sz w:val="18"/>
      <w:szCs w:val="18"/>
    </w:rPr>
  </w:style>
  <w:style w:type="character" w:customStyle="1" w:styleId="221">
    <w:name w:val="Body Text 2 Char1"/>
    <w:autoRedefine/>
    <w:semiHidden/>
    <w:qFormat/>
    <w:uiPriority w:val="99"/>
    <w:rPr>
      <w:kern w:val="2"/>
      <w:sz w:val="21"/>
    </w:rPr>
  </w:style>
  <w:style w:type="character" w:customStyle="1" w:styleId="222">
    <w:name w:val="Body Text First Indent Char1"/>
    <w:autoRedefine/>
    <w:semiHidden/>
    <w:qFormat/>
    <w:uiPriority w:val="99"/>
    <w:rPr>
      <w:rFonts w:eastAsia="宋体"/>
      <w:i/>
      <w:kern w:val="2"/>
      <w:sz w:val="21"/>
      <w:lang w:val="en-US" w:eastAsia="zh-CN"/>
    </w:rPr>
  </w:style>
  <w:style w:type="character" w:customStyle="1" w:styleId="223">
    <w:name w:val="Header Char1"/>
    <w:autoRedefine/>
    <w:semiHidden/>
    <w:qFormat/>
    <w:uiPriority w:val="99"/>
    <w:rPr>
      <w:kern w:val="2"/>
      <w:sz w:val="18"/>
      <w:szCs w:val="18"/>
    </w:rPr>
  </w:style>
  <w:style w:type="character" w:customStyle="1" w:styleId="224">
    <w:name w:val="Body Text Indent 3 Char1"/>
    <w:autoRedefine/>
    <w:semiHidden/>
    <w:qFormat/>
    <w:uiPriority w:val="99"/>
    <w:rPr>
      <w:kern w:val="2"/>
      <w:sz w:val="16"/>
      <w:szCs w:val="16"/>
    </w:rPr>
  </w:style>
  <w:style w:type="character" w:customStyle="1" w:styleId="225">
    <w:name w:val="纯文本 字符"/>
    <w:autoRedefine/>
    <w:qFormat/>
    <w:uiPriority w:val="0"/>
    <w:rPr>
      <w:rFonts w:ascii="宋体" w:hAnsi="宋体" w:eastAsia="宋体"/>
      <w:color w:val="000000"/>
      <w:sz w:val="24"/>
      <w:lang w:val="en-US" w:eastAsia="zh-CN"/>
    </w:rPr>
  </w:style>
  <w:style w:type="character" w:customStyle="1" w:styleId="226">
    <w:name w:val="Date Char1"/>
    <w:autoRedefine/>
    <w:semiHidden/>
    <w:qFormat/>
    <w:uiPriority w:val="99"/>
    <w:rPr>
      <w:kern w:val="2"/>
      <w:sz w:val="21"/>
    </w:rPr>
  </w:style>
  <w:style w:type="character" w:customStyle="1" w:styleId="227">
    <w:name w:val="Plain Text Char1"/>
    <w:autoRedefine/>
    <w:semiHidden/>
    <w:qFormat/>
    <w:uiPriority w:val="99"/>
    <w:rPr>
      <w:rFonts w:ascii="宋体" w:hAnsi="Courier New" w:cs="Courier New"/>
      <w:kern w:val="2"/>
      <w:sz w:val="21"/>
      <w:szCs w:val="21"/>
    </w:rPr>
  </w:style>
  <w:style w:type="paragraph" w:customStyle="1" w:styleId="228">
    <w:name w:val="纯文本11"/>
    <w:basedOn w:val="1"/>
    <w:autoRedefine/>
    <w:qFormat/>
    <w:uiPriority w:val="0"/>
    <w:rPr>
      <w:rFonts w:ascii="宋体" w:hAnsi="Courier New"/>
    </w:rPr>
  </w:style>
  <w:style w:type="paragraph" w:customStyle="1" w:styleId="229">
    <w:name w:val="正文11"/>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30">
    <w:name w:val="Char11"/>
    <w:basedOn w:val="1"/>
    <w:autoRedefine/>
    <w:qFormat/>
    <w:uiPriority w:val="0"/>
    <w:rPr>
      <w:szCs w:val="24"/>
    </w:rPr>
  </w:style>
  <w:style w:type="paragraph" w:customStyle="1" w:styleId="231">
    <w:name w:val="Char2"/>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3">
    <w:name w:val="样式3"/>
    <w:basedOn w:val="21"/>
    <w:autoRedefine/>
    <w:qFormat/>
    <w:uiPriority w:val="0"/>
    <w:pPr>
      <w:spacing w:line="0" w:lineRule="atLeast"/>
      <w:outlineLvl w:val="0"/>
    </w:pPr>
    <w:rPr>
      <w:rFonts w:cs="Times New Roman"/>
      <w:sz w:val="28"/>
      <w:szCs w:val="20"/>
    </w:rPr>
  </w:style>
  <w:style w:type="paragraph" w:styleId="234">
    <w:name w:val="No Spacing"/>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35">
    <w:name w:val="font41"/>
    <w:autoRedefine/>
    <w:qFormat/>
    <w:uiPriority w:val="0"/>
    <w:rPr>
      <w:rFonts w:hint="eastAsia" w:ascii="宋体" w:hAnsi="宋体" w:eastAsia="宋体" w:cs="宋体"/>
      <w:color w:val="000000"/>
      <w:sz w:val="18"/>
      <w:szCs w:val="18"/>
      <w:u w:val="none"/>
    </w:rPr>
  </w:style>
  <w:style w:type="character" w:customStyle="1" w:styleId="236">
    <w:name w:val="font131"/>
    <w:autoRedefine/>
    <w:qFormat/>
    <w:uiPriority w:val="0"/>
    <w:rPr>
      <w:rFonts w:hint="eastAsia" w:ascii="宋体" w:hAnsi="宋体" w:eastAsia="宋体" w:cs="宋体"/>
      <w:b/>
      <w:bCs/>
      <w:color w:val="000000"/>
      <w:sz w:val="21"/>
      <w:szCs w:val="21"/>
      <w:u w:val="none"/>
    </w:rPr>
  </w:style>
  <w:style w:type="character" w:customStyle="1" w:styleId="237">
    <w:name w:val="font141"/>
    <w:autoRedefine/>
    <w:qFormat/>
    <w:uiPriority w:val="0"/>
    <w:rPr>
      <w:rFonts w:ascii="Arial" w:hAnsi="Arial" w:cs="Arial"/>
      <w:color w:val="C00000"/>
      <w:sz w:val="18"/>
      <w:szCs w:val="18"/>
      <w:u w:val="none"/>
    </w:rPr>
  </w:style>
  <w:style w:type="character" w:customStyle="1" w:styleId="238">
    <w:name w:val="font151"/>
    <w:autoRedefine/>
    <w:qFormat/>
    <w:uiPriority w:val="0"/>
    <w:rPr>
      <w:rFonts w:hint="eastAsia" w:ascii="宋体" w:hAnsi="宋体" w:eastAsia="宋体" w:cs="宋体"/>
      <w:color w:val="C00000"/>
      <w:sz w:val="18"/>
      <w:szCs w:val="18"/>
      <w:u w:val="none"/>
    </w:rPr>
  </w:style>
  <w:style w:type="character" w:styleId="239">
    <w:name w:val="Placeholder Text"/>
    <w:basedOn w:val="46"/>
    <w:autoRedefine/>
    <w:unhideWhenUsed/>
    <w:qFormat/>
    <w:uiPriority w:val="99"/>
    <w:rPr>
      <w:color w:val="808080"/>
    </w:rPr>
  </w:style>
  <w:style w:type="paragraph" w:customStyle="1" w:styleId="240">
    <w:name w:val="Table Text"/>
    <w:basedOn w:val="1"/>
    <w:autoRedefine/>
    <w:semiHidden/>
    <w:qFormat/>
    <w:uiPriority w:val="0"/>
    <w:pPr>
      <w:widowControl/>
      <w:kinsoku w:val="0"/>
      <w:autoSpaceDE w:val="0"/>
      <w:autoSpaceDN w:val="0"/>
      <w:adjustRightInd w:val="0"/>
      <w:snapToGrid w:val="0"/>
      <w:jc w:val="left"/>
    </w:pPr>
    <w:rPr>
      <w:rFonts w:ascii="仿宋" w:hAnsi="仿宋" w:eastAsia="仿宋" w:cs="仿宋"/>
      <w:color w:val="000000"/>
      <w:kern w:val="0"/>
      <w:sz w:val="28"/>
      <w:szCs w:val="28"/>
      <w:lang w:eastAsia="en-US"/>
    </w:rPr>
  </w:style>
  <w:style w:type="table" w:customStyle="1" w:styleId="241">
    <w:name w:val="Table Normal"/>
    <w:autoRedefine/>
    <w:semiHidden/>
    <w:qFormat/>
    <w:uiPriority w:val="0"/>
    <w:pPr>
      <w:snapToGrid w:val="0"/>
    </w:pPr>
    <w:rPr>
      <w:rFonts w:ascii="Arial" w:hAnsi="Arial" w:eastAsia="Times New Roman" w:cs="Arial"/>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Unknown Organization</Company>
  <Pages>54</Pages>
  <Words>29250</Words>
  <Characters>31987</Characters>
  <Lines>247</Lines>
  <Paragraphs>69</Paragraphs>
  <TotalTime>2</TotalTime>
  <ScaleCrop>false</ScaleCrop>
  <LinksUpToDate>false</LinksUpToDate>
  <CharactersWithSpaces>34311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2020-11-04T05:16:00Z</dcterms:created>
  <dc:creator>Administrator</dc:creator>
  <cp:lastModifiedBy>伢伢</cp:lastModifiedBy>
  <cp:lastPrinted>2022-08-31T11:24:00Z</cp:lastPrinted>
  <dcterms:modified xsi:type="dcterms:W3CDTF">2025-06-26T07:19:00Z</dcterms:modified>
  <dc:title>第一部分  投标方须知</dc:title>
  <cp:revision>719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E3CDECF5DCF6463BBDB649E1D61C01E5_13</vt:lpwstr>
  </property>
  <property fmtid="{D5CDD505-2E9C-101B-9397-08002B2CF9AE}" pid="4" name="KSOTemplateDocerSaveRecord">
    <vt:lpwstr>eyJoZGlkIjoiODc5OTZlOWI0MDY3MzRlMzFmOGRlNTJhMTQ1MDFhNWYiLCJ1c2VySWQiOiIyNjY0MDI3MDgifQ==</vt:lpwstr>
  </property>
</Properties>
</file>