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E8DFD">
      <w:pPr>
        <w:spacing w:after="120" w:line="600" w:lineRule="exact"/>
        <w:jc w:val="center"/>
        <w:rPr>
          <w:rFonts w:ascii="宋体" w:hAnsi="宋体"/>
          <w:b/>
          <w:color w:val="auto"/>
          <w:sz w:val="40"/>
          <w:szCs w:val="32"/>
        </w:rPr>
      </w:pPr>
      <w:r>
        <w:rPr>
          <w:color w:val="auto"/>
        </w:rPr>
        <w:drawing>
          <wp:anchor distT="0" distB="0" distL="114300" distR="114300" simplePos="0" relativeHeight="251660288" behindDoc="0" locked="0" layoutInCell="1" allowOverlap="1">
            <wp:simplePos x="0" y="0"/>
            <wp:positionH relativeFrom="column">
              <wp:posOffset>-175260</wp:posOffset>
            </wp:positionH>
            <wp:positionV relativeFrom="paragraph">
              <wp:posOffset>-419100</wp:posOffset>
            </wp:positionV>
            <wp:extent cx="1323975" cy="400050"/>
            <wp:effectExtent l="0" t="0" r="1905" b="3810"/>
            <wp:wrapNone/>
            <wp:docPr id="2" name="图片 10329" descr="5e74dbda06143eea68d97b0525f9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329" descr="5e74dbda06143eea68d97b0525f9f5c"/>
                    <pic:cNvPicPr>
                      <a:picLocks noChangeAspect="1"/>
                    </pic:cNvPicPr>
                  </pic:nvPicPr>
                  <pic:blipFill>
                    <a:blip r:embed="rId19" cstate="print"/>
                    <a:stretch>
                      <a:fillRect/>
                    </a:stretch>
                  </pic:blipFill>
                  <pic:spPr>
                    <a:xfrm>
                      <a:off x="0" y="0"/>
                      <a:ext cx="1323975" cy="400050"/>
                    </a:xfrm>
                    <a:prstGeom prst="rect">
                      <a:avLst/>
                    </a:prstGeom>
                    <a:noFill/>
                    <a:ln>
                      <a:noFill/>
                    </a:ln>
                  </pic:spPr>
                </pic:pic>
              </a:graphicData>
            </a:graphic>
          </wp:anchor>
        </w:drawing>
      </w:r>
    </w:p>
    <w:p w14:paraId="2D4D1103">
      <w:pPr>
        <w:spacing w:after="120" w:line="700" w:lineRule="exact"/>
        <w:jc w:val="center"/>
        <w:rPr>
          <w:rFonts w:ascii="宋体" w:hAnsi="宋体"/>
          <w:b/>
          <w:color w:val="auto"/>
          <w:sz w:val="40"/>
          <w:szCs w:val="50"/>
        </w:rPr>
      </w:pPr>
    </w:p>
    <w:p w14:paraId="6E52B53C">
      <w:pPr>
        <w:spacing w:after="120" w:line="400" w:lineRule="exact"/>
        <w:jc w:val="center"/>
        <w:rPr>
          <w:rFonts w:ascii="宋体" w:hAnsi="宋体"/>
          <w:b/>
          <w:color w:val="auto"/>
          <w:sz w:val="32"/>
          <w:szCs w:val="32"/>
        </w:rPr>
      </w:pPr>
    </w:p>
    <w:p w14:paraId="726C6F1A">
      <w:pPr>
        <w:spacing w:after="120" w:line="1600" w:lineRule="exact"/>
        <w:jc w:val="center"/>
        <w:rPr>
          <w:rFonts w:ascii="宋体" w:hAnsi="宋体"/>
          <w:b/>
          <w:color w:val="auto"/>
          <w:sz w:val="84"/>
          <w:szCs w:val="84"/>
        </w:rPr>
      </w:pPr>
      <w:bookmarkStart w:id="0" w:name="OLE_LINK48"/>
      <w:bookmarkStart w:id="1" w:name="OLE_LINK47"/>
      <w:r>
        <w:rPr>
          <w:rFonts w:hint="eastAsia" w:ascii="宋体" w:hAnsi="宋体"/>
          <w:b/>
          <w:color w:val="auto"/>
          <w:sz w:val="84"/>
          <w:szCs w:val="84"/>
        </w:rPr>
        <w:t>国内公开招标文件</w:t>
      </w:r>
    </w:p>
    <w:p w14:paraId="6B352BEA">
      <w:pPr>
        <w:rPr>
          <w:rFonts w:ascii="宋体" w:hAnsi="宋体"/>
          <w:b/>
          <w:color w:val="auto"/>
          <w:sz w:val="36"/>
          <w:szCs w:val="36"/>
        </w:rPr>
      </w:pPr>
    </w:p>
    <w:p w14:paraId="53D7C7B4">
      <w:pPr>
        <w:spacing w:line="600" w:lineRule="exact"/>
        <w:rPr>
          <w:rFonts w:ascii="宋体" w:hAnsi="宋体"/>
          <w:b/>
          <w:color w:val="auto"/>
          <w:sz w:val="28"/>
          <w:szCs w:val="28"/>
        </w:rPr>
      </w:pPr>
    </w:p>
    <w:p w14:paraId="6ABE96B0">
      <w:pPr>
        <w:spacing w:line="600" w:lineRule="exact"/>
        <w:rPr>
          <w:rFonts w:ascii="宋体" w:hAnsi="宋体"/>
          <w:b/>
          <w:color w:val="auto"/>
          <w:sz w:val="28"/>
          <w:szCs w:val="28"/>
        </w:rPr>
      </w:pPr>
    </w:p>
    <w:p w14:paraId="68DF1F56">
      <w:pPr>
        <w:spacing w:line="600" w:lineRule="exact"/>
        <w:rPr>
          <w:rFonts w:ascii="宋体" w:hAnsi="宋体"/>
          <w:b/>
          <w:color w:val="auto"/>
          <w:sz w:val="28"/>
          <w:szCs w:val="28"/>
        </w:rPr>
      </w:pPr>
    </w:p>
    <w:p w14:paraId="4C3AFDA3">
      <w:pPr>
        <w:spacing w:line="600" w:lineRule="exact"/>
        <w:rPr>
          <w:rFonts w:ascii="宋体" w:hAnsi="宋体"/>
          <w:b/>
          <w:color w:val="auto"/>
          <w:sz w:val="28"/>
          <w:szCs w:val="28"/>
        </w:rPr>
      </w:pPr>
    </w:p>
    <w:p w14:paraId="2F87B9E2">
      <w:pPr>
        <w:spacing w:line="800" w:lineRule="exact"/>
        <w:rPr>
          <w:rFonts w:ascii="宋体" w:hAnsi="宋体"/>
          <w:b/>
          <w:color w:val="auto"/>
          <w:sz w:val="28"/>
          <w:szCs w:val="28"/>
        </w:rPr>
      </w:pPr>
      <w:r>
        <w:rPr>
          <w:rFonts w:hint="eastAsia" w:ascii="宋体" w:hAnsi="宋体"/>
          <w:b/>
          <w:color w:val="auto"/>
          <w:sz w:val="28"/>
          <w:szCs w:val="28"/>
        </w:rPr>
        <w:t>采购编号：QWZFCG25054（NBITC-20</w:t>
      </w:r>
      <w:r>
        <w:rPr>
          <w:rFonts w:ascii="Times New Roman" w:hAnsi="Times New Roman" w:eastAsia="Times New Roman"/>
          <w:snapToGrid w:val="0"/>
          <w:color w:val="auto"/>
          <w:w w:val="0"/>
          <w:sz w:val="0"/>
          <w:szCs w:val="0"/>
          <w:u w:color="000000"/>
          <w:shd w:val="clear" w:color="000000" w:fill="000000"/>
        </w:rPr>
        <w:t xml:space="preserve"> </w:t>
      </w:r>
      <w:r>
        <w:rPr>
          <w:rFonts w:hint="eastAsia" w:ascii="宋体" w:hAnsi="宋体"/>
          <w:b/>
          <w:color w:val="auto"/>
          <w:sz w:val="28"/>
          <w:szCs w:val="28"/>
        </w:rPr>
        <w:t>2510852G）</w:t>
      </w:r>
    </w:p>
    <w:p w14:paraId="411C229E">
      <w:pPr>
        <w:spacing w:line="800" w:lineRule="exact"/>
        <w:ind w:left="1546" w:right="-735" w:rightChars="-350" w:hanging="1546" w:hangingChars="550"/>
        <w:rPr>
          <w:rFonts w:ascii="宋体" w:hAnsi="宋体"/>
          <w:b/>
          <w:color w:val="auto"/>
          <w:sz w:val="28"/>
          <w:szCs w:val="28"/>
        </w:rPr>
      </w:pPr>
      <w:r>
        <w:rPr>
          <w:rFonts w:hint="eastAsia" w:ascii="宋体" w:hAnsi="宋体"/>
          <w:b/>
          <w:color w:val="auto"/>
          <w:sz w:val="28"/>
          <w:szCs w:val="28"/>
        </w:rPr>
        <w:t>项目名称：</w:t>
      </w:r>
      <w:bookmarkStart w:id="2" w:name="OLE_LINK50"/>
      <w:bookmarkStart w:id="3" w:name="OLE_LINK4"/>
      <w:bookmarkStart w:id="4" w:name="OLE_LINK40"/>
      <w:bookmarkStart w:id="5" w:name="OLE_LINK9"/>
      <w:r>
        <w:rPr>
          <w:rFonts w:hint="eastAsia" w:ascii="宋体" w:hAnsi="宋体"/>
          <w:b/>
          <w:color w:val="auto"/>
          <w:sz w:val="28"/>
          <w:szCs w:val="28"/>
        </w:rPr>
        <w:t>宁波前湾新区教育文体和旅游局学生午休垫采购项目</w:t>
      </w:r>
      <w:bookmarkEnd w:id="2"/>
      <w:bookmarkEnd w:id="3"/>
      <w:bookmarkEnd w:id="4"/>
      <w:bookmarkEnd w:id="5"/>
    </w:p>
    <w:p w14:paraId="366B3F83">
      <w:pPr>
        <w:spacing w:line="800" w:lineRule="exact"/>
        <w:ind w:left="1405" w:hanging="1405" w:hangingChars="500"/>
        <w:rPr>
          <w:rFonts w:ascii="宋体" w:hAnsi="宋体"/>
          <w:b/>
          <w:color w:val="auto"/>
          <w:sz w:val="28"/>
          <w:szCs w:val="28"/>
        </w:rPr>
      </w:pPr>
      <w:r>
        <w:rPr>
          <w:rFonts w:hint="eastAsia" w:ascii="宋体" w:hAnsi="宋体"/>
          <w:b/>
          <w:color w:val="auto"/>
          <w:sz w:val="28"/>
          <w:szCs w:val="28"/>
        </w:rPr>
        <w:t>采 购 人：</w:t>
      </w:r>
      <w:bookmarkStart w:id="6" w:name="OLE_LINK32"/>
      <w:bookmarkStart w:id="7" w:name="OLE_LINK3"/>
      <w:bookmarkStart w:id="8" w:name="OLE_LINK51"/>
      <w:bookmarkStart w:id="9" w:name="OLE_LINK46"/>
      <w:r>
        <w:rPr>
          <w:rFonts w:hint="eastAsia" w:ascii="宋体" w:hAnsi="宋体"/>
          <w:b/>
          <w:color w:val="auto"/>
          <w:sz w:val="28"/>
          <w:szCs w:val="28"/>
        </w:rPr>
        <w:t>宁波前湾新区教育文体和旅游局</w:t>
      </w:r>
      <w:bookmarkEnd w:id="6"/>
      <w:bookmarkEnd w:id="7"/>
      <w:bookmarkEnd w:id="8"/>
      <w:bookmarkEnd w:id="9"/>
    </w:p>
    <w:p w14:paraId="1A738E20">
      <w:pPr>
        <w:spacing w:line="800" w:lineRule="exact"/>
        <w:rPr>
          <w:rFonts w:ascii="宋体" w:hAnsi="宋体"/>
          <w:b/>
          <w:color w:val="auto"/>
          <w:sz w:val="28"/>
          <w:szCs w:val="28"/>
        </w:rPr>
      </w:pPr>
      <w:r>
        <w:rPr>
          <w:rFonts w:hint="eastAsia" w:ascii="宋体" w:hAnsi="宋体"/>
          <w:b/>
          <w:color w:val="auto"/>
          <w:sz w:val="28"/>
          <w:szCs w:val="28"/>
        </w:rPr>
        <w:t>代理机构：宁波市国际招标有限公司</w:t>
      </w:r>
    </w:p>
    <w:p w14:paraId="138F4BE5">
      <w:pPr>
        <w:spacing w:line="800" w:lineRule="exact"/>
        <w:rPr>
          <w:rFonts w:ascii="宋体" w:hAnsi="宋体"/>
          <w:b/>
          <w:color w:val="auto"/>
          <w:sz w:val="28"/>
          <w:szCs w:val="28"/>
        </w:rPr>
      </w:pPr>
      <w:r>
        <w:rPr>
          <w:rFonts w:hint="eastAsia" w:ascii="宋体" w:hAnsi="宋体"/>
          <w:b/>
          <w:color w:val="auto"/>
          <w:sz w:val="28"/>
          <w:szCs w:val="28"/>
        </w:rPr>
        <w:t>编制日期：2025年6月</w:t>
      </w:r>
      <w:bookmarkEnd w:id="0"/>
      <w:bookmarkEnd w:id="1"/>
    </w:p>
    <w:p w14:paraId="3D07DA8A">
      <w:pPr>
        <w:spacing w:line="600" w:lineRule="exact"/>
        <w:rPr>
          <w:rFonts w:ascii="宋体" w:hAnsi="宋体"/>
          <w:b/>
          <w:color w:val="auto"/>
          <w:sz w:val="28"/>
          <w:szCs w:val="28"/>
        </w:rPr>
      </w:pPr>
    </w:p>
    <w:p w14:paraId="4F9E45E5">
      <w:pPr>
        <w:spacing w:line="400" w:lineRule="exact"/>
        <w:jc w:val="center"/>
        <w:rPr>
          <w:rFonts w:ascii="宋体" w:hAnsi="宋体"/>
          <w:b/>
          <w:color w:val="auto"/>
          <w:sz w:val="28"/>
          <w:szCs w:val="28"/>
        </w:rPr>
        <w:sectPr>
          <w:headerReference r:id="rId3" w:type="default"/>
          <w:footerReference r:id="rId4" w:type="default"/>
          <w:footerReference r:id="rId5" w:type="even"/>
          <w:type w:val="nextColumn"/>
          <w:pgSz w:w="11907" w:h="16840"/>
          <w:pgMar w:top="1440" w:right="1701" w:bottom="1440" w:left="1701" w:header="720" w:footer="720" w:gutter="0"/>
          <w:pgNumType w:start="1"/>
          <w:cols w:space="720" w:num="1"/>
          <w:docGrid w:type="lines" w:linePitch="285" w:charSpace="0"/>
        </w:sectPr>
      </w:pPr>
    </w:p>
    <w:p w14:paraId="307FF11E">
      <w:pPr>
        <w:tabs>
          <w:tab w:val="center" w:pos="4365"/>
        </w:tabs>
        <w:spacing w:line="480" w:lineRule="auto"/>
        <w:jc w:val="left"/>
        <w:rPr>
          <w:rFonts w:ascii="宋体" w:hAnsi="宋体"/>
          <w:b/>
          <w:color w:val="auto"/>
          <w:sz w:val="52"/>
          <w:szCs w:val="52"/>
        </w:rPr>
      </w:pPr>
      <w:r>
        <w:rPr>
          <w:rFonts w:ascii="宋体" w:hAnsi="宋体"/>
          <w:b/>
          <w:color w:val="auto"/>
          <w:sz w:val="52"/>
          <w:szCs w:val="52"/>
        </w:rPr>
        <w:tab/>
      </w:r>
      <w:r>
        <w:rPr>
          <w:rFonts w:hint="eastAsia" w:ascii="宋体" w:hAnsi="宋体"/>
          <w:b/>
          <w:color w:val="auto"/>
          <w:sz w:val="52"/>
          <w:szCs w:val="52"/>
        </w:rPr>
        <w:t>目    录</w:t>
      </w:r>
    </w:p>
    <w:p w14:paraId="0820A93B">
      <w:pPr>
        <w:pStyle w:val="28"/>
        <w:rPr>
          <w:rFonts w:ascii="Calibri" w:hAnsi="Calibri"/>
          <w:color w:val="auto"/>
          <w:sz w:val="21"/>
          <w:szCs w:val="22"/>
        </w:rPr>
      </w:pPr>
      <w:r>
        <w:rPr>
          <w:rFonts w:hint="eastAsia"/>
          <w:color w:val="auto"/>
        </w:rPr>
        <w:fldChar w:fldCharType="begin"/>
      </w:r>
      <w:r>
        <w:rPr>
          <w:rFonts w:hint="eastAsia"/>
          <w:color w:val="auto"/>
        </w:rPr>
        <w:instrText xml:space="preserve"> TOC \o "1-3" \h \z \u </w:instrText>
      </w:r>
      <w:r>
        <w:rPr>
          <w:rFonts w:hint="eastAsia"/>
          <w:color w:val="auto"/>
        </w:rPr>
        <w:fldChar w:fldCharType="separate"/>
      </w:r>
      <w:r>
        <w:rPr>
          <w:color w:val="auto"/>
        </w:rPr>
        <w:fldChar w:fldCharType="begin"/>
      </w:r>
      <w:r>
        <w:rPr>
          <w:color w:val="auto"/>
        </w:rPr>
        <w:instrText xml:space="preserve"> HYPERLINK \l "_Toc55385090" </w:instrText>
      </w:r>
      <w:r>
        <w:rPr>
          <w:color w:val="auto"/>
        </w:rPr>
        <w:fldChar w:fldCharType="separate"/>
      </w:r>
      <w:r>
        <w:rPr>
          <w:rStyle w:val="51"/>
          <w:rFonts w:hint="eastAsia"/>
          <w:b/>
          <w:color w:val="auto"/>
        </w:rPr>
        <w:t>第一章</w:t>
      </w:r>
      <w:r>
        <w:rPr>
          <w:rStyle w:val="51"/>
          <w:b/>
          <w:color w:val="auto"/>
        </w:rPr>
        <w:t xml:space="preserve">  </w:t>
      </w:r>
      <w:r>
        <w:rPr>
          <w:rStyle w:val="51"/>
          <w:rFonts w:hint="eastAsia"/>
          <w:b/>
          <w:color w:val="auto"/>
        </w:rPr>
        <w:t>采购公告</w:t>
      </w:r>
      <w:r>
        <w:rPr>
          <w:color w:val="auto"/>
        </w:rPr>
        <w:tab/>
      </w:r>
      <w:r>
        <w:rPr>
          <w:color w:val="auto"/>
        </w:rPr>
        <w:fldChar w:fldCharType="begin"/>
      </w:r>
      <w:r>
        <w:rPr>
          <w:color w:val="auto"/>
        </w:rPr>
        <w:instrText xml:space="preserve"> PAGEREF _Toc55385090 \h </w:instrText>
      </w:r>
      <w:r>
        <w:rPr>
          <w:color w:val="auto"/>
        </w:rPr>
        <w:fldChar w:fldCharType="separate"/>
      </w:r>
      <w:r>
        <w:rPr>
          <w:color w:val="auto"/>
        </w:rPr>
        <w:t>1</w:t>
      </w:r>
      <w:r>
        <w:rPr>
          <w:color w:val="auto"/>
        </w:rPr>
        <w:fldChar w:fldCharType="end"/>
      </w:r>
      <w:r>
        <w:rPr>
          <w:color w:val="auto"/>
        </w:rPr>
        <w:fldChar w:fldCharType="end"/>
      </w:r>
    </w:p>
    <w:p w14:paraId="1CAC8B0A">
      <w:pPr>
        <w:pStyle w:val="28"/>
        <w:rPr>
          <w:rFonts w:ascii="Calibri" w:hAnsi="Calibri"/>
          <w:color w:val="auto"/>
          <w:sz w:val="21"/>
          <w:szCs w:val="22"/>
        </w:rPr>
      </w:pPr>
      <w:r>
        <w:rPr>
          <w:color w:val="auto"/>
        </w:rPr>
        <w:fldChar w:fldCharType="begin"/>
      </w:r>
      <w:r>
        <w:rPr>
          <w:color w:val="auto"/>
        </w:rPr>
        <w:instrText xml:space="preserve"> HYPERLINK \l "_Toc55385091" </w:instrText>
      </w:r>
      <w:r>
        <w:rPr>
          <w:color w:val="auto"/>
        </w:rPr>
        <w:fldChar w:fldCharType="separate"/>
      </w:r>
      <w:r>
        <w:rPr>
          <w:rStyle w:val="51"/>
          <w:rFonts w:hint="eastAsia"/>
          <w:b/>
          <w:color w:val="auto"/>
        </w:rPr>
        <w:t>第二章</w:t>
      </w:r>
      <w:r>
        <w:rPr>
          <w:rStyle w:val="51"/>
          <w:b/>
          <w:color w:val="auto"/>
        </w:rPr>
        <w:t xml:space="preserve">  </w:t>
      </w:r>
      <w:r>
        <w:rPr>
          <w:rStyle w:val="51"/>
          <w:rFonts w:hint="eastAsia"/>
          <w:b/>
          <w:color w:val="auto"/>
        </w:rPr>
        <w:t>投标须知</w:t>
      </w:r>
      <w:r>
        <w:rPr>
          <w:color w:val="auto"/>
        </w:rPr>
        <w:tab/>
      </w:r>
      <w:r>
        <w:rPr>
          <w:color w:val="auto"/>
        </w:rPr>
        <w:fldChar w:fldCharType="begin"/>
      </w:r>
      <w:r>
        <w:rPr>
          <w:color w:val="auto"/>
        </w:rPr>
        <w:instrText xml:space="preserve"> PAGEREF _Toc55385091 \h </w:instrText>
      </w:r>
      <w:r>
        <w:rPr>
          <w:color w:val="auto"/>
        </w:rPr>
        <w:fldChar w:fldCharType="separate"/>
      </w:r>
      <w:r>
        <w:rPr>
          <w:color w:val="auto"/>
        </w:rPr>
        <w:t>4</w:t>
      </w:r>
      <w:r>
        <w:rPr>
          <w:color w:val="auto"/>
        </w:rPr>
        <w:fldChar w:fldCharType="end"/>
      </w:r>
      <w:r>
        <w:rPr>
          <w:color w:val="auto"/>
        </w:rPr>
        <w:fldChar w:fldCharType="end"/>
      </w:r>
    </w:p>
    <w:p w14:paraId="470EF71B">
      <w:pPr>
        <w:pStyle w:val="28"/>
        <w:rPr>
          <w:rFonts w:ascii="Calibri" w:hAnsi="Calibri"/>
          <w:color w:val="auto"/>
          <w:sz w:val="21"/>
          <w:szCs w:val="22"/>
        </w:rPr>
      </w:pPr>
      <w:r>
        <w:rPr>
          <w:color w:val="auto"/>
        </w:rPr>
        <w:fldChar w:fldCharType="begin"/>
      </w:r>
      <w:r>
        <w:rPr>
          <w:color w:val="auto"/>
        </w:rPr>
        <w:instrText xml:space="preserve"> HYPERLINK \l "_Toc55385104" </w:instrText>
      </w:r>
      <w:r>
        <w:rPr>
          <w:color w:val="auto"/>
        </w:rPr>
        <w:fldChar w:fldCharType="separate"/>
      </w:r>
      <w:r>
        <w:rPr>
          <w:rStyle w:val="51"/>
          <w:rFonts w:hint="eastAsia"/>
          <w:b/>
          <w:color w:val="auto"/>
        </w:rPr>
        <w:t>第三章</w:t>
      </w:r>
      <w:r>
        <w:rPr>
          <w:rStyle w:val="51"/>
          <w:b/>
          <w:color w:val="auto"/>
        </w:rPr>
        <w:t xml:space="preserve">  </w:t>
      </w:r>
      <w:r>
        <w:rPr>
          <w:rStyle w:val="51"/>
          <w:rFonts w:hint="eastAsia"/>
          <w:b/>
          <w:color w:val="auto"/>
        </w:rPr>
        <w:t>评</w:t>
      </w:r>
      <w:bookmarkStart w:id="10" w:name="_Hlt112930731"/>
      <w:bookmarkStart w:id="11" w:name="_Hlt112930730"/>
      <w:r>
        <w:rPr>
          <w:rStyle w:val="51"/>
          <w:rFonts w:hint="eastAsia"/>
          <w:b/>
          <w:color w:val="auto"/>
        </w:rPr>
        <w:t>标</w:t>
      </w:r>
      <w:bookmarkEnd w:id="10"/>
      <w:bookmarkEnd w:id="11"/>
      <w:r>
        <w:rPr>
          <w:rStyle w:val="51"/>
          <w:rFonts w:hint="eastAsia"/>
          <w:b/>
          <w:color w:val="auto"/>
        </w:rPr>
        <w:t>办法及标准</w:t>
      </w:r>
      <w:r>
        <w:rPr>
          <w:color w:val="auto"/>
        </w:rPr>
        <w:tab/>
      </w:r>
      <w:r>
        <w:rPr>
          <w:color w:val="auto"/>
        </w:rPr>
        <w:fldChar w:fldCharType="begin"/>
      </w:r>
      <w:r>
        <w:rPr>
          <w:color w:val="auto"/>
        </w:rPr>
        <w:instrText xml:space="preserve"> PAGEREF _Toc55385104 \h </w:instrText>
      </w:r>
      <w:r>
        <w:rPr>
          <w:color w:val="auto"/>
        </w:rPr>
        <w:fldChar w:fldCharType="separate"/>
      </w:r>
      <w:r>
        <w:rPr>
          <w:color w:val="auto"/>
        </w:rPr>
        <w:t>13</w:t>
      </w:r>
      <w:r>
        <w:rPr>
          <w:color w:val="auto"/>
        </w:rPr>
        <w:fldChar w:fldCharType="end"/>
      </w:r>
      <w:r>
        <w:rPr>
          <w:color w:val="auto"/>
        </w:rPr>
        <w:fldChar w:fldCharType="end"/>
      </w:r>
    </w:p>
    <w:p w14:paraId="2F74D860">
      <w:pPr>
        <w:pStyle w:val="28"/>
        <w:rPr>
          <w:rFonts w:ascii="Calibri" w:hAnsi="Calibri"/>
          <w:color w:val="auto"/>
          <w:sz w:val="21"/>
          <w:szCs w:val="22"/>
        </w:rPr>
      </w:pPr>
      <w:r>
        <w:rPr>
          <w:color w:val="auto"/>
        </w:rPr>
        <w:fldChar w:fldCharType="begin"/>
      </w:r>
      <w:r>
        <w:rPr>
          <w:color w:val="auto"/>
        </w:rPr>
        <w:instrText xml:space="preserve"> HYPERLINK \l "_Toc55385105" </w:instrText>
      </w:r>
      <w:r>
        <w:rPr>
          <w:color w:val="auto"/>
        </w:rPr>
        <w:fldChar w:fldCharType="separate"/>
      </w:r>
      <w:r>
        <w:rPr>
          <w:rStyle w:val="51"/>
          <w:rFonts w:hint="eastAsia"/>
          <w:b/>
          <w:color w:val="auto"/>
        </w:rPr>
        <w:t>第四章</w:t>
      </w:r>
      <w:r>
        <w:rPr>
          <w:rStyle w:val="51"/>
          <w:b/>
          <w:color w:val="auto"/>
        </w:rPr>
        <w:t xml:space="preserve">  </w:t>
      </w:r>
      <w:r>
        <w:rPr>
          <w:rStyle w:val="51"/>
          <w:rFonts w:hint="eastAsia"/>
          <w:b/>
          <w:color w:val="auto"/>
        </w:rPr>
        <w:t>合同样</w:t>
      </w:r>
      <w:bookmarkStart w:id="12" w:name="_Hlt169087504"/>
      <w:bookmarkStart w:id="13" w:name="_Hlt169087503"/>
      <w:r>
        <w:rPr>
          <w:rStyle w:val="51"/>
          <w:rFonts w:hint="eastAsia"/>
          <w:b/>
          <w:color w:val="auto"/>
        </w:rPr>
        <w:t>本</w:t>
      </w:r>
      <w:bookmarkEnd w:id="12"/>
      <w:bookmarkEnd w:id="13"/>
      <w:r>
        <w:rPr>
          <w:color w:val="auto"/>
        </w:rPr>
        <w:tab/>
      </w:r>
      <w:r>
        <w:rPr>
          <w:color w:val="auto"/>
        </w:rPr>
        <w:fldChar w:fldCharType="begin"/>
      </w:r>
      <w:r>
        <w:rPr>
          <w:color w:val="auto"/>
        </w:rPr>
        <w:instrText xml:space="preserve"> PAGEREF _Toc55385105 \h </w:instrText>
      </w:r>
      <w:r>
        <w:rPr>
          <w:color w:val="auto"/>
        </w:rPr>
        <w:fldChar w:fldCharType="separate"/>
      </w:r>
      <w:r>
        <w:rPr>
          <w:color w:val="auto"/>
        </w:rPr>
        <w:t>22</w:t>
      </w:r>
      <w:r>
        <w:rPr>
          <w:color w:val="auto"/>
        </w:rPr>
        <w:fldChar w:fldCharType="end"/>
      </w:r>
      <w:r>
        <w:rPr>
          <w:color w:val="auto"/>
        </w:rPr>
        <w:fldChar w:fldCharType="end"/>
      </w:r>
    </w:p>
    <w:p w14:paraId="632AE9FA">
      <w:pPr>
        <w:pStyle w:val="28"/>
        <w:rPr>
          <w:rFonts w:ascii="Calibri" w:hAnsi="Calibri"/>
          <w:color w:val="auto"/>
          <w:sz w:val="21"/>
          <w:szCs w:val="22"/>
        </w:rPr>
      </w:pPr>
      <w:r>
        <w:rPr>
          <w:color w:val="auto"/>
        </w:rPr>
        <w:fldChar w:fldCharType="begin"/>
      </w:r>
      <w:r>
        <w:rPr>
          <w:color w:val="auto"/>
        </w:rPr>
        <w:instrText xml:space="preserve"> HYPERLINK \l "_Toc55385106" </w:instrText>
      </w:r>
      <w:r>
        <w:rPr>
          <w:color w:val="auto"/>
        </w:rPr>
        <w:fldChar w:fldCharType="separate"/>
      </w:r>
      <w:r>
        <w:rPr>
          <w:rStyle w:val="51"/>
          <w:rFonts w:hint="eastAsia"/>
          <w:b/>
          <w:color w:val="auto"/>
        </w:rPr>
        <w:t>第五章</w:t>
      </w:r>
      <w:r>
        <w:rPr>
          <w:rStyle w:val="51"/>
          <w:b/>
          <w:color w:val="auto"/>
        </w:rPr>
        <w:t xml:space="preserve">  </w:t>
      </w:r>
      <w:r>
        <w:rPr>
          <w:rStyle w:val="51"/>
          <w:rFonts w:hint="eastAsia"/>
          <w:b/>
          <w:color w:val="auto"/>
        </w:rPr>
        <w:t>招标</w:t>
      </w:r>
      <w:bookmarkStart w:id="14" w:name="_Hlt164962252"/>
      <w:bookmarkStart w:id="15" w:name="_Hlt164962251"/>
      <w:r>
        <w:rPr>
          <w:rStyle w:val="51"/>
          <w:rFonts w:hint="eastAsia"/>
          <w:b/>
          <w:color w:val="auto"/>
        </w:rPr>
        <w:t>内</w:t>
      </w:r>
      <w:bookmarkEnd w:id="14"/>
      <w:bookmarkEnd w:id="15"/>
      <w:r>
        <w:rPr>
          <w:rStyle w:val="51"/>
          <w:rFonts w:hint="eastAsia"/>
          <w:b/>
          <w:color w:val="auto"/>
        </w:rPr>
        <w:t>容与</w:t>
      </w:r>
      <w:bookmarkStart w:id="16" w:name="_Hlt105491813"/>
      <w:bookmarkStart w:id="17" w:name="_Hlt105491812"/>
      <w:r>
        <w:rPr>
          <w:rStyle w:val="51"/>
          <w:rFonts w:hint="eastAsia"/>
          <w:b/>
          <w:color w:val="auto"/>
        </w:rPr>
        <w:t>技</w:t>
      </w:r>
      <w:bookmarkEnd w:id="16"/>
      <w:bookmarkEnd w:id="17"/>
      <w:r>
        <w:rPr>
          <w:rStyle w:val="51"/>
          <w:rFonts w:hint="eastAsia"/>
          <w:b/>
          <w:color w:val="auto"/>
        </w:rPr>
        <w:t>术需求</w:t>
      </w:r>
      <w:r>
        <w:rPr>
          <w:color w:val="auto"/>
        </w:rPr>
        <w:tab/>
      </w:r>
      <w:r>
        <w:rPr>
          <w:color w:val="auto"/>
        </w:rPr>
        <w:fldChar w:fldCharType="begin"/>
      </w:r>
      <w:r>
        <w:rPr>
          <w:color w:val="auto"/>
        </w:rPr>
        <w:instrText xml:space="preserve"> PAGEREF _Toc55385106 \h </w:instrText>
      </w:r>
      <w:r>
        <w:rPr>
          <w:color w:val="auto"/>
        </w:rPr>
        <w:fldChar w:fldCharType="separate"/>
      </w:r>
      <w:r>
        <w:rPr>
          <w:color w:val="auto"/>
        </w:rPr>
        <w:t>27</w:t>
      </w:r>
      <w:r>
        <w:rPr>
          <w:color w:val="auto"/>
        </w:rPr>
        <w:fldChar w:fldCharType="end"/>
      </w:r>
      <w:r>
        <w:rPr>
          <w:color w:val="auto"/>
        </w:rPr>
        <w:fldChar w:fldCharType="end"/>
      </w:r>
      <w:bookmarkStart w:id="90" w:name="_GoBack"/>
      <w:bookmarkEnd w:id="90"/>
    </w:p>
    <w:p w14:paraId="444539EC">
      <w:pPr>
        <w:pStyle w:val="28"/>
        <w:rPr>
          <w:rFonts w:ascii="Calibri" w:hAnsi="Calibri"/>
          <w:color w:val="auto"/>
          <w:sz w:val="21"/>
          <w:szCs w:val="22"/>
        </w:rPr>
      </w:pPr>
      <w:r>
        <w:rPr>
          <w:color w:val="auto"/>
        </w:rPr>
        <w:fldChar w:fldCharType="begin"/>
      </w:r>
      <w:r>
        <w:rPr>
          <w:color w:val="auto"/>
        </w:rPr>
        <w:instrText xml:space="preserve"> HYPERLINK \l "_Toc55385107" </w:instrText>
      </w:r>
      <w:r>
        <w:rPr>
          <w:color w:val="auto"/>
        </w:rPr>
        <w:fldChar w:fldCharType="separate"/>
      </w:r>
      <w:r>
        <w:rPr>
          <w:rStyle w:val="51"/>
          <w:rFonts w:hint="eastAsia"/>
          <w:b/>
          <w:color w:val="auto"/>
        </w:rPr>
        <w:t>第六章</w:t>
      </w:r>
      <w:r>
        <w:rPr>
          <w:rStyle w:val="51"/>
          <w:b/>
          <w:color w:val="auto"/>
        </w:rPr>
        <w:t xml:space="preserve">  </w:t>
      </w:r>
      <w:r>
        <w:rPr>
          <w:rStyle w:val="51"/>
          <w:rFonts w:hint="eastAsia"/>
          <w:b/>
          <w:color w:val="auto"/>
        </w:rPr>
        <w:t>商务条款</w:t>
      </w:r>
      <w:r>
        <w:rPr>
          <w:color w:val="auto"/>
        </w:rPr>
        <w:tab/>
      </w:r>
      <w:r>
        <w:rPr>
          <w:color w:val="auto"/>
        </w:rPr>
        <w:fldChar w:fldCharType="begin"/>
      </w:r>
      <w:r>
        <w:rPr>
          <w:color w:val="auto"/>
        </w:rPr>
        <w:instrText xml:space="preserve"> PAGEREF _Toc55385107 \h </w:instrText>
      </w:r>
      <w:r>
        <w:rPr>
          <w:color w:val="auto"/>
        </w:rPr>
        <w:fldChar w:fldCharType="separate"/>
      </w:r>
      <w:r>
        <w:rPr>
          <w:color w:val="auto"/>
        </w:rPr>
        <w:t>31</w:t>
      </w:r>
      <w:r>
        <w:rPr>
          <w:color w:val="auto"/>
        </w:rPr>
        <w:fldChar w:fldCharType="end"/>
      </w:r>
      <w:r>
        <w:rPr>
          <w:color w:val="auto"/>
        </w:rPr>
        <w:fldChar w:fldCharType="end"/>
      </w:r>
    </w:p>
    <w:p w14:paraId="3AF8DD61">
      <w:pPr>
        <w:pStyle w:val="28"/>
        <w:rPr>
          <w:rFonts w:ascii="Calibri" w:hAnsi="Calibri"/>
          <w:color w:val="auto"/>
          <w:sz w:val="21"/>
          <w:szCs w:val="22"/>
        </w:rPr>
      </w:pPr>
      <w:r>
        <w:rPr>
          <w:color w:val="auto"/>
        </w:rPr>
        <w:fldChar w:fldCharType="begin"/>
      </w:r>
      <w:r>
        <w:rPr>
          <w:color w:val="auto"/>
        </w:rPr>
        <w:instrText xml:space="preserve"> HYPERLINK \l "_Toc55385108" </w:instrText>
      </w:r>
      <w:r>
        <w:rPr>
          <w:color w:val="auto"/>
        </w:rPr>
        <w:fldChar w:fldCharType="separate"/>
      </w:r>
      <w:r>
        <w:rPr>
          <w:rStyle w:val="51"/>
          <w:rFonts w:hint="eastAsia"/>
          <w:b/>
          <w:color w:val="auto"/>
        </w:rPr>
        <w:t>第七章</w:t>
      </w:r>
      <w:r>
        <w:rPr>
          <w:rStyle w:val="51"/>
          <w:b/>
          <w:color w:val="auto"/>
        </w:rPr>
        <w:t xml:space="preserve">  </w:t>
      </w:r>
      <w:r>
        <w:rPr>
          <w:rStyle w:val="51"/>
          <w:rFonts w:hint="eastAsia"/>
          <w:b/>
          <w:color w:val="auto"/>
        </w:rPr>
        <w:t>附件</w:t>
      </w:r>
      <w:r>
        <w:rPr>
          <w:color w:val="auto"/>
        </w:rPr>
        <w:tab/>
      </w:r>
      <w:r>
        <w:rPr>
          <w:color w:val="auto"/>
        </w:rPr>
        <w:fldChar w:fldCharType="begin"/>
      </w:r>
      <w:r>
        <w:rPr>
          <w:color w:val="auto"/>
        </w:rPr>
        <w:instrText xml:space="preserve"> PAGEREF _Toc55385108 \h </w:instrText>
      </w:r>
      <w:r>
        <w:rPr>
          <w:color w:val="auto"/>
        </w:rPr>
        <w:fldChar w:fldCharType="separate"/>
      </w:r>
      <w:r>
        <w:rPr>
          <w:color w:val="auto"/>
        </w:rPr>
        <w:t>32</w:t>
      </w:r>
      <w:r>
        <w:rPr>
          <w:color w:val="auto"/>
        </w:rPr>
        <w:fldChar w:fldCharType="end"/>
      </w:r>
      <w:r>
        <w:rPr>
          <w:color w:val="auto"/>
        </w:rPr>
        <w:fldChar w:fldCharType="end"/>
      </w:r>
    </w:p>
    <w:p w14:paraId="5FBB5CA9">
      <w:pPr>
        <w:spacing w:line="1000" w:lineRule="exact"/>
        <w:jc w:val="center"/>
        <w:rPr>
          <w:rFonts w:ascii="宋体" w:hAnsi="宋体"/>
          <w:color w:val="auto"/>
          <w:sz w:val="32"/>
          <w:szCs w:val="32"/>
        </w:rPr>
      </w:pPr>
      <w:r>
        <w:rPr>
          <w:rFonts w:hint="eastAsia" w:ascii="宋体" w:hAnsi="宋体"/>
          <w:color w:val="auto"/>
          <w:sz w:val="32"/>
          <w:szCs w:val="32"/>
        </w:rPr>
        <w:fldChar w:fldCharType="end"/>
      </w:r>
    </w:p>
    <w:p w14:paraId="5581B6EB">
      <w:pPr>
        <w:spacing w:line="1200" w:lineRule="exact"/>
        <w:jc w:val="center"/>
        <w:rPr>
          <w:rFonts w:ascii="宋体" w:hAnsi="宋体"/>
          <w:color w:val="auto"/>
          <w:sz w:val="32"/>
          <w:szCs w:val="32"/>
        </w:rPr>
      </w:pPr>
      <w:r>
        <w:rPr>
          <w:rFonts w:ascii="宋体" w:hAnsi="宋体"/>
          <w:color w:val="auto"/>
          <w:sz w:val="32"/>
          <w:szCs w:val="32"/>
        </w:rPr>
        <w:br w:type="page"/>
      </w:r>
    </w:p>
    <w:p w14:paraId="42E48DD4">
      <w:pPr>
        <w:spacing w:line="1200" w:lineRule="exact"/>
        <w:jc w:val="center"/>
        <w:rPr>
          <w:rFonts w:ascii="宋体" w:hAnsi="宋体"/>
          <w:color w:val="auto"/>
          <w:sz w:val="32"/>
          <w:szCs w:val="32"/>
        </w:rPr>
      </w:pPr>
    </w:p>
    <w:p w14:paraId="12DEC0A0">
      <w:pPr>
        <w:spacing w:line="1200" w:lineRule="exact"/>
        <w:jc w:val="center"/>
        <w:rPr>
          <w:rFonts w:ascii="宋体" w:hAnsi="宋体"/>
          <w:color w:val="auto"/>
          <w:sz w:val="32"/>
          <w:szCs w:val="32"/>
        </w:rPr>
      </w:pPr>
    </w:p>
    <w:p w14:paraId="246983E5">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1F537FBE">
      <w:pPr>
        <w:spacing w:line="1000" w:lineRule="exact"/>
        <w:jc w:val="left"/>
        <w:rPr>
          <w:rFonts w:ascii="宋体" w:hAnsi="宋体"/>
          <w:b/>
          <w:color w:val="auto"/>
          <w:sz w:val="30"/>
          <w:szCs w:val="30"/>
        </w:rPr>
      </w:pPr>
      <w:r>
        <w:rPr>
          <w:rFonts w:hint="eastAsia" w:ascii="宋体" w:hAnsi="宋体"/>
          <w:b/>
          <w:color w:val="auto"/>
          <w:sz w:val="30"/>
          <w:szCs w:val="30"/>
        </w:rPr>
        <w:t>1、投标文件应按招标文件要求将“资格文件”、“商务和技术文件”、“报价文件”分别编制。</w:t>
      </w:r>
    </w:p>
    <w:p w14:paraId="7DD00400">
      <w:pPr>
        <w:spacing w:line="1000" w:lineRule="exact"/>
        <w:jc w:val="left"/>
        <w:rPr>
          <w:rFonts w:ascii="宋体" w:hAnsi="宋体"/>
          <w:b/>
          <w:color w:val="auto"/>
          <w:sz w:val="30"/>
          <w:szCs w:val="30"/>
        </w:rPr>
      </w:pPr>
      <w:r>
        <w:rPr>
          <w:rFonts w:hint="eastAsia" w:ascii="宋体" w:hAnsi="宋体"/>
          <w:b/>
          <w:color w:val="auto"/>
          <w:sz w:val="30"/>
          <w:szCs w:val="30"/>
        </w:rPr>
        <w:t>2、“资格文件”、“商务和技术文件”中不得出现涉及投标价格的内容，否则作无效标处理。</w:t>
      </w:r>
    </w:p>
    <w:p w14:paraId="1FAC5E72">
      <w:pPr>
        <w:spacing w:line="1000" w:lineRule="exact"/>
        <w:jc w:val="left"/>
        <w:rPr>
          <w:rFonts w:ascii="宋体" w:hAnsi="宋体"/>
          <w:b/>
          <w:color w:val="auto"/>
          <w:sz w:val="30"/>
          <w:szCs w:val="30"/>
        </w:rPr>
      </w:pPr>
      <w:r>
        <w:rPr>
          <w:rFonts w:hint="eastAsia" w:ascii="宋体" w:hAnsi="宋体"/>
          <w:b/>
          <w:color w:val="auto"/>
          <w:sz w:val="30"/>
          <w:szCs w:val="30"/>
        </w:rPr>
        <w:t>3、采购人可以对已发出的招标文件进行必要的澄清或者修改，将以“更正公告”的形式发布在政采云平台，供应商应及时登录政采云平台，进行浏览并下载，未及时浏览下载的责任自负。</w:t>
      </w:r>
    </w:p>
    <w:p w14:paraId="571D2D90">
      <w:pPr>
        <w:spacing w:line="1000" w:lineRule="exact"/>
        <w:jc w:val="left"/>
        <w:rPr>
          <w:rFonts w:ascii="宋体" w:hAnsi="宋体"/>
          <w:b/>
          <w:color w:val="auto"/>
          <w:sz w:val="30"/>
          <w:szCs w:val="30"/>
        </w:rPr>
      </w:pPr>
      <w:r>
        <w:rPr>
          <w:rFonts w:hint="eastAsia" w:ascii="宋体" w:hAnsi="宋体"/>
          <w:b/>
          <w:color w:val="auto"/>
          <w:sz w:val="30"/>
          <w:szCs w:val="30"/>
        </w:rPr>
        <w:t>4、如供应商到开标现场解密的，请自带电脑，以便于开标现场解密投标文件。</w:t>
      </w:r>
    </w:p>
    <w:p w14:paraId="77617727">
      <w:pPr>
        <w:spacing w:line="1000" w:lineRule="exact"/>
        <w:jc w:val="center"/>
        <w:rPr>
          <w:rFonts w:ascii="宋体" w:hAnsi="宋体"/>
          <w:b/>
          <w:color w:val="auto"/>
          <w:sz w:val="32"/>
        </w:rPr>
      </w:pPr>
    </w:p>
    <w:p w14:paraId="140D433A">
      <w:pPr>
        <w:spacing w:line="400" w:lineRule="exact"/>
        <w:jc w:val="center"/>
        <w:rPr>
          <w:rFonts w:ascii="宋体" w:hAnsi="宋体"/>
          <w:b/>
          <w:color w:val="auto"/>
          <w:sz w:val="32"/>
        </w:rPr>
        <w:sectPr>
          <w:headerReference r:id="rId6" w:type="default"/>
          <w:type w:val="nextColumn"/>
          <w:pgSz w:w="11907" w:h="16840"/>
          <w:pgMar w:top="854" w:right="1588" w:bottom="854" w:left="1588" w:header="569" w:footer="700" w:gutter="0"/>
          <w:cols w:space="720" w:num="1"/>
          <w:docGrid w:linePitch="285" w:charSpace="0"/>
        </w:sectPr>
      </w:pPr>
    </w:p>
    <w:p w14:paraId="77904F05">
      <w:pPr>
        <w:spacing w:line="400" w:lineRule="exact"/>
        <w:jc w:val="center"/>
        <w:outlineLvl w:val="0"/>
        <w:rPr>
          <w:rFonts w:ascii="宋体" w:hAnsi="宋体"/>
          <w:b/>
          <w:color w:val="auto"/>
          <w:sz w:val="32"/>
        </w:rPr>
      </w:pPr>
      <w:bookmarkStart w:id="18" w:name="_Toc55385090"/>
      <w:r>
        <w:rPr>
          <w:rFonts w:hint="eastAsia" w:ascii="宋体" w:hAnsi="宋体"/>
          <w:b/>
          <w:color w:val="auto"/>
          <w:sz w:val="32"/>
        </w:rPr>
        <w:t>第一章  采购公告</w:t>
      </w:r>
      <w:bookmarkEnd w:id="18"/>
    </w:p>
    <w:p w14:paraId="38F30640">
      <w:pPr>
        <w:adjustRightInd w:val="0"/>
        <w:snapToGrid w:val="0"/>
        <w:spacing w:line="400" w:lineRule="exact"/>
        <w:rPr>
          <w:rFonts w:ascii="宋体" w:hAnsi="宋体" w:cs="仿宋"/>
          <w:color w:val="auto"/>
        </w:rPr>
      </w:pPr>
      <w:r>
        <w:rPr>
          <w:rFonts w:hint="eastAsia" w:ascii="宋体" w:hAnsi="宋体" w:cs="仿宋"/>
          <w:color w:val="auto"/>
        </w:rPr>
        <w:t>发布日期：</w:t>
      </w:r>
      <w:r>
        <w:rPr>
          <w:rFonts w:ascii="宋体" w:hAnsi="宋体" w:cs="仿宋"/>
          <w:color w:val="auto"/>
        </w:rPr>
        <w:t>202</w:t>
      </w:r>
      <w:r>
        <w:rPr>
          <w:rFonts w:hint="eastAsia" w:ascii="宋体" w:hAnsi="宋体" w:cs="仿宋"/>
          <w:color w:val="auto"/>
        </w:rPr>
        <w:t>5</w:t>
      </w:r>
      <w:r>
        <w:rPr>
          <w:rFonts w:ascii="宋体" w:hAnsi="宋体" w:cs="仿宋"/>
          <w:color w:val="auto"/>
        </w:rPr>
        <w:t>年</w:t>
      </w:r>
      <w:r>
        <w:rPr>
          <w:rFonts w:hint="eastAsia" w:ascii="宋体" w:hAnsi="宋体" w:cs="仿宋"/>
          <w:color w:val="auto"/>
          <w:lang w:val="en-US" w:eastAsia="zh-CN"/>
        </w:rPr>
        <w:t>6</w:t>
      </w:r>
      <w:r>
        <w:rPr>
          <w:rFonts w:ascii="宋体" w:hAnsi="宋体" w:cs="仿宋"/>
          <w:color w:val="auto"/>
        </w:rPr>
        <w:t>月</w:t>
      </w:r>
      <w:r>
        <w:rPr>
          <w:rFonts w:hint="eastAsia" w:ascii="宋体" w:hAnsi="宋体" w:cs="仿宋"/>
          <w:color w:val="auto"/>
          <w:lang w:val="en-US" w:eastAsia="zh-CN"/>
        </w:rPr>
        <w:t>26</w:t>
      </w:r>
      <w:r>
        <w:rPr>
          <w:rFonts w:hint="eastAsia" w:ascii="宋体" w:hAnsi="宋体" w:cs="仿宋"/>
          <w:color w:val="auto"/>
        </w:rPr>
        <w:t>日</w:t>
      </w:r>
    </w:p>
    <w:p w14:paraId="7A678A8F">
      <w:pPr>
        <w:spacing w:line="400" w:lineRule="exact"/>
        <w:rPr>
          <w:rFonts w:ascii="宋体" w:hAnsi="宋体"/>
          <w:b/>
          <w:color w:val="auto"/>
        </w:rPr>
      </w:pPr>
      <w:r>
        <w:rPr>
          <w:rFonts w:hint="eastAsia" w:ascii="宋体" w:hAnsi="宋体"/>
          <w:b/>
          <w:color w:val="auto"/>
        </w:rPr>
        <w:t>项目概况</w:t>
      </w:r>
    </w:p>
    <w:p w14:paraId="09388BCE">
      <w:pPr>
        <w:spacing w:line="400" w:lineRule="exact"/>
        <w:ind w:firstLine="420" w:firstLineChars="200"/>
        <w:rPr>
          <w:rFonts w:ascii="宋体" w:hAnsi="宋体"/>
          <w:color w:val="auto"/>
          <w:szCs w:val="21"/>
        </w:rPr>
      </w:pPr>
      <w:r>
        <w:rPr>
          <w:rFonts w:hint="eastAsia" w:ascii="宋体" w:hAnsi="宋体"/>
          <w:color w:val="auto"/>
          <w:szCs w:val="21"/>
        </w:rPr>
        <w:t>宁波前湾新区教育文体和旅游局学生午休垫采购项目招标项目的潜在供应商应在政府采购云平台（www.zcygov.cn）获取（下载）招标文件，并于</w:t>
      </w:r>
      <w:r>
        <w:rPr>
          <w:rFonts w:hint="eastAsia" w:ascii="宋体" w:hAnsi="宋体" w:cs="仿宋"/>
          <w:color w:val="auto"/>
        </w:rPr>
        <w:t>2025</w:t>
      </w:r>
      <w:r>
        <w:rPr>
          <w:rFonts w:ascii="宋体" w:hAnsi="宋体" w:cs="仿宋"/>
          <w:color w:val="auto"/>
        </w:rPr>
        <w:t>年</w:t>
      </w:r>
      <w:r>
        <w:rPr>
          <w:rFonts w:hint="eastAsia" w:ascii="宋体" w:hAnsi="宋体" w:cs="仿宋"/>
          <w:color w:val="auto"/>
          <w:lang w:val="en-US" w:eastAsia="zh-CN"/>
        </w:rPr>
        <w:t>7</w:t>
      </w:r>
      <w:r>
        <w:rPr>
          <w:rFonts w:ascii="宋体" w:hAnsi="宋体" w:cs="仿宋"/>
          <w:color w:val="auto"/>
        </w:rPr>
        <w:t>月</w:t>
      </w:r>
      <w:r>
        <w:rPr>
          <w:rFonts w:hint="eastAsia" w:ascii="宋体" w:hAnsi="宋体" w:cs="仿宋"/>
          <w:color w:val="auto"/>
          <w:lang w:val="en-US" w:eastAsia="zh-CN"/>
        </w:rPr>
        <w:t>17</w:t>
      </w:r>
      <w:r>
        <w:rPr>
          <w:rFonts w:hint="eastAsia" w:ascii="宋体" w:hAnsi="宋体" w:cs="仿宋"/>
          <w:color w:val="auto"/>
        </w:rPr>
        <w:t>日</w:t>
      </w:r>
      <w:r>
        <w:rPr>
          <w:rFonts w:hint="eastAsia" w:ascii="宋体" w:hAnsi="宋体"/>
          <w:color w:val="auto"/>
          <w:szCs w:val="21"/>
        </w:rPr>
        <w:t>09:30（北京时间）前递交（上传）投标文件。</w:t>
      </w:r>
    </w:p>
    <w:p w14:paraId="07DE1460">
      <w:pPr>
        <w:spacing w:line="400" w:lineRule="exact"/>
        <w:rPr>
          <w:rFonts w:ascii="宋体" w:hAnsi="宋体"/>
          <w:b/>
          <w:color w:val="auto"/>
        </w:rPr>
      </w:pPr>
      <w:r>
        <w:rPr>
          <w:rFonts w:hint="eastAsia" w:ascii="宋体" w:hAnsi="宋体"/>
          <w:b/>
          <w:color w:val="auto"/>
        </w:rPr>
        <w:t>一、项目基本情况</w:t>
      </w:r>
    </w:p>
    <w:p w14:paraId="19F4ABD8">
      <w:pPr>
        <w:spacing w:line="400" w:lineRule="exact"/>
        <w:ind w:firstLine="420" w:firstLineChars="200"/>
        <w:rPr>
          <w:rFonts w:ascii="宋体" w:hAnsi="宋体"/>
          <w:color w:val="auto"/>
          <w:szCs w:val="21"/>
        </w:rPr>
      </w:pPr>
      <w:r>
        <w:rPr>
          <w:rFonts w:ascii="宋体" w:hAnsi="宋体"/>
          <w:color w:val="auto"/>
          <w:szCs w:val="21"/>
        </w:rPr>
        <w:t>项目编号：QWZFCG25054（NBITC-202510852G）</w:t>
      </w:r>
    </w:p>
    <w:p w14:paraId="4F26C5B0">
      <w:pPr>
        <w:spacing w:line="400" w:lineRule="exact"/>
        <w:ind w:firstLine="420" w:firstLineChars="200"/>
        <w:rPr>
          <w:rFonts w:ascii="宋体" w:hAnsi="宋体"/>
          <w:color w:val="auto"/>
          <w:szCs w:val="21"/>
        </w:rPr>
      </w:pPr>
      <w:r>
        <w:rPr>
          <w:rFonts w:ascii="宋体" w:hAnsi="宋体"/>
          <w:color w:val="auto"/>
          <w:szCs w:val="21"/>
        </w:rPr>
        <w:t>项目名称：</w:t>
      </w:r>
      <w:r>
        <w:rPr>
          <w:rFonts w:hint="eastAsia" w:ascii="宋体" w:hAnsi="宋体"/>
          <w:color w:val="auto"/>
          <w:szCs w:val="21"/>
        </w:rPr>
        <w:t>宁波前湾新区教育文体和旅游局学生午休垫采购项目</w:t>
      </w:r>
    </w:p>
    <w:p w14:paraId="21EADCAA">
      <w:pPr>
        <w:spacing w:line="400" w:lineRule="exact"/>
        <w:ind w:firstLine="420" w:firstLineChars="200"/>
        <w:rPr>
          <w:rFonts w:ascii="宋体" w:hAnsi="宋体"/>
          <w:color w:val="auto"/>
          <w:szCs w:val="21"/>
        </w:rPr>
      </w:pPr>
      <w:r>
        <w:rPr>
          <w:rFonts w:ascii="宋体" w:hAnsi="宋体"/>
          <w:color w:val="auto"/>
          <w:szCs w:val="21"/>
        </w:rPr>
        <w:t>预算金额（元）：</w:t>
      </w:r>
      <w:bookmarkStart w:id="19" w:name="OLE_LINK41"/>
      <w:bookmarkStart w:id="20" w:name="OLE_LINK22"/>
      <w:bookmarkStart w:id="21" w:name="OLE_LINK21"/>
      <w:bookmarkStart w:id="22" w:name="OLE_LINK52"/>
      <w:r>
        <w:rPr>
          <w:rFonts w:ascii="宋体" w:hAnsi="宋体"/>
          <w:color w:val="auto"/>
          <w:szCs w:val="21"/>
        </w:rPr>
        <w:t>1096065</w:t>
      </w:r>
      <w:bookmarkEnd w:id="19"/>
      <w:bookmarkEnd w:id="20"/>
      <w:bookmarkEnd w:id="21"/>
      <w:bookmarkEnd w:id="22"/>
    </w:p>
    <w:p w14:paraId="2C20E58A">
      <w:pPr>
        <w:spacing w:line="400" w:lineRule="exact"/>
        <w:ind w:firstLine="420" w:firstLineChars="200"/>
        <w:rPr>
          <w:rFonts w:ascii="宋体" w:hAnsi="宋体"/>
          <w:color w:val="auto"/>
          <w:szCs w:val="21"/>
        </w:rPr>
      </w:pPr>
      <w:r>
        <w:rPr>
          <w:rFonts w:ascii="宋体" w:hAnsi="宋体"/>
          <w:color w:val="auto"/>
          <w:szCs w:val="21"/>
        </w:rPr>
        <w:t>最高限价（元）：</w:t>
      </w:r>
      <w:r>
        <w:rPr>
          <w:rFonts w:hint="eastAsia" w:ascii="宋体" w:hAnsi="宋体"/>
          <w:color w:val="auto"/>
          <w:szCs w:val="21"/>
        </w:rPr>
        <w:t>/</w:t>
      </w:r>
    </w:p>
    <w:p w14:paraId="6D198084">
      <w:pPr>
        <w:spacing w:line="400" w:lineRule="exact"/>
        <w:ind w:firstLine="420" w:firstLineChars="200"/>
        <w:rPr>
          <w:rFonts w:ascii="宋体" w:hAnsi="宋体"/>
          <w:color w:val="auto"/>
          <w:szCs w:val="21"/>
        </w:rPr>
      </w:pPr>
      <w:r>
        <w:rPr>
          <w:rFonts w:ascii="宋体" w:hAnsi="宋体"/>
          <w:color w:val="auto"/>
          <w:szCs w:val="21"/>
        </w:rPr>
        <w:t>采购需求：</w:t>
      </w:r>
    </w:p>
    <w:p w14:paraId="1E687EFB">
      <w:pPr>
        <w:spacing w:line="400" w:lineRule="exact"/>
        <w:ind w:firstLine="420" w:firstLineChars="200"/>
        <w:rPr>
          <w:rFonts w:ascii="宋体" w:hAnsi="宋体"/>
          <w:color w:val="auto"/>
          <w:szCs w:val="21"/>
        </w:rPr>
      </w:pPr>
      <w:r>
        <w:rPr>
          <w:rFonts w:ascii="宋体" w:hAnsi="宋体"/>
          <w:color w:val="auto"/>
          <w:szCs w:val="21"/>
        </w:rPr>
        <w:t>标项</w:t>
      </w:r>
      <w:r>
        <w:rPr>
          <w:rFonts w:hint="eastAsia" w:ascii="宋体" w:hAnsi="宋体"/>
          <w:color w:val="auto"/>
          <w:szCs w:val="21"/>
        </w:rPr>
        <w:t>一</w:t>
      </w:r>
    </w:p>
    <w:p w14:paraId="6C72C576">
      <w:pPr>
        <w:spacing w:line="400" w:lineRule="exact"/>
        <w:ind w:firstLine="420" w:firstLineChars="200"/>
        <w:rPr>
          <w:rFonts w:ascii="宋体" w:hAnsi="宋体"/>
          <w:color w:val="auto"/>
          <w:szCs w:val="21"/>
        </w:rPr>
      </w:pPr>
      <w:r>
        <w:rPr>
          <w:rFonts w:ascii="宋体" w:hAnsi="宋体"/>
          <w:color w:val="auto"/>
          <w:szCs w:val="21"/>
        </w:rPr>
        <w:t>标项名称:</w:t>
      </w:r>
      <w:r>
        <w:rPr>
          <w:rFonts w:hint="eastAsia" w:ascii="宋体" w:hAnsi="宋体"/>
          <w:color w:val="auto"/>
          <w:szCs w:val="21"/>
        </w:rPr>
        <w:t>学生午休垫</w:t>
      </w:r>
    </w:p>
    <w:p w14:paraId="3C9D46CF">
      <w:pPr>
        <w:spacing w:line="400" w:lineRule="exact"/>
        <w:ind w:firstLine="420" w:firstLineChars="200"/>
        <w:rPr>
          <w:rFonts w:ascii="宋体" w:hAnsi="宋体"/>
          <w:color w:val="auto"/>
          <w:szCs w:val="21"/>
        </w:rPr>
      </w:pPr>
      <w:r>
        <w:rPr>
          <w:rFonts w:ascii="宋体" w:hAnsi="宋体"/>
          <w:color w:val="auto"/>
          <w:szCs w:val="21"/>
        </w:rPr>
        <w:t>数量:1</w:t>
      </w:r>
    </w:p>
    <w:p w14:paraId="011CBF38">
      <w:pPr>
        <w:spacing w:line="400" w:lineRule="exact"/>
        <w:ind w:firstLine="420" w:firstLineChars="200"/>
        <w:rPr>
          <w:rFonts w:ascii="宋体" w:hAnsi="宋体"/>
          <w:color w:val="auto"/>
          <w:szCs w:val="21"/>
        </w:rPr>
      </w:pPr>
      <w:r>
        <w:rPr>
          <w:rFonts w:ascii="宋体" w:hAnsi="宋体"/>
          <w:color w:val="auto"/>
          <w:szCs w:val="21"/>
        </w:rPr>
        <w:t>预算金额（元）: 1096065</w:t>
      </w:r>
    </w:p>
    <w:p w14:paraId="4967A70E">
      <w:pPr>
        <w:spacing w:line="400" w:lineRule="exact"/>
        <w:ind w:firstLine="420" w:firstLineChars="200"/>
        <w:rPr>
          <w:rFonts w:ascii="宋体" w:hAnsi="宋体"/>
          <w:color w:val="auto"/>
          <w:szCs w:val="21"/>
        </w:rPr>
      </w:pPr>
      <w:r>
        <w:rPr>
          <w:rFonts w:ascii="宋体" w:hAnsi="宋体"/>
          <w:color w:val="auto"/>
          <w:szCs w:val="21"/>
        </w:rPr>
        <w:t>简要规格描述或项目基本概况介绍、用途：详见招标文件</w:t>
      </w:r>
      <w:r>
        <w:rPr>
          <w:rFonts w:hint="eastAsia" w:ascii="宋体" w:hAnsi="宋体"/>
          <w:color w:val="auto"/>
          <w:szCs w:val="21"/>
        </w:rPr>
        <w:t>“</w:t>
      </w:r>
      <w:r>
        <w:rPr>
          <w:rFonts w:ascii="宋体" w:hAnsi="宋体"/>
          <w:color w:val="auto"/>
          <w:szCs w:val="21"/>
        </w:rPr>
        <w:t>第五章</w:t>
      </w:r>
      <w:r>
        <w:rPr>
          <w:rFonts w:hint="eastAsia" w:ascii="宋体" w:hAnsi="宋体"/>
          <w:color w:val="auto"/>
          <w:szCs w:val="21"/>
        </w:rPr>
        <w:t xml:space="preserve">  </w:t>
      </w:r>
      <w:r>
        <w:rPr>
          <w:rFonts w:ascii="宋体" w:hAnsi="宋体"/>
          <w:color w:val="auto"/>
          <w:szCs w:val="21"/>
        </w:rPr>
        <w:t>招标内容与技术需求</w:t>
      </w:r>
      <w:r>
        <w:rPr>
          <w:rFonts w:hint="eastAsia" w:ascii="宋体" w:hAnsi="宋体"/>
          <w:color w:val="auto"/>
          <w:szCs w:val="21"/>
        </w:rPr>
        <w:t>”</w:t>
      </w:r>
    </w:p>
    <w:p w14:paraId="0640595C">
      <w:pPr>
        <w:spacing w:line="400" w:lineRule="exact"/>
        <w:ind w:firstLine="420" w:firstLineChars="200"/>
        <w:rPr>
          <w:rFonts w:ascii="宋体" w:hAnsi="宋体"/>
          <w:color w:val="auto"/>
          <w:szCs w:val="21"/>
        </w:rPr>
      </w:pPr>
      <w:r>
        <w:rPr>
          <w:rFonts w:ascii="宋体" w:hAnsi="宋体"/>
          <w:color w:val="auto"/>
          <w:szCs w:val="21"/>
        </w:rPr>
        <w:t>备注：详细采购需求见本公告附件 </w:t>
      </w:r>
    </w:p>
    <w:p w14:paraId="46AE87E8">
      <w:pPr>
        <w:spacing w:line="400" w:lineRule="exact"/>
        <w:ind w:firstLine="420" w:firstLineChars="200"/>
        <w:rPr>
          <w:rFonts w:ascii="宋体" w:hAnsi="宋体"/>
          <w:color w:val="auto"/>
          <w:szCs w:val="21"/>
        </w:rPr>
      </w:pPr>
      <w:r>
        <w:rPr>
          <w:rFonts w:ascii="宋体" w:hAnsi="宋体"/>
          <w:color w:val="auto"/>
          <w:szCs w:val="21"/>
        </w:rPr>
        <w:t>合同履约期限：</w:t>
      </w:r>
      <w:r>
        <w:rPr>
          <w:rFonts w:hint="eastAsia" w:ascii="宋体" w:hAnsi="宋体"/>
          <w:color w:val="auto"/>
          <w:szCs w:val="21"/>
        </w:rPr>
        <w:t>自合同签订之日起至所有午休垫交付并通过各使用学校验收之日止。</w:t>
      </w:r>
    </w:p>
    <w:p w14:paraId="45CB4927">
      <w:pPr>
        <w:spacing w:line="400" w:lineRule="exact"/>
        <w:ind w:firstLine="420" w:firstLineChars="200"/>
        <w:rPr>
          <w:rFonts w:ascii="宋体" w:hAnsi="宋体"/>
          <w:color w:val="auto"/>
          <w:szCs w:val="21"/>
        </w:rPr>
      </w:pPr>
      <w:r>
        <w:rPr>
          <w:rFonts w:ascii="宋体" w:hAnsi="宋体"/>
          <w:color w:val="auto"/>
          <w:szCs w:val="21"/>
        </w:rPr>
        <w:t>本项目（否）接受联合体投标。</w:t>
      </w:r>
    </w:p>
    <w:p w14:paraId="56465AC4">
      <w:pPr>
        <w:spacing w:line="400" w:lineRule="exact"/>
        <w:rPr>
          <w:rFonts w:ascii="宋体" w:hAnsi="宋体"/>
          <w:b/>
          <w:color w:val="auto"/>
        </w:rPr>
      </w:pPr>
      <w:r>
        <w:rPr>
          <w:rFonts w:hint="eastAsia" w:ascii="宋体" w:hAnsi="宋体"/>
          <w:b/>
          <w:color w:val="auto"/>
        </w:rPr>
        <w:t>二、申请人的资格要求：</w:t>
      </w:r>
    </w:p>
    <w:p w14:paraId="6EEAF8D5">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1.满足《中华人民共和国政府采购法》第二十二条规定；未被“信用中国”（www.creditchina.gov.cn)、中国政府采购网（www.ccgp.gov.cn）列入失信被执行人、重大税收违法失信主体、政府采购严重违法失信行为记录名单。</w:t>
      </w:r>
    </w:p>
    <w:p w14:paraId="5F06DA75">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2.落实政府采购政策需满足的资格要求：本项目专门面向中小企业采购，</w:t>
      </w:r>
      <w:r>
        <w:rPr>
          <w:rFonts w:hint="eastAsia" w:cs="宋体"/>
          <w:color w:val="auto"/>
          <w:szCs w:val="21"/>
        </w:rPr>
        <w:t>投标货物须全部由符合政策要求的中小企业制造。</w:t>
      </w:r>
    </w:p>
    <w:p w14:paraId="7FD081A6">
      <w:pPr>
        <w:adjustRightInd w:val="0"/>
        <w:snapToGrid w:val="0"/>
        <w:spacing w:line="400" w:lineRule="exact"/>
        <w:ind w:firstLine="420" w:firstLineChars="200"/>
        <w:rPr>
          <w:rFonts w:ascii="宋体" w:hAnsi="宋体" w:cs="仿宋"/>
          <w:color w:val="auto"/>
        </w:rPr>
      </w:pPr>
      <w:r>
        <w:rPr>
          <w:rFonts w:hint="eastAsia" w:ascii="宋体" w:hAnsi="宋体" w:cs="仿宋"/>
          <w:color w:val="auto"/>
          <w:szCs w:val="21"/>
        </w:rPr>
        <w:t>3.本项目的特定资格要求：无</w:t>
      </w:r>
      <w:r>
        <w:rPr>
          <w:rFonts w:hint="eastAsia" w:ascii="宋体" w:hAnsi="宋体"/>
          <w:color w:val="auto"/>
          <w:szCs w:val="21"/>
        </w:rPr>
        <w:t>。</w:t>
      </w:r>
    </w:p>
    <w:p w14:paraId="75D9CF1B">
      <w:pPr>
        <w:spacing w:line="400" w:lineRule="exact"/>
        <w:rPr>
          <w:rFonts w:ascii="宋体" w:hAnsi="宋体"/>
          <w:b/>
          <w:color w:val="auto"/>
        </w:rPr>
      </w:pPr>
      <w:r>
        <w:rPr>
          <w:rFonts w:hint="eastAsia" w:ascii="宋体" w:hAnsi="宋体"/>
          <w:b/>
          <w:color w:val="auto"/>
        </w:rPr>
        <w:t>三、获取招标文件</w:t>
      </w:r>
    </w:p>
    <w:p w14:paraId="149EB299">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时间：2025年</w:t>
      </w:r>
      <w:r>
        <w:rPr>
          <w:rFonts w:hint="eastAsia" w:ascii="宋体" w:hAnsi="宋体" w:cs="仿宋"/>
          <w:color w:val="auto"/>
          <w:szCs w:val="21"/>
          <w:lang w:val="en-US" w:eastAsia="zh-CN"/>
        </w:rPr>
        <w:t>6</w:t>
      </w:r>
      <w:r>
        <w:rPr>
          <w:rFonts w:ascii="宋体" w:hAnsi="宋体" w:cs="仿宋"/>
          <w:color w:val="auto"/>
        </w:rPr>
        <w:t>月</w:t>
      </w:r>
      <w:r>
        <w:rPr>
          <w:rFonts w:hint="eastAsia" w:ascii="宋体" w:hAnsi="宋体" w:cs="仿宋"/>
          <w:color w:val="auto"/>
          <w:lang w:val="en-US" w:eastAsia="zh-CN"/>
        </w:rPr>
        <w:t>26</w:t>
      </w:r>
      <w:r>
        <w:rPr>
          <w:rFonts w:hint="eastAsia" w:ascii="宋体" w:hAnsi="宋体" w:cs="仿宋"/>
          <w:color w:val="auto"/>
        </w:rPr>
        <w:t>日</w:t>
      </w:r>
      <w:r>
        <w:rPr>
          <w:rFonts w:hint="eastAsia" w:ascii="宋体" w:hAnsi="宋体" w:cs="仿宋"/>
          <w:color w:val="auto"/>
          <w:szCs w:val="21"/>
        </w:rPr>
        <w:t>至2025年</w:t>
      </w:r>
      <w:r>
        <w:rPr>
          <w:rFonts w:hint="eastAsia" w:ascii="宋体" w:hAnsi="宋体" w:cs="仿宋"/>
          <w:color w:val="auto"/>
          <w:szCs w:val="21"/>
          <w:lang w:val="en-US" w:eastAsia="zh-CN"/>
        </w:rPr>
        <w:t>7</w:t>
      </w:r>
      <w:r>
        <w:rPr>
          <w:rFonts w:ascii="宋体" w:hAnsi="宋体" w:cs="仿宋"/>
          <w:color w:val="auto"/>
        </w:rPr>
        <w:t>月</w:t>
      </w:r>
      <w:r>
        <w:rPr>
          <w:rFonts w:hint="eastAsia" w:ascii="宋体" w:hAnsi="宋体" w:cs="仿宋"/>
          <w:color w:val="auto"/>
          <w:lang w:val="en-US" w:eastAsia="zh-CN"/>
        </w:rPr>
        <w:t>3</w:t>
      </w:r>
      <w:r>
        <w:rPr>
          <w:rFonts w:hint="eastAsia" w:ascii="宋体" w:hAnsi="宋体" w:cs="仿宋"/>
          <w:color w:val="auto"/>
        </w:rPr>
        <w:t>日</w:t>
      </w:r>
      <w:r>
        <w:rPr>
          <w:rFonts w:hint="eastAsia" w:ascii="宋体" w:hAnsi="宋体" w:cs="仿宋"/>
          <w:color w:val="auto"/>
          <w:szCs w:val="21"/>
        </w:rPr>
        <w:t>，每天上午00:00至12:00，下午12:00至23:59（北京时间，线上获取法定节假日均可，线下获取文件法定节假日除外）。</w:t>
      </w:r>
    </w:p>
    <w:p w14:paraId="0456ECBD">
      <w:pPr>
        <w:widowControl/>
        <w:adjustRightInd w:val="0"/>
        <w:snapToGrid w:val="0"/>
        <w:spacing w:line="400" w:lineRule="exact"/>
        <w:ind w:firstLine="420" w:firstLineChars="200"/>
        <w:rPr>
          <w:rFonts w:ascii="宋体" w:hAnsi="宋体" w:cs="仿宋"/>
          <w:color w:val="auto"/>
          <w:kern w:val="0"/>
          <w:szCs w:val="21"/>
        </w:rPr>
      </w:pPr>
      <w:r>
        <w:rPr>
          <w:rFonts w:hint="eastAsia" w:ascii="宋体" w:hAnsi="宋体" w:cs="仿宋"/>
          <w:color w:val="auto"/>
          <w:szCs w:val="21"/>
        </w:rPr>
        <w:t>地点（网址）：政府采购云平台（www.zcygov.cn）。</w:t>
      </w:r>
    </w:p>
    <w:p w14:paraId="2FF345C7">
      <w:pPr>
        <w:widowControl/>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方式：（1）供应商登录政府采购云平台（www.zcygov.cn）的注册账号后，进入政采云系统“项目采购”模块“获取采购文件”菜单，进行网上获取采购文件。如有疑问请及时咨询网站客服，咨询电话：95763。（2）获取采购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3）通过本公告下方“游客，浏览采购文件”下载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14:paraId="39A7D521">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售价（元）：0。</w:t>
      </w:r>
    </w:p>
    <w:p w14:paraId="478BB397">
      <w:pPr>
        <w:spacing w:line="400" w:lineRule="exact"/>
        <w:rPr>
          <w:rFonts w:ascii="宋体" w:hAnsi="宋体"/>
          <w:b/>
          <w:color w:val="auto"/>
        </w:rPr>
      </w:pPr>
      <w:r>
        <w:rPr>
          <w:rFonts w:hint="eastAsia" w:ascii="宋体" w:hAnsi="宋体"/>
          <w:b/>
          <w:color w:val="auto"/>
        </w:rPr>
        <w:t>四、提交投标文件截止时间、开标时间和地点等</w:t>
      </w:r>
    </w:p>
    <w:p w14:paraId="6EF92D64">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提交投标文件截止时间：</w:t>
      </w:r>
      <w:r>
        <w:rPr>
          <w:rFonts w:hint="eastAsia" w:ascii="宋体" w:hAnsi="宋体" w:cs="仿宋"/>
          <w:color w:val="auto"/>
        </w:rPr>
        <w:t>2025</w:t>
      </w:r>
      <w:r>
        <w:rPr>
          <w:rFonts w:ascii="宋体" w:hAnsi="宋体" w:cs="仿宋"/>
          <w:color w:val="auto"/>
        </w:rPr>
        <w:t>年</w:t>
      </w:r>
      <w:r>
        <w:rPr>
          <w:rFonts w:hint="eastAsia" w:ascii="宋体" w:hAnsi="宋体" w:cs="仿宋"/>
          <w:color w:val="auto"/>
          <w:lang w:val="en-US" w:eastAsia="zh-CN"/>
        </w:rPr>
        <w:t>7</w:t>
      </w:r>
      <w:r>
        <w:rPr>
          <w:rFonts w:ascii="宋体" w:hAnsi="宋体" w:cs="仿宋"/>
          <w:color w:val="auto"/>
        </w:rPr>
        <w:t>月</w:t>
      </w:r>
      <w:r>
        <w:rPr>
          <w:rFonts w:hint="eastAsia" w:ascii="宋体" w:hAnsi="宋体" w:cs="仿宋"/>
          <w:color w:val="auto"/>
          <w:lang w:val="en-US" w:eastAsia="zh-CN"/>
        </w:rPr>
        <w:t>17</w:t>
      </w:r>
      <w:r>
        <w:rPr>
          <w:rFonts w:hint="eastAsia" w:ascii="宋体" w:hAnsi="宋体" w:cs="仿宋"/>
          <w:color w:val="auto"/>
        </w:rPr>
        <w:t>日</w:t>
      </w:r>
      <w:r>
        <w:rPr>
          <w:rFonts w:hint="eastAsia" w:ascii="宋体" w:hAnsi="宋体"/>
          <w:color w:val="auto"/>
          <w:szCs w:val="21"/>
        </w:rPr>
        <w:t>09:30</w:t>
      </w:r>
      <w:r>
        <w:rPr>
          <w:rFonts w:hint="eastAsia" w:ascii="宋体" w:hAnsi="宋体" w:cs="仿宋"/>
          <w:color w:val="auto"/>
          <w:szCs w:val="21"/>
        </w:rPr>
        <w:t>（北京时间）。</w:t>
      </w:r>
    </w:p>
    <w:p w14:paraId="5B051C98">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投标地点（网址）：宁波前湾新区公共资源交易中心（宁波前湾新区创业创新大厦三号楼（宁波前湾新区玉海西路201号）开标室三）、政府采购云平台（www.zcygov.cn）。</w:t>
      </w:r>
    </w:p>
    <w:p w14:paraId="5DBCA753">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开标时间：</w:t>
      </w:r>
      <w:r>
        <w:rPr>
          <w:rFonts w:hint="eastAsia" w:ascii="宋体" w:hAnsi="宋体" w:cs="仿宋"/>
          <w:color w:val="auto"/>
        </w:rPr>
        <w:t>2025</w:t>
      </w:r>
      <w:r>
        <w:rPr>
          <w:rFonts w:ascii="宋体" w:hAnsi="宋体" w:cs="仿宋"/>
          <w:color w:val="auto"/>
        </w:rPr>
        <w:t>年</w:t>
      </w:r>
      <w:r>
        <w:rPr>
          <w:rFonts w:hint="eastAsia" w:ascii="宋体" w:hAnsi="宋体" w:cs="仿宋"/>
          <w:color w:val="auto"/>
          <w:lang w:val="en-US" w:eastAsia="zh-CN"/>
        </w:rPr>
        <w:t>7</w:t>
      </w:r>
      <w:r>
        <w:rPr>
          <w:rFonts w:ascii="宋体" w:hAnsi="宋体" w:cs="仿宋"/>
          <w:color w:val="auto"/>
        </w:rPr>
        <w:t>月</w:t>
      </w:r>
      <w:r>
        <w:rPr>
          <w:rFonts w:hint="eastAsia" w:ascii="宋体" w:hAnsi="宋体" w:cs="仿宋"/>
          <w:color w:val="auto"/>
          <w:lang w:val="en-US" w:eastAsia="zh-CN"/>
        </w:rPr>
        <w:t>17</w:t>
      </w:r>
      <w:r>
        <w:rPr>
          <w:rFonts w:hint="eastAsia" w:ascii="宋体" w:hAnsi="宋体" w:cs="仿宋"/>
          <w:color w:val="auto"/>
        </w:rPr>
        <w:t>日</w:t>
      </w:r>
      <w:r>
        <w:rPr>
          <w:rFonts w:hint="eastAsia" w:ascii="宋体" w:hAnsi="宋体"/>
          <w:color w:val="auto"/>
          <w:szCs w:val="21"/>
        </w:rPr>
        <w:t>09:30</w:t>
      </w:r>
      <w:r>
        <w:rPr>
          <w:rFonts w:hint="eastAsia" w:ascii="宋体" w:hAnsi="宋体" w:cs="仿宋"/>
          <w:color w:val="auto"/>
          <w:szCs w:val="21"/>
        </w:rPr>
        <w:t>（北京时间）。</w:t>
      </w:r>
    </w:p>
    <w:p w14:paraId="37532D56">
      <w:pPr>
        <w:adjustRightInd w:val="0"/>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开标地点（网址）：宁波前湾新区公共资源交易中心（宁波前湾新区创业创新大厦三号楼（宁波前湾新区玉海西路201号）开标室三）、政府采购云平台（www.zcygov.cn）。</w:t>
      </w:r>
    </w:p>
    <w:p w14:paraId="137482C0">
      <w:pPr>
        <w:spacing w:line="400" w:lineRule="exact"/>
        <w:rPr>
          <w:rFonts w:ascii="宋体" w:hAnsi="宋体"/>
          <w:b/>
          <w:color w:val="auto"/>
        </w:rPr>
      </w:pPr>
      <w:r>
        <w:rPr>
          <w:rFonts w:hint="eastAsia" w:ascii="宋体" w:hAnsi="宋体"/>
          <w:b/>
          <w:color w:val="auto"/>
        </w:rPr>
        <w:t>五、公告期限</w:t>
      </w:r>
    </w:p>
    <w:p w14:paraId="5C93BDB9">
      <w:pPr>
        <w:adjustRightInd w:val="0"/>
        <w:snapToGrid w:val="0"/>
        <w:spacing w:line="400" w:lineRule="exact"/>
        <w:ind w:firstLine="420" w:firstLineChars="200"/>
        <w:rPr>
          <w:rFonts w:ascii="宋体" w:hAnsi="宋体" w:cs="仿宋"/>
          <w:color w:val="auto"/>
          <w:kern w:val="0"/>
          <w:szCs w:val="21"/>
        </w:rPr>
      </w:pPr>
      <w:r>
        <w:rPr>
          <w:rFonts w:hint="eastAsia" w:ascii="宋体" w:hAnsi="宋体" w:cs="仿宋"/>
          <w:color w:val="auto"/>
          <w:kern w:val="0"/>
          <w:szCs w:val="21"/>
        </w:rPr>
        <w:t>自本公告发布之日起5个工作日。</w:t>
      </w:r>
    </w:p>
    <w:p w14:paraId="79C31F41">
      <w:pPr>
        <w:spacing w:line="400" w:lineRule="exact"/>
        <w:rPr>
          <w:rFonts w:ascii="宋体" w:hAnsi="宋体"/>
          <w:b/>
          <w:color w:val="auto"/>
        </w:rPr>
      </w:pPr>
      <w:r>
        <w:rPr>
          <w:rFonts w:hint="eastAsia" w:ascii="宋体" w:hAnsi="宋体"/>
          <w:b/>
          <w:color w:val="auto"/>
        </w:rPr>
        <w:t>六、其他补充事宜</w:t>
      </w:r>
    </w:p>
    <w:p w14:paraId="084956A8">
      <w:pPr>
        <w:adjustRightInd w:val="0"/>
        <w:snapToGrid w:val="0"/>
        <w:spacing w:line="400" w:lineRule="exact"/>
        <w:ind w:firstLine="420" w:firstLineChars="200"/>
        <w:rPr>
          <w:rFonts w:ascii="宋体" w:hAnsi="宋体" w:cs="仿宋"/>
          <w:color w:val="auto"/>
          <w:kern w:val="0"/>
          <w:szCs w:val="21"/>
        </w:rPr>
      </w:pPr>
      <w:r>
        <w:rPr>
          <w:rFonts w:hint="eastAsia" w:ascii="宋体" w:hAnsi="宋体" w:cs="仿宋"/>
          <w:color w:val="auto"/>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82F87D">
      <w:pPr>
        <w:adjustRightInd w:val="0"/>
        <w:snapToGrid w:val="0"/>
        <w:spacing w:line="400" w:lineRule="exact"/>
        <w:ind w:firstLine="420" w:firstLineChars="200"/>
        <w:rPr>
          <w:rFonts w:ascii="宋体" w:hAnsi="宋体" w:cs="仿宋"/>
          <w:color w:val="auto"/>
          <w:kern w:val="0"/>
          <w:szCs w:val="21"/>
        </w:rPr>
      </w:pPr>
      <w:r>
        <w:rPr>
          <w:rFonts w:hint="eastAsia" w:ascii="宋体" w:hAnsi="宋体" w:cs="仿宋"/>
          <w:color w:val="auto"/>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AB69F3">
      <w:pPr>
        <w:adjustRightInd w:val="0"/>
        <w:snapToGrid w:val="0"/>
        <w:spacing w:line="400" w:lineRule="exact"/>
        <w:ind w:firstLine="420" w:firstLineChars="200"/>
        <w:rPr>
          <w:rFonts w:ascii="宋体" w:hAnsi="宋体" w:cs="仿宋"/>
          <w:color w:val="auto"/>
          <w:kern w:val="0"/>
          <w:szCs w:val="21"/>
        </w:rPr>
      </w:pPr>
      <w:r>
        <w:rPr>
          <w:rFonts w:hint="eastAsia" w:ascii="宋体" w:hAnsi="宋体" w:cs="仿宋"/>
          <w:color w:val="auto"/>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D9F102">
      <w:pPr>
        <w:adjustRightInd w:val="0"/>
        <w:snapToGrid w:val="0"/>
        <w:spacing w:line="400" w:lineRule="exact"/>
        <w:ind w:firstLine="420" w:firstLineChars="200"/>
        <w:rPr>
          <w:rFonts w:ascii="宋体" w:hAnsi="宋体" w:cs="仿宋"/>
          <w:color w:val="auto"/>
          <w:kern w:val="0"/>
          <w:szCs w:val="21"/>
        </w:rPr>
      </w:pPr>
      <w:r>
        <w:rPr>
          <w:rFonts w:hint="eastAsia" w:ascii="宋体" w:hAnsi="宋体" w:cs="仿宋"/>
          <w:color w:val="auto"/>
          <w:kern w:val="0"/>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等、《关于环境标志产品政府采购实施的意见》（财库〔2006〕90号、《节能产品政府采购实施意见》的通知（财库〔2004〕185号）。</w:t>
      </w:r>
    </w:p>
    <w:p w14:paraId="3EBB2D1D">
      <w:pPr>
        <w:spacing w:line="400" w:lineRule="exact"/>
        <w:rPr>
          <w:rFonts w:ascii="宋体" w:hAnsi="宋体"/>
          <w:b/>
          <w:color w:val="auto"/>
          <w:szCs w:val="21"/>
        </w:rPr>
      </w:pPr>
      <w:bookmarkStart w:id="23" w:name="_Toc30416"/>
      <w:r>
        <w:rPr>
          <w:rFonts w:hint="eastAsia" w:ascii="宋体" w:hAnsi="宋体"/>
          <w:b/>
          <w:color w:val="auto"/>
          <w:szCs w:val="21"/>
        </w:rPr>
        <w:t>七、对本次招标提出询问，请按以下方式联系。</w:t>
      </w:r>
      <w:bookmarkEnd w:id="23"/>
    </w:p>
    <w:p w14:paraId="412185EF">
      <w:pPr>
        <w:spacing w:line="400" w:lineRule="exact"/>
        <w:ind w:firstLine="420" w:firstLineChars="200"/>
        <w:jc w:val="left"/>
        <w:rPr>
          <w:rFonts w:ascii="宋体" w:hAnsi="宋体"/>
          <w:color w:val="auto"/>
          <w:szCs w:val="21"/>
        </w:rPr>
      </w:pPr>
      <w:bookmarkStart w:id="24" w:name="OLE_LINK43"/>
      <w:bookmarkStart w:id="25" w:name="OLE_LINK42"/>
      <w:r>
        <w:rPr>
          <w:rFonts w:hint="eastAsia" w:ascii="宋体" w:hAnsi="宋体"/>
          <w:color w:val="auto"/>
          <w:szCs w:val="21"/>
        </w:rPr>
        <w:t>1.采购人信息</w:t>
      </w:r>
    </w:p>
    <w:p w14:paraId="6212AB2C">
      <w:pPr>
        <w:spacing w:line="400" w:lineRule="exact"/>
        <w:ind w:firstLine="420" w:firstLineChars="200"/>
        <w:jc w:val="left"/>
        <w:rPr>
          <w:rFonts w:ascii="宋体" w:hAnsi="宋体"/>
          <w:color w:val="auto"/>
          <w:szCs w:val="21"/>
        </w:rPr>
      </w:pPr>
      <w:r>
        <w:rPr>
          <w:rFonts w:hint="eastAsia" w:ascii="宋体" w:hAnsi="宋体"/>
          <w:color w:val="auto"/>
          <w:szCs w:val="21"/>
        </w:rPr>
        <w:t>名称：宁波前湾新区教育文体和旅游局</w:t>
      </w:r>
    </w:p>
    <w:p w14:paraId="0CBCEC94">
      <w:pPr>
        <w:spacing w:line="400" w:lineRule="exact"/>
        <w:ind w:firstLine="420" w:firstLineChars="200"/>
        <w:jc w:val="left"/>
        <w:rPr>
          <w:rFonts w:ascii="宋体" w:hAnsi="宋体"/>
          <w:color w:val="auto"/>
          <w:szCs w:val="21"/>
        </w:rPr>
      </w:pPr>
      <w:r>
        <w:rPr>
          <w:rFonts w:hint="eastAsia" w:ascii="宋体" w:hAnsi="宋体"/>
          <w:color w:val="auto"/>
          <w:szCs w:val="21"/>
        </w:rPr>
        <w:t>地址：宁波前湾</w:t>
      </w:r>
      <w:r>
        <w:rPr>
          <w:rFonts w:ascii="宋体" w:hAnsi="宋体"/>
          <w:color w:val="auto"/>
          <w:szCs w:val="21"/>
        </w:rPr>
        <w:t>新区</w:t>
      </w:r>
      <w:r>
        <w:rPr>
          <w:rFonts w:hint="eastAsia" w:ascii="宋体" w:hAnsi="宋体"/>
          <w:color w:val="auto"/>
          <w:szCs w:val="21"/>
        </w:rPr>
        <w:t>滨海</w:t>
      </w:r>
      <w:r>
        <w:rPr>
          <w:rFonts w:ascii="宋体" w:hAnsi="宋体"/>
          <w:color w:val="auto"/>
          <w:szCs w:val="21"/>
        </w:rPr>
        <w:t>一路69号</w:t>
      </w:r>
    </w:p>
    <w:p w14:paraId="135EBB78">
      <w:pPr>
        <w:spacing w:line="400" w:lineRule="exact"/>
        <w:ind w:firstLine="420" w:firstLineChars="200"/>
        <w:jc w:val="left"/>
        <w:rPr>
          <w:rFonts w:ascii="宋体" w:hAnsi="宋体"/>
          <w:color w:val="auto"/>
          <w:szCs w:val="21"/>
        </w:rPr>
      </w:pPr>
      <w:r>
        <w:rPr>
          <w:rFonts w:hint="eastAsia" w:ascii="宋体" w:hAnsi="宋体"/>
          <w:color w:val="auto"/>
          <w:szCs w:val="21"/>
        </w:rPr>
        <w:t>项目联系人（询问）：蒋老师</w:t>
      </w:r>
    </w:p>
    <w:p w14:paraId="79F14478">
      <w:pPr>
        <w:spacing w:line="400" w:lineRule="exact"/>
        <w:ind w:firstLine="420" w:firstLineChars="200"/>
        <w:jc w:val="left"/>
        <w:rPr>
          <w:rFonts w:ascii="宋体" w:hAnsi="宋体"/>
          <w:color w:val="auto"/>
          <w:szCs w:val="21"/>
        </w:rPr>
      </w:pPr>
      <w:r>
        <w:rPr>
          <w:rFonts w:hint="eastAsia" w:ascii="宋体" w:hAnsi="宋体"/>
          <w:color w:val="auto"/>
          <w:szCs w:val="21"/>
        </w:rPr>
        <w:t>项目联系方式（询问）：</w:t>
      </w:r>
      <w:r>
        <w:rPr>
          <w:rFonts w:ascii="宋体" w:hAnsi="宋体"/>
          <w:color w:val="auto"/>
          <w:szCs w:val="21"/>
        </w:rPr>
        <w:t>0574</w:t>
      </w:r>
      <w:r>
        <w:rPr>
          <w:rFonts w:hint="eastAsia" w:ascii="宋体" w:hAnsi="宋体"/>
          <w:color w:val="auto"/>
          <w:szCs w:val="21"/>
        </w:rPr>
        <w:t>-</w:t>
      </w:r>
      <w:r>
        <w:rPr>
          <w:rFonts w:ascii="宋体" w:hAnsi="宋体"/>
          <w:color w:val="auto"/>
          <w:szCs w:val="21"/>
        </w:rPr>
        <w:t>89280355</w:t>
      </w:r>
    </w:p>
    <w:p w14:paraId="3A14BDA0">
      <w:pPr>
        <w:spacing w:line="400" w:lineRule="exact"/>
        <w:ind w:firstLine="420" w:firstLineChars="200"/>
        <w:jc w:val="left"/>
        <w:rPr>
          <w:rFonts w:ascii="宋体" w:hAnsi="宋体"/>
          <w:color w:val="auto"/>
          <w:szCs w:val="21"/>
        </w:rPr>
      </w:pPr>
      <w:r>
        <w:rPr>
          <w:rFonts w:hint="eastAsia" w:ascii="宋体" w:hAnsi="宋体"/>
          <w:color w:val="auto"/>
          <w:szCs w:val="21"/>
        </w:rPr>
        <w:t>质疑联系人：陈老师</w:t>
      </w:r>
    </w:p>
    <w:p w14:paraId="447F4A61">
      <w:pPr>
        <w:spacing w:line="400" w:lineRule="exact"/>
        <w:ind w:firstLine="420" w:firstLineChars="200"/>
        <w:jc w:val="left"/>
        <w:rPr>
          <w:rFonts w:ascii="宋体" w:hAnsi="宋体"/>
          <w:color w:val="auto"/>
          <w:szCs w:val="21"/>
        </w:rPr>
      </w:pPr>
      <w:r>
        <w:rPr>
          <w:rFonts w:hint="eastAsia" w:ascii="宋体" w:hAnsi="宋体"/>
          <w:color w:val="auto"/>
          <w:szCs w:val="21"/>
        </w:rPr>
        <w:t>质疑联系方式：</w:t>
      </w:r>
      <w:r>
        <w:rPr>
          <w:rFonts w:ascii="宋体" w:hAnsi="宋体"/>
          <w:color w:val="auto"/>
          <w:szCs w:val="21"/>
        </w:rPr>
        <w:t>0574</w:t>
      </w:r>
      <w:r>
        <w:rPr>
          <w:rFonts w:hint="eastAsia" w:ascii="宋体" w:hAnsi="宋体"/>
          <w:color w:val="auto"/>
          <w:szCs w:val="21"/>
        </w:rPr>
        <w:t>-</w:t>
      </w:r>
      <w:r>
        <w:rPr>
          <w:rFonts w:ascii="宋体" w:hAnsi="宋体"/>
          <w:color w:val="auto"/>
          <w:szCs w:val="21"/>
        </w:rPr>
        <w:t>89280312</w:t>
      </w:r>
    </w:p>
    <w:p w14:paraId="45723E52">
      <w:pPr>
        <w:spacing w:line="400" w:lineRule="exact"/>
        <w:ind w:firstLine="420" w:firstLineChars="200"/>
        <w:jc w:val="left"/>
        <w:rPr>
          <w:rFonts w:ascii="宋体" w:hAnsi="宋体"/>
          <w:color w:val="auto"/>
          <w:szCs w:val="21"/>
        </w:rPr>
      </w:pPr>
      <w:r>
        <w:rPr>
          <w:rFonts w:hint="eastAsia" w:ascii="宋体" w:hAnsi="宋体"/>
          <w:color w:val="auto"/>
          <w:szCs w:val="21"/>
        </w:rPr>
        <w:t>2.采购代理机构信息</w:t>
      </w:r>
    </w:p>
    <w:p w14:paraId="2B1A5697">
      <w:pPr>
        <w:spacing w:line="400" w:lineRule="exact"/>
        <w:ind w:firstLine="420" w:firstLineChars="200"/>
        <w:jc w:val="left"/>
        <w:rPr>
          <w:rFonts w:ascii="宋体" w:hAnsi="宋体"/>
          <w:color w:val="auto"/>
          <w:szCs w:val="21"/>
        </w:rPr>
      </w:pPr>
      <w:r>
        <w:rPr>
          <w:rFonts w:hint="eastAsia" w:ascii="宋体" w:hAnsi="宋体"/>
          <w:color w:val="auto"/>
          <w:szCs w:val="21"/>
        </w:rPr>
        <w:t>名称：宁波市国际招标有限公司</w:t>
      </w:r>
    </w:p>
    <w:p w14:paraId="1B5C40AC">
      <w:pPr>
        <w:spacing w:line="400" w:lineRule="exact"/>
        <w:ind w:firstLine="420" w:firstLineChars="200"/>
        <w:jc w:val="left"/>
        <w:rPr>
          <w:rFonts w:ascii="宋体" w:hAnsi="宋体"/>
          <w:color w:val="auto"/>
          <w:szCs w:val="21"/>
        </w:rPr>
      </w:pPr>
      <w:r>
        <w:rPr>
          <w:rFonts w:hint="eastAsia" w:ascii="宋体" w:hAnsi="宋体"/>
          <w:color w:val="auto"/>
          <w:szCs w:val="21"/>
        </w:rPr>
        <w:t>地址：宁波市江北区环城北路西段207弄19号世茂茂悦商业中心1号楼八楼</w:t>
      </w:r>
    </w:p>
    <w:p w14:paraId="27557D78">
      <w:pPr>
        <w:spacing w:line="400" w:lineRule="exact"/>
        <w:ind w:firstLine="420" w:firstLineChars="200"/>
        <w:jc w:val="left"/>
        <w:rPr>
          <w:rFonts w:ascii="宋体" w:hAnsi="宋体"/>
          <w:color w:val="auto"/>
          <w:szCs w:val="21"/>
        </w:rPr>
      </w:pPr>
      <w:r>
        <w:rPr>
          <w:rFonts w:hint="eastAsia" w:ascii="宋体" w:hAnsi="宋体"/>
          <w:color w:val="auto"/>
          <w:szCs w:val="21"/>
        </w:rPr>
        <w:t>项目联系人（询问）：徐徕</w:t>
      </w:r>
    </w:p>
    <w:p w14:paraId="1842F2B4">
      <w:pPr>
        <w:spacing w:line="400" w:lineRule="exact"/>
        <w:ind w:firstLine="420" w:firstLineChars="200"/>
        <w:jc w:val="left"/>
        <w:rPr>
          <w:rFonts w:ascii="宋体" w:hAnsi="宋体"/>
          <w:color w:val="auto"/>
          <w:szCs w:val="21"/>
        </w:rPr>
      </w:pPr>
      <w:r>
        <w:rPr>
          <w:rFonts w:hint="eastAsia" w:ascii="宋体" w:hAnsi="宋体"/>
          <w:color w:val="auto"/>
          <w:szCs w:val="21"/>
        </w:rPr>
        <w:t>项目联系方式（询问）：0574-87307605</w:t>
      </w:r>
    </w:p>
    <w:p w14:paraId="5B07C58C">
      <w:pPr>
        <w:spacing w:line="400" w:lineRule="exact"/>
        <w:ind w:firstLine="420" w:firstLineChars="200"/>
        <w:jc w:val="left"/>
        <w:rPr>
          <w:rFonts w:ascii="宋体" w:hAnsi="宋体"/>
          <w:color w:val="auto"/>
          <w:szCs w:val="21"/>
        </w:rPr>
      </w:pPr>
      <w:r>
        <w:rPr>
          <w:rFonts w:hint="eastAsia" w:ascii="宋体" w:hAnsi="宋体"/>
          <w:color w:val="auto"/>
          <w:szCs w:val="21"/>
        </w:rPr>
        <w:t>质疑联系人：姜春辉</w:t>
      </w:r>
    </w:p>
    <w:p w14:paraId="5D6EC492">
      <w:pPr>
        <w:spacing w:line="400" w:lineRule="exact"/>
        <w:ind w:firstLine="420" w:firstLineChars="200"/>
        <w:jc w:val="left"/>
        <w:rPr>
          <w:rFonts w:ascii="宋体" w:hAnsi="宋体"/>
          <w:color w:val="auto"/>
          <w:szCs w:val="21"/>
        </w:rPr>
      </w:pPr>
      <w:r>
        <w:rPr>
          <w:rFonts w:hint="eastAsia" w:ascii="宋体" w:hAnsi="宋体"/>
          <w:color w:val="auto"/>
          <w:szCs w:val="21"/>
        </w:rPr>
        <w:t>质疑联系方式：0574-87198579</w:t>
      </w:r>
    </w:p>
    <w:p w14:paraId="597A7F5C">
      <w:pPr>
        <w:spacing w:line="400" w:lineRule="exact"/>
        <w:ind w:firstLine="420" w:firstLineChars="200"/>
        <w:jc w:val="left"/>
        <w:rPr>
          <w:rFonts w:ascii="宋体" w:hAnsi="宋体"/>
          <w:color w:val="auto"/>
          <w:szCs w:val="21"/>
        </w:rPr>
      </w:pPr>
      <w:r>
        <w:rPr>
          <w:rFonts w:hint="eastAsia" w:ascii="宋体" w:hAnsi="宋体"/>
          <w:color w:val="auto"/>
          <w:szCs w:val="21"/>
        </w:rPr>
        <w:t>3.同级政府采购监督管理部门</w:t>
      </w:r>
    </w:p>
    <w:p w14:paraId="3B3382B4">
      <w:pPr>
        <w:spacing w:line="400" w:lineRule="exact"/>
        <w:ind w:firstLine="420" w:firstLineChars="200"/>
        <w:jc w:val="left"/>
        <w:rPr>
          <w:rFonts w:ascii="宋体" w:hAnsi="宋体"/>
          <w:color w:val="auto"/>
          <w:szCs w:val="21"/>
        </w:rPr>
      </w:pPr>
      <w:r>
        <w:rPr>
          <w:rFonts w:hint="eastAsia" w:ascii="宋体" w:hAnsi="宋体"/>
          <w:color w:val="auto"/>
          <w:szCs w:val="21"/>
        </w:rPr>
        <w:t>名称：</w:t>
      </w:r>
      <w:r>
        <w:rPr>
          <w:rFonts w:ascii="宋体" w:hAnsi="宋体"/>
          <w:color w:val="auto"/>
          <w:szCs w:val="21"/>
        </w:rPr>
        <w:t>宁波前湾新区财政局</w:t>
      </w:r>
    </w:p>
    <w:p w14:paraId="6A7535C9">
      <w:pPr>
        <w:spacing w:line="400" w:lineRule="exact"/>
        <w:ind w:firstLine="420" w:firstLineChars="200"/>
        <w:jc w:val="left"/>
        <w:rPr>
          <w:rFonts w:ascii="宋体" w:hAnsi="宋体"/>
          <w:color w:val="auto"/>
          <w:szCs w:val="21"/>
        </w:rPr>
      </w:pPr>
      <w:r>
        <w:rPr>
          <w:rFonts w:hint="eastAsia" w:ascii="宋体" w:hAnsi="宋体"/>
          <w:color w:val="auto"/>
          <w:szCs w:val="21"/>
        </w:rPr>
        <w:t>地址：宁波前湾新区兴慈一路1号</w:t>
      </w:r>
    </w:p>
    <w:p w14:paraId="06974D13">
      <w:pPr>
        <w:spacing w:line="400" w:lineRule="exact"/>
        <w:ind w:firstLine="420" w:firstLineChars="200"/>
        <w:jc w:val="left"/>
        <w:rPr>
          <w:rFonts w:ascii="宋体" w:hAnsi="宋体"/>
          <w:color w:val="auto"/>
          <w:szCs w:val="21"/>
        </w:rPr>
      </w:pPr>
      <w:r>
        <w:rPr>
          <w:rFonts w:hint="eastAsia" w:ascii="宋体" w:hAnsi="宋体"/>
          <w:color w:val="auto"/>
          <w:szCs w:val="21"/>
        </w:rPr>
        <w:t>传真：/</w:t>
      </w:r>
    </w:p>
    <w:p w14:paraId="4FE53772">
      <w:pPr>
        <w:spacing w:line="400" w:lineRule="exact"/>
        <w:ind w:firstLine="420" w:firstLineChars="200"/>
        <w:jc w:val="left"/>
        <w:rPr>
          <w:rFonts w:ascii="宋体" w:hAnsi="宋体"/>
          <w:color w:val="auto"/>
          <w:szCs w:val="21"/>
        </w:rPr>
      </w:pPr>
      <w:r>
        <w:rPr>
          <w:rFonts w:hint="eastAsia" w:ascii="宋体" w:hAnsi="宋体"/>
          <w:color w:val="auto"/>
          <w:szCs w:val="21"/>
        </w:rPr>
        <w:t>联系人：劳工</w:t>
      </w:r>
    </w:p>
    <w:p w14:paraId="745ECB5C">
      <w:pPr>
        <w:spacing w:line="400" w:lineRule="exact"/>
        <w:ind w:firstLine="420" w:firstLineChars="200"/>
        <w:jc w:val="left"/>
        <w:rPr>
          <w:rFonts w:ascii="宋体" w:hAnsi="宋体"/>
          <w:color w:val="auto"/>
          <w:szCs w:val="21"/>
        </w:rPr>
      </w:pPr>
      <w:r>
        <w:rPr>
          <w:rFonts w:hint="eastAsia" w:ascii="宋体" w:hAnsi="宋体"/>
          <w:color w:val="auto"/>
          <w:szCs w:val="21"/>
        </w:rPr>
        <w:t>监督投诉电话：</w:t>
      </w:r>
      <w:bookmarkEnd w:id="24"/>
      <w:bookmarkEnd w:id="25"/>
      <w:r>
        <w:rPr>
          <w:rFonts w:hint="eastAsia" w:ascii="宋体" w:hAnsi="宋体"/>
          <w:color w:val="auto"/>
          <w:szCs w:val="21"/>
        </w:rPr>
        <w:t>0574-89388873</w:t>
      </w:r>
    </w:p>
    <w:p w14:paraId="70B94B50">
      <w:pPr>
        <w:spacing w:line="400" w:lineRule="exact"/>
        <w:ind w:firstLine="420" w:firstLineChars="200"/>
        <w:jc w:val="left"/>
        <w:rPr>
          <w:rFonts w:ascii="宋体" w:hAnsi="宋体"/>
          <w:color w:val="auto"/>
          <w:szCs w:val="21"/>
        </w:rPr>
      </w:pPr>
    </w:p>
    <w:p w14:paraId="2F42E938">
      <w:pPr>
        <w:spacing w:line="400" w:lineRule="exact"/>
        <w:ind w:firstLine="420" w:firstLineChars="200"/>
        <w:jc w:val="left"/>
        <w:rPr>
          <w:rFonts w:ascii="宋体" w:hAnsi="宋体"/>
          <w:color w:val="auto"/>
          <w:szCs w:val="21"/>
        </w:rPr>
      </w:pPr>
      <w:r>
        <w:rPr>
          <w:rFonts w:hint="eastAsia" w:ascii="宋体" w:hAnsi="宋体"/>
          <w:color w:val="auto"/>
          <w:szCs w:val="21"/>
        </w:rPr>
        <w:t>若对项目采购电子交易系统操作有疑问，可登录政采云（https://www.zcygov.cn/），点击右侧咨询小采，获取采小蜜智能服务管家帮助，或拨打政采云服务热线95763获取热线服务帮助。</w:t>
      </w:r>
    </w:p>
    <w:p w14:paraId="009A1EE0">
      <w:pPr>
        <w:spacing w:line="400" w:lineRule="exact"/>
        <w:ind w:firstLine="420" w:firstLineChars="200"/>
        <w:rPr>
          <w:rFonts w:ascii="宋体" w:hAnsi="宋体" w:cs="宋体"/>
          <w:color w:val="auto"/>
          <w:kern w:val="0"/>
          <w:szCs w:val="21"/>
        </w:rPr>
      </w:pPr>
      <w:r>
        <w:rPr>
          <w:rFonts w:hint="eastAsia" w:ascii="宋体" w:hAnsi="宋体"/>
          <w:color w:val="auto"/>
          <w:szCs w:val="21"/>
        </w:rPr>
        <w:t>CA问题联系电话（人工）：汇信CA400-888-4636；天谷CA400-087-8198。</w:t>
      </w:r>
    </w:p>
    <w:p w14:paraId="220F4681">
      <w:pPr>
        <w:spacing w:line="400" w:lineRule="exact"/>
        <w:ind w:firstLine="420" w:firstLineChars="200"/>
        <w:rPr>
          <w:rFonts w:ascii="宋体" w:hAnsi="宋体"/>
          <w:color w:val="auto"/>
          <w:szCs w:val="21"/>
        </w:rPr>
      </w:pPr>
    </w:p>
    <w:p w14:paraId="5A9E4E56">
      <w:pPr>
        <w:widowControl/>
        <w:spacing w:line="400" w:lineRule="exact"/>
        <w:ind w:firstLine="480"/>
        <w:jc w:val="right"/>
        <w:rPr>
          <w:rFonts w:ascii="宋体" w:hAnsi="宋体"/>
          <w:color w:val="auto"/>
          <w:sz w:val="24"/>
        </w:rPr>
        <w:sectPr>
          <w:footerReference r:id="rId7" w:type="default"/>
          <w:pgSz w:w="11907" w:h="16840"/>
          <w:pgMar w:top="1139" w:right="1417" w:bottom="1134" w:left="1418" w:header="285" w:footer="701" w:gutter="0"/>
          <w:pgNumType w:start="1"/>
          <w:cols w:space="720" w:num="1"/>
          <w:docGrid w:linePitch="285" w:charSpace="0"/>
        </w:sectPr>
      </w:pPr>
    </w:p>
    <w:p w14:paraId="113AC878">
      <w:pPr>
        <w:spacing w:line="400" w:lineRule="exact"/>
        <w:jc w:val="center"/>
        <w:outlineLvl w:val="0"/>
        <w:rPr>
          <w:rFonts w:ascii="宋体" w:hAnsi="宋体"/>
          <w:b/>
          <w:color w:val="auto"/>
          <w:sz w:val="32"/>
        </w:rPr>
      </w:pPr>
      <w:bookmarkStart w:id="26" w:name="_Toc55385091"/>
      <w:r>
        <w:rPr>
          <w:rFonts w:hint="eastAsia" w:ascii="宋体" w:hAnsi="宋体"/>
          <w:b/>
          <w:color w:val="auto"/>
          <w:sz w:val="32"/>
        </w:rPr>
        <w:t>第二章  投标须知</w:t>
      </w:r>
      <w:bookmarkEnd w:id="26"/>
    </w:p>
    <w:p w14:paraId="24229C66">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315A96C1">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5479AD21">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4DFF179B">
      <w:pPr>
        <w:spacing w:line="400" w:lineRule="exact"/>
        <w:ind w:firstLine="420" w:firstLineChars="200"/>
        <w:jc w:val="left"/>
        <w:rPr>
          <w:rFonts w:ascii="宋体" w:hAnsi="宋体"/>
          <w:color w:val="auto"/>
          <w:szCs w:val="21"/>
        </w:rPr>
      </w:pPr>
      <w:r>
        <w:rPr>
          <w:rFonts w:hint="eastAsia" w:ascii="宋体" w:hAnsi="宋体"/>
          <w:color w:val="auto"/>
          <w:szCs w:val="21"/>
        </w:rPr>
        <w:t>1、“采购人”系指宁波前湾新区教育文体和旅游局。</w:t>
      </w:r>
    </w:p>
    <w:p w14:paraId="423C8EAB">
      <w:pPr>
        <w:spacing w:line="400" w:lineRule="exact"/>
        <w:ind w:firstLine="420" w:firstLineChars="200"/>
        <w:jc w:val="left"/>
        <w:rPr>
          <w:rFonts w:ascii="宋体" w:hAnsi="宋体"/>
          <w:color w:val="auto"/>
          <w:szCs w:val="21"/>
        </w:rPr>
      </w:pPr>
      <w:r>
        <w:rPr>
          <w:rFonts w:hint="eastAsia" w:ascii="宋体" w:hAnsi="宋体"/>
          <w:color w:val="auto"/>
          <w:szCs w:val="21"/>
        </w:rPr>
        <w:t>2、“代理机构”系指宁波市国际招标有限公司。</w:t>
      </w:r>
    </w:p>
    <w:p w14:paraId="537333D2">
      <w:pPr>
        <w:spacing w:line="400" w:lineRule="exact"/>
        <w:ind w:firstLine="420" w:firstLineChars="200"/>
        <w:jc w:val="left"/>
        <w:rPr>
          <w:rFonts w:ascii="宋体" w:hAnsi="宋体"/>
          <w:color w:val="auto"/>
          <w:szCs w:val="21"/>
        </w:rPr>
      </w:pPr>
      <w:r>
        <w:rPr>
          <w:rFonts w:hint="eastAsia" w:ascii="宋体" w:hAnsi="宋体"/>
          <w:color w:val="auto"/>
          <w:szCs w:val="21"/>
        </w:rPr>
        <w:t>3、“供应商”系指提交投标文件的供应商。</w:t>
      </w:r>
    </w:p>
    <w:p w14:paraId="55BFE8AE">
      <w:pPr>
        <w:spacing w:line="400" w:lineRule="exact"/>
        <w:ind w:firstLine="420" w:firstLineChars="200"/>
        <w:jc w:val="left"/>
        <w:rPr>
          <w:rFonts w:ascii="宋体" w:hAnsi="宋体"/>
          <w:color w:val="auto"/>
          <w:szCs w:val="21"/>
        </w:rPr>
      </w:pPr>
      <w:r>
        <w:rPr>
          <w:rFonts w:hint="eastAsia" w:ascii="宋体" w:hAnsi="宋体"/>
          <w:color w:val="auto"/>
          <w:szCs w:val="21"/>
        </w:rPr>
        <w:t>4、“货物”系指供方按招标文件规定，须向采购人提供的一切货物、保险、备品备件、工具、手册及其它有关技术资料和材料。</w:t>
      </w:r>
    </w:p>
    <w:p w14:paraId="79E02016">
      <w:pPr>
        <w:spacing w:line="400" w:lineRule="exact"/>
        <w:ind w:firstLine="420" w:firstLineChars="200"/>
        <w:jc w:val="left"/>
        <w:rPr>
          <w:rFonts w:ascii="宋体" w:hAnsi="宋体" w:cs="Arial"/>
          <w:color w:val="auto"/>
        </w:rPr>
      </w:pPr>
      <w:r>
        <w:rPr>
          <w:rFonts w:hint="eastAsia" w:ascii="宋体" w:hAnsi="宋体"/>
          <w:color w:val="auto"/>
          <w:szCs w:val="21"/>
        </w:rPr>
        <w:t>5、“服务”系指招标文件规定供应商</w:t>
      </w:r>
      <w:r>
        <w:rPr>
          <w:rFonts w:hint="eastAsia" w:ascii="宋体" w:hAnsi="宋体" w:cs="Arial"/>
          <w:color w:val="auto"/>
        </w:rPr>
        <w:t>须承担的</w:t>
      </w:r>
      <w:r>
        <w:rPr>
          <w:rFonts w:hint="eastAsia" w:ascii="宋体" w:hAnsi="宋体"/>
          <w:color w:val="auto"/>
          <w:szCs w:val="21"/>
        </w:rPr>
        <w:t>技术协助、</w:t>
      </w:r>
      <w:r>
        <w:rPr>
          <w:rFonts w:hint="eastAsia" w:ascii="宋体" w:hAnsi="宋体" w:cs="Arial"/>
          <w:color w:val="auto"/>
        </w:rPr>
        <w:t>供货、验收、售后服务以及其他类似的义务。</w:t>
      </w:r>
    </w:p>
    <w:p w14:paraId="7C33002C">
      <w:pPr>
        <w:spacing w:line="400" w:lineRule="exact"/>
        <w:ind w:firstLine="420" w:firstLineChars="200"/>
        <w:jc w:val="left"/>
        <w:rPr>
          <w:rFonts w:ascii="宋体" w:hAnsi="宋体"/>
          <w:color w:val="auto"/>
          <w:szCs w:val="21"/>
        </w:rPr>
      </w:pPr>
      <w:r>
        <w:rPr>
          <w:rFonts w:hint="eastAsia" w:ascii="宋体" w:hAnsi="宋体"/>
          <w:color w:val="auto"/>
          <w:szCs w:val="21"/>
        </w:rPr>
        <w:t>6、“▲”系指实质性响应条款。</w:t>
      </w:r>
    </w:p>
    <w:p w14:paraId="0D7B50DF">
      <w:pPr>
        <w:spacing w:line="400" w:lineRule="exact"/>
        <w:ind w:firstLine="420" w:firstLineChars="200"/>
        <w:jc w:val="left"/>
        <w:rPr>
          <w:rFonts w:ascii="宋体" w:hAnsi="宋体"/>
          <w:color w:val="auto"/>
          <w:szCs w:val="21"/>
        </w:rPr>
      </w:pPr>
      <w:r>
        <w:rPr>
          <w:rFonts w:hint="eastAsia" w:ascii="宋体" w:hAnsi="宋体"/>
          <w:color w:val="auto"/>
          <w:szCs w:val="21"/>
        </w:rPr>
        <w:t>▲7、合格的投标货物或服务：</w:t>
      </w:r>
    </w:p>
    <w:p w14:paraId="30F6E27D">
      <w:pPr>
        <w:spacing w:line="400" w:lineRule="exact"/>
        <w:ind w:firstLine="420" w:firstLineChars="200"/>
        <w:jc w:val="left"/>
        <w:rPr>
          <w:rFonts w:ascii="宋体" w:hAnsi="宋体"/>
          <w:color w:val="auto"/>
          <w:szCs w:val="21"/>
        </w:rPr>
      </w:pPr>
      <w:r>
        <w:rPr>
          <w:rFonts w:hint="eastAsia" w:ascii="宋体" w:hAnsi="宋体"/>
          <w:color w:val="auto"/>
          <w:szCs w:val="21"/>
        </w:rPr>
        <w:t>7.1应该是中国境内生产的货物或提供的服务。</w:t>
      </w:r>
    </w:p>
    <w:p w14:paraId="20248D4C">
      <w:pPr>
        <w:spacing w:line="400" w:lineRule="exact"/>
        <w:ind w:firstLine="420" w:firstLineChars="200"/>
        <w:jc w:val="left"/>
        <w:rPr>
          <w:rFonts w:ascii="宋体" w:hAnsi="宋体"/>
          <w:color w:val="auto"/>
          <w:szCs w:val="21"/>
        </w:rPr>
      </w:pPr>
      <w:r>
        <w:rPr>
          <w:rFonts w:hint="eastAsia" w:ascii="宋体" w:hAnsi="宋体"/>
          <w:color w:val="auto"/>
          <w:szCs w:val="21"/>
        </w:rPr>
        <w:t>若投标货物或服务是国家实行许可证制度或生产注册证制度的产品或服务，则应具备相应有效的证书。</w:t>
      </w:r>
    </w:p>
    <w:p w14:paraId="3D222E18">
      <w:pPr>
        <w:spacing w:line="400" w:lineRule="exact"/>
        <w:ind w:firstLine="420" w:firstLineChars="200"/>
        <w:jc w:val="left"/>
        <w:rPr>
          <w:rFonts w:ascii="宋体" w:hAnsi="宋体"/>
          <w:color w:val="auto"/>
          <w:szCs w:val="21"/>
        </w:rPr>
      </w:pPr>
      <w:r>
        <w:rPr>
          <w:rFonts w:hint="eastAsia" w:ascii="宋体" w:hAnsi="宋体"/>
          <w:color w:val="auto"/>
          <w:szCs w:val="21"/>
        </w:rPr>
        <w:t>7.2国家规定有标准及规范的，投标货物或服务应按有效的标准及规范执行，应符合国家及招标文件提出的有关技术、质量、安全标准。</w:t>
      </w:r>
    </w:p>
    <w:p w14:paraId="34AD1321">
      <w:pPr>
        <w:spacing w:line="400" w:lineRule="exact"/>
        <w:ind w:firstLine="420" w:firstLineChars="200"/>
        <w:jc w:val="left"/>
        <w:rPr>
          <w:rFonts w:ascii="宋体" w:hAnsi="宋体"/>
          <w:color w:val="auto"/>
          <w:szCs w:val="21"/>
        </w:rPr>
      </w:pPr>
      <w:r>
        <w:rPr>
          <w:rFonts w:hint="eastAsia" w:ascii="宋体" w:hAnsi="宋体"/>
          <w:color w:val="auto"/>
          <w:szCs w:val="21"/>
        </w:rPr>
        <w:t>7.3供应商应保证所提供的产品或服务免受第三方提出侵犯其知识产权（专利权、商标权、工业设计权及使用权等）的索赔或起诉，否则，由此可能产生的一切法律责任和经济责任均由供应商承担。</w:t>
      </w:r>
    </w:p>
    <w:p w14:paraId="6108C9EA">
      <w:pPr>
        <w:spacing w:line="400" w:lineRule="exact"/>
        <w:ind w:firstLine="422" w:firstLineChars="200"/>
        <w:jc w:val="left"/>
        <w:rPr>
          <w:rFonts w:ascii="宋体" w:hAnsi="宋体"/>
          <w:b/>
          <w:color w:val="auto"/>
          <w:szCs w:val="21"/>
        </w:rPr>
      </w:pPr>
      <w:r>
        <w:rPr>
          <w:rFonts w:hint="eastAsia" w:ascii="宋体" w:hAnsi="宋体"/>
          <w:b/>
          <w:color w:val="auto"/>
          <w:szCs w:val="21"/>
        </w:rPr>
        <w:t>7.4本项目合格的货物来源：国产。</w:t>
      </w:r>
    </w:p>
    <w:p w14:paraId="4FC971CD">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三、供应商的资格要求</w:t>
      </w:r>
    </w:p>
    <w:p w14:paraId="3F7D7FCD">
      <w:pPr>
        <w:spacing w:line="400" w:lineRule="exact"/>
        <w:ind w:firstLine="420" w:firstLineChars="200"/>
        <w:jc w:val="left"/>
        <w:rPr>
          <w:rFonts w:ascii="宋体" w:hAnsi="宋体"/>
          <w:color w:val="auto"/>
          <w:szCs w:val="21"/>
        </w:rPr>
      </w:pPr>
      <w:r>
        <w:rPr>
          <w:rFonts w:hint="eastAsia" w:ascii="宋体" w:hAnsi="宋体"/>
          <w:color w:val="auto"/>
          <w:szCs w:val="21"/>
        </w:rPr>
        <w:t>详见采购公告。</w:t>
      </w:r>
    </w:p>
    <w:p w14:paraId="3FD2C03A">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4D2C06D8">
      <w:pPr>
        <w:spacing w:line="400" w:lineRule="exact"/>
        <w:ind w:firstLine="420" w:firstLineChars="200"/>
        <w:jc w:val="left"/>
        <w:rPr>
          <w:rFonts w:ascii="宋体" w:hAnsi="宋体"/>
          <w:color w:val="auto"/>
          <w:szCs w:val="21"/>
        </w:rPr>
      </w:pPr>
      <w:r>
        <w:rPr>
          <w:rFonts w:hint="eastAsia" w:ascii="宋体" w:hAnsi="宋体"/>
          <w:color w:val="auto"/>
          <w:szCs w:val="21"/>
        </w:rPr>
        <w:t>无论投标过程和结果如何，供应商自行承担与投标有关的全部费用。</w:t>
      </w:r>
    </w:p>
    <w:p w14:paraId="010BAA4E">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5BBFF9FD">
      <w:pPr>
        <w:spacing w:line="400" w:lineRule="exact"/>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s="宋体"/>
          <w:color w:val="auto"/>
          <w:szCs w:val="21"/>
        </w:rPr>
        <w:t>投标报价包括但不仅限于货物验收合格交付各使用学校前所发生的一切费用，如货物、备品备件及专用工具制造、供货、保险、税金、装卸、移交前保管、验收等交付使用前发生的所有工作，以及技术服务、质量保证期内售后服务等相关费用（包括材料、设备物价上涨因素）等。</w:t>
      </w:r>
    </w:p>
    <w:p w14:paraId="1A141EA3">
      <w:pPr>
        <w:spacing w:line="400" w:lineRule="exact"/>
        <w:ind w:firstLine="420" w:firstLineChars="200"/>
        <w:jc w:val="left"/>
        <w:rPr>
          <w:rFonts w:ascii="宋体" w:hAnsi="宋体"/>
          <w:color w:val="auto"/>
          <w:szCs w:val="21"/>
        </w:rPr>
      </w:pPr>
      <w:r>
        <w:rPr>
          <w:rFonts w:hint="eastAsia" w:ascii="宋体" w:hAnsi="宋体"/>
          <w:color w:val="auto"/>
          <w:szCs w:val="21"/>
        </w:rPr>
        <w:t>2、供应商应按招标文件要求认真填写“开标一览表”和“分项报价表”。</w:t>
      </w:r>
    </w:p>
    <w:p w14:paraId="40A43F94">
      <w:pPr>
        <w:spacing w:line="400" w:lineRule="exact"/>
        <w:ind w:firstLine="422" w:firstLineChars="200"/>
        <w:jc w:val="left"/>
        <w:rPr>
          <w:rFonts w:ascii="宋体" w:hAnsi="宋体"/>
          <w:b/>
          <w:color w:val="auto"/>
          <w:szCs w:val="21"/>
        </w:rPr>
      </w:pPr>
      <w:r>
        <w:rPr>
          <w:rFonts w:hint="eastAsia" w:ascii="宋体" w:hAnsi="宋体"/>
          <w:b/>
          <w:color w:val="auto"/>
          <w:szCs w:val="21"/>
        </w:rPr>
        <w:t>六、投标有效期</w:t>
      </w:r>
    </w:p>
    <w:p w14:paraId="0336D38B">
      <w:pPr>
        <w:spacing w:line="400" w:lineRule="exact"/>
        <w:ind w:firstLine="210" w:firstLineChars="100"/>
        <w:jc w:val="left"/>
        <w:rPr>
          <w:rFonts w:ascii="宋体" w:hAnsi="宋体"/>
          <w:b/>
          <w:color w:val="auto"/>
          <w:szCs w:val="21"/>
        </w:rPr>
      </w:pPr>
      <w:r>
        <w:rPr>
          <w:rFonts w:hint="eastAsia" w:ascii="宋体" w:hAnsi="宋体"/>
          <w:color w:val="auto"/>
          <w:szCs w:val="21"/>
        </w:rPr>
        <w:t>▲1、投标文件从开标之日起，投标有效期为90个日历日。有效期自开标日起计算，不能小于招标文件的要求。</w:t>
      </w:r>
    </w:p>
    <w:p w14:paraId="6F194A87">
      <w:pPr>
        <w:spacing w:line="400" w:lineRule="exact"/>
        <w:ind w:firstLine="420" w:firstLineChars="200"/>
        <w:jc w:val="left"/>
        <w:rPr>
          <w:rFonts w:ascii="宋体" w:hAnsi="宋体"/>
          <w:b/>
          <w:color w:val="auto"/>
          <w:szCs w:val="21"/>
        </w:rPr>
      </w:pPr>
      <w:r>
        <w:rPr>
          <w:rFonts w:hint="eastAsia" w:ascii="宋体" w:hAnsi="宋体"/>
          <w:color w:val="auto"/>
          <w:szCs w:val="21"/>
        </w:rPr>
        <w:t>2、特殊情况下，采购人可与供应商协商延缓投标文件的有效期，这种要求和答复均以书面形式进行。</w:t>
      </w:r>
    </w:p>
    <w:p w14:paraId="6F7F601A">
      <w:pPr>
        <w:spacing w:line="400" w:lineRule="exact"/>
        <w:ind w:firstLine="420" w:firstLineChars="200"/>
        <w:jc w:val="left"/>
        <w:rPr>
          <w:rFonts w:ascii="宋体" w:hAnsi="宋体"/>
          <w:color w:val="auto"/>
          <w:szCs w:val="21"/>
        </w:rPr>
      </w:pPr>
      <w:r>
        <w:rPr>
          <w:rFonts w:hint="eastAsia" w:ascii="宋体" w:hAnsi="宋体"/>
          <w:color w:val="auto"/>
          <w:szCs w:val="21"/>
        </w:rPr>
        <w:t>3、供应商可拒绝接受延期要求。同意延长有效期的供应商不能修改投标文件。</w:t>
      </w:r>
    </w:p>
    <w:p w14:paraId="3F3E6516">
      <w:pPr>
        <w:spacing w:line="400" w:lineRule="exact"/>
        <w:ind w:firstLine="422" w:firstLineChars="200"/>
        <w:jc w:val="left"/>
        <w:rPr>
          <w:rFonts w:ascii="宋体" w:hAnsi="宋体"/>
          <w:b/>
          <w:color w:val="auto"/>
          <w:szCs w:val="21"/>
        </w:rPr>
      </w:pPr>
      <w:r>
        <w:rPr>
          <w:rFonts w:hint="eastAsia" w:ascii="宋体" w:hAnsi="宋体"/>
          <w:b/>
          <w:color w:val="auto"/>
          <w:szCs w:val="21"/>
        </w:rPr>
        <w:t>七、投标文件的形式和效力</w:t>
      </w:r>
    </w:p>
    <w:p w14:paraId="3BAA1689">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1、投标文件分为电子投标文件以及备份投标文件，备份投标文件为以</w:t>
      </w:r>
      <w:r>
        <w:rPr>
          <w:rFonts w:hint="eastAsia" w:ascii="宋体" w:hAnsi="宋体" w:cs="宋体"/>
          <w:color w:val="auto"/>
          <w:kern w:val="0"/>
          <w:szCs w:val="21"/>
        </w:rPr>
        <w:t>U盘或光盘存储的电子</w:t>
      </w:r>
      <w:r>
        <w:rPr>
          <w:rFonts w:hint="eastAsia" w:ascii="宋体" w:hAnsi="宋体" w:cs="宋体"/>
          <w:color w:val="auto"/>
          <w:szCs w:val="21"/>
        </w:rPr>
        <w:t>备份投标文件。</w:t>
      </w:r>
    </w:p>
    <w:p w14:paraId="2A5B9A06">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2、电子投标文件，按“项目采购-电子招投标操作指南”及本采购文件要求制作，并加密。</w:t>
      </w:r>
    </w:p>
    <w:p w14:paraId="18458EE9">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3、以U盘或光盘存储的电子备份投标文件，按“项目采购-电子招投标操作指南”制作的电子备份文件。</w:t>
      </w:r>
    </w:p>
    <w:p w14:paraId="0E5156C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4、投标文件填写字迹必须清楚、工整，对不同文字文本投标文件的解释发生异议的，以中文文本为准。</w:t>
      </w:r>
    </w:p>
    <w:p w14:paraId="7402AD7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5、投标文件的效力</w:t>
      </w:r>
    </w:p>
    <w:p w14:paraId="1F929908">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投标文件的启用，按先后顺位分别为电子投标文件、以U盘或光盘存储的电子备份投标文件。在下一顺位的投标文件启用时，前一顺位的投标文件自动失效。</w:t>
      </w:r>
    </w:p>
    <w:p w14:paraId="17F96944">
      <w:pPr>
        <w:spacing w:line="400" w:lineRule="exact"/>
        <w:ind w:firstLine="420" w:firstLineChars="200"/>
        <w:jc w:val="left"/>
        <w:rPr>
          <w:rFonts w:ascii="宋体" w:hAnsi="宋体"/>
          <w:color w:val="auto"/>
          <w:szCs w:val="21"/>
        </w:rPr>
      </w:pPr>
      <w:r>
        <w:rPr>
          <w:rFonts w:hint="eastAsia" w:ascii="宋体" w:hAnsi="宋体" w:cs="宋体"/>
          <w:color w:val="auto"/>
          <w:szCs w:val="21"/>
        </w:rPr>
        <w:t>电子投标文件未能按时解密，供应商提供了电子备份投标文件的，以电子备份投标文件作为依据，否则视为投标文件撤回。电子投标文件已按时解密的，电子备份投标文件自动失效。</w:t>
      </w:r>
    </w:p>
    <w:p w14:paraId="60E8BE11">
      <w:pPr>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八、投标文件的组成</w:t>
      </w:r>
    </w:p>
    <w:p w14:paraId="7D4231D0">
      <w:pPr>
        <w:spacing w:line="400" w:lineRule="exact"/>
        <w:ind w:firstLine="420" w:firstLineChars="200"/>
        <w:jc w:val="left"/>
        <w:rPr>
          <w:rFonts w:ascii="宋体" w:hAnsi="宋体"/>
          <w:b/>
          <w:bCs/>
          <w:color w:val="auto"/>
          <w:szCs w:val="21"/>
        </w:rPr>
      </w:pPr>
      <w:bookmarkStart w:id="27" w:name="OLE_LINK11"/>
      <w:r>
        <w:rPr>
          <w:rFonts w:hint="eastAsia" w:ascii="宋体" w:hAnsi="宋体" w:cs="宋体"/>
          <w:bCs/>
          <w:color w:val="auto"/>
          <w:szCs w:val="21"/>
        </w:rPr>
        <w:t>1、投标文件的组成：</w:t>
      </w:r>
    </w:p>
    <w:p w14:paraId="6FE41BF8">
      <w:pPr>
        <w:spacing w:line="400" w:lineRule="exact"/>
        <w:ind w:firstLine="422" w:firstLineChars="200"/>
        <w:jc w:val="left"/>
        <w:rPr>
          <w:rFonts w:ascii="宋体" w:hAnsi="宋体"/>
          <w:b/>
          <w:color w:val="auto"/>
          <w:szCs w:val="21"/>
        </w:rPr>
      </w:pPr>
      <w:r>
        <w:rPr>
          <w:rFonts w:hint="eastAsia" w:ascii="宋体" w:hAnsi="宋体"/>
          <w:b/>
          <w:bCs/>
          <w:color w:val="auto"/>
          <w:szCs w:val="21"/>
        </w:rPr>
        <w:t>A、资格文件</w:t>
      </w:r>
    </w:p>
    <w:p w14:paraId="102368F1">
      <w:pPr>
        <w:spacing w:line="400" w:lineRule="exact"/>
        <w:ind w:firstLine="420" w:firstLineChars="200"/>
        <w:jc w:val="left"/>
        <w:rPr>
          <w:rFonts w:ascii="宋体" w:hAnsi="宋体"/>
          <w:color w:val="auto"/>
          <w:szCs w:val="21"/>
        </w:rPr>
      </w:pPr>
      <w:r>
        <w:rPr>
          <w:rFonts w:hint="eastAsia" w:ascii="宋体" w:hAnsi="宋体"/>
          <w:color w:val="auto"/>
          <w:szCs w:val="21"/>
        </w:rPr>
        <w:t>A1、关于资格的承诺函；</w:t>
      </w:r>
    </w:p>
    <w:p w14:paraId="1CDBB99E">
      <w:pPr>
        <w:spacing w:line="400" w:lineRule="exact"/>
        <w:ind w:firstLine="420" w:firstLineChars="200"/>
        <w:jc w:val="left"/>
        <w:rPr>
          <w:rFonts w:ascii="宋体" w:hAnsi="宋体"/>
          <w:color w:val="auto"/>
          <w:szCs w:val="21"/>
        </w:rPr>
      </w:pPr>
      <w:r>
        <w:rPr>
          <w:rFonts w:hint="eastAsia" w:ascii="宋体" w:hAnsi="宋体"/>
          <w:color w:val="auto"/>
          <w:szCs w:val="21"/>
        </w:rPr>
        <w:t>A2、营业执照副本（或事业法人登记证副本或其他登记证明材料）复印件加盖供应商公章（供应商如果有名称变更的，应提供由行政主管部门出具的变更证明文件复印件加盖供应商公章）；</w:t>
      </w:r>
    </w:p>
    <w:p w14:paraId="5DAB06F1">
      <w:pPr>
        <w:spacing w:line="400" w:lineRule="exact"/>
        <w:ind w:firstLine="420" w:firstLineChars="200"/>
        <w:jc w:val="left"/>
        <w:rPr>
          <w:rFonts w:ascii="宋体" w:hAnsi="宋体"/>
          <w:color w:val="auto"/>
          <w:szCs w:val="21"/>
        </w:rPr>
      </w:pPr>
      <w:r>
        <w:rPr>
          <w:rFonts w:hint="eastAsia" w:ascii="宋体" w:hAnsi="宋体"/>
          <w:color w:val="auto"/>
          <w:szCs w:val="21"/>
        </w:rPr>
        <w:t>A3、中小企业声明函；</w:t>
      </w:r>
    </w:p>
    <w:p w14:paraId="491556E2">
      <w:pPr>
        <w:spacing w:line="400" w:lineRule="exact"/>
        <w:ind w:firstLine="420" w:firstLineChars="200"/>
        <w:jc w:val="left"/>
        <w:rPr>
          <w:rFonts w:ascii="宋体" w:hAnsi="宋体"/>
          <w:color w:val="auto"/>
          <w:szCs w:val="21"/>
        </w:rPr>
      </w:pPr>
      <w:r>
        <w:rPr>
          <w:rFonts w:hint="eastAsia" w:ascii="宋体" w:hAnsi="宋体"/>
          <w:color w:val="auto"/>
          <w:szCs w:val="21"/>
        </w:rPr>
        <w:t>A4、残疾人福利性单位声明函（如有需提供）；</w:t>
      </w:r>
    </w:p>
    <w:p w14:paraId="10368E17">
      <w:pPr>
        <w:spacing w:line="400" w:lineRule="exact"/>
        <w:ind w:firstLine="420" w:firstLineChars="200"/>
        <w:jc w:val="left"/>
        <w:rPr>
          <w:rFonts w:ascii="宋体" w:hAnsi="宋体"/>
          <w:color w:val="auto"/>
          <w:szCs w:val="21"/>
        </w:rPr>
      </w:pPr>
      <w:r>
        <w:rPr>
          <w:rFonts w:hint="eastAsia" w:ascii="宋体" w:hAnsi="宋体"/>
          <w:color w:val="auto"/>
          <w:szCs w:val="21"/>
        </w:rPr>
        <w:t>A5、省级以上监狱管理局、戒毒管理局（含新疆生产建设兵团）出具的供应商属于监狱企业的证明文件（如有需提供）。</w:t>
      </w:r>
    </w:p>
    <w:p w14:paraId="7CED56BD">
      <w:pPr>
        <w:spacing w:line="400" w:lineRule="exact"/>
        <w:ind w:firstLine="422" w:firstLineChars="200"/>
        <w:jc w:val="left"/>
        <w:rPr>
          <w:rFonts w:ascii="宋体" w:hAnsi="宋体"/>
          <w:b/>
          <w:bCs/>
          <w:color w:val="auto"/>
          <w:szCs w:val="21"/>
        </w:rPr>
      </w:pPr>
      <w:r>
        <w:rPr>
          <w:rFonts w:hint="eastAsia" w:ascii="宋体" w:hAnsi="宋体"/>
          <w:b/>
          <w:bCs/>
          <w:color w:val="auto"/>
          <w:szCs w:val="21"/>
        </w:rPr>
        <w:t>B、商务和技术文件</w:t>
      </w:r>
    </w:p>
    <w:p w14:paraId="1D40046C">
      <w:pPr>
        <w:spacing w:line="400" w:lineRule="exact"/>
        <w:ind w:firstLine="420" w:firstLineChars="200"/>
        <w:jc w:val="left"/>
        <w:rPr>
          <w:rFonts w:ascii="宋体" w:hAnsi="宋体"/>
          <w:color w:val="auto"/>
          <w:szCs w:val="21"/>
        </w:rPr>
      </w:pPr>
      <w:r>
        <w:rPr>
          <w:rFonts w:hint="eastAsia" w:ascii="宋体" w:hAnsi="宋体"/>
          <w:color w:val="auto"/>
          <w:szCs w:val="21"/>
        </w:rPr>
        <w:t>B1、投标书；</w:t>
      </w:r>
    </w:p>
    <w:p w14:paraId="485549B5">
      <w:pPr>
        <w:spacing w:line="400" w:lineRule="exact"/>
        <w:ind w:firstLine="420" w:firstLineChars="200"/>
        <w:jc w:val="left"/>
        <w:rPr>
          <w:rFonts w:ascii="宋体" w:hAnsi="宋体"/>
          <w:color w:val="auto"/>
          <w:szCs w:val="21"/>
        </w:rPr>
      </w:pPr>
      <w:r>
        <w:rPr>
          <w:rFonts w:hint="eastAsia" w:ascii="宋体" w:hAnsi="宋体"/>
          <w:color w:val="auto"/>
          <w:szCs w:val="21"/>
        </w:rPr>
        <w:t>B2、</w:t>
      </w:r>
      <w:r>
        <w:rPr>
          <w:rFonts w:ascii="宋体" w:hAnsi="宋体"/>
          <w:color w:val="auto"/>
          <w:szCs w:val="21"/>
        </w:rPr>
        <w:t>法定代表人身份证明</w:t>
      </w:r>
      <w:r>
        <w:rPr>
          <w:rFonts w:hint="eastAsia" w:ascii="宋体" w:hAnsi="宋体"/>
          <w:color w:val="auto"/>
          <w:szCs w:val="21"/>
        </w:rPr>
        <w:t>；</w:t>
      </w:r>
    </w:p>
    <w:p w14:paraId="0C018CBA">
      <w:pPr>
        <w:spacing w:line="400" w:lineRule="exact"/>
        <w:ind w:firstLine="420" w:firstLineChars="200"/>
        <w:jc w:val="left"/>
        <w:rPr>
          <w:rFonts w:ascii="宋体" w:hAnsi="宋体"/>
          <w:color w:val="auto"/>
          <w:szCs w:val="21"/>
        </w:rPr>
      </w:pPr>
      <w:r>
        <w:rPr>
          <w:rFonts w:hint="eastAsia" w:ascii="宋体" w:hAnsi="宋体"/>
          <w:color w:val="auto"/>
          <w:szCs w:val="21"/>
        </w:rPr>
        <w:t>B3、法定代表人授权书（投标文件由授权代表签字的）；</w:t>
      </w:r>
    </w:p>
    <w:p w14:paraId="7FBF834B">
      <w:pPr>
        <w:spacing w:line="400" w:lineRule="exact"/>
        <w:ind w:firstLine="420" w:firstLineChars="200"/>
        <w:jc w:val="left"/>
        <w:rPr>
          <w:rFonts w:ascii="宋体" w:hAnsi="宋体"/>
          <w:color w:val="auto"/>
          <w:szCs w:val="21"/>
        </w:rPr>
      </w:pPr>
      <w:r>
        <w:rPr>
          <w:rFonts w:hint="eastAsia" w:ascii="宋体" w:hAnsi="宋体"/>
          <w:color w:val="auto"/>
          <w:szCs w:val="21"/>
        </w:rPr>
        <w:t>B4、商务条款响应表；</w:t>
      </w:r>
    </w:p>
    <w:p w14:paraId="097D955F">
      <w:pPr>
        <w:spacing w:line="400" w:lineRule="exact"/>
        <w:ind w:firstLine="420" w:firstLineChars="200"/>
        <w:jc w:val="left"/>
        <w:rPr>
          <w:rFonts w:ascii="宋体" w:hAnsi="宋体"/>
          <w:color w:val="auto"/>
          <w:szCs w:val="21"/>
        </w:rPr>
      </w:pPr>
      <w:r>
        <w:rPr>
          <w:rFonts w:hint="eastAsia" w:ascii="宋体" w:hAnsi="宋体"/>
          <w:color w:val="auto"/>
          <w:szCs w:val="21"/>
        </w:rPr>
        <w:t>B5、技术条款响应表；</w:t>
      </w:r>
    </w:p>
    <w:p w14:paraId="78A627D6">
      <w:pPr>
        <w:spacing w:line="400" w:lineRule="exact"/>
        <w:ind w:firstLine="420" w:firstLineChars="200"/>
        <w:jc w:val="left"/>
        <w:rPr>
          <w:rFonts w:ascii="宋体" w:hAnsi="宋体"/>
          <w:color w:val="auto"/>
          <w:szCs w:val="21"/>
        </w:rPr>
      </w:pPr>
      <w:r>
        <w:rPr>
          <w:rFonts w:hint="eastAsia" w:ascii="宋体" w:hAnsi="宋体"/>
          <w:color w:val="auto"/>
          <w:szCs w:val="21"/>
        </w:rPr>
        <w:t>B6、第三章“评标办法及标准”中“评分标准（兼评委打分表）”要求提供的资料（如有需提供）；</w:t>
      </w:r>
    </w:p>
    <w:p w14:paraId="74FE7294">
      <w:pPr>
        <w:spacing w:line="400" w:lineRule="exact"/>
        <w:ind w:firstLine="420" w:firstLineChars="200"/>
        <w:jc w:val="left"/>
        <w:rPr>
          <w:rFonts w:ascii="宋体" w:hAnsi="宋体"/>
          <w:color w:val="auto"/>
          <w:szCs w:val="21"/>
        </w:rPr>
      </w:pPr>
      <w:r>
        <w:rPr>
          <w:rFonts w:hint="eastAsia" w:ascii="宋体" w:hAnsi="宋体"/>
          <w:color w:val="auto"/>
          <w:szCs w:val="21"/>
        </w:rPr>
        <w:t>▲“资格文件”、“商务和技术文件”中不得出现涉及投标价格的内容，否则作无效标处理。</w:t>
      </w:r>
    </w:p>
    <w:p w14:paraId="6BFCE7AE">
      <w:pPr>
        <w:spacing w:line="400" w:lineRule="exact"/>
        <w:ind w:firstLine="422" w:firstLineChars="200"/>
        <w:jc w:val="left"/>
        <w:rPr>
          <w:rFonts w:ascii="宋体" w:hAnsi="宋体"/>
          <w:b/>
          <w:bCs/>
          <w:color w:val="auto"/>
          <w:szCs w:val="21"/>
        </w:rPr>
      </w:pPr>
      <w:r>
        <w:rPr>
          <w:rFonts w:hint="eastAsia" w:ascii="宋体" w:hAnsi="宋体"/>
          <w:b/>
          <w:bCs/>
          <w:color w:val="auto"/>
          <w:szCs w:val="21"/>
        </w:rPr>
        <w:t>C、报价文件</w:t>
      </w:r>
    </w:p>
    <w:p w14:paraId="0C6F9AC4">
      <w:pPr>
        <w:spacing w:line="400" w:lineRule="exact"/>
        <w:ind w:firstLine="420" w:firstLineChars="200"/>
        <w:jc w:val="left"/>
        <w:rPr>
          <w:rFonts w:ascii="宋体" w:hAnsi="宋体"/>
          <w:color w:val="auto"/>
          <w:szCs w:val="21"/>
        </w:rPr>
      </w:pPr>
      <w:r>
        <w:rPr>
          <w:rFonts w:hint="eastAsia" w:ascii="宋体" w:hAnsi="宋体"/>
          <w:color w:val="auto"/>
          <w:szCs w:val="21"/>
        </w:rPr>
        <w:t>C1、开标一览表；</w:t>
      </w:r>
    </w:p>
    <w:p w14:paraId="0D601159">
      <w:pPr>
        <w:spacing w:line="400" w:lineRule="exact"/>
        <w:ind w:firstLine="420" w:firstLineChars="200"/>
        <w:jc w:val="left"/>
        <w:rPr>
          <w:rFonts w:ascii="宋体" w:hAnsi="宋体"/>
          <w:color w:val="auto"/>
          <w:szCs w:val="21"/>
        </w:rPr>
      </w:pPr>
      <w:r>
        <w:rPr>
          <w:rFonts w:hint="eastAsia" w:ascii="宋体" w:hAnsi="宋体"/>
          <w:color w:val="auto"/>
          <w:szCs w:val="21"/>
        </w:rPr>
        <w:t>C2、分项报价表；</w:t>
      </w:r>
    </w:p>
    <w:p w14:paraId="4C92C249">
      <w:pPr>
        <w:spacing w:line="400" w:lineRule="exact"/>
        <w:ind w:firstLine="420" w:firstLineChars="200"/>
        <w:jc w:val="left"/>
        <w:rPr>
          <w:rFonts w:ascii="宋体" w:hAnsi="宋体"/>
          <w:color w:val="auto"/>
          <w:szCs w:val="21"/>
        </w:rPr>
      </w:pPr>
      <w:r>
        <w:rPr>
          <w:rFonts w:hint="eastAsia" w:ascii="宋体" w:hAnsi="宋体"/>
          <w:color w:val="auto"/>
          <w:szCs w:val="21"/>
        </w:rPr>
        <w:t>C3、供应商认为需要的其他资料。</w:t>
      </w:r>
      <w:bookmarkEnd w:id="27"/>
    </w:p>
    <w:p w14:paraId="273197CC">
      <w:pPr>
        <w:spacing w:line="400" w:lineRule="exact"/>
        <w:ind w:firstLine="420" w:firstLineChars="200"/>
        <w:jc w:val="left"/>
        <w:rPr>
          <w:rFonts w:ascii="宋体" w:hAnsi="宋体" w:cs="宋体"/>
          <w:color w:val="auto"/>
          <w:szCs w:val="21"/>
        </w:rPr>
      </w:pPr>
      <w:bookmarkStart w:id="28" w:name="OLE_LINK7"/>
      <w:r>
        <w:rPr>
          <w:rFonts w:hint="eastAsia" w:ascii="宋体" w:hAnsi="宋体" w:cs="宋体"/>
          <w:color w:val="auto"/>
          <w:szCs w:val="21"/>
        </w:rPr>
        <w:t>2、投标文件的份数：</w:t>
      </w:r>
    </w:p>
    <w:p w14:paraId="50ED651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本项目实行网上投标，供应商应准备以下投标文件：（备份投标文件不强制要求提交，但因电子投标文件未能按时解密或解密失败，供应商又未提交备份投标文件的，将被视为投标文件撤回，投标无效。）</w:t>
      </w:r>
    </w:p>
    <w:p w14:paraId="53C097B4">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上传到政府采购云平台的电子投标文件（含</w:t>
      </w:r>
      <w:r>
        <w:rPr>
          <w:rFonts w:hint="eastAsia" w:ascii="宋体" w:hAnsi="宋体" w:cs="宋体"/>
          <w:color w:val="auto"/>
          <w:szCs w:val="21"/>
        </w:rPr>
        <w:t>资格文件、商务和技术文件、报价文件）</w:t>
      </w:r>
      <w:r>
        <w:rPr>
          <w:rFonts w:hint="eastAsia" w:ascii="宋体" w:hAnsi="宋体" w:cs="宋体"/>
          <w:color w:val="auto"/>
          <w:kern w:val="0"/>
          <w:szCs w:val="21"/>
        </w:rPr>
        <w:t>1份</w:t>
      </w:r>
      <w:r>
        <w:rPr>
          <w:rFonts w:hint="eastAsia" w:ascii="宋体" w:hAnsi="宋体" w:cs="宋体"/>
          <w:color w:val="auto"/>
          <w:szCs w:val="21"/>
        </w:rPr>
        <w:t>。</w:t>
      </w:r>
    </w:p>
    <w:p w14:paraId="348CBCB8">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以U盘或光盘存储的电子备份投标文件（含</w:t>
      </w:r>
      <w:r>
        <w:rPr>
          <w:rFonts w:hint="eastAsia" w:ascii="宋体" w:hAnsi="宋体" w:cs="宋体"/>
          <w:color w:val="auto"/>
          <w:szCs w:val="21"/>
        </w:rPr>
        <w:t>资格文件、商务和技术文件、报价文件）</w:t>
      </w:r>
      <w:r>
        <w:rPr>
          <w:rFonts w:hint="eastAsia" w:ascii="宋体" w:hAnsi="宋体" w:cs="宋体"/>
          <w:color w:val="auto"/>
          <w:kern w:val="0"/>
          <w:szCs w:val="21"/>
        </w:rPr>
        <w:t>1份</w:t>
      </w:r>
      <w:r>
        <w:rPr>
          <w:rFonts w:hint="eastAsia" w:ascii="宋体" w:hAnsi="宋体" w:cs="宋体"/>
          <w:color w:val="auto"/>
          <w:szCs w:val="21"/>
        </w:rPr>
        <w:t>。</w:t>
      </w:r>
      <w:bookmarkEnd w:id="28"/>
    </w:p>
    <w:p w14:paraId="55B46620">
      <w:pPr>
        <w:spacing w:line="400" w:lineRule="exact"/>
        <w:ind w:firstLine="422" w:firstLineChars="200"/>
        <w:jc w:val="left"/>
        <w:rPr>
          <w:rFonts w:ascii="宋体" w:hAnsi="宋体"/>
          <w:b/>
          <w:color w:val="auto"/>
          <w:szCs w:val="21"/>
        </w:rPr>
      </w:pPr>
      <w:r>
        <w:rPr>
          <w:rFonts w:hint="eastAsia" w:ascii="宋体" w:hAnsi="宋体" w:cs="宋体"/>
          <w:b/>
          <w:color w:val="auto"/>
          <w:szCs w:val="21"/>
        </w:rPr>
        <w:t>供应商应对投标文件编制目录和评分索引表以方便查询。</w:t>
      </w:r>
    </w:p>
    <w:p w14:paraId="5838FF6F">
      <w:pPr>
        <w:spacing w:line="400" w:lineRule="exact"/>
        <w:ind w:firstLine="420" w:firstLineChars="200"/>
        <w:jc w:val="left"/>
        <w:rPr>
          <w:rFonts w:ascii="宋体" w:hAnsi="宋体"/>
          <w:color w:val="auto"/>
          <w:szCs w:val="21"/>
        </w:rPr>
      </w:pPr>
      <w:r>
        <w:rPr>
          <w:rFonts w:hint="eastAsia" w:ascii="宋体" w:hAnsi="宋体"/>
          <w:color w:val="auto"/>
          <w:szCs w:val="21"/>
        </w:rPr>
        <w:t>3、投标文件制作：</w:t>
      </w:r>
    </w:p>
    <w:p w14:paraId="3B78062A">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827FDFD">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（2）供应商通过政府采购云平台电子投标工具制作投标文件。电子投标工具请供应商自行前往浙江政府采购网下载并安装。</w:t>
      </w:r>
    </w:p>
    <w:p w14:paraId="47C57121">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（3）以U盘或光盘存储的电子备份投标文件1份，即按“项目采购-电子招投标操作指南”制作的电子备份文件，以用于异常情况处理。</w:t>
      </w:r>
    </w:p>
    <w:p w14:paraId="76D54927">
      <w:pPr>
        <w:spacing w:line="400" w:lineRule="exact"/>
        <w:ind w:firstLine="420" w:firstLineChars="200"/>
        <w:jc w:val="left"/>
        <w:rPr>
          <w:rFonts w:ascii="宋体" w:hAnsi="宋体" w:cs="仿宋"/>
          <w:b/>
          <w:bCs/>
          <w:color w:val="auto"/>
          <w:szCs w:val="21"/>
        </w:rPr>
      </w:pPr>
      <w:r>
        <w:rPr>
          <w:rFonts w:hint="eastAsia" w:ascii="宋体" w:hAnsi="宋体" w:cs="宋体"/>
          <w:bCs/>
          <w:color w:val="auto"/>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503FEB6B">
      <w:pPr>
        <w:spacing w:line="400" w:lineRule="exact"/>
        <w:ind w:firstLine="422" w:firstLineChars="200"/>
        <w:jc w:val="left"/>
        <w:rPr>
          <w:rFonts w:ascii="宋体" w:hAnsi="宋体"/>
          <w:b/>
          <w:color w:val="auto"/>
          <w:szCs w:val="21"/>
        </w:rPr>
      </w:pPr>
      <w:r>
        <w:rPr>
          <w:rFonts w:hint="eastAsia" w:ascii="宋体" w:hAnsi="宋体"/>
          <w:b/>
          <w:color w:val="auto"/>
          <w:szCs w:val="21"/>
        </w:rPr>
        <w:t>九、投标文件的编制、密封和标记</w:t>
      </w:r>
    </w:p>
    <w:p w14:paraId="26B3319C">
      <w:pPr>
        <w:spacing w:line="400" w:lineRule="exact"/>
        <w:ind w:firstLine="420" w:firstLineChars="200"/>
        <w:jc w:val="left"/>
        <w:rPr>
          <w:rFonts w:ascii="宋体" w:hAnsi="宋体"/>
          <w:color w:val="auto"/>
          <w:szCs w:val="21"/>
        </w:rPr>
      </w:pPr>
      <w:r>
        <w:rPr>
          <w:rFonts w:hint="eastAsia" w:ascii="宋体" w:hAnsi="宋体" w:cs="宋体"/>
          <w:color w:val="auto"/>
          <w:szCs w:val="21"/>
        </w:rPr>
        <w:t>1、招标文件第七章“附件”中标明加盖公章或签字（或盖章）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3439EE48">
      <w:pPr>
        <w:spacing w:line="400" w:lineRule="exact"/>
        <w:ind w:firstLine="422" w:firstLineChars="200"/>
        <w:jc w:val="left"/>
        <w:rPr>
          <w:rFonts w:ascii="宋体" w:hAnsi="宋体"/>
          <w:b/>
          <w:color w:val="auto"/>
          <w:szCs w:val="21"/>
        </w:rPr>
      </w:pPr>
      <w:r>
        <w:rPr>
          <w:rFonts w:hint="eastAsia" w:ascii="宋体" w:hAnsi="宋体"/>
          <w:b/>
          <w:color w:val="auto"/>
          <w:szCs w:val="21"/>
        </w:rPr>
        <w:t>十、投标文件的密封和标记</w:t>
      </w:r>
    </w:p>
    <w:p w14:paraId="706FFF76">
      <w:pPr>
        <w:spacing w:line="400" w:lineRule="exact"/>
        <w:ind w:firstLine="420" w:firstLineChars="200"/>
        <w:jc w:val="left"/>
        <w:rPr>
          <w:rFonts w:ascii="宋体" w:hAnsi="宋体"/>
          <w:color w:val="auto"/>
          <w:szCs w:val="21"/>
        </w:rPr>
      </w:pPr>
      <w:r>
        <w:rPr>
          <w:rFonts w:hint="eastAsia" w:ascii="宋体" w:hAnsi="宋体"/>
          <w:color w:val="auto"/>
          <w:szCs w:val="21"/>
        </w:rPr>
        <w:t>1、电子投标文件：供应商应根据“项目采购-电子招投标操作指南”及本招标文件规定的格式和顺序编制电子投标文件并进行关联定位。</w:t>
      </w:r>
    </w:p>
    <w:p w14:paraId="2C6BA75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以U盘或光盘存储的电子备份投标文件</w:t>
      </w:r>
      <w:r>
        <w:rPr>
          <w:rFonts w:hint="eastAsia" w:ascii="宋体" w:hAnsi="宋体"/>
          <w:color w:val="auto"/>
          <w:szCs w:val="21"/>
        </w:rPr>
        <w:t>用封袋密封后递交。</w:t>
      </w:r>
    </w:p>
    <w:p w14:paraId="28FAAD7E">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电子备份投标文件须在</w:t>
      </w:r>
      <w:r>
        <w:rPr>
          <w:rFonts w:hint="eastAsia" w:ascii="宋体" w:hAnsi="宋体"/>
          <w:color w:val="auto"/>
          <w:szCs w:val="21"/>
        </w:rPr>
        <w:t>封袋上分别注明：</w:t>
      </w:r>
    </w:p>
    <w:p w14:paraId="05E406F4">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“电子备份投标文件”            </w:t>
      </w:r>
      <w:r>
        <w:rPr>
          <w:rFonts w:hint="eastAsia" w:ascii="宋体" w:hAnsi="宋体"/>
          <w:color w:val="auto"/>
          <w:szCs w:val="21"/>
        </w:rPr>
        <w:t>；</w:t>
      </w:r>
    </w:p>
    <w:p w14:paraId="1A5959DA">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QWZFCG25054（NBITC-202510852G）</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22035199">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）项目名称：</w:t>
      </w:r>
      <w:r>
        <w:rPr>
          <w:rFonts w:hint="eastAsia" w:ascii="宋体" w:hAnsi="宋体"/>
          <w:color w:val="auto"/>
          <w:szCs w:val="21"/>
          <w:u w:val="single"/>
        </w:rPr>
        <w:t>宁波前湾新区教育文体和旅游局学生午休垫采购项目</w:t>
      </w:r>
      <w:r>
        <w:rPr>
          <w:rFonts w:hint="eastAsia" w:ascii="宋体" w:hAnsi="宋体"/>
          <w:color w:val="auto"/>
          <w:szCs w:val="21"/>
        </w:rPr>
        <w:t>；</w:t>
      </w:r>
    </w:p>
    <w:p w14:paraId="59BCE74C">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）所投标项（如有多个标项须填写）：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2EDEB9B8">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）在</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日（规定的开标日期和时间）前不准启封；</w:t>
      </w:r>
    </w:p>
    <w:p w14:paraId="6C4E19C5">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）供应商的名称：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7D98C11E">
      <w:pPr>
        <w:spacing w:line="400" w:lineRule="exact"/>
        <w:ind w:firstLine="420" w:firstLineChars="200"/>
        <w:jc w:val="left"/>
        <w:rPr>
          <w:rFonts w:ascii="宋体" w:hAnsi="宋体"/>
          <w:color w:val="auto"/>
          <w:szCs w:val="21"/>
        </w:rPr>
      </w:pPr>
      <w:r>
        <w:rPr>
          <w:rFonts w:hint="eastAsia" w:ascii="宋体" w:hAnsi="宋体"/>
          <w:color w:val="auto"/>
          <w:szCs w:val="21"/>
        </w:rPr>
        <w:t>供应商须在包封上加盖供应商公章或由其法定代表人或授权代表签字（或盖章）。</w:t>
      </w:r>
    </w:p>
    <w:p w14:paraId="2F691347">
      <w:pPr>
        <w:spacing w:line="400" w:lineRule="exact"/>
        <w:ind w:firstLine="420" w:firstLineChars="200"/>
        <w:jc w:val="left"/>
        <w:rPr>
          <w:rFonts w:ascii="宋体" w:hAnsi="宋体"/>
          <w:color w:val="auto"/>
          <w:szCs w:val="21"/>
        </w:rPr>
      </w:pPr>
      <w:r>
        <w:rPr>
          <w:rFonts w:hint="eastAsia" w:ascii="宋体" w:hAnsi="宋体"/>
          <w:color w:val="auto"/>
          <w:szCs w:val="21"/>
        </w:rPr>
        <w:t>供应商未按上述要求标记的，采购人（代理机构）不承担错放或提前开封的责任。</w:t>
      </w:r>
    </w:p>
    <w:p w14:paraId="7C957124">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十一、投标文件的递交</w:t>
      </w:r>
    </w:p>
    <w:p w14:paraId="0A22D6CD">
      <w:pPr>
        <w:spacing w:line="400" w:lineRule="exact"/>
        <w:ind w:firstLine="420" w:firstLineChars="200"/>
        <w:jc w:val="left"/>
        <w:rPr>
          <w:rFonts w:ascii="宋体" w:hAnsi="宋体"/>
          <w:color w:val="auto"/>
          <w:szCs w:val="21"/>
        </w:rPr>
      </w:pPr>
      <w:r>
        <w:rPr>
          <w:rFonts w:hint="eastAsia" w:ascii="宋体" w:hAnsi="宋体"/>
          <w:color w:val="auto"/>
          <w:szCs w:val="21"/>
        </w:rPr>
        <w:t>1、投标文件递交的具体要求：</w:t>
      </w:r>
    </w:p>
    <w:p w14:paraId="2331BD4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▲（1）电子投标文件：供应商应于提交投标文件截止时间前将电子投标文件（含资格文件、商务和技术文件、报价文件）上传到政府采购云平台（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s="宋体"/>
          <w:color w:val="auto"/>
          <w:szCs w:val="21"/>
        </w:rPr>
        <w:t>www.zcygov.cn</w:t>
      </w:r>
      <w:r>
        <w:rPr>
          <w:rFonts w:hint="eastAsia" w:ascii="宋体" w:hAnsi="宋体" w:cs="宋体"/>
          <w:color w:val="auto"/>
          <w:szCs w:val="21"/>
        </w:rPr>
        <w:fldChar w:fldCharType="end"/>
      </w:r>
      <w:r>
        <w:rPr>
          <w:rFonts w:hint="eastAsia" w:ascii="宋体" w:hAnsi="宋体" w:cs="宋体"/>
          <w:color w:val="auto"/>
          <w:szCs w:val="21"/>
        </w:rPr>
        <w:t>）。</w:t>
      </w:r>
    </w:p>
    <w:p w14:paraId="4376B035">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（2）电子备份投标文件：供应商于提交投标文件截止时间前，将以U盘或光盘存储的电子备份投标文件（1份，含资格文件、商务和技术文件、报价文件）密封，采用现场递交或邮寄送达方式递交。</w:t>
      </w:r>
    </w:p>
    <w:p w14:paraId="19E427F3">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方式一：现场递交方式，供应商可安排授权代表在投标截止时间前30分钟内将电子备份投标文件送至开标地点：宁波前湾新区公共资源交易中心（宁波前湾新区创业创新大厦玉海西路201号3号楼2层公共资源交易中心）。若供应商授权代表早于投标截止时间前30分钟到达现场的，需将电子备份投标文件送至：宁波前湾新区公共资源交易中心公共资源交易投标报名窗口（宁波前湾新区创业创新大厦玉海西路201号3号楼2层公共资源交易中心）。电子备份投标文件递交时须同时递交供应商的法定代表人（或其授权代表）联系方式，并保证投标期间联系方式畅通。</w:t>
      </w:r>
    </w:p>
    <w:p w14:paraId="3AAA88F5">
      <w:pPr>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szCs w:val="21"/>
        </w:rPr>
        <w:t>方式二：投标截止时间30分钟前递交备份电子投标文件的，供应商可将备份电子投标文件邮寄或安排授权代表送至宁波前湾新区公共资源交易中心公共资源交易投标报名窗口（宁波前湾新区创业创新大厦玉海西路201号3号楼2层公共资源交易中心），联系方式：许老师0574-89388844。送达时间需在法定工作时间内(北京时间，周一至周五，上午8:30-11:30,下午13:30-16:30)。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15A54B4B">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（3）电子备份投标文件不强制要求提交，但因电子投标文件未能按时解密或解密失败，供应商又未提交电子备份投标文件的，将被视为投标文件撤回，投标无效。</w:t>
      </w:r>
    </w:p>
    <w:p w14:paraId="2AD04081">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2、供应商未按上述要求密封的电子备份投标文件，代理机构不予受理。</w:t>
      </w:r>
    </w:p>
    <w:p w14:paraId="5B5AA289">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逾期送达的或者未送达指定地点的，</w:t>
      </w:r>
      <w:r>
        <w:rPr>
          <w:rFonts w:hint="eastAsia" w:ascii="宋体" w:hAnsi="宋体" w:cs="宋体"/>
          <w:color w:val="auto"/>
          <w:szCs w:val="21"/>
        </w:rPr>
        <w:t>代理机构</w:t>
      </w:r>
      <w:r>
        <w:rPr>
          <w:rFonts w:ascii="宋体" w:hAnsi="宋体" w:cs="宋体"/>
          <w:color w:val="auto"/>
          <w:szCs w:val="21"/>
        </w:rPr>
        <w:t>不予受理。</w:t>
      </w:r>
    </w:p>
    <w:p w14:paraId="4B5965B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4、投标文件的补充、修改</w:t>
      </w:r>
    </w:p>
    <w:p w14:paraId="48F943C7">
      <w:pPr>
        <w:spacing w:line="400" w:lineRule="exact"/>
        <w:ind w:firstLine="420" w:firstLineChars="200"/>
        <w:jc w:val="left"/>
        <w:rPr>
          <w:rFonts w:ascii="宋体" w:hAnsi="宋体"/>
          <w:color w:val="auto"/>
          <w:szCs w:val="21"/>
        </w:rPr>
      </w:pPr>
      <w:r>
        <w:rPr>
          <w:rFonts w:hint="eastAsia" w:ascii="宋体" w:hAnsi="宋体" w:cs="宋体"/>
          <w:color w:val="auto"/>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33043CE0">
      <w:pPr>
        <w:spacing w:line="400" w:lineRule="exact"/>
        <w:ind w:firstLine="422" w:firstLineChars="200"/>
        <w:jc w:val="left"/>
        <w:rPr>
          <w:rFonts w:ascii="宋体" w:hAnsi="宋体"/>
          <w:b/>
          <w:color w:val="auto"/>
          <w:szCs w:val="21"/>
        </w:rPr>
      </w:pPr>
      <w:r>
        <w:rPr>
          <w:rFonts w:hint="eastAsia" w:ascii="宋体" w:hAnsi="宋体"/>
          <w:b/>
          <w:color w:val="auto"/>
          <w:szCs w:val="21"/>
        </w:rPr>
        <w:t>十二、开标</w:t>
      </w:r>
    </w:p>
    <w:p w14:paraId="70B1FBA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6622BEB5">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2、电子投标开标及评审程序：二阶段开标。</w:t>
      </w:r>
    </w:p>
    <w:p w14:paraId="537EB419">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第一阶段开标（资格文件及商务和技术文件）：</w:t>
      </w:r>
    </w:p>
    <w:p w14:paraId="330FED3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（1）宣布开标；</w:t>
      </w:r>
    </w:p>
    <w:p w14:paraId="22EAC9D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（2）投标截止时间后，供应商登录政府采购云平台，用“项目采购-开标评标”功能对电子投标文件进行在线解密，在线解密电子投标文件时间为开标时间后半</w:t>
      </w:r>
      <w:r>
        <w:rPr>
          <w:rFonts w:ascii="宋体" w:hAnsi="宋体" w:cs="宋体"/>
          <w:color w:val="auto"/>
          <w:szCs w:val="21"/>
        </w:rPr>
        <w:t>小时</w:t>
      </w:r>
      <w:r>
        <w:rPr>
          <w:rFonts w:hint="eastAsia" w:ascii="宋体" w:hAnsi="宋体" w:cs="宋体"/>
          <w:color w:val="auto"/>
          <w:szCs w:val="21"/>
        </w:rPr>
        <w:t>内。</w:t>
      </w:r>
    </w:p>
    <w:p w14:paraId="2E09B63B">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）介绍开标现场的人员情况；</w:t>
      </w:r>
    </w:p>
    <w:p w14:paraId="4F238A15">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）宣读递交投标文件的供应商名单、开标纪律、应当回避的情形等注意事项；</w:t>
      </w:r>
    </w:p>
    <w:p w14:paraId="0B601B2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）供应商签署不存在影响公平竞争的《政府采购活动现场确认声明书》；</w:t>
      </w:r>
    </w:p>
    <w:p w14:paraId="337CAB7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）开启“资格文件”、“商务和技术文件”，宣读供应商名称，并做开标记录；</w:t>
      </w:r>
    </w:p>
    <w:p w14:paraId="21F6688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）第一阶段开标记录在线签字确认；</w:t>
      </w:r>
    </w:p>
    <w:p w14:paraId="248AA7B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）告知供应商第二阶段开标的有关事宜；</w:t>
      </w:r>
    </w:p>
    <w:p w14:paraId="3FAAF35B">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）第一阶段开标结束。</w:t>
      </w:r>
    </w:p>
    <w:p w14:paraId="36D0F13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休会，评标委员会对“资格文件”、“商务和技术文件”进行评审。</w:t>
      </w:r>
    </w:p>
    <w:p w14:paraId="4B0B48C5">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第二阶段开标（报价文件）：</w:t>
      </w:r>
    </w:p>
    <w:p w14:paraId="2D22C680">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）在政府采购云平台宣告第一阶段评审无效供应商名单及理由；</w:t>
      </w:r>
    </w:p>
    <w:p w14:paraId="3BA5E845">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）公布经第一阶段评审符合招标文件要求的供应商的商务和技术得分情况；</w:t>
      </w:r>
    </w:p>
    <w:p w14:paraId="4AC2200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）在政府采购云平台开启除第一阶段无效标外的供应商的“报价文件”，宣读投标文件中“开标一览表”内容，以及采购人认为必要的其他内容与记录，并做开标记录；</w:t>
      </w:r>
    </w:p>
    <w:p w14:paraId="753FBF7B">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）第二阶段开标记录在线签字确认；</w:t>
      </w:r>
    </w:p>
    <w:p w14:paraId="5090A270">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休会，评标委员会对“报价文件”进行评审。</w:t>
      </w:r>
    </w:p>
    <w:p w14:paraId="44C5DE21">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（5）在政府采购云平台公布中标候选人名单及采购人最终确定中标供应商名单的时间和公告方式等；</w:t>
      </w:r>
    </w:p>
    <w:p w14:paraId="7A0079C0">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（6）第二阶段开标结束。</w:t>
      </w:r>
    </w:p>
    <w:p w14:paraId="30E7E961">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3、特别说明：政府采购云平台如对电子化开标及评审程序有调整的，按调整后的程序操作。</w:t>
      </w:r>
    </w:p>
    <w:p w14:paraId="6787E973">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本项目原则上采用政采云电子投标开标及评审程序，但有下情形之一的，按以下情况处理：</w:t>
      </w:r>
    </w:p>
    <w:p w14:paraId="04A04B5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（1）若供应商在规定时间内无法解密或解密失败，代理机构将开启上述供应商递交的以U盘存储的电子备份投标文件，上传至政采云平台项目采购模块，以完成开标，电子投标文件自动失效。</w:t>
      </w:r>
    </w:p>
    <w:p w14:paraId="00C5BF43">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（2）采购过程中出现以下情形，导致电子交易平台无法正常运行，或者无法保证电子交易的公平、公正和安全时，采购人（或代理机构）可中止电子交易活动：</w:t>
      </w:r>
    </w:p>
    <w:p w14:paraId="54205F2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①电子交易平台发生故障而无法登录访问的；</w:t>
      </w:r>
    </w:p>
    <w:p w14:paraId="07CDCA1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②电子交易平台应用或数据库出现错误，不能进行正常操作的；</w:t>
      </w:r>
    </w:p>
    <w:p w14:paraId="556F290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③电子交易平台发现严重安全漏洞，有潜在泄密危险的；</w:t>
      </w:r>
    </w:p>
    <w:p w14:paraId="431E57E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④病毒发作导致不能进行正常操作的； </w:t>
      </w:r>
    </w:p>
    <w:p w14:paraId="0A38C6B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⑤其他无法保证电子交易的公平、公正和安全的情况。</w:t>
      </w:r>
    </w:p>
    <w:p w14:paraId="0BF30906">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出现前款规定情形，不影响采购公平、公正性的，采购人（或代理机构）可以待上述情形消除后继续组织电子交易活动。</w:t>
      </w:r>
    </w:p>
    <w:p w14:paraId="1C50AAB6">
      <w:pPr>
        <w:spacing w:line="400" w:lineRule="exact"/>
        <w:ind w:firstLine="422" w:firstLineChars="200"/>
        <w:jc w:val="left"/>
        <w:rPr>
          <w:rFonts w:ascii="宋体" w:hAnsi="宋体"/>
          <w:b/>
          <w:color w:val="auto"/>
          <w:szCs w:val="21"/>
        </w:rPr>
      </w:pPr>
      <w:r>
        <w:rPr>
          <w:rFonts w:hint="eastAsia" w:ascii="宋体" w:hAnsi="宋体"/>
          <w:b/>
          <w:color w:val="auto"/>
          <w:szCs w:val="21"/>
        </w:rPr>
        <w:t>十三、评标</w:t>
      </w:r>
    </w:p>
    <w:p w14:paraId="454BCB39">
      <w:pPr>
        <w:spacing w:line="400" w:lineRule="exact"/>
        <w:ind w:firstLine="420" w:firstLineChars="200"/>
        <w:jc w:val="left"/>
        <w:rPr>
          <w:rFonts w:ascii="宋体" w:hAnsi="宋体"/>
          <w:color w:val="auto"/>
          <w:szCs w:val="21"/>
        </w:rPr>
      </w:pPr>
      <w:r>
        <w:rPr>
          <w:rFonts w:hint="eastAsia" w:ascii="宋体" w:hAnsi="宋体"/>
          <w:color w:val="auto"/>
          <w:szCs w:val="21"/>
        </w:rPr>
        <w:t>1、采购人依据相关规定</w:t>
      </w:r>
      <w:r>
        <w:rPr>
          <w:rFonts w:ascii="宋体" w:hAnsi="宋体"/>
          <w:color w:val="auto"/>
          <w:szCs w:val="21"/>
        </w:rPr>
        <w:t>组建评标委员会，负责本项目的评标工作。</w:t>
      </w:r>
    </w:p>
    <w:p w14:paraId="5B56E1D9">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评标活动遵循</w:t>
      </w:r>
      <w:r>
        <w:rPr>
          <w:rFonts w:hint="eastAsia" w:ascii="宋体" w:hAnsi="宋体"/>
          <w:color w:val="auto"/>
          <w:szCs w:val="21"/>
        </w:rPr>
        <w:t>公开、</w:t>
      </w:r>
      <w:r>
        <w:rPr>
          <w:rFonts w:ascii="宋体" w:hAnsi="宋体"/>
          <w:color w:val="auto"/>
          <w:szCs w:val="21"/>
        </w:rPr>
        <w:t>公平、公正、科学和择优的原则。</w:t>
      </w:r>
    </w:p>
    <w:p w14:paraId="75393BB6">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评标委员会按照</w:t>
      </w:r>
      <w:r>
        <w:rPr>
          <w:rFonts w:hint="eastAsia" w:ascii="宋体" w:hAnsi="宋体"/>
          <w:color w:val="auto"/>
          <w:szCs w:val="21"/>
        </w:rPr>
        <w:t>第三章“</w:t>
      </w:r>
      <w:r>
        <w:rPr>
          <w:rFonts w:ascii="宋体" w:hAnsi="宋体"/>
          <w:color w:val="auto"/>
          <w:szCs w:val="21"/>
        </w:rPr>
        <w:t>评标办法及标准</w:t>
      </w:r>
      <w:r>
        <w:rPr>
          <w:rFonts w:hint="eastAsia" w:ascii="宋体" w:hAnsi="宋体"/>
          <w:color w:val="auto"/>
          <w:szCs w:val="21"/>
        </w:rPr>
        <w:t>”</w:t>
      </w:r>
      <w:r>
        <w:rPr>
          <w:rFonts w:ascii="宋体" w:hAnsi="宋体"/>
          <w:color w:val="auto"/>
          <w:szCs w:val="21"/>
        </w:rPr>
        <w:t>对投标文件进行评审。</w:t>
      </w:r>
      <w:r>
        <w:rPr>
          <w:rFonts w:hint="eastAsia" w:ascii="宋体" w:hAnsi="宋体"/>
          <w:color w:val="auto"/>
          <w:szCs w:val="21"/>
        </w:rPr>
        <w:t>第三章“</w:t>
      </w:r>
      <w:r>
        <w:rPr>
          <w:rFonts w:ascii="宋体" w:hAnsi="宋体"/>
          <w:color w:val="auto"/>
          <w:szCs w:val="21"/>
        </w:rPr>
        <w:t>评标办法及标准</w:t>
      </w:r>
      <w:r>
        <w:rPr>
          <w:rFonts w:hint="eastAsia" w:ascii="宋体" w:hAnsi="宋体"/>
          <w:color w:val="auto"/>
          <w:szCs w:val="21"/>
        </w:rPr>
        <w:t>”</w:t>
      </w:r>
      <w:r>
        <w:rPr>
          <w:rFonts w:ascii="宋体" w:hAnsi="宋体"/>
          <w:color w:val="auto"/>
          <w:szCs w:val="21"/>
        </w:rPr>
        <w:t>没有规定的方法、评审因素和标准，不作为评标依据。</w:t>
      </w:r>
    </w:p>
    <w:p w14:paraId="0310AB46">
      <w:pPr>
        <w:spacing w:line="400" w:lineRule="exact"/>
        <w:ind w:firstLine="422" w:firstLineChars="200"/>
        <w:jc w:val="left"/>
        <w:rPr>
          <w:rFonts w:ascii="宋体" w:hAnsi="宋体"/>
          <w:b/>
          <w:color w:val="auto"/>
          <w:szCs w:val="21"/>
        </w:rPr>
      </w:pPr>
      <w:r>
        <w:rPr>
          <w:rFonts w:hint="eastAsia" w:ascii="宋体" w:hAnsi="宋体"/>
          <w:b/>
          <w:color w:val="auto"/>
          <w:szCs w:val="21"/>
        </w:rPr>
        <w:t>十四、招标文件的澄清和修改</w:t>
      </w:r>
    </w:p>
    <w:p w14:paraId="071C31AB">
      <w:pPr>
        <w:spacing w:line="400" w:lineRule="exact"/>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b/>
          <w:color w:val="auto"/>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10F95039">
      <w:pPr>
        <w:spacing w:line="400" w:lineRule="exact"/>
        <w:ind w:firstLine="422" w:firstLineChars="200"/>
        <w:jc w:val="left"/>
        <w:rPr>
          <w:rFonts w:ascii="宋体" w:hAnsi="宋体"/>
          <w:b/>
          <w:color w:val="auto"/>
          <w:szCs w:val="21"/>
        </w:rPr>
      </w:pPr>
      <w:r>
        <w:rPr>
          <w:rFonts w:hint="eastAsia" w:ascii="宋体" w:hAnsi="宋体"/>
          <w:b/>
          <w:color w:val="auto"/>
          <w:szCs w:val="21"/>
        </w:rPr>
        <w:t>十五、质疑</w:t>
      </w:r>
    </w:p>
    <w:p w14:paraId="324037EC">
      <w:pPr>
        <w:topLinePunct/>
        <w:spacing w:line="400" w:lineRule="exact"/>
        <w:ind w:firstLine="420" w:firstLineChars="200"/>
        <w:rPr>
          <w:rFonts w:ascii="宋体" w:hAnsi="宋体"/>
          <w:color w:val="auto"/>
          <w:szCs w:val="21"/>
        </w:rPr>
      </w:pPr>
      <w:r>
        <w:rPr>
          <w:rFonts w:hint="eastAsia" w:ascii="宋体" w:hAnsi="宋体"/>
          <w:color w:val="auto"/>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5F614388">
      <w:pPr>
        <w:topLinePunct/>
        <w:spacing w:line="400" w:lineRule="exact"/>
        <w:ind w:firstLine="420" w:firstLineChars="200"/>
        <w:rPr>
          <w:rFonts w:ascii="宋体" w:hAnsi="宋体"/>
          <w:color w:val="auto"/>
          <w:szCs w:val="21"/>
        </w:rPr>
      </w:pPr>
      <w:r>
        <w:rPr>
          <w:rFonts w:hint="eastAsia" w:ascii="宋体" w:hAnsi="宋体"/>
          <w:color w:val="auto"/>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EE1978F">
      <w:pPr>
        <w:topLinePunct/>
        <w:spacing w:line="400" w:lineRule="exact"/>
        <w:ind w:firstLine="420" w:firstLineChars="200"/>
        <w:rPr>
          <w:rFonts w:ascii="宋体" w:hAnsi="宋体"/>
          <w:color w:val="auto"/>
          <w:szCs w:val="21"/>
        </w:rPr>
      </w:pPr>
      <w:r>
        <w:rPr>
          <w:rFonts w:hint="eastAsia" w:ascii="宋体" w:hAnsi="宋体"/>
          <w:color w:val="auto"/>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F7B4E4E">
      <w:pPr>
        <w:topLinePunct/>
        <w:spacing w:line="400" w:lineRule="exact"/>
        <w:ind w:firstLine="420" w:firstLineChars="200"/>
        <w:rPr>
          <w:rFonts w:ascii="宋体" w:hAnsi="宋体"/>
          <w:color w:val="auto"/>
          <w:szCs w:val="21"/>
        </w:rPr>
      </w:pPr>
      <w:r>
        <w:rPr>
          <w:rFonts w:hint="eastAsia" w:ascii="宋体" w:hAnsi="宋体"/>
          <w:color w:val="auto"/>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7876FB85">
      <w:pPr>
        <w:topLinePunct/>
        <w:spacing w:line="400" w:lineRule="exact"/>
        <w:ind w:firstLine="420" w:firstLineChars="200"/>
        <w:rPr>
          <w:rFonts w:ascii="宋体" w:hAnsi="宋体"/>
          <w:color w:val="auto"/>
          <w:szCs w:val="21"/>
        </w:rPr>
      </w:pPr>
      <w:r>
        <w:rPr>
          <w:rFonts w:hint="eastAsia" w:ascii="宋体" w:hAnsi="宋体"/>
          <w:color w:val="auto"/>
          <w:szCs w:val="21"/>
        </w:rPr>
        <w:t>5、采购人、采购代理机构接收质疑函的方式：只接收供应商以当面递交、邮寄、传真或电子邮件方式提出的质疑函，以其他方式提出的质疑不予接收。</w:t>
      </w:r>
    </w:p>
    <w:p w14:paraId="01018361">
      <w:pPr>
        <w:topLinePunct/>
        <w:spacing w:line="400" w:lineRule="exact"/>
        <w:ind w:firstLine="420" w:firstLineChars="200"/>
        <w:rPr>
          <w:rFonts w:ascii="宋体" w:hAnsi="宋体"/>
          <w:color w:val="auto"/>
          <w:szCs w:val="21"/>
        </w:rPr>
      </w:pPr>
      <w:r>
        <w:rPr>
          <w:rFonts w:hint="eastAsia" w:ascii="宋体" w:hAnsi="宋体"/>
          <w:color w:val="auto"/>
          <w:szCs w:val="21"/>
        </w:rPr>
        <w:t>采取邮寄方式的，提出质疑的时间为质疑函原件交邮的时间（以邮戳时间或快递收件时间为准）。</w:t>
      </w:r>
    </w:p>
    <w:p w14:paraId="25341FE6">
      <w:pPr>
        <w:topLinePunct/>
        <w:spacing w:line="400" w:lineRule="exact"/>
        <w:ind w:firstLine="420" w:firstLineChars="200"/>
        <w:rPr>
          <w:rFonts w:ascii="宋体" w:hAnsi="宋体"/>
          <w:color w:val="auto"/>
          <w:szCs w:val="21"/>
        </w:rPr>
      </w:pPr>
      <w:r>
        <w:rPr>
          <w:rFonts w:hint="eastAsia" w:ascii="宋体" w:hAnsi="宋体"/>
          <w:color w:val="auto"/>
          <w:szCs w:val="21"/>
        </w:rPr>
        <w:t>采取传真、电子邮件方式的，供应商应当在传真、电子邮件发出后将质疑函原件邮寄给被质疑人，提出质疑的时间为质疑函原件交邮的时间（以邮戳时间或快递收件时间为准）。</w:t>
      </w:r>
    </w:p>
    <w:p w14:paraId="73B9C5C9">
      <w:pPr>
        <w:topLinePunct/>
        <w:spacing w:line="400" w:lineRule="exact"/>
        <w:ind w:firstLine="420" w:firstLineChars="200"/>
        <w:rPr>
          <w:rFonts w:ascii="宋体" w:hAnsi="宋体"/>
          <w:color w:val="auto"/>
          <w:szCs w:val="21"/>
        </w:rPr>
      </w:pPr>
      <w:r>
        <w:rPr>
          <w:rFonts w:hint="eastAsia" w:ascii="宋体" w:hAnsi="宋体"/>
          <w:color w:val="auto"/>
          <w:szCs w:val="21"/>
        </w:rPr>
        <w:t>6、采购人、采购代理机构以实际收到质疑函原件之日作为收到质疑函的日期，将在收到质疑函后7个工作日内作出答复。</w:t>
      </w:r>
    </w:p>
    <w:p w14:paraId="366D3F6C">
      <w:pPr>
        <w:spacing w:line="400" w:lineRule="exact"/>
        <w:ind w:firstLine="420" w:firstLineChars="200"/>
        <w:jc w:val="left"/>
        <w:rPr>
          <w:rFonts w:ascii="宋体" w:hAnsi="宋体"/>
          <w:color w:val="auto"/>
          <w:szCs w:val="21"/>
        </w:rPr>
      </w:pPr>
      <w:r>
        <w:rPr>
          <w:rFonts w:hint="eastAsia" w:ascii="宋体" w:hAnsi="宋体"/>
          <w:color w:val="auto"/>
          <w:szCs w:val="21"/>
        </w:rPr>
        <w:t>7、采购人、采购代理机构接收质疑函的联系人、联系电话和通讯地址等信息详见采购公告。</w:t>
      </w:r>
    </w:p>
    <w:p w14:paraId="79C5D936">
      <w:pPr>
        <w:spacing w:line="400" w:lineRule="exact"/>
        <w:ind w:firstLine="422" w:firstLineChars="200"/>
        <w:jc w:val="left"/>
        <w:rPr>
          <w:rFonts w:ascii="宋体" w:hAnsi="宋体"/>
          <w:color w:val="auto"/>
          <w:szCs w:val="21"/>
        </w:rPr>
      </w:pPr>
      <w:r>
        <w:rPr>
          <w:rFonts w:ascii="宋体" w:hAnsi="宋体"/>
          <w:b/>
          <w:color w:val="auto"/>
          <w:szCs w:val="21"/>
        </w:rPr>
        <w:t>▲</w:t>
      </w:r>
      <w:r>
        <w:rPr>
          <w:rFonts w:hint="eastAsia" w:ascii="宋体" w:hAnsi="宋体"/>
          <w:b/>
          <w:color w:val="auto"/>
          <w:szCs w:val="21"/>
        </w:rPr>
        <w:t>十六、预算金额及最高限价</w:t>
      </w:r>
    </w:p>
    <w:p w14:paraId="7597F110">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、本次采购预算金额为:</w:t>
      </w:r>
      <w:r>
        <w:rPr>
          <w:color w:val="auto"/>
        </w:rPr>
        <w:t xml:space="preserve"> </w:t>
      </w:r>
      <w:r>
        <w:rPr>
          <w:rFonts w:ascii="宋体" w:hAnsi="宋体"/>
          <w:color w:val="auto"/>
          <w:szCs w:val="21"/>
        </w:rPr>
        <w:t>1096065</w:t>
      </w:r>
      <w:r>
        <w:rPr>
          <w:rFonts w:hint="eastAsia" w:ascii="宋体" w:hAnsi="宋体"/>
          <w:color w:val="auto"/>
          <w:szCs w:val="21"/>
        </w:rPr>
        <w:t>.00元。投标报价超出预算金额的投标无效。</w:t>
      </w:r>
    </w:p>
    <w:p w14:paraId="79367570">
      <w:pPr>
        <w:spacing w:line="400" w:lineRule="exact"/>
        <w:ind w:firstLine="420" w:firstLineChars="200"/>
        <w:jc w:val="left"/>
        <w:rPr>
          <w:rFonts w:ascii="宋体" w:hAnsi="宋体"/>
          <w:color w:val="auto"/>
          <w:szCs w:val="21"/>
        </w:rPr>
      </w:pPr>
      <w:r>
        <w:rPr>
          <w:rFonts w:hint="eastAsia" w:ascii="宋体" w:hAnsi="宋体"/>
          <w:color w:val="auto"/>
          <w:szCs w:val="21"/>
        </w:rPr>
        <w:t>2、本次采购设有单价最高限价：</w:t>
      </w:r>
      <w:bookmarkStart w:id="29" w:name="OLE_LINK12"/>
      <w:bookmarkStart w:id="30" w:name="OLE_LINK10"/>
      <w:r>
        <w:rPr>
          <w:rFonts w:hint="eastAsia" w:ascii="宋体" w:hAnsi="宋体"/>
          <w:color w:val="auto"/>
          <w:szCs w:val="21"/>
        </w:rPr>
        <w:t>135元</w:t>
      </w:r>
      <w:bookmarkEnd w:id="29"/>
      <w:bookmarkEnd w:id="30"/>
      <w:r>
        <w:rPr>
          <w:rFonts w:hint="eastAsia" w:ascii="宋体" w:hAnsi="宋体"/>
          <w:color w:val="auto"/>
          <w:szCs w:val="21"/>
        </w:rPr>
        <w:t>/件。投标单价超出单价最高限价的投标无效。</w:t>
      </w:r>
    </w:p>
    <w:p w14:paraId="14939941">
      <w:pPr>
        <w:spacing w:line="400" w:lineRule="exact"/>
        <w:ind w:firstLine="422" w:firstLineChars="200"/>
        <w:jc w:val="left"/>
        <w:rPr>
          <w:rFonts w:ascii="宋体" w:hAnsi="宋体"/>
          <w:b/>
          <w:color w:val="auto"/>
          <w:szCs w:val="21"/>
        </w:rPr>
      </w:pPr>
      <w:r>
        <w:rPr>
          <w:rFonts w:hint="eastAsia" w:ascii="宋体" w:hAnsi="宋体"/>
          <w:b/>
          <w:color w:val="auto"/>
          <w:szCs w:val="21"/>
        </w:rPr>
        <w:t>十七、招标代理服务费</w:t>
      </w:r>
    </w:p>
    <w:p w14:paraId="75DF86DC">
      <w:pPr>
        <w:adjustRightInd w:val="0"/>
        <w:spacing w:line="400" w:lineRule="exact"/>
        <w:ind w:firstLine="420" w:firstLineChars="200"/>
        <w:jc w:val="left"/>
        <w:rPr>
          <w:rFonts w:ascii="宋体" w:hAnsi="宋体"/>
          <w:color w:val="auto"/>
          <w:szCs w:val="21"/>
        </w:rPr>
      </w:pPr>
      <w:r>
        <w:rPr>
          <w:rFonts w:hint="eastAsia" w:ascii="宋体" w:hAnsi="宋体"/>
          <w:color w:val="auto"/>
          <w:szCs w:val="21"/>
        </w:rPr>
        <w:t>1、</w:t>
      </w:r>
      <w:bookmarkStart w:id="31" w:name="OLE_LINK53"/>
      <w:bookmarkStart w:id="32" w:name="OLE_LINK54"/>
      <w:r>
        <w:rPr>
          <w:rFonts w:hint="eastAsia" w:ascii="宋体" w:hAnsi="宋体"/>
          <w:color w:val="auto"/>
          <w:szCs w:val="21"/>
        </w:rPr>
        <w:t>本项目招标代理服务费以中标金额为计费额，参照《招标代理服务收费管理暂行办法》（计价格[2002]1980号）和《国家发展改革委关于降低部分建设项目收费标准规范收费行为等有关问题的通知》（发改价格[2011]534号）规定的计算标准计取，由中标供应商支付给招标代理机构。</w:t>
      </w:r>
      <w:bookmarkEnd w:id="31"/>
      <w:bookmarkEnd w:id="32"/>
    </w:p>
    <w:p w14:paraId="5938D238">
      <w:pPr>
        <w:adjustRightInd w:val="0"/>
        <w:spacing w:line="400" w:lineRule="exact"/>
        <w:ind w:firstLine="420" w:firstLineChars="200"/>
        <w:jc w:val="left"/>
        <w:rPr>
          <w:rFonts w:ascii="宋体" w:hAnsi="宋体"/>
          <w:color w:val="auto"/>
          <w:szCs w:val="21"/>
        </w:rPr>
      </w:pPr>
      <w:r>
        <w:rPr>
          <w:rFonts w:hint="eastAsia" w:ascii="宋体" w:hAnsi="宋体"/>
          <w:color w:val="auto"/>
          <w:szCs w:val="21"/>
        </w:rPr>
        <w:t>2、中标供应商应在代理机构发出中标通知书5个工作日内向本代理机构支付代理服务费。</w:t>
      </w:r>
    </w:p>
    <w:p w14:paraId="4A0FC5C8">
      <w:pPr>
        <w:spacing w:line="400" w:lineRule="exact"/>
        <w:ind w:firstLine="420" w:firstLineChars="200"/>
        <w:jc w:val="left"/>
        <w:rPr>
          <w:rFonts w:ascii="宋体" w:hAnsi="宋体"/>
          <w:color w:val="auto"/>
          <w:szCs w:val="21"/>
        </w:rPr>
      </w:pPr>
      <w:r>
        <w:rPr>
          <w:rFonts w:hint="eastAsia" w:ascii="宋体" w:hAnsi="宋体"/>
          <w:color w:val="auto"/>
          <w:szCs w:val="21"/>
        </w:rPr>
        <w:t>3、代理服务费只收现金、银行票汇款、电汇款。</w:t>
      </w:r>
    </w:p>
    <w:p w14:paraId="5E9FA22F">
      <w:pPr>
        <w:spacing w:line="400" w:lineRule="exact"/>
        <w:ind w:firstLine="420" w:firstLineChars="200"/>
        <w:jc w:val="left"/>
        <w:rPr>
          <w:rFonts w:ascii="宋体" w:hAnsi="宋体"/>
          <w:color w:val="auto"/>
          <w:szCs w:val="21"/>
        </w:rPr>
      </w:pPr>
      <w:r>
        <w:rPr>
          <w:rFonts w:hint="eastAsia" w:ascii="宋体" w:hAnsi="宋体"/>
          <w:color w:val="auto"/>
          <w:szCs w:val="21"/>
        </w:rPr>
        <w:t>账户名称：宁波市国际招标有限公司</w:t>
      </w:r>
    </w:p>
    <w:p w14:paraId="5E734F91">
      <w:pPr>
        <w:spacing w:line="400" w:lineRule="exact"/>
        <w:ind w:firstLine="420" w:firstLineChars="200"/>
        <w:jc w:val="left"/>
        <w:rPr>
          <w:rFonts w:ascii="宋体" w:hAnsi="宋体"/>
          <w:color w:val="auto"/>
          <w:szCs w:val="21"/>
        </w:rPr>
      </w:pPr>
      <w:r>
        <w:rPr>
          <w:rFonts w:hint="eastAsia" w:ascii="宋体" w:hAnsi="宋体"/>
          <w:color w:val="auto"/>
          <w:szCs w:val="21"/>
        </w:rPr>
        <w:t>开户银行：上海浦东发展银行宁波分行江北支行</w:t>
      </w:r>
    </w:p>
    <w:p w14:paraId="3DFA0190">
      <w:pPr>
        <w:spacing w:line="400" w:lineRule="exact"/>
        <w:ind w:firstLine="420" w:firstLineChars="200"/>
        <w:jc w:val="left"/>
        <w:rPr>
          <w:rFonts w:ascii="宋体" w:hAnsi="宋体"/>
          <w:color w:val="auto"/>
          <w:szCs w:val="21"/>
        </w:rPr>
      </w:pPr>
      <w:r>
        <w:rPr>
          <w:rFonts w:hint="eastAsia" w:ascii="宋体" w:hAnsi="宋体"/>
          <w:color w:val="auto"/>
          <w:szCs w:val="21"/>
        </w:rPr>
        <w:t>银行账号：94090154800000191</w:t>
      </w:r>
    </w:p>
    <w:p w14:paraId="0E1CFD83">
      <w:pPr>
        <w:spacing w:line="400" w:lineRule="exact"/>
        <w:ind w:firstLine="422" w:firstLineChars="200"/>
        <w:jc w:val="left"/>
        <w:rPr>
          <w:rFonts w:ascii="宋体" w:hAnsi="宋体"/>
          <w:b/>
          <w:color w:val="auto"/>
          <w:szCs w:val="21"/>
        </w:rPr>
      </w:pPr>
      <w:r>
        <w:rPr>
          <w:rFonts w:hint="eastAsia" w:ascii="宋体" w:hAnsi="宋体"/>
          <w:b/>
          <w:color w:val="auto"/>
          <w:szCs w:val="21"/>
        </w:rPr>
        <w:t>十八、特别说明</w:t>
      </w:r>
    </w:p>
    <w:p w14:paraId="31334C7D">
      <w:pPr>
        <w:spacing w:line="400" w:lineRule="exact"/>
        <w:ind w:firstLine="420" w:firstLineChars="200"/>
        <w:rPr>
          <w:rFonts w:ascii="宋体" w:hAnsi="宋体"/>
          <w:color w:val="auto"/>
          <w:szCs w:val="21"/>
        </w:rPr>
      </w:pPr>
      <w:r>
        <w:rPr>
          <w:rFonts w:hint="eastAsia" w:ascii="宋体" w:hAnsi="宋体"/>
          <w:color w:val="auto"/>
          <w:szCs w:val="21"/>
        </w:rPr>
        <w:t>1、执行财政部、工业和信息化部《政府采购促进中小企业发展管理办法》（财库〔2020〕46号）。政府采购活动中有关中小企业的相关规定如下：</w:t>
      </w:r>
    </w:p>
    <w:p w14:paraId="57664BCB">
      <w:pPr>
        <w:spacing w:line="400" w:lineRule="exact"/>
        <w:ind w:firstLine="420" w:firstLineChars="200"/>
        <w:rPr>
          <w:rFonts w:ascii="宋体" w:hAnsi="宋体"/>
          <w:color w:val="auto"/>
          <w:szCs w:val="21"/>
        </w:rPr>
      </w:pPr>
      <w:r>
        <w:rPr>
          <w:rFonts w:hint="eastAsia" w:ascii="宋体" w:hAnsi="宋体"/>
          <w:color w:val="auto"/>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1116085">
      <w:pPr>
        <w:spacing w:line="400" w:lineRule="exact"/>
        <w:ind w:firstLine="420" w:firstLineChars="200"/>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39C72AA5">
      <w:pPr>
        <w:spacing w:line="400" w:lineRule="exact"/>
        <w:ind w:firstLine="420" w:firstLineChars="200"/>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3122E47D">
      <w:pPr>
        <w:spacing w:line="400" w:lineRule="exact"/>
        <w:ind w:firstLine="420" w:firstLineChars="200"/>
        <w:rPr>
          <w:rFonts w:ascii="宋体" w:hAnsi="宋体"/>
          <w:color w:val="auto"/>
          <w:szCs w:val="21"/>
        </w:rPr>
      </w:pPr>
      <w:r>
        <w:rPr>
          <w:rFonts w:hint="eastAsia" w:ascii="宋体" w:hAnsi="宋体"/>
          <w:color w:val="auto"/>
          <w:szCs w:val="21"/>
        </w:rPr>
        <w:t>①在货物采购项目中，货物由中小企业制造，即货物由中小企业生产且使用该中小企业商号或者注册商标；</w:t>
      </w:r>
    </w:p>
    <w:p w14:paraId="6FA03052">
      <w:pPr>
        <w:spacing w:line="400" w:lineRule="exact"/>
        <w:ind w:firstLine="420" w:firstLineChars="200"/>
        <w:rPr>
          <w:rFonts w:ascii="宋体" w:hAnsi="宋体"/>
          <w:color w:val="auto"/>
          <w:szCs w:val="21"/>
        </w:rPr>
      </w:pPr>
      <w:r>
        <w:rPr>
          <w:rFonts w:hint="eastAsia" w:ascii="宋体" w:hAnsi="宋体"/>
          <w:color w:val="auto"/>
          <w:szCs w:val="21"/>
        </w:rPr>
        <w:t>②在工程采购项目中，工程由中小企业承建，即工程施工单位为中小企业；</w:t>
      </w:r>
    </w:p>
    <w:p w14:paraId="23A8F7FC">
      <w:pPr>
        <w:spacing w:line="400" w:lineRule="exact"/>
        <w:ind w:firstLine="420" w:firstLineChars="200"/>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586ECE59">
      <w:pPr>
        <w:spacing w:line="400" w:lineRule="exact"/>
        <w:ind w:firstLine="420" w:firstLineChars="200"/>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72E35A5C">
      <w:pPr>
        <w:spacing w:line="400" w:lineRule="exact"/>
        <w:ind w:firstLine="420" w:firstLineChars="200"/>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6CD444DB">
      <w:pPr>
        <w:spacing w:line="400" w:lineRule="exact"/>
        <w:ind w:firstLine="420" w:firstLineChars="200"/>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18EE965B">
      <w:pPr>
        <w:spacing w:line="400" w:lineRule="exact"/>
        <w:ind w:firstLine="420" w:firstLineChars="200"/>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7F0DF98">
      <w:pPr>
        <w:spacing w:line="400" w:lineRule="exact"/>
        <w:ind w:firstLine="420" w:firstLineChars="200"/>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21F553D6">
      <w:pPr>
        <w:spacing w:line="400" w:lineRule="exact"/>
        <w:ind w:firstLine="420" w:firstLineChars="200"/>
        <w:rPr>
          <w:rFonts w:ascii="宋体" w:hAnsi="宋体"/>
          <w:color w:val="auto"/>
          <w:szCs w:val="21"/>
        </w:rPr>
      </w:pPr>
      <w:r>
        <w:rPr>
          <w:rFonts w:hint="eastAsia" w:ascii="宋体" w:hAnsi="宋体"/>
          <w:color w:val="auto"/>
          <w:szCs w:val="21"/>
        </w:rPr>
        <w:t>适用招标投标法的政府采购工程建设项目，投标人提供声明函内容不实的，属于弄虚作假骗取中标，依照《中华人民共和国招标投标法》等国家有关规定追究相应责任。</w:t>
      </w:r>
    </w:p>
    <w:p w14:paraId="5957B71D">
      <w:pPr>
        <w:spacing w:line="400" w:lineRule="exact"/>
        <w:ind w:firstLine="420" w:firstLineChars="200"/>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2D8A5388">
      <w:pPr>
        <w:spacing w:line="400" w:lineRule="exact"/>
        <w:ind w:firstLine="420" w:firstLineChars="200"/>
        <w:rPr>
          <w:rFonts w:ascii="宋体" w:hAnsi="宋体"/>
          <w:color w:val="auto"/>
          <w:szCs w:val="21"/>
        </w:rPr>
      </w:pPr>
      <w:r>
        <w:rPr>
          <w:rFonts w:hint="eastAsia" w:ascii="宋体" w:hAnsi="宋体"/>
          <w:color w:val="auto"/>
          <w:szCs w:val="21"/>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71CD4DBD">
      <w:pPr>
        <w:spacing w:line="400" w:lineRule="exact"/>
        <w:ind w:firstLine="420" w:firstLineChars="200"/>
        <w:rPr>
          <w:rFonts w:ascii="宋体" w:hAnsi="宋体"/>
          <w:color w:val="auto"/>
          <w:szCs w:val="21"/>
        </w:rPr>
      </w:pPr>
      <w:r>
        <w:rPr>
          <w:rFonts w:hint="eastAsia" w:ascii="宋体" w:hAnsi="宋体"/>
          <w:color w:val="auto"/>
          <w:szCs w:val="21"/>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p>
    <w:p w14:paraId="6ED47510">
      <w:pPr>
        <w:spacing w:line="400" w:lineRule="exact"/>
        <w:ind w:firstLine="420" w:firstLineChars="200"/>
        <w:rPr>
          <w:rFonts w:ascii="宋体" w:hAnsi="宋体"/>
          <w:color w:val="auto"/>
          <w:szCs w:val="21"/>
        </w:rPr>
      </w:pPr>
      <w:r>
        <w:rPr>
          <w:rFonts w:hint="eastAsia" w:ascii="宋体" w:hAnsi="宋体"/>
          <w:color w:val="auto"/>
          <w:szCs w:val="21"/>
        </w:rPr>
        <w:t>4、本项目不组织潜在供应商现场考察或者召开开标前答疑。</w:t>
      </w:r>
    </w:p>
    <w:p w14:paraId="1519B3C1">
      <w:pPr>
        <w:spacing w:line="400" w:lineRule="exact"/>
        <w:ind w:firstLine="420" w:firstLineChars="200"/>
        <w:rPr>
          <w:rFonts w:ascii="宋体" w:hAnsi="宋体"/>
          <w:color w:val="auto"/>
          <w:szCs w:val="21"/>
        </w:rPr>
      </w:pPr>
      <w:r>
        <w:rPr>
          <w:rFonts w:hint="eastAsia" w:ascii="宋体" w:hAnsi="宋体"/>
          <w:color w:val="auto"/>
          <w:szCs w:val="21"/>
        </w:rPr>
        <w:t>5、本文件未及事项，在签订合同时供需及使用方友好商定。</w:t>
      </w:r>
    </w:p>
    <w:p w14:paraId="798FBA30">
      <w:pPr>
        <w:spacing w:line="400" w:lineRule="exact"/>
        <w:ind w:firstLine="420" w:firstLineChars="200"/>
        <w:rPr>
          <w:rFonts w:ascii="宋体" w:hAnsi="宋体"/>
          <w:color w:val="auto"/>
          <w:szCs w:val="21"/>
        </w:rPr>
      </w:pPr>
      <w:r>
        <w:rPr>
          <w:rFonts w:hint="eastAsia" w:ascii="宋体" w:hAnsi="宋体"/>
          <w:color w:val="auto"/>
          <w:szCs w:val="21"/>
        </w:rPr>
        <w:t>6、供应商应遵循诚实信用原则在投标文件中提供真实材料。供应商应事先在公开官网查询、核对相关证书和报告内容，确保投标文件资料准确无误。</w:t>
      </w:r>
    </w:p>
    <w:p w14:paraId="16B3F151">
      <w:pPr>
        <w:spacing w:line="400" w:lineRule="exact"/>
        <w:ind w:firstLine="420" w:firstLineChars="200"/>
        <w:rPr>
          <w:rFonts w:ascii="宋体" w:hAnsi="宋体"/>
          <w:color w:val="auto"/>
          <w:szCs w:val="21"/>
        </w:rPr>
      </w:pPr>
      <w:r>
        <w:rPr>
          <w:rFonts w:hint="eastAsia" w:ascii="宋体" w:hAnsi="宋体"/>
          <w:color w:val="auto"/>
          <w:szCs w:val="21"/>
        </w:rPr>
        <w:t>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6008E160">
      <w:pPr>
        <w:spacing w:line="400" w:lineRule="exact"/>
        <w:ind w:firstLine="420" w:firstLineChars="200"/>
        <w:rPr>
          <w:rFonts w:ascii="宋体" w:hAnsi="宋体"/>
          <w:color w:val="auto"/>
          <w:szCs w:val="21"/>
        </w:rPr>
      </w:pPr>
      <w:r>
        <w:rPr>
          <w:rFonts w:hint="eastAsia" w:ascii="宋体" w:hAnsi="宋体"/>
          <w:color w:val="auto"/>
          <w:szCs w:val="21"/>
        </w:rPr>
        <w:t>7、本招标文件解释权归采购人。</w:t>
      </w:r>
    </w:p>
    <w:p w14:paraId="1AD3CFA6">
      <w:pPr>
        <w:spacing w:line="400" w:lineRule="exact"/>
        <w:ind w:firstLine="422" w:firstLineChars="200"/>
        <w:rPr>
          <w:rFonts w:ascii="宋体" w:hAnsi="宋体"/>
          <w:b/>
          <w:color w:val="auto"/>
          <w:szCs w:val="21"/>
        </w:rPr>
      </w:pPr>
    </w:p>
    <w:p w14:paraId="40B29E55">
      <w:pPr>
        <w:spacing w:line="400" w:lineRule="exact"/>
        <w:ind w:firstLine="422" w:firstLineChars="200"/>
        <w:rPr>
          <w:rFonts w:ascii="宋体" w:hAnsi="宋体"/>
          <w:b/>
          <w:color w:val="auto"/>
          <w:szCs w:val="21"/>
        </w:rPr>
        <w:sectPr>
          <w:footerReference r:id="rId8" w:type="default"/>
          <w:pgSz w:w="11907" w:h="16840"/>
          <w:pgMar w:top="1139" w:right="1701" w:bottom="1423" w:left="1843" w:header="285" w:footer="701" w:gutter="0"/>
          <w:cols w:space="720" w:num="1"/>
          <w:docGrid w:linePitch="285" w:charSpace="0"/>
        </w:sectPr>
      </w:pPr>
    </w:p>
    <w:p w14:paraId="6B3F4B15">
      <w:pPr>
        <w:spacing w:line="400" w:lineRule="exact"/>
        <w:jc w:val="center"/>
        <w:outlineLvl w:val="0"/>
        <w:rPr>
          <w:rFonts w:ascii="宋体" w:hAnsi="宋体"/>
          <w:b/>
          <w:color w:val="auto"/>
          <w:sz w:val="32"/>
        </w:rPr>
      </w:pPr>
      <w:bookmarkStart w:id="33" w:name="_Toc55385104"/>
      <w:r>
        <w:rPr>
          <w:rFonts w:hint="eastAsia" w:ascii="宋体" w:hAnsi="宋体"/>
          <w:b/>
          <w:color w:val="auto"/>
          <w:sz w:val="32"/>
        </w:rPr>
        <w:t xml:space="preserve">第三章  </w:t>
      </w:r>
      <w:r>
        <w:rPr>
          <w:rFonts w:ascii="宋体" w:hAnsi="宋体"/>
          <w:b/>
          <w:color w:val="auto"/>
          <w:sz w:val="32"/>
        </w:rPr>
        <w:t>评标办法及标准</w:t>
      </w:r>
      <w:bookmarkEnd w:id="33"/>
    </w:p>
    <w:p w14:paraId="79604201">
      <w:pPr>
        <w:spacing w:line="400" w:lineRule="exact"/>
        <w:rPr>
          <w:rFonts w:ascii="宋体" w:hAnsi="宋体"/>
          <w:b/>
          <w:color w:val="auto"/>
          <w:szCs w:val="21"/>
        </w:rPr>
      </w:pPr>
      <w:r>
        <w:rPr>
          <w:rFonts w:hint="eastAsia" w:ascii="宋体" w:hAnsi="宋体"/>
          <w:b/>
          <w:color w:val="auto"/>
          <w:szCs w:val="21"/>
        </w:rPr>
        <w:t>一、评标办法</w:t>
      </w:r>
    </w:p>
    <w:p w14:paraId="1C1EEF1B">
      <w:pPr>
        <w:spacing w:line="400" w:lineRule="exact"/>
        <w:ind w:left="-2" w:leftChars="-1" w:firstLine="420" w:firstLineChars="200"/>
        <w:rPr>
          <w:rFonts w:ascii="宋体" w:hAnsi="宋体"/>
          <w:color w:val="auto"/>
          <w:szCs w:val="21"/>
        </w:rPr>
      </w:pPr>
      <w:r>
        <w:rPr>
          <w:rFonts w:hint="eastAsia" w:ascii="宋体" w:hAnsi="宋体"/>
          <w:color w:val="auto"/>
          <w:szCs w:val="21"/>
        </w:rPr>
        <w:t>1.1本项目评标采用综合评分法。</w:t>
      </w:r>
    </w:p>
    <w:p w14:paraId="269B200F">
      <w:pPr>
        <w:spacing w:line="400" w:lineRule="exact"/>
        <w:ind w:left="-2" w:leftChars="-1" w:firstLine="420" w:firstLineChars="200"/>
        <w:rPr>
          <w:rFonts w:ascii="宋体" w:hAnsi="宋体"/>
          <w:color w:val="auto"/>
          <w:szCs w:val="21"/>
        </w:rPr>
      </w:pPr>
      <w:r>
        <w:rPr>
          <w:rFonts w:hint="eastAsia" w:ascii="宋体" w:hAnsi="宋体"/>
          <w:color w:val="auto"/>
          <w:szCs w:val="21"/>
        </w:rPr>
        <w:t>1.2综合评分法：采用百分制，总分100分。评标委员会成员按照评分标准（兼评委打分表）规定的内容和分值设置</w:t>
      </w:r>
      <w:r>
        <w:rPr>
          <w:rFonts w:ascii="宋体" w:hAnsi="宋体"/>
          <w:color w:val="auto"/>
          <w:szCs w:val="21"/>
        </w:rPr>
        <w:t>以记名方式独立评定打分</w:t>
      </w:r>
      <w:r>
        <w:rPr>
          <w:rFonts w:hint="eastAsia" w:ascii="宋体" w:hAnsi="宋体"/>
          <w:color w:val="auto"/>
          <w:szCs w:val="21"/>
        </w:rPr>
        <w:t>，</w:t>
      </w:r>
      <w:r>
        <w:rPr>
          <w:rFonts w:ascii="宋体" w:hAnsi="宋体"/>
          <w:color w:val="auto"/>
          <w:szCs w:val="21"/>
        </w:rPr>
        <w:t>汇总各评委</w:t>
      </w:r>
      <w:r>
        <w:rPr>
          <w:rFonts w:hint="eastAsia" w:ascii="宋体" w:hAnsi="宋体"/>
          <w:color w:val="auto"/>
          <w:szCs w:val="21"/>
        </w:rPr>
        <w:t>对各供应商的评分，取算术平均值（小数点后保留二位数）即为各供应商的综合得分，按照综合得分由高到低进行排序，推荐一名中标候选人。若供应商的综合得分相等，则投标报价低者列前；若投标报价也相同时，采取随机抽签的方式确定排序。</w:t>
      </w:r>
    </w:p>
    <w:p w14:paraId="4DDC6B5C">
      <w:pPr>
        <w:spacing w:line="400" w:lineRule="exact"/>
        <w:ind w:left="-2" w:leftChars="-1" w:firstLine="420" w:firstLineChars="200"/>
        <w:rPr>
          <w:rFonts w:ascii="宋体" w:hAnsi="宋体"/>
          <w:color w:val="auto"/>
          <w:szCs w:val="21"/>
        </w:rPr>
      </w:pPr>
      <w:r>
        <w:rPr>
          <w:rFonts w:hint="eastAsia"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4567DFF5">
      <w:pPr>
        <w:spacing w:line="400" w:lineRule="exact"/>
        <w:ind w:left="-2" w:leftChars="-1" w:firstLine="420" w:firstLineChars="200"/>
        <w:rPr>
          <w:rFonts w:ascii="宋体" w:hAnsi="宋体" w:cs="宋体"/>
          <w:color w:val="auto"/>
        </w:rPr>
      </w:pPr>
      <w:r>
        <w:rPr>
          <w:rFonts w:hint="eastAsia" w:ascii="宋体" w:hAnsi="宋体"/>
          <w:color w:val="auto"/>
          <w:szCs w:val="21"/>
        </w:rPr>
        <w:t>1.4本次采购专门面向中小企业，采购标项对应的中小企业划分标准所属行业为</w:t>
      </w:r>
      <w:r>
        <w:rPr>
          <w:rFonts w:hint="eastAsia" w:ascii="宋体" w:hAnsi="宋体"/>
          <w:b/>
          <w:color w:val="auto"/>
          <w:szCs w:val="21"/>
          <w:u w:val="single"/>
        </w:rPr>
        <w:t>工业</w:t>
      </w:r>
      <w:r>
        <w:rPr>
          <w:rFonts w:hint="eastAsia" w:ascii="宋体" w:hAnsi="宋体"/>
          <w:color w:val="auto"/>
          <w:szCs w:val="21"/>
        </w:rPr>
        <w:t>。</w:t>
      </w:r>
    </w:p>
    <w:p w14:paraId="1C508804">
      <w:pPr>
        <w:spacing w:line="400" w:lineRule="exact"/>
        <w:ind w:left="-2" w:leftChars="-1" w:firstLine="420" w:firstLineChars="200"/>
        <w:rPr>
          <w:rFonts w:ascii="宋体" w:hAnsi="宋体"/>
          <w:color w:val="auto"/>
          <w:szCs w:val="21"/>
        </w:rPr>
      </w:pPr>
      <w:r>
        <w:rPr>
          <w:rFonts w:hint="eastAsia" w:ascii="宋体" w:hAnsi="宋体"/>
          <w:color w:val="auto"/>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p>
    <w:p w14:paraId="5BC0D44E">
      <w:pPr>
        <w:spacing w:line="400" w:lineRule="exact"/>
        <w:ind w:left="-2" w:leftChars="-1"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6评标委员会成员对需要共同认定的事项存在争议的，应当按照少数服从多数的原则作出结论。</w:t>
      </w:r>
    </w:p>
    <w:p w14:paraId="118CB73A">
      <w:pPr>
        <w:spacing w:line="400" w:lineRule="exact"/>
        <w:rPr>
          <w:rFonts w:ascii="宋体" w:hAnsi="宋体"/>
          <w:b/>
          <w:color w:val="auto"/>
          <w:szCs w:val="21"/>
        </w:rPr>
      </w:pPr>
      <w:r>
        <w:rPr>
          <w:rFonts w:hint="eastAsia" w:ascii="宋体" w:hAnsi="宋体"/>
          <w:b/>
          <w:color w:val="auto"/>
          <w:szCs w:val="21"/>
        </w:rPr>
        <w:t>二、评标委员会</w:t>
      </w:r>
    </w:p>
    <w:p w14:paraId="28823EAF">
      <w:pPr>
        <w:spacing w:line="400" w:lineRule="exact"/>
        <w:ind w:firstLine="420" w:firstLineChars="200"/>
        <w:rPr>
          <w:rFonts w:ascii="宋体" w:hAnsi="宋体"/>
          <w:color w:val="auto"/>
          <w:szCs w:val="21"/>
        </w:rPr>
      </w:pPr>
      <w:r>
        <w:rPr>
          <w:rFonts w:hint="eastAsia" w:ascii="宋体" w:hAnsi="宋体"/>
          <w:color w:val="auto"/>
          <w:szCs w:val="21"/>
        </w:rPr>
        <w:t>2.1采购人依据相关规定</w:t>
      </w:r>
      <w:r>
        <w:rPr>
          <w:rFonts w:ascii="宋体" w:hAnsi="宋体"/>
          <w:color w:val="auto"/>
          <w:szCs w:val="21"/>
        </w:rPr>
        <w:t>组建评标委员会，负责本项目的评标工作</w:t>
      </w:r>
      <w:r>
        <w:rPr>
          <w:rFonts w:hint="eastAsia" w:ascii="宋体" w:hAnsi="宋体"/>
          <w:color w:val="auto"/>
          <w:szCs w:val="21"/>
        </w:rPr>
        <w:t>。评标委员会成员名单在招标结果确定之前依法保密。</w:t>
      </w:r>
    </w:p>
    <w:p w14:paraId="40A8ADF4">
      <w:pPr>
        <w:spacing w:line="400" w:lineRule="exact"/>
        <w:ind w:firstLine="420" w:firstLineChars="200"/>
        <w:rPr>
          <w:rFonts w:ascii="宋体" w:hAnsi="宋体"/>
          <w:color w:val="auto"/>
          <w:szCs w:val="21"/>
        </w:rPr>
      </w:pPr>
      <w:r>
        <w:rPr>
          <w:rFonts w:hint="eastAsia" w:ascii="宋体" w:hAnsi="宋体"/>
          <w:color w:val="auto"/>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14:paraId="587D89A9">
      <w:pPr>
        <w:spacing w:line="400" w:lineRule="exact"/>
        <w:rPr>
          <w:rFonts w:ascii="宋体" w:hAnsi="宋体"/>
          <w:b/>
          <w:color w:val="auto"/>
          <w:szCs w:val="21"/>
        </w:rPr>
      </w:pPr>
      <w:r>
        <w:rPr>
          <w:rFonts w:hint="eastAsia" w:ascii="宋体" w:hAnsi="宋体"/>
          <w:b/>
          <w:color w:val="auto"/>
          <w:szCs w:val="21"/>
        </w:rPr>
        <w:t>三、评标程序</w:t>
      </w:r>
    </w:p>
    <w:p w14:paraId="2AB45510">
      <w:pPr>
        <w:spacing w:line="400" w:lineRule="exact"/>
        <w:ind w:firstLine="420" w:firstLineChars="200"/>
        <w:rPr>
          <w:rFonts w:ascii="宋体" w:hAnsi="宋体"/>
          <w:color w:val="auto"/>
          <w:szCs w:val="21"/>
        </w:rPr>
      </w:pPr>
      <w:r>
        <w:rPr>
          <w:rFonts w:hint="eastAsia" w:ascii="宋体" w:hAnsi="宋体"/>
          <w:color w:val="auto"/>
          <w:szCs w:val="21"/>
        </w:rPr>
        <w:t>3.1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25B371E8">
      <w:pPr>
        <w:spacing w:line="400" w:lineRule="exact"/>
        <w:ind w:firstLine="420" w:firstLineChars="200"/>
        <w:jc w:val="left"/>
        <w:rPr>
          <w:rFonts w:ascii="宋体" w:hAnsi="宋体"/>
          <w:color w:val="auto"/>
          <w:szCs w:val="21"/>
          <w:lang w:val="zh-CN"/>
        </w:rPr>
      </w:pPr>
      <w:r>
        <w:rPr>
          <w:rFonts w:hint="eastAsia" w:ascii="宋体" w:hAnsi="宋体"/>
          <w:color w:val="auto"/>
          <w:szCs w:val="21"/>
        </w:rPr>
        <w:t>3.2</w:t>
      </w:r>
      <w:r>
        <w:rPr>
          <w:rFonts w:hint="eastAsia" w:ascii="宋体" w:hAnsi="宋体"/>
          <w:color w:val="auto"/>
          <w:szCs w:val="21"/>
          <w:lang w:val="zh-CN"/>
        </w:rPr>
        <w:t>比较与评价：</w:t>
      </w:r>
      <w:r>
        <w:rPr>
          <w:rFonts w:hint="eastAsia" w:ascii="宋体" w:hAnsi="宋体"/>
          <w:color w:val="auto"/>
          <w:szCs w:val="21"/>
        </w:rPr>
        <w:t>评标委员会根据“附表3评分标准（兼评委打分表）”的要求，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w:t>
      </w:r>
      <w:r>
        <w:rPr>
          <w:rFonts w:hint="eastAsia" w:ascii="宋体" w:hAnsi="宋体"/>
          <w:color w:val="auto"/>
          <w:szCs w:val="21"/>
          <w:lang w:val="zh-CN"/>
        </w:rPr>
        <w:t>。</w:t>
      </w:r>
    </w:p>
    <w:p w14:paraId="6D347193">
      <w:pPr>
        <w:spacing w:line="400" w:lineRule="exact"/>
        <w:ind w:firstLine="420" w:firstLineChars="200"/>
        <w:rPr>
          <w:rFonts w:ascii="宋体" w:hAnsi="宋体"/>
          <w:color w:val="auto"/>
          <w:szCs w:val="21"/>
        </w:rPr>
      </w:pPr>
      <w:r>
        <w:rPr>
          <w:rFonts w:hint="eastAsia" w:ascii="宋体" w:hAnsi="宋体"/>
          <w:color w:val="auto"/>
          <w:szCs w:val="21"/>
        </w:rPr>
        <w:t>3.3在评标过程中，发现的价格计算错误按下述原则修正：</w:t>
      </w:r>
    </w:p>
    <w:p w14:paraId="5A143279">
      <w:pPr>
        <w:spacing w:line="400" w:lineRule="exact"/>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）投标文件中开标一览表内容与投标文件中分项报价表内容不一致的，以开标一览表为准；</w:t>
      </w:r>
    </w:p>
    <w:p w14:paraId="542D3C7C">
      <w:pPr>
        <w:spacing w:line="400" w:lineRule="exact"/>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）投标文件的大写金额和小写金额不一致的，以大写金额为准；</w:t>
      </w:r>
    </w:p>
    <w:p w14:paraId="1A2559E4">
      <w:pPr>
        <w:spacing w:line="400" w:lineRule="exact"/>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）单价金额小数点有明显错位的，应以总价为准，并修改单价；</w:t>
      </w:r>
    </w:p>
    <w:p w14:paraId="45000321">
      <w:pPr>
        <w:spacing w:line="400" w:lineRule="exact"/>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）总价金额与按单价汇总金额不一致的，以单价金额计算结果为准。</w:t>
      </w:r>
    </w:p>
    <w:p w14:paraId="65FE7B1B">
      <w:pPr>
        <w:spacing w:line="400" w:lineRule="exact"/>
        <w:ind w:firstLine="420" w:firstLineChars="200"/>
        <w:rPr>
          <w:rFonts w:ascii="宋体" w:hAnsi="宋体"/>
          <w:color w:val="auto"/>
        </w:rPr>
      </w:pPr>
      <w:r>
        <w:rPr>
          <w:rFonts w:hint="eastAsia" w:ascii="宋体" w:hAnsi="宋体"/>
          <w:color w:val="auto"/>
        </w:rPr>
        <w:t>同时出现两种以上不一致的，按照前款规定的顺序修正。</w:t>
      </w:r>
    </w:p>
    <w:p w14:paraId="48C1D9E4">
      <w:pPr>
        <w:spacing w:line="400" w:lineRule="exact"/>
        <w:ind w:firstLine="422" w:firstLineChars="200"/>
        <w:rPr>
          <w:rFonts w:ascii="宋体" w:hAnsi="宋体"/>
          <w:color w:val="auto"/>
        </w:rPr>
      </w:pPr>
      <w:r>
        <w:rPr>
          <w:rFonts w:ascii="宋体" w:hAnsi="宋体"/>
          <w:b/>
          <w:color w:val="auto"/>
          <w:szCs w:val="21"/>
        </w:rPr>
        <w:t>▲</w:t>
      </w:r>
      <w:r>
        <w:rPr>
          <w:rFonts w:hint="eastAsia" w:ascii="宋体" w:hAnsi="宋体"/>
          <w:color w:val="auto"/>
        </w:rPr>
        <w:t>修正后的报价经供应商确认后产生约束力，供应商不确认的，其报价无效。</w:t>
      </w:r>
    </w:p>
    <w:p w14:paraId="709018EC">
      <w:pPr>
        <w:spacing w:line="400" w:lineRule="exact"/>
        <w:ind w:firstLine="420" w:firstLineChars="200"/>
        <w:jc w:val="left"/>
        <w:rPr>
          <w:rFonts w:ascii="宋体" w:hAnsi="宋体"/>
          <w:color w:val="auto"/>
        </w:rPr>
      </w:pPr>
      <w:r>
        <w:rPr>
          <w:rFonts w:hint="eastAsia" w:ascii="宋体" w:hAnsi="宋体"/>
          <w:color w:val="auto"/>
          <w:szCs w:val="21"/>
        </w:rPr>
        <w:t>3.4</w:t>
      </w:r>
      <w:r>
        <w:rPr>
          <w:rFonts w:hint="eastAsia" w:ascii="宋体" w:hAnsi="宋体"/>
          <w:color w:val="auto"/>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人推荐资格；综合得分相同的，由评标委员会采取随机抽取方式确定，其他同品牌供应商不作为中标候选人。</w:t>
      </w:r>
    </w:p>
    <w:p w14:paraId="5A82DB21">
      <w:pPr>
        <w:spacing w:line="400" w:lineRule="exact"/>
        <w:ind w:firstLine="420" w:firstLineChars="200"/>
        <w:rPr>
          <w:rFonts w:ascii="宋体" w:hAnsi="宋体"/>
          <w:color w:val="auto"/>
        </w:rPr>
      </w:pPr>
      <w:r>
        <w:rPr>
          <w:rFonts w:hint="eastAsia" w:ascii="宋体" w:hAnsi="宋体"/>
          <w:color w:val="auto"/>
        </w:rPr>
        <w:t>非单一产品采购项目，多家供应商提供的核心产品品牌相同的，按上述规定处理。</w:t>
      </w:r>
    </w:p>
    <w:p w14:paraId="51FE7B0D">
      <w:pPr>
        <w:spacing w:line="400" w:lineRule="exact"/>
        <w:ind w:firstLine="420" w:firstLineChars="200"/>
        <w:jc w:val="left"/>
        <w:rPr>
          <w:rFonts w:ascii="宋体" w:hAnsi="宋体"/>
          <w:color w:val="auto"/>
          <w:szCs w:val="21"/>
        </w:rPr>
      </w:pPr>
      <w:r>
        <w:rPr>
          <w:rFonts w:hint="eastAsia" w:ascii="宋体" w:hAnsi="宋体"/>
          <w:color w:val="auto"/>
          <w:szCs w:val="21"/>
        </w:rPr>
        <w:t>3.5综合评估：经过初步审查、比较，评标委员会成员按照评分标准（兼评委打分表）规定的内容和分值设置</w:t>
      </w:r>
      <w:r>
        <w:rPr>
          <w:rFonts w:ascii="宋体" w:hAnsi="宋体"/>
          <w:color w:val="auto"/>
          <w:szCs w:val="21"/>
        </w:rPr>
        <w:t>以记名方式独立评定打分</w:t>
      </w:r>
      <w:r>
        <w:rPr>
          <w:rFonts w:hint="eastAsia" w:ascii="宋体" w:hAnsi="宋体"/>
          <w:color w:val="auto"/>
          <w:szCs w:val="21"/>
        </w:rPr>
        <w:t>，</w:t>
      </w:r>
      <w:r>
        <w:rPr>
          <w:rFonts w:ascii="宋体" w:hAnsi="宋体"/>
          <w:color w:val="auto"/>
          <w:szCs w:val="21"/>
        </w:rPr>
        <w:t>汇总各评委</w:t>
      </w:r>
      <w:r>
        <w:rPr>
          <w:rFonts w:hint="eastAsia" w:ascii="宋体" w:hAnsi="宋体"/>
          <w:color w:val="auto"/>
          <w:szCs w:val="21"/>
        </w:rPr>
        <w:t>对各供应商的评分，取算术平均值（小数点后保留二位数）即为各供应商的综合得分。</w:t>
      </w:r>
    </w:p>
    <w:p w14:paraId="2527E0B2">
      <w:pPr>
        <w:spacing w:line="400" w:lineRule="exact"/>
        <w:ind w:firstLine="420" w:firstLineChars="200"/>
        <w:jc w:val="left"/>
        <w:rPr>
          <w:color w:val="auto"/>
          <w:szCs w:val="21"/>
        </w:rPr>
      </w:pPr>
      <w:r>
        <w:rPr>
          <w:rFonts w:hint="eastAsia" w:ascii="宋体"/>
          <w:color w:val="auto"/>
          <w:szCs w:val="21"/>
        </w:rPr>
        <w:t>3.6推荐中标候选人</w:t>
      </w:r>
    </w:p>
    <w:p w14:paraId="6D4438A7">
      <w:pPr>
        <w:spacing w:line="400" w:lineRule="exact"/>
        <w:ind w:firstLine="420" w:firstLineChars="200"/>
        <w:jc w:val="left"/>
        <w:rPr>
          <w:color w:val="auto"/>
          <w:szCs w:val="21"/>
        </w:rPr>
      </w:pPr>
      <w:r>
        <w:rPr>
          <w:rFonts w:hint="eastAsia" w:ascii="宋体" w:hAnsi="宋体" w:cs="宋体"/>
          <w:color w:val="auto"/>
          <w:szCs w:val="21"/>
        </w:rPr>
        <w:t>评标委员会根据供应商综合得分由高到低进行排序，向采购人推荐一名中标候选人。若供应商的综合得分相等，则投标报价低者列前。若投标报价也相同时，采取随机抽签的方式确定排序。</w:t>
      </w:r>
    </w:p>
    <w:p w14:paraId="1623D88E">
      <w:pPr>
        <w:spacing w:line="400" w:lineRule="exact"/>
        <w:ind w:firstLine="420" w:firstLineChars="200"/>
        <w:jc w:val="left"/>
        <w:rPr>
          <w:rFonts w:ascii="宋体"/>
          <w:color w:val="auto"/>
          <w:szCs w:val="21"/>
        </w:rPr>
      </w:pPr>
      <w:r>
        <w:rPr>
          <w:rFonts w:hint="eastAsia" w:ascii="宋体"/>
          <w:color w:val="auto"/>
          <w:szCs w:val="21"/>
        </w:rPr>
        <w:t>3.7确定中标供应商</w:t>
      </w:r>
    </w:p>
    <w:p w14:paraId="17FCA6F8">
      <w:pPr>
        <w:spacing w:line="400" w:lineRule="exact"/>
        <w:ind w:firstLine="420" w:firstLineChars="200"/>
        <w:rPr>
          <w:rFonts w:ascii="宋体" w:hAnsi="宋体"/>
          <w:color w:val="auto"/>
          <w:szCs w:val="21"/>
        </w:rPr>
      </w:pPr>
      <w:r>
        <w:rPr>
          <w:rFonts w:hint="eastAsia" w:ascii="宋体" w:hAnsi="宋体"/>
          <w:color w:val="auto"/>
          <w:szCs w:val="21"/>
        </w:rPr>
        <w:t>代理机构</w:t>
      </w:r>
      <w:r>
        <w:rPr>
          <w:rFonts w:ascii="宋体" w:hAnsi="宋体"/>
          <w:color w:val="auto"/>
          <w:szCs w:val="21"/>
        </w:rPr>
        <w:t>应当自评审结束之日起2个工作日内将评审报告送交采购人。采购人应当自收到评审报告之日起5个工作日内在评审报告推荐的中标候选人中按顺序确定</w:t>
      </w:r>
      <w:r>
        <w:rPr>
          <w:rFonts w:hint="eastAsia" w:ascii="宋体" w:hAnsi="宋体"/>
          <w:color w:val="auto"/>
          <w:szCs w:val="21"/>
        </w:rPr>
        <w:t>排序第一名的为</w:t>
      </w:r>
      <w:r>
        <w:rPr>
          <w:rFonts w:ascii="宋体" w:hAnsi="宋体"/>
          <w:color w:val="auto"/>
          <w:szCs w:val="21"/>
        </w:rPr>
        <w:t>中标供应商。</w:t>
      </w:r>
      <w:r>
        <w:rPr>
          <w:rFonts w:hint="eastAsia" w:ascii="宋体" w:hAnsi="宋体"/>
          <w:color w:val="auto"/>
          <w:szCs w:val="21"/>
        </w:rPr>
        <w:t>中标供应商拒绝与采购人签订合同的，采购人可以按照评审报告推荐的中标候选人名单排序，确定下一候选人为中标供应商，也可以重新开展政府采购活动。</w:t>
      </w:r>
    </w:p>
    <w:p w14:paraId="096093BC">
      <w:pPr>
        <w:spacing w:line="400" w:lineRule="exact"/>
        <w:rPr>
          <w:rFonts w:ascii="宋体" w:hAnsi="宋体"/>
          <w:b/>
          <w:color w:val="auto"/>
          <w:szCs w:val="21"/>
        </w:rPr>
      </w:pPr>
      <w:r>
        <w:rPr>
          <w:rFonts w:hint="eastAsia" w:ascii="宋体" w:hAnsi="宋体"/>
          <w:b/>
          <w:color w:val="auto"/>
          <w:szCs w:val="21"/>
        </w:rPr>
        <w:t>四、投标的澄清</w:t>
      </w:r>
    </w:p>
    <w:p w14:paraId="34D20898">
      <w:pPr>
        <w:spacing w:line="400" w:lineRule="exact"/>
        <w:ind w:firstLine="420" w:firstLineChars="200"/>
        <w:rPr>
          <w:rFonts w:ascii="宋体" w:hAnsi="宋体" w:cs="宋体"/>
          <w:color w:val="auto"/>
        </w:rPr>
      </w:pPr>
      <w:r>
        <w:rPr>
          <w:rFonts w:hint="eastAsia" w:ascii="宋体" w:hAnsi="宋体" w:cs="宋体"/>
          <w:color w:val="auto"/>
        </w:rPr>
        <w:t>4</w:t>
      </w:r>
      <w:r>
        <w:rPr>
          <w:rFonts w:ascii="宋体" w:hAnsi="宋体" w:cs="宋体"/>
          <w:color w:val="auto"/>
        </w:rPr>
        <w:t>.1</w:t>
      </w:r>
      <w:r>
        <w:rPr>
          <w:rFonts w:hint="eastAsia" w:ascii="宋体" w:hAnsi="宋体" w:cs="宋体"/>
          <w:color w:val="auto"/>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7F3E5E85">
      <w:pPr>
        <w:spacing w:line="400" w:lineRule="exact"/>
        <w:ind w:firstLine="420" w:firstLineChars="200"/>
        <w:rPr>
          <w:rFonts w:ascii="宋体" w:hAnsi="宋体" w:cs="宋体"/>
          <w:color w:val="auto"/>
        </w:rPr>
      </w:pPr>
      <w:r>
        <w:rPr>
          <w:rFonts w:hint="eastAsia" w:ascii="宋体" w:hAnsi="宋体" w:cs="宋体"/>
          <w:color w:val="auto"/>
        </w:rPr>
        <w:t>4</w:t>
      </w:r>
      <w:r>
        <w:rPr>
          <w:rFonts w:ascii="宋体" w:hAnsi="宋体" w:cs="宋体"/>
          <w:color w:val="auto"/>
        </w:rPr>
        <w:t>.2</w:t>
      </w:r>
      <w:r>
        <w:rPr>
          <w:rFonts w:hint="eastAsia" w:ascii="宋体" w:hAnsi="宋体" w:cs="宋体"/>
          <w:color w:val="auto"/>
        </w:rPr>
        <w:t>政采云具体操作如下：</w:t>
      </w:r>
    </w:p>
    <w:p w14:paraId="6A9269AC">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323ED2B7">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35E34139">
      <w:pPr>
        <w:spacing w:line="400" w:lineRule="exact"/>
        <w:ind w:firstLine="420" w:firstLineChars="200"/>
        <w:rPr>
          <w:rFonts w:ascii="宋体" w:hAnsi="宋体" w:cs="宋体"/>
          <w:color w:val="auto"/>
        </w:rPr>
      </w:pPr>
      <w:r>
        <w:rPr>
          <w:rFonts w:hint="eastAsia" w:ascii="宋体" w:hAnsi="宋体" w:cs="宋体"/>
          <w:color w:val="auto"/>
        </w:rPr>
        <w:t>（1）政采云平台通过待办事项和短信提醒供应商在截止时间前完成澄清。</w:t>
      </w:r>
    </w:p>
    <w:p w14:paraId="7450CD02">
      <w:pPr>
        <w:spacing w:line="400" w:lineRule="exact"/>
        <w:ind w:firstLine="420" w:firstLineChars="200"/>
        <w:rPr>
          <w:rFonts w:ascii="宋体" w:hAnsi="宋体" w:cs="宋体"/>
          <w:color w:val="auto"/>
        </w:rPr>
      </w:pPr>
      <w:r>
        <w:rPr>
          <w:rFonts w:hint="eastAsia" w:ascii="宋体" w:hAnsi="宋体" w:cs="宋体"/>
          <w:color w:val="auto"/>
        </w:rPr>
        <w:t>（2）供应商在“询标澄清-待办理”标签页下选择状态为“待澄清”的项目，点击操作栏【澄清】。</w:t>
      </w:r>
    </w:p>
    <w:p w14:paraId="52189231">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4D14C907">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（4）签章完成，文件名称处显示“已签章”，供应商可“撤回签章”修改澄清函和“查看文件”。</w:t>
      </w:r>
    </w:p>
    <w:p w14:paraId="2048130A">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B7CDE70">
      <w:pPr>
        <w:spacing w:line="400" w:lineRule="exact"/>
        <w:ind w:firstLine="420" w:firstLineChars="200"/>
        <w:rPr>
          <w:rFonts w:ascii="宋体" w:hAnsi="宋体" w:cs="宋体"/>
          <w:color w:val="auto"/>
        </w:rPr>
      </w:pPr>
      <w:r>
        <w:rPr>
          <w:rFonts w:hint="eastAsia" w:ascii="宋体" w:hAnsi="宋体" w:cs="宋体"/>
          <w:color w:val="auto"/>
        </w:rPr>
        <w:t>（6）完成状态：供应商澄清文件提交成功后，在“询标澄清-全部”标签页下显示状态为“已澄清”。</w:t>
      </w:r>
    </w:p>
    <w:p w14:paraId="07B14E98">
      <w:pPr>
        <w:spacing w:line="400" w:lineRule="exact"/>
        <w:ind w:firstLine="420" w:firstLineChars="200"/>
        <w:rPr>
          <w:rFonts w:ascii="宋体" w:hAnsi="宋体" w:cs="宋体"/>
          <w:color w:val="auto"/>
        </w:rPr>
      </w:pPr>
      <w:r>
        <w:rPr>
          <w:rFonts w:hint="eastAsia" w:ascii="宋体" w:hAnsi="宋体" w:cs="宋体"/>
          <w:color w:val="auto"/>
        </w:rPr>
        <w:t>4</w:t>
      </w:r>
      <w:r>
        <w:rPr>
          <w:rFonts w:ascii="宋体" w:hAnsi="宋体" w:cs="宋体"/>
          <w:color w:val="auto"/>
        </w:rPr>
        <w:t>.3</w:t>
      </w:r>
      <w:r>
        <w:rPr>
          <w:rFonts w:hint="eastAsia" w:ascii="宋体" w:hAnsi="宋体" w:cs="宋体"/>
          <w:color w:val="auto"/>
        </w:rPr>
        <w:t>开标现场，供应商安排</w:t>
      </w:r>
      <w:r>
        <w:rPr>
          <w:rFonts w:hint="eastAsia" w:ascii="宋体" w:hAnsi="宋体"/>
          <w:color w:val="auto"/>
          <w:szCs w:val="21"/>
        </w:rPr>
        <w:t>法定代表人或授权代表到场的，则由</w:t>
      </w:r>
      <w:r>
        <w:rPr>
          <w:rFonts w:hint="eastAsia" w:ascii="宋体" w:hAnsi="宋体" w:cs="宋体"/>
          <w:color w:val="auto"/>
        </w:rPr>
        <w:t>评标委员会组长将问题汇总后向供应商发出书面“采购响应文件问题澄清通知”，供应商应对需要澄清的问题作书面回答，该书面澄清应当由</w:t>
      </w:r>
      <w:r>
        <w:rPr>
          <w:rFonts w:hint="eastAsia" w:ascii="宋体" w:hAnsi="宋体"/>
          <w:color w:val="auto"/>
          <w:szCs w:val="21"/>
        </w:rPr>
        <w:t>供应商的法定代表人或授权代表签字</w:t>
      </w:r>
      <w:r>
        <w:rPr>
          <w:rFonts w:hint="eastAsia" w:ascii="宋体" w:hAnsi="宋体" w:cs="宋体"/>
          <w:color w:val="auto"/>
        </w:rPr>
        <w:t>或者加盖供应商公章。书面澄清将作为投标文件内容的一部分，具有相应的法律效力。</w:t>
      </w:r>
    </w:p>
    <w:p w14:paraId="0321D4E7">
      <w:pPr>
        <w:spacing w:line="400" w:lineRule="exact"/>
        <w:ind w:firstLine="420" w:firstLineChars="200"/>
        <w:rPr>
          <w:rFonts w:ascii="宋体" w:hAnsi="宋体"/>
          <w:color w:val="auto"/>
          <w:szCs w:val="21"/>
        </w:rPr>
      </w:pPr>
      <w:r>
        <w:rPr>
          <w:rFonts w:hint="eastAsia" w:ascii="宋体" w:hAnsi="宋体" w:cs="宋体"/>
          <w:color w:val="auto"/>
        </w:rPr>
        <w:t>4</w:t>
      </w:r>
      <w:r>
        <w:rPr>
          <w:rFonts w:ascii="宋体" w:hAnsi="宋体" w:cs="宋体"/>
          <w:color w:val="auto"/>
        </w:rPr>
        <w:t>.4</w:t>
      </w:r>
      <w:r>
        <w:rPr>
          <w:rFonts w:hint="eastAsia" w:ascii="宋体" w:hAnsi="宋体" w:cs="宋体"/>
          <w:color w:val="auto"/>
        </w:rPr>
        <w:t>供应商未在截止时间前完成澄清，将被视作自动放弃。</w:t>
      </w:r>
    </w:p>
    <w:p w14:paraId="398CF7DD">
      <w:pPr>
        <w:widowControl/>
        <w:spacing w:line="400" w:lineRule="exact"/>
        <w:jc w:val="left"/>
        <w:rPr>
          <w:rFonts w:ascii="宋体" w:hAnsi="宋体"/>
          <w:b/>
          <w:color w:val="auto"/>
          <w:szCs w:val="21"/>
        </w:rPr>
      </w:pPr>
      <w:r>
        <w:rPr>
          <w:rFonts w:hint="eastAsia" w:ascii="宋体" w:hAnsi="宋体"/>
          <w:b/>
          <w:color w:val="auto"/>
          <w:szCs w:val="21"/>
        </w:rPr>
        <w:t>五、特别声明：价格是评标的重要因素之一，但最低价不是中标的唯一依据。</w:t>
      </w:r>
    </w:p>
    <w:p w14:paraId="2A6B63F4">
      <w:pPr>
        <w:spacing w:line="400" w:lineRule="exact"/>
        <w:jc w:val="left"/>
        <w:rPr>
          <w:rFonts w:ascii="宋体" w:hAnsi="宋体"/>
          <w:b/>
          <w:color w:val="auto"/>
          <w:szCs w:val="21"/>
        </w:rPr>
      </w:pPr>
      <w:r>
        <w:rPr>
          <w:rFonts w:hint="eastAsia" w:ascii="宋体" w:hAnsi="宋体"/>
          <w:b/>
          <w:color w:val="auto"/>
          <w:szCs w:val="21"/>
        </w:rPr>
        <w:t>六、重新招标</w:t>
      </w:r>
    </w:p>
    <w:p w14:paraId="6C037D84">
      <w:pPr>
        <w:spacing w:line="400" w:lineRule="exact"/>
        <w:ind w:firstLine="420" w:firstLineChars="200"/>
        <w:rPr>
          <w:rFonts w:ascii="宋体" w:hAnsi="宋体"/>
          <w:color w:val="auto"/>
          <w:szCs w:val="21"/>
        </w:rPr>
      </w:pPr>
      <w:r>
        <w:rPr>
          <w:rFonts w:hint="eastAsia" w:ascii="宋体" w:hAnsi="宋体"/>
          <w:color w:val="auto"/>
          <w:szCs w:val="21"/>
        </w:rPr>
        <w:t>有下列情形之一的，采购人将重新招标：</w:t>
      </w:r>
    </w:p>
    <w:p w14:paraId="09B460A3">
      <w:pPr>
        <w:spacing w:line="400" w:lineRule="exact"/>
        <w:ind w:firstLine="420" w:firstLineChars="200"/>
        <w:rPr>
          <w:rFonts w:ascii="宋体" w:hAnsi="宋体"/>
          <w:color w:val="auto"/>
          <w:szCs w:val="21"/>
        </w:rPr>
      </w:pPr>
      <w:r>
        <w:rPr>
          <w:rFonts w:hint="eastAsia" w:ascii="宋体" w:hAnsi="宋体"/>
          <w:color w:val="auto"/>
          <w:szCs w:val="21"/>
        </w:rPr>
        <w:t>6.1投标截止时间止，单个标项供应商少于3个的；</w:t>
      </w:r>
    </w:p>
    <w:p w14:paraId="70BAACF3">
      <w:pPr>
        <w:spacing w:line="400" w:lineRule="exact"/>
        <w:ind w:firstLine="420" w:firstLineChars="200"/>
        <w:rPr>
          <w:rFonts w:ascii="宋体" w:hAnsi="宋体"/>
          <w:color w:val="auto"/>
          <w:szCs w:val="21"/>
        </w:rPr>
      </w:pPr>
      <w:r>
        <w:rPr>
          <w:rFonts w:hint="eastAsia" w:ascii="宋体" w:hAnsi="宋体"/>
          <w:color w:val="auto"/>
          <w:szCs w:val="21"/>
        </w:rPr>
        <w:t>6.2评标委员会评标过程中，单个标项有效供应商少于3个的；</w:t>
      </w:r>
    </w:p>
    <w:p w14:paraId="6D04B497">
      <w:pPr>
        <w:spacing w:line="400" w:lineRule="exact"/>
        <w:ind w:firstLine="420" w:firstLineChars="200"/>
        <w:rPr>
          <w:rFonts w:ascii="宋体" w:hAnsi="宋体"/>
          <w:color w:val="auto"/>
          <w:szCs w:val="21"/>
        </w:rPr>
      </w:pPr>
      <w:r>
        <w:rPr>
          <w:rFonts w:hint="eastAsia" w:ascii="宋体" w:hAnsi="宋体"/>
          <w:color w:val="auto"/>
          <w:szCs w:val="21"/>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14:paraId="29E7CB9D">
      <w:pPr>
        <w:widowControl/>
        <w:spacing w:line="400" w:lineRule="exact"/>
        <w:jc w:val="left"/>
        <w:rPr>
          <w:rFonts w:ascii="宋体" w:hAnsi="宋体"/>
          <w:color w:val="auto"/>
          <w:szCs w:val="21"/>
        </w:rPr>
      </w:pPr>
    </w:p>
    <w:p w14:paraId="73B02773">
      <w:pPr>
        <w:spacing w:line="400" w:lineRule="exact"/>
        <w:rPr>
          <w:rFonts w:ascii="宋体" w:hAnsi="宋体"/>
          <w:color w:val="auto"/>
          <w:szCs w:val="21"/>
        </w:rPr>
      </w:pPr>
      <w:r>
        <w:rPr>
          <w:rFonts w:ascii="宋体" w:hAnsi="宋体"/>
          <w:color w:val="auto"/>
          <w:sz w:val="24"/>
          <w:szCs w:val="24"/>
        </w:rPr>
        <w:br w:type="page"/>
      </w:r>
      <w:r>
        <w:rPr>
          <w:rFonts w:hint="eastAsia" w:ascii="宋体" w:hAnsi="宋体"/>
          <w:color w:val="auto"/>
          <w:szCs w:val="21"/>
        </w:rPr>
        <w:t>附表1：</w:t>
      </w:r>
    </w:p>
    <w:p w14:paraId="181D18C4">
      <w:pPr>
        <w:widowControl/>
        <w:snapToGrid w:val="0"/>
        <w:spacing w:line="560" w:lineRule="exact"/>
        <w:jc w:val="center"/>
        <w:rPr>
          <w:rFonts w:ascii="宋体" w:hAnsi="宋体"/>
          <w:b/>
          <w:color w:val="auto"/>
          <w:szCs w:val="21"/>
        </w:rPr>
      </w:pPr>
      <w:r>
        <w:rPr>
          <w:rFonts w:hint="eastAsia" w:ascii="宋体" w:hAnsi="宋体"/>
          <w:b/>
          <w:color w:val="auto"/>
          <w:szCs w:val="21"/>
        </w:rPr>
        <w:t>资格审查表</w:t>
      </w:r>
    </w:p>
    <w:tbl>
      <w:tblPr>
        <w:tblStyle w:val="44"/>
        <w:tblW w:w="976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03"/>
        <w:gridCol w:w="4242"/>
      </w:tblGrid>
      <w:tr w14:paraId="0E34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1A5ECCF5">
            <w:pPr>
              <w:spacing w:line="360" w:lineRule="exact"/>
              <w:jc w:val="center"/>
              <w:rPr>
                <w:rFonts w:ascii="宋体" w:hAnsi="宋体"/>
                <w:b/>
                <w:color w:val="auto"/>
                <w:szCs w:val="21"/>
              </w:rPr>
            </w:pPr>
            <w:r>
              <w:rPr>
                <w:rFonts w:hint="eastAsia" w:ascii="宋体" w:hAnsi="宋体"/>
                <w:b/>
                <w:color w:val="auto"/>
                <w:szCs w:val="21"/>
              </w:rPr>
              <w:t>序号</w:t>
            </w:r>
          </w:p>
        </w:tc>
        <w:tc>
          <w:tcPr>
            <w:tcW w:w="4803" w:type="dxa"/>
            <w:vAlign w:val="center"/>
          </w:tcPr>
          <w:p w14:paraId="2F4CE0E5">
            <w:pPr>
              <w:spacing w:line="360" w:lineRule="exact"/>
              <w:jc w:val="center"/>
              <w:rPr>
                <w:rFonts w:ascii="宋体" w:hAnsi="宋体"/>
                <w:b/>
                <w:color w:val="auto"/>
                <w:szCs w:val="21"/>
              </w:rPr>
            </w:pPr>
            <w:r>
              <w:rPr>
                <w:rFonts w:hint="eastAsia" w:ascii="宋体" w:hAnsi="宋体"/>
                <w:b/>
                <w:color w:val="auto"/>
                <w:szCs w:val="21"/>
              </w:rPr>
              <w:t>要求说明</w:t>
            </w:r>
          </w:p>
        </w:tc>
        <w:tc>
          <w:tcPr>
            <w:tcW w:w="4242" w:type="dxa"/>
            <w:vAlign w:val="center"/>
          </w:tcPr>
          <w:p w14:paraId="48F94F07">
            <w:pPr>
              <w:spacing w:line="360" w:lineRule="exact"/>
              <w:jc w:val="center"/>
              <w:rPr>
                <w:rFonts w:ascii="宋体" w:hAnsi="宋体"/>
                <w:b/>
                <w:color w:val="auto"/>
                <w:szCs w:val="21"/>
              </w:rPr>
            </w:pPr>
            <w:r>
              <w:rPr>
                <w:rFonts w:hint="eastAsia" w:ascii="宋体" w:hAnsi="宋体"/>
                <w:b/>
                <w:color w:val="auto"/>
                <w:szCs w:val="21"/>
              </w:rPr>
              <w:t>审查要求</w:t>
            </w:r>
          </w:p>
        </w:tc>
      </w:tr>
      <w:tr w14:paraId="1315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4BD1A489">
            <w:pPr>
              <w:spacing w:line="360" w:lineRule="exact"/>
              <w:jc w:val="center"/>
              <w:rPr>
                <w:rFonts w:ascii="宋体" w:hAnsi="宋体"/>
                <w:color w:val="auto"/>
                <w:szCs w:val="21"/>
              </w:rPr>
            </w:pPr>
            <w:r>
              <w:rPr>
                <w:rFonts w:ascii="宋体" w:hAnsi="宋体"/>
                <w:color w:val="auto"/>
                <w:szCs w:val="21"/>
              </w:rPr>
              <w:t>1</w:t>
            </w:r>
          </w:p>
        </w:tc>
        <w:tc>
          <w:tcPr>
            <w:tcW w:w="4803" w:type="dxa"/>
            <w:vAlign w:val="center"/>
          </w:tcPr>
          <w:p w14:paraId="4EA9F590">
            <w:pPr>
              <w:spacing w:line="400" w:lineRule="exact"/>
              <w:jc w:val="left"/>
              <w:rPr>
                <w:rFonts w:ascii="宋体" w:hAnsi="宋体"/>
                <w:color w:val="auto"/>
                <w:szCs w:val="21"/>
              </w:rPr>
            </w:pPr>
            <w:r>
              <w:rPr>
                <w:rFonts w:hint="eastAsia" w:ascii="宋体" w:hAnsi="宋体" w:cs="仿宋"/>
                <w:color w:val="auto"/>
                <w:szCs w:val="21"/>
              </w:rPr>
              <w:t>满足《中华人民共和国政府采购法》第二十二条规定；未被“信用中国”（</w:t>
            </w:r>
            <w:r>
              <w:rPr>
                <w:rFonts w:ascii="宋体" w:hAnsi="宋体" w:cs="仿宋"/>
                <w:color w:val="auto"/>
                <w:szCs w:val="21"/>
              </w:rPr>
              <w:t>www.creditchina.gov.cn)</w:t>
            </w:r>
            <w:r>
              <w:rPr>
                <w:rFonts w:hint="eastAsia" w:ascii="宋体" w:hAnsi="宋体" w:cs="仿宋"/>
                <w:color w:val="auto"/>
                <w:szCs w:val="21"/>
              </w:rPr>
              <w:t>、中国政府采购网（</w:t>
            </w:r>
            <w:r>
              <w:rPr>
                <w:rFonts w:ascii="宋体" w:hAnsi="宋体" w:cs="仿宋"/>
                <w:color w:val="auto"/>
                <w:szCs w:val="21"/>
              </w:rPr>
              <w:t>www.ccgp.gov.cn</w:t>
            </w:r>
            <w:r>
              <w:rPr>
                <w:rFonts w:hint="eastAsia" w:ascii="宋体" w:hAnsi="宋体" w:cs="仿宋"/>
                <w:color w:val="auto"/>
                <w:szCs w:val="21"/>
              </w:rPr>
              <w:t>）列入失信被执行人、重大税收违法失信主体、政府采购严重违法失信行为记录名单。</w:t>
            </w:r>
          </w:p>
        </w:tc>
        <w:tc>
          <w:tcPr>
            <w:tcW w:w="4242" w:type="dxa"/>
            <w:vAlign w:val="center"/>
          </w:tcPr>
          <w:p w14:paraId="6D5E8550">
            <w:pPr>
              <w:spacing w:line="400" w:lineRule="exact"/>
              <w:jc w:val="left"/>
              <w:rPr>
                <w:rFonts w:ascii="宋体" w:hAnsi="宋体"/>
                <w:color w:val="auto"/>
                <w:szCs w:val="21"/>
              </w:rPr>
            </w:pPr>
            <w:r>
              <w:rPr>
                <w:rFonts w:hint="eastAsia" w:ascii="宋体" w:hAnsi="宋体"/>
                <w:color w:val="auto"/>
                <w:szCs w:val="21"/>
              </w:rPr>
              <w:t>A1、关于资格的承诺函;</w:t>
            </w:r>
          </w:p>
          <w:p w14:paraId="5536060B">
            <w:pPr>
              <w:spacing w:line="400" w:lineRule="exact"/>
              <w:jc w:val="left"/>
              <w:rPr>
                <w:rFonts w:ascii="宋体" w:hAnsi="宋体"/>
                <w:color w:val="auto"/>
                <w:szCs w:val="21"/>
              </w:rPr>
            </w:pPr>
            <w:r>
              <w:rPr>
                <w:rFonts w:hint="eastAsia" w:ascii="宋体" w:hAnsi="宋体"/>
                <w:color w:val="auto"/>
                <w:szCs w:val="21"/>
              </w:rPr>
              <w:t>A2、营业执照副本（或事业法人登记证副本或其他登记证明材料）复印件加盖供应商公章（供应商如果有名称变更的，应提供由行政主管部门出具的变更证明文件复印件加盖供应商公章）</w:t>
            </w:r>
          </w:p>
        </w:tc>
      </w:tr>
      <w:tr w14:paraId="5C79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21C2729B">
            <w:pPr>
              <w:spacing w:line="360" w:lineRule="exact"/>
              <w:jc w:val="center"/>
              <w:rPr>
                <w:rFonts w:ascii="宋体" w:hAnsi="宋体"/>
                <w:color w:val="auto"/>
                <w:szCs w:val="21"/>
              </w:rPr>
            </w:pPr>
            <w:r>
              <w:rPr>
                <w:rFonts w:hint="eastAsia" w:ascii="宋体" w:hAnsi="宋体"/>
                <w:color w:val="auto"/>
                <w:szCs w:val="21"/>
              </w:rPr>
              <w:t>2</w:t>
            </w:r>
          </w:p>
        </w:tc>
        <w:tc>
          <w:tcPr>
            <w:tcW w:w="4803" w:type="dxa"/>
            <w:vAlign w:val="center"/>
          </w:tcPr>
          <w:p w14:paraId="63DB87DB">
            <w:pPr>
              <w:spacing w:line="400" w:lineRule="exact"/>
              <w:jc w:val="left"/>
              <w:rPr>
                <w:rFonts w:ascii="宋体" w:hAnsi="宋体" w:cs="仿宋"/>
                <w:color w:val="auto"/>
                <w:szCs w:val="21"/>
              </w:rPr>
            </w:pPr>
            <w:r>
              <w:rPr>
                <w:rFonts w:hint="eastAsia" w:ascii="宋体" w:hAnsi="宋体" w:cs="仿宋"/>
                <w:color w:val="auto"/>
                <w:szCs w:val="21"/>
              </w:rPr>
              <w:t>本项目专门面向中小企业采购，</w:t>
            </w:r>
            <w:r>
              <w:rPr>
                <w:rFonts w:hint="eastAsia" w:cs="宋体"/>
                <w:color w:val="auto"/>
                <w:szCs w:val="21"/>
              </w:rPr>
              <w:t>投标货物须全部由符合政策要求的中小企业制造。</w:t>
            </w:r>
          </w:p>
        </w:tc>
        <w:tc>
          <w:tcPr>
            <w:tcW w:w="4242" w:type="dxa"/>
            <w:vAlign w:val="center"/>
          </w:tcPr>
          <w:p w14:paraId="64F9F14B">
            <w:pPr>
              <w:spacing w:line="400" w:lineRule="exact"/>
              <w:jc w:val="left"/>
              <w:rPr>
                <w:rFonts w:ascii="宋体" w:hAnsi="宋体"/>
                <w:color w:val="auto"/>
                <w:szCs w:val="21"/>
              </w:rPr>
            </w:pPr>
            <w:r>
              <w:rPr>
                <w:rFonts w:hint="eastAsia" w:ascii="宋体" w:hAnsi="宋体"/>
                <w:color w:val="auto"/>
                <w:szCs w:val="21"/>
              </w:rPr>
              <w:t>A3、中小企业声明函；</w:t>
            </w:r>
          </w:p>
          <w:p w14:paraId="7713D7B2">
            <w:pPr>
              <w:spacing w:line="400" w:lineRule="exact"/>
              <w:jc w:val="left"/>
              <w:rPr>
                <w:rFonts w:ascii="宋体" w:hAnsi="宋体"/>
                <w:color w:val="auto"/>
                <w:szCs w:val="21"/>
              </w:rPr>
            </w:pPr>
            <w:r>
              <w:rPr>
                <w:rFonts w:hint="eastAsia" w:ascii="宋体" w:hAnsi="宋体"/>
                <w:color w:val="auto"/>
                <w:szCs w:val="21"/>
              </w:rPr>
              <w:t>A4、残疾人福利性单位声明函（如有需提供）；</w:t>
            </w:r>
          </w:p>
          <w:p w14:paraId="2BD6A353">
            <w:pPr>
              <w:spacing w:line="400" w:lineRule="exact"/>
              <w:jc w:val="left"/>
              <w:rPr>
                <w:rFonts w:ascii="宋体" w:hAnsi="宋体"/>
                <w:color w:val="auto"/>
                <w:szCs w:val="21"/>
              </w:rPr>
            </w:pPr>
            <w:r>
              <w:rPr>
                <w:rFonts w:hint="eastAsia" w:ascii="宋体" w:hAnsi="宋体"/>
                <w:color w:val="auto"/>
                <w:szCs w:val="21"/>
              </w:rPr>
              <w:t>A5、省级以上监狱管理局、戒毒管理局（含新疆生产建设兵团）出具的属于监狱企业的证明文件（如有需提供）。</w:t>
            </w:r>
          </w:p>
        </w:tc>
      </w:tr>
      <w:tr w14:paraId="507E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3" w:type="dxa"/>
            <w:gridSpan w:val="2"/>
            <w:vAlign w:val="center"/>
          </w:tcPr>
          <w:p w14:paraId="7F927CEF">
            <w:pPr>
              <w:spacing w:line="360" w:lineRule="exact"/>
              <w:jc w:val="center"/>
              <w:rPr>
                <w:rFonts w:ascii="宋体" w:hAnsi="宋体"/>
                <w:color w:val="auto"/>
              </w:rPr>
            </w:pPr>
            <w:r>
              <w:rPr>
                <w:rFonts w:hint="eastAsia" w:ascii="宋体" w:hAnsi="宋体"/>
                <w:b/>
                <w:color w:val="auto"/>
                <w:szCs w:val="21"/>
              </w:rPr>
              <w:t>资格性审查结论</w:t>
            </w:r>
          </w:p>
        </w:tc>
        <w:tc>
          <w:tcPr>
            <w:tcW w:w="4242" w:type="dxa"/>
            <w:vAlign w:val="center"/>
          </w:tcPr>
          <w:p w14:paraId="289D2411">
            <w:pPr>
              <w:spacing w:line="360" w:lineRule="exact"/>
              <w:jc w:val="center"/>
              <w:rPr>
                <w:rFonts w:ascii="宋体" w:hAnsi="宋体"/>
                <w:color w:val="auto"/>
                <w:szCs w:val="21"/>
              </w:rPr>
            </w:pPr>
          </w:p>
        </w:tc>
      </w:tr>
    </w:tbl>
    <w:p w14:paraId="2457C8A1">
      <w:pPr>
        <w:spacing w:line="400" w:lineRule="atLeast"/>
        <w:rPr>
          <w:rFonts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、上述资格证明文件未按招标文件要求附入投标文件中的，资格性审查不合格。</w:t>
      </w:r>
    </w:p>
    <w:p w14:paraId="3C59AFF1">
      <w:pPr>
        <w:spacing w:line="400" w:lineRule="atLeast"/>
        <w:ind w:firstLine="422" w:firstLineChars="200"/>
        <w:rPr>
          <w:rFonts w:ascii="宋体" w:hAnsi="宋体"/>
          <w:b/>
          <w:color w:val="auto"/>
        </w:rPr>
      </w:pPr>
      <w:r>
        <w:rPr>
          <w:rFonts w:ascii="宋体" w:hAnsi="宋体"/>
          <w:b/>
          <w:color w:val="auto"/>
        </w:rPr>
        <w:t>2</w:t>
      </w:r>
      <w:r>
        <w:rPr>
          <w:rFonts w:hint="eastAsia" w:ascii="宋体" w:hAnsi="宋体"/>
          <w:b/>
          <w:color w:val="auto"/>
        </w:rPr>
        <w:t>、上述审查项目中，任意一项不符合的，资格性审查不合格。</w:t>
      </w:r>
    </w:p>
    <w:p w14:paraId="5ADFB6C8">
      <w:pPr>
        <w:spacing w:line="400" w:lineRule="atLeast"/>
        <w:ind w:firstLine="422" w:firstLineChars="200"/>
        <w:rPr>
          <w:rFonts w:ascii="宋体" w:hAnsi="宋体"/>
          <w:b/>
          <w:color w:val="auto"/>
        </w:rPr>
      </w:pPr>
      <w:r>
        <w:rPr>
          <w:rFonts w:ascii="宋体" w:hAnsi="宋体"/>
          <w:b/>
          <w:color w:val="auto"/>
        </w:rPr>
        <w:t>3</w:t>
      </w:r>
      <w:r>
        <w:rPr>
          <w:rFonts w:hint="eastAsia" w:ascii="宋体" w:hAnsi="宋体"/>
          <w:b/>
          <w:color w:val="auto"/>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4D2A4A42">
      <w:pPr>
        <w:spacing w:line="400" w:lineRule="atLeast"/>
        <w:ind w:firstLine="422" w:firstLineChars="200"/>
        <w:rPr>
          <w:rFonts w:ascii="宋体" w:hAnsi="宋体"/>
          <w:b/>
          <w:color w:val="auto"/>
        </w:rPr>
      </w:pPr>
      <w:r>
        <w:rPr>
          <w:rFonts w:hint="eastAsia" w:ascii="宋体" w:hAnsi="宋体"/>
          <w:b/>
          <w:color w:val="auto"/>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2C6E9A85">
      <w:pP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附表2：</w:t>
      </w:r>
    </w:p>
    <w:p w14:paraId="1E19D7F4">
      <w:pPr>
        <w:widowControl/>
        <w:snapToGrid w:val="0"/>
        <w:spacing w:line="560" w:lineRule="exact"/>
        <w:jc w:val="center"/>
        <w:rPr>
          <w:rFonts w:ascii="宋体" w:hAnsi="宋体"/>
          <w:b/>
          <w:color w:val="auto"/>
          <w:szCs w:val="21"/>
        </w:rPr>
      </w:pPr>
      <w:r>
        <w:rPr>
          <w:rFonts w:hint="eastAsia" w:ascii="宋体" w:hAnsi="宋体"/>
          <w:b/>
          <w:color w:val="auto"/>
          <w:szCs w:val="21"/>
        </w:rPr>
        <w:t>符合性审查表</w:t>
      </w:r>
    </w:p>
    <w:tbl>
      <w:tblPr>
        <w:tblStyle w:val="4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625"/>
        <w:gridCol w:w="3234"/>
      </w:tblGrid>
      <w:tr w14:paraId="401E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tcPr>
          <w:p w14:paraId="321FD15D">
            <w:pPr>
              <w:spacing w:line="360" w:lineRule="exact"/>
              <w:jc w:val="center"/>
              <w:rPr>
                <w:rFonts w:ascii="宋体" w:hAnsi="宋体" w:cs="宋体"/>
                <w:b/>
                <w:color w:val="auto"/>
                <w:szCs w:val="21"/>
              </w:rPr>
            </w:pPr>
            <w:r>
              <w:rPr>
                <w:rFonts w:hint="eastAsia" w:ascii="宋体" w:hAnsi="宋体" w:cs="宋体"/>
                <w:b/>
                <w:color w:val="auto"/>
                <w:szCs w:val="21"/>
              </w:rPr>
              <w:t>序号</w:t>
            </w:r>
          </w:p>
        </w:tc>
        <w:tc>
          <w:tcPr>
            <w:tcW w:w="5625" w:type="dxa"/>
            <w:tcBorders>
              <w:top w:val="single" w:color="auto" w:sz="4" w:space="0"/>
              <w:left w:val="single" w:color="auto" w:sz="4" w:space="0"/>
              <w:bottom w:val="single" w:color="auto" w:sz="4" w:space="0"/>
              <w:right w:val="single" w:color="auto" w:sz="4" w:space="0"/>
            </w:tcBorders>
            <w:vAlign w:val="center"/>
          </w:tcPr>
          <w:p w14:paraId="5000E3E0">
            <w:pPr>
              <w:spacing w:line="360" w:lineRule="exact"/>
              <w:jc w:val="center"/>
              <w:rPr>
                <w:rFonts w:ascii="宋体" w:hAnsi="宋体" w:cs="宋体"/>
                <w:b/>
                <w:color w:val="auto"/>
                <w:szCs w:val="21"/>
              </w:rPr>
            </w:pPr>
            <w:r>
              <w:rPr>
                <w:rFonts w:hint="eastAsia" w:ascii="宋体" w:hAnsi="宋体" w:cs="宋体"/>
                <w:b/>
                <w:color w:val="auto"/>
                <w:szCs w:val="21"/>
              </w:rPr>
              <w:t>要求说明</w:t>
            </w:r>
          </w:p>
        </w:tc>
        <w:tc>
          <w:tcPr>
            <w:tcW w:w="3234" w:type="dxa"/>
            <w:tcBorders>
              <w:top w:val="single" w:color="auto" w:sz="4" w:space="0"/>
              <w:left w:val="single" w:color="auto" w:sz="4" w:space="0"/>
              <w:bottom w:val="single" w:color="auto" w:sz="4" w:space="0"/>
              <w:right w:val="single" w:color="auto" w:sz="4" w:space="0"/>
            </w:tcBorders>
            <w:vAlign w:val="center"/>
          </w:tcPr>
          <w:p w14:paraId="53E21889">
            <w:pPr>
              <w:spacing w:line="360" w:lineRule="exact"/>
              <w:jc w:val="center"/>
              <w:rPr>
                <w:rFonts w:ascii="宋体" w:hAnsi="宋体" w:cs="宋体"/>
                <w:b/>
                <w:color w:val="auto"/>
                <w:szCs w:val="21"/>
              </w:rPr>
            </w:pPr>
            <w:r>
              <w:rPr>
                <w:rFonts w:hint="eastAsia" w:ascii="宋体" w:hAnsi="宋体" w:cs="宋体"/>
                <w:b/>
                <w:color w:val="auto"/>
                <w:szCs w:val="21"/>
              </w:rPr>
              <w:t>审查要求</w:t>
            </w:r>
          </w:p>
        </w:tc>
      </w:tr>
      <w:tr w14:paraId="6E72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6AD3A49">
            <w:pPr>
              <w:spacing w:line="360" w:lineRule="exact"/>
              <w:jc w:val="center"/>
              <w:rPr>
                <w:rFonts w:ascii="宋体" w:hAnsi="宋体" w:cs="宋体"/>
                <w:color w:val="auto"/>
                <w:szCs w:val="21"/>
              </w:rPr>
            </w:pPr>
            <w:r>
              <w:rPr>
                <w:rFonts w:hint="eastAsia" w:ascii="宋体" w:hAnsi="宋体" w:cs="宋体"/>
                <w:color w:val="auto"/>
                <w:szCs w:val="21"/>
              </w:rPr>
              <w:t>1</w:t>
            </w:r>
          </w:p>
        </w:tc>
        <w:tc>
          <w:tcPr>
            <w:tcW w:w="5625" w:type="dxa"/>
            <w:tcBorders>
              <w:top w:val="single" w:color="auto" w:sz="4" w:space="0"/>
              <w:left w:val="single" w:color="auto" w:sz="4" w:space="0"/>
              <w:bottom w:val="single" w:color="auto" w:sz="4" w:space="0"/>
              <w:right w:val="single" w:color="auto" w:sz="4" w:space="0"/>
            </w:tcBorders>
            <w:vAlign w:val="center"/>
          </w:tcPr>
          <w:p w14:paraId="46F6615C">
            <w:pPr>
              <w:spacing w:line="360" w:lineRule="exact"/>
              <w:jc w:val="left"/>
              <w:rPr>
                <w:rFonts w:ascii="宋体" w:hAnsi="宋体" w:cs="宋体"/>
                <w:color w:val="auto"/>
                <w:szCs w:val="21"/>
              </w:rPr>
            </w:pPr>
            <w:r>
              <w:rPr>
                <w:rFonts w:hint="eastAsia" w:ascii="宋体" w:hAnsi="宋体" w:cs="宋体"/>
                <w:color w:val="auto"/>
                <w:szCs w:val="21"/>
              </w:rPr>
              <w:t>投标有效期：符合第二章“投标须知”第六、1条的要求。</w:t>
            </w:r>
          </w:p>
        </w:tc>
        <w:tc>
          <w:tcPr>
            <w:tcW w:w="3234" w:type="dxa"/>
            <w:tcBorders>
              <w:top w:val="single" w:color="auto" w:sz="4" w:space="0"/>
              <w:left w:val="single" w:color="auto" w:sz="4" w:space="0"/>
              <w:bottom w:val="single" w:color="auto" w:sz="4" w:space="0"/>
              <w:right w:val="single" w:color="auto" w:sz="4" w:space="0"/>
            </w:tcBorders>
            <w:vAlign w:val="center"/>
          </w:tcPr>
          <w:p w14:paraId="094F7FFA">
            <w:pPr>
              <w:spacing w:line="360" w:lineRule="exact"/>
              <w:jc w:val="left"/>
              <w:rPr>
                <w:rFonts w:ascii="宋体" w:hAnsi="宋体" w:cs="宋体"/>
                <w:color w:val="auto"/>
                <w:szCs w:val="21"/>
              </w:rPr>
            </w:pPr>
            <w:r>
              <w:rPr>
                <w:rFonts w:hint="eastAsia" w:ascii="宋体" w:hAnsi="宋体" w:cs="宋体"/>
                <w:color w:val="auto"/>
                <w:szCs w:val="21"/>
              </w:rPr>
              <w:t>提供“投标书”。</w:t>
            </w:r>
          </w:p>
        </w:tc>
      </w:tr>
      <w:tr w14:paraId="4943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5BF0639B">
            <w:pPr>
              <w:spacing w:line="360" w:lineRule="exact"/>
              <w:jc w:val="center"/>
              <w:rPr>
                <w:rFonts w:ascii="宋体" w:hAnsi="宋体" w:cs="宋体"/>
                <w:color w:val="auto"/>
                <w:szCs w:val="21"/>
              </w:rPr>
            </w:pPr>
            <w:r>
              <w:rPr>
                <w:rFonts w:hint="eastAsia" w:ascii="宋体" w:hAnsi="宋体" w:cs="宋体"/>
                <w:color w:val="auto"/>
                <w:szCs w:val="21"/>
              </w:rPr>
              <w:t>2</w:t>
            </w:r>
          </w:p>
        </w:tc>
        <w:tc>
          <w:tcPr>
            <w:tcW w:w="5625" w:type="dxa"/>
            <w:tcBorders>
              <w:top w:val="single" w:color="auto" w:sz="4" w:space="0"/>
              <w:left w:val="single" w:color="auto" w:sz="4" w:space="0"/>
              <w:bottom w:val="single" w:color="auto" w:sz="4" w:space="0"/>
              <w:right w:val="single" w:color="auto" w:sz="4" w:space="0"/>
            </w:tcBorders>
            <w:vAlign w:val="center"/>
          </w:tcPr>
          <w:p w14:paraId="1993D68C">
            <w:pPr>
              <w:spacing w:line="360" w:lineRule="exact"/>
              <w:jc w:val="left"/>
              <w:rPr>
                <w:rFonts w:ascii="宋体" w:hAnsi="宋体" w:cs="宋体"/>
                <w:color w:val="auto"/>
                <w:szCs w:val="21"/>
              </w:rPr>
            </w:pPr>
            <w:r>
              <w:rPr>
                <w:rFonts w:hint="eastAsia" w:ascii="宋体" w:hAnsi="宋体" w:cs="宋体"/>
                <w:color w:val="auto"/>
                <w:szCs w:val="21"/>
              </w:rPr>
              <w:t>法定代表人身份证明、法定代表人授权书。</w:t>
            </w:r>
          </w:p>
        </w:tc>
        <w:tc>
          <w:tcPr>
            <w:tcW w:w="3234" w:type="dxa"/>
            <w:tcBorders>
              <w:top w:val="single" w:color="auto" w:sz="4" w:space="0"/>
              <w:left w:val="single" w:color="auto" w:sz="4" w:space="0"/>
              <w:bottom w:val="single" w:color="auto" w:sz="4" w:space="0"/>
              <w:right w:val="single" w:color="auto" w:sz="4" w:space="0"/>
            </w:tcBorders>
            <w:vAlign w:val="center"/>
          </w:tcPr>
          <w:p w14:paraId="015C2ED4">
            <w:pPr>
              <w:spacing w:line="360" w:lineRule="exact"/>
              <w:jc w:val="left"/>
              <w:rPr>
                <w:rFonts w:ascii="宋体" w:hAnsi="宋体" w:cs="宋体"/>
                <w:color w:val="auto"/>
                <w:szCs w:val="21"/>
              </w:rPr>
            </w:pPr>
            <w:r>
              <w:rPr>
                <w:rFonts w:hint="eastAsia" w:ascii="宋体" w:hAnsi="宋体" w:cs="宋体"/>
                <w:color w:val="auto"/>
                <w:szCs w:val="21"/>
              </w:rPr>
              <w:t>（1）投标文件由法定代表人签字或盖章的，提供“法定代表人身份证明”。</w:t>
            </w:r>
          </w:p>
          <w:p w14:paraId="4BF646F3">
            <w:pPr>
              <w:spacing w:line="360" w:lineRule="exact"/>
              <w:jc w:val="left"/>
              <w:rPr>
                <w:rFonts w:ascii="宋体" w:hAnsi="宋体" w:cs="宋体"/>
                <w:color w:val="auto"/>
                <w:szCs w:val="21"/>
              </w:rPr>
            </w:pPr>
            <w:r>
              <w:rPr>
                <w:rFonts w:hint="eastAsia" w:ascii="宋体" w:hAnsi="宋体" w:cs="宋体"/>
                <w:color w:val="auto"/>
                <w:szCs w:val="21"/>
              </w:rPr>
              <w:t>（2）投标文件由授权代表签字或盖章的，提供“法定代表人身份证明”和“法定代表人授权书”。</w:t>
            </w:r>
          </w:p>
        </w:tc>
      </w:tr>
      <w:tr w14:paraId="74A9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5D667F2B">
            <w:pPr>
              <w:spacing w:line="360" w:lineRule="exact"/>
              <w:jc w:val="center"/>
              <w:rPr>
                <w:rFonts w:ascii="宋体" w:hAnsi="宋体" w:cs="宋体"/>
                <w:color w:val="auto"/>
                <w:szCs w:val="21"/>
              </w:rPr>
            </w:pPr>
            <w:r>
              <w:rPr>
                <w:rFonts w:hint="eastAsia" w:ascii="宋体" w:hAnsi="宋体" w:cs="宋体"/>
                <w:color w:val="auto"/>
                <w:szCs w:val="21"/>
              </w:rPr>
              <w:t>3</w:t>
            </w:r>
          </w:p>
        </w:tc>
        <w:tc>
          <w:tcPr>
            <w:tcW w:w="5625" w:type="dxa"/>
            <w:tcBorders>
              <w:top w:val="single" w:color="auto" w:sz="4" w:space="0"/>
              <w:left w:val="single" w:color="auto" w:sz="4" w:space="0"/>
              <w:bottom w:val="single" w:color="auto" w:sz="4" w:space="0"/>
              <w:right w:val="single" w:color="auto" w:sz="4" w:space="0"/>
            </w:tcBorders>
            <w:vAlign w:val="center"/>
          </w:tcPr>
          <w:p w14:paraId="62FEB08B">
            <w:pPr>
              <w:spacing w:line="360" w:lineRule="exact"/>
              <w:jc w:val="left"/>
              <w:rPr>
                <w:rFonts w:ascii="宋体" w:hAnsi="宋体" w:cs="宋体"/>
                <w:color w:val="auto"/>
                <w:szCs w:val="21"/>
              </w:rPr>
            </w:pPr>
            <w:r>
              <w:rPr>
                <w:rFonts w:hint="eastAsia" w:ascii="宋体" w:hAnsi="宋体" w:cs="宋体"/>
                <w:color w:val="auto"/>
                <w:szCs w:val="21"/>
              </w:rPr>
              <w:t>资格文件、商务和技术文件中不得出现涉及投标价格的内容。</w:t>
            </w:r>
          </w:p>
        </w:tc>
        <w:tc>
          <w:tcPr>
            <w:tcW w:w="3234" w:type="dxa"/>
            <w:tcBorders>
              <w:top w:val="single" w:color="auto" w:sz="4" w:space="0"/>
              <w:left w:val="single" w:color="auto" w:sz="4" w:space="0"/>
              <w:bottom w:val="single" w:color="auto" w:sz="4" w:space="0"/>
              <w:right w:val="single" w:color="auto" w:sz="4" w:space="0"/>
            </w:tcBorders>
            <w:vAlign w:val="center"/>
          </w:tcPr>
          <w:p w14:paraId="481B7F46">
            <w:pPr>
              <w:snapToGrid w:val="0"/>
              <w:spacing w:line="400" w:lineRule="exact"/>
              <w:rPr>
                <w:rFonts w:ascii="宋体" w:hAnsi="宋体" w:cs="宋体"/>
                <w:color w:val="auto"/>
                <w:szCs w:val="21"/>
              </w:rPr>
            </w:pPr>
            <w:r>
              <w:rPr>
                <w:rFonts w:hint="eastAsia" w:ascii="宋体" w:hAnsi="宋体" w:cs="宋体"/>
                <w:color w:val="auto"/>
                <w:szCs w:val="21"/>
              </w:rPr>
              <w:t>资格文件、商务和技术文件中是否出现涉及投标价格的内容。</w:t>
            </w:r>
          </w:p>
        </w:tc>
      </w:tr>
      <w:tr w14:paraId="2670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E084FBE">
            <w:pPr>
              <w:spacing w:line="360" w:lineRule="exact"/>
              <w:jc w:val="center"/>
              <w:rPr>
                <w:rFonts w:ascii="宋体" w:hAnsi="宋体" w:cs="宋体"/>
                <w:color w:val="auto"/>
                <w:szCs w:val="21"/>
              </w:rPr>
            </w:pPr>
            <w:r>
              <w:rPr>
                <w:rFonts w:hint="eastAsia" w:ascii="宋体" w:hAnsi="宋体" w:cs="宋体"/>
                <w:color w:val="auto"/>
                <w:szCs w:val="21"/>
              </w:rPr>
              <w:t>4</w:t>
            </w:r>
          </w:p>
        </w:tc>
        <w:tc>
          <w:tcPr>
            <w:tcW w:w="5625" w:type="dxa"/>
            <w:tcBorders>
              <w:top w:val="single" w:color="auto" w:sz="4" w:space="0"/>
              <w:left w:val="single" w:color="auto" w:sz="4" w:space="0"/>
              <w:bottom w:val="single" w:color="auto" w:sz="4" w:space="0"/>
              <w:right w:val="single" w:color="auto" w:sz="4" w:space="0"/>
            </w:tcBorders>
            <w:vAlign w:val="center"/>
          </w:tcPr>
          <w:p w14:paraId="63773B3B">
            <w:pPr>
              <w:spacing w:line="360" w:lineRule="exact"/>
              <w:jc w:val="left"/>
              <w:rPr>
                <w:rFonts w:ascii="宋体" w:hAnsi="宋体" w:cs="宋体"/>
                <w:color w:val="auto"/>
                <w:szCs w:val="21"/>
              </w:rPr>
            </w:pPr>
            <w:r>
              <w:rPr>
                <w:rFonts w:hint="eastAsia" w:ascii="宋体" w:hAnsi="宋体" w:cs="宋体"/>
                <w:color w:val="auto"/>
                <w:szCs w:val="21"/>
              </w:rPr>
              <w:t>符合第二章“投标须知”第九、1条的要求。</w:t>
            </w:r>
          </w:p>
        </w:tc>
        <w:tc>
          <w:tcPr>
            <w:tcW w:w="3234" w:type="dxa"/>
            <w:tcBorders>
              <w:top w:val="single" w:color="auto" w:sz="4" w:space="0"/>
              <w:left w:val="single" w:color="auto" w:sz="4" w:space="0"/>
              <w:bottom w:val="single" w:color="auto" w:sz="4" w:space="0"/>
              <w:right w:val="single" w:color="auto" w:sz="4" w:space="0"/>
            </w:tcBorders>
            <w:vAlign w:val="center"/>
          </w:tcPr>
          <w:p w14:paraId="0F7CDE72">
            <w:pPr>
              <w:spacing w:line="360" w:lineRule="exact"/>
              <w:jc w:val="left"/>
              <w:rPr>
                <w:rFonts w:ascii="宋体" w:hAnsi="宋体" w:cs="宋体"/>
                <w:color w:val="auto"/>
                <w:szCs w:val="21"/>
              </w:rPr>
            </w:pPr>
            <w:r>
              <w:rPr>
                <w:rFonts w:hint="eastAsia" w:ascii="宋体" w:hAnsi="宋体" w:cs="宋体"/>
                <w:color w:val="auto"/>
                <w:szCs w:val="21"/>
              </w:rPr>
              <w:t>投标文件的签署盖章符合所述要求。</w:t>
            </w:r>
          </w:p>
        </w:tc>
      </w:tr>
      <w:tr w14:paraId="1B26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43452E0">
            <w:pPr>
              <w:spacing w:line="360" w:lineRule="exact"/>
              <w:jc w:val="center"/>
              <w:rPr>
                <w:rFonts w:ascii="宋体" w:hAnsi="宋体" w:cs="宋体"/>
                <w:color w:val="auto"/>
                <w:szCs w:val="21"/>
              </w:rPr>
            </w:pPr>
            <w:r>
              <w:rPr>
                <w:rFonts w:hint="eastAsia" w:ascii="宋体" w:hAnsi="宋体" w:cs="宋体"/>
                <w:color w:val="auto"/>
                <w:szCs w:val="21"/>
              </w:rPr>
              <w:t>5</w:t>
            </w:r>
          </w:p>
        </w:tc>
        <w:tc>
          <w:tcPr>
            <w:tcW w:w="5625" w:type="dxa"/>
            <w:tcBorders>
              <w:top w:val="single" w:color="auto" w:sz="4" w:space="0"/>
              <w:left w:val="single" w:color="auto" w:sz="4" w:space="0"/>
              <w:bottom w:val="single" w:color="auto" w:sz="4" w:space="0"/>
              <w:right w:val="single" w:color="auto" w:sz="4" w:space="0"/>
            </w:tcBorders>
            <w:vAlign w:val="center"/>
          </w:tcPr>
          <w:p w14:paraId="7D51197F">
            <w:pPr>
              <w:spacing w:line="360" w:lineRule="exact"/>
              <w:jc w:val="left"/>
              <w:rPr>
                <w:rFonts w:ascii="宋体" w:hAnsi="宋体" w:cs="宋体"/>
                <w:color w:val="auto"/>
                <w:szCs w:val="21"/>
              </w:rPr>
            </w:pPr>
            <w:r>
              <w:rPr>
                <w:rFonts w:hint="eastAsia" w:ascii="宋体" w:hAnsi="宋体" w:cs="宋体"/>
                <w:color w:val="auto"/>
                <w:szCs w:val="21"/>
              </w:rPr>
              <w:t>对同个标项不允许提供两个投标方案。</w:t>
            </w:r>
          </w:p>
        </w:tc>
        <w:tc>
          <w:tcPr>
            <w:tcW w:w="3234" w:type="dxa"/>
            <w:tcBorders>
              <w:top w:val="single" w:color="auto" w:sz="4" w:space="0"/>
              <w:left w:val="single" w:color="auto" w:sz="4" w:space="0"/>
              <w:bottom w:val="single" w:color="auto" w:sz="4" w:space="0"/>
              <w:right w:val="single" w:color="auto" w:sz="4" w:space="0"/>
            </w:tcBorders>
            <w:vAlign w:val="center"/>
          </w:tcPr>
          <w:p w14:paraId="0D1D9099">
            <w:pPr>
              <w:spacing w:line="360" w:lineRule="exact"/>
              <w:jc w:val="left"/>
              <w:rPr>
                <w:rFonts w:ascii="宋体" w:hAnsi="宋体" w:cs="宋体"/>
                <w:color w:val="auto"/>
                <w:szCs w:val="21"/>
              </w:rPr>
            </w:pPr>
            <w:r>
              <w:rPr>
                <w:rFonts w:hint="eastAsia" w:ascii="宋体" w:hAnsi="宋体" w:cs="宋体"/>
                <w:color w:val="auto"/>
                <w:szCs w:val="21"/>
              </w:rPr>
              <w:t>是否有两个投标方案。</w:t>
            </w:r>
          </w:p>
        </w:tc>
      </w:tr>
      <w:tr w14:paraId="237F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186AC33">
            <w:pPr>
              <w:spacing w:line="360" w:lineRule="exact"/>
              <w:jc w:val="center"/>
              <w:rPr>
                <w:rFonts w:ascii="宋体" w:hAnsi="宋体" w:cs="宋体"/>
                <w:color w:val="auto"/>
                <w:szCs w:val="21"/>
              </w:rPr>
            </w:pPr>
            <w:r>
              <w:rPr>
                <w:rFonts w:hint="eastAsia" w:ascii="宋体" w:hAnsi="宋体" w:cs="宋体"/>
                <w:color w:val="auto"/>
                <w:szCs w:val="21"/>
              </w:rPr>
              <w:t>6</w:t>
            </w:r>
          </w:p>
        </w:tc>
        <w:tc>
          <w:tcPr>
            <w:tcW w:w="5625" w:type="dxa"/>
            <w:tcBorders>
              <w:top w:val="single" w:color="auto" w:sz="4" w:space="0"/>
              <w:left w:val="single" w:color="auto" w:sz="4" w:space="0"/>
              <w:bottom w:val="single" w:color="auto" w:sz="4" w:space="0"/>
              <w:right w:val="single" w:color="auto" w:sz="4" w:space="0"/>
            </w:tcBorders>
            <w:vAlign w:val="center"/>
          </w:tcPr>
          <w:p w14:paraId="33C6AA77">
            <w:pPr>
              <w:spacing w:line="360" w:lineRule="exact"/>
              <w:jc w:val="left"/>
              <w:rPr>
                <w:rFonts w:ascii="宋体" w:hAnsi="宋体" w:cs="宋体"/>
                <w:color w:val="auto"/>
                <w:szCs w:val="21"/>
              </w:rPr>
            </w:pPr>
            <w:r>
              <w:rPr>
                <w:rFonts w:hint="eastAsia" w:ascii="宋体" w:hAnsi="宋体" w:cs="宋体"/>
                <w:color w:val="auto"/>
                <w:szCs w:val="21"/>
              </w:rPr>
              <w:t>供应商不得在投标活动中提供任何虚假材料或从事其他违法活动的。</w:t>
            </w:r>
          </w:p>
        </w:tc>
        <w:tc>
          <w:tcPr>
            <w:tcW w:w="3234" w:type="dxa"/>
            <w:tcBorders>
              <w:top w:val="single" w:color="auto" w:sz="4" w:space="0"/>
              <w:left w:val="single" w:color="auto" w:sz="4" w:space="0"/>
              <w:bottom w:val="single" w:color="auto" w:sz="4" w:space="0"/>
              <w:right w:val="single" w:color="auto" w:sz="4" w:space="0"/>
            </w:tcBorders>
            <w:vAlign w:val="center"/>
          </w:tcPr>
          <w:p w14:paraId="09EC0645">
            <w:pPr>
              <w:spacing w:line="360" w:lineRule="exact"/>
              <w:jc w:val="left"/>
              <w:rPr>
                <w:rFonts w:ascii="宋体" w:hAnsi="宋体" w:cs="宋体"/>
                <w:color w:val="auto"/>
                <w:szCs w:val="21"/>
              </w:rPr>
            </w:pPr>
            <w:r>
              <w:rPr>
                <w:rFonts w:hint="eastAsia" w:ascii="宋体" w:hAnsi="宋体" w:cs="宋体"/>
                <w:color w:val="auto"/>
                <w:szCs w:val="21"/>
              </w:rPr>
              <w:t>不得提供任何虚假材料或从事其他违法活动。</w:t>
            </w:r>
          </w:p>
        </w:tc>
      </w:tr>
      <w:tr w14:paraId="412A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35C3F826">
            <w:pPr>
              <w:spacing w:line="360" w:lineRule="exact"/>
              <w:jc w:val="center"/>
              <w:rPr>
                <w:rFonts w:ascii="宋体" w:hAnsi="宋体" w:cs="宋体"/>
                <w:color w:val="auto"/>
                <w:szCs w:val="21"/>
              </w:rPr>
            </w:pPr>
            <w:r>
              <w:rPr>
                <w:rFonts w:hint="eastAsia" w:ascii="宋体" w:hAnsi="宋体" w:cs="宋体"/>
                <w:color w:val="auto"/>
                <w:szCs w:val="21"/>
              </w:rPr>
              <w:t>7</w:t>
            </w:r>
          </w:p>
        </w:tc>
        <w:tc>
          <w:tcPr>
            <w:tcW w:w="5625" w:type="dxa"/>
            <w:tcBorders>
              <w:top w:val="single" w:color="auto" w:sz="4" w:space="0"/>
              <w:left w:val="single" w:color="auto" w:sz="4" w:space="0"/>
              <w:bottom w:val="single" w:color="auto" w:sz="4" w:space="0"/>
              <w:right w:val="single" w:color="auto" w:sz="4" w:space="0"/>
            </w:tcBorders>
            <w:vAlign w:val="center"/>
          </w:tcPr>
          <w:p w14:paraId="5AA50B61">
            <w:pPr>
              <w:spacing w:line="360" w:lineRule="exact"/>
              <w:jc w:val="left"/>
              <w:rPr>
                <w:rFonts w:ascii="宋体" w:hAnsi="宋体" w:cs="宋体"/>
                <w:color w:val="auto"/>
                <w:szCs w:val="21"/>
              </w:rPr>
            </w:pPr>
            <w:r>
              <w:rPr>
                <w:rFonts w:hint="eastAsia" w:ascii="宋体" w:hAnsi="宋体" w:cs="宋体"/>
                <w:color w:val="auto"/>
                <w:szCs w:val="21"/>
              </w:rPr>
              <w:t>评标委员会经过审查，认定供应商虚假投标、串通投标的，有下列情形之一的，视为供应商串通投标：</w:t>
            </w:r>
          </w:p>
          <w:p w14:paraId="6547F58E">
            <w:pPr>
              <w:spacing w:line="360" w:lineRule="exact"/>
              <w:jc w:val="left"/>
              <w:rPr>
                <w:rFonts w:ascii="宋体" w:hAnsi="宋体" w:cs="宋体"/>
                <w:color w:val="auto"/>
                <w:szCs w:val="21"/>
              </w:rPr>
            </w:pPr>
            <w:r>
              <w:rPr>
                <w:rFonts w:hint="eastAsia" w:ascii="宋体" w:hAnsi="宋体" w:cs="宋体"/>
                <w:color w:val="auto"/>
                <w:szCs w:val="21"/>
              </w:rPr>
              <w:t>（1）供应商直接或者间接从采购人或者采购机构处获得其他供应商的相关情况并修改其投标文件或者响应文件；</w:t>
            </w:r>
          </w:p>
          <w:p w14:paraId="15B20344">
            <w:pPr>
              <w:spacing w:line="360" w:lineRule="exact"/>
              <w:jc w:val="left"/>
              <w:rPr>
                <w:rFonts w:ascii="宋体" w:hAnsi="宋体" w:cs="宋体"/>
                <w:color w:val="auto"/>
                <w:szCs w:val="21"/>
              </w:rPr>
            </w:pPr>
            <w:r>
              <w:rPr>
                <w:rFonts w:hint="eastAsia" w:ascii="宋体" w:hAnsi="宋体" w:cs="宋体"/>
                <w:color w:val="auto"/>
                <w:szCs w:val="21"/>
              </w:rPr>
              <w:t>（2）供应商按照采购人或者采购机构的授意撤换、修改投标文件或者响应文件；</w:t>
            </w:r>
          </w:p>
          <w:p w14:paraId="098648A9">
            <w:pPr>
              <w:spacing w:line="360" w:lineRule="exact"/>
              <w:jc w:val="left"/>
              <w:rPr>
                <w:rFonts w:ascii="宋体" w:hAnsi="宋体" w:cs="宋体"/>
                <w:color w:val="auto"/>
                <w:szCs w:val="21"/>
              </w:rPr>
            </w:pPr>
            <w:r>
              <w:rPr>
                <w:rFonts w:hint="eastAsia" w:ascii="宋体" w:hAnsi="宋体" w:cs="宋体"/>
                <w:color w:val="auto"/>
                <w:szCs w:val="21"/>
              </w:rPr>
              <w:t>（3）供应商之间协商报价、技术方案等投标文件或者响应文件的实质性内容；</w:t>
            </w:r>
          </w:p>
          <w:p w14:paraId="1E822C61">
            <w:pPr>
              <w:spacing w:line="360" w:lineRule="exact"/>
              <w:jc w:val="left"/>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3AE3D74B">
            <w:pPr>
              <w:spacing w:line="360" w:lineRule="exact"/>
              <w:jc w:val="left"/>
              <w:rPr>
                <w:rFonts w:ascii="宋体" w:hAnsi="宋体" w:cs="宋体"/>
                <w:color w:val="auto"/>
                <w:szCs w:val="21"/>
              </w:rPr>
            </w:pPr>
            <w:r>
              <w:rPr>
                <w:rFonts w:hint="eastAsia" w:ascii="宋体" w:hAnsi="宋体" w:cs="宋体"/>
                <w:color w:val="auto"/>
                <w:szCs w:val="21"/>
              </w:rPr>
              <w:t>（5）供应商之间事先约定由某一特定供应商中标、成交；</w:t>
            </w:r>
          </w:p>
          <w:p w14:paraId="0326F4BA">
            <w:pPr>
              <w:spacing w:line="360" w:lineRule="exact"/>
              <w:jc w:val="left"/>
              <w:rPr>
                <w:rFonts w:ascii="宋体" w:hAnsi="宋体" w:cs="宋体"/>
                <w:color w:val="auto"/>
                <w:szCs w:val="21"/>
              </w:rPr>
            </w:pPr>
            <w:r>
              <w:rPr>
                <w:rFonts w:hint="eastAsia" w:ascii="宋体" w:hAnsi="宋体" w:cs="宋体"/>
                <w:color w:val="auto"/>
                <w:szCs w:val="21"/>
              </w:rPr>
              <w:t>（6）供应商之间商定部分供应商放弃参加政府采购活动或者放弃中标、成交；</w:t>
            </w:r>
          </w:p>
          <w:p w14:paraId="2362B12E">
            <w:pPr>
              <w:spacing w:line="360" w:lineRule="exact"/>
              <w:jc w:val="left"/>
              <w:rPr>
                <w:rFonts w:ascii="宋体" w:hAnsi="宋体" w:cs="宋体"/>
                <w:color w:val="auto"/>
                <w:szCs w:val="21"/>
              </w:rPr>
            </w:pPr>
            <w:r>
              <w:rPr>
                <w:rFonts w:hint="eastAsia" w:ascii="宋体" w:hAnsi="宋体" w:cs="宋体"/>
                <w:color w:val="auto"/>
                <w:szCs w:val="21"/>
              </w:rPr>
              <w:t>（7）供应商与采购人或者采购机构之间、供应商相互之间，为谋求特定供应商中标、成交或者排斥其他供应商的其他串通行为。</w:t>
            </w:r>
          </w:p>
        </w:tc>
        <w:tc>
          <w:tcPr>
            <w:tcW w:w="3234" w:type="dxa"/>
            <w:tcBorders>
              <w:top w:val="single" w:color="auto" w:sz="4" w:space="0"/>
              <w:left w:val="single" w:color="auto" w:sz="4" w:space="0"/>
              <w:bottom w:val="single" w:color="auto" w:sz="4" w:space="0"/>
              <w:right w:val="single" w:color="auto" w:sz="4" w:space="0"/>
            </w:tcBorders>
            <w:vAlign w:val="center"/>
          </w:tcPr>
          <w:p w14:paraId="5E39534B">
            <w:pPr>
              <w:spacing w:line="360" w:lineRule="exact"/>
              <w:jc w:val="left"/>
              <w:rPr>
                <w:rFonts w:ascii="宋体" w:hAnsi="宋体" w:cs="宋体"/>
                <w:color w:val="auto"/>
                <w:szCs w:val="21"/>
              </w:rPr>
            </w:pPr>
            <w:r>
              <w:rPr>
                <w:rFonts w:hint="eastAsia" w:ascii="宋体" w:hAnsi="宋体" w:cs="宋体"/>
                <w:color w:val="auto"/>
                <w:szCs w:val="21"/>
              </w:rPr>
              <w:t>不得有所述情形。</w:t>
            </w:r>
          </w:p>
        </w:tc>
      </w:tr>
      <w:tr w14:paraId="1E50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78A31D6">
            <w:pPr>
              <w:spacing w:line="360" w:lineRule="exact"/>
              <w:jc w:val="center"/>
              <w:rPr>
                <w:rFonts w:ascii="宋体" w:hAnsi="宋体" w:cs="宋体"/>
                <w:color w:val="auto"/>
                <w:szCs w:val="21"/>
              </w:rPr>
            </w:pPr>
            <w:r>
              <w:rPr>
                <w:rFonts w:hint="eastAsia" w:ascii="宋体" w:hAnsi="宋体" w:cs="宋体"/>
                <w:color w:val="auto"/>
                <w:szCs w:val="21"/>
              </w:rPr>
              <w:t>8</w:t>
            </w:r>
          </w:p>
        </w:tc>
        <w:tc>
          <w:tcPr>
            <w:tcW w:w="5625" w:type="dxa"/>
            <w:tcBorders>
              <w:top w:val="single" w:color="auto" w:sz="4" w:space="0"/>
              <w:left w:val="single" w:color="auto" w:sz="4" w:space="0"/>
              <w:bottom w:val="single" w:color="auto" w:sz="4" w:space="0"/>
              <w:right w:val="single" w:color="auto" w:sz="4" w:space="0"/>
            </w:tcBorders>
            <w:vAlign w:val="center"/>
          </w:tcPr>
          <w:p w14:paraId="1143572C">
            <w:pPr>
              <w:spacing w:line="360" w:lineRule="exact"/>
              <w:jc w:val="left"/>
              <w:rPr>
                <w:rFonts w:ascii="宋体" w:hAnsi="宋体" w:cs="宋体"/>
                <w:color w:val="auto"/>
                <w:szCs w:val="21"/>
              </w:rPr>
            </w:pPr>
            <w:r>
              <w:rPr>
                <w:rFonts w:hint="eastAsia" w:ascii="宋体" w:hAnsi="宋体" w:cs="宋体"/>
                <w:color w:val="auto"/>
                <w:szCs w:val="21"/>
              </w:rPr>
              <w:t>评标委员会经过审查，认定供应商虚假应标、串通投标的，有下列情形之一的，视为供应商串通投标：</w:t>
            </w:r>
          </w:p>
          <w:p w14:paraId="2B69FDE1">
            <w:pPr>
              <w:widowControl/>
              <w:spacing w:line="360" w:lineRule="exact"/>
              <w:jc w:val="left"/>
              <w:rPr>
                <w:rFonts w:ascii="宋体" w:hAnsi="宋体" w:cs="宋体"/>
                <w:color w:val="auto"/>
                <w:szCs w:val="21"/>
              </w:rPr>
            </w:pPr>
            <w:r>
              <w:rPr>
                <w:rFonts w:hint="eastAsia" w:ascii="宋体" w:hAnsi="宋体" w:cs="宋体"/>
                <w:color w:val="auto"/>
                <w:szCs w:val="21"/>
              </w:rPr>
              <w:t>（1）不同供应商的投标文件由同一单位或者个人编制；</w:t>
            </w:r>
          </w:p>
          <w:p w14:paraId="30C680C7">
            <w:pPr>
              <w:widowControl/>
              <w:spacing w:line="360" w:lineRule="exact"/>
              <w:jc w:val="left"/>
              <w:rPr>
                <w:rFonts w:ascii="宋体" w:hAnsi="宋体" w:cs="宋体"/>
                <w:color w:val="auto"/>
                <w:szCs w:val="21"/>
              </w:rPr>
            </w:pPr>
            <w:r>
              <w:rPr>
                <w:rFonts w:hint="eastAsia" w:ascii="宋体" w:hAnsi="宋体" w:cs="宋体"/>
                <w:color w:val="auto"/>
                <w:szCs w:val="21"/>
              </w:rPr>
              <w:t>（2）不同供应商委托同一单位或者个人办理投标事宜；</w:t>
            </w:r>
          </w:p>
          <w:p w14:paraId="79F36C24">
            <w:pPr>
              <w:widowControl/>
              <w:spacing w:line="360" w:lineRule="exact"/>
              <w:jc w:val="left"/>
              <w:rPr>
                <w:rFonts w:ascii="宋体" w:hAnsi="宋体" w:cs="宋体"/>
                <w:color w:val="auto"/>
                <w:szCs w:val="21"/>
              </w:rPr>
            </w:pPr>
            <w:r>
              <w:rPr>
                <w:rFonts w:hint="eastAsia" w:ascii="宋体" w:hAnsi="宋体" w:cs="宋体"/>
                <w:color w:val="auto"/>
                <w:szCs w:val="21"/>
              </w:rPr>
              <w:t>（3）不同供应商的投标文件载明的项目管理成员或者联系人员为同一人；</w:t>
            </w:r>
          </w:p>
          <w:p w14:paraId="5F1E4E27">
            <w:pPr>
              <w:widowControl/>
              <w:spacing w:line="360" w:lineRule="exact"/>
              <w:jc w:val="left"/>
              <w:rPr>
                <w:rFonts w:ascii="宋体" w:hAnsi="宋体" w:cs="宋体"/>
                <w:color w:val="auto"/>
                <w:szCs w:val="21"/>
              </w:rPr>
            </w:pPr>
            <w:r>
              <w:rPr>
                <w:rFonts w:hint="eastAsia" w:ascii="宋体" w:hAnsi="宋体" w:cs="宋体"/>
                <w:color w:val="auto"/>
                <w:szCs w:val="21"/>
              </w:rPr>
              <w:t>（4）不同供应商的投标文件异常一致或者投标报价呈规律性差异；</w:t>
            </w:r>
          </w:p>
          <w:p w14:paraId="0220CA69">
            <w:pPr>
              <w:widowControl/>
              <w:spacing w:line="360" w:lineRule="exact"/>
              <w:jc w:val="left"/>
              <w:rPr>
                <w:rFonts w:ascii="宋体" w:hAnsi="宋体" w:cs="宋体"/>
                <w:color w:val="auto"/>
                <w:szCs w:val="21"/>
              </w:rPr>
            </w:pPr>
            <w:r>
              <w:rPr>
                <w:rFonts w:hint="eastAsia" w:ascii="宋体" w:hAnsi="宋体" w:cs="宋体"/>
                <w:color w:val="auto"/>
                <w:szCs w:val="21"/>
              </w:rPr>
              <w:t>（5）不同供应商的投标文件相互混装。</w:t>
            </w:r>
          </w:p>
        </w:tc>
        <w:tc>
          <w:tcPr>
            <w:tcW w:w="3234" w:type="dxa"/>
            <w:tcBorders>
              <w:top w:val="single" w:color="auto" w:sz="4" w:space="0"/>
              <w:left w:val="single" w:color="auto" w:sz="4" w:space="0"/>
              <w:bottom w:val="single" w:color="auto" w:sz="4" w:space="0"/>
              <w:right w:val="single" w:color="auto" w:sz="4" w:space="0"/>
            </w:tcBorders>
            <w:vAlign w:val="center"/>
          </w:tcPr>
          <w:p w14:paraId="56F34771">
            <w:pPr>
              <w:spacing w:line="360" w:lineRule="exact"/>
              <w:jc w:val="left"/>
              <w:rPr>
                <w:rFonts w:ascii="宋体" w:hAnsi="宋体" w:cs="宋体"/>
                <w:color w:val="auto"/>
                <w:szCs w:val="21"/>
              </w:rPr>
            </w:pPr>
            <w:r>
              <w:rPr>
                <w:rFonts w:hint="eastAsia" w:ascii="宋体" w:hAnsi="宋体" w:cs="宋体"/>
                <w:color w:val="auto"/>
                <w:szCs w:val="21"/>
              </w:rPr>
              <w:t>不得有所述情形。</w:t>
            </w:r>
          </w:p>
        </w:tc>
      </w:tr>
      <w:tr w14:paraId="21F8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5B24F7BD">
            <w:pPr>
              <w:spacing w:line="360" w:lineRule="exact"/>
              <w:jc w:val="center"/>
              <w:rPr>
                <w:rFonts w:ascii="宋体" w:hAnsi="宋体" w:cs="宋体"/>
                <w:color w:val="auto"/>
                <w:szCs w:val="21"/>
              </w:rPr>
            </w:pPr>
            <w:r>
              <w:rPr>
                <w:rFonts w:hint="eastAsia" w:ascii="宋体" w:hAnsi="宋体" w:cs="宋体"/>
                <w:color w:val="auto"/>
                <w:szCs w:val="21"/>
              </w:rPr>
              <w:t>9</w:t>
            </w:r>
          </w:p>
        </w:tc>
        <w:tc>
          <w:tcPr>
            <w:tcW w:w="5625" w:type="dxa"/>
            <w:tcBorders>
              <w:top w:val="single" w:color="auto" w:sz="4" w:space="0"/>
              <w:left w:val="single" w:color="auto" w:sz="4" w:space="0"/>
              <w:bottom w:val="single" w:color="auto" w:sz="4" w:space="0"/>
              <w:right w:val="single" w:color="auto" w:sz="4" w:space="0"/>
            </w:tcBorders>
            <w:vAlign w:val="center"/>
          </w:tcPr>
          <w:p w14:paraId="076481C2">
            <w:pPr>
              <w:spacing w:line="360" w:lineRule="exact"/>
              <w:jc w:val="left"/>
              <w:rPr>
                <w:rFonts w:ascii="宋体" w:hAnsi="宋体" w:cs="宋体"/>
                <w:color w:val="auto"/>
                <w:szCs w:val="21"/>
              </w:rPr>
            </w:pPr>
            <w:r>
              <w:rPr>
                <w:rFonts w:hint="eastAsia" w:ascii="宋体" w:hAnsi="宋体" w:cs="宋体"/>
                <w:color w:val="auto"/>
                <w:szCs w:val="21"/>
              </w:rPr>
              <w:t>参与同一个标项的供应商存在下列情形之一且无法合理解释的，其投标文件无效：</w:t>
            </w:r>
          </w:p>
          <w:p w14:paraId="273847E6">
            <w:pPr>
              <w:spacing w:line="360" w:lineRule="exact"/>
              <w:jc w:val="left"/>
              <w:rPr>
                <w:rFonts w:ascii="宋体" w:hAnsi="宋体" w:cs="宋体"/>
                <w:color w:val="auto"/>
                <w:szCs w:val="21"/>
              </w:rPr>
            </w:pPr>
            <w:r>
              <w:rPr>
                <w:rFonts w:hint="eastAsia" w:ascii="宋体" w:hAnsi="宋体" w:cs="宋体"/>
                <w:color w:val="auto"/>
                <w:szCs w:val="21"/>
              </w:rPr>
              <w:t>（1）不同供应商的电子投标文件上传计算机的网卡MAC地址或硬盘序列号等硬件信息相同的；</w:t>
            </w:r>
          </w:p>
          <w:p w14:paraId="111ABCA8">
            <w:pPr>
              <w:spacing w:line="360" w:lineRule="exact"/>
              <w:jc w:val="left"/>
              <w:rPr>
                <w:rFonts w:ascii="宋体" w:hAnsi="宋体" w:cs="宋体"/>
                <w:color w:val="auto"/>
                <w:szCs w:val="21"/>
              </w:rPr>
            </w:pPr>
            <w:r>
              <w:rPr>
                <w:rFonts w:hint="eastAsia" w:ascii="宋体" w:hAnsi="宋体" w:cs="宋体"/>
                <w:color w:val="auto"/>
                <w:szCs w:val="21"/>
              </w:rPr>
              <w:t>（2）上传的电子投标文件若出现使用本项目其他投标供应商的数字证书加密的，或者加盖本项目其他投标供应商的电子印章的；</w:t>
            </w:r>
          </w:p>
          <w:p w14:paraId="2350CC94">
            <w:pPr>
              <w:spacing w:line="360" w:lineRule="exact"/>
              <w:jc w:val="left"/>
              <w:rPr>
                <w:rFonts w:ascii="宋体" w:hAnsi="宋体" w:cs="宋体"/>
                <w:color w:val="auto"/>
                <w:szCs w:val="21"/>
              </w:rPr>
            </w:pPr>
            <w:r>
              <w:rPr>
                <w:rFonts w:hint="eastAsia" w:ascii="宋体" w:hAnsi="宋体" w:cs="宋体"/>
                <w:color w:val="auto"/>
                <w:szCs w:val="21"/>
              </w:rPr>
              <w:t>（3）不同供应商的投标文件的内容存在3处（含）以上错误一致的；</w:t>
            </w:r>
          </w:p>
          <w:p w14:paraId="6EF6D411">
            <w:pPr>
              <w:spacing w:line="360" w:lineRule="exact"/>
              <w:jc w:val="left"/>
              <w:rPr>
                <w:rFonts w:ascii="宋体" w:hAnsi="宋体" w:cs="宋体"/>
                <w:color w:val="auto"/>
                <w:szCs w:val="21"/>
              </w:rPr>
            </w:pPr>
            <w:r>
              <w:rPr>
                <w:rFonts w:hint="eastAsia" w:ascii="宋体" w:hAnsi="宋体" w:cs="宋体"/>
                <w:color w:val="auto"/>
                <w:szCs w:val="21"/>
              </w:rPr>
              <w:t>（4）不同供应商联系人为同一人或不同联系人的联系电话一致的；</w:t>
            </w:r>
          </w:p>
          <w:p w14:paraId="14EAE85E">
            <w:pPr>
              <w:spacing w:line="360" w:lineRule="exact"/>
              <w:jc w:val="left"/>
              <w:rPr>
                <w:rFonts w:ascii="宋体" w:hAnsi="宋体" w:cs="宋体"/>
                <w:color w:val="auto"/>
                <w:szCs w:val="21"/>
              </w:rPr>
            </w:pPr>
            <w:r>
              <w:rPr>
                <w:rFonts w:hint="eastAsia" w:ascii="宋体" w:hAnsi="宋体" w:cs="宋体"/>
                <w:color w:val="auto"/>
                <w:szCs w:val="21"/>
              </w:rPr>
              <w:t>（5）不同供应商在相同Internet主机分配地址（相同IP地址）获取招标文件或网上投标的。</w:t>
            </w:r>
          </w:p>
        </w:tc>
        <w:tc>
          <w:tcPr>
            <w:tcW w:w="3234" w:type="dxa"/>
            <w:tcBorders>
              <w:top w:val="single" w:color="auto" w:sz="4" w:space="0"/>
              <w:left w:val="single" w:color="auto" w:sz="4" w:space="0"/>
              <w:bottom w:val="single" w:color="auto" w:sz="4" w:space="0"/>
              <w:right w:val="single" w:color="auto" w:sz="4" w:space="0"/>
            </w:tcBorders>
            <w:vAlign w:val="center"/>
          </w:tcPr>
          <w:p w14:paraId="449FB2E6">
            <w:pPr>
              <w:spacing w:line="360" w:lineRule="exact"/>
              <w:jc w:val="left"/>
              <w:rPr>
                <w:rFonts w:ascii="宋体" w:hAnsi="宋体" w:cs="宋体"/>
                <w:color w:val="auto"/>
                <w:szCs w:val="21"/>
              </w:rPr>
            </w:pPr>
            <w:r>
              <w:rPr>
                <w:rFonts w:hint="eastAsia" w:ascii="宋体" w:hAnsi="宋体" w:cs="宋体"/>
                <w:color w:val="auto"/>
                <w:szCs w:val="21"/>
              </w:rPr>
              <w:t>不得有所述情形。</w:t>
            </w:r>
          </w:p>
        </w:tc>
      </w:tr>
      <w:tr w14:paraId="3A8D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33D5C5A">
            <w:pPr>
              <w:spacing w:line="360" w:lineRule="exact"/>
              <w:jc w:val="center"/>
              <w:rPr>
                <w:rFonts w:ascii="宋体" w:hAnsi="宋体" w:cs="宋体"/>
                <w:color w:val="auto"/>
                <w:szCs w:val="21"/>
              </w:rPr>
            </w:pPr>
            <w:r>
              <w:rPr>
                <w:rFonts w:hint="eastAsia" w:ascii="宋体" w:hAnsi="宋体" w:cs="宋体"/>
                <w:color w:val="auto"/>
                <w:szCs w:val="21"/>
              </w:rPr>
              <w:t>10</w:t>
            </w:r>
          </w:p>
        </w:tc>
        <w:tc>
          <w:tcPr>
            <w:tcW w:w="5625" w:type="dxa"/>
            <w:tcBorders>
              <w:top w:val="single" w:color="auto" w:sz="4" w:space="0"/>
              <w:left w:val="single" w:color="auto" w:sz="4" w:space="0"/>
              <w:bottom w:val="single" w:color="auto" w:sz="4" w:space="0"/>
              <w:right w:val="single" w:color="auto" w:sz="4" w:space="0"/>
            </w:tcBorders>
            <w:vAlign w:val="center"/>
          </w:tcPr>
          <w:p w14:paraId="294F0B69">
            <w:pPr>
              <w:widowControl/>
              <w:spacing w:line="360" w:lineRule="exact"/>
              <w:jc w:val="left"/>
              <w:rPr>
                <w:rFonts w:ascii="宋体" w:hAnsi="宋体" w:cs="宋体"/>
                <w:color w:val="auto"/>
                <w:szCs w:val="21"/>
              </w:rPr>
            </w:pPr>
            <w:r>
              <w:rPr>
                <w:rFonts w:hint="eastAsia" w:ascii="宋体" w:hAnsi="宋体" w:cs="宋体"/>
                <w:color w:val="auto"/>
                <w:szCs w:val="21"/>
              </w:rPr>
              <w:t>符合法律、法规和招标文件中规定的其他实质性要求（实质性要求招标文件中“▲”标记）</w:t>
            </w:r>
          </w:p>
        </w:tc>
        <w:tc>
          <w:tcPr>
            <w:tcW w:w="3234" w:type="dxa"/>
            <w:tcBorders>
              <w:top w:val="single" w:color="auto" w:sz="4" w:space="0"/>
              <w:left w:val="single" w:color="auto" w:sz="4" w:space="0"/>
              <w:bottom w:val="single" w:color="auto" w:sz="4" w:space="0"/>
              <w:right w:val="single" w:color="auto" w:sz="4" w:space="0"/>
            </w:tcBorders>
            <w:vAlign w:val="center"/>
          </w:tcPr>
          <w:p w14:paraId="54856C02">
            <w:pPr>
              <w:spacing w:line="360" w:lineRule="exact"/>
              <w:jc w:val="left"/>
              <w:rPr>
                <w:rFonts w:ascii="宋体" w:hAnsi="宋体" w:cs="宋体"/>
                <w:color w:val="auto"/>
                <w:szCs w:val="21"/>
              </w:rPr>
            </w:pPr>
            <w:r>
              <w:rPr>
                <w:rFonts w:hint="eastAsia" w:ascii="宋体" w:hAnsi="宋体" w:cs="宋体"/>
                <w:color w:val="auto"/>
                <w:szCs w:val="21"/>
              </w:rPr>
              <w:t>符合所述要求。</w:t>
            </w:r>
          </w:p>
        </w:tc>
      </w:tr>
      <w:tr w14:paraId="409C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D96443D">
            <w:pPr>
              <w:spacing w:line="360" w:lineRule="exact"/>
              <w:jc w:val="center"/>
              <w:rPr>
                <w:rFonts w:ascii="宋体" w:hAnsi="宋体" w:cs="宋体"/>
                <w:color w:val="auto"/>
                <w:szCs w:val="21"/>
              </w:rPr>
            </w:pPr>
            <w:r>
              <w:rPr>
                <w:rFonts w:hint="eastAsia" w:ascii="宋体" w:hAnsi="宋体" w:cs="宋体"/>
                <w:color w:val="auto"/>
                <w:szCs w:val="21"/>
              </w:rPr>
              <w:t>11</w:t>
            </w:r>
          </w:p>
        </w:tc>
        <w:tc>
          <w:tcPr>
            <w:tcW w:w="5625" w:type="dxa"/>
            <w:tcBorders>
              <w:top w:val="single" w:color="auto" w:sz="4" w:space="0"/>
              <w:left w:val="single" w:color="auto" w:sz="4" w:space="0"/>
              <w:bottom w:val="single" w:color="auto" w:sz="4" w:space="0"/>
              <w:right w:val="single" w:color="auto" w:sz="4" w:space="0"/>
            </w:tcBorders>
            <w:vAlign w:val="center"/>
          </w:tcPr>
          <w:p w14:paraId="7FD6D609">
            <w:pPr>
              <w:spacing w:line="360" w:lineRule="exact"/>
              <w:jc w:val="left"/>
              <w:rPr>
                <w:rFonts w:ascii="宋体" w:hAnsi="宋体" w:cs="宋体"/>
                <w:color w:val="auto"/>
                <w:szCs w:val="21"/>
              </w:rPr>
            </w:pPr>
            <w:r>
              <w:rPr>
                <w:rFonts w:hint="eastAsia" w:ascii="宋体" w:hAnsi="宋体" w:cs="宋体"/>
                <w:color w:val="auto"/>
                <w:szCs w:val="21"/>
              </w:rPr>
              <w:t>本项目不接受联合体投标。</w:t>
            </w:r>
          </w:p>
        </w:tc>
        <w:tc>
          <w:tcPr>
            <w:tcW w:w="3234" w:type="dxa"/>
            <w:tcBorders>
              <w:top w:val="single" w:color="auto" w:sz="4" w:space="0"/>
              <w:left w:val="single" w:color="auto" w:sz="4" w:space="0"/>
              <w:bottom w:val="single" w:color="auto" w:sz="4" w:space="0"/>
              <w:right w:val="single" w:color="auto" w:sz="4" w:space="0"/>
            </w:tcBorders>
            <w:vAlign w:val="center"/>
          </w:tcPr>
          <w:p w14:paraId="1A2E029B">
            <w:pPr>
              <w:spacing w:line="360" w:lineRule="exact"/>
              <w:jc w:val="left"/>
              <w:rPr>
                <w:rFonts w:ascii="宋体" w:hAnsi="宋体" w:cs="宋体"/>
                <w:color w:val="auto"/>
                <w:szCs w:val="21"/>
              </w:rPr>
            </w:pPr>
            <w:r>
              <w:rPr>
                <w:rFonts w:hint="eastAsia" w:ascii="宋体" w:hAnsi="宋体" w:cs="宋体"/>
                <w:color w:val="auto"/>
                <w:szCs w:val="21"/>
              </w:rPr>
              <w:t>供应商非联合体。</w:t>
            </w:r>
          </w:p>
        </w:tc>
      </w:tr>
      <w:tr w14:paraId="3DA5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1" w:type="dxa"/>
            <w:gridSpan w:val="2"/>
            <w:tcBorders>
              <w:top w:val="single" w:color="auto" w:sz="4" w:space="0"/>
              <w:left w:val="single" w:color="auto" w:sz="4" w:space="0"/>
              <w:bottom w:val="single" w:color="auto" w:sz="4" w:space="0"/>
              <w:right w:val="single" w:color="auto" w:sz="4" w:space="0"/>
            </w:tcBorders>
            <w:vAlign w:val="center"/>
          </w:tcPr>
          <w:p w14:paraId="78695987">
            <w:pPr>
              <w:spacing w:line="360" w:lineRule="exact"/>
              <w:jc w:val="center"/>
              <w:rPr>
                <w:rFonts w:ascii="宋体" w:hAnsi="宋体" w:cs="宋体"/>
                <w:b/>
                <w:bCs/>
                <w:color w:val="auto"/>
                <w:szCs w:val="21"/>
              </w:rPr>
            </w:pPr>
            <w:r>
              <w:rPr>
                <w:rFonts w:hint="eastAsia" w:ascii="宋体" w:hAnsi="宋体" w:cs="宋体"/>
                <w:b/>
                <w:bCs/>
                <w:color w:val="auto"/>
                <w:szCs w:val="21"/>
              </w:rPr>
              <w:t>符合性审查结论</w:t>
            </w:r>
          </w:p>
        </w:tc>
        <w:tc>
          <w:tcPr>
            <w:tcW w:w="3234" w:type="dxa"/>
            <w:tcBorders>
              <w:top w:val="single" w:color="auto" w:sz="4" w:space="0"/>
              <w:left w:val="single" w:color="auto" w:sz="4" w:space="0"/>
              <w:bottom w:val="single" w:color="auto" w:sz="4" w:space="0"/>
              <w:right w:val="single" w:color="auto" w:sz="4" w:space="0"/>
            </w:tcBorders>
            <w:vAlign w:val="center"/>
          </w:tcPr>
          <w:p w14:paraId="141DFB43">
            <w:pPr>
              <w:spacing w:line="360" w:lineRule="exact"/>
              <w:jc w:val="center"/>
              <w:rPr>
                <w:rFonts w:ascii="宋体" w:hAnsi="宋体" w:cs="宋体"/>
                <w:color w:val="auto"/>
                <w:szCs w:val="21"/>
              </w:rPr>
            </w:pPr>
          </w:p>
        </w:tc>
      </w:tr>
    </w:tbl>
    <w:p w14:paraId="51EA4DF5">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2607C834">
      <w:pPr>
        <w:spacing w:line="400" w:lineRule="exact"/>
        <w:rPr>
          <w:rFonts w:ascii="宋体" w:hAnsi="宋体"/>
          <w:b/>
          <w:color w:val="auto"/>
        </w:rPr>
      </w:pPr>
      <w:r>
        <w:rPr>
          <w:rFonts w:hint="eastAsia" w:ascii="宋体" w:hAnsi="宋体"/>
          <w:b/>
          <w:color w:val="auto"/>
        </w:rPr>
        <w:t>2、序号3-序号11在政采云上无须添加关联点。</w:t>
      </w:r>
    </w:p>
    <w:p w14:paraId="347C4658">
      <w:pPr>
        <w:spacing w:line="400" w:lineRule="exact"/>
        <w:rPr>
          <w:rFonts w:ascii="宋体" w:hAnsi="宋体"/>
          <w:color w:val="auto"/>
          <w:szCs w:val="21"/>
        </w:rPr>
      </w:pPr>
      <w:r>
        <w:rPr>
          <w:rFonts w:ascii="宋体" w:hAnsi="宋体"/>
          <w:b/>
          <w:color w:val="auto"/>
        </w:rPr>
        <w:br w:type="page"/>
      </w:r>
      <w:r>
        <w:rPr>
          <w:rFonts w:hint="eastAsia" w:ascii="宋体" w:hAnsi="宋体"/>
          <w:color w:val="auto"/>
          <w:szCs w:val="21"/>
        </w:rPr>
        <w:t>附表3：</w:t>
      </w:r>
    </w:p>
    <w:p w14:paraId="5CBC201B">
      <w:pPr>
        <w:jc w:val="center"/>
        <w:rPr>
          <w:rFonts w:ascii="宋体" w:hAnsi="宋体"/>
          <w:b/>
          <w:color w:val="auto"/>
          <w:sz w:val="24"/>
        </w:rPr>
      </w:pPr>
      <w:r>
        <w:rPr>
          <w:rFonts w:hint="eastAsia" w:ascii="宋体" w:hAnsi="宋体"/>
          <w:b/>
          <w:color w:val="auto"/>
          <w:sz w:val="24"/>
        </w:rPr>
        <w:t>评分标准（兼评委打分表）</w:t>
      </w:r>
    </w:p>
    <w:p w14:paraId="3EE2B49D">
      <w:pPr>
        <w:spacing w:line="320" w:lineRule="exact"/>
        <w:rPr>
          <w:rFonts w:ascii="宋体" w:hAnsi="宋体"/>
          <w:b/>
          <w:color w:val="auto"/>
          <w:szCs w:val="21"/>
        </w:rPr>
      </w:pPr>
      <w:r>
        <w:rPr>
          <w:rFonts w:hint="eastAsia" w:ascii="宋体" w:hAnsi="宋体"/>
          <w:b/>
          <w:color w:val="auto"/>
          <w:szCs w:val="21"/>
        </w:rPr>
        <w:t xml:space="preserve">采购编号：QWZFCG25054（NBITC-202510852G）                        </w:t>
      </w:r>
    </w:p>
    <w:tbl>
      <w:tblPr>
        <w:tblStyle w:val="4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64"/>
        <w:gridCol w:w="7938"/>
        <w:gridCol w:w="734"/>
      </w:tblGrid>
      <w:tr w14:paraId="7EF5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581" w:type="dxa"/>
            <w:gridSpan w:val="3"/>
            <w:tcBorders>
              <w:top w:val="single" w:color="auto" w:sz="4" w:space="0"/>
              <w:left w:val="single" w:color="auto" w:sz="4" w:space="0"/>
              <w:bottom w:val="single" w:color="auto" w:sz="4" w:space="0"/>
              <w:right w:val="single" w:color="auto" w:sz="4" w:space="0"/>
              <w:tl2br w:val="single" w:color="000000" w:sz="4" w:space="0"/>
            </w:tcBorders>
          </w:tcPr>
          <w:p w14:paraId="12CDFC4F">
            <w:pPr>
              <w:spacing w:line="400" w:lineRule="exact"/>
              <w:ind w:right="420" w:firstLine="4410" w:firstLineChars="2100"/>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w:t>
            </w:r>
          </w:p>
          <w:p w14:paraId="2317B0C4">
            <w:pPr>
              <w:spacing w:line="400" w:lineRule="exact"/>
              <w:ind w:firstLine="945" w:firstLineChars="450"/>
              <w:rPr>
                <w:rFonts w:asciiTheme="minorEastAsia" w:hAnsiTheme="minorEastAsia" w:eastAsiaTheme="minorEastAsia"/>
                <w:color w:val="auto"/>
                <w:szCs w:val="21"/>
                <w:lang w:val="ru-RU"/>
              </w:rPr>
            </w:pPr>
            <w:r>
              <w:rPr>
                <w:rFonts w:hint="eastAsia" w:asciiTheme="minorEastAsia" w:hAnsiTheme="minorEastAsia" w:eastAsiaTheme="minorEastAsia"/>
                <w:color w:val="auto"/>
                <w:szCs w:val="21"/>
              </w:rPr>
              <w:t>分值</w:t>
            </w:r>
          </w:p>
        </w:tc>
        <w:tc>
          <w:tcPr>
            <w:tcW w:w="734" w:type="dxa"/>
            <w:tcBorders>
              <w:top w:val="single" w:color="auto" w:sz="4" w:space="0"/>
              <w:left w:val="single" w:color="auto" w:sz="4" w:space="0"/>
              <w:bottom w:val="single" w:color="auto" w:sz="4" w:space="0"/>
              <w:right w:val="single" w:color="auto" w:sz="4" w:space="0"/>
            </w:tcBorders>
            <w:vAlign w:val="center"/>
          </w:tcPr>
          <w:p w14:paraId="55850C08">
            <w:pPr>
              <w:spacing w:line="400" w:lineRule="exact"/>
              <w:jc w:val="center"/>
              <w:rPr>
                <w:rFonts w:asciiTheme="minorEastAsia" w:hAnsiTheme="minorEastAsia" w:eastAsiaTheme="minorEastAsia"/>
                <w:color w:val="auto"/>
                <w:szCs w:val="21"/>
                <w:lang w:val="ru-RU"/>
              </w:rPr>
            </w:pPr>
            <w:r>
              <w:rPr>
                <w:rFonts w:hint="eastAsia" w:asciiTheme="minorEastAsia" w:hAnsiTheme="minorEastAsia" w:eastAsiaTheme="minorEastAsia"/>
                <w:color w:val="auto"/>
                <w:szCs w:val="21"/>
                <w:lang w:val="ru-RU"/>
              </w:rPr>
              <w:t>分值</w:t>
            </w:r>
          </w:p>
        </w:tc>
      </w:tr>
      <w:tr w14:paraId="7D85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479" w:type="dxa"/>
            <w:vMerge w:val="restart"/>
            <w:tcBorders>
              <w:left w:val="single" w:color="auto" w:sz="4" w:space="0"/>
              <w:right w:val="single" w:color="auto" w:sz="4" w:space="0"/>
            </w:tcBorders>
            <w:vAlign w:val="center"/>
          </w:tcPr>
          <w:p w14:paraId="4E9A9137">
            <w:pPr>
              <w:widowControl/>
              <w:spacing w:line="400" w:lineRule="exact"/>
              <w:jc w:val="left"/>
              <w:rPr>
                <w:rFonts w:asciiTheme="minorEastAsia" w:hAnsiTheme="minorEastAsia" w:eastAsiaTheme="minorEastAsia"/>
                <w:b/>
                <w:color w:val="auto"/>
                <w:szCs w:val="21"/>
              </w:rPr>
            </w:pPr>
            <w:bookmarkStart w:id="34" w:name="_Hlk200118574"/>
            <w:r>
              <w:rPr>
                <w:rFonts w:hint="eastAsia" w:asciiTheme="minorEastAsia" w:hAnsiTheme="minorEastAsia" w:eastAsiaTheme="minorEastAsia"/>
                <w:b/>
                <w:color w:val="auto"/>
                <w:szCs w:val="21"/>
              </w:rPr>
              <w:t>技术</w:t>
            </w:r>
          </w:p>
          <w:p w14:paraId="56E77C24">
            <w:pPr>
              <w:spacing w:line="40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商务分60</w:t>
            </w:r>
          </w:p>
          <w:p w14:paraId="30595081">
            <w:pPr>
              <w:spacing w:line="40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分</w:t>
            </w: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0B50E0CC">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1、根据“第五章  招标内容与技术需求”中的</w:t>
            </w:r>
            <w:r>
              <w:rPr>
                <w:rFonts w:hint="eastAsia" w:asciiTheme="minorEastAsia" w:hAnsiTheme="minorEastAsia" w:eastAsiaTheme="minorEastAsia"/>
                <w:b/>
                <w:color w:val="auto"/>
                <w:szCs w:val="21"/>
              </w:rPr>
              <w:t>“二、技术要求”</w:t>
            </w:r>
            <w:r>
              <w:rPr>
                <w:rFonts w:hint="eastAsia" w:asciiTheme="minorEastAsia" w:hAnsiTheme="minorEastAsia" w:eastAsiaTheme="minorEastAsia"/>
                <w:color w:val="auto"/>
                <w:szCs w:val="21"/>
              </w:rPr>
              <w:t>，对投标产品的技术参数响应情况进行评议，符合或同等或优于招标文件要求的得20分。未标“</w:t>
            </w:r>
            <w:r>
              <w:rPr>
                <w:rFonts w:hint="eastAsia" w:asciiTheme="minorEastAsia" w:hAnsiTheme="minorEastAsia" w:eastAsiaTheme="minorEastAsia"/>
                <w:b/>
                <w:color w:val="auto"/>
                <w:szCs w:val="21"/>
              </w:rPr>
              <w:t>▲</w:t>
            </w:r>
            <w:r>
              <w:rPr>
                <w:rFonts w:hint="eastAsia" w:asciiTheme="minorEastAsia" w:hAnsiTheme="minorEastAsia" w:eastAsiaTheme="minorEastAsia"/>
                <w:color w:val="auto"/>
                <w:szCs w:val="21"/>
              </w:rPr>
              <w:t>”或“★”的技术要求每负偏离一项扣1分；标有“★”的技术要求每负偏离一项扣3分；标有“</w:t>
            </w:r>
            <w:r>
              <w:rPr>
                <w:rFonts w:hint="eastAsia" w:asciiTheme="minorEastAsia" w:hAnsiTheme="minorEastAsia" w:eastAsiaTheme="minorEastAsia"/>
                <w:b/>
                <w:color w:val="auto"/>
                <w:szCs w:val="21"/>
              </w:rPr>
              <w:t>▲</w:t>
            </w:r>
            <w:r>
              <w:rPr>
                <w:rFonts w:hint="eastAsia" w:asciiTheme="minorEastAsia" w:hAnsiTheme="minorEastAsia" w:eastAsiaTheme="minorEastAsia"/>
                <w:color w:val="auto"/>
                <w:szCs w:val="21"/>
              </w:rPr>
              <w:t>”的技术参数出现负偏离的，作无效投标处理。</w:t>
            </w:r>
          </w:p>
          <w:p w14:paraId="66594CC4">
            <w:pPr>
              <w:spacing w:line="400" w:lineRule="exact"/>
              <w:rPr>
                <w:rFonts w:asciiTheme="minorEastAsia" w:hAnsiTheme="minorEastAsia" w:eastAsiaTheme="minorEastAsia"/>
                <w:color w:val="auto"/>
                <w:szCs w:val="21"/>
              </w:rPr>
            </w:pPr>
            <w:r>
              <w:rPr>
                <w:rFonts w:hint="eastAsia" w:asciiTheme="minorEastAsia" w:hAnsiTheme="minorEastAsia" w:eastAsiaTheme="minorEastAsia"/>
                <w:b/>
                <w:color w:val="auto"/>
                <w:szCs w:val="21"/>
              </w:rPr>
              <w:t>▲本项扣分分值达到20分的，作无效投标处理。</w:t>
            </w:r>
          </w:p>
        </w:tc>
        <w:tc>
          <w:tcPr>
            <w:tcW w:w="734" w:type="dxa"/>
            <w:tcBorders>
              <w:top w:val="single" w:color="auto" w:sz="4" w:space="0"/>
              <w:left w:val="single" w:color="auto" w:sz="4" w:space="0"/>
              <w:bottom w:val="single" w:color="auto" w:sz="4" w:space="0"/>
              <w:right w:val="single" w:color="auto" w:sz="4" w:space="0"/>
            </w:tcBorders>
            <w:vAlign w:val="center"/>
          </w:tcPr>
          <w:p w14:paraId="58E1DAA1">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20</w:t>
            </w:r>
          </w:p>
        </w:tc>
      </w:tr>
      <w:tr w14:paraId="6535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479" w:type="dxa"/>
            <w:vMerge w:val="continue"/>
            <w:tcBorders>
              <w:left w:val="single" w:color="auto" w:sz="4" w:space="0"/>
              <w:right w:val="single" w:color="auto" w:sz="4" w:space="0"/>
            </w:tcBorders>
            <w:vAlign w:val="center"/>
          </w:tcPr>
          <w:p w14:paraId="0913B902">
            <w:pPr>
              <w:widowControl/>
              <w:spacing w:line="400" w:lineRule="exact"/>
              <w:jc w:val="left"/>
              <w:rPr>
                <w:rFonts w:asciiTheme="minorEastAsia" w:hAnsiTheme="minorEastAsia" w:eastAsiaTheme="minorEastAsia"/>
                <w:b/>
                <w:color w:val="auto"/>
                <w:szCs w:val="21"/>
              </w:rPr>
            </w:pPr>
          </w:p>
        </w:tc>
        <w:tc>
          <w:tcPr>
            <w:tcW w:w="1164" w:type="dxa"/>
            <w:vMerge w:val="restart"/>
            <w:tcBorders>
              <w:top w:val="single" w:color="auto" w:sz="4" w:space="0"/>
              <w:left w:val="single" w:color="auto" w:sz="4" w:space="0"/>
              <w:right w:val="single" w:color="auto" w:sz="4" w:space="0"/>
            </w:tcBorders>
            <w:vAlign w:val="center"/>
          </w:tcPr>
          <w:p w14:paraId="687864A9">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2、样品分（10分）</w:t>
            </w:r>
          </w:p>
        </w:tc>
        <w:tc>
          <w:tcPr>
            <w:tcW w:w="7938" w:type="dxa"/>
            <w:tcBorders>
              <w:top w:val="single" w:color="auto" w:sz="4" w:space="0"/>
              <w:left w:val="single" w:color="auto" w:sz="4" w:space="0"/>
              <w:bottom w:val="single" w:color="auto" w:sz="4" w:space="0"/>
              <w:right w:val="single" w:color="auto" w:sz="4" w:space="0"/>
            </w:tcBorders>
            <w:vAlign w:val="center"/>
          </w:tcPr>
          <w:p w14:paraId="244DE8FC">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2.1样品外形：（3分）</w:t>
            </w:r>
          </w:p>
          <w:p w14:paraId="39C95C50">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样品外形美观，各部分颜色统一，形状规整的得3分；外形有细微瑕疵，各部分有细微色差，形状较规整的得2分；外形不美观，各部分色差明显，有明显变形的得1分。</w:t>
            </w:r>
          </w:p>
        </w:tc>
        <w:tc>
          <w:tcPr>
            <w:tcW w:w="734" w:type="dxa"/>
            <w:vMerge w:val="restart"/>
            <w:tcBorders>
              <w:top w:val="single" w:color="auto" w:sz="4" w:space="0"/>
              <w:left w:val="single" w:color="auto" w:sz="4" w:space="0"/>
              <w:right w:val="single" w:color="auto" w:sz="4" w:space="0"/>
            </w:tcBorders>
            <w:vAlign w:val="center"/>
          </w:tcPr>
          <w:p w14:paraId="3B1B14F6">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r>
      <w:tr w14:paraId="7498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479" w:type="dxa"/>
            <w:vMerge w:val="continue"/>
            <w:tcBorders>
              <w:left w:val="single" w:color="auto" w:sz="4" w:space="0"/>
              <w:right w:val="single" w:color="auto" w:sz="4" w:space="0"/>
            </w:tcBorders>
            <w:vAlign w:val="center"/>
          </w:tcPr>
          <w:p w14:paraId="75B63EF5">
            <w:pPr>
              <w:widowControl/>
              <w:spacing w:line="400" w:lineRule="exact"/>
              <w:jc w:val="left"/>
              <w:rPr>
                <w:rFonts w:asciiTheme="minorEastAsia" w:hAnsiTheme="minorEastAsia" w:eastAsiaTheme="minorEastAsia"/>
                <w:b/>
                <w:color w:val="auto"/>
                <w:szCs w:val="21"/>
              </w:rPr>
            </w:pPr>
          </w:p>
        </w:tc>
        <w:tc>
          <w:tcPr>
            <w:tcW w:w="1164" w:type="dxa"/>
            <w:vMerge w:val="continue"/>
            <w:tcBorders>
              <w:top w:val="single" w:color="auto" w:sz="4" w:space="0"/>
              <w:left w:val="single" w:color="auto" w:sz="4" w:space="0"/>
              <w:right w:val="single" w:color="auto" w:sz="4" w:space="0"/>
            </w:tcBorders>
            <w:vAlign w:val="center"/>
          </w:tcPr>
          <w:p w14:paraId="3B6749C3">
            <w:pPr>
              <w:spacing w:line="400" w:lineRule="exact"/>
              <w:rPr>
                <w:rFonts w:asciiTheme="minorEastAsia" w:hAnsiTheme="minorEastAsia" w:eastAsiaTheme="minorEastAsia"/>
                <w:b/>
                <w:color w:val="auto"/>
                <w:szCs w:val="21"/>
              </w:rPr>
            </w:pPr>
          </w:p>
        </w:tc>
        <w:tc>
          <w:tcPr>
            <w:tcW w:w="7938" w:type="dxa"/>
            <w:tcBorders>
              <w:top w:val="single" w:color="auto" w:sz="4" w:space="0"/>
              <w:left w:val="single" w:color="auto" w:sz="4" w:space="0"/>
              <w:bottom w:val="single" w:color="auto" w:sz="4" w:space="0"/>
              <w:right w:val="single" w:color="auto" w:sz="4" w:space="0"/>
            </w:tcBorders>
            <w:vAlign w:val="center"/>
          </w:tcPr>
          <w:p w14:paraId="2DCD0248">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2.2制作工艺：（4分）</w:t>
            </w:r>
          </w:p>
          <w:p w14:paraId="241FF3F5">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样品车线整齐流畅，面料表面平整，配件（拉链、提手、连接件）等缝合牢固，填充物回弹性好的得4分；车线有些许错位，面料表面有细微起伏，配件（拉链、提手、连接件）缝合有瑕疵，填充物回弹性一般的得3分；车线明显不齐，面料表面粗糙，配件（拉链、提手、连接件）等松动明显，填充物回弹性差的得2分。</w:t>
            </w:r>
          </w:p>
        </w:tc>
        <w:tc>
          <w:tcPr>
            <w:tcW w:w="734" w:type="dxa"/>
            <w:vMerge w:val="continue"/>
            <w:tcBorders>
              <w:top w:val="single" w:color="auto" w:sz="4" w:space="0"/>
              <w:left w:val="single" w:color="auto" w:sz="4" w:space="0"/>
              <w:right w:val="single" w:color="auto" w:sz="4" w:space="0"/>
            </w:tcBorders>
            <w:vAlign w:val="center"/>
          </w:tcPr>
          <w:p w14:paraId="2F174D79">
            <w:pPr>
              <w:spacing w:line="400" w:lineRule="exact"/>
              <w:jc w:val="center"/>
              <w:rPr>
                <w:rFonts w:asciiTheme="minorEastAsia" w:hAnsiTheme="minorEastAsia" w:eastAsiaTheme="minorEastAsia"/>
                <w:color w:val="auto"/>
                <w:szCs w:val="21"/>
              </w:rPr>
            </w:pPr>
          </w:p>
        </w:tc>
      </w:tr>
      <w:tr w14:paraId="084B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479" w:type="dxa"/>
            <w:vMerge w:val="continue"/>
            <w:tcBorders>
              <w:left w:val="single" w:color="auto" w:sz="4" w:space="0"/>
              <w:right w:val="single" w:color="auto" w:sz="4" w:space="0"/>
            </w:tcBorders>
            <w:vAlign w:val="center"/>
          </w:tcPr>
          <w:p w14:paraId="05F3EA98">
            <w:pPr>
              <w:widowControl/>
              <w:spacing w:line="400" w:lineRule="exact"/>
              <w:jc w:val="left"/>
              <w:rPr>
                <w:rFonts w:asciiTheme="minorEastAsia" w:hAnsiTheme="minorEastAsia" w:eastAsiaTheme="minorEastAsia"/>
                <w:b/>
                <w:color w:val="auto"/>
                <w:szCs w:val="21"/>
              </w:rPr>
            </w:pPr>
          </w:p>
        </w:tc>
        <w:tc>
          <w:tcPr>
            <w:tcW w:w="1164" w:type="dxa"/>
            <w:vMerge w:val="continue"/>
            <w:tcBorders>
              <w:left w:val="single" w:color="auto" w:sz="4" w:space="0"/>
              <w:bottom w:val="single" w:color="auto" w:sz="4" w:space="0"/>
              <w:right w:val="single" w:color="auto" w:sz="4" w:space="0"/>
            </w:tcBorders>
            <w:vAlign w:val="center"/>
          </w:tcPr>
          <w:p w14:paraId="64A071CD">
            <w:pPr>
              <w:spacing w:line="400" w:lineRule="exact"/>
              <w:rPr>
                <w:rFonts w:asciiTheme="minorEastAsia" w:hAnsiTheme="minorEastAsia" w:eastAsiaTheme="minorEastAsia"/>
                <w:b/>
                <w:color w:val="auto"/>
                <w:szCs w:val="21"/>
              </w:rPr>
            </w:pPr>
          </w:p>
        </w:tc>
        <w:tc>
          <w:tcPr>
            <w:tcW w:w="7938" w:type="dxa"/>
            <w:tcBorders>
              <w:top w:val="single" w:color="auto" w:sz="4" w:space="0"/>
              <w:left w:val="single" w:color="auto" w:sz="4" w:space="0"/>
              <w:bottom w:val="single" w:color="auto" w:sz="4" w:space="0"/>
              <w:right w:val="single" w:color="auto" w:sz="4" w:space="0"/>
            </w:tcBorders>
            <w:vAlign w:val="center"/>
          </w:tcPr>
          <w:p w14:paraId="47366D0A">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2.3展开、收纳情况：（3分）</w:t>
            </w:r>
          </w:p>
          <w:p w14:paraId="38C86047">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样品展开、收纳便捷，收纳后各折面可准确对齐、便于叠放的得3分；展开、收纳较便捷，收纳后各折面基本对齐的得2分；样品展开、收纳不便，收纳后各折面无法对齐、不便于叠放的得1分。</w:t>
            </w:r>
          </w:p>
        </w:tc>
        <w:tc>
          <w:tcPr>
            <w:tcW w:w="734" w:type="dxa"/>
            <w:vMerge w:val="continue"/>
            <w:tcBorders>
              <w:left w:val="single" w:color="auto" w:sz="4" w:space="0"/>
              <w:bottom w:val="single" w:color="auto" w:sz="4" w:space="0"/>
              <w:right w:val="single" w:color="auto" w:sz="4" w:space="0"/>
            </w:tcBorders>
            <w:vAlign w:val="center"/>
          </w:tcPr>
          <w:p w14:paraId="45EBAA45">
            <w:pPr>
              <w:spacing w:line="400" w:lineRule="exact"/>
              <w:jc w:val="center"/>
              <w:rPr>
                <w:rFonts w:asciiTheme="minorEastAsia" w:hAnsiTheme="minorEastAsia" w:eastAsiaTheme="minorEastAsia"/>
                <w:color w:val="auto"/>
                <w:szCs w:val="21"/>
              </w:rPr>
            </w:pPr>
          </w:p>
        </w:tc>
      </w:tr>
      <w:tr w14:paraId="6908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79" w:type="dxa"/>
            <w:vMerge w:val="continue"/>
            <w:tcBorders>
              <w:left w:val="single" w:color="auto" w:sz="4" w:space="0"/>
              <w:right w:val="single" w:color="auto" w:sz="4" w:space="0"/>
            </w:tcBorders>
            <w:vAlign w:val="center"/>
          </w:tcPr>
          <w:p w14:paraId="1F5BAE35">
            <w:pPr>
              <w:spacing w:line="400" w:lineRule="exact"/>
              <w:jc w:val="center"/>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0841F62A">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3、评标委员会对供应商提供的产品质量保证措施进行评议：（7分）</w:t>
            </w:r>
          </w:p>
          <w:p w14:paraId="5621A628">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对备货、运输、装卸、交货等各阶段可能出现的产品质量问题有充分的预计，制定的保证措施针对性好、可行性好，产品质量有良好保障的得7分；</w:t>
            </w:r>
          </w:p>
          <w:p w14:paraId="1CBC5804">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对产品的常见质量问题有预计，产品质量管控措施及处置流程基本到位，产品质量有基本保障的得5分；</w:t>
            </w:r>
          </w:p>
          <w:p w14:paraId="3AAA78E1">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对产品质量问题预计不充分，制定的质量保证措施单一，产品质量无良好保障的得3分。</w:t>
            </w:r>
          </w:p>
        </w:tc>
        <w:tc>
          <w:tcPr>
            <w:tcW w:w="734" w:type="dxa"/>
            <w:tcBorders>
              <w:top w:val="single" w:color="auto" w:sz="4" w:space="0"/>
              <w:left w:val="single" w:color="auto" w:sz="4" w:space="0"/>
              <w:bottom w:val="single" w:color="auto" w:sz="4" w:space="0"/>
              <w:right w:val="single" w:color="auto" w:sz="4" w:space="0"/>
            </w:tcBorders>
            <w:vAlign w:val="center"/>
          </w:tcPr>
          <w:p w14:paraId="33F80181">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r>
      <w:tr w14:paraId="5B24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79" w:type="dxa"/>
            <w:vMerge w:val="continue"/>
            <w:tcBorders>
              <w:left w:val="single" w:color="auto" w:sz="4" w:space="0"/>
              <w:right w:val="single" w:color="auto" w:sz="4" w:space="0"/>
            </w:tcBorders>
            <w:vAlign w:val="center"/>
          </w:tcPr>
          <w:p w14:paraId="6DAB703E">
            <w:pPr>
              <w:spacing w:line="400" w:lineRule="exact"/>
              <w:jc w:val="center"/>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40AE13B1">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4、评标委员会对供应商提供的供货应急响应方案与保障措施进行评议：（6分）</w:t>
            </w:r>
          </w:p>
          <w:p w14:paraId="3FD5826C">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对供货过程中的紧急情况有全面预计，对人员短缺、原材料供应不足、产能紧张等情况能够迅速响应且应对措施有针对性，供货进度能够得到良好保障的得6分；</w:t>
            </w:r>
          </w:p>
          <w:p w14:paraId="6CA480DE">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对常见的紧急情况有基础分析，制定的保障措施有效可行，供货进度有基础保障的得4分；</w:t>
            </w:r>
          </w:p>
          <w:p w14:paraId="4686A13B">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对供货过程中的紧急情况预计不到位，缺乏相应的处置能力，供货进度保障力度差的得2分。</w:t>
            </w:r>
          </w:p>
        </w:tc>
        <w:tc>
          <w:tcPr>
            <w:tcW w:w="734" w:type="dxa"/>
            <w:tcBorders>
              <w:top w:val="single" w:color="auto" w:sz="4" w:space="0"/>
              <w:left w:val="single" w:color="auto" w:sz="4" w:space="0"/>
              <w:bottom w:val="single" w:color="auto" w:sz="4" w:space="0"/>
              <w:right w:val="single" w:color="auto" w:sz="4" w:space="0"/>
            </w:tcBorders>
            <w:vAlign w:val="center"/>
          </w:tcPr>
          <w:p w14:paraId="6E211016">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r>
      <w:tr w14:paraId="13B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79" w:type="dxa"/>
            <w:vMerge w:val="continue"/>
            <w:tcBorders>
              <w:left w:val="single" w:color="auto" w:sz="4" w:space="0"/>
              <w:right w:val="single" w:color="auto" w:sz="4" w:space="0"/>
            </w:tcBorders>
            <w:vAlign w:val="center"/>
          </w:tcPr>
          <w:p w14:paraId="152AFD89">
            <w:pPr>
              <w:widowControl/>
              <w:spacing w:line="400" w:lineRule="exact"/>
              <w:jc w:val="left"/>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33FE72B3">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5、评标委员会对供应商的售后服务方案进行评议,包括响应时间及问题处理时间、服务力量安排、备品准备等：（6分）</w:t>
            </w:r>
          </w:p>
          <w:p w14:paraId="11C47C93">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响应时间、问题处理时间短，售后服务团队配置完整，备品准备充分、调换货便利性好的得6分；</w:t>
            </w:r>
          </w:p>
          <w:p w14:paraId="7873713C">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响应时间、问题处理时间较短，服务团队配置、备品准备基本到位的得4分；</w:t>
            </w:r>
          </w:p>
          <w:p w14:paraId="4F4C7919">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响应时间、问题处理时间长，服务团队配置不到位，备品准备不足的得2分。</w:t>
            </w:r>
          </w:p>
        </w:tc>
        <w:tc>
          <w:tcPr>
            <w:tcW w:w="734" w:type="dxa"/>
            <w:tcBorders>
              <w:top w:val="single" w:color="auto" w:sz="4" w:space="0"/>
              <w:left w:val="single" w:color="auto" w:sz="4" w:space="0"/>
              <w:bottom w:val="single" w:color="auto" w:sz="4" w:space="0"/>
              <w:right w:val="single" w:color="auto" w:sz="4" w:space="0"/>
            </w:tcBorders>
            <w:vAlign w:val="center"/>
          </w:tcPr>
          <w:p w14:paraId="783A9043">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r>
      <w:tr w14:paraId="43A7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79" w:type="dxa"/>
            <w:vMerge w:val="continue"/>
            <w:tcBorders>
              <w:left w:val="single" w:color="auto" w:sz="4" w:space="0"/>
              <w:right w:val="single" w:color="auto" w:sz="4" w:space="0"/>
            </w:tcBorders>
            <w:vAlign w:val="center"/>
          </w:tcPr>
          <w:p w14:paraId="47AD6E44">
            <w:pPr>
              <w:widowControl/>
              <w:spacing w:line="400" w:lineRule="exact"/>
              <w:jc w:val="left"/>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36EAC1A7">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6、业绩：（4分）</w:t>
            </w:r>
          </w:p>
          <w:p w14:paraId="3C0AFC73">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供应商自2022年1月1日（以合同签订时间为准）至今，具有同类项目供货业绩的（供货内容至少包含午休垫），每有1个得1分，最高得4分。</w:t>
            </w:r>
          </w:p>
          <w:p w14:paraId="6FB46BAD">
            <w:pPr>
              <w:spacing w:line="400" w:lineRule="exact"/>
              <w:rPr>
                <w:rFonts w:asciiTheme="minorEastAsia" w:hAnsiTheme="minorEastAsia" w:eastAsiaTheme="minorEastAsia"/>
                <w:color w:val="auto"/>
                <w:szCs w:val="21"/>
              </w:rPr>
            </w:pPr>
            <w:r>
              <w:rPr>
                <w:rFonts w:hint="eastAsia" w:cs="宋体" w:asciiTheme="minorEastAsia" w:hAnsiTheme="minorEastAsia" w:eastAsiaTheme="minorEastAsia"/>
                <w:b/>
                <w:bCs/>
                <w:color w:val="auto"/>
                <w:szCs w:val="21"/>
              </w:rPr>
              <w:t>（投标文件中提供合同扫描件加盖供应商公章，以及对应合同的中标（成交）通知书扫描件或网上结果公示截图或采购公告发布前开具的合同履行期间内任意一期的合同款支付税务发票扫描件加盖供应商公章。）</w:t>
            </w:r>
          </w:p>
        </w:tc>
        <w:tc>
          <w:tcPr>
            <w:tcW w:w="734" w:type="dxa"/>
            <w:tcBorders>
              <w:top w:val="single" w:color="auto" w:sz="4" w:space="0"/>
              <w:left w:val="single" w:color="auto" w:sz="4" w:space="0"/>
              <w:bottom w:val="single" w:color="auto" w:sz="4" w:space="0"/>
              <w:right w:val="single" w:color="auto" w:sz="4" w:space="0"/>
            </w:tcBorders>
            <w:vAlign w:val="center"/>
          </w:tcPr>
          <w:p w14:paraId="1097F6C4">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r>
      <w:tr w14:paraId="6DC8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79" w:type="dxa"/>
            <w:vMerge w:val="continue"/>
            <w:tcBorders>
              <w:left w:val="single" w:color="auto" w:sz="4" w:space="0"/>
              <w:right w:val="single" w:color="auto" w:sz="4" w:space="0"/>
            </w:tcBorders>
            <w:vAlign w:val="center"/>
          </w:tcPr>
          <w:p w14:paraId="48468BFB">
            <w:pPr>
              <w:widowControl/>
              <w:spacing w:line="400" w:lineRule="exact"/>
              <w:jc w:val="left"/>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52B7A884">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7、质保期：（2分）</w:t>
            </w:r>
          </w:p>
          <w:p w14:paraId="4120BE37">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供应商针对本项目的产品质保期在满足采购要求的基础上（3年），每延长1年得1分，不足1年的不得分。本项满分2分。</w:t>
            </w:r>
          </w:p>
        </w:tc>
        <w:tc>
          <w:tcPr>
            <w:tcW w:w="734" w:type="dxa"/>
            <w:tcBorders>
              <w:top w:val="single" w:color="auto" w:sz="4" w:space="0"/>
              <w:left w:val="single" w:color="auto" w:sz="4" w:space="0"/>
              <w:bottom w:val="single" w:color="auto" w:sz="4" w:space="0"/>
              <w:right w:val="single" w:color="auto" w:sz="4" w:space="0"/>
            </w:tcBorders>
            <w:vAlign w:val="center"/>
          </w:tcPr>
          <w:p w14:paraId="28117CE9">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r>
      <w:tr w14:paraId="12F3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79" w:type="dxa"/>
            <w:vMerge w:val="continue"/>
            <w:tcBorders>
              <w:left w:val="single" w:color="auto" w:sz="4" w:space="0"/>
              <w:right w:val="single" w:color="auto" w:sz="4" w:space="0"/>
            </w:tcBorders>
            <w:vAlign w:val="center"/>
          </w:tcPr>
          <w:p w14:paraId="18E34AD3">
            <w:pPr>
              <w:widowControl/>
              <w:spacing w:line="400" w:lineRule="exact"/>
              <w:jc w:val="left"/>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2F4E440A">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8、体系认证（4分）：</w:t>
            </w:r>
          </w:p>
          <w:p w14:paraId="26DA071D">
            <w:pPr>
              <w:autoSpaceDE w:val="0"/>
              <w:autoSpaceDN w:val="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供应商通过以下体系认证的，每有1种得1分，本项满分4分：</w:t>
            </w:r>
          </w:p>
          <w:p w14:paraId="5DABB85D">
            <w:pPr>
              <w:autoSpaceDE w:val="0"/>
              <w:autoSpaceDN w:val="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①质量管理体系认证；②环境管理体系认证；③职业健康安全管理体系认证；④售后服务</w:t>
            </w:r>
            <w:bookmarkStart w:id="35" w:name="OLE_LINK8"/>
            <w:bookmarkStart w:id="36" w:name="OLE_LINK14"/>
            <w:r>
              <w:rPr>
                <w:rFonts w:hint="eastAsia" w:asciiTheme="minorEastAsia" w:hAnsiTheme="minorEastAsia" w:eastAsiaTheme="minorEastAsia"/>
                <w:color w:val="auto"/>
                <w:szCs w:val="21"/>
              </w:rPr>
              <w:t>认证</w:t>
            </w:r>
            <w:bookmarkEnd w:id="35"/>
            <w:bookmarkEnd w:id="36"/>
            <w:r>
              <w:rPr>
                <w:rFonts w:hint="eastAsia" w:asciiTheme="minorEastAsia" w:hAnsiTheme="minorEastAsia" w:eastAsiaTheme="minorEastAsia"/>
                <w:color w:val="auto"/>
                <w:szCs w:val="21"/>
              </w:rPr>
              <w:t>。</w:t>
            </w:r>
          </w:p>
          <w:p w14:paraId="16A7C9D8">
            <w:pPr>
              <w:spacing w:line="4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（投标文件中同时提供有效期内的证书扫描件，</w:t>
            </w:r>
            <w:bookmarkStart w:id="37" w:name="OLE_LINK30"/>
            <w:bookmarkStart w:id="38" w:name="OLE_LINK31"/>
            <w:r>
              <w:rPr>
                <w:rFonts w:hint="eastAsia" w:asciiTheme="minorEastAsia" w:hAnsiTheme="minorEastAsia" w:eastAsiaTheme="minorEastAsia"/>
                <w:b/>
                <w:color w:val="auto"/>
                <w:szCs w:val="21"/>
              </w:rPr>
              <w:t>以及证书在“全国认证认可信息公共服务平台”查询状态为“有效”的网页截图扫描件加盖供应商公章。</w:t>
            </w:r>
            <w:bookmarkEnd w:id="37"/>
            <w:bookmarkEnd w:id="38"/>
            <w:r>
              <w:rPr>
                <w:rFonts w:hint="eastAsia" w:asciiTheme="minorEastAsia" w:hAnsiTheme="minorEastAsia" w:eastAsiaTheme="minorEastAsia"/>
                <w:b/>
                <w:color w:val="auto"/>
                <w:szCs w:val="21"/>
              </w:rPr>
              <w:t>）</w:t>
            </w:r>
          </w:p>
        </w:tc>
        <w:tc>
          <w:tcPr>
            <w:tcW w:w="734" w:type="dxa"/>
            <w:tcBorders>
              <w:top w:val="single" w:color="auto" w:sz="4" w:space="0"/>
              <w:left w:val="single" w:color="auto" w:sz="4" w:space="0"/>
              <w:bottom w:val="single" w:color="auto" w:sz="4" w:space="0"/>
              <w:right w:val="single" w:color="auto" w:sz="4" w:space="0"/>
            </w:tcBorders>
            <w:vAlign w:val="center"/>
          </w:tcPr>
          <w:p w14:paraId="10BF4C5F">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r>
      <w:tr w14:paraId="6DAE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79" w:type="dxa"/>
            <w:vMerge w:val="continue"/>
            <w:tcBorders>
              <w:left w:val="single" w:color="auto" w:sz="4" w:space="0"/>
              <w:right w:val="single" w:color="auto" w:sz="4" w:space="0"/>
            </w:tcBorders>
            <w:vAlign w:val="center"/>
          </w:tcPr>
          <w:p w14:paraId="0FE730BB">
            <w:pPr>
              <w:widowControl/>
              <w:spacing w:line="400" w:lineRule="exact"/>
              <w:jc w:val="left"/>
              <w:rPr>
                <w:rFonts w:asciiTheme="minorEastAsia" w:hAnsiTheme="minorEastAsia" w:eastAsiaTheme="minorEastAsia"/>
                <w:b/>
                <w:color w:val="auto"/>
                <w:szCs w:val="21"/>
              </w:rPr>
            </w:pPr>
          </w:p>
        </w:tc>
        <w:tc>
          <w:tcPr>
            <w:tcW w:w="9102" w:type="dxa"/>
            <w:gridSpan w:val="2"/>
            <w:tcBorders>
              <w:top w:val="single" w:color="auto" w:sz="4" w:space="0"/>
              <w:left w:val="single" w:color="auto" w:sz="4" w:space="0"/>
              <w:bottom w:val="single" w:color="auto" w:sz="4" w:space="0"/>
              <w:right w:val="single" w:color="auto" w:sz="4" w:space="0"/>
            </w:tcBorders>
            <w:vAlign w:val="center"/>
          </w:tcPr>
          <w:p w14:paraId="316E9F32">
            <w:pPr>
              <w:spacing w:line="400" w:lineRule="exac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9、政策性因素加分：（1分）</w:t>
            </w:r>
          </w:p>
          <w:p w14:paraId="5A72DDAB">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投标产品为节能产品，提供有效期内节能产品认证证书的加0.5分；</w:t>
            </w:r>
          </w:p>
          <w:p w14:paraId="39713BEE">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投标产品为环境标志产品，提供有效期内环境标志产品认证证书的加0.5分。</w:t>
            </w:r>
          </w:p>
          <w:p w14:paraId="32910E43">
            <w:pPr>
              <w:spacing w:line="400" w:lineRule="exact"/>
              <w:rPr>
                <w:rFonts w:cs="宋体" w:asciiTheme="minorEastAsia" w:hAnsiTheme="minorEastAsia" w:eastAsiaTheme="minorEastAsia"/>
                <w:b/>
                <w:bCs/>
                <w:color w:val="auto"/>
                <w:szCs w:val="21"/>
              </w:rPr>
            </w:pPr>
            <w:r>
              <w:rPr>
                <w:rFonts w:hint="eastAsia" w:cs="宋体" w:asciiTheme="minorEastAsia" w:hAnsiTheme="minorEastAsia" w:eastAsiaTheme="minorEastAsia"/>
                <w:color w:val="auto"/>
                <w:szCs w:val="21"/>
              </w:rPr>
              <w:t>所需证明材料要求详见本章第1.5条。</w:t>
            </w:r>
          </w:p>
        </w:tc>
        <w:tc>
          <w:tcPr>
            <w:tcW w:w="734" w:type="dxa"/>
            <w:tcBorders>
              <w:top w:val="single" w:color="auto" w:sz="4" w:space="0"/>
              <w:left w:val="single" w:color="auto" w:sz="4" w:space="0"/>
              <w:bottom w:val="single" w:color="auto" w:sz="4" w:space="0"/>
              <w:right w:val="single" w:color="auto" w:sz="4" w:space="0"/>
            </w:tcBorders>
            <w:vAlign w:val="center"/>
          </w:tcPr>
          <w:p w14:paraId="1DADE889">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bookmarkEnd w:id="34"/>
    </w:tbl>
    <w:p w14:paraId="55FF18A5">
      <w:pPr>
        <w:spacing w:line="400" w:lineRule="exact"/>
        <w:rPr>
          <w:rFonts w:ascii="宋体" w:hAnsi="宋体"/>
          <w:b/>
          <w:color w:val="auto"/>
          <w:szCs w:val="21"/>
        </w:rPr>
      </w:pPr>
      <w:r>
        <w:rPr>
          <w:rFonts w:hint="eastAsia" w:ascii="宋体" w:hAnsi="宋体"/>
          <w:color w:val="auto"/>
          <w:szCs w:val="21"/>
        </w:rPr>
        <w:t>注：无相应方案、措施，或表内要求提供的资料未按要求提供的均不得分。</w:t>
      </w:r>
    </w:p>
    <w:p w14:paraId="2563ECDE">
      <w:pPr>
        <w:spacing w:line="400" w:lineRule="exact"/>
        <w:rPr>
          <w:rFonts w:ascii="宋体" w:hAnsi="宋体"/>
          <w:color w:val="auto"/>
          <w:sz w:val="28"/>
          <w:szCs w:val="28"/>
        </w:rPr>
      </w:pPr>
      <w:r>
        <w:rPr>
          <w:rFonts w:hint="eastAsia" w:ascii="宋体" w:hAnsi="宋体"/>
          <w:color w:val="auto"/>
          <w:szCs w:val="21"/>
        </w:rPr>
        <w:t xml:space="preserve">评委签名：                                                           年  月   日 </w:t>
      </w:r>
    </w:p>
    <w:p w14:paraId="73BD469C">
      <w:pPr>
        <w:spacing w:line="400" w:lineRule="exact"/>
        <w:rPr>
          <w:rFonts w:ascii="宋体" w:hAnsi="宋体"/>
          <w:color w:val="auto"/>
          <w:szCs w:val="21"/>
        </w:rPr>
      </w:pPr>
      <w:r>
        <w:rPr>
          <w:rFonts w:ascii="宋体" w:hAnsi="宋体"/>
          <w:color w:val="auto"/>
          <w:sz w:val="28"/>
          <w:szCs w:val="28"/>
        </w:rPr>
        <w:br w:type="page"/>
      </w:r>
      <w:r>
        <w:rPr>
          <w:rFonts w:hint="eastAsia" w:ascii="宋体" w:hAnsi="宋体"/>
          <w:color w:val="auto"/>
          <w:szCs w:val="21"/>
        </w:rPr>
        <w:t>附表</w:t>
      </w:r>
      <w:r>
        <w:rPr>
          <w:rFonts w:ascii="宋体" w:hAnsi="宋体"/>
          <w:color w:val="auto"/>
          <w:szCs w:val="21"/>
        </w:rPr>
        <w:t>4</w:t>
      </w:r>
    </w:p>
    <w:p w14:paraId="656DAE8D">
      <w:pPr>
        <w:widowControl/>
        <w:snapToGrid w:val="0"/>
        <w:spacing w:line="560" w:lineRule="exact"/>
        <w:ind w:right="105"/>
        <w:jc w:val="center"/>
        <w:rPr>
          <w:rFonts w:ascii="宋体" w:hAnsi="宋体"/>
          <w:b/>
          <w:color w:val="auto"/>
          <w:szCs w:val="21"/>
        </w:rPr>
      </w:pPr>
      <w:r>
        <w:rPr>
          <w:rFonts w:hint="eastAsia" w:ascii="宋体" w:hAnsi="宋体"/>
          <w:b/>
          <w:color w:val="auto"/>
          <w:szCs w:val="21"/>
        </w:rPr>
        <w:t>初步审查表</w:t>
      </w:r>
    </w:p>
    <w:p w14:paraId="2D59E9F2">
      <w:pPr>
        <w:widowControl/>
        <w:snapToGrid w:val="0"/>
        <w:spacing w:line="560" w:lineRule="exact"/>
        <w:jc w:val="right"/>
        <w:rPr>
          <w:rFonts w:ascii="宋体" w:hAnsi="宋体"/>
          <w:b/>
          <w:color w:val="auto"/>
          <w:szCs w:val="21"/>
        </w:rPr>
      </w:pP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51"/>
        <w:gridCol w:w="2459"/>
      </w:tblGrid>
      <w:tr w14:paraId="7A99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DFBACC2">
            <w:pPr>
              <w:spacing w:line="400" w:lineRule="exact"/>
              <w:jc w:val="center"/>
              <w:rPr>
                <w:rFonts w:ascii="宋体" w:hAnsi="宋体"/>
                <w:b/>
                <w:color w:val="auto"/>
                <w:szCs w:val="21"/>
              </w:rPr>
            </w:pPr>
            <w:r>
              <w:rPr>
                <w:rFonts w:hint="eastAsia" w:ascii="宋体" w:hAnsi="宋体"/>
                <w:b/>
                <w:color w:val="auto"/>
                <w:szCs w:val="21"/>
              </w:rPr>
              <w:t>序号</w:t>
            </w:r>
          </w:p>
        </w:tc>
        <w:tc>
          <w:tcPr>
            <w:tcW w:w="6051" w:type="dxa"/>
            <w:vAlign w:val="center"/>
          </w:tcPr>
          <w:p w14:paraId="37B3E1A2">
            <w:pPr>
              <w:spacing w:line="360" w:lineRule="exact"/>
              <w:jc w:val="center"/>
              <w:rPr>
                <w:rFonts w:ascii="宋体" w:hAnsi="宋体"/>
                <w:b/>
                <w:color w:val="auto"/>
                <w:szCs w:val="21"/>
              </w:rPr>
            </w:pPr>
            <w:r>
              <w:rPr>
                <w:rFonts w:hint="eastAsia" w:ascii="宋体" w:hAnsi="宋体"/>
                <w:b/>
                <w:color w:val="auto"/>
                <w:szCs w:val="21"/>
              </w:rPr>
              <w:t>要求说明</w:t>
            </w:r>
          </w:p>
        </w:tc>
        <w:tc>
          <w:tcPr>
            <w:tcW w:w="2459" w:type="dxa"/>
            <w:vAlign w:val="center"/>
          </w:tcPr>
          <w:p w14:paraId="0CB2DC72">
            <w:pPr>
              <w:spacing w:line="360" w:lineRule="exact"/>
              <w:jc w:val="center"/>
              <w:rPr>
                <w:rFonts w:ascii="宋体" w:hAnsi="宋体"/>
                <w:b/>
                <w:color w:val="auto"/>
                <w:szCs w:val="21"/>
              </w:rPr>
            </w:pPr>
            <w:r>
              <w:rPr>
                <w:rFonts w:hint="eastAsia" w:ascii="宋体" w:hAnsi="宋体"/>
                <w:b/>
                <w:color w:val="auto"/>
                <w:szCs w:val="21"/>
              </w:rPr>
              <w:t>审查要求</w:t>
            </w:r>
          </w:p>
        </w:tc>
      </w:tr>
      <w:tr w14:paraId="3304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23692EB">
            <w:pPr>
              <w:spacing w:line="400" w:lineRule="exact"/>
              <w:jc w:val="center"/>
              <w:rPr>
                <w:rFonts w:ascii="宋体" w:hAnsi="宋体"/>
                <w:color w:val="auto"/>
                <w:szCs w:val="21"/>
              </w:rPr>
            </w:pPr>
            <w:r>
              <w:rPr>
                <w:rFonts w:ascii="宋体" w:hAnsi="宋体"/>
                <w:color w:val="auto"/>
                <w:szCs w:val="21"/>
              </w:rPr>
              <w:t>1</w:t>
            </w:r>
          </w:p>
        </w:tc>
        <w:tc>
          <w:tcPr>
            <w:tcW w:w="6051" w:type="dxa"/>
          </w:tcPr>
          <w:p w14:paraId="5306ECEB">
            <w:pPr>
              <w:spacing w:line="400" w:lineRule="exact"/>
              <w:jc w:val="left"/>
              <w:rPr>
                <w:rFonts w:ascii="宋体" w:hAnsi="宋体"/>
                <w:color w:val="auto"/>
                <w:szCs w:val="21"/>
              </w:rPr>
            </w:pPr>
            <w:r>
              <w:rPr>
                <w:rFonts w:hint="eastAsia" w:ascii="宋体" w:hAnsi="宋体"/>
                <w:color w:val="auto"/>
                <w:szCs w:val="21"/>
              </w:rPr>
              <w:t>本次采购预算金额为:</w:t>
            </w:r>
            <w:r>
              <w:rPr>
                <w:color w:val="auto"/>
              </w:rPr>
              <w:t xml:space="preserve"> </w:t>
            </w:r>
            <w:r>
              <w:rPr>
                <w:rFonts w:ascii="宋体" w:hAnsi="宋体"/>
                <w:color w:val="auto"/>
                <w:szCs w:val="21"/>
              </w:rPr>
              <w:t>1096065</w:t>
            </w:r>
            <w:r>
              <w:rPr>
                <w:rFonts w:hint="eastAsia" w:ascii="宋体" w:hAnsi="宋体"/>
                <w:color w:val="auto"/>
                <w:szCs w:val="21"/>
              </w:rPr>
              <w:t>元。投标报价超出预算金额的投标无效。</w:t>
            </w:r>
          </w:p>
          <w:p w14:paraId="52525903">
            <w:pPr>
              <w:spacing w:line="400" w:lineRule="exact"/>
              <w:jc w:val="left"/>
              <w:rPr>
                <w:rFonts w:ascii="宋体" w:hAnsi="宋体" w:cs="宋体"/>
                <w:color w:val="auto"/>
                <w:szCs w:val="21"/>
              </w:rPr>
            </w:pPr>
            <w:r>
              <w:rPr>
                <w:rFonts w:hint="eastAsia" w:ascii="宋体" w:hAnsi="宋体"/>
                <w:color w:val="auto"/>
                <w:szCs w:val="21"/>
              </w:rPr>
              <w:t>本次采购设有单价最高限价：135元/件。投标单价超出单价最高限价的投标无效。</w:t>
            </w:r>
          </w:p>
        </w:tc>
        <w:tc>
          <w:tcPr>
            <w:tcW w:w="2459" w:type="dxa"/>
            <w:vAlign w:val="center"/>
          </w:tcPr>
          <w:p w14:paraId="11AC246C">
            <w:pPr>
              <w:spacing w:line="400" w:lineRule="exact"/>
              <w:rPr>
                <w:rFonts w:ascii="宋体" w:hAnsi="宋体"/>
                <w:color w:val="auto"/>
                <w:szCs w:val="21"/>
              </w:rPr>
            </w:pPr>
            <w:r>
              <w:rPr>
                <w:rFonts w:hint="eastAsia" w:ascii="宋体" w:hAnsi="宋体"/>
                <w:color w:val="auto"/>
                <w:szCs w:val="21"/>
              </w:rPr>
              <w:t>提供“开标一览表”</w:t>
            </w:r>
            <w:r>
              <w:rPr>
                <w:rFonts w:hint="eastAsia" w:ascii="宋体" w:hAnsi="宋体" w:cs="宋体"/>
                <w:color w:val="auto"/>
                <w:szCs w:val="21"/>
              </w:rPr>
              <w:t>。</w:t>
            </w:r>
          </w:p>
        </w:tc>
      </w:tr>
      <w:tr w14:paraId="25D3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6C1ADAF">
            <w:pPr>
              <w:spacing w:line="400" w:lineRule="exact"/>
              <w:jc w:val="center"/>
              <w:rPr>
                <w:rFonts w:ascii="宋体" w:hAnsi="宋体"/>
                <w:color w:val="auto"/>
                <w:szCs w:val="21"/>
              </w:rPr>
            </w:pPr>
            <w:r>
              <w:rPr>
                <w:rFonts w:hint="eastAsia" w:ascii="宋体" w:hAnsi="宋体"/>
                <w:color w:val="auto"/>
                <w:szCs w:val="21"/>
              </w:rPr>
              <w:t>2</w:t>
            </w:r>
          </w:p>
        </w:tc>
        <w:tc>
          <w:tcPr>
            <w:tcW w:w="6051" w:type="dxa"/>
            <w:vAlign w:val="center"/>
          </w:tcPr>
          <w:p w14:paraId="15280969">
            <w:pPr>
              <w:spacing w:line="400" w:lineRule="exact"/>
              <w:rPr>
                <w:rFonts w:ascii="宋体" w:hAnsi="宋体"/>
                <w:color w:val="auto"/>
                <w:szCs w:val="21"/>
              </w:rPr>
            </w:pPr>
            <w:r>
              <w:rPr>
                <w:rFonts w:hint="eastAsia" w:ascii="宋体" w:hAnsi="宋体"/>
                <w:color w:val="auto"/>
                <w:szCs w:val="21"/>
              </w:rPr>
              <w:t>符合第二章“投标须知”第九、</w:t>
            </w:r>
            <w:r>
              <w:rPr>
                <w:rFonts w:ascii="宋体" w:hAnsi="宋体"/>
                <w:color w:val="auto"/>
                <w:szCs w:val="21"/>
              </w:rPr>
              <w:t>1</w:t>
            </w:r>
            <w:r>
              <w:rPr>
                <w:rFonts w:hint="eastAsia" w:ascii="宋体" w:hAnsi="宋体"/>
                <w:color w:val="auto"/>
                <w:szCs w:val="21"/>
              </w:rPr>
              <w:t>条的要求。</w:t>
            </w:r>
          </w:p>
        </w:tc>
        <w:tc>
          <w:tcPr>
            <w:tcW w:w="2459" w:type="dxa"/>
            <w:vAlign w:val="center"/>
          </w:tcPr>
          <w:p w14:paraId="0F637FA4">
            <w:pPr>
              <w:spacing w:line="400" w:lineRule="exact"/>
              <w:rPr>
                <w:rFonts w:ascii="宋体" w:hAnsi="宋体"/>
                <w:color w:val="auto"/>
                <w:szCs w:val="21"/>
              </w:rPr>
            </w:pPr>
            <w:r>
              <w:rPr>
                <w:rFonts w:hint="eastAsia" w:ascii="宋体" w:hAnsi="宋体"/>
                <w:color w:val="auto"/>
                <w:szCs w:val="21"/>
              </w:rPr>
              <w:t>投标文件的签署盖章符合所述要求。</w:t>
            </w:r>
          </w:p>
        </w:tc>
      </w:tr>
      <w:tr w14:paraId="0062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7BB251">
            <w:pPr>
              <w:spacing w:line="400" w:lineRule="exact"/>
              <w:jc w:val="center"/>
              <w:rPr>
                <w:rFonts w:ascii="宋体" w:hAnsi="宋体"/>
                <w:color w:val="auto"/>
                <w:szCs w:val="21"/>
              </w:rPr>
            </w:pPr>
            <w:r>
              <w:rPr>
                <w:rFonts w:hint="eastAsia" w:ascii="宋体" w:hAnsi="宋体"/>
                <w:color w:val="auto"/>
                <w:szCs w:val="21"/>
              </w:rPr>
              <w:t>3</w:t>
            </w:r>
          </w:p>
        </w:tc>
        <w:tc>
          <w:tcPr>
            <w:tcW w:w="6051" w:type="dxa"/>
            <w:vAlign w:val="center"/>
          </w:tcPr>
          <w:p w14:paraId="07831EE6">
            <w:pPr>
              <w:spacing w:line="400" w:lineRule="exact"/>
              <w:rPr>
                <w:rFonts w:ascii="宋体" w:hAnsi="宋体"/>
                <w:color w:val="auto"/>
                <w:szCs w:val="21"/>
              </w:rPr>
            </w:pPr>
            <w:r>
              <w:rPr>
                <w:rFonts w:hint="eastAsia" w:ascii="宋体" w:hAnsi="宋体"/>
                <w:color w:val="auto"/>
                <w:szCs w:val="21"/>
              </w:rPr>
              <w:t>供应商不得出现赠送或零元报价。</w:t>
            </w:r>
          </w:p>
          <w:p w14:paraId="35E402D6">
            <w:pPr>
              <w:spacing w:line="400" w:lineRule="exact"/>
              <w:rPr>
                <w:rFonts w:ascii="宋体" w:hAnsi="宋体"/>
                <w:color w:val="auto"/>
                <w:szCs w:val="21"/>
              </w:rPr>
            </w:pPr>
            <w:r>
              <w:rPr>
                <w:rFonts w:hint="eastAsia" w:ascii="宋体" w:hAnsi="宋体"/>
                <w:color w:val="auto"/>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459" w:type="dxa"/>
            <w:vAlign w:val="center"/>
          </w:tcPr>
          <w:p w14:paraId="08883EAD">
            <w:pPr>
              <w:spacing w:line="400" w:lineRule="exact"/>
              <w:rPr>
                <w:rFonts w:ascii="宋体" w:hAnsi="宋体"/>
                <w:color w:val="auto"/>
                <w:szCs w:val="21"/>
              </w:rPr>
            </w:pPr>
            <w:r>
              <w:rPr>
                <w:rFonts w:hint="eastAsia" w:ascii="宋体" w:hAnsi="宋体"/>
                <w:color w:val="auto"/>
                <w:szCs w:val="21"/>
              </w:rPr>
              <w:t>符合所述要求。</w:t>
            </w:r>
          </w:p>
        </w:tc>
      </w:tr>
      <w:tr w14:paraId="165B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E495E9">
            <w:pPr>
              <w:spacing w:line="400" w:lineRule="exact"/>
              <w:jc w:val="center"/>
              <w:rPr>
                <w:rFonts w:ascii="宋体" w:hAnsi="宋体"/>
                <w:color w:val="auto"/>
                <w:szCs w:val="21"/>
              </w:rPr>
            </w:pPr>
            <w:r>
              <w:rPr>
                <w:rFonts w:hint="eastAsia" w:ascii="宋体" w:hAnsi="宋体"/>
                <w:color w:val="auto"/>
                <w:szCs w:val="21"/>
              </w:rPr>
              <w:t>4</w:t>
            </w:r>
          </w:p>
        </w:tc>
        <w:tc>
          <w:tcPr>
            <w:tcW w:w="6051" w:type="dxa"/>
            <w:vAlign w:val="center"/>
          </w:tcPr>
          <w:p w14:paraId="1A4AD01A">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459" w:type="dxa"/>
            <w:vAlign w:val="center"/>
          </w:tcPr>
          <w:p w14:paraId="5309109C">
            <w:pPr>
              <w:spacing w:line="400" w:lineRule="exact"/>
              <w:rPr>
                <w:rFonts w:ascii="宋体" w:hAnsi="宋体"/>
                <w:color w:val="auto"/>
                <w:szCs w:val="21"/>
              </w:rPr>
            </w:pPr>
            <w:r>
              <w:rPr>
                <w:rFonts w:hint="eastAsia" w:ascii="宋体" w:hAnsi="宋体"/>
                <w:color w:val="auto"/>
                <w:szCs w:val="21"/>
              </w:rPr>
              <w:t>符合所述要求。</w:t>
            </w:r>
          </w:p>
        </w:tc>
      </w:tr>
      <w:tr w14:paraId="5658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1" w:type="dxa"/>
            <w:gridSpan w:val="2"/>
            <w:vAlign w:val="center"/>
          </w:tcPr>
          <w:p w14:paraId="66624372">
            <w:pPr>
              <w:spacing w:line="400" w:lineRule="exact"/>
              <w:jc w:val="center"/>
              <w:rPr>
                <w:rFonts w:ascii="宋体" w:hAnsi="宋体"/>
                <w:color w:val="auto"/>
                <w:szCs w:val="21"/>
              </w:rPr>
            </w:pPr>
            <w:r>
              <w:rPr>
                <w:rFonts w:hint="eastAsia" w:ascii="宋体" w:hAnsi="宋体"/>
                <w:b/>
                <w:color w:val="auto"/>
                <w:szCs w:val="21"/>
              </w:rPr>
              <w:t>初步审查结论</w:t>
            </w:r>
          </w:p>
        </w:tc>
        <w:tc>
          <w:tcPr>
            <w:tcW w:w="2459" w:type="dxa"/>
            <w:vAlign w:val="center"/>
          </w:tcPr>
          <w:p w14:paraId="361074D4">
            <w:pPr>
              <w:spacing w:line="400" w:lineRule="exact"/>
              <w:rPr>
                <w:rFonts w:ascii="宋体" w:hAnsi="宋体"/>
                <w:color w:val="auto"/>
                <w:szCs w:val="21"/>
              </w:rPr>
            </w:pPr>
          </w:p>
        </w:tc>
      </w:tr>
    </w:tbl>
    <w:p w14:paraId="23785604">
      <w:pPr>
        <w:spacing w:line="400" w:lineRule="exact"/>
        <w:rPr>
          <w:rFonts w:ascii="宋体" w:hAnsi="宋体"/>
          <w:color w:val="auto"/>
          <w:szCs w:val="21"/>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、上述审查项目中，任意一项不符合的，初步审查不合格。</w:t>
      </w:r>
    </w:p>
    <w:p w14:paraId="418B3F1E">
      <w:pPr>
        <w:spacing w:line="400" w:lineRule="exact"/>
        <w:rPr>
          <w:rFonts w:ascii="宋体" w:hAnsi="宋体"/>
          <w:color w:val="auto"/>
          <w:szCs w:val="21"/>
        </w:rPr>
      </w:pPr>
      <w:r>
        <w:rPr>
          <w:rFonts w:hint="eastAsia" w:ascii="宋体" w:hAnsi="宋体"/>
          <w:b/>
          <w:color w:val="auto"/>
        </w:rPr>
        <w:t>2、序号2-序号4在政采云上无须添加关联点。</w:t>
      </w:r>
    </w:p>
    <w:p w14:paraId="1116B7A9">
      <w:pPr>
        <w:spacing w:line="400" w:lineRule="exact"/>
        <w:rPr>
          <w:rFonts w:ascii="宋体" w:hAnsi="宋体"/>
          <w:color w:val="auto"/>
          <w:szCs w:val="21"/>
        </w:rPr>
      </w:pPr>
    </w:p>
    <w:p w14:paraId="69669ACB">
      <w:pPr>
        <w:rPr>
          <w:rFonts w:ascii="宋体" w:hAnsi="宋体"/>
          <w:color w:val="auto"/>
          <w:szCs w:val="21"/>
        </w:rPr>
      </w:pPr>
    </w:p>
    <w:p w14:paraId="1AB4A003">
      <w:pPr>
        <w:rPr>
          <w:rFonts w:ascii="宋体" w:hAnsi="宋体"/>
          <w:color w:val="auto"/>
          <w:szCs w:val="21"/>
        </w:rPr>
      </w:pPr>
      <w:r>
        <w:rPr>
          <w:rFonts w:hint="eastAsia" w:ascii="宋体" w:hAnsi="宋体"/>
          <w:color w:val="auto"/>
          <w:szCs w:val="21"/>
        </w:rPr>
        <w:t>附表</w:t>
      </w:r>
      <w:r>
        <w:rPr>
          <w:rFonts w:ascii="宋体" w:hAnsi="宋体"/>
          <w:color w:val="auto"/>
          <w:szCs w:val="21"/>
        </w:rPr>
        <w:t>5</w:t>
      </w:r>
    </w:p>
    <w:p w14:paraId="2F50896E">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0DD296BD">
      <w:pPr>
        <w:spacing w:line="320" w:lineRule="exact"/>
        <w:rPr>
          <w:rFonts w:ascii="宋体" w:hAnsi="宋体"/>
          <w:b/>
          <w:color w:val="auto"/>
          <w:szCs w:val="21"/>
        </w:rPr>
      </w:pPr>
      <w:r>
        <w:rPr>
          <w:rFonts w:hint="eastAsia" w:ascii="宋体" w:hAnsi="宋体" w:cs="宋体"/>
          <w:b/>
          <w:color w:val="auto"/>
          <w:szCs w:val="21"/>
        </w:rPr>
        <w:t>项目编号：QWZFCG24103（NBITC-202510844G）</w:t>
      </w:r>
      <w:r>
        <w:rPr>
          <w:rFonts w:ascii="宋体" w:hAnsi="宋体"/>
          <w:b/>
          <w:color w:val="auto"/>
          <w:szCs w:val="21"/>
        </w:rPr>
        <w:t xml:space="preserve">                                  </w:t>
      </w:r>
      <w:r>
        <w:rPr>
          <w:rFonts w:hint="eastAsia" w:ascii="宋体" w:hAnsi="宋体"/>
          <w:b/>
          <w:color w:val="auto"/>
          <w:szCs w:val="21"/>
        </w:rPr>
        <w:t xml:space="preserve">      </w:t>
      </w:r>
      <w:r>
        <w:rPr>
          <w:rFonts w:ascii="宋体" w:hAnsi="宋体"/>
          <w:b/>
          <w:color w:val="auto"/>
          <w:szCs w:val="21"/>
        </w:rPr>
        <w:t xml:space="preserve">   </w:t>
      </w:r>
    </w:p>
    <w:tbl>
      <w:tblPr>
        <w:tblStyle w:val="4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0EFD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583193A3">
            <w:pPr>
              <w:spacing w:line="400" w:lineRule="exact"/>
              <w:ind w:right="420" w:firstLine="4410" w:firstLineChars="2100"/>
              <w:rPr>
                <w:rFonts w:ascii="宋体" w:hAnsi="宋体"/>
                <w:color w:val="auto"/>
                <w:szCs w:val="21"/>
              </w:rPr>
            </w:pPr>
            <w:r>
              <w:rPr>
                <w:rFonts w:ascii="宋体" w:hAnsi="宋体"/>
                <w:color w:val="auto"/>
                <w:szCs w:val="21"/>
              </w:rPr>
              <w:t xml:space="preserve">                        </w:t>
            </w:r>
            <w:r>
              <w:rPr>
                <w:rFonts w:hint="eastAsia" w:ascii="宋体" w:hAnsi="宋体"/>
                <w:color w:val="auto"/>
                <w:szCs w:val="21"/>
              </w:rPr>
              <w:t>供应商</w:t>
            </w:r>
          </w:p>
          <w:p w14:paraId="3D05881E">
            <w:pPr>
              <w:spacing w:line="400" w:lineRule="exact"/>
              <w:ind w:firstLine="945" w:firstLineChars="450"/>
              <w:rPr>
                <w:rFonts w:ascii="宋体" w:hAnsi="宋体"/>
                <w:color w:val="auto"/>
                <w:szCs w:val="21"/>
                <w:lang w:val="ru-RU"/>
              </w:rPr>
            </w:pPr>
            <w:r>
              <w:rPr>
                <w:rFonts w:hint="eastAsia" w:ascii="宋体" w:hAnsi="宋体"/>
                <w:color w:val="auto"/>
                <w:szCs w:val="21"/>
              </w:rPr>
              <w:t>分值</w:t>
            </w:r>
          </w:p>
        </w:tc>
        <w:tc>
          <w:tcPr>
            <w:tcW w:w="955" w:type="dxa"/>
            <w:vAlign w:val="center"/>
          </w:tcPr>
          <w:p w14:paraId="75F9279F">
            <w:pPr>
              <w:spacing w:line="400" w:lineRule="exact"/>
              <w:jc w:val="center"/>
              <w:rPr>
                <w:rFonts w:ascii="宋体" w:hAnsi="宋体"/>
                <w:color w:val="auto"/>
                <w:szCs w:val="21"/>
                <w:lang w:val="ru-RU"/>
              </w:rPr>
            </w:pPr>
          </w:p>
        </w:tc>
      </w:tr>
      <w:tr w14:paraId="48F9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695D3888">
            <w:pPr>
              <w:spacing w:line="400" w:lineRule="exact"/>
              <w:jc w:val="center"/>
              <w:rPr>
                <w:rFonts w:ascii="宋体" w:hAnsi="宋体"/>
                <w:b/>
                <w:color w:val="auto"/>
                <w:szCs w:val="21"/>
              </w:rPr>
            </w:pPr>
            <w:bookmarkStart w:id="39" w:name="OLE_LINK19"/>
            <w:bookmarkStart w:id="40" w:name="OLE_LINK13"/>
            <w:r>
              <w:rPr>
                <w:rFonts w:hint="eastAsia" w:ascii="宋体" w:hAnsi="宋体"/>
                <w:b/>
                <w:color w:val="auto"/>
                <w:szCs w:val="21"/>
              </w:rPr>
              <w:t>价格分40分</w:t>
            </w:r>
            <w:bookmarkEnd w:id="39"/>
            <w:bookmarkEnd w:id="40"/>
          </w:p>
        </w:tc>
        <w:tc>
          <w:tcPr>
            <w:tcW w:w="7604" w:type="dxa"/>
            <w:vAlign w:val="center"/>
          </w:tcPr>
          <w:p w14:paraId="5EE6C08D">
            <w:pPr>
              <w:spacing w:line="400" w:lineRule="exact"/>
              <w:rPr>
                <w:rFonts w:ascii="宋体" w:hAnsi="宋体"/>
                <w:color w:val="auto"/>
                <w:szCs w:val="21"/>
              </w:rPr>
            </w:pPr>
            <w:r>
              <w:rPr>
                <w:rFonts w:hint="eastAsia" w:ascii="宋体" w:hAnsi="宋体"/>
                <w:color w:val="auto"/>
                <w:szCs w:val="21"/>
              </w:rPr>
              <w:t>参与评审的价格=投标报价；</w:t>
            </w:r>
          </w:p>
          <w:p w14:paraId="10C5F2B3">
            <w:pPr>
              <w:spacing w:line="400" w:lineRule="exact"/>
              <w:rPr>
                <w:rFonts w:ascii="宋体" w:hAnsi="宋体"/>
                <w:color w:val="auto"/>
                <w:szCs w:val="21"/>
              </w:rPr>
            </w:pPr>
            <w:r>
              <w:rPr>
                <w:rFonts w:hint="eastAsia" w:ascii="宋体" w:hAnsi="宋体"/>
                <w:color w:val="auto"/>
                <w:szCs w:val="21"/>
              </w:rPr>
              <w:t>评标基准价=满足采购文件要求且“参与评审的价格”中最低的价格为评标基准价；</w:t>
            </w:r>
          </w:p>
          <w:p w14:paraId="6234FE22">
            <w:pPr>
              <w:spacing w:line="400" w:lineRule="exact"/>
              <w:rPr>
                <w:rFonts w:ascii="宋体" w:hAnsi="宋体"/>
                <w:color w:val="auto"/>
                <w:szCs w:val="21"/>
              </w:rPr>
            </w:pPr>
            <w:r>
              <w:rPr>
                <w:rFonts w:hint="eastAsia" w:ascii="宋体" w:hAnsi="宋体"/>
                <w:color w:val="auto"/>
                <w:szCs w:val="21"/>
              </w:rPr>
              <w:t>基准价得分为满分40分，其他投标报价得分计算公式如下：</w:t>
            </w:r>
          </w:p>
          <w:p w14:paraId="3A6B23F4">
            <w:pPr>
              <w:spacing w:line="400" w:lineRule="exact"/>
              <w:rPr>
                <w:rFonts w:ascii="宋体" w:hAnsi="宋体"/>
                <w:color w:val="auto"/>
                <w:szCs w:val="21"/>
              </w:rPr>
            </w:pPr>
            <w:r>
              <w:rPr>
                <w:rFonts w:hint="eastAsia" w:ascii="宋体" w:hAnsi="宋体"/>
                <w:color w:val="auto"/>
                <w:szCs w:val="21"/>
              </w:rPr>
              <w:t>投标报价得分=（评标基准价/参与评审的价格）×40%×100</w:t>
            </w:r>
          </w:p>
        </w:tc>
        <w:tc>
          <w:tcPr>
            <w:tcW w:w="955" w:type="dxa"/>
            <w:vAlign w:val="center"/>
          </w:tcPr>
          <w:p w14:paraId="414478F6">
            <w:pPr>
              <w:spacing w:line="400" w:lineRule="exact"/>
              <w:jc w:val="center"/>
              <w:rPr>
                <w:rFonts w:ascii="宋体" w:hAnsi="宋体"/>
                <w:color w:val="auto"/>
                <w:szCs w:val="21"/>
              </w:rPr>
            </w:pPr>
          </w:p>
        </w:tc>
      </w:tr>
      <w:tr w14:paraId="091F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3095FF72">
            <w:pPr>
              <w:spacing w:line="400" w:lineRule="exact"/>
              <w:jc w:val="center"/>
              <w:rPr>
                <w:rFonts w:ascii="宋体" w:hAnsi="宋体"/>
                <w:color w:val="auto"/>
                <w:szCs w:val="21"/>
              </w:rPr>
            </w:pPr>
            <w:r>
              <w:rPr>
                <w:rFonts w:hint="eastAsia" w:ascii="宋体" w:hAnsi="宋体"/>
                <w:b/>
                <w:color w:val="auto"/>
                <w:szCs w:val="21"/>
              </w:rPr>
              <w:t>报价得分（40分）</w:t>
            </w:r>
          </w:p>
        </w:tc>
        <w:tc>
          <w:tcPr>
            <w:tcW w:w="955" w:type="dxa"/>
            <w:vAlign w:val="center"/>
          </w:tcPr>
          <w:p w14:paraId="349E6961">
            <w:pPr>
              <w:spacing w:line="400" w:lineRule="exact"/>
              <w:jc w:val="center"/>
              <w:rPr>
                <w:rFonts w:ascii="宋体" w:hAnsi="宋体"/>
                <w:color w:val="auto"/>
                <w:szCs w:val="21"/>
              </w:rPr>
            </w:pPr>
          </w:p>
        </w:tc>
      </w:tr>
    </w:tbl>
    <w:p w14:paraId="6BE9C373">
      <w:pPr>
        <w:ind w:right="-1226" w:rightChars="-584"/>
        <w:jc w:val="center"/>
        <w:rPr>
          <w:rFonts w:ascii="宋体" w:hAnsi="宋体"/>
          <w:color w:val="auto"/>
          <w:sz w:val="28"/>
          <w:szCs w:val="28"/>
        </w:rPr>
      </w:pPr>
    </w:p>
    <w:p w14:paraId="2A411D28">
      <w:pPr>
        <w:ind w:right="-1226" w:rightChars="-584"/>
        <w:jc w:val="center"/>
        <w:rPr>
          <w:rFonts w:ascii="宋体" w:hAnsi="宋体"/>
          <w:color w:val="auto"/>
          <w:sz w:val="28"/>
          <w:szCs w:val="28"/>
        </w:rPr>
      </w:pPr>
    </w:p>
    <w:p w14:paraId="0F71F03C">
      <w:pPr>
        <w:ind w:right="-1226" w:rightChars="-584"/>
        <w:jc w:val="center"/>
        <w:rPr>
          <w:rFonts w:ascii="宋体" w:hAnsi="宋体"/>
          <w:color w:val="auto"/>
          <w:sz w:val="28"/>
          <w:szCs w:val="28"/>
        </w:rPr>
      </w:pPr>
    </w:p>
    <w:p w14:paraId="394DCE04">
      <w:pPr>
        <w:ind w:right="-1226" w:rightChars="-584"/>
        <w:jc w:val="center"/>
        <w:rPr>
          <w:rFonts w:ascii="宋体" w:hAnsi="宋体"/>
          <w:color w:val="auto"/>
          <w:sz w:val="28"/>
          <w:szCs w:val="28"/>
        </w:rPr>
        <w:sectPr>
          <w:headerReference r:id="rId9" w:type="default"/>
          <w:footerReference r:id="rId10" w:type="default"/>
          <w:type w:val="nextColumn"/>
          <w:pgSz w:w="11907" w:h="16840"/>
          <w:pgMar w:top="854" w:right="1588" w:bottom="993" w:left="1588" w:header="285" w:footer="616" w:gutter="0"/>
          <w:cols w:space="720" w:num="1"/>
          <w:docGrid w:linePitch="285" w:charSpace="0"/>
        </w:sectPr>
      </w:pPr>
    </w:p>
    <w:p w14:paraId="0BEEE4CC">
      <w:pPr>
        <w:spacing w:line="400" w:lineRule="exact"/>
        <w:jc w:val="center"/>
        <w:outlineLvl w:val="0"/>
        <w:rPr>
          <w:rFonts w:ascii="宋体" w:hAnsi="宋体"/>
          <w:b/>
          <w:color w:val="auto"/>
          <w:sz w:val="32"/>
        </w:rPr>
      </w:pPr>
      <w:bookmarkStart w:id="41" w:name="_Toc55385105"/>
      <w:r>
        <w:rPr>
          <w:rFonts w:hint="eastAsia" w:ascii="宋体" w:hAnsi="宋体"/>
          <w:b/>
          <w:color w:val="auto"/>
          <w:sz w:val="32"/>
        </w:rPr>
        <w:t>第四章  合同样本</w:t>
      </w:r>
      <w:bookmarkEnd w:id="41"/>
    </w:p>
    <w:p w14:paraId="779432F9">
      <w:pPr>
        <w:pStyle w:val="21"/>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14:paraId="17EC73E0">
      <w:pPr>
        <w:widowControl/>
        <w:overflowPunct w:val="0"/>
        <w:autoSpaceDE w:val="0"/>
        <w:autoSpaceDN w:val="0"/>
        <w:adjustRightInd w:val="0"/>
        <w:snapToGrid w:val="0"/>
        <w:spacing w:line="400" w:lineRule="exact"/>
        <w:ind w:left="-171"/>
        <w:jc w:val="left"/>
        <w:textAlignment w:val="baseline"/>
        <w:rPr>
          <w:rFonts w:ascii="宋体" w:hAnsi="宋体" w:cs="仿宋_GB2312"/>
          <w:color w:val="auto"/>
          <w:kern w:val="0"/>
          <w:szCs w:val="21"/>
        </w:rPr>
      </w:pPr>
      <w:r>
        <w:rPr>
          <w:rFonts w:hint="eastAsia"/>
          <w:color w:val="auto"/>
          <w:szCs w:val="21"/>
        </w:rPr>
        <w:t xml:space="preserve">                                        </w:t>
      </w:r>
      <w:r>
        <w:rPr>
          <w:rFonts w:hint="eastAsia" w:ascii="宋体" w:hAnsi="宋体" w:cs="仿宋_GB2312"/>
          <w:color w:val="auto"/>
          <w:kern w:val="0"/>
          <w:szCs w:val="21"/>
        </w:rPr>
        <w:t>编号：</w:t>
      </w:r>
    </w:p>
    <w:p w14:paraId="6A49EDE9">
      <w:pPr>
        <w:widowControl/>
        <w:overflowPunct w:val="0"/>
        <w:autoSpaceDE w:val="0"/>
        <w:autoSpaceDN w:val="0"/>
        <w:adjustRightInd w:val="0"/>
        <w:snapToGrid w:val="0"/>
        <w:spacing w:line="400" w:lineRule="exact"/>
        <w:ind w:left="-171"/>
        <w:jc w:val="left"/>
        <w:textAlignment w:val="baseline"/>
        <w:rPr>
          <w:rFonts w:ascii="宋体" w:hAnsi="宋体" w:cs="仿宋_GB2312"/>
          <w:color w:val="auto"/>
          <w:kern w:val="0"/>
          <w:szCs w:val="21"/>
        </w:rPr>
      </w:pPr>
      <w:r>
        <w:rPr>
          <w:rFonts w:hint="eastAsia" w:ascii="宋体" w:hAnsi="宋体" w:cs="仿宋_GB2312"/>
          <w:color w:val="auto"/>
          <w:kern w:val="0"/>
          <w:szCs w:val="21"/>
        </w:rPr>
        <w:t>甲方（采购人）：</w:t>
      </w:r>
    </w:p>
    <w:p w14:paraId="2963BECD">
      <w:pPr>
        <w:widowControl/>
        <w:overflowPunct w:val="0"/>
        <w:autoSpaceDE w:val="0"/>
        <w:autoSpaceDN w:val="0"/>
        <w:adjustRightInd w:val="0"/>
        <w:snapToGrid w:val="0"/>
        <w:spacing w:line="400" w:lineRule="exact"/>
        <w:ind w:left="-171"/>
        <w:jc w:val="left"/>
        <w:textAlignment w:val="baseline"/>
        <w:rPr>
          <w:rFonts w:ascii="宋体" w:hAnsi="宋体" w:cs="仿宋_GB2312"/>
          <w:color w:val="auto"/>
          <w:kern w:val="0"/>
          <w:szCs w:val="21"/>
        </w:rPr>
      </w:pPr>
      <w:r>
        <w:rPr>
          <w:rFonts w:hint="eastAsia" w:ascii="宋体" w:hAnsi="宋体" w:cs="仿宋_GB2312"/>
          <w:color w:val="auto"/>
          <w:kern w:val="0"/>
          <w:szCs w:val="21"/>
        </w:rPr>
        <w:t>乙方（中标供应商）：</w:t>
      </w:r>
    </w:p>
    <w:p w14:paraId="2003B752">
      <w:pPr>
        <w:widowControl/>
        <w:overflowPunct w:val="0"/>
        <w:autoSpaceDE w:val="0"/>
        <w:autoSpaceDN w:val="0"/>
        <w:adjustRightInd w:val="0"/>
        <w:snapToGrid w:val="0"/>
        <w:spacing w:line="400" w:lineRule="exact"/>
        <w:ind w:left="-170" w:leftChars="-81" w:firstLine="420" w:firstLineChars="200"/>
        <w:jc w:val="left"/>
        <w:textAlignment w:val="baseline"/>
        <w:rPr>
          <w:rFonts w:ascii="宋体" w:hAnsi="宋体" w:cs="仿宋_GB2312"/>
          <w:color w:val="auto"/>
          <w:kern w:val="0"/>
          <w:szCs w:val="21"/>
        </w:rPr>
      </w:pPr>
      <w:r>
        <w:rPr>
          <w:rFonts w:hint="eastAsia" w:ascii="宋体" w:hAnsi="宋体"/>
          <w:color w:val="auto"/>
          <w:kern w:val="0"/>
          <w:szCs w:val="21"/>
        </w:rPr>
        <w:t>根据</w:t>
      </w:r>
      <w:r>
        <w:rPr>
          <w:rFonts w:hint="eastAsia" w:ascii="宋体" w:hAnsi="宋体"/>
          <w:color w:val="auto"/>
          <w:kern w:val="0"/>
          <w:szCs w:val="21"/>
          <w:u w:val="single"/>
        </w:rPr>
        <w:t xml:space="preserve">    （项目名称）   </w:t>
      </w:r>
      <w:r>
        <w:rPr>
          <w:rFonts w:hint="eastAsia" w:ascii="宋体" w:hAnsi="宋体"/>
          <w:color w:val="auto"/>
          <w:kern w:val="0"/>
          <w:szCs w:val="21"/>
        </w:rPr>
        <w:t>公开招标采购结果（采购编号：</w:t>
      </w:r>
      <w:r>
        <w:rPr>
          <w:rFonts w:hint="eastAsia" w:ascii="宋体" w:hAnsi="宋体"/>
          <w:color w:val="auto"/>
          <w:kern w:val="0"/>
          <w:szCs w:val="21"/>
          <w:u w:val="single"/>
        </w:rPr>
        <w:t xml:space="preserve">        </w:t>
      </w:r>
      <w:r>
        <w:rPr>
          <w:rFonts w:hint="eastAsia" w:ascii="宋体" w:hAnsi="宋体"/>
          <w:color w:val="auto"/>
          <w:kern w:val="0"/>
          <w:szCs w:val="21"/>
        </w:rPr>
        <w:t>），确定</w:t>
      </w:r>
      <w:r>
        <w:rPr>
          <w:rFonts w:hint="eastAsia" w:ascii="宋体" w:hAnsi="宋体"/>
          <w:color w:val="auto"/>
          <w:kern w:val="0"/>
          <w:szCs w:val="21"/>
          <w:u w:val="single"/>
        </w:rPr>
        <w:t xml:space="preserve">         </w:t>
      </w:r>
      <w:r>
        <w:rPr>
          <w:rFonts w:hint="eastAsia" w:ascii="宋体" w:hAnsi="宋体"/>
          <w:color w:val="auto"/>
          <w:kern w:val="0"/>
          <w:szCs w:val="21"/>
        </w:rPr>
        <w:t>为中标单位，甲、乙双方经协商，达成以下条款：</w:t>
      </w:r>
    </w:p>
    <w:p w14:paraId="7B8786F4">
      <w:pPr>
        <w:spacing w:line="400" w:lineRule="exact"/>
        <w:ind w:firstLine="420"/>
        <w:rPr>
          <w:rFonts w:ascii="宋体" w:hAnsi="宋体"/>
          <w:color w:val="auto"/>
          <w:szCs w:val="21"/>
        </w:rPr>
      </w:pPr>
      <w:r>
        <w:rPr>
          <w:rFonts w:hint="eastAsia" w:ascii="宋体" w:hAnsi="宋体"/>
          <w:color w:val="auto"/>
          <w:szCs w:val="21"/>
        </w:rPr>
        <w:t>甲方的《招标文件》、乙方的《投标文件》及其澄清文件、中标通知书均为本合同不可分割部分。</w:t>
      </w:r>
    </w:p>
    <w:p w14:paraId="10F46E87">
      <w:pPr>
        <w:spacing w:afterLines="50" w:line="400" w:lineRule="exact"/>
        <w:rPr>
          <w:rFonts w:ascii="宋体" w:hAnsi="宋体"/>
          <w:b/>
          <w:color w:val="auto"/>
          <w:szCs w:val="21"/>
        </w:rPr>
      </w:pPr>
      <w:r>
        <w:rPr>
          <w:rFonts w:hint="eastAsia" w:ascii="宋体" w:hAnsi="宋体"/>
          <w:b/>
          <w:color w:val="auto"/>
          <w:szCs w:val="21"/>
        </w:rPr>
        <w:t>第一条   货物名称、规格、数量及金额：</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94"/>
        <w:gridCol w:w="812"/>
        <w:gridCol w:w="813"/>
        <w:gridCol w:w="949"/>
        <w:gridCol w:w="949"/>
        <w:gridCol w:w="1545"/>
        <w:gridCol w:w="1093"/>
        <w:gridCol w:w="850"/>
        <w:gridCol w:w="800"/>
      </w:tblGrid>
      <w:tr w14:paraId="33B5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ADB8C0E">
            <w:pPr>
              <w:spacing w:line="400" w:lineRule="exact"/>
              <w:jc w:val="center"/>
              <w:rPr>
                <w:rFonts w:ascii="宋体" w:hAnsi="宋体"/>
                <w:color w:val="auto"/>
                <w:szCs w:val="21"/>
              </w:rPr>
            </w:pPr>
            <w:r>
              <w:rPr>
                <w:rFonts w:hint="eastAsia" w:ascii="宋体" w:hAnsi="宋体"/>
                <w:color w:val="auto"/>
                <w:szCs w:val="21"/>
              </w:rPr>
              <w:t>序号</w:t>
            </w:r>
          </w:p>
        </w:tc>
        <w:tc>
          <w:tcPr>
            <w:tcW w:w="1494" w:type="dxa"/>
            <w:tcBorders>
              <w:top w:val="single" w:color="auto" w:sz="4" w:space="0"/>
              <w:left w:val="single" w:color="auto" w:sz="4" w:space="0"/>
              <w:bottom w:val="single" w:color="auto" w:sz="4" w:space="0"/>
              <w:right w:val="single" w:color="auto" w:sz="4" w:space="0"/>
            </w:tcBorders>
            <w:vAlign w:val="center"/>
          </w:tcPr>
          <w:p w14:paraId="33211955">
            <w:pPr>
              <w:spacing w:line="400" w:lineRule="exact"/>
              <w:jc w:val="center"/>
              <w:rPr>
                <w:rFonts w:ascii="宋体" w:hAnsi="宋体"/>
                <w:color w:val="auto"/>
                <w:szCs w:val="21"/>
              </w:rPr>
            </w:pPr>
            <w:r>
              <w:rPr>
                <w:rFonts w:hint="eastAsia" w:ascii="宋体" w:hAnsi="宋体"/>
                <w:color w:val="auto"/>
                <w:szCs w:val="21"/>
              </w:rPr>
              <w:t>货物名称</w:t>
            </w:r>
          </w:p>
        </w:tc>
        <w:tc>
          <w:tcPr>
            <w:tcW w:w="812" w:type="dxa"/>
            <w:tcBorders>
              <w:top w:val="single" w:color="auto" w:sz="4" w:space="0"/>
              <w:left w:val="single" w:color="auto" w:sz="4" w:space="0"/>
              <w:bottom w:val="single" w:color="auto" w:sz="4" w:space="0"/>
              <w:right w:val="single" w:color="auto" w:sz="4" w:space="0"/>
            </w:tcBorders>
            <w:vAlign w:val="center"/>
          </w:tcPr>
          <w:p w14:paraId="62AE206C">
            <w:pPr>
              <w:spacing w:line="400" w:lineRule="exact"/>
              <w:jc w:val="center"/>
              <w:rPr>
                <w:rFonts w:ascii="宋体" w:hAnsi="宋体"/>
                <w:color w:val="auto"/>
                <w:szCs w:val="21"/>
              </w:rPr>
            </w:pPr>
            <w:r>
              <w:rPr>
                <w:rFonts w:hint="eastAsia" w:ascii="宋体" w:hAnsi="宋体"/>
                <w:color w:val="auto"/>
                <w:szCs w:val="21"/>
              </w:rPr>
              <w:t>产地品牌</w:t>
            </w:r>
          </w:p>
        </w:tc>
        <w:tc>
          <w:tcPr>
            <w:tcW w:w="813" w:type="dxa"/>
            <w:tcBorders>
              <w:top w:val="single" w:color="auto" w:sz="4" w:space="0"/>
              <w:left w:val="single" w:color="auto" w:sz="4" w:space="0"/>
              <w:bottom w:val="single" w:color="auto" w:sz="4" w:space="0"/>
              <w:right w:val="single" w:color="auto" w:sz="4" w:space="0"/>
            </w:tcBorders>
            <w:vAlign w:val="center"/>
          </w:tcPr>
          <w:p w14:paraId="68C7F1C3">
            <w:pPr>
              <w:spacing w:line="400" w:lineRule="exact"/>
              <w:jc w:val="center"/>
              <w:rPr>
                <w:rFonts w:ascii="宋体" w:hAnsi="宋体"/>
                <w:color w:val="auto"/>
                <w:szCs w:val="21"/>
              </w:rPr>
            </w:pPr>
            <w:r>
              <w:rPr>
                <w:rFonts w:hint="eastAsia" w:ascii="宋体" w:hAnsi="宋体"/>
                <w:color w:val="auto"/>
                <w:szCs w:val="21"/>
              </w:rPr>
              <w:t>规格型号</w:t>
            </w:r>
          </w:p>
        </w:tc>
        <w:tc>
          <w:tcPr>
            <w:tcW w:w="949" w:type="dxa"/>
            <w:tcBorders>
              <w:top w:val="single" w:color="auto" w:sz="4" w:space="0"/>
              <w:left w:val="single" w:color="auto" w:sz="4" w:space="0"/>
              <w:bottom w:val="single" w:color="auto" w:sz="4" w:space="0"/>
              <w:right w:val="single" w:color="auto" w:sz="4" w:space="0"/>
            </w:tcBorders>
            <w:vAlign w:val="center"/>
          </w:tcPr>
          <w:p w14:paraId="1523A94B">
            <w:pPr>
              <w:spacing w:line="400" w:lineRule="exact"/>
              <w:jc w:val="center"/>
              <w:rPr>
                <w:rFonts w:ascii="宋体" w:hAnsi="宋体"/>
                <w:color w:val="auto"/>
                <w:szCs w:val="21"/>
              </w:rPr>
            </w:pPr>
            <w:r>
              <w:rPr>
                <w:rFonts w:hint="eastAsia" w:ascii="宋体" w:hAnsi="宋体"/>
                <w:color w:val="auto"/>
                <w:szCs w:val="21"/>
              </w:rPr>
              <w:t>单位</w:t>
            </w:r>
          </w:p>
        </w:tc>
        <w:tc>
          <w:tcPr>
            <w:tcW w:w="949" w:type="dxa"/>
            <w:tcBorders>
              <w:top w:val="single" w:color="auto" w:sz="4" w:space="0"/>
              <w:left w:val="single" w:color="auto" w:sz="4" w:space="0"/>
              <w:bottom w:val="single" w:color="auto" w:sz="4" w:space="0"/>
              <w:right w:val="single" w:color="auto" w:sz="4" w:space="0"/>
            </w:tcBorders>
            <w:vAlign w:val="center"/>
          </w:tcPr>
          <w:p w14:paraId="00204733">
            <w:pPr>
              <w:spacing w:line="400" w:lineRule="exact"/>
              <w:jc w:val="center"/>
              <w:rPr>
                <w:rFonts w:ascii="宋体" w:hAnsi="宋体"/>
                <w:color w:val="auto"/>
                <w:szCs w:val="21"/>
              </w:rPr>
            </w:pPr>
            <w:r>
              <w:rPr>
                <w:rFonts w:hint="eastAsia" w:ascii="宋体" w:hAnsi="宋体"/>
                <w:color w:val="auto"/>
                <w:szCs w:val="21"/>
              </w:rPr>
              <w:t>数量</w:t>
            </w:r>
          </w:p>
        </w:tc>
        <w:tc>
          <w:tcPr>
            <w:tcW w:w="1545" w:type="dxa"/>
            <w:tcBorders>
              <w:top w:val="single" w:color="auto" w:sz="4" w:space="0"/>
              <w:left w:val="single" w:color="auto" w:sz="4" w:space="0"/>
              <w:bottom w:val="single" w:color="auto" w:sz="4" w:space="0"/>
              <w:right w:val="single" w:color="auto" w:sz="4" w:space="0"/>
            </w:tcBorders>
            <w:vAlign w:val="center"/>
          </w:tcPr>
          <w:p w14:paraId="3C58F6ED">
            <w:pPr>
              <w:spacing w:line="400" w:lineRule="exact"/>
              <w:jc w:val="center"/>
              <w:rPr>
                <w:rFonts w:ascii="宋体" w:hAnsi="宋体"/>
                <w:color w:val="auto"/>
                <w:szCs w:val="21"/>
              </w:rPr>
            </w:pPr>
            <w:r>
              <w:rPr>
                <w:rFonts w:hint="eastAsia" w:ascii="宋体" w:hAnsi="宋体"/>
                <w:color w:val="auto"/>
                <w:szCs w:val="21"/>
              </w:rPr>
              <w:t>交货期</w:t>
            </w:r>
          </w:p>
        </w:tc>
        <w:tc>
          <w:tcPr>
            <w:tcW w:w="1093" w:type="dxa"/>
            <w:tcBorders>
              <w:top w:val="single" w:color="auto" w:sz="4" w:space="0"/>
              <w:left w:val="single" w:color="auto" w:sz="4" w:space="0"/>
              <w:bottom w:val="single" w:color="auto" w:sz="4" w:space="0"/>
              <w:right w:val="single" w:color="auto" w:sz="4" w:space="0"/>
            </w:tcBorders>
            <w:vAlign w:val="center"/>
          </w:tcPr>
          <w:p w14:paraId="069BE953">
            <w:pPr>
              <w:spacing w:line="400" w:lineRule="exact"/>
              <w:jc w:val="center"/>
              <w:rPr>
                <w:rFonts w:ascii="宋体" w:hAnsi="宋体"/>
                <w:color w:val="auto"/>
                <w:szCs w:val="21"/>
              </w:rPr>
            </w:pPr>
            <w:r>
              <w:rPr>
                <w:rFonts w:hint="eastAsia" w:ascii="宋体" w:hAnsi="宋体"/>
                <w:color w:val="auto"/>
                <w:szCs w:val="21"/>
              </w:rPr>
              <w:t>综合单价</w:t>
            </w:r>
          </w:p>
        </w:tc>
        <w:tc>
          <w:tcPr>
            <w:tcW w:w="850" w:type="dxa"/>
            <w:tcBorders>
              <w:top w:val="single" w:color="auto" w:sz="4" w:space="0"/>
              <w:left w:val="single" w:color="auto" w:sz="4" w:space="0"/>
              <w:bottom w:val="single" w:color="auto" w:sz="4" w:space="0"/>
              <w:right w:val="single" w:color="auto" w:sz="4" w:space="0"/>
            </w:tcBorders>
            <w:vAlign w:val="center"/>
          </w:tcPr>
          <w:p w14:paraId="731DD9D5">
            <w:pPr>
              <w:spacing w:line="400" w:lineRule="exact"/>
              <w:jc w:val="center"/>
              <w:rPr>
                <w:rFonts w:ascii="宋体" w:hAnsi="宋体"/>
                <w:color w:val="auto"/>
                <w:szCs w:val="21"/>
              </w:rPr>
            </w:pPr>
            <w:r>
              <w:rPr>
                <w:rFonts w:hint="eastAsia" w:ascii="宋体" w:hAnsi="宋体"/>
                <w:color w:val="auto"/>
                <w:szCs w:val="21"/>
              </w:rPr>
              <w:t>总价</w:t>
            </w:r>
          </w:p>
        </w:tc>
        <w:tc>
          <w:tcPr>
            <w:tcW w:w="800" w:type="dxa"/>
            <w:tcBorders>
              <w:top w:val="single" w:color="auto" w:sz="4" w:space="0"/>
              <w:left w:val="single" w:color="auto" w:sz="4" w:space="0"/>
              <w:bottom w:val="single" w:color="auto" w:sz="4" w:space="0"/>
              <w:right w:val="single" w:color="auto" w:sz="4" w:space="0"/>
            </w:tcBorders>
            <w:vAlign w:val="center"/>
          </w:tcPr>
          <w:p w14:paraId="209E5667">
            <w:pPr>
              <w:spacing w:line="400" w:lineRule="exact"/>
              <w:jc w:val="center"/>
              <w:rPr>
                <w:rFonts w:ascii="宋体" w:hAnsi="宋体"/>
                <w:color w:val="auto"/>
                <w:szCs w:val="21"/>
              </w:rPr>
            </w:pPr>
            <w:r>
              <w:rPr>
                <w:rFonts w:hint="eastAsia" w:ascii="宋体" w:hAnsi="宋体"/>
                <w:color w:val="auto"/>
                <w:szCs w:val="21"/>
              </w:rPr>
              <w:t>备注</w:t>
            </w:r>
          </w:p>
        </w:tc>
      </w:tr>
      <w:tr w14:paraId="2AB3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728FEA1">
            <w:pPr>
              <w:spacing w:line="400" w:lineRule="exact"/>
              <w:jc w:val="center"/>
              <w:rPr>
                <w:rFonts w:ascii="宋体" w:hAnsi="宋体"/>
                <w:color w:val="auto"/>
                <w:szCs w:val="21"/>
              </w:rPr>
            </w:pPr>
            <w:r>
              <w:rPr>
                <w:rFonts w:hint="eastAsia" w:ascii="宋体" w:hAnsi="宋体"/>
                <w:color w:val="auto"/>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2050F692">
            <w:pPr>
              <w:spacing w:line="400" w:lineRule="exact"/>
              <w:jc w:val="center"/>
              <w:rPr>
                <w:rFonts w:ascii="宋体" w:hAnsi="宋体"/>
                <w:color w:val="auto"/>
                <w:szCs w:val="21"/>
              </w:rPr>
            </w:pPr>
          </w:p>
        </w:tc>
        <w:tc>
          <w:tcPr>
            <w:tcW w:w="812" w:type="dxa"/>
            <w:tcBorders>
              <w:top w:val="single" w:color="auto" w:sz="4" w:space="0"/>
              <w:left w:val="single" w:color="auto" w:sz="4" w:space="0"/>
              <w:bottom w:val="single" w:color="auto" w:sz="4" w:space="0"/>
              <w:right w:val="single" w:color="auto" w:sz="4" w:space="0"/>
            </w:tcBorders>
            <w:vAlign w:val="center"/>
          </w:tcPr>
          <w:p w14:paraId="10DC7875">
            <w:pPr>
              <w:spacing w:line="400" w:lineRule="exact"/>
              <w:jc w:val="center"/>
              <w:rPr>
                <w:rFonts w:ascii="宋体" w:hAnsi="宋体"/>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14:paraId="2CD030C2">
            <w:pPr>
              <w:spacing w:line="400" w:lineRule="exact"/>
              <w:jc w:val="center"/>
              <w:rPr>
                <w:rFonts w:ascii="宋体" w:hAnsi="宋体"/>
                <w:color w:val="auto"/>
                <w:szCs w:val="21"/>
              </w:rPr>
            </w:pPr>
          </w:p>
        </w:tc>
        <w:tc>
          <w:tcPr>
            <w:tcW w:w="949" w:type="dxa"/>
            <w:tcBorders>
              <w:top w:val="single" w:color="auto" w:sz="4" w:space="0"/>
              <w:left w:val="single" w:color="auto" w:sz="4" w:space="0"/>
              <w:bottom w:val="single" w:color="auto" w:sz="4" w:space="0"/>
              <w:right w:val="single" w:color="auto" w:sz="4" w:space="0"/>
            </w:tcBorders>
            <w:vAlign w:val="center"/>
          </w:tcPr>
          <w:p w14:paraId="54512514">
            <w:pPr>
              <w:spacing w:line="400" w:lineRule="exact"/>
              <w:jc w:val="center"/>
              <w:rPr>
                <w:rFonts w:ascii="宋体" w:hAnsi="宋体"/>
                <w:color w:val="auto"/>
                <w:szCs w:val="21"/>
              </w:rPr>
            </w:pPr>
          </w:p>
        </w:tc>
        <w:tc>
          <w:tcPr>
            <w:tcW w:w="949" w:type="dxa"/>
            <w:tcBorders>
              <w:top w:val="single" w:color="auto" w:sz="4" w:space="0"/>
              <w:left w:val="single" w:color="auto" w:sz="4" w:space="0"/>
              <w:bottom w:val="single" w:color="auto" w:sz="4" w:space="0"/>
              <w:right w:val="single" w:color="auto" w:sz="4" w:space="0"/>
            </w:tcBorders>
            <w:vAlign w:val="center"/>
          </w:tcPr>
          <w:p w14:paraId="2072C05A">
            <w:pPr>
              <w:spacing w:line="400" w:lineRule="exact"/>
              <w:jc w:val="center"/>
              <w:rPr>
                <w:rFonts w:ascii="宋体" w:hAnsi="宋体"/>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129DF9F8">
            <w:pPr>
              <w:spacing w:line="400" w:lineRule="exact"/>
              <w:jc w:val="center"/>
              <w:rPr>
                <w:rFonts w:ascii="宋体" w:hAnsi="宋体"/>
                <w:color w:val="auto"/>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785F421D">
            <w:pPr>
              <w:spacing w:line="400" w:lineRule="exact"/>
              <w:jc w:val="center"/>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9A5D43">
            <w:pPr>
              <w:spacing w:line="400" w:lineRule="exact"/>
              <w:jc w:val="center"/>
              <w:rPr>
                <w:rFonts w:ascii="宋体" w:hAnsi="宋体"/>
                <w:color w:val="auto"/>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76F08D28">
            <w:pPr>
              <w:spacing w:line="400" w:lineRule="exact"/>
              <w:jc w:val="center"/>
              <w:rPr>
                <w:rFonts w:ascii="宋体" w:hAnsi="宋体"/>
                <w:color w:val="auto"/>
                <w:szCs w:val="21"/>
              </w:rPr>
            </w:pPr>
          </w:p>
        </w:tc>
      </w:tr>
      <w:tr w14:paraId="01DB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964" w:type="dxa"/>
            <w:gridSpan w:val="10"/>
            <w:tcBorders>
              <w:top w:val="single" w:color="auto" w:sz="4" w:space="0"/>
              <w:left w:val="single" w:color="auto" w:sz="4" w:space="0"/>
              <w:bottom w:val="single" w:color="auto" w:sz="4" w:space="0"/>
              <w:right w:val="single" w:color="auto" w:sz="4" w:space="0"/>
            </w:tcBorders>
          </w:tcPr>
          <w:p w14:paraId="03F11820">
            <w:pPr>
              <w:spacing w:line="400" w:lineRule="exact"/>
              <w:rPr>
                <w:rFonts w:ascii="宋体" w:hAnsi="宋体"/>
                <w:color w:val="auto"/>
                <w:szCs w:val="21"/>
              </w:rPr>
            </w:pPr>
            <w:r>
              <w:rPr>
                <w:rFonts w:hint="eastAsia" w:ascii="宋体" w:hAnsi="宋体"/>
                <w:color w:val="auto"/>
                <w:szCs w:val="21"/>
              </w:rPr>
              <w:t>合同总价（大写）：</w:t>
            </w:r>
          </w:p>
        </w:tc>
      </w:tr>
      <w:tr w14:paraId="44D7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64" w:type="dxa"/>
            <w:gridSpan w:val="10"/>
            <w:tcBorders>
              <w:top w:val="single" w:color="auto" w:sz="4" w:space="0"/>
              <w:left w:val="single" w:color="auto" w:sz="4" w:space="0"/>
              <w:bottom w:val="single" w:color="auto" w:sz="4" w:space="0"/>
              <w:right w:val="single" w:color="auto" w:sz="4" w:space="0"/>
            </w:tcBorders>
          </w:tcPr>
          <w:p w14:paraId="2A7D2E28">
            <w:pPr>
              <w:spacing w:line="400" w:lineRule="exact"/>
              <w:rPr>
                <w:rFonts w:ascii="宋体" w:hAnsi="宋体" w:cs="宋体"/>
                <w:color w:val="auto"/>
                <w:szCs w:val="21"/>
              </w:rPr>
            </w:pPr>
            <w:r>
              <w:rPr>
                <w:rFonts w:hint="eastAsia" w:ascii="宋体" w:hAnsi="宋体"/>
                <w:color w:val="auto"/>
                <w:szCs w:val="21"/>
              </w:rPr>
              <w:t>1、合同总价</w:t>
            </w:r>
            <w:r>
              <w:rPr>
                <w:rFonts w:hint="eastAsia" w:ascii="宋体" w:hAnsi="宋体" w:cs="宋体"/>
                <w:color w:val="auto"/>
                <w:szCs w:val="21"/>
              </w:rPr>
              <w:t>包括但不仅限于货物验收合格交付各使用学校前所发生的一切费用，如货物、备品备件及专用工具制造、供货、保险、税金、装卸、移交前保管、验收等交付使用前发生的所有工作，以及技术服务、质量保证期内售后服务等相关费用（包括材料、设备物价上涨因素）。</w:t>
            </w:r>
          </w:p>
          <w:p w14:paraId="51AB6C79">
            <w:pPr>
              <w:spacing w:line="400" w:lineRule="exact"/>
              <w:rPr>
                <w:rFonts w:ascii="宋体" w:hAnsi="宋体" w:cs="宋体"/>
                <w:color w:val="auto"/>
                <w:szCs w:val="21"/>
              </w:rPr>
            </w:pPr>
            <w:r>
              <w:rPr>
                <w:rFonts w:hint="eastAsia" w:ascii="宋体" w:hAnsi="宋体" w:cs="宋体"/>
                <w:color w:val="auto"/>
                <w:szCs w:val="21"/>
              </w:rPr>
              <w:t>2、本合同为固定单价，总价可调合同。固定单价为人民币   元/件，在合同履行期内不作变动。上表中的数量为暂定采购数量，甲方最终根据实际采购量以及固定单价与乙方按实结算费用，结算总额不超过本项目预算金额。</w:t>
            </w:r>
          </w:p>
        </w:tc>
      </w:tr>
    </w:tbl>
    <w:p w14:paraId="7FF7EFD5">
      <w:pPr>
        <w:spacing w:line="400" w:lineRule="exact"/>
        <w:rPr>
          <w:rFonts w:ascii="宋体" w:hAnsi="宋体"/>
          <w:b/>
          <w:color w:val="auto"/>
          <w:szCs w:val="21"/>
        </w:rPr>
      </w:pPr>
      <w:r>
        <w:rPr>
          <w:rFonts w:hint="eastAsia" w:ascii="宋体" w:hAnsi="宋体"/>
          <w:b/>
          <w:color w:val="auto"/>
          <w:szCs w:val="21"/>
        </w:rPr>
        <w:t xml:space="preserve">第二条   交货期：                                     </w:t>
      </w:r>
    </w:p>
    <w:p w14:paraId="097978AF">
      <w:pPr>
        <w:spacing w:line="400" w:lineRule="exact"/>
        <w:ind w:firstLine="420" w:firstLineChars="200"/>
        <w:rPr>
          <w:rFonts w:ascii="宋体" w:hAnsi="宋体"/>
          <w:color w:val="auto"/>
          <w:szCs w:val="21"/>
        </w:rPr>
      </w:pPr>
      <w:r>
        <w:rPr>
          <w:rFonts w:hint="eastAsia" w:ascii="宋体" w:hAnsi="宋体" w:cs="宋体"/>
          <w:color w:val="auto"/>
          <w:szCs w:val="21"/>
        </w:rPr>
        <w:t>接甲方通知后</w:t>
      </w:r>
      <w:r>
        <w:rPr>
          <w:rFonts w:hint="eastAsia" w:ascii="宋体" w:hAnsi="宋体" w:cs="宋体"/>
          <w:color w:val="auto"/>
          <w:szCs w:val="21"/>
          <w:u w:val="single"/>
        </w:rPr>
        <w:t xml:space="preserve">  </w:t>
      </w:r>
      <w:r>
        <w:rPr>
          <w:rFonts w:hint="eastAsia" w:ascii="宋体" w:hAnsi="宋体" w:cs="宋体"/>
          <w:color w:val="auto"/>
          <w:szCs w:val="21"/>
        </w:rPr>
        <w:t>天内交付并通过各使用学校验收。</w:t>
      </w:r>
    </w:p>
    <w:p w14:paraId="2AFAE476">
      <w:pPr>
        <w:spacing w:line="400" w:lineRule="exact"/>
        <w:rPr>
          <w:rFonts w:ascii="宋体" w:hAnsi="宋体"/>
          <w:b/>
          <w:color w:val="auto"/>
          <w:szCs w:val="21"/>
        </w:rPr>
      </w:pPr>
      <w:r>
        <w:rPr>
          <w:rFonts w:hint="eastAsia" w:ascii="宋体" w:hAnsi="宋体"/>
          <w:b/>
          <w:color w:val="auto"/>
          <w:szCs w:val="21"/>
        </w:rPr>
        <w:t>第三条   交货地点</w:t>
      </w:r>
    </w:p>
    <w:p w14:paraId="01F7B052">
      <w:pPr>
        <w:spacing w:line="400" w:lineRule="exact"/>
        <w:ind w:firstLine="420" w:firstLineChars="200"/>
        <w:rPr>
          <w:rFonts w:ascii="宋体" w:hAnsi="宋体"/>
          <w:color w:val="auto"/>
          <w:szCs w:val="21"/>
        </w:rPr>
      </w:pPr>
      <w:r>
        <w:rPr>
          <w:rFonts w:hint="eastAsia" w:ascii="宋体" w:hAnsi="宋体"/>
          <w:color w:val="auto"/>
          <w:szCs w:val="21"/>
        </w:rPr>
        <w:t>甲方指定地点。</w:t>
      </w:r>
    </w:p>
    <w:p w14:paraId="7D7F21F5">
      <w:pPr>
        <w:spacing w:line="400" w:lineRule="exact"/>
        <w:rPr>
          <w:rFonts w:ascii="宋体" w:hAnsi="宋体"/>
          <w:b/>
          <w:color w:val="auto"/>
          <w:szCs w:val="21"/>
        </w:rPr>
      </w:pPr>
      <w:r>
        <w:rPr>
          <w:rFonts w:hint="eastAsia" w:ascii="宋体" w:hAnsi="宋体"/>
          <w:b/>
          <w:color w:val="auto"/>
          <w:szCs w:val="21"/>
        </w:rPr>
        <w:t>第四条   质量要求</w:t>
      </w:r>
    </w:p>
    <w:p w14:paraId="16FEF451">
      <w:pPr>
        <w:spacing w:line="400" w:lineRule="exact"/>
        <w:ind w:firstLine="420" w:firstLineChars="200"/>
        <w:rPr>
          <w:rFonts w:ascii="宋体" w:hAnsi="宋体"/>
          <w:color w:val="auto"/>
          <w:szCs w:val="21"/>
        </w:rPr>
      </w:pPr>
      <w:r>
        <w:rPr>
          <w:rFonts w:hint="eastAsia" w:ascii="宋体" w:hAnsi="宋体"/>
          <w:color w:val="auto"/>
          <w:szCs w:val="21"/>
        </w:rPr>
        <w:t>质量要求：一次性验收合格。</w:t>
      </w:r>
    </w:p>
    <w:p w14:paraId="39E02A00">
      <w:pPr>
        <w:spacing w:line="400" w:lineRule="exact"/>
        <w:rPr>
          <w:rFonts w:ascii="宋体" w:hAnsi="宋体"/>
          <w:b/>
          <w:color w:val="auto"/>
          <w:szCs w:val="21"/>
        </w:rPr>
      </w:pPr>
      <w:r>
        <w:rPr>
          <w:rFonts w:hint="eastAsia" w:ascii="宋体" w:hAnsi="宋体"/>
          <w:b/>
          <w:color w:val="auto"/>
          <w:szCs w:val="21"/>
        </w:rPr>
        <w:t>第五条   履约保证金</w:t>
      </w:r>
    </w:p>
    <w:p w14:paraId="070740CA">
      <w:pPr>
        <w:spacing w:line="400" w:lineRule="exact"/>
        <w:ind w:firstLine="420" w:firstLineChars="200"/>
        <w:rPr>
          <w:rFonts w:ascii="宋体" w:hAnsi="宋体"/>
          <w:color w:val="auto"/>
          <w:szCs w:val="21"/>
        </w:rPr>
      </w:pPr>
      <w:r>
        <w:rPr>
          <w:rFonts w:hint="eastAsia" w:ascii="宋体" w:hAnsi="宋体"/>
          <w:color w:val="auto"/>
          <w:szCs w:val="21"/>
        </w:rPr>
        <w:t>本合同不适用。</w:t>
      </w:r>
    </w:p>
    <w:p w14:paraId="3EE9B142">
      <w:pPr>
        <w:spacing w:line="400" w:lineRule="exact"/>
        <w:rPr>
          <w:rFonts w:ascii="宋体" w:hAnsi="宋体"/>
          <w:b/>
          <w:color w:val="auto"/>
          <w:szCs w:val="21"/>
        </w:rPr>
      </w:pPr>
      <w:r>
        <w:rPr>
          <w:rFonts w:hint="eastAsia" w:ascii="宋体" w:hAnsi="宋体"/>
          <w:b/>
          <w:color w:val="auto"/>
          <w:szCs w:val="21"/>
        </w:rPr>
        <w:t>第六条   付款方式</w:t>
      </w:r>
    </w:p>
    <w:p w14:paraId="1EA6C2F8">
      <w:pPr>
        <w:spacing w:line="400" w:lineRule="exact"/>
        <w:ind w:firstLine="420" w:firstLineChars="200"/>
        <w:rPr>
          <w:rFonts w:ascii="宋体" w:hAnsi="宋体"/>
          <w:color w:val="auto"/>
          <w:szCs w:val="21"/>
        </w:rPr>
      </w:pPr>
      <w:r>
        <w:rPr>
          <w:rFonts w:hint="eastAsia" w:ascii="宋体" w:hAnsi="宋体"/>
          <w:color w:val="auto"/>
          <w:szCs w:val="21"/>
        </w:rPr>
        <w:t>1、合同生效及具备实施条件后7个工作日内，甲方预付给乙方合同总价的40%作为预付款，乙方在签订合同时，表示无需预付款或主动要求降低预付款比例的，可不适用本条款。需要支付预付款的情况下，乙方需提交银行、保险公司等金融机构出具的预付款保函或其他担保措施。</w:t>
      </w:r>
    </w:p>
    <w:p w14:paraId="15611CC8">
      <w:pPr>
        <w:spacing w:line="400" w:lineRule="exact"/>
        <w:ind w:firstLine="420" w:firstLineChars="200"/>
        <w:rPr>
          <w:rFonts w:ascii="宋体" w:hAnsi="宋体"/>
          <w:color w:val="auto"/>
          <w:szCs w:val="21"/>
        </w:rPr>
      </w:pPr>
      <w:r>
        <w:rPr>
          <w:rFonts w:hint="eastAsia" w:ascii="宋体" w:hAnsi="宋体"/>
          <w:color w:val="auto"/>
          <w:szCs w:val="21"/>
        </w:rPr>
        <w:t>2、所有货物交付完毕并通过各使用学校验收后7个工作日内，甲方按实际采购数量支付至实际结算金额的100%。</w:t>
      </w:r>
    </w:p>
    <w:p w14:paraId="6A88D9C3">
      <w:pPr>
        <w:spacing w:line="400" w:lineRule="exact"/>
        <w:ind w:firstLine="420" w:firstLineChars="200"/>
        <w:rPr>
          <w:rFonts w:ascii="宋体" w:hAnsi="宋体"/>
          <w:color w:val="auto"/>
          <w:szCs w:val="21"/>
        </w:rPr>
      </w:pPr>
      <w:r>
        <w:rPr>
          <w:rFonts w:hint="eastAsia" w:ascii="宋体" w:hAnsi="宋体"/>
          <w:color w:val="auto"/>
          <w:szCs w:val="21"/>
        </w:rPr>
        <w:t>3、甲方支付费用前，乙方须提供正规税务发票，否则甲方有权不予支付。</w:t>
      </w:r>
    </w:p>
    <w:p w14:paraId="7D3B5F64">
      <w:pPr>
        <w:spacing w:line="400" w:lineRule="exact"/>
        <w:rPr>
          <w:rFonts w:ascii="宋体" w:hAnsi="宋体"/>
          <w:b/>
          <w:color w:val="auto"/>
          <w:szCs w:val="21"/>
        </w:rPr>
      </w:pPr>
      <w:r>
        <w:rPr>
          <w:rFonts w:hint="eastAsia" w:ascii="宋体" w:hAnsi="宋体"/>
          <w:b/>
          <w:color w:val="auto"/>
          <w:szCs w:val="21"/>
        </w:rPr>
        <w:t>第七条   税费及保险</w:t>
      </w:r>
    </w:p>
    <w:p w14:paraId="3C965F15">
      <w:pPr>
        <w:spacing w:line="400" w:lineRule="exact"/>
        <w:ind w:firstLine="420" w:firstLineChars="200"/>
        <w:rPr>
          <w:rFonts w:ascii="宋体" w:hAnsi="宋体"/>
          <w:color w:val="auto"/>
          <w:szCs w:val="21"/>
        </w:rPr>
      </w:pPr>
      <w:r>
        <w:rPr>
          <w:rFonts w:hint="eastAsia" w:ascii="宋体" w:hAnsi="宋体"/>
          <w:color w:val="auto"/>
          <w:szCs w:val="21"/>
        </w:rPr>
        <w:t>1、中国政府根据现行税法所征收的销售商品产生的一切税费由乙方支付。</w:t>
      </w:r>
    </w:p>
    <w:p w14:paraId="088EFD88">
      <w:pPr>
        <w:spacing w:line="400" w:lineRule="exact"/>
        <w:ind w:firstLine="420" w:firstLineChars="200"/>
        <w:rPr>
          <w:rFonts w:ascii="宋体" w:hAnsi="宋体"/>
          <w:color w:val="auto"/>
          <w:szCs w:val="21"/>
        </w:rPr>
      </w:pPr>
      <w:r>
        <w:rPr>
          <w:rFonts w:hint="eastAsia" w:ascii="宋体" w:hAnsi="宋体"/>
          <w:color w:val="auto"/>
          <w:szCs w:val="21"/>
        </w:rPr>
        <w:t>2、中国政府根据现行税法向乙方征收的与履行本合同有关的一切税费由乙方支付。</w:t>
      </w:r>
    </w:p>
    <w:p w14:paraId="28F3B34C">
      <w:pPr>
        <w:spacing w:line="400" w:lineRule="exact"/>
        <w:ind w:firstLine="420" w:firstLineChars="200"/>
        <w:rPr>
          <w:rFonts w:ascii="宋体" w:hAnsi="宋体"/>
          <w:color w:val="auto"/>
          <w:szCs w:val="21"/>
        </w:rPr>
      </w:pPr>
      <w:r>
        <w:rPr>
          <w:rFonts w:hint="eastAsia" w:ascii="宋体" w:hAnsi="宋体"/>
          <w:color w:val="auto"/>
          <w:szCs w:val="21"/>
        </w:rPr>
        <w:t>3、货物装运后乙方办理保险，其费用及运输风险由乙方承担。</w:t>
      </w:r>
    </w:p>
    <w:p w14:paraId="1D0EB4D7">
      <w:pPr>
        <w:spacing w:line="400" w:lineRule="exact"/>
        <w:rPr>
          <w:rFonts w:ascii="宋体" w:hAnsi="宋体"/>
          <w:b/>
          <w:color w:val="auto"/>
          <w:szCs w:val="21"/>
        </w:rPr>
      </w:pPr>
      <w:r>
        <w:rPr>
          <w:rFonts w:hint="eastAsia" w:ascii="宋体" w:hAnsi="宋体"/>
          <w:b/>
          <w:color w:val="auto"/>
          <w:szCs w:val="21"/>
        </w:rPr>
        <w:t>第八条   质量保证</w:t>
      </w:r>
    </w:p>
    <w:p w14:paraId="2B9E19A4">
      <w:pPr>
        <w:spacing w:line="400" w:lineRule="exact"/>
        <w:ind w:firstLine="420" w:firstLineChars="200"/>
        <w:rPr>
          <w:rFonts w:ascii="宋体" w:hAnsi="宋体"/>
          <w:color w:val="auto"/>
          <w:szCs w:val="21"/>
        </w:rPr>
      </w:pPr>
      <w:r>
        <w:rPr>
          <w:rFonts w:hint="eastAsia" w:ascii="宋体" w:hAnsi="宋体"/>
          <w:color w:val="auto"/>
          <w:szCs w:val="21"/>
        </w:rPr>
        <w:t>1、乙方保证所供的产品是全新的、未使用过的且符合国家技术规格、质量标准和环保标准的出厂原装合格产品；如发生所供产品与技术要求不符，甲方或使用单位有权拒收或退货，由此产生的一切责任和后果由乙方承担。</w:t>
      </w:r>
    </w:p>
    <w:p w14:paraId="546C7C9B">
      <w:pPr>
        <w:spacing w:line="400" w:lineRule="exact"/>
        <w:ind w:firstLine="420" w:firstLineChars="200"/>
        <w:rPr>
          <w:rFonts w:ascii="宋体" w:hAnsi="宋体"/>
          <w:color w:val="auto"/>
          <w:szCs w:val="21"/>
        </w:rPr>
      </w:pPr>
      <w:r>
        <w:rPr>
          <w:rFonts w:hint="eastAsia" w:ascii="宋体" w:hAnsi="宋体"/>
          <w:color w:val="auto"/>
          <w:szCs w:val="21"/>
        </w:rPr>
        <w:t>2、乙方保证采用先进的技术、优质的材料和零部件、一流的工艺、严格的质量管理为甲方提供技术先进、质量上乘、外表美观并完全符合合同规定的质量、规格、性能要求的产品。</w:t>
      </w:r>
    </w:p>
    <w:p w14:paraId="175AED6A">
      <w:pPr>
        <w:spacing w:line="400" w:lineRule="exact"/>
        <w:ind w:firstLine="420" w:firstLineChars="200"/>
        <w:rPr>
          <w:rFonts w:ascii="宋体" w:hAnsi="宋体"/>
          <w:color w:val="auto"/>
          <w:szCs w:val="21"/>
        </w:rPr>
      </w:pPr>
      <w:r>
        <w:rPr>
          <w:rFonts w:hint="eastAsia" w:ascii="宋体" w:hAnsi="宋体"/>
          <w:color w:val="auto"/>
          <w:szCs w:val="21"/>
        </w:rPr>
        <w:t>3、乙方保证对所供货物的设计、采购、制造、检验、涂装、包装、调试等各个环节进行严格的质量管理和质量控制。</w:t>
      </w:r>
    </w:p>
    <w:p w14:paraId="6B446902">
      <w:pPr>
        <w:spacing w:line="400" w:lineRule="exact"/>
        <w:ind w:firstLine="420" w:firstLineChars="200"/>
        <w:rPr>
          <w:rFonts w:ascii="宋体" w:hAnsi="宋体"/>
          <w:color w:val="auto"/>
          <w:szCs w:val="21"/>
        </w:rPr>
      </w:pPr>
      <w:r>
        <w:rPr>
          <w:rFonts w:hint="eastAsia" w:ascii="宋体" w:hAnsi="宋体"/>
          <w:color w:val="auto"/>
          <w:szCs w:val="21"/>
        </w:rPr>
        <w:t>4、乙方保证所提供的产品在正确供货、正常使用和维护保养的情况下，具有使甲方满意的使用性能和使用寿命。</w:t>
      </w:r>
    </w:p>
    <w:p w14:paraId="7D00310E">
      <w:pPr>
        <w:spacing w:line="400" w:lineRule="exact"/>
        <w:ind w:firstLine="420" w:firstLineChars="200"/>
        <w:rPr>
          <w:rFonts w:ascii="宋体" w:hAnsi="宋体"/>
          <w:color w:val="auto"/>
          <w:szCs w:val="21"/>
        </w:rPr>
      </w:pPr>
      <w:r>
        <w:rPr>
          <w:rFonts w:hint="eastAsia" w:ascii="宋体" w:hAnsi="宋体"/>
          <w:color w:val="auto"/>
          <w:szCs w:val="21"/>
        </w:rPr>
        <w:t>5、本合同项下产品的质量保证（简称“质保”）期为验收合格交付使用起</w:t>
      </w:r>
      <w:r>
        <w:rPr>
          <w:rFonts w:hint="eastAsia" w:ascii="宋体" w:hAnsi="宋体"/>
          <w:color w:val="auto"/>
          <w:szCs w:val="21"/>
          <w:u w:val="single"/>
        </w:rPr>
        <w:t xml:space="preserve">   </w:t>
      </w:r>
      <w:r>
        <w:rPr>
          <w:rFonts w:hint="eastAsia" w:ascii="宋体" w:hAnsi="宋体"/>
          <w:color w:val="auto"/>
          <w:szCs w:val="21"/>
        </w:rPr>
        <w:t>年，质保期内若出现质量问题，乙方免费维修或更换。质保期满后提供货物终身维修（所发生费用的只收取材料成本费，不再收取其它费用）。</w:t>
      </w:r>
    </w:p>
    <w:p w14:paraId="347FFA3B">
      <w:pPr>
        <w:spacing w:line="400" w:lineRule="exact"/>
        <w:rPr>
          <w:rFonts w:ascii="宋体" w:hAnsi="宋体"/>
          <w:b/>
          <w:color w:val="auto"/>
          <w:szCs w:val="21"/>
        </w:rPr>
      </w:pPr>
      <w:r>
        <w:rPr>
          <w:rFonts w:hint="eastAsia" w:ascii="宋体" w:hAnsi="宋体"/>
          <w:b/>
          <w:color w:val="auto"/>
          <w:szCs w:val="21"/>
        </w:rPr>
        <w:t>第九条   检验</w:t>
      </w:r>
    </w:p>
    <w:p w14:paraId="10A87A30">
      <w:pPr>
        <w:spacing w:line="400" w:lineRule="exact"/>
        <w:ind w:firstLine="405"/>
        <w:rPr>
          <w:rFonts w:ascii="宋体" w:hAnsi="宋体"/>
          <w:color w:val="auto"/>
          <w:szCs w:val="21"/>
        </w:rPr>
      </w:pPr>
      <w:r>
        <w:rPr>
          <w:rFonts w:hint="eastAsia" w:ascii="宋体" w:hAnsi="宋体"/>
          <w:color w:val="auto"/>
          <w:szCs w:val="21"/>
        </w:rPr>
        <w:t>1、在生产期间，甲方有权派人员到生产现场跟踪检查，乙方不得以任何理由拒绝，并需提供配合。对于生产过程中发现的质量缺陷，需及时处理，否则因此造成对甲方产生一切损失，由乙方承担。</w:t>
      </w:r>
    </w:p>
    <w:p w14:paraId="65C71AFD">
      <w:pPr>
        <w:spacing w:line="400" w:lineRule="exact"/>
        <w:ind w:firstLine="420"/>
        <w:rPr>
          <w:rFonts w:ascii="宋体" w:hAnsi="宋体"/>
          <w:color w:val="auto"/>
          <w:szCs w:val="21"/>
        </w:rPr>
      </w:pPr>
      <w:r>
        <w:rPr>
          <w:rFonts w:hint="eastAsia" w:ascii="宋体" w:hAnsi="宋体"/>
          <w:color w:val="auto"/>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7C7485D3">
      <w:pPr>
        <w:spacing w:line="400" w:lineRule="exact"/>
        <w:rPr>
          <w:rFonts w:ascii="宋体" w:hAnsi="宋体"/>
          <w:b/>
          <w:color w:val="auto"/>
          <w:szCs w:val="21"/>
        </w:rPr>
      </w:pPr>
      <w:r>
        <w:rPr>
          <w:rFonts w:hint="eastAsia" w:ascii="宋体" w:hAnsi="宋体"/>
          <w:b/>
          <w:color w:val="auto"/>
          <w:szCs w:val="21"/>
        </w:rPr>
        <w:t>第十条   合同双方的责任及义务</w:t>
      </w:r>
    </w:p>
    <w:p w14:paraId="0A645911">
      <w:pPr>
        <w:spacing w:line="400" w:lineRule="exact"/>
        <w:ind w:firstLine="420" w:firstLineChars="200"/>
        <w:rPr>
          <w:rFonts w:ascii="宋体" w:hAnsi="宋体"/>
          <w:color w:val="auto"/>
          <w:szCs w:val="21"/>
        </w:rPr>
      </w:pPr>
      <w:bookmarkStart w:id="42" w:name="_Toc253043115"/>
      <w:bookmarkStart w:id="43" w:name="_Toc81103164"/>
      <w:bookmarkStart w:id="44" w:name="_Toc215887379"/>
      <w:r>
        <w:rPr>
          <w:rFonts w:hint="eastAsia" w:ascii="宋体" w:hAnsi="宋体"/>
          <w:color w:val="auto"/>
          <w:szCs w:val="21"/>
        </w:rPr>
        <w:t>1、甲方的责任和义务</w:t>
      </w:r>
      <w:bookmarkEnd w:id="42"/>
      <w:bookmarkEnd w:id="43"/>
      <w:bookmarkEnd w:id="44"/>
      <w:r>
        <w:rPr>
          <w:rFonts w:hint="eastAsia" w:ascii="宋体" w:hAnsi="宋体"/>
          <w:color w:val="auto"/>
          <w:szCs w:val="21"/>
        </w:rPr>
        <w:t>：</w:t>
      </w:r>
    </w:p>
    <w:p w14:paraId="2C94CDCD">
      <w:pPr>
        <w:spacing w:line="400" w:lineRule="exact"/>
        <w:ind w:firstLine="420" w:firstLineChars="200"/>
        <w:rPr>
          <w:rFonts w:ascii="宋体" w:hAnsi="宋体"/>
          <w:color w:val="auto"/>
          <w:szCs w:val="21"/>
        </w:rPr>
      </w:pPr>
      <w:r>
        <w:rPr>
          <w:rFonts w:hint="eastAsia" w:ascii="宋体" w:hAnsi="宋体"/>
          <w:color w:val="auto"/>
          <w:szCs w:val="21"/>
        </w:rPr>
        <w:t>1.1 严格履行合同，检查落实合同履约情况，并及时处理合同履行中存在或发现的问题。</w:t>
      </w:r>
    </w:p>
    <w:p w14:paraId="1BCF946C">
      <w:pPr>
        <w:spacing w:line="400" w:lineRule="exact"/>
        <w:ind w:firstLine="420" w:firstLineChars="200"/>
        <w:rPr>
          <w:rFonts w:ascii="宋体" w:hAnsi="宋体"/>
          <w:color w:val="auto"/>
          <w:szCs w:val="21"/>
        </w:rPr>
      </w:pPr>
      <w:r>
        <w:rPr>
          <w:rFonts w:hint="eastAsia" w:ascii="宋体" w:hAnsi="宋体"/>
          <w:color w:val="auto"/>
          <w:szCs w:val="21"/>
        </w:rPr>
        <w:t>1.2 甲方应及时按合同约定的时间与乙方结算并支付货款。</w:t>
      </w:r>
    </w:p>
    <w:p w14:paraId="5B8139B3">
      <w:pPr>
        <w:spacing w:line="400" w:lineRule="exact"/>
        <w:ind w:firstLine="420" w:firstLineChars="200"/>
        <w:rPr>
          <w:rFonts w:ascii="宋体" w:hAnsi="宋体"/>
          <w:color w:val="auto"/>
          <w:szCs w:val="21"/>
        </w:rPr>
      </w:pPr>
      <w:r>
        <w:rPr>
          <w:rFonts w:hint="eastAsia" w:ascii="宋体" w:hAnsi="宋体"/>
          <w:color w:val="auto"/>
          <w:szCs w:val="21"/>
        </w:rPr>
        <w:t>1.3 甲方有以下权利：</w:t>
      </w:r>
    </w:p>
    <w:p w14:paraId="59DBFA8E">
      <w:pPr>
        <w:spacing w:line="400" w:lineRule="exact"/>
        <w:ind w:firstLine="420" w:firstLineChars="200"/>
        <w:rPr>
          <w:rFonts w:ascii="宋体" w:hAnsi="宋体"/>
          <w:color w:val="auto"/>
          <w:szCs w:val="21"/>
        </w:rPr>
      </w:pPr>
      <w:r>
        <w:rPr>
          <w:rFonts w:hint="eastAsia" w:ascii="宋体" w:hAnsi="宋体"/>
          <w:color w:val="auto"/>
          <w:szCs w:val="21"/>
        </w:rPr>
        <w:t>（1）对货物的制造、运输、装卸、调试、检测、验收等合同履约有关的交货期、质量检验和验收、合同结算等签字认可或不认可或发出其它有关指令；</w:t>
      </w:r>
    </w:p>
    <w:p w14:paraId="59A8071A">
      <w:pPr>
        <w:spacing w:line="400" w:lineRule="exact"/>
        <w:ind w:firstLine="420" w:firstLineChars="200"/>
        <w:rPr>
          <w:rFonts w:ascii="宋体" w:hAnsi="宋体"/>
          <w:color w:val="auto"/>
          <w:szCs w:val="21"/>
        </w:rPr>
      </w:pPr>
      <w:r>
        <w:rPr>
          <w:rFonts w:hint="eastAsia" w:ascii="宋体" w:hAnsi="宋体"/>
          <w:color w:val="auto"/>
          <w:szCs w:val="21"/>
        </w:rPr>
        <w:t>（2）审查、接收乙方提交的资料；</w:t>
      </w:r>
    </w:p>
    <w:p w14:paraId="7F6AD25C">
      <w:pPr>
        <w:spacing w:line="400" w:lineRule="exact"/>
        <w:ind w:firstLine="420" w:firstLineChars="200"/>
        <w:rPr>
          <w:rFonts w:ascii="宋体" w:hAnsi="宋体"/>
          <w:color w:val="auto"/>
          <w:szCs w:val="21"/>
        </w:rPr>
      </w:pPr>
      <w:r>
        <w:rPr>
          <w:rFonts w:hint="eastAsia" w:ascii="宋体" w:hAnsi="宋体"/>
          <w:color w:val="auto"/>
          <w:szCs w:val="21"/>
        </w:rPr>
        <w:t>（3）变更的审核、确认。</w:t>
      </w:r>
    </w:p>
    <w:p w14:paraId="7CF63959">
      <w:pPr>
        <w:spacing w:line="400" w:lineRule="exact"/>
        <w:ind w:firstLine="420" w:firstLineChars="200"/>
        <w:rPr>
          <w:rFonts w:ascii="宋体" w:hAnsi="宋体"/>
          <w:color w:val="auto"/>
          <w:szCs w:val="21"/>
        </w:rPr>
      </w:pPr>
      <w:bookmarkStart w:id="45" w:name="_Toc81103165"/>
      <w:bookmarkStart w:id="46" w:name="_Toc215887380"/>
      <w:bookmarkStart w:id="47" w:name="_Toc253043116"/>
      <w:r>
        <w:rPr>
          <w:rFonts w:hint="eastAsia" w:ascii="宋体" w:hAnsi="宋体"/>
          <w:color w:val="auto"/>
          <w:szCs w:val="21"/>
        </w:rPr>
        <w:t>2、乙方的责任和义务</w:t>
      </w:r>
      <w:bookmarkEnd w:id="45"/>
      <w:bookmarkEnd w:id="46"/>
      <w:bookmarkEnd w:id="47"/>
      <w:r>
        <w:rPr>
          <w:rFonts w:hint="eastAsia" w:ascii="宋体" w:hAnsi="宋体"/>
          <w:color w:val="auto"/>
          <w:szCs w:val="21"/>
        </w:rPr>
        <w:t>：</w:t>
      </w:r>
    </w:p>
    <w:p w14:paraId="082BB928">
      <w:pPr>
        <w:spacing w:line="400" w:lineRule="exact"/>
        <w:ind w:firstLine="420" w:firstLineChars="200"/>
        <w:rPr>
          <w:rFonts w:ascii="宋体" w:hAnsi="宋体"/>
          <w:color w:val="auto"/>
          <w:szCs w:val="21"/>
        </w:rPr>
      </w:pPr>
      <w:r>
        <w:rPr>
          <w:rFonts w:hint="eastAsia" w:ascii="宋体" w:hAnsi="宋体"/>
          <w:color w:val="auto"/>
          <w:szCs w:val="21"/>
        </w:rPr>
        <w:t>2.1乙方应根据合同的规定，完成货物的制造、运输、装卸、调试、保险、检测、验收等交付使用前发生的所有工作。</w:t>
      </w:r>
    </w:p>
    <w:p w14:paraId="57EE7EA1">
      <w:pPr>
        <w:spacing w:line="400" w:lineRule="exact"/>
        <w:ind w:firstLine="420" w:firstLineChars="200"/>
        <w:rPr>
          <w:rFonts w:ascii="宋体" w:hAnsi="宋体"/>
          <w:color w:val="auto"/>
          <w:szCs w:val="21"/>
        </w:rPr>
      </w:pPr>
      <w:r>
        <w:rPr>
          <w:rFonts w:hint="eastAsia" w:ascii="宋体" w:hAnsi="宋体"/>
          <w:color w:val="auto"/>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14:paraId="75959BE2">
      <w:pPr>
        <w:spacing w:line="400" w:lineRule="exact"/>
        <w:ind w:firstLine="420" w:firstLineChars="200"/>
        <w:rPr>
          <w:rFonts w:ascii="宋体" w:hAnsi="宋体"/>
          <w:color w:val="auto"/>
          <w:szCs w:val="21"/>
        </w:rPr>
      </w:pPr>
      <w:r>
        <w:rPr>
          <w:rFonts w:hint="eastAsia" w:ascii="宋体" w:hAnsi="宋体"/>
          <w:color w:val="auto"/>
          <w:szCs w:val="21"/>
        </w:rPr>
        <w:t>2.3 严格执行甲方根据合同规定发出的，涉及货物供货及服务的各项指令（无论这些事项在合同中写明与否）。</w:t>
      </w:r>
    </w:p>
    <w:p w14:paraId="13D1C8F7">
      <w:pPr>
        <w:spacing w:line="400" w:lineRule="exact"/>
        <w:ind w:firstLine="420" w:firstLineChars="200"/>
        <w:rPr>
          <w:rFonts w:ascii="宋体" w:hAnsi="宋体"/>
          <w:color w:val="auto"/>
          <w:szCs w:val="21"/>
        </w:rPr>
      </w:pPr>
      <w:r>
        <w:rPr>
          <w:rFonts w:hint="eastAsia" w:ascii="宋体" w:hAnsi="宋体"/>
          <w:color w:val="auto"/>
          <w:szCs w:val="21"/>
        </w:rPr>
        <w:t xml:space="preserve">2.4 乙方应对甲方提供的书面资料进行技术性评估，并将评估结果反馈甲方； </w:t>
      </w:r>
    </w:p>
    <w:p w14:paraId="245EEC92">
      <w:pPr>
        <w:spacing w:line="400" w:lineRule="exact"/>
        <w:ind w:firstLine="420" w:firstLineChars="200"/>
        <w:rPr>
          <w:rFonts w:ascii="宋体" w:hAnsi="宋体"/>
          <w:color w:val="auto"/>
          <w:szCs w:val="21"/>
        </w:rPr>
      </w:pPr>
      <w:r>
        <w:rPr>
          <w:rFonts w:hint="eastAsia" w:ascii="宋体" w:hAnsi="宋体"/>
          <w:color w:val="auto"/>
          <w:szCs w:val="21"/>
        </w:rPr>
        <w:t>2.5 保证按本合同有关规定和所附《售后服务承诺书》要求完成货物的供货、运输、调试、维保等工作。</w:t>
      </w:r>
    </w:p>
    <w:p w14:paraId="1E72BC64">
      <w:pPr>
        <w:spacing w:line="400" w:lineRule="exact"/>
        <w:ind w:firstLine="420" w:firstLineChars="200"/>
        <w:rPr>
          <w:rFonts w:ascii="宋体" w:hAnsi="宋体"/>
          <w:color w:val="auto"/>
          <w:szCs w:val="21"/>
        </w:rPr>
      </w:pPr>
      <w:r>
        <w:rPr>
          <w:rFonts w:hint="eastAsia" w:ascii="宋体" w:hAnsi="宋体"/>
          <w:color w:val="auto"/>
          <w:szCs w:val="21"/>
        </w:rPr>
        <w:t>2.6 如非甲方原因，乙方人员在建筑受到伤害或伤害到甲方或第三方人员；乙方在建筑财物遭到损坏/灭失，遭受到其他经济损失或者对甲方或第三方造成经济损失；乙方应承担全部责任。</w:t>
      </w:r>
      <w:bookmarkStart w:id="48" w:name="_Toc253043117"/>
      <w:bookmarkStart w:id="49" w:name="_Toc81103166"/>
      <w:bookmarkStart w:id="50" w:name="_Toc215887381"/>
    </w:p>
    <w:bookmarkEnd w:id="48"/>
    <w:bookmarkEnd w:id="49"/>
    <w:bookmarkEnd w:id="50"/>
    <w:p w14:paraId="14C39D8E">
      <w:pPr>
        <w:spacing w:line="400" w:lineRule="exact"/>
        <w:rPr>
          <w:rFonts w:ascii="宋体" w:hAnsi="宋体"/>
          <w:b/>
          <w:color w:val="auto"/>
          <w:szCs w:val="21"/>
        </w:rPr>
      </w:pPr>
      <w:bookmarkStart w:id="51" w:name="_Toc215887382"/>
      <w:bookmarkStart w:id="52" w:name="_Toc81103167"/>
      <w:bookmarkStart w:id="53" w:name="_Toc253043118"/>
      <w:r>
        <w:rPr>
          <w:rFonts w:hint="eastAsia" w:ascii="宋体" w:hAnsi="宋体"/>
          <w:b/>
          <w:color w:val="auto"/>
          <w:szCs w:val="21"/>
        </w:rPr>
        <w:t>第十一条   包装</w:t>
      </w:r>
      <w:bookmarkEnd w:id="51"/>
      <w:bookmarkEnd w:id="52"/>
      <w:bookmarkEnd w:id="53"/>
    </w:p>
    <w:p w14:paraId="04922F60">
      <w:pPr>
        <w:spacing w:line="400" w:lineRule="exact"/>
        <w:ind w:firstLine="420"/>
        <w:rPr>
          <w:rFonts w:ascii="宋体" w:hAnsi="宋体"/>
          <w:color w:val="auto"/>
          <w:szCs w:val="21"/>
        </w:rPr>
      </w:pPr>
      <w:r>
        <w:rPr>
          <w:rFonts w:hint="eastAsia" w:ascii="宋体" w:hAnsi="宋体"/>
          <w:color w:val="auto"/>
          <w:szCs w:val="21"/>
        </w:rPr>
        <w:t>1、乙方提供货物运至合同规定的最终目的地所需要的包装，并确保货物完好不受损坏。包装箱的尺寸及重量应考虑货物最终目的地的装卸设施的情况。</w:t>
      </w:r>
    </w:p>
    <w:p w14:paraId="56DCA104">
      <w:pPr>
        <w:spacing w:line="400" w:lineRule="exact"/>
        <w:rPr>
          <w:rFonts w:ascii="宋体" w:hAnsi="宋体"/>
          <w:b/>
          <w:color w:val="auto"/>
          <w:szCs w:val="21"/>
        </w:rPr>
      </w:pPr>
      <w:bookmarkStart w:id="54" w:name="_Toc253043119"/>
      <w:bookmarkStart w:id="55" w:name="_Toc215887383"/>
      <w:bookmarkStart w:id="56" w:name="_Toc81103168"/>
      <w:r>
        <w:rPr>
          <w:rFonts w:hint="eastAsia" w:ascii="宋体" w:hAnsi="宋体"/>
          <w:b/>
          <w:color w:val="auto"/>
          <w:szCs w:val="21"/>
        </w:rPr>
        <w:t>第十二条   运输</w:t>
      </w:r>
      <w:bookmarkEnd w:id="54"/>
      <w:bookmarkEnd w:id="55"/>
      <w:r>
        <w:rPr>
          <w:rFonts w:hint="eastAsia" w:ascii="宋体" w:hAnsi="宋体"/>
          <w:b/>
          <w:color w:val="auto"/>
          <w:szCs w:val="21"/>
        </w:rPr>
        <w:t>及装卸保险</w:t>
      </w:r>
    </w:p>
    <w:p w14:paraId="6CEE0E80">
      <w:pPr>
        <w:spacing w:line="400" w:lineRule="exact"/>
        <w:ind w:firstLine="420"/>
        <w:rPr>
          <w:rFonts w:ascii="宋体" w:hAnsi="宋体"/>
          <w:color w:val="auto"/>
          <w:szCs w:val="21"/>
        </w:rPr>
      </w:pPr>
      <w:r>
        <w:rPr>
          <w:rFonts w:hint="eastAsia" w:ascii="宋体" w:hAnsi="宋体"/>
          <w:color w:val="auto"/>
          <w:szCs w:val="21"/>
        </w:rPr>
        <w:t>1、乙方应选择有资质和良好信誉的保险公司对本合同项下的货物制作、运输、装卸、存放及交货过程进行投保，并用人民币提供保险金。</w:t>
      </w:r>
    </w:p>
    <w:p w14:paraId="4DD6B31F">
      <w:pPr>
        <w:spacing w:line="400" w:lineRule="exact"/>
        <w:ind w:firstLine="420"/>
        <w:rPr>
          <w:rFonts w:ascii="宋体" w:hAnsi="宋体"/>
          <w:color w:val="auto"/>
          <w:szCs w:val="21"/>
        </w:rPr>
      </w:pPr>
      <w:r>
        <w:rPr>
          <w:rFonts w:hint="eastAsia" w:ascii="宋体" w:hAnsi="宋体"/>
          <w:color w:val="auto"/>
          <w:szCs w:val="21"/>
        </w:rPr>
        <w:t>2、乙方保证在确认货物因装卸、运输中发生损坏或短缺后，尽快给予调换、修复和补齐缺件，不管其造成的原因如何，也不以办理索赔为由而拖延。</w:t>
      </w:r>
      <w:bookmarkEnd w:id="56"/>
    </w:p>
    <w:p w14:paraId="23F505A3">
      <w:pPr>
        <w:spacing w:line="400" w:lineRule="exact"/>
        <w:rPr>
          <w:rFonts w:ascii="宋体" w:hAnsi="宋体"/>
          <w:b/>
          <w:color w:val="auto"/>
          <w:szCs w:val="21"/>
        </w:rPr>
      </w:pPr>
      <w:r>
        <w:rPr>
          <w:rFonts w:hint="eastAsia" w:ascii="宋体" w:hAnsi="宋体"/>
          <w:b/>
          <w:color w:val="auto"/>
          <w:szCs w:val="21"/>
        </w:rPr>
        <w:t>第十三条   验收及交付</w:t>
      </w:r>
    </w:p>
    <w:p w14:paraId="79D74B37">
      <w:pPr>
        <w:spacing w:line="400" w:lineRule="exact"/>
        <w:ind w:firstLine="420" w:firstLineChars="200"/>
        <w:rPr>
          <w:rFonts w:ascii="宋体" w:hAnsi="宋体"/>
          <w:color w:val="auto"/>
          <w:szCs w:val="21"/>
        </w:rPr>
      </w:pPr>
      <w:r>
        <w:rPr>
          <w:rFonts w:hint="eastAsia" w:ascii="宋体" w:hAnsi="宋体"/>
          <w:color w:val="auto"/>
          <w:szCs w:val="21"/>
        </w:rPr>
        <w:t>1、货物到达现场并交付完成后，乙方应及时提供供货清单、合格证、材质报告、验收报告（包括产品的外观、数量、型号规格、技术性能等）等资料，报请各使用学校验收。乙方</w:t>
      </w:r>
      <w:bookmarkStart w:id="57" w:name="OLE_LINK28"/>
      <w:bookmarkStart w:id="58" w:name="OLE_LINK29"/>
      <w:r>
        <w:rPr>
          <w:rFonts w:hint="eastAsia" w:ascii="宋体" w:hAnsi="宋体"/>
          <w:color w:val="auto"/>
          <w:szCs w:val="21"/>
        </w:rPr>
        <w:t>以及各使用学校</w:t>
      </w:r>
      <w:bookmarkEnd w:id="57"/>
      <w:bookmarkEnd w:id="58"/>
      <w:r>
        <w:rPr>
          <w:rFonts w:hint="eastAsia" w:ascii="宋体" w:hAnsi="宋体"/>
          <w:color w:val="auto"/>
          <w:szCs w:val="21"/>
        </w:rPr>
        <w:t>按共同确认的内容对货物的质量、规格和数量等进行检查。如检验不合格则乙方应无条件退货，并由乙方承担由此产生的一切费用。如果不合格情况严重，甲方有权解除合同，并向乙方索赔因此造成的其他诸如工期、返工等损失。</w:t>
      </w:r>
    </w:p>
    <w:p w14:paraId="6E06140F">
      <w:pPr>
        <w:spacing w:line="400" w:lineRule="exact"/>
        <w:ind w:firstLine="420" w:firstLineChars="200"/>
        <w:rPr>
          <w:rFonts w:ascii="宋体" w:hAnsi="宋体"/>
          <w:color w:val="auto"/>
          <w:szCs w:val="21"/>
        </w:rPr>
      </w:pPr>
      <w:r>
        <w:rPr>
          <w:rFonts w:hint="eastAsia" w:ascii="宋体" w:hAnsi="宋体"/>
          <w:color w:val="auto"/>
          <w:szCs w:val="21"/>
        </w:rPr>
        <w:t>2、乙方以及各使用学校验收参与人员，根据本合同约定的计量方式、技术标准和质量要求进行交货计量和验收，主要核对：数量、规格型号、产地、质量等级、尺寸、颜色、铭牌参数、包装及标识完整、完好程度、交货资料，乙方以及各使用学校签字后即表示交货验收完成，此项验收不作为最终质量验收，并不免除任何乙方对交货产品存在质量、制造、设计、性能方面的缺陷和不合格的责任、违约责任及对甲方造成损失的赔偿。</w:t>
      </w:r>
    </w:p>
    <w:p w14:paraId="4A1EF1C8">
      <w:pPr>
        <w:spacing w:line="400" w:lineRule="exact"/>
        <w:ind w:firstLine="420" w:firstLineChars="200"/>
        <w:rPr>
          <w:rFonts w:ascii="宋体" w:hAnsi="宋体"/>
          <w:color w:val="auto"/>
          <w:szCs w:val="21"/>
        </w:rPr>
      </w:pPr>
      <w:r>
        <w:rPr>
          <w:rFonts w:hint="eastAsia" w:ascii="宋体" w:hAnsi="宋体"/>
          <w:color w:val="auto"/>
          <w:szCs w:val="21"/>
        </w:rPr>
        <w:t>3、如乙方未指派有关人员在收货地点清点，关于产品的数量及不合格品数量的确定以各使用学校的验货记录为准进行结算，如各使用学校收到的数量少于乙方送货单中标明的数量时，乙方承担缺少货物的相应费用及运输费用责任。</w:t>
      </w:r>
    </w:p>
    <w:p w14:paraId="46E6501E">
      <w:pPr>
        <w:spacing w:line="400" w:lineRule="exact"/>
        <w:ind w:firstLine="420" w:firstLineChars="200"/>
        <w:rPr>
          <w:rFonts w:ascii="宋体" w:hAnsi="宋体"/>
          <w:color w:val="auto"/>
          <w:szCs w:val="21"/>
        </w:rPr>
      </w:pPr>
      <w:r>
        <w:rPr>
          <w:rFonts w:hint="eastAsia" w:ascii="宋体" w:hAnsi="宋体"/>
          <w:color w:val="auto"/>
          <w:szCs w:val="21"/>
        </w:rPr>
        <w:t>4、在验收过程中，如发现货物的质量或规格与本合同规定不符，或证明货物有缺陷，包括潜在的缺陷或使用不合适的原材料等，各使用学校可申请质量技术监督局检验，并有权根据质检证书及质量保证条款向乙方提出索赔。</w:t>
      </w:r>
    </w:p>
    <w:p w14:paraId="053CDE27">
      <w:pPr>
        <w:spacing w:line="400" w:lineRule="exact"/>
        <w:ind w:firstLine="420" w:firstLineChars="200"/>
        <w:rPr>
          <w:rFonts w:ascii="宋体" w:hAnsi="宋体"/>
          <w:color w:val="auto"/>
          <w:szCs w:val="21"/>
        </w:rPr>
      </w:pPr>
      <w:r>
        <w:rPr>
          <w:rFonts w:hint="eastAsia" w:ascii="宋体" w:hAnsi="宋体"/>
          <w:color w:val="auto"/>
          <w:szCs w:val="21"/>
        </w:rPr>
        <w:t>5、若在使用过程中发现品质缺陷，则立即通知乙方，乙方接甲方通知后48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14:paraId="191869BB">
      <w:pPr>
        <w:spacing w:line="400" w:lineRule="exact"/>
        <w:ind w:firstLine="420" w:firstLineChars="200"/>
        <w:rPr>
          <w:rFonts w:ascii="宋体" w:hAnsi="宋体"/>
          <w:color w:val="auto"/>
          <w:szCs w:val="21"/>
        </w:rPr>
      </w:pPr>
      <w:r>
        <w:rPr>
          <w:rFonts w:hint="eastAsia" w:ascii="宋体" w:hAnsi="宋体"/>
          <w:color w:val="auto"/>
          <w:szCs w:val="21"/>
        </w:rPr>
        <w:t>6、乙方须向各使用学校提供下列文件资料及服务：</w:t>
      </w:r>
    </w:p>
    <w:p w14:paraId="75AC14CC">
      <w:pPr>
        <w:spacing w:line="400" w:lineRule="exact"/>
        <w:ind w:firstLine="420" w:firstLineChars="200"/>
        <w:rPr>
          <w:rFonts w:ascii="宋体" w:hAnsi="宋体"/>
          <w:color w:val="auto"/>
          <w:szCs w:val="21"/>
        </w:rPr>
      </w:pPr>
      <w:r>
        <w:rPr>
          <w:rFonts w:hint="eastAsia" w:ascii="宋体" w:hAnsi="宋体"/>
          <w:color w:val="auto"/>
          <w:szCs w:val="21"/>
        </w:rPr>
        <w:t>（1）货物清单、货物技术性能和参数、货物说明书、合格证、图纸；</w:t>
      </w:r>
    </w:p>
    <w:p w14:paraId="6B511185">
      <w:pPr>
        <w:spacing w:line="400" w:lineRule="exact"/>
        <w:ind w:firstLine="420" w:firstLineChars="200"/>
        <w:rPr>
          <w:rFonts w:ascii="宋体" w:hAnsi="宋体"/>
          <w:color w:val="auto"/>
          <w:szCs w:val="21"/>
        </w:rPr>
      </w:pPr>
      <w:r>
        <w:rPr>
          <w:rFonts w:hint="eastAsia" w:ascii="宋体" w:hAnsi="宋体"/>
          <w:color w:val="auto"/>
          <w:szCs w:val="21"/>
        </w:rPr>
        <w:t>（2）货物安装、保修、质量保证等服务；</w:t>
      </w:r>
    </w:p>
    <w:p w14:paraId="434242BB">
      <w:pPr>
        <w:spacing w:line="400" w:lineRule="exact"/>
        <w:ind w:firstLine="420" w:firstLineChars="200"/>
        <w:rPr>
          <w:rFonts w:ascii="宋体" w:hAnsi="宋体"/>
          <w:color w:val="auto"/>
          <w:szCs w:val="21"/>
        </w:rPr>
      </w:pPr>
      <w:r>
        <w:rPr>
          <w:rFonts w:hint="eastAsia" w:ascii="宋体" w:hAnsi="宋体"/>
          <w:color w:val="auto"/>
          <w:szCs w:val="21"/>
        </w:rPr>
        <w:t>（3）货物详细的使用和维护手册和维修专用工具和零星配件；</w:t>
      </w:r>
    </w:p>
    <w:p w14:paraId="59EF8DF4">
      <w:pPr>
        <w:spacing w:line="400" w:lineRule="exact"/>
        <w:ind w:firstLine="420" w:firstLineChars="200"/>
        <w:rPr>
          <w:rFonts w:ascii="宋体" w:hAnsi="宋体"/>
          <w:color w:val="auto"/>
          <w:szCs w:val="21"/>
        </w:rPr>
      </w:pPr>
      <w:r>
        <w:rPr>
          <w:rFonts w:hint="eastAsia" w:ascii="宋体" w:hAnsi="宋体"/>
          <w:color w:val="auto"/>
          <w:szCs w:val="21"/>
        </w:rPr>
        <w:t>（4）在项目所在地，就货物的使用、维护等培训各使用学校的人员，确保各使用学校人员掌握货物的使用、维护相关内容。</w:t>
      </w:r>
    </w:p>
    <w:p w14:paraId="45E30B75">
      <w:pPr>
        <w:spacing w:line="400" w:lineRule="exact"/>
        <w:ind w:firstLine="420" w:firstLineChars="200"/>
        <w:rPr>
          <w:rFonts w:ascii="宋体" w:hAnsi="宋体"/>
          <w:color w:val="auto"/>
          <w:szCs w:val="21"/>
        </w:rPr>
      </w:pPr>
      <w:r>
        <w:rPr>
          <w:rFonts w:hint="eastAsia" w:ascii="宋体" w:hAnsi="宋体"/>
          <w:color w:val="auto"/>
          <w:szCs w:val="21"/>
        </w:rPr>
        <w:t>7、因乙方提供的产品无法满足甲方的要求，甲方有权另行采购，并按正常市场价格将该部分自行采购费用在合同价款中扣除。</w:t>
      </w:r>
    </w:p>
    <w:p w14:paraId="0423B97A">
      <w:pPr>
        <w:spacing w:line="400" w:lineRule="exact"/>
        <w:ind w:firstLine="420" w:firstLineChars="200"/>
        <w:rPr>
          <w:rFonts w:ascii="宋体" w:hAnsi="宋体"/>
          <w:color w:val="auto"/>
          <w:szCs w:val="21"/>
        </w:rPr>
      </w:pPr>
      <w:r>
        <w:rPr>
          <w:rFonts w:hint="eastAsia" w:ascii="宋体" w:hAnsi="宋体"/>
          <w:color w:val="auto"/>
          <w:szCs w:val="21"/>
        </w:rPr>
        <w:t>8、合同实施过程中甲方需对材料规格进行调整，乙方应配合。</w:t>
      </w:r>
    </w:p>
    <w:p w14:paraId="6CDBB28D">
      <w:pPr>
        <w:spacing w:line="400" w:lineRule="exact"/>
        <w:rPr>
          <w:rFonts w:ascii="宋体" w:hAnsi="宋体"/>
          <w:b/>
          <w:color w:val="auto"/>
          <w:szCs w:val="21"/>
        </w:rPr>
      </w:pPr>
      <w:r>
        <w:rPr>
          <w:rFonts w:hint="eastAsia" w:ascii="宋体" w:hAnsi="宋体"/>
          <w:b/>
          <w:color w:val="auto"/>
          <w:szCs w:val="21"/>
        </w:rPr>
        <w:t>第十四条   安全</w:t>
      </w:r>
    </w:p>
    <w:p w14:paraId="49430D4F">
      <w:pPr>
        <w:spacing w:line="400" w:lineRule="exact"/>
        <w:ind w:firstLine="420"/>
        <w:rPr>
          <w:rFonts w:ascii="宋体" w:hAnsi="宋体"/>
          <w:color w:val="auto"/>
          <w:szCs w:val="21"/>
        </w:rPr>
      </w:pPr>
      <w:r>
        <w:rPr>
          <w:rFonts w:hint="eastAsia" w:ascii="宋体" w:hAnsi="宋体"/>
          <w:color w:val="auto"/>
          <w:szCs w:val="21"/>
        </w:rPr>
        <w:t>乙方必须无条件满足甲方的安全生产管理要求，如乙方原因引起的任何安全事故，与甲方无涉。</w:t>
      </w:r>
    </w:p>
    <w:p w14:paraId="03252FA6">
      <w:pPr>
        <w:spacing w:line="400" w:lineRule="exact"/>
        <w:rPr>
          <w:rFonts w:ascii="宋体" w:hAnsi="宋体"/>
          <w:b/>
          <w:color w:val="auto"/>
          <w:szCs w:val="21"/>
        </w:rPr>
      </w:pPr>
      <w:r>
        <w:rPr>
          <w:rFonts w:hint="eastAsia" w:ascii="宋体" w:hAnsi="宋体"/>
          <w:b/>
          <w:color w:val="auto"/>
          <w:szCs w:val="21"/>
        </w:rPr>
        <w:t>第十五条   不可抗力</w:t>
      </w:r>
    </w:p>
    <w:p w14:paraId="665CA4DE">
      <w:pPr>
        <w:spacing w:line="400" w:lineRule="exact"/>
        <w:ind w:firstLine="420"/>
        <w:rPr>
          <w:rFonts w:ascii="宋体" w:hAnsi="宋体"/>
          <w:color w:val="auto"/>
          <w:szCs w:val="21"/>
        </w:rPr>
      </w:pPr>
      <w:r>
        <w:rPr>
          <w:rFonts w:hint="eastAsia" w:ascii="宋体" w:hAnsi="宋体"/>
          <w:color w:val="auto"/>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4F870767">
      <w:pPr>
        <w:spacing w:line="400" w:lineRule="exact"/>
        <w:ind w:firstLine="420"/>
        <w:rPr>
          <w:rFonts w:ascii="宋体" w:hAnsi="宋体"/>
          <w:color w:val="auto"/>
          <w:szCs w:val="21"/>
        </w:rPr>
      </w:pPr>
      <w:r>
        <w:rPr>
          <w:rFonts w:hint="eastAsia" w:ascii="宋体" w:hAnsi="宋体"/>
          <w:color w:val="auto"/>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1C8E6DE8">
      <w:pPr>
        <w:spacing w:line="400" w:lineRule="exact"/>
        <w:rPr>
          <w:rFonts w:ascii="宋体" w:hAnsi="宋体"/>
          <w:b/>
          <w:color w:val="auto"/>
          <w:szCs w:val="21"/>
        </w:rPr>
      </w:pPr>
      <w:r>
        <w:rPr>
          <w:rFonts w:hint="eastAsia" w:ascii="宋体" w:hAnsi="宋体"/>
          <w:b/>
          <w:color w:val="auto"/>
          <w:szCs w:val="21"/>
        </w:rPr>
        <w:t>第十六条   违约责任及索赔</w:t>
      </w:r>
    </w:p>
    <w:p w14:paraId="4917A56C">
      <w:pPr>
        <w:spacing w:line="400" w:lineRule="exact"/>
        <w:ind w:firstLine="420" w:firstLineChars="200"/>
        <w:rPr>
          <w:rFonts w:ascii="宋体" w:hAnsi="宋体"/>
          <w:color w:val="auto"/>
          <w:szCs w:val="21"/>
        </w:rPr>
      </w:pPr>
      <w:r>
        <w:rPr>
          <w:rFonts w:hint="eastAsia" w:ascii="宋体" w:hAnsi="宋体"/>
          <w:color w:val="auto"/>
          <w:szCs w:val="21"/>
        </w:rPr>
        <w:t>1、延期交货与误期赔偿：</w:t>
      </w:r>
    </w:p>
    <w:p w14:paraId="32D44A35">
      <w:pPr>
        <w:spacing w:line="400" w:lineRule="exact"/>
        <w:ind w:firstLine="420" w:firstLineChars="200"/>
        <w:rPr>
          <w:rFonts w:ascii="宋体" w:hAnsi="宋体"/>
          <w:color w:val="auto"/>
          <w:szCs w:val="21"/>
        </w:rPr>
      </w:pPr>
      <w:r>
        <w:rPr>
          <w:rFonts w:hint="eastAsia" w:ascii="宋体" w:hAnsi="宋体"/>
          <w:color w:val="auto"/>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14:paraId="0B5985DD">
      <w:pPr>
        <w:spacing w:line="400" w:lineRule="exact"/>
        <w:ind w:firstLine="420" w:firstLineChars="200"/>
        <w:rPr>
          <w:rFonts w:ascii="宋体" w:hAnsi="宋体"/>
          <w:color w:val="auto"/>
          <w:szCs w:val="21"/>
        </w:rPr>
      </w:pPr>
      <w:r>
        <w:rPr>
          <w:rFonts w:hint="eastAsia" w:ascii="宋体" w:hAnsi="宋体"/>
          <w:color w:val="auto"/>
          <w:szCs w:val="21"/>
        </w:rPr>
        <w:t>2、索赔：</w:t>
      </w:r>
    </w:p>
    <w:p w14:paraId="22ECA7F4">
      <w:pPr>
        <w:spacing w:line="400" w:lineRule="exact"/>
        <w:ind w:firstLine="420" w:firstLineChars="200"/>
        <w:rPr>
          <w:rFonts w:ascii="宋体" w:hAnsi="宋体"/>
          <w:color w:val="auto"/>
          <w:szCs w:val="21"/>
        </w:rPr>
      </w:pPr>
      <w:r>
        <w:rPr>
          <w:rFonts w:hint="eastAsia" w:ascii="宋体" w:hAnsi="宋体"/>
          <w:color w:val="auto"/>
          <w:szCs w:val="21"/>
        </w:rPr>
        <w:t>（1）乙方对所供货物与合同要求不符负有责任，如果甲方已于规定的检验、验收测试期限内和质量保证期内提出索赔，乙方应按甲方同意的下述一种或多种方法解决索赔事宜。</w:t>
      </w:r>
    </w:p>
    <w:p w14:paraId="5769F449">
      <w:pPr>
        <w:spacing w:line="400" w:lineRule="exact"/>
        <w:ind w:firstLine="560"/>
        <w:rPr>
          <w:rFonts w:ascii="宋体" w:hAnsi="宋体"/>
          <w:color w:val="auto"/>
          <w:szCs w:val="21"/>
        </w:rPr>
      </w:pPr>
      <w:r>
        <w:rPr>
          <w:rFonts w:hint="eastAsia" w:ascii="宋体" w:hAnsi="宋体"/>
          <w:color w:val="auto"/>
          <w:szCs w:val="21"/>
        </w:rPr>
        <w:t>A.乙方同意甲方拒收货物并由乙方承担由此发生的一切损失和费用；</w:t>
      </w:r>
    </w:p>
    <w:p w14:paraId="31576CE3">
      <w:pPr>
        <w:spacing w:line="400" w:lineRule="exact"/>
        <w:ind w:firstLine="560"/>
        <w:rPr>
          <w:rFonts w:ascii="宋体" w:hAnsi="宋体"/>
          <w:color w:val="auto"/>
          <w:szCs w:val="21"/>
        </w:rPr>
      </w:pPr>
      <w:r>
        <w:rPr>
          <w:rFonts w:hint="eastAsia" w:ascii="宋体" w:hAnsi="宋体"/>
          <w:color w:val="auto"/>
          <w:szCs w:val="21"/>
        </w:rPr>
        <w:t>B.根据货物的疵劣和受损程度以及甲方遭受损失的金额，经双方协商降低货物价格；</w:t>
      </w:r>
    </w:p>
    <w:p w14:paraId="54145243">
      <w:pPr>
        <w:spacing w:line="400" w:lineRule="exact"/>
        <w:ind w:firstLine="560"/>
        <w:rPr>
          <w:rFonts w:ascii="宋体" w:hAnsi="宋体"/>
          <w:color w:val="auto"/>
          <w:szCs w:val="21"/>
        </w:rPr>
      </w:pPr>
      <w:r>
        <w:rPr>
          <w:rFonts w:hint="eastAsia" w:ascii="宋体" w:hAnsi="宋体"/>
          <w:color w:val="auto"/>
          <w:szCs w:val="21"/>
        </w:rPr>
        <w:t>C.更换不合格的货物，以达到合同规定的规格、数量、质量和性能要求，乙方承担一切费用和风险并负担甲方遭受的一切直接费用。</w:t>
      </w:r>
    </w:p>
    <w:p w14:paraId="5ADD1F09">
      <w:pPr>
        <w:spacing w:line="400" w:lineRule="exact"/>
        <w:ind w:firstLine="420"/>
        <w:rPr>
          <w:rFonts w:ascii="宋体" w:hAnsi="宋体"/>
          <w:color w:val="auto"/>
          <w:szCs w:val="21"/>
        </w:rPr>
      </w:pPr>
      <w:r>
        <w:rPr>
          <w:rFonts w:hint="eastAsia" w:ascii="宋体" w:hAnsi="宋体"/>
          <w:color w:val="auto"/>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14:paraId="3462B632">
      <w:pPr>
        <w:spacing w:line="400" w:lineRule="exact"/>
        <w:ind w:firstLine="420"/>
        <w:rPr>
          <w:rFonts w:ascii="宋体" w:hAnsi="宋体"/>
          <w:color w:val="auto"/>
          <w:szCs w:val="21"/>
        </w:rPr>
      </w:pPr>
      <w:r>
        <w:rPr>
          <w:rFonts w:hint="eastAsia" w:ascii="宋体" w:hAnsi="宋体"/>
          <w:color w:val="auto"/>
          <w:szCs w:val="21"/>
        </w:rPr>
        <w:t>3、乙方提供的货物在验货时不合格或不符合甲方的规格要求，乙方首先应无条件更换，直至符合甲方要求，如乙方在规定时间内不能或无法提供符合要求的产品，甲方有权终止合同，并由乙方承担后续供应商增加的费用。如造成甲方损失，则应赔偿甲方损失，该损失从应付款中扣除。</w:t>
      </w:r>
    </w:p>
    <w:p w14:paraId="624A2B0D">
      <w:pPr>
        <w:spacing w:line="400" w:lineRule="exact"/>
        <w:ind w:firstLine="420"/>
        <w:rPr>
          <w:rFonts w:ascii="宋体" w:hAnsi="宋体"/>
          <w:color w:val="auto"/>
          <w:szCs w:val="21"/>
        </w:rPr>
      </w:pPr>
      <w:r>
        <w:rPr>
          <w:rFonts w:hint="eastAsia" w:ascii="宋体" w:hAnsi="宋体"/>
          <w:color w:val="auto"/>
          <w:szCs w:val="21"/>
        </w:rPr>
        <w:t>4、全部货物交付完毕后，不符合验收要求，乙方应无条件更换货，直至符合各使用学校验收要求，由此引起的交货期延误，按1000元/日处罚，不满1日按1日计算。</w:t>
      </w:r>
    </w:p>
    <w:p w14:paraId="4008D910">
      <w:pPr>
        <w:spacing w:line="400" w:lineRule="exact"/>
        <w:rPr>
          <w:rFonts w:ascii="宋体" w:hAnsi="宋体"/>
          <w:b/>
          <w:color w:val="auto"/>
          <w:szCs w:val="21"/>
        </w:rPr>
      </w:pPr>
      <w:r>
        <w:rPr>
          <w:rFonts w:hint="eastAsia" w:ascii="宋体" w:hAnsi="宋体"/>
          <w:b/>
          <w:color w:val="auto"/>
          <w:szCs w:val="21"/>
        </w:rPr>
        <w:t xml:space="preserve">第十七条   </w:t>
      </w:r>
      <w:r>
        <w:rPr>
          <w:rFonts w:hint="eastAsia" w:ascii="宋体" w:hAnsi="宋体" w:cs="仿宋_GB2312"/>
          <w:b/>
          <w:bCs/>
          <w:color w:val="auto"/>
          <w:kern w:val="0"/>
          <w:szCs w:val="21"/>
        </w:rPr>
        <w:t>争议的解决</w:t>
      </w:r>
    </w:p>
    <w:p w14:paraId="7B2BC341">
      <w:pPr>
        <w:spacing w:line="400" w:lineRule="exact"/>
        <w:ind w:firstLine="420" w:firstLineChars="200"/>
        <w:rPr>
          <w:rFonts w:ascii="宋体" w:hAnsi="宋体"/>
          <w:color w:val="auto"/>
          <w:szCs w:val="21"/>
        </w:rPr>
      </w:pPr>
      <w:r>
        <w:rPr>
          <w:rFonts w:hint="eastAsia" w:ascii="宋体" w:hAnsi="宋体" w:cs="仿宋_GB2312"/>
          <w:color w:val="auto"/>
          <w:kern w:val="0"/>
          <w:szCs w:val="21"/>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14:paraId="1D98BCDA">
      <w:pPr>
        <w:widowControl/>
        <w:overflowPunct w:val="0"/>
        <w:autoSpaceDE w:val="0"/>
        <w:autoSpaceDN w:val="0"/>
        <w:adjustRightInd w:val="0"/>
        <w:snapToGrid w:val="0"/>
        <w:spacing w:line="400" w:lineRule="exact"/>
        <w:jc w:val="left"/>
        <w:textAlignment w:val="baseline"/>
        <w:rPr>
          <w:rFonts w:ascii="宋体" w:hAnsi="宋体" w:cs="仿宋_GB2312"/>
          <w:b/>
          <w:bCs/>
          <w:color w:val="auto"/>
          <w:kern w:val="0"/>
          <w:szCs w:val="21"/>
        </w:rPr>
      </w:pPr>
      <w:r>
        <w:rPr>
          <w:rFonts w:hint="eastAsia" w:ascii="宋体" w:hAnsi="宋体" w:cs="仿宋_GB2312"/>
          <w:b/>
          <w:bCs/>
          <w:color w:val="auto"/>
          <w:kern w:val="0"/>
          <w:szCs w:val="21"/>
        </w:rPr>
        <w:t>第十八条   合同的生效</w:t>
      </w:r>
    </w:p>
    <w:p w14:paraId="1D64EB86">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本合同在甲方、乙方双方法定代表人或其委托人签字并加盖双方公章后生效。</w:t>
      </w:r>
    </w:p>
    <w:p w14:paraId="3BC24DF7">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本合同一式</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份，甲乙双方各执</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份。</w:t>
      </w:r>
    </w:p>
    <w:p w14:paraId="6657C95A">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与本合同有关的招标文件、投标文件同本合同具有同等法律效果。</w:t>
      </w:r>
    </w:p>
    <w:p w14:paraId="5F5433E1">
      <w:pPr>
        <w:widowControl/>
        <w:overflowPunct w:val="0"/>
        <w:autoSpaceDE w:val="0"/>
        <w:autoSpaceDN w:val="0"/>
        <w:adjustRightInd w:val="0"/>
        <w:snapToGrid w:val="0"/>
        <w:spacing w:line="400" w:lineRule="exact"/>
        <w:jc w:val="left"/>
        <w:textAlignment w:val="baseline"/>
        <w:rPr>
          <w:rFonts w:ascii="宋体" w:hAnsi="宋体" w:cs="仿宋_GB2312"/>
          <w:b/>
          <w:bCs/>
          <w:color w:val="auto"/>
          <w:kern w:val="0"/>
          <w:szCs w:val="21"/>
        </w:rPr>
      </w:pPr>
      <w:r>
        <w:rPr>
          <w:rFonts w:hint="eastAsia" w:ascii="宋体" w:hAnsi="宋体" w:cs="仿宋_GB2312"/>
          <w:b/>
          <w:bCs/>
          <w:color w:val="auto"/>
          <w:kern w:val="0"/>
          <w:szCs w:val="21"/>
        </w:rPr>
        <w:t>甲方（公章）：                       乙方（公章）：</w:t>
      </w:r>
    </w:p>
    <w:p w14:paraId="282BA897">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法定代表人或受委托人（签字）         法定代表人或受委托人（签字）</w:t>
      </w:r>
    </w:p>
    <w:p w14:paraId="7219295B">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地址：                               地址：</w:t>
      </w:r>
    </w:p>
    <w:p w14:paraId="6223DCF9">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邮编：                               邮编：</w:t>
      </w:r>
    </w:p>
    <w:p w14:paraId="6214A641">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电话：                               电话：</w:t>
      </w:r>
    </w:p>
    <w:p w14:paraId="1A5746EE">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签约时间：    年    月    日</w:t>
      </w:r>
    </w:p>
    <w:p w14:paraId="2F343886">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p>
    <w:p w14:paraId="2A940AC1">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p>
    <w:p w14:paraId="06BEE0BF">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r>
        <w:rPr>
          <w:rFonts w:hint="eastAsia" w:ascii="宋体" w:hAnsi="宋体" w:cs="仿宋_GB2312"/>
          <w:color w:val="auto"/>
          <w:kern w:val="0"/>
          <w:szCs w:val="21"/>
        </w:rPr>
        <w:t>签约地点：</w:t>
      </w:r>
    </w:p>
    <w:p w14:paraId="2F8D8240">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p>
    <w:p w14:paraId="30898081">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p>
    <w:p w14:paraId="11A9D03E">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pPr>
    </w:p>
    <w:p w14:paraId="2DA28A21">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auto"/>
          <w:kern w:val="0"/>
          <w:szCs w:val="21"/>
        </w:rPr>
        <w:sectPr>
          <w:headerReference r:id="rId11" w:type="default"/>
          <w:pgSz w:w="11907" w:h="16840"/>
          <w:pgMar w:top="851" w:right="851" w:bottom="851" w:left="992" w:header="284" w:footer="420" w:gutter="0"/>
          <w:cols w:space="720" w:num="1"/>
          <w:docGrid w:linePitch="286" w:charSpace="0"/>
        </w:sectPr>
      </w:pPr>
      <w:bookmarkStart w:id="59" w:name="_Toc216662965"/>
    </w:p>
    <w:p w14:paraId="1EE3114B">
      <w:pPr>
        <w:spacing w:line="400" w:lineRule="exact"/>
        <w:jc w:val="center"/>
        <w:outlineLvl w:val="0"/>
        <w:rPr>
          <w:rFonts w:ascii="宋体" w:hAnsi="宋体"/>
          <w:b/>
          <w:color w:val="auto"/>
          <w:sz w:val="32"/>
        </w:rPr>
      </w:pPr>
      <w:bookmarkStart w:id="60" w:name="_Toc55385106"/>
      <w:r>
        <w:rPr>
          <w:rFonts w:hint="eastAsia" w:ascii="宋体" w:hAnsi="宋体"/>
          <w:b/>
          <w:color w:val="auto"/>
          <w:sz w:val="32"/>
        </w:rPr>
        <w:t>第五章  招标内容与技术需求</w:t>
      </w:r>
      <w:bookmarkEnd w:id="60"/>
    </w:p>
    <w:p w14:paraId="6F9AA796">
      <w:pPr>
        <w:spacing w:line="400" w:lineRule="exact"/>
        <w:rPr>
          <w:rFonts w:ascii="宋体" w:hAnsi="宋体"/>
          <w:b/>
          <w:color w:val="auto"/>
          <w:szCs w:val="21"/>
        </w:rPr>
      </w:pPr>
      <w:r>
        <w:rPr>
          <w:rFonts w:hint="eastAsia" w:ascii="宋体" w:hAnsi="宋体"/>
          <w:b/>
          <w:color w:val="auto"/>
          <w:szCs w:val="21"/>
        </w:rPr>
        <w:t>一、货物清单及使用学校情况</w:t>
      </w:r>
    </w:p>
    <w:tbl>
      <w:tblPr>
        <w:tblStyle w:val="44"/>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76"/>
        <w:gridCol w:w="3118"/>
        <w:gridCol w:w="3402"/>
        <w:gridCol w:w="1211"/>
      </w:tblGrid>
      <w:tr w14:paraId="40CD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2D094730">
            <w:pPr>
              <w:spacing w:line="400" w:lineRule="exact"/>
              <w:jc w:val="center"/>
              <w:rPr>
                <w:rFonts w:ascii="宋体" w:hAnsi="宋体"/>
                <w:b/>
                <w:color w:val="auto"/>
                <w:szCs w:val="21"/>
              </w:rPr>
            </w:pPr>
            <w:r>
              <w:rPr>
                <w:rFonts w:hint="eastAsia" w:ascii="宋体" w:hAnsi="宋体"/>
                <w:b/>
                <w:color w:val="auto"/>
                <w:szCs w:val="21"/>
              </w:rPr>
              <w:t>标项</w:t>
            </w:r>
          </w:p>
        </w:tc>
        <w:tc>
          <w:tcPr>
            <w:tcW w:w="1276" w:type="dxa"/>
            <w:vAlign w:val="center"/>
          </w:tcPr>
          <w:p w14:paraId="1E218F2E">
            <w:pPr>
              <w:spacing w:line="400" w:lineRule="exact"/>
              <w:jc w:val="center"/>
              <w:rPr>
                <w:rFonts w:ascii="宋体" w:hAnsi="宋体"/>
                <w:b/>
                <w:color w:val="auto"/>
                <w:szCs w:val="21"/>
              </w:rPr>
            </w:pPr>
            <w:r>
              <w:rPr>
                <w:rFonts w:hint="eastAsia" w:ascii="宋体" w:hAnsi="宋体"/>
                <w:b/>
                <w:color w:val="auto"/>
                <w:szCs w:val="21"/>
              </w:rPr>
              <w:t>货物名称</w:t>
            </w:r>
          </w:p>
        </w:tc>
        <w:tc>
          <w:tcPr>
            <w:tcW w:w="3118" w:type="dxa"/>
            <w:vAlign w:val="center"/>
          </w:tcPr>
          <w:p w14:paraId="2B11B144">
            <w:pPr>
              <w:spacing w:line="400" w:lineRule="exact"/>
              <w:jc w:val="center"/>
              <w:rPr>
                <w:rFonts w:ascii="宋体" w:hAnsi="宋体"/>
                <w:b/>
                <w:color w:val="auto"/>
                <w:szCs w:val="21"/>
              </w:rPr>
            </w:pPr>
            <w:r>
              <w:rPr>
                <w:rFonts w:hint="eastAsia" w:ascii="宋体" w:hAnsi="宋体"/>
                <w:b/>
                <w:color w:val="auto"/>
                <w:szCs w:val="21"/>
              </w:rPr>
              <w:t>使用学校</w:t>
            </w:r>
          </w:p>
        </w:tc>
        <w:tc>
          <w:tcPr>
            <w:tcW w:w="3402" w:type="dxa"/>
            <w:vAlign w:val="center"/>
          </w:tcPr>
          <w:p w14:paraId="37A0B3EC">
            <w:pPr>
              <w:spacing w:line="400" w:lineRule="exact"/>
              <w:jc w:val="center"/>
              <w:rPr>
                <w:rFonts w:ascii="宋体" w:hAnsi="宋体"/>
                <w:b/>
                <w:color w:val="auto"/>
                <w:szCs w:val="21"/>
              </w:rPr>
            </w:pPr>
            <w:r>
              <w:rPr>
                <w:rFonts w:hint="eastAsia" w:ascii="宋体" w:hAnsi="宋体"/>
                <w:b/>
                <w:color w:val="auto"/>
                <w:szCs w:val="21"/>
              </w:rPr>
              <w:t>地址</w:t>
            </w:r>
          </w:p>
        </w:tc>
        <w:tc>
          <w:tcPr>
            <w:tcW w:w="1211" w:type="dxa"/>
            <w:vAlign w:val="center"/>
          </w:tcPr>
          <w:p w14:paraId="281EE4B9">
            <w:pPr>
              <w:spacing w:line="400" w:lineRule="exact"/>
              <w:jc w:val="center"/>
              <w:rPr>
                <w:rFonts w:ascii="宋体" w:hAnsi="宋体"/>
                <w:b/>
                <w:color w:val="auto"/>
                <w:szCs w:val="21"/>
              </w:rPr>
            </w:pPr>
            <w:r>
              <w:rPr>
                <w:rFonts w:hint="eastAsia" w:ascii="宋体" w:hAnsi="宋体"/>
                <w:b/>
                <w:color w:val="auto"/>
                <w:szCs w:val="21"/>
              </w:rPr>
              <w:t>数量（件）</w:t>
            </w:r>
          </w:p>
        </w:tc>
      </w:tr>
      <w:tr w14:paraId="519E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vAlign w:val="center"/>
          </w:tcPr>
          <w:p w14:paraId="1F6C5979">
            <w:pPr>
              <w:spacing w:line="400" w:lineRule="exact"/>
              <w:jc w:val="center"/>
              <w:rPr>
                <w:rFonts w:ascii="宋体" w:hAnsi="宋体"/>
                <w:color w:val="auto"/>
                <w:szCs w:val="21"/>
              </w:rPr>
            </w:pPr>
            <w:bookmarkStart w:id="61" w:name="_Hlk200632664"/>
            <w:bookmarkStart w:id="62" w:name="_Hlk200633142"/>
            <w:r>
              <w:rPr>
                <w:rFonts w:hint="eastAsia" w:ascii="宋体" w:hAnsi="宋体"/>
                <w:color w:val="auto"/>
                <w:szCs w:val="21"/>
              </w:rPr>
              <w:t>1</w:t>
            </w:r>
          </w:p>
        </w:tc>
        <w:tc>
          <w:tcPr>
            <w:tcW w:w="1276" w:type="dxa"/>
            <w:vMerge w:val="restart"/>
            <w:vAlign w:val="center"/>
          </w:tcPr>
          <w:p w14:paraId="770552AC">
            <w:pPr>
              <w:spacing w:line="400" w:lineRule="exact"/>
              <w:jc w:val="center"/>
              <w:rPr>
                <w:rFonts w:ascii="宋体" w:hAnsi="宋体"/>
                <w:color w:val="auto"/>
                <w:szCs w:val="21"/>
              </w:rPr>
            </w:pPr>
            <w:r>
              <w:rPr>
                <w:rFonts w:hint="eastAsia" w:ascii="宋体" w:hAnsi="宋体"/>
                <w:color w:val="auto"/>
                <w:szCs w:val="21"/>
              </w:rPr>
              <w:t>学生午休垫</w:t>
            </w:r>
          </w:p>
        </w:tc>
        <w:tc>
          <w:tcPr>
            <w:tcW w:w="3118" w:type="dxa"/>
            <w:vAlign w:val="center"/>
          </w:tcPr>
          <w:p w14:paraId="2131D0FD">
            <w:pPr>
              <w:spacing w:line="400" w:lineRule="exact"/>
              <w:jc w:val="center"/>
              <w:rPr>
                <w:rFonts w:ascii="宋体" w:hAnsi="宋体"/>
                <w:color w:val="auto"/>
                <w:szCs w:val="21"/>
              </w:rPr>
            </w:pPr>
            <w:r>
              <w:rPr>
                <w:rFonts w:hint="eastAsia" w:ascii="宋体" w:hAnsi="宋体"/>
                <w:color w:val="auto"/>
                <w:szCs w:val="21"/>
              </w:rPr>
              <w:t>宁波前湾新区世纪城实验小学</w:t>
            </w:r>
          </w:p>
        </w:tc>
        <w:tc>
          <w:tcPr>
            <w:tcW w:w="3402" w:type="dxa"/>
            <w:vAlign w:val="center"/>
          </w:tcPr>
          <w:p w14:paraId="23CD58AF">
            <w:pPr>
              <w:spacing w:line="400" w:lineRule="exact"/>
              <w:jc w:val="center"/>
              <w:rPr>
                <w:rFonts w:ascii="宋体" w:hAnsi="宋体"/>
                <w:color w:val="auto"/>
                <w:szCs w:val="21"/>
              </w:rPr>
            </w:pPr>
            <w:r>
              <w:rPr>
                <w:rFonts w:ascii="宋体" w:hAnsi="宋体"/>
                <w:color w:val="auto"/>
                <w:szCs w:val="21"/>
              </w:rPr>
              <w:t>宁波</w:t>
            </w:r>
            <w:r>
              <w:rPr>
                <w:rFonts w:hint="eastAsia" w:ascii="宋体" w:hAnsi="宋体"/>
                <w:color w:val="auto"/>
                <w:szCs w:val="21"/>
              </w:rPr>
              <w:t>前</w:t>
            </w:r>
            <w:r>
              <w:rPr>
                <w:rFonts w:ascii="宋体" w:hAnsi="宋体"/>
                <w:color w:val="auto"/>
                <w:szCs w:val="21"/>
              </w:rPr>
              <w:t>湾新区金合路163号</w:t>
            </w:r>
          </w:p>
        </w:tc>
        <w:tc>
          <w:tcPr>
            <w:tcW w:w="1211" w:type="dxa"/>
            <w:vAlign w:val="center"/>
          </w:tcPr>
          <w:p w14:paraId="3C42A17A">
            <w:pPr>
              <w:spacing w:line="400" w:lineRule="exact"/>
              <w:jc w:val="center"/>
              <w:rPr>
                <w:rFonts w:ascii="宋体" w:hAnsi="宋体"/>
                <w:color w:val="auto"/>
                <w:szCs w:val="21"/>
              </w:rPr>
            </w:pPr>
            <w:r>
              <w:rPr>
                <w:rFonts w:hint="eastAsia" w:ascii="宋体" w:hAnsi="宋体"/>
                <w:color w:val="auto"/>
                <w:szCs w:val="21"/>
              </w:rPr>
              <w:t>2234</w:t>
            </w:r>
          </w:p>
        </w:tc>
      </w:tr>
      <w:bookmarkEnd w:id="61"/>
      <w:tr w14:paraId="576F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14:paraId="41D11C97">
            <w:pPr>
              <w:spacing w:line="400" w:lineRule="exact"/>
              <w:jc w:val="center"/>
              <w:rPr>
                <w:rFonts w:ascii="宋体" w:hAnsi="宋体"/>
                <w:color w:val="auto"/>
                <w:szCs w:val="21"/>
              </w:rPr>
            </w:pPr>
          </w:p>
        </w:tc>
        <w:tc>
          <w:tcPr>
            <w:tcW w:w="1276" w:type="dxa"/>
            <w:vMerge w:val="continue"/>
            <w:vAlign w:val="center"/>
          </w:tcPr>
          <w:p w14:paraId="0D205BE1">
            <w:pPr>
              <w:spacing w:line="400" w:lineRule="exact"/>
              <w:jc w:val="center"/>
              <w:rPr>
                <w:rFonts w:ascii="宋体" w:hAnsi="宋体"/>
                <w:color w:val="auto"/>
                <w:szCs w:val="21"/>
              </w:rPr>
            </w:pPr>
          </w:p>
        </w:tc>
        <w:tc>
          <w:tcPr>
            <w:tcW w:w="3118" w:type="dxa"/>
            <w:vAlign w:val="center"/>
          </w:tcPr>
          <w:p w14:paraId="0B8052CC">
            <w:pPr>
              <w:spacing w:line="400" w:lineRule="exact"/>
              <w:jc w:val="center"/>
              <w:rPr>
                <w:rFonts w:ascii="宋体" w:hAnsi="宋体"/>
                <w:color w:val="auto"/>
                <w:szCs w:val="21"/>
              </w:rPr>
            </w:pPr>
            <w:bookmarkStart w:id="63" w:name="OLE_LINK33"/>
            <w:bookmarkStart w:id="64" w:name="OLE_LINK34"/>
            <w:r>
              <w:rPr>
                <w:rFonts w:hint="eastAsia" w:ascii="宋体" w:hAnsi="宋体"/>
                <w:color w:val="auto"/>
                <w:szCs w:val="21"/>
              </w:rPr>
              <w:t>宁波前湾新区滨海小学</w:t>
            </w:r>
            <w:bookmarkEnd w:id="63"/>
            <w:bookmarkEnd w:id="64"/>
          </w:p>
        </w:tc>
        <w:tc>
          <w:tcPr>
            <w:tcW w:w="3402" w:type="dxa"/>
            <w:vAlign w:val="center"/>
          </w:tcPr>
          <w:p w14:paraId="1E3BF19C">
            <w:pPr>
              <w:spacing w:line="400" w:lineRule="exact"/>
              <w:jc w:val="center"/>
              <w:rPr>
                <w:rFonts w:ascii="宋体" w:hAnsi="宋体"/>
                <w:color w:val="auto"/>
                <w:szCs w:val="21"/>
              </w:rPr>
            </w:pPr>
            <w:r>
              <w:rPr>
                <w:rFonts w:hint="eastAsia" w:ascii="宋体" w:hAnsi="宋体"/>
                <w:color w:val="auto"/>
                <w:szCs w:val="21"/>
              </w:rPr>
              <w:t>宁波前湾新区学崖路29号</w:t>
            </w:r>
          </w:p>
        </w:tc>
        <w:tc>
          <w:tcPr>
            <w:tcW w:w="1211" w:type="dxa"/>
            <w:vAlign w:val="center"/>
          </w:tcPr>
          <w:p w14:paraId="08126213">
            <w:pPr>
              <w:spacing w:line="400" w:lineRule="exact"/>
              <w:jc w:val="center"/>
              <w:rPr>
                <w:rFonts w:ascii="宋体" w:hAnsi="宋体"/>
                <w:color w:val="auto"/>
                <w:szCs w:val="21"/>
              </w:rPr>
            </w:pPr>
            <w:r>
              <w:rPr>
                <w:rFonts w:ascii="宋体" w:hAnsi="宋体"/>
                <w:color w:val="auto"/>
                <w:szCs w:val="21"/>
              </w:rPr>
              <w:t>1950</w:t>
            </w:r>
          </w:p>
        </w:tc>
      </w:tr>
      <w:tr w14:paraId="1D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14:paraId="3CECAF21">
            <w:pPr>
              <w:spacing w:line="400" w:lineRule="exact"/>
              <w:jc w:val="center"/>
              <w:rPr>
                <w:rFonts w:ascii="宋体" w:hAnsi="宋体"/>
                <w:color w:val="auto"/>
                <w:szCs w:val="21"/>
              </w:rPr>
            </w:pPr>
          </w:p>
        </w:tc>
        <w:tc>
          <w:tcPr>
            <w:tcW w:w="1276" w:type="dxa"/>
            <w:vMerge w:val="continue"/>
            <w:vAlign w:val="center"/>
          </w:tcPr>
          <w:p w14:paraId="2EB38478">
            <w:pPr>
              <w:spacing w:line="400" w:lineRule="exact"/>
              <w:jc w:val="center"/>
              <w:rPr>
                <w:rFonts w:ascii="宋体" w:hAnsi="宋体"/>
                <w:color w:val="auto"/>
                <w:szCs w:val="21"/>
              </w:rPr>
            </w:pPr>
          </w:p>
        </w:tc>
        <w:tc>
          <w:tcPr>
            <w:tcW w:w="3118" w:type="dxa"/>
            <w:vAlign w:val="center"/>
          </w:tcPr>
          <w:p w14:paraId="2CE1D54B">
            <w:pPr>
              <w:spacing w:line="400" w:lineRule="exact"/>
              <w:jc w:val="center"/>
              <w:rPr>
                <w:rFonts w:ascii="宋体" w:hAnsi="宋体"/>
                <w:color w:val="auto"/>
                <w:szCs w:val="21"/>
              </w:rPr>
            </w:pPr>
            <w:bookmarkStart w:id="65" w:name="OLE_LINK35"/>
            <w:r>
              <w:rPr>
                <w:rFonts w:hint="eastAsia" w:ascii="宋体" w:hAnsi="宋体"/>
                <w:color w:val="auto"/>
                <w:szCs w:val="21"/>
              </w:rPr>
              <w:t>宁波前湾新区海韵小学</w:t>
            </w:r>
            <w:bookmarkEnd w:id="65"/>
          </w:p>
        </w:tc>
        <w:tc>
          <w:tcPr>
            <w:tcW w:w="3402" w:type="dxa"/>
            <w:vAlign w:val="center"/>
          </w:tcPr>
          <w:p w14:paraId="1CFE353D">
            <w:pPr>
              <w:spacing w:line="400" w:lineRule="exact"/>
              <w:jc w:val="center"/>
              <w:rPr>
                <w:rFonts w:ascii="宋体" w:hAnsi="宋体"/>
                <w:color w:val="auto"/>
                <w:szCs w:val="21"/>
              </w:rPr>
            </w:pPr>
            <w:r>
              <w:rPr>
                <w:rFonts w:hint="eastAsia" w:ascii="宋体" w:hAnsi="宋体"/>
                <w:color w:val="auto"/>
                <w:szCs w:val="21"/>
              </w:rPr>
              <w:t>宁波前湾新区海纳路421号</w:t>
            </w:r>
          </w:p>
        </w:tc>
        <w:tc>
          <w:tcPr>
            <w:tcW w:w="1211" w:type="dxa"/>
            <w:vAlign w:val="center"/>
          </w:tcPr>
          <w:p w14:paraId="7E6844D4">
            <w:pPr>
              <w:spacing w:line="400" w:lineRule="exact"/>
              <w:jc w:val="center"/>
              <w:rPr>
                <w:rFonts w:ascii="宋体" w:hAnsi="宋体"/>
                <w:color w:val="auto"/>
                <w:szCs w:val="21"/>
              </w:rPr>
            </w:pPr>
            <w:r>
              <w:rPr>
                <w:rFonts w:ascii="宋体" w:hAnsi="宋体"/>
                <w:color w:val="auto"/>
                <w:szCs w:val="21"/>
              </w:rPr>
              <w:t>1144</w:t>
            </w:r>
          </w:p>
        </w:tc>
      </w:tr>
      <w:tr w14:paraId="47CE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14:paraId="49C870A1">
            <w:pPr>
              <w:spacing w:line="400" w:lineRule="exact"/>
              <w:jc w:val="center"/>
              <w:rPr>
                <w:rFonts w:ascii="宋体" w:hAnsi="宋体"/>
                <w:color w:val="auto"/>
                <w:szCs w:val="21"/>
              </w:rPr>
            </w:pPr>
          </w:p>
        </w:tc>
        <w:tc>
          <w:tcPr>
            <w:tcW w:w="1276" w:type="dxa"/>
            <w:vMerge w:val="continue"/>
            <w:vAlign w:val="center"/>
          </w:tcPr>
          <w:p w14:paraId="537456CF">
            <w:pPr>
              <w:spacing w:line="400" w:lineRule="exact"/>
              <w:jc w:val="center"/>
              <w:rPr>
                <w:rFonts w:ascii="宋体" w:hAnsi="宋体"/>
                <w:color w:val="auto"/>
                <w:szCs w:val="21"/>
              </w:rPr>
            </w:pPr>
          </w:p>
        </w:tc>
        <w:tc>
          <w:tcPr>
            <w:tcW w:w="3118" w:type="dxa"/>
            <w:vAlign w:val="center"/>
          </w:tcPr>
          <w:p w14:paraId="45B5CE9A">
            <w:pPr>
              <w:spacing w:line="400" w:lineRule="exact"/>
              <w:jc w:val="center"/>
              <w:rPr>
                <w:rFonts w:ascii="宋体" w:hAnsi="宋体"/>
                <w:color w:val="auto"/>
                <w:szCs w:val="21"/>
              </w:rPr>
            </w:pPr>
            <w:bookmarkStart w:id="66" w:name="OLE_LINK36"/>
            <w:bookmarkStart w:id="67" w:name="OLE_LINK37"/>
            <w:r>
              <w:rPr>
                <w:rFonts w:hint="eastAsia" w:ascii="宋体" w:hAnsi="宋体"/>
                <w:color w:val="auto"/>
                <w:szCs w:val="21"/>
              </w:rPr>
              <w:t>宁波前湾新区海真学校</w:t>
            </w:r>
            <w:bookmarkEnd w:id="66"/>
            <w:bookmarkEnd w:id="67"/>
          </w:p>
        </w:tc>
        <w:tc>
          <w:tcPr>
            <w:tcW w:w="3402" w:type="dxa"/>
            <w:vAlign w:val="center"/>
          </w:tcPr>
          <w:p w14:paraId="5BAEB711">
            <w:pPr>
              <w:spacing w:line="400" w:lineRule="exact"/>
              <w:jc w:val="center"/>
              <w:rPr>
                <w:rFonts w:ascii="宋体" w:hAnsi="宋体"/>
                <w:color w:val="auto"/>
                <w:szCs w:val="21"/>
              </w:rPr>
            </w:pPr>
            <w:r>
              <w:rPr>
                <w:rFonts w:hint="eastAsia" w:ascii="宋体" w:hAnsi="宋体"/>
                <w:color w:val="auto"/>
                <w:szCs w:val="21"/>
              </w:rPr>
              <w:t>宁波前湾新区</w:t>
            </w:r>
            <w:r>
              <w:rPr>
                <w:rFonts w:ascii="宋体" w:hAnsi="宋体"/>
                <w:color w:val="auto"/>
                <w:szCs w:val="21"/>
              </w:rPr>
              <w:t>滨海六路1439号</w:t>
            </w:r>
          </w:p>
        </w:tc>
        <w:tc>
          <w:tcPr>
            <w:tcW w:w="1211" w:type="dxa"/>
            <w:vAlign w:val="center"/>
          </w:tcPr>
          <w:p w14:paraId="77A3154F">
            <w:pPr>
              <w:spacing w:line="400" w:lineRule="exact"/>
              <w:jc w:val="center"/>
              <w:rPr>
                <w:rFonts w:ascii="宋体" w:hAnsi="宋体"/>
                <w:color w:val="auto"/>
                <w:szCs w:val="21"/>
              </w:rPr>
            </w:pPr>
            <w:r>
              <w:rPr>
                <w:rFonts w:ascii="宋体" w:hAnsi="宋体"/>
                <w:color w:val="auto"/>
                <w:szCs w:val="21"/>
              </w:rPr>
              <w:t>741</w:t>
            </w:r>
          </w:p>
        </w:tc>
      </w:tr>
      <w:tr w14:paraId="3442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14:paraId="37A9BFAD">
            <w:pPr>
              <w:spacing w:line="400" w:lineRule="exact"/>
              <w:jc w:val="center"/>
              <w:rPr>
                <w:rFonts w:ascii="宋体" w:hAnsi="宋体"/>
                <w:color w:val="auto"/>
                <w:szCs w:val="21"/>
              </w:rPr>
            </w:pPr>
          </w:p>
        </w:tc>
        <w:tc>
          <w:tcPr>
            <w:tcW w:w="1276" w:type="dxa"/>
            <w:vMerge w:val="continue"/>
            <w:vAlign w:val="center"/>
          </w:tcPr>
          <w:p w14:paraId="15DA2BED">
            <w:pPr>
              <w:spacing w:line="400" w:lineRule="exact"/>
              <w:jc w:val="center"/>
              <w:rPr>
                <w:rFonts w:ascii="宋体" w:hAnsi="宋体"/>
                <w:color w:val="auto"/>
                <w:szCs w:val="21"/>
              </w:rPr>
            </w:pPr>
          </w:p>
        </w:tc>
        <w:tc>
          <w:tcPr>
            <w:tcW w:w="3118" w:type="dxa"/>
            <w:vAlign w:val="center"/>
          </w:tcPr>
          <w:p w14:paraId="1BE50C03">
            <w:pPr>
              <w:spacing w:line="400" w:lineRule="exact"/>
              <w:jc w:val="center"/>
              <w:rPr>
                <w:rFonts w:ascii="宋体" w:hAnsi="宋体"/>
                <w:color w:val="auto"/>
                <w:szCs w:val="21"/>
              </w:rPr>
            </w:pPr>
            <w:r>
              <w:rPr>
                <w:rFonts w:hint="eastAsia" w:ascii="宋体" w:hAnsi="宋体"/>
                <w:color w:val="auto"/>
                <w:szCs w:val="21"/>
              </w:rPr>
              <w:t>宁波前湾新区初级中学</w:t>
            </w:r>
          </w:p>
        </w:tc>
        <w:tc>
          <w:tcPr>
            <w:tcW w:w="3402" w:type="dxa"/>
            <w:vAlign w:val="center"/>
          </w:tcPr>
          <w:p w14:paraId="207E7CCE">
            <w:pPr>
              <w:spacing w:line="400" w:lineRule="exact"/>
              <w:jc w:val="center"/>
              <w:rPr>
                <w:rFonts w:ascii="宋体" w:hAnsi="宋体"/>
                <w:color w:val="auto"/>
                <w:szCs w:val="21"/>
              </w:rPr>
            </w:pPr>
            <w:r>
              <w:rPr>
                <w:rFonts w:hint="eastAsia" w:ascii="宋体" w:hAnsi="宋体"/>
                <w:color w:val="auto"/>
                <w:szCs w:val="21"/>
              </w:rPr>
              <w:t>宁波前湾新区滨海四路1019号</w:t>
            </w:r>
          </w:p>
        </w:tc>
        <w:tc>
          <w:tcPr>
            <w:tcW w:w="1211" w:type="dxa"/>
            <w:vAlign w:val="center"/>
          </w:tcPr>
          <w:p w14:paraId="6004B1DA">
            <w:pPr>
              <w:spacing w:line="400" w:lineRule="exact"/>
              <w:jc w:val="center"/>
              <w:rPr>
                <w:rFonts w:ascii="宋体" w:hAnsi="宋体"/>
                <w:color w:val="auto"/>
                <w:szCs w:val="21"/>
              </w:rPr>
            </w:pPr>
            <w:r>
              <w:rPr>
                <w:rFonts w:ascii="宋体" w:hAnsi="宋体"/>
                <w:color w:val="auto"/>
                <w:szCs w:val="21"/>
              </w:rPr>
              <w:t>1160</w:t>
            </w:r>
          </w:p>
        </w:tc>
      </w:tr>
      <w:tr w14:paraId="62B0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14:paraId="7164D75E">
            <w:pPr>
              <w:spacing w:line="400" w:lineRule="exact"/>
              <w:jc w:val="center"/>
              <w:rPr>
                <w:rFonts w:ascii="宋体" w:hAnsi="宋体"/>
                <w:color w:val="auto"/>
                <w:szCs w:val="21"/>
              </w:rPr>
            </w:pPr>
          </w:p>
        </w:tc>
        <w:tc>
          <w:tcPr>
            <w:tcW w:w="1276" w:type="dxa"/>
            <w:vMerge w:val="continue"/>
            <w:vAlign w:val="center"/>
          </w:tcPr>
          <w:p w14:paraId="75917BFB">
            <w:pPr>
              <w:spacing w:line="400" w:lineRule="exact"/>
              <w:jc w:val="center"/>
              <w:rPr>
                <w:rFonts w:ascii="宋体" w:hAnsi="宋体"/>
                <w:color w:val="auto"/>
                <w:szCs w:val="21"/>
              </w:rPr>
            </w:pPr>
          </w:p>
        </w:tc>
        <w:tc>
          <w:tcPr>
            <w:tcW w:w="3118" w:type="dxa"/>
            <w:vAlign w:val="center"/>
          </w:tcPr>
          <w:p w14:paraId="0F35FB00">
            <w:pPr>
              <w:spacing w:line="400" w:lineRule="exact"/>
              <w:jc w:val="center"/>
              <w:rPr>
                <w:rFonts w:ascii="宋体" w:hAnsi="宋体"/>
                <w:color w:val="auto"/>
                <w:szCs w:val="21"/>
              </w:rPr>
            </w:pPr>
            <w:bookmarkStart w:id="68" w:name="OLE_LINK38"/>
            <w:bookmarkStart w:id="69" w:name="OLE_LINK39"/>
            <w:r>
              <w:rPr>
                <w:rFonts w:hint="eastAsia" w:ascii="宋体" w:hAnsi="宋体"/>
                <w:color w:val="auto"/>
                <w:szCs w:val="21"/>
              </w:rPr>
              <w:t>宁波前湾新区科学初级中学</w:t>
            </w:r>
            <w:bookmarkEnd w:id="68"/>
            <w:bookmarkEnd w:id="69"/>
          </w:p>
        </w:tc>
        <w:tc>
          <w:tcPr>
            <w:tcW w:w="3402" w:type="dxa"/>
            <w:vAlign w:val="center"/>
          </w:tcPr>
          <w:p w14:paraId="7C5CFEF8">
            <w:pPr>
              <w:spacing w:line="400" w:lineRule="exact"/>
              <w:jc w:val="center"/>
              <w:rPr>
                <w:rFonts w:ascii="宋体" w:hAnsi="宋体"/>
                <w:color w:val="auto"/>
                <w:szCs w:val="21"/>
              </w:rPr>
            </w:pPr>
            <w:r>
              <w:rPr>
                <w:rFonts w:ascii="宋体" w:hAnsi="宋体"/>
                <w:color w:val="auto"/>
                <w:szCs w:val="21"/>
              </w:rPr>
              <w:t>宁波前湾新区修远路9号</w:t>
            </w:r>
          </w:p>
        </w:tc>
        <w:tc>
          <w:tcPr>
            <w:tcW w:w="1211" w:type="dxa"/>
            <w:vAlign w:val="center"/>
          </w:tcPr>
          <w:p w14:paraId="4E880D81">
            <w:pPr>
              <w:spacing w:line="400" w:lineRule="exact"/>
              <w:jc w:val="center"/>
              <w:rPr>
                <w:rFonts w:ascii="宋体" w:hAnsi="宋体"/>
                <w:color w:val="auto"/>
                <w:szCs w:val="21"/>
              </w:rPr>
            </w:pPr>
            <w:r>
              <w:rPr>
                <w:rFonts w:ascii="宋体" w:hAnsi="宋体"/>
                <w:color w:val="auto"/>
                <w:szCs w:val="21"/>
              </w:rPr>
              <w:t>890</w:t>
            </w:r>
          </w:p>
        </w:tc>
      </w:tr>
      <w:bookmarkEnd w:id="62"/>
    </w:tbl>
    <w:p w14:paraId="155A9643">
      <w:pPr>
        <w:spacing w:line="400" w:lineRule="exact"/>
        <w:rPr>
          <w:rFonts w:ascii="宋体" w:hAnsi="宋体"/>
          <w:b/>
          <w:color w:val="auto"/>
          <w:szCs w:val="21"/>
        </w:rPr>
      </w:pPr>
      <w:r>
        <w:rPr>
          <w:rFonts w:hint="eastAsia" w:ascii="宋体" w:hAnsi="宋体"/>
          <w:b/>
          <w:color w:val="auto"/>
          <w:szCs w:val="21"/>
        </w:rPr>
        <w:t>注：1、上表中的数量为暂定的采购量，最终采购量视各使用学校实际需求确定，采购人将根据中标供应商的中标单价以及实际采购量按实结算费用。结算总额不超过本项目预算金额。</w:t>
      </w:r>
    </w:p>
    <w:p w14:paraId="6024ADED">
      <w:pPr>
        <w:spacing w:line="400" w:lineRule="exact"/>
        <w:rPr>
          <w:rFonts w:ascii="宋体" w:hAnsi="宋体"/>
          <w:b/>
          <w:color w:val="auto"/>
          <w:szCs w:val="21"/>
        </w:rPr>
      </w:pPr>
      <w:r>
        <w:rPr>
          <w:rFonts w:hint="eastAsia" w:ascii="宋体" w:hAnsi="宋体"/>
          <w:b/>
          <w:color w:val="auto"/>
          <w:szCs w:val="21"/>
        </w:rPr>
        <w:t>▲2、午休垫设有单价最高限价：135元/件。投标单价超出单价最高限价的投标无效。</w:t>
      </w:r>
    </w:p>
    <w:p w14:paraId="44C0203B">
      <w:pPr>
        <w:spacing w:line="400" w:lineRule="exact"/>
        <w:rPr>
          <w:rFonts w:ascii="宋体" w:hAnsi="宋体"/>
          <w:b/>
          <w:color w:val="auto"/>
          <w:szCs w:val="21"/>
        </w:rPr>
      </w:pPr>
      <w:r>
        <w:rPr>
          <w:rFonts w:hint="eastAsia" w:ascii="宋体" w:hAnsi="宋体"/>
          <w:b/>
          <w:color w:val="auto"/>
          <w:szCs w:val="21"/>
        </w:rPr>
        <w:t>二、技术要求</w:t>
      </w:r>
    </w:p>
    <w:tbl>
      <w:tblPr>
        <w:tblStyle w:val="44"/>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7802"/>
        <w:gridCol w:w="1180"/>
      </w:tblGrid>
      <w:tr w14:paraId="3869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48" w:type="dxa"/>
            <w:vAlign w:val="center"/>
          </w:tcPr>
          <w:p w14:paraId="5C68D64A">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序号</w:t>
            </w:r>
          </w:p>
        </w:tc>
        <w:tc>
          <w:tcPr>
            <w:tcW w:w="7802" w:type="dxa"/>
            <w:vAlign w:val="center"/>
          </w:tcPr>
          <w:p w14:paraId="447299A1">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技术要求</w:t>
            </w:r>
          </w:p>
        </w:tc>
        <w:tc>
          <w:tcPr>
            <w:tcW w:w="1180" w:type="dxa"/>
            <w:vAlign w:val="center"/>
          </w:tcPr>
          <w:p w14:paraId="4523BCEE">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投标响应</w:t>
            </w:r>
          </w:p>
        </w:tc>
      </w:tr>
      <w:tr w14:paraId="0886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0" w:type="dxa"/>
            <w:gridSpan w:val="3"/>
            <w:vAlign w:val="center"/>
          </w:tcPr>
          <w:p w14:paraId="31C2818D">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整体要求</w:t>
            </w:r>
          </w:p>
        </w:tc>
      </w:tr>
      <w:tr w14:paraId="1035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4D8B8693">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1.1</w:t>
            </w:r>
          </w:p>
        </w:tc>
        <w:tc>
          <w:tcPr>
            <w:tcW w:w="7802" w:type="dxa"/>
            <w:vAlign w:val="center"/>
          </w:tcPr>
          <w:p w14:paraId="7C80C375">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整体展开尺寸：180cm×50cm×5cm，长、宽尺寸偏差（±0.5cm）,高尺寸偏差（＋0.5cm），折叠收纳、三折、每个折面尺寸相等，头枕左右两侧尺寸≤20cm。</w:t>
            </w:r>
          </w:p>
        </w:tc>
        <w:tc>
          <w:tcPr>
            <w:tcW w:w="1180" w:type="dxa"/>
          </w:tcPr>
          <w:p w14:paraId="6FDB30BE">
            <w:pPr>
              <w:spacing w:line="400" w:lineRule="exact"/>
              <w:jc w:val="center"/>
              <w:rPr>
                <w:rFonts w:asciiTheme="minorEastAsia" w:hAnsiTheme="minorEastAsia" w:eastAsiaTheme="minorEastAsia"/>
                <w:bCs/>
                <w:color w:val="auto"/>
                <w:szCs w:val="21"/>
              </w:rPr>
            </w:pPr>
          </w:p>
        </w:tc>
      </w:tr>
      <w:tr w14:paraId="60D8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1DF428A">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1.2</w:t>
            </w:r>
          </w:p>
        </w:tc>
        <w:tc>
          <w:tcPr>
            <w:tcW w:w="7802" w:type="dxa"/>
            <w:vAlign w:val="center"/>
          </w:tcPr>
          <w:p w14:paraId="5DD10BA0">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午休垫整体无破损、无污渍、无明显色差、无刺触感、无明显软硬不均感，紧实无皱折，里外层不发生相对位移，附件尖端和边缘锐利性不应存在。</w:t>
            </w:r>
          </w:p>
        </w:tc>
        <w:tc>
          <w:tcPr>
            <w:tcW w:w="1180" w:type="dxa"/>
          </w:tcPr>
          <w:p w14:paraId="38B4B870">
            <w:pPr>
              <w:spacing w:line="400" w:lineRule="exact"/>
              <w:jc w:val="center"/>
              <w:rPr>
                <w:rFonts w:asciiTheme="minorEastAsia" w:hAnsiTheme="minorEastAsia" w:eastAsiaTheme="minorEastAsia"/>
                <w:bCs/>
                <w:color w:val="auto"/>
                <w:szCs w:val="21"/>
              </w:rPr>
            </w:pPr>
          </w:p>
        </w:tc>
      </w:tr>
      <w:tr w14:paraId="4D70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54DD2B76">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1.3</w:t>
            </w:r>
          </w:p>
        </w:tc>
        <w:tc>
          <w:tcPr>
            <w:tcW w:w="7802" w:type="dxa"/>
            <w:vAlign w:val="center"/>
          </w:tcPr>
          <w:p w14:paraId="4D103E1D">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午休垫整体缝制松紧一致、无断线，缝边顺直，整幅面料，无拼幅、无接头，做工精致、包边整齐、四周圆弧均匀对称，无露毛边；缝纫线缝合，针脚密度高。</w:t>
            </w:r>
          </w:p>
        </w:tc>
        <w:tc>
          <w:tcPr>
            <w:tcW w:w="1180" w:type="dxa"/>
          </w:tcPr>
          <w:p w14:paraId="3DDB44DB">
            <w:pPr>
              <w:spacing w:line="400" w:lineRule="exact"/>
              <w:jc w:val="center"/>
              <w:rPr>
                <w:rFonts w:asciiTheme="minorEastAsia" w:hAnsiTheme="minorEastAsia" w:eastAsiaTheme="minorEastAsia"/>
                <w:bCs/>
                <w:color w:val="auto"/>
                <w:szCs w:val="21"/>
              </w:rPr>
            </w:pPr>
          </w:p>
        </w:tc>
      </w:tr>
      <w:tr w14:paraId="4B68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4CD5936A">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1.4</w:t>
            </w:r>
          </w:p>
        </w:tc>
        <w:tc>
          <w:tcPr>
            <w:tcW w:w="7802" w:type="dxa"/>
            <w:vAlign w:val="center"/>
          </w:tcPr>
          <w:p w14:paraId="1A2B4EF7">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午休垫无明显产生不适感的异味。</w:t>
            </w:r>
          </w:p>
        </w:tc>
        <w:tc>
          <w:tcPr>
            <w:tcW w:w="1180" w:type="dxa"/>
          </w:tcPr>
          <w:p w14:paraId="31536D84">
            <w:pPr>
              <w:spacing w:line="400" w:lineRule="exact"/>
              <w:jc w:val="center"/>
              <w:rPr>
                <w:rFonts w:asciiTheme="minorEastAsia" w:hAnsiTheme="minorEastAsia" w:eastAsiaTheme="minorEastAsia"/>
                <w:bCs/>
                <w:color w:val="auto"/>
                <w:szCs w:val="21"/>
              </w:rPr>
            </w:pPr>
          </w:p>
        </w:tc>
      </w:tr>
      <w:tr w14:paraId="3EC0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4D6BE06A">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1.5</w:t>
            </w:r>
          </w:p>
        </w:tc>
        <w:tc>
          <w:tcPr>
            <w:tcW w:w="7802" w:type="dxa"/>
            <w:vAlign w:val="center"/>
          </w:tcPr>
          <w:p w14:paraId="4AC543A6">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午休垫折叠成整体后两侧安装提手、连接件方便整体携带与固定，提手和连接件位置应对整齐，方便收纳与携带。</w:t>
            </w:r>
          </w:p>
        </w:tc>
        <w:tc>
          <w:tcPr>
            <w:tcW w:w="1180" w:type="dxa"/>
          </w:tcPr>
          <w:p w14:paraId="3CD8F02D">
            <w:pPr>
              <w:spacing w:line="400" w:lineRule="exact"/>
              <w:jc w:val="center"/>
              <w:rPr>
                <w:rFonts w:asciiTheme="minorEastAsia" w:hAnsiTheme="minorEastAsia" w:eastAsiaTheme="minorEastAsia"/>
                <w:bCs/>
                <w:color w:val="auto"/>
                <w:szCs w:val="21"/>
              </w:rPr>
            </w:pPr>
          </w:p>
        </w:tc>
      </w:tr>
      <w:tr w14:paraId="0FFF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B174073">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1.6</w:t>
            </w:r>
          </w:p>
        </w:tc>
        <w:tc>
          <w:tcPr>
            <w:tcW w:w="7802" w:type="dxa"/>
            <w:vAlign w:val="center"/>
          </w:tcPr>
          <w:p w14:paraId="5D78E3DD">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午休垫有拉链设计，芯料可以放入与取出，方便面料清洁。</w:t>
            </w:r>
          </w:p>
        </w:tc>
        <w:tc>
          <w:tcPr>
            <w:tcW w:w="1180" w:type="dxa"/>
          </w:tcPr>
          <w:p w14:paraId="42EB3355">
            <w:pPr>
              <w:spacing w:line="400" w:lineRule="exact"/>
              <w:jc w:val="center"/>
              <w:rPr>
                <w:rFonts w:asciiTheme="minorEastAsia" w:hAnsiTheme="minorEastAsia" w:eastAsiaTheme="minorEastAsia"/>
                <w:bCs/>
                <w:color w:val="auto"/>
                <w:szCs w:val="21"/>
              </w:rPr>
            </w:pPr>
          </w:p>
        </w:tc>
      </w:tr>
      <w:tr w14:paraId="3960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747053F2">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1.7</w:t>
            </w:r>
          </w:p>
        </w:tc>
        <w:tc>
          <w:tcPr>
            <w:tcW w:w="7802" w:type="dxa"/>
            <w:vAlign w:val="center"/>
          </w:tcPr>
          <w:p w14:paraId="367F1D89">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午休垫具有折叠头枕功能、底部具有防滑功能。</w:t>
            </w:r>
          </w:p>
        </w:tc>
        <w:tc>
          <w:tcPr>
            <w:tcW w:w="1180" w:type="dxa"/>
          </w:tcPr>
          <w:p w14:paraId="50996D7C">
            <w:pPr>
              <w:spacing w:line="400" w:lineRule="exact"/>
              <w:jc w:val="center"/>
              <w:rPr>
                <w:rFonts w:asciiTheme="minorEastAsia" w:hAnsiTheme="minorEastAsia" w:eastAsiaTheme="minorEastAsia"/>
                <w:bCs/>
                <w:color w:val="auto"/>
                <w:szCs w:val="21"/>
              </w:rPr>
            </w:pPr>
          </w:p>
        </w:tc>
      </w:tr>
      <w:tr w14:paraId="26C4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345C5C3">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1.8</w:t>
            </w:r>
          </w:p>
        </w:tc>
        <w:tc>
          <w:tcPr>
            <w:tcW w:w="7802" w:type="dxa"/>
            <w:vAlign w:val="center"/>
          </w:tcPr>
          <w:p w14:paraId="6F291EAB">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午休垫是当年全新生产，未使用过的合格产品。</w:t>
            </w:r>
          </w:p>
        </w:tc>
        <w:tc>
          <w:tcPr>
            <w:tcW w:w="1180" w:type="dxa"/>
          </w:tcPr>
          <w:p w14:paraId="0108C5BD">
            <w:pPr>
              <w:spacing w:line="400" w:lineRule="exact"/>
              <w:jc w:val="center"/>
              <w:rPr>
                <w:rFonts w:asciiTheme="minorEastAsia" w:hAnsiTheme="minorEastAsia" w:eastAsiaTheme="minorEastAsia"/>
                <w:bCs/>
                <w:color w:val="auto"/>
                <w:szCs w:val="21"/>
              </w:rPr>
            </w:pPr>
          </w:p>
        </w:tc>
      </w:tr>
      <w:tr w14:paraId="5BB1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0" w:type="dxa"/>
            <w:gridSpan w:val="3"/>
            <w:vAlign w:val="center"/>
          </w:tcPr>
          <w:p w14:paraId="16F769FB">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面料（午休垫套）</w:t>
            </w:r>
          </w:p>
        </w:tc>
      </w:tr>
      <w:tr w14:paraId="0CF8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F0D428A">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2.1</w:t>
            </w:r>
          </w:p>
        </w:tc>
        <w:tc>
          <w:tcPr>
            <w:tcW w:w="7802" w:type="dxa"/>
            <w:vAlign w:val="center"/>
          </w:tcPr>
          <w:p w14:paraId="3E722B13">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面料：纺织面料（棉麻或仿棉麻）。</w:t>
            </w:r>
          </w:p>
        </w:tc>
        <w:tc>
          <w:tcPr>
            <w:tcW w:w="1180" w:type="dxa"/>
          </w:tcPr>
          <w:p w14:paraId="4673D40B">
            <w:pPr>
              <w:spacing w:line="400" w:lineRule="exact"/>
              <w:jc w:val="center"/>
              <w:rPr>
                <w:rFonts w:asciiTheme="minorEastAsia" w:hAnsiTheme="minorEastAsia" w:eastAsiaTheme="minorEastAsia"/>
                <w:bCs/>
                <w:color w:val="auto"/>
                <w:szCs w:val="21"/>
              </w:rPr>
            </w:pPr>
          </w:p>
        </w:tc>
      </w:tr>
      <w:tr w14:paraId="0811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0BB890E1">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2.2</w:t>
            </w:r>
          </w:p>
        </w:tc>
        <w:tc>
          <w:tcPr>
            <w:tcW w:w="7802" w:type="dxa"/>
            <w:vAlign w:val="center"/>
          </w:tcPr>
          <w:p w14:paraId="26DD2169">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面料：面料无破损、无污渍、无明显色差、无刺触感、无明显软硬不均感。</w:t>
            </w:r>
          </w:p>
        </w:tc>
        <w:tc>
          <w:tcPr>
            <w:tcW w:w="1180" w:type="dxa"/>
          </w:tcPr>
          <w:p w14:paraId="43524B0D">
            <w:pPr>
              <w:spacing w:line="400" w:lineRule="exact"/>
              <w:jc w:val="center"/>
              <w:rPr>
                <w:rFonts w:asciiTheme="minorEastAsia" w:hAnsiTheme="minorEastAsia" w:eastAsiaTheme="minorEastAsia"/>
                <w:bCs/>
                <w:color w:val="auto"/>
                <w:szCs w:val="21"/>
              </w:rPr>
            </w:pPr>
          </w:p>
        </w:tc>
      </w:tr>
      <w:tr w14:paraId="6E31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27EB5836">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2.3</w:t>
            </w:r>
          </w:p>
        </w:tc>
        <w:tc>
          <w:tcPr>
            <w:tcW w:w="7802" w:type="dxa"/>
            <w:vAlign w:val="center"/>
          </w:tcPr>
          <w:p w14:paraId="790A85B1">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面料：面料无破边、破洞、拉毛、油污斑渍，布面均匀、平坦、厚薄一致，无异味、无刺激。</w:t>
            </w:r>
          </w:p>
        </w:tc>
        <w:tc>
          <w:tcPr>
            <w:tcW w:w="1180" w:type="dxa"/>
          </w:tcPr>
          <w:p w14:paraId="568C5A88">
            <w:pPr>
              <w:spacing w:line="400" w:lineRule="exact"/>
              <w:jc w:val="center"/>
              <w:rPr>
                <w:rFonts w:asciiTheme="minorEastAsia" w:hAnsiTheme="minorEastAsia" w:eastAsiaTheme="minorEastAsia"/>
                <w:bCs/>
                <w:color w:val="auto"/>
                <w:szCs w:val="21"/>
              </w:rPr>
            </w:pPr>
          </w:p>
        </w:tc>
      </w:tr>
      <w:tr w14:paraId="4238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2CECE1D">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2.4</w:t>
            </w:r>
          </w:p>
        </w:tc>
        <w:tc>
          <w:tcPr>
            <w:tcW w:w="7802" w:type="dxa"/>
            <w:vAlign w:val="center"/>
          </w:tcPr>
          <w:p w14:paraId="6F108BDA">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面料：面料不应使用医用纤维性废弃物、废旧纤维制品及其他类似受污染的材料。</w:t>
            </w:r>
          </w:p>
        </w:tc>
        <w:tc>
          <w:tcPr>
            <w:tcW w:w="1180" w:type="dxa"/>
          </w:tcPr>
          <w:p w14:paraId="76904F4E">
            <w:pPr>
              <w:spacing w:line="400" w:lineRule="exact"/>
              <w:jc w:val="center"/>
              <w:rPr>
                <w:rFonts w:asciiTheme="minorEastAsia" w:hAnsiTheme="minorEastAsia" w:eastAsiaTheme="minorEastAsia"/>
                <w:bCs/>
                <w:color w:val="auto"/>
                <w:szCs w:val="21"/>
              </w:rPr>
            </w:pPr>
          </w:p>
        </w:tc>
      </w:tr>
      <w:tr w14:paraId="491F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73EEF49D">
            <w:pPr>
              <w:spacing w:line="400" w:lineRule="exact"/>
              <w:jc w:val="center"/>
              <w:rPr>
                <w:rFonts w:asciiTheme="minorEastAsia" w:hAnsiTheme="minorEastAsia" w:eastAsiaTheme="minorEastAsia"/>
                <w:bCs/>
                <w:color w:val="auto"/>
                <w:szCs w:val="21"/>
              </w:rPr>
            </w:pPr>
            <w:r>
              <w:rPr>
                <w:rFonts w:hint="eastAsia" w:ascii="宋体" w:hAnsi="宋体"/>
                <w:b/>
                <w:color w:val="auto"/>
                <w:szCs w:val="21"/>
              </w:rPr>
              <w:t>▲</w:t>
            </w:r>
            <w:r>
              <w:rPr>
                <w:rFonts w:hint="eastAsia" w:asciiTheme="minorEastAsia" w:hAnsiTheme="minorEastAsia" w:eastAsiaTheme="minorEastAsia"/>
                <w:bCs/>
                <w:color w:val="auto"/>
                <w:szCs w:val="21"/>
              </w:rPr>
              <w:t>2.5</w:t>
            </w:r>
          </w:p>
        </w:tc>
        <w:tc>
          <w:tcPr>
            <w:tcW w:w="7802" w:type="dxa"/>
            <w:vAlign w:val="center"/>
          </w:tcPr>
          <w:p w14:paraId="59DEBB90">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面料：染色牢度耐酸汗渍≥3级，耐碱汗渍≥3级，耐干摩擦≥3级。</w:t>
            </w:r>
          </w:p>
          <w:p w14:paraId="63299E2E">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
                <w:bCs/>
                <w:color w:val="auto"/>
                <w:szCs w:val="21"/>
              </w:rPr>
              <w:t>投标文件中提供带有CMA或CNAS标志的面料染色牢度的检测报告扫描件，</w:t>
            </w:r>
            <w:r>
              <w:rPr>
                <w:rFonts w:hint="eastAsia" w:asciiTheme="minorEastAsia" w:hAnsiTheme="minorEastAsia" w:eastAsiaTheme="minorEastAsia"/>
                <w:b/>
                <w:color w:val="auto"/>
                <w:szCs w:val="21"/>
              </w:rPr>
              <w:t>以及检测报告在“全国认证认可信息公共服务平台”可查的网页截图扫描件加盖供应商公章</w:t>
            </w:r>
            <w:r>
              <w:rPr>
                <w:rFonts w:hint="eastAsia" w:asciiTheme="minorEastAsia" w:hAnsiTheme="minorEastAsia" w:eastAsiaTheme="minorEastAsia"/>
                <w:b/>
                <w:bCs/>
                <w:color w:val="auto"/>
                <w:szCs w:val="21"/>
              </w:rPr>
              <w:t>，未完整提供证明材料或检测报告无法完整体现以上内容的本项视作负偏离。</w:t>
            </w:r>
          </w:p>
        </w:tc>
        <w:tc>
          <w:tcPr>
            <w:tcW w:w="1180" w:type="dxa"/>
          </w:tcPr>
          <w:p w14:paraId="7778BC22">
            <w:pPr>
              <w:spacing w:line="400" w:lineRule="exact"/>
              <w:jc w:val="center"/>
              <w:rPr>
                <w:rFonts w:asciiTheme="minorEastAsia" w:hAnsiTheme="minorEastAsia" w:eastAsiaTheme="minorEastAsia"/>
                <w:bCs/>
                <w:color w:val="auto"/>
                <w:szCs w:val="21"/>
              </w:rPr>
            </w:pPr>
          </w:p>
        </w:tc>
      </w:tr>
      <w:tr w14:paraId="588B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4D454A69">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★2.6</w:t>
            </w:r>
          </w:p>
        </w:tc>
        <w:tc>
          <w:tcPr>
            <w:tcW w:w="7802" w:type="dxa"/>
            <w:vAlign w:val="center"/>
          </w:tcPr>
          <w:p w14:paraId="6E163221">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面料：4.0≤pH值≤8.5。</w:t>
            </w:r>
          </w:p>
        </w:tc>
        <w:tc>
          <w:tcPr>
            <w:tcW w:w="1180" w:type="dxa"/>
          </w:tcPr>
          <w:p w14:paraId="33CA0129">
            <w:pPr>
              <w:spacing w:line="400" w:lineRule="exact"/>
              <w:jc w:val="center"/>
              <w:rPr>
                <w:rFonts w:asciiTheme="minorEastAsia" w:hAnsiTheme="minorEastAsia" w:eastAsiaTheme="minorEastAsia"/>
                <w:bCs/>
                <w:color w:val="auto"/>
                <w:szCs w:val="21"/>
              </w:rPr>
            </w:pPr>
          </w:p>
        </w:tc>
      </w:tr>
      <w:tr w14:paraId="5256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64E8AC01">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★2.7</w:t>
            </w:r>
          </w:p>
        </w:tc>
        <w:tc>
          <w:tcPr>
            <w:tcW w:w="7802" w:type="dxa"/>
            <w:vAlign w:val="center"/>
          </w:tcPr>
          <w:p w14:paraId="707BD501">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面料：克重≥300g/㎡。</w:t>
            </w:r>
          </w:p>
        </w:tc>
        <w:tc>
          <w:tcPr>
            <w:tcW w:w="1180" w:type="dxa"/>
          </w:tcPr>
          <w:p w14:paraId="18B584C9">
            <w:pPr>
              <w:spacing w:line="400" w:lineRule="exact"/>
              <w:jc w:val="center"/>
              <w:rPr>
                <w:rFonts w:asciiTheme="minorEastAsia" w:hAnsiTheme="minorEastAsia" w:eastAsiaTheme="minorEastAsia"/>
                <w:bCs/>
                <w:color w:val="auto"/>
                <w:szCs w:val="21"/>
              </w:rPr>
            </w:pPr>
          </w:p>
        </w:tc>
      </w:tr>
      <w:tr w14:paraId="5229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48B4986">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2.8</w:t>
            </w:r>
          </w:p>
        </w:tc>
        <w:tc>
          <w:tcPr>
            <w:tcW w:w="7802" w:type="dxa"/>
            <w:vAlign w:val="center"/>
          </w:tcPr>
          <w:p w14:paraId="6908B5DA">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底布：采用聚酯纤维面料。</w:t>
            </w:r>
          </w:p>
        </w:tc>
        <w:tc>
          <w:tcPr>
            <w:tcW w:w="1180" w:type="dxa"/>
          </w:tcPr>
          <w:p w14:paraId="7695D5DA">
            <w:pPr>
              <w:spacing w:line="400" w:lineRule="exact"/>
              <w:jc w:val="center"/>
              <w:rPr>
                <w:rFonts w:asciiTheme="minorEastAsia" w:hAnsiTheme="minorEastAsia" w:eastAsiaTheme="minorEastAsia"/>
                <w:bCs/>
                <w:color w:val="auto"/>
                <w:szCs w:val="21"/>
              </w:rPr>
            </w:pPr>
          </w:p>
        </w:tc>
      </w:tr>
      <w:tr w14:paraId="39E5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173FCFD1">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2.9</w:t>
            </w:r>
          </w:p>
        </w:tc>
        <w:tc>
          <w:tcPr>
            <w:tcW w:w="7802" w:type="dxa"/>
            <w:vAlign w:val="center"/>
          </w:tcPr>
          <w:p w14:paraId="66A63F46">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底布：有防滑功能，具有良好的防潮、耐磨性、防撕性。</w:t>
            </w:r>
          </w:p>
        </w:tc>
        <w:tc>
          <w:tcPr>
            <w:tcW w:w="1180" w:type="dxa"/>
          </w:tcPr>
          <w:p w14:paraId="29E581D4">
            <w:pPr>
              <w:spacing w:line="400" w:lineRule="exact"/>
              <w:jc w:val="center"/>
              <w:rPr>
                <w:rFonts w:asciiTheme="minorEastAsia" w:hAnsiTheme="minorEastAsia" w:eastAsiaTheme="minorEastAsia"/>
                <w:bCs/>
                <w:color w:val="auto"/>
                <w:szCs w:val="21"/>
              </w:rPr>
            </w:pPr>
          </w:p>
        </w:tc>
      </w:tr>
      <w:tr w14:paraId="3C1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35C6ACF">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2.10</w:t>
            </w:r>
          </w:p>
        </w:tc>
        <w:tc>
          <w:tcPr>
            <w:tcW w:w="7802" w:type="dxa"/>
            <w:vAlign w:val="center"/>
          </w:tcPr>
          <w:p w14:paraId="177531CC">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底布：克重≥200g/㎡。</w:t>
            </w:r>
          </w:p>
        </w:tc>
        <w:tc>
          <w:tcPr>
            <w:tcW w:w="1180" w:type="dxa"/>
          </w:tcPr>
          <w:p w14:paraId="55DDBDBB">
            <w:pPr>
              <w:spacing w:line="400" w:lineRule="exact"/>
              <w:jc w:val="center"/>
              <w:rPr>
                <w:rFonts w:asciiTheme="minorEastAsia" w:hAnsiTheme="minorEastAsia" w:eastAsiaTheme="minorEastAsia"/>
                <w:bCs/>
                <w:color w:val="auto"/>
                <w:szCs w:val="21"/>
              </w:rPr>
            </w:pPr>
          </w:p>
        </w:tc>
      </w:tr>
      <w:tr w14:paraId="4140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0" w:type="dxa"/>
            <w:gridSpan w:val="3"/>
            <w:vAlign w:val="center"/>
          </w:tcPr>
          <w:p w14:paraId="23132654">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填充物</w:t>
            </w:r>
          </w:p>
        </w:tc>
      </w:tr>
      <w:tr w14:paraId="777B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4A6A92DE">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3.1</w:t>
            </w:r>
          </w:p>
        </w:tc>
        <w:tc>
          <w:tcPr>
            <w:tcW w:w="7802" w:type="dxa"/>
            <w:vAlign w:val="center"/>
          </w:tcPr>
          <w:p w14:paraId="0F8B807A">
            <w:pPr>
              <w:spacing w:line="400" w:lineRule="exact"/>
              <w:rPr>
                <w:rFonts w:asciiTheme="minorEastAsia" w:hAnsiTheme="minorEastAsia" w:eastAsiaTheme="minorEastAsia"/>
                <w:bCs/>
                <w:color w:val="auto"/>
                <w:szCs w:val="21"/>
              </w:rPr>
            </w:pPr>
            <w:bookmarkStart w:id="70" w:name="OLE_LINK23"/>
            <w:bookmarkStart w:id="71" w:name="OLE_LINK24"/>
            <w:r>
              <w:rPr>
                <w:rFonts w:hint="eastAsia" w:asciiTheme="minorEastAsia" w:hAnsiTheme="minorEastAsia" w:eastAsiaTheme="minorEastAsia"/>
                <w:bCs/>
                <w:color w:val="auto"/>
                <w:szCs w:val="21"/>
              </w:rPr>
              <w:t>填充物：</w:t>
            </w:r>
            <w:bookmarkEnd w:id="70"/>
            <w:bookmarkEnd w:id="71"/>
            <w:r>
              <w:rPr>
                <w:rFonts w:hint="eastAsia" w:asciiTheme="minorEastAsia" w:hAnsiTheme="minorEastAsia" w:eastAsiaTheme="minorEastAsia"/>
                <w:bCs/>
                <w:color w:val="auto"/>
                <w:szCs w:val="21"/>
              </w:rPr>
              <w:t>阻燃EPE珍珠棉，芯料为全新料，整块结构、无拼湊，无腐朽、霉变或霉烂等现象。</w:t>
            </w:r>
          </w:p>
        </w:tc>
        <w:tc>
          <w:tcPr>
            <w:tcW w:w="1180" w:type="dxa"/>
          </w:tcPr>
          <w:p w14:paraId="0D579DB2">
            <w:pPr>
              <w:spacing w:line="400" w:lineRule="exact"/>
              <w:jc w:val="center"/>
              <w:rPr>
                <w:rFonts w:asciiTheme="minorEastAsia" w:hAnsiTheme="minorEastAsia" w:eastAsiaTheme="minorEastAsia"/>
                <w:bCs/>
                <w:color w:val="auto"/>
                <w:szCs w:val="21"/>
              </w:rPr>
            </w:pPr>
          </w:p>
        </w:tc>
      </w:tr>
      <w:tr w14:paraId="3E82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E057C45">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★3.2</w:t>
            </w:r>
          </w:p>
        </w:tc>
        <w:tc>
          <w:tcPr>
            <w:tcW w:w="7802" w:type="dxa"/>
            <w:vAlign w:val="center"/>
          </w:tcPr>
          <w:p w14:paraId="161E3EED">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填充物：回弹性≥35%，密度≥19kg/m³。</w:t>
            </w:r>
          </w:p>
        </w:tc>
        <w:tc>
          <w:tcPr>
            <w:tcW w:w="1180" w:type="dxa"/>
          </w:tcPr>
          <w:p w14:paraId="7650066E">
            <w:pPr>
              <w:spacing w:line="400" w:lineRule="exact"/>
              <w:jc w:val="center"/>
              <w:rPr>
                <w:rFonts w:asciiTheme="minorEastAsia" w:hAnsiTheme="minorEastAsia" w:eastAsiaTheme="minorEastAsia"/>
                <w:bCs/>
                <w:color w:val="auto"/>
                <w:szCs w:val="21"/>
              </w:rPr>
            </w:pPr>
          </w:p>
        </w:tc>
      </w:tr>
      <w:tr w14:paraId="6630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53DEA192">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3.3</w:t>
            </w:r>
          </w:p>
        </w:tc>
        <w:tc>
          <w:tcPr>
            <w:tcW w:w="7802" w:type="dxa"/>
            <w:vAlign w:val="center"/>
          </w:tcPr>
          <w:p w14:paraId="260B33B4">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填充物：不得使用废旧材料、再生料，不应夹杂塑料编织材料、秸秆、刨花、纸屑、泥砂或金属等任何异物。</w:t>
            </w:r>
          </w:p>
        </w:tc>
        <w:tc>
          <w:tcPr>
            <w:tcW w:w="1180" w:type="dxa"/>
          </w:tcPr>
          <w:p w14:paraId="373B9811">
            <w:pPr>
              <w:spacing w:line="400" w:lineRule="exact"/>
              <w:jc w:val="center"/>
              <w:rPr>
                <w:rFonts w:asciiTheme="minorEastAsia" w:hAnsiTheme="minorEastAsia" w:eastAsiaTheme="minorEastAsia"/>
                <w:bCs/>
                <w:color w:val="auto"/>
                <w:szCs w:val="21"/>
              </w:rPr>
            </w:pPr>
          </w:p>
        </w:tc>
      </w:tr>
      <w:tr w14:paraId="524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4C39BE6C">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★3.4</w:t>
            </w:r>
          </w:p>
        </w:tc>
        <w:tc>
          <w:tcPr>
            <w:tcW w:w="7802" w:type="dxa"/>
            <w:vAlign w:val="center"/>
          </w:tcPr>
          <w:p w14:paraId="2DD8AA8C">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填充物：20≤邵氏硬度≤30。</w:t>
            </w:r>
          </w:p>
        </w:tc>
        <w:tc>
          <w:tcPr>
            <w:tcW w:w="1180" w:type="dxa"/>
          </w:tcPr>
          <w:p w14:paraId="52B9307A">
            <w:pPr>
              <w:spacing w:line="400" w:lineRule="exact"/>
              <w:jc w:val="center"/>
              <w:rPr>
                <w:rFonts w:asciiTheme="minorEastAsia" w:hAnsiTheme="minorEastAsia" w:eastAsiaTheme="minorEastAsia"/>
                <w:bCs/>
                <w:color w:val="auto"/>
                <w:szCs w:val="21"/>
              </w:rPr>
            </w:pPr>
          </w:p>
        </w:tc>
      </w:tr>
      <w:tr w14:paraId="6188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8AA84C5">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★3.5</w:t>
            </w:r>
          </w:p>
        </w:tc>
        <w:tc>
          <w:tcPr>
            <w:tcW w:w="7802" w:type="dxa"/>
            <w:vAlign w:val="center"/>
          </w:tcPr>
          <w:p w14:paraId="0A83A7C8">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填充物：4.0≤pH值≤8.5。</w:t>
            </w:r>
          </w:p>
        </w:tc>
        <w:tc>
          <w:tcPr>
            <w:tcW w:w="1180" w:type="dxa"/>
          </w:tcPr>
          <w:p w14:paraId="381DBB51">
            <w:pPr>
              <w:spacing w:line="400" w:lineRule="exact"/>
              <w:jc w:val="center"/>
              <w:rPr>
                <w:rFonts w:asciiTheme="minorEastAsia" w:hAnsiTheme="minorEastAsia" w:eastAsiaTheme="minorEastAsia"/>
                <w:bCs/>
                <w:color w:val="auto"/>
                <w:szCs w:val="21"/>
              </w:rPr>
            </w:pPr>
          </w:p>
        </w:tc>
      </w:tr>
      <w:tr w14:paraId="179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0" w:type="dxa"/>
            <w:gridSpan w:val="3"/>
            <w:vAlign w:val="center"/>
          </w:tcPr>
          <w:p w14:paraId="21F4035C">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拉链</w:t>
            </w:r>
          </w:p>
        </w:tc>
      </w:tr>
      <w:tr w14:paraId="6FAF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2F0D5DFF">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4.1</w:t>
            </w:r>
          </w:p>
        </w:tc>
        <w:tc>
          <w:tcPr>
            <w:tcW w:w="7802" w:type="dxa"/>
            <w:vAlign w:val="center"/>
          </w:tcPr>
          <w:p w14:paraId="19EC5C06">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拉链：午休垫拉、链头均采用金属材质，拉链头结实厚实，拉链丝滑顺畅，经久耐用。</w:t>
            </w:r>
          </w:p>
        </w:tc>
        <w:tc>
          <w:tcPr>
            <w:tcW w:w="1180" w:type="dxa"/>
          </w:tcPr>
          <w:p w14:paraId="7563E27C">
            <w:pPr>
              <w:spacing w:line="400" w:lineRule="exact"/>
              <w:jc w:val="center"/>
              <w:rPr>
                <w:rFonts w:asciiTheme="minorEastAsia" w:hAnsiTheme="minorEastAsia" w:eastAsiaTheme="minorEastAsia"/>
                <w:bCs/>
                <w:color w:val="auto"/>
                <w:szCs w:val="21"/>
              </w:rPr>
            </w:pPr>
          </w:p>
        </w:tc>
      </w:tr>
      <w:tr w14:paraId="52A4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2D5B4972">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4.2</w:t>
            </w:r>
          </w:p>
        </w:tc>
        <w:tc>
          <w:tcPr>
            <w:tcW w:w="7802" w:type="dxa"/>
            <w:vAlign w:val="center"/>
          </w:tcPr>
          <w:p w14:paraId="16E3DEF5">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拉链：设计应方便拆洗。</w:t>
            </w:r>
          </w:p>
        </w:tc>
        <w:tc>
          <w:tcPr>
            <w:tcW w:w="1180" w:type="dxa"/>
          </w:tcPr>
          <w:p w14:paraId="4EED5C25">
            <w:pPr>
              <w:spacing w:line="400" w:lineRule="exact"/>
              <w:jc w:val="center"/>
              <w:rPr>
                <w:rFonts w:asciiTheme="minorEastAsia" w:hAnsiTheme="minorEastAsia" w:eastAsiaTheme="minorEastAsia"/>
                <w:bCs/>
                <w:color w:val="auto"/>
                <w:szCs w:val="21"/>
              </w:rPr>
            </w:pPr>
          </w:p>
        </w:tc>
      </w:tr>
      <w:tr w14:paraId="0DB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0" w:type="dxa"/>
            <w:gridSpan w:val="3"/>
            <w:vAlign w:val="center"/>
          </w:tcPr>
          <w:p w14:paraId="73B43482">
            <w:pPr>
              <w:spacing w:line="400" w:lineRule="exact"/>
              <w:jc w:val="center"/>
              <w:rPr>
                <w:rFonts w:asciiTheme="minorEastAsia" w:hAnsiTheme="minorEastAsia" w:eastAsiaTheme="minorEastAsia"/>
                <w:bCs/>
                <w:color w:val="auto"/>
                <w:szCs w:val="21"/>
              </w:rPr>
            </w:pPr>
            <w:r>
              <w:rPr>
                <w:rFonts w:hint="eastAsia" w:asciiTheme="minorEastAsia" w:hAnsiTheme="minorEastAsia" w:eastAsiaTheme="minorEastAsia"/>
                <w:b/>
                <w:bCs/>
                <w:color w:val="auto"/>
                <w:szCs w:val="21"/>
              </w:rPr>
              <w:t>安全要求</w:t>
            </w:r>
          </w:p>
        </w:tc>
      </w:tr>
      <w:tr w14:paraId="3180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5B32420C">
            <w:pPr>
              <w:spacing w:line="400" w:lineRule="exact"/>
              <w:jc w:val="center"/>
              <w:rPr>
                <w:rFonts w:asciiTheme="minorEastAsia" w:hAnsiTheme="minorEastAsia" w:eastAsiaTheme="minorEastAsia"/>
                <w:bCs/>
                <w:color w:val="auto"/>
                <w:szCs w:val="21"/>
              </w:rPr>
            </w:pPr>
            <w:r>
              <w:rPr>
                <w:rFonts w:hint="eastAsia" w:ascii="宋体" w:hAnsi="宋体"/>
                <w:b/>
                <w:color w:val="auto"/>
                <w:szCs w:val="21"/>
              </w:rPr>
              <w:t>▲</w:t>
            </w:r>
            <w:r>
              <w:rPr>
                <w:rFonts w:hint="eastAsia" w:asciiTheme="minorEastAsia" w:hAnsiTheme="minorEastAsia" w:eastAsiaTheme="minorEastAsia"/>
                <w:bCs/>
                <w:color w:val="auto"/>
                <w:szCs w:val="21"/>
              </w:rPr>
              <w:t>5.1</w:t>
            </w:r>
          </w:p>
        </w:tc>
        <w:tc>
          <w:tcPr>
            <w:tcW w:w="7802" w:type="dxa"/>
            <w:vAlign w:val="center"/>
          </w:tcPr>
          <w:p w14:paraId="4E58D7FC">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午休垫阻燃性能：热释放速率峰值≤250kW，5min内放出的总能量≤40MJ，试件未整体燃烧，无有焰燃烧引燃或阴燃引燃现象。</w:t>
            </w:r>
            <w:bookmarkStart w:id="72" w:name="OLE_LINK15"/>
            <w:bookmarkStart w:id="73" w:name="OLE_LINK18"/>
            <w:bookmarkStart w:id="74" w:name="OLE_LINK16"/>
          </w:p>
          <w:bookmarkEnd w:id="72"/>
          <w:bookmarkEnd w:id="73"/>
          <w:bookmarkEnd w:id="74"/>
          <w:p w14:paraId="128D3890">
            <w:pPr>
              <w:spacing w:line="400" w:lineRule="exact"/>
              <w:rPr>
                <w:rFonts w:asciiTheme="minorEastAsia" w:hAnsiTheme="minorEastAsia" w:eastAsiaTheme="minorEastAsia"/>
                <w:b/>
                <w:bCs/>
                <w:color w:val="auto"/>
                <w:szCs w:val="21"/>
              </w:rPr>
            </w:pPr>
            <w:bookmarkStart w:id="75" w:name="OLE_LINK1"/>
            <w:bookmarkStart w:id="76" w:name="OLE_LINK2"/>
            <w:r>
              <w:rPr>
                <w:rFonts w:hint="eastAsia" w:asciiTheme="minorEastAsia" w:hAnsiTheme="minorEastAsia" w:eastAsiaTheme="minorEastAsia"/>
                <w:b/>
                <w:bCs/>
                <w:color w:val="auto"/>
                <w:szCs w:val="21"/>
              </w:rPr>
              <w:t>投标文件中提供带有CMA或CNAS标志的午休垫阻燃性能的检测报告扫描件，以及检测报告在“全国认证认可信息公共服务平台”可查的网页截图扫描件加盖供应商公章，未完整提供证明材料或检测报告无法完整体现以上内容的本项视作负偏离。</w:t>
            </w:r>
            <w:bookmarkEnd w:id="75"/>
            <w:bookmarkEnd w:id="76"/>
          </w:p>
        </w:tc>
        <w:tc>
          <w:tcPr>
            <w:tcW w:w="1180" w:type="dxa"/>
          </w:tcPr>
          <w:p w14:paraId="74682C9E">
            <w:pPr>
              <w:spacing w:line="400" w:lineRule="exact"/>
              <w:jc w:val="center"/>
              <w:rPr>
                <w:rFonts w:asciiTheme="minorEastAsia" w:hAnsiTheme="minorEastAsia" w:eastAsiaTheme="minorEastAsia"/>
                <w:bCs/>
                <w:color w:val="auto"/>
                <w:szCs w:val="21"/>
              </w:rPr>
            </w:pPr>
          </w:p>
        </w:tc>
      </w:tr>
      <w:tr w14:paraId="29AD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795385F5">
            <w:pPr>
              <w:spacing w:line="400" w:lineRule="exact"/>
              <w:jc w:val="center"/>
              <w:rPr>
                <w:rFonts w:asciiTheme="minorEastAsia" w:hAnsiTheme="minorEastAsia" w:eastAsiaTheme="minorEastAsia"/>
                <w:bCs/>
                <w:color w:val="auto"/>
                <w:szCs w:val="21"/>
              </w:rPr>
            </w:pPr>
            <w:bookmarkStart w:id="77" w:name="OLE_LINK20"/>
            <w:bookmarkStart w:id="78" w:name="OLE_LINK25"/>
            <w:r>
              <w:rPr>
                <w:rFonts w:hint="eastAsia" w:ascii="宋体" w:hAnsi="宋体"/>
                <w:b/>
                <w:color w:val="auto"/>
                <w:szCs w:val="21"/>
              </w:rPr>
              <w:t>▲</w:t>
            </w:r>
            <w:bookmarkEnd w:id="77"/>
            <w:bookmarkEnd w:id="78"/>
            <w:r>
              <w:rPr>
                <w:rFonts w:hint="eastAsia" w:asciiTheme="minorEastAsia" w:hAnsiTheme="minorEastAsia" w:eastAsiaTheme="minorEastAsia"/>
                <w:bCs/>
                <w:color w:val="auto"/>
                <w:szCs w:val="21"/>
              </w:rPr>
              <w:t>5.2</w:t>
            </w:r>
          </w:p>
        </w:tc>
        <w:tc>
          <w:tcPr>
            <w:tcW w:w="7802" w:type="dxa"/>
            <w:vAlign w:val="center"/>
          </w:tcPr>
          <w:p w14:paraId="55234D0F">
            <w:pPr>
              <w:spacing w:line="400" w:lineRule="exact"/>
              <w:rPr>
                <w:rFonts w:asciiTheme="minorEastAsia" w:hAnsiTheme="minorEastAsia" w:eastAsiaTheme="minorEastAsia"/>
                <w:bCs/>
                <w:color w:val="auto"/>
                <w:szCs w:val="21"/>
              </w:rPr>
            </w:pPr>
            <w:r>
              <w:rPr>
                <w:rFonts w:asciiTheme="minorEastAsia" w:hAnsiTheme="minorEastAsia" w:eastAsiaTheme="minorEastAsia"/>
                <w:bCs/>
                <w:color w:val="auto"/>
                <w:szCs w:val="21"/>
              </w:rPr>
              <w:t>午休垫</w:t>
            </w:r>
            <w:r>
              <w:rPr>
                <w:rFonts w:hint="eastAsia" w:asciiTheme="minorEastAsia" w:hAnsiTheme="minorEastAsia" w:eastAsiaTheme="minorEastAsia"/>
                <w:bCs/>
                <w:color w:val="auto"/>
                <w:szCs w:val="21"/>
              </w:rPr>
              <w:t>面料</w:t>
            </w:r>
            <w:r>
              <w:rPr>
                <w:rFonts w:asciiTheme="minorEastAsia" w:hAnsiTheme="minorEastAsia" w:eastAsiaTheme="minorEastAsia"/>
                <w:bCs/>
                <w:color w:val="auto"/>
                <w:szCs w:val="21"/>
              </w:rPr>
              <w:t>禁用可分解芳香胺染料</w:t>
            </w: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甲醛含量≤30mg/kg。</w:t>
            </w:r>
          </w:p>
          <w:p w14:paraId="73CF8ED6">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
                <w:bCs/>
                <w:color w:val="auto"/>
                <w:szCs w:val="21"/>
              </w:rPr>
              <w:t>投标文件中提供带有CMA或CNAS标志的午休垫面料的检测报告扫描件，以及检测报告在“全国认证认可信息公共服务平台”可查的网页截图扫描件加盖供应商公章，未完整提供证明材料或检测报告无法完整体现以上内容的本项视作负偏离。</w:t>
            </w:r>
          </w:p>
        </w:tc>
        <w:tc>
          <w:tcPr>
            <w:tcW w:w="1180" w:type="dxa"/>
          </w:tcPr>
          <w:p w14:paraId="509E9E19">
            <w:pPr>
              <w:spacing w:line="400" w:lineRule="exact"/>
              <w:jc w:val="center"/>
              <w:rPr>
                <w:rFonts w:asciiTheme="minorEastAsia" w:hAnsiTheme="minorEastAsia" w:eastAsiaTheme="minorEastAsia"/>
                <w:bCs/>
                <w:color w:val="auto"/>
                <w:szCs w:val="21"/>
              </w:rPr>
            </w:pPr>
          </w:p>
        </w:tc>
      </w:tr>
      <w:tr w14:paraId="4C1A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AADD328">
            <w:pPr>
              <w:spacing w:line="400" w:lineRule="exact"/>
              <w:jc w:val="center"/>
              <w:rPr>
                <w:rFonts w:ascii="宋体" w:hAnsi="宋体"/>
                <w:b/>
                <w:color w:val="auto"/>
                <w:szCs w:val="21"/>
              </w:rPr>
            </w:pPr>
            <w:r>
              <w:rPr>
                <w:rFonts w:hint="eastAsia" w:asciiTheme="minorEastAsia" w:hAnsiTheme="minorEastAsia" w:eastAsiaTheme="minorEastAsia"/>
                <w:bCs/>
                <w:color w:val="auto"/>
                <w:szCs w:val="21"/>
              </w:rPr>
              <w:t>★5.3</w:t>
            </w:r>
          </w:p>
        </w:tc>
        <w:tc>
          <w:tcPr>
            <w:tcW w:w="7802" w:type="dxa"/>
            <w:vAlign w:val="center"/>
          </w:tcPr>
          <w:p w14:paraId="51033AC7">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午休垫的可迁移元素检测结果合格。</w:t>
            </w:r>
          </w:p>
        </w:tc>
        <w:tc>
          <w:tcPr>
            <w:tcW w:w="1180" w:type="dxa"/>
          </w:tcPr>
          <w:p w14:paraId="2B3D21DD">
            <w:pPr>
              <w:spacing w:line="400" w:lineRule="exact"/>
              <w:jc w:val="center"/>
              <w:rPr>
                <w:rFonts w:asciiTheme="minorEastAsia" w:hAnsiTheme="minorEastAsia" w:eastAsiaTheme="minorEastAsia"/>
                <w:bCs/>
                <w:color w:val="auto"/>
                <w:szCs w:val="21"/>
              </w:rPr>
            </w:pPr>
          </w:p>
        </w:tc>
      </w:tr>
      <w:tr w14:paraId="4DE9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0" w:type="dxa"/>
            <w:gridSpan w:val="3"/>
            <w:vAlign w:val="center"/>
          </w:tcPr>
          <w:p w14:paraId="0539DDED">
            <w:pPr>
              <w:spacing w:line="4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其他</w:t>
            </w:r>
          </w:p>
        </w:tc>
      </w:tr>
      <w:tr w14:paraId="36C1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7E569495">
            <w:pPr>
              <w:spacing w:line="400" w:lineRule="exact"/>
              <w:jc w:val="center"/>
              <w:rPr>
                <w:rFonts w:ascii="宋体" w:hAnsi="宋体" w:cs="宋体"/>
                <w:color w:val="auto"/>
                <w:szCs w:val="21"/>
              </w:rPr>
            </w:pPr>
            <w:r>
              <w:rPr>
                <w:rFonts w:hint="eastAsia" w:ascii="宋体" w:hAnsi="宋体" w:cs="宋体"/>
                <w:color w:val="auto"/>
                <w:szCs w:val="21"/>
              </w:rPr>
              <w:t>6.1</w:t>
            </w:r>
          </w:p>
        </w:tc>
        <w:tc>
          <w:tcPr>
            <w:tcW w:w="7802" w:type="dxa"/>
            <w:vAlign w:val="center"/>
          </w:tcPr>
          <w:p w14:paraId="77880D90">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本表中未提及部分，应当符合</w:t>
            </w:r>
            <w:r>
              <w:rPr>
                <w:rFonts w:hint="eastAsia"/>
                <w:color w:val="auto"/>
              </w:rPr>
              <w:t>《浙江省中小学午休躺睡装备技术指南》的要求。</w:t>
            </w:r>
          </w:p>
        </w:tc>
        <w:tc>
          <w:tcPr>
            <w:tcW w:w="1180" w:type="dxa"/>
          </w:tcPr>
          <w:p w14:paraId="22BBE273">
            <w:pPr>
              <w:spacing w:line="400" w:lineRule="exact"/>
              <w:jc w:val="center"/>
              <w:rPr>
                <w:rFonts w:asciiTheme="minorEastAsia" w:hAnsiTheme="minorEastAsia" w:eastAsiaTheme="minorEastAsia"/>
                <w:bCs/>
                <w:color w:val="auto"/>
                <w:szCs w:val="21"/>
              </w:rPr>
            </w:pPr>
          </w:p>
        </w:tc>
      </w:tr>
      <w:tr w14:paraId="2529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Align w:val="center"/>
          </w:tcPr>
          <w:p w14:paraId="3375E109">
            <w:pPr>
              <w:spacing w:line="400" w:lineRule="exact"/>
              <w:jc w:val="center"/>
              <w:rPr>
                <w:rFonts w:ascii="宋体" w:hAnsi="宋体" w:cs="宋体"/>
                <w:color w:val="auto"/>
                <w:szCs w:val="21"/>
              </w:rPr>
            </w:pPr>
            <w:bookmarkStart w:id="79" w:name="_Hlk200636148"/>
            <w:r>
              <w:rPr>
                <w:rFonts w:hint="eastAsia" w:ascii="宋体" w:hAnsi="宋体"/>
                <w:b/>
                <w:color w:val="auto"/>
                <w:szCs w:val="21"/>
              </w:rPr>
              <w:t>▲</w:t>
            </w:r>
            <w:r>
              <w:rPr>
                <w:rFonts w:hint="eastAsia" w:asciiTheme="minorEastAsia" w:hAnsiTheme="minorEastAsia" w:eastAsiaTheme="minorEastAsia"/>
                <w:bCs/>
                <w:color w:val="auto"/>
                <w:szCs w:val="21"/>
              </w:rPr>
              <w:t>6.2</w:t>
            </w:r>
          </w:p>
        </w:tc>
        <w:tc>
          <w:tcPr>
            <w:tcW w:w="7802" w:type="dxa"/>
            <w:vAlign w:val="center"/>
          </w:tcPr>
          <w:p w14:paraId="5418DD1E">
            <w:pPr>
              <w:spacing w:line="400" w:lineRule="exact"/>
              <w:rPr>
                <w:rFonts w:asciiTheme="minorEastAsia" w:hAnsiTheme="minorEastAsia" w:eastAsiaTheme="minorEastAsia"/>
                <w:bCs/>
                <w:color w:val="auto"/>
                <w:szCs w:val="21"/>
              </w:rPr>
            </w:pPr>
            <w:r>
              <w:rPr>
                <w:rFonts w:hint="eastAsia" w:ascii="宋体" w:hAnsi="宋体"/>
                <w:color w:val="auto"/>
                <w:szCs w:val="21"/>
              </w:rPr>
              <w:t>对本表中所有作出响应的带“</w:t>
            </w:r>
            <w:r>
              <w:rPr>
                <w:rFonts w:ascii="宋体" w:hAnsi="宋体"/>
                <w:color w:val="auto"/>
                <w:szCs w:val="21"/>
              </w:rPr>
              <w:t>★</w:t>
            </w:r>
            <w:r>
              <w:rPr>
                <w:rFonts w:hint="eastAsia" w:ascii="宋体" w:hAnsi="宋体"/>
                <w:color w:val="auto"/>
                <w:szCs w:val="21"/>
              </w:rPr>
              <w:t>”的技术要求，供应商应当在货物验收阶段向采购人以及各使用学校提供相应的检测报告，作为各使用学校验收的辅助材料。</w:t>
            </w:r>
            <w:r>
              <w:rPr>
                <w:rFonts w:hint="eastAsia" w:ascii="宋体" w:hAnsi="宋体"/>
                <w:b/>
                <w:color w:val="auto"/>
                <w:szCs w:val="21"/>
              </w:rPr>
              <w:t>（供应商须在“技术条款响应表”中对本条作出明确响应，否则投标文件作无效处理。）</w:t>
            </w:r>
          </w:p>
        </w:tc>
        <w:tc>
          <w:tcPr>
            <w:tcW w:w="1180" w:type="dxa"/>
          </w:tcPr>
          <w:p w14:paraId="663CC201">
            <w:pPr>
              <w:spacing w:line="400" w:lineRule="exact"/>
              <w:jc w:val="center"/>
              <w:rPr>
                <w:rFonts w:asciiTheme="minorEastAsia" w:hAnsiTheme="minorEastAsia" w:eastAsiaTheme="minorEastAsia"/>
                <w:bCs/>
                <w:color w:val="auto"/>
                <w:szCs w:val="21"/>
              </w:rPr>
            </w:pPr>
          </w:p>
        </w:tc>
      </w:tr>
      <w:bookmarkEnd w:id="79"/>
    </w:tbl>
    <w:p w14:paraId="5C09C459">
      <w:pPr>
        <w:spacing w:line="400" w:lineRule="exact"/>
        <w:rPr>
          <w:rFonts w:ascii="宋体" w:hAnsi="宋体"/>
          <w:b/>
          <w:color w:val="auto"/>
          <w:szCs w:val="21"/>
        </w:rPr>
      </w:pPr>
      <w:r>
        <w:rPr>
          <w:rFonts w:hint="eastAsia" w:ascii="宋体" w:hAnsi="宋体"/>
          <w:b/>
          <w:color w:val="auto"/>
          <w:szCs w:val="21"/>
        </w:rPr>
        <w:t>三、其他说明</w:t>
      </w:r>
    </w:p>
    <w:p w14:paraId="107710CE">
      <w:pPr>
        <w:spacing w:line="400" w:lineRule="exact"/>
        <w:ind w:firstLine="420" w:firstLineChars="200"/>
        <w:rPr>
          <w:rFonts w:ascii="宋体" w:hAnsi="宋体"/>
          <w:color w:val="auto"/>
          <w:szCs w:val="21"/>
        </w:rPr>
      </w:pPr>
      <w:r>
        <w:rPr>
          <w:rFonts w:hint="eastAsia" w:ascii="宋体" w:hAnsi="宋体"/>
          <w:color w:val="auto"/>
          <w:szCs w:val="21"/>
        </w:rPr>
        <w:t>1、供应商需要提供合理的供货方案，能按照项目分解节点并可跟踪实施。</w:t>
      </w:r>
    </w:p>
    <w:p w14:paraId="6AC2B54C">
      <w:pPr>
        <w:spacing w:line="400" w:lineRule="exact"/>
        <w:ind w:firstLine="420" w:firstLineChars="200"/>
        <w:rPr>
          <w:rFonts w:ascii="宋体" w:hAnsi="宋体"/>
          <w:color w:val="auto"/>
          <w:szCs w:val="21"/>
        </w:rPr>
      </w:pPr>
      <w:r>
        <w:rPr>
          <w:rFonts w:hint="eastAsia" w:ascii="宋体" w:hAnsi="宋体"/>
          <w:color w:val="auto"/>
          <w:szCs w:val="21"/>
        </w:rPr>
        <w:t>2、供应商需要提供品控管理方案，对产品品质有管理管控过程，确保产品生产过程中的质量控制完善。</w:t>
      </w:r>
    </w:p>
    <w:p w14:paraId="368C991A">
      <w:pPr>
        <w:spacing w:line="400" w:lineRule="exact"/>
        <w:ind w:firstLine="420" w:firstLineChars="200"/>
        <w:rPr>
          <w:rFonts w:ascii="宋体" w:hAnsi="宋体"/>
          <w:color w:val="auto"/>
          <w:szCs w:val="21"/>
        </w:rPr>
      </w:pPr>
      <w:r>
        <w:rPr>
          <w:rFonts w:hint="eastAsia" w:ascii="宋体" w:hAnsi="宋体"/>
          <w:color w:val="auto"/>
          <w:szCs w:val="21"/>
        </w:rPr>
        <w:t>3、要求使用绿色环保材料，制作的产品要进行异味的去除，确保货物对人体无害。</w:t>
      </w:r>
    </w:p>
    <w:p w14:paraId="79D67549">
      <w:pPr>
        <w:spacing w:line="400" w:lineRule="exact"/>
        <w:ind w:firstLine="420" w:firstLineChars="200"/>
        <w:rPr>
          <w:rFonts w:ascii="宋体" w:hAnsi="宋体"/>
          <w:color w:val="auto"/>
          <w:szCs w:val="21"/>
        </w:rPr>
      </w:pPr>
      <w:r>
        <w:rPr>
          <w:rFonts w:hint="eastAsia" w:ascii="宋体" w:hAnsi="宋体"/>
          <w:color w:val="auto"/>
          <w:szCs w:val="21"/>
        </w:rPr>
        <w:t>4、采购人有权选择货物的颜色、有权在不改基本规格尺寸的基础上，要求中标供应商提供的货物在样式上进行微调（货物价格不作变动）。</w:t>
      </w:r>
    </w:p>
    <w:p w14:paraId="140CC7EF">
      <w:pPr>
        <w:spacing w:line="400" w:lineRule="exact"/>
        <w:ind w:firstLine="420" w:firstLineChars="200"/>
        <w:rPr>
          <w:rFonts w:ascii="宋体" w:hAnsi="宋体"/>
          <w:color w:val="auto"/>
          <w:szCs w:val="21"/>
        </w:rPr>
      </w:pPr>
      <w:r>
        <w:rPr>
          <w:rFonts w:hint="eastAsia" w:ascii="宋体" w:hAnsi="宋体"/>
          <w:color w:val="auto"/>
          <w:szCs w:val="21"/>
        </w:rPr>
        <w:t>5、产品验收阶段，采购人以及各使用学校有权委托第三方检测机构对产品进行抽样检测，检测项目包括但不限于本章“二、技术要求”中所列技术要求。如检测结果达不到验收标准或中标供应商的投标响应情况，采购人将要求中标供应商进行整改并更换产品，直至验收合格，相应的检测费用由中标供应商承担。中标供应商不进行整改或多次整改后产品检测结果仍未达到验收标准的，采购人有权终止合同。对于供应商未按合同约定提供产品的，采购人将依法追究其违约责任。对于供应商提供虚假材料谋取中标的或者提供假冒伪劣产品的，依法予以处理。</w:t>
      </w:r>
    </w:p>
    <w:p w14:paraId="2749665E">
      <w:pPr>
        <w:spacing w:line="400" w:lineRule="exact"/>
        <w:ind w:firstLine="420" w:firstLineChars="200"/>
        <w:rPr>
          <w:color w:val="auto"/>
        </w:rPr>
      </w:pPr>
      <w:r>
        <w:rPr>
          <w:rFonts w:hint="eastAsia" w:ascii="宋体" w:hAnsi="宋体"/>
          <w:color w:val="auto"/>
          <w:szCs w:val="21"/>
        </w:rPr>
        <w:t>6、产品验收阶段</w:t>
      </w:r>
      <w:r>
        <w:rPr>
          <w:rFonts w:hint="eastAsia"/>
          <w:color w:val="auto"/>
        </w:rPr>
        <w:t>，如采购人</w:t>
      </w:r>
      <w:r>
        <w:rPr>
          <w:rFonts w:hint="eastAsia" w:ascii="宋体" w:hAnsi="宋体"/>
          <w:color w:val="auto"/>
          <w:szCs w:val="21"/>
        </w:rPr>
        <w:t>以及各使用学校</w:t>
      </w:r>
      <w:r>
        <w:rPr>
          <w:rFonts w:hint="eastAsia"/>
          <w:color w:val="auto"/>
        </w:rPr>
        <w:t>发现产品不满足招标文件要求或与</w:t>
      </w:r>
      <w:bookmarkStart w:id="80" w:name="OLE_LINK6"/>
      <w:bookmarkStart w:id="81" w:name="OLE_LINK5"/>
      <w:r>
        <w:rPr>
          <w:rFonts w:hint="eastAsia"/>
          <w:color w:val="auto"/>
        </w:rPr>
        <w:t>中标供应商的投标响应情况不一致</w:t>
      </w:r>
      <w:bookmarkEnd w:id="80"/>
      <w:bookmarkEnd w:id="81"/>
      <w:r>
        <w:rPr>
          <w:rFonts w:hint="eastAsia"/>
          <w:color w:val="auto"/>
        </w:rPr>
        <w:t>，或产品的相关检测报告内容与中标供应商的投标响应情况不一致的视为验收不合格，采购人有权不支付相应款项，并要求中标供应商退回已支付款项，因此造成的损失由中标供应商承担。</w:t>
      </w:r>
    </w:p>
    <w:p w14:paraId="52CC81F4">
      <w:pPr>
        <w:spacing w:line="400" w:lineRule="exact"/>
        <w:ind w:firstLine="420" w:firstLineChars="200"/>
        <w:rPr>
          <w:rFonts w:ascii="宋体" w:hAnsi="宋体"/>
          <w:color w:val="auto"/>
          <w:szCs w:val="21"/>
        </w:rPr>
      </w:pPr>
      <w:r>
        <w:rPr>
          <w:rFonts w:hint="eastAsia" w:ascii="宋体" w:hAnsi="宋体"/>
          <w:color w:val="auto"/>
          <w:szCs w:val="21"/>
        </w:rPr>
        <w:t>7、供应商应当对投标文件中以及产品验收阶段向采购人提供的各类产品以及原材料的检测报告的真实性负责。若出现检测报告中的内容与供应商投标响应情况不一致的，采购人将及时报告本项目监管部门。</w:t>
      </w:r>
    </w:p>
    <w:p w14:paraId="659E94BA">
      <w:pPr>
        <w:spacing w:line="400" w:lineRule="exact"/>
        <w:rPr>
          <w:rFonts w:ascii="宋体" w:hAnsi="宋体"/>
          <w:b/>
          <w:color w:val="auto"/>
          <w:szCs w:val="21"/>
        </w:rPr>
      </w:pPr>
      <w:r>
        <w:rPr>
          <w:rFonts w:hint="eastAsia" w:ascii="宋体" w:hAnsi="宋体"/>
          <w:b/>
          <w:color w:val="auto"/>
          <w:szCs w:val="21"/>
        </w:rPr>
        <w:t>四、样品要求</w:t>
      </w:r>
    </w:p>
    <w:p w14:paraId="5B4433F3">
      <w:pPr>
        <w:snapToGrid w:val="0"/>
        <w:spacing w:line="400" w:lineRule="exact"/>
        <w:ind w:firstLine="422" w:firstLineChars="200"/>
        <w:rPr>
          <w:rFonts w:ascii="宋体" w:hAnsi="宋体" w:cs="宋体"/>
          <w:bCs/>
          <w:color w:val="auto"/>
          <w:szCs w:val="21"/>
        </w:rPr>
      </w:pPr>
      <w:r>
        <w:rPr>
          <w:rFonts w:hint="eastAsia" w:ascii="宋体" w:hAnsi="宋体"/>
          <w:b/>
          <w:color w:val="auto"/>
          <w:szCs w:val="21"/>
        </w:rPr>
        <w:t>▲</w:t>
      </w:r>
      <w:r>
        <w:rPr>
          <w:rFonts w:hint="eastAsia" w:ascii="宋体" w:hAnsi="宋体" w:cs="宋体"/>
          <w:bCs/>
          <w:color w:val="auto"/>
          <w:szCs w:val="21"/>
        </w:rPr>
        <w:t>1、供应商提供</w:t>
      </w:r>
      <w:r>
        <w:rPr>
          <w:rFonts w:hint="eastAsia" w:ascii="宋体" w:hAnsi="宋体"/>
          <w:color w:val="auto"/>
          <w:szCs w:val="21"/>
        </w:rPr>
        <w:t>午休垫样品1件。</w:t>
      </w:r>
      <w:r>
        <w:rPr>
          <w:rFonts w:hint="eastAsia" w:ascii="宋体" w:hAnsi="宋体" w:cs="宋体"/>
          <w:bCs/>
          <w:color w:val="auto"/>
          <w:szCs w:val="21"/>
        </w:rPr>
        <w:t>未提供样品的供应商，作无效投标处理。</w:t>
      </w:r>
    </w:p>
    <w:p w14:paraId="1DC4ED87">
      <w:pPr>
        <w:snapToGrid w:val="0"/>
        <w:spacing w:line="400" w:lineRule="exact"/>
        <w:ind w:firstLine="420" w:firstLineChars="200"/>
        <w:rPr>
          <w:rFonts w:ascii="宋体" w:hAnsi="宋体" w:cs="宋体"/>
          <w:color w:val="auto"/>
          <w:szCs w:val="21"/>
        </w:rPr>
      </w:pPr>
      <w:r>
        <w:rPr>
          <w:rFonts w:hint="eastAsia" w:ascii="宋体" w:hAnsi="宋体" w:cs="宋体"/>
          <w:bCs/>
          <w:color w:val="auto"/>
          <w:szCs w:val="21"/>
        </w:rPr>
        <w:t>2、样品应按照本章“</w:t>
      </w:r>
      <w:r>
        <w:rPr>
          <w:rFonts w:hint="eastAsia" w:ascii="宋体" w:hAnsi="宋体"/>
          <w:b/>
          <w:color w:val="auto"/>
          <w:szCs w:val="21"/>
        </w:rPr>
        <w:t>二、技术要求</w:t>
      </w:r>
      <w:r>
        <w:rPr>
          <w:rFonts w:hint="eastAsia" w:ascii="宋体" w:hAnsi="宋体" w:cs="宋体"/>
          <w:bCs/>
          <w:color w:val="auto"/>
          <w:szCs w:val="21"/>
        </w:rPr>
        <w:t>”中的要求制作。</w:t>
      </w:r>
      <w:r>
        <w:rPr>
          <w:rFonts w:hint="eastAsia" w:ascii="宋体" w:hAnsi="宋体" w:cs="宋体"/>
          <w:color w:val="auto"/>
          <w:szCs w:val="21"/>
        </w:rPr>
        <w:t>评标委员会按照招标文件规定的评分办法和评分标准对样品进行评价。投标样品不符合招标文件要求的，按评标办法酌情扣分，投标样品质量不影响其投标文件的有效性。</w:t>
      </w:r>
    </w:p>
    <w:p w14:paraId="04AF92B1">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3、样品应隐去包括生产厂家名称、地址、商标（品牌）、供应商名称等供应商特有的标识，否则样品分得0分。</w:t>
      </w:r>
    </w:p>
    <w:p w14:paraId="314B4A06">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样品放置地点：宁波前湾新区公共资源交易中心（宁波前湾新区创业创新大厦三号楼（宁波前湾新区玉海西路201号）三楼样品间），具体视现场工作人员安排。样品应在投标截止时间前提供，投标截止时间后的样品将被拒收。</w:t>
      </w:r>
    </w:p>
    <w:p w14:paraId="157968E2">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5、评标结束后，采购人将对中标供应商的样品进行封存，作为验收的依据</w:t>
      </w:r>
      <w:r>
        <w:rPr>
          <w:rFonts w:hint="eastAsia" w:ascii="宋体" w:hAnsi="宋体"/>
          <w:color w:val="auto"/>
          <w:szCs w:val="21"/>
          <w:lang w:val="zh-CN"/>
        </w:rPr>
        <w:t>。</w:t>
      </w:r>
      <w:r>
        <w:rPr>
          <w:rFonts w:hint="eastAsia" w:ascii="宋体" w:hAnsi="宋体" w:cs="宋体"/>
          <w:color w:val="auto"/>
          <w:szCs w:val="21"/>
        </w:rPr>
        <w:t>其他供应商的样品在开标结束后自行领回。</w:t>
      </w:r>
    </w:p>
    <w:p w14:paraId="4B56B1AA">
      <w:pPr>
        <w:spacing w:line="400" w:lineRule="exact"/>
        <w:ind w:firstLine="420" w:firstLineChars="200"/>
        <w:rPr>
          <w:rFonts w:ascii="宋体" w:hAnsi="宋体"/>
          <w:color w:val="auto"/>
          <w:szCs w:val="21"/>
        </w:rPr>
      </w:pPr>
    </w:p>
    <w:p w14:paraId="1C634D41">
      <w:pPr>
        <w:spacing w:line="400" w:lineRule="exact"/>
        <w:ind w:firstLine="420" w:firstLineChars="200"/>
        <w:rPr>
          <w:rFonts w:ascii="宋体" w:hAnsi="宋体"/>
          <w:color w:val="auto"/>
          <w:szCs w:val="21"/>
        </w:rPr>
      </w:pPr>
    </w:p>
    <w:p w14:paraId="0A1EBB09">
      <w:pPr>
        <w:spacing w:line="400" w:lineRule="exact"/>
        <w:ind w:firstLine="420" w:firstLineChars="200"/>
        <w:rPr>
          <w:rFonts w:ascii="宋体" w:hAnsi="宋体"/>
          <w:color w:val="auto"/>
          <w:szCs w:val="21"/>
        </w:rPr>
      </w:pPr>
    </w:p>
    <w:p w14:paraId="2D87980D">
      <w:pPr>
        <w:widowControl/>
        <w:jc w:val="left"/>
        <w:rPr>
          <w:rFonts w:ascii="宋体" w:hAnsi="宋体"/>
          <w:color w:val="auto"/>
          <w:szCs w:val="21"/>
        </w:rPr>
      </w:pPr>
      <w:r>
        <w:rPr>
          <w:rFonts w:ascii="宋体" w:hAnsi="宋体"/>
          <w:color w:val="auto"/>
          <w:szCs w:val="21"/>
        </w:rPr>
        <w:br w:type="page"/>
      </w:r>
    </w:p>
    <w:p w14:paraId="16899DA8">
      <w:pPr>
        <w:spacing w:line="400" w:lineRule="exact"/>
        <w:ind w:firstLine="420" w:firstLineChars="200"/>
        <w:rPr>
          <w:rFonts w:ascii="宋体" w:hAnsi="宋体"/>
          <w:color w:val="auto"/>
          <w:szCs w:val="21"/>
        </w:rPr>
      </w:pPr>
    </w:p>
    <w:p w14:paraId="2B576E49">
      <w:pPr>
        <w:spacing w:line="400" w:lineRule="exact"/>
        <w:rPr>
          <w:rFonts w:ascii="宋体" w:hAnsi="宋体"/>
          <w:b/>
          <w:color w:val="auto"/>
          <w:szCs w:val="21"/>
        </w:rPr>
      </w:pPr>
      <w:r>
        <w:rPr>
          <w:rFonts w:hint="eastAsia" w:ascii="宋体" w:hAnsi="宋体"/>
          <w:b/>
          <w:color w:val="auto"/>
          <w:szCs w:val="21"/>
        </w:rPr>
        <w:t>五、产品示意图</w:t>
      </w:r>
    </w:p>
    <w:p w14:paraId="559F4F7A">
      <w:pPr>
        <w:spacing w:line="400" w:lineRule="exact"/>
        <w:rPr>
          <w:rFonts w:ascii="宋体" w:hAnsi="宋体"/>
          <w:b/>
          <w:color w:val="auto"/>
          <w:szCs w:val="21"/>
        </w:rPr>
      </w:pPr>
      <w:r>
        <w:rPr>
          <w:rFonts w:hint="eastAsia" w:ascii="宋体" w:hAnsi="宋体"/>
          <w:b/>
          <w:color w:val="auto"/>
          <w:szCs w:val="21"/>
        </w:rPr>
        <w:drawing>
          <wp:anchor distT="0" distB="0" distL="114300" distR="114300" simplePos="0" relativeHeight="251661312" behindDoc="0" locked="0" layoutInCell="1" allowOverlap="1">
            <wp:simplePos x="0" y="0"/>
            <wp:positionH relativeFrom="column">
              <wp:posOffset>-9525</wp:posOffset>
            </wp:positionH>
            <wp:positionV relativeFrom="paragraph">
              <wp:posOffset>81915</wp:posOffset>
            </wp:positionV>
            <wp:extent cx="5572125" cy="4743450"/>
            <wp:effectExtent l="19050" t="0" r="9525" b="0"/>
            <wp:wrapNone/>
            <wp:docPr id="3" name="图片 3" descr="微信图片_2024123114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31144436"/>
                    <pic:cNvPicPr>
                      <a:picLocks noChangeAspect="1"/>
                    </pic:cNvPicPr>
                  </pic:nvPicPr>
                  <pic:blipFill>
                    <a:blip r:embed="rId20" cstate="print"/>
                    <a:srcRect t="14819"/>
                    <a:stretch>
                      <a:fillRect/>
                    </a:stretch>
                  </pic:blipFill>
                  <pic:spPr>
                    <a:xfrm>
                      <a:off x="0" y="0"/>
                      <a:ext cx="5572125" cy="4743450"/>
                    </a:xfrm>
                    <a:prstGeom prst="rect">
                      <a:avLst/>
                    </a:prstGeom>
                  </pic:spPr>
                </pic:pic>
              </a:graphicData>
            </a:graphic>
          </wp:anchor>
        </w:drawing>
      </w:r>
    </w:p>
    <w:p w14:paraId="0D5A1B04">
      <w:pPr>
        <w:spacing w:line="400" w:lineRule="exact"/>
        <w:rPr>
          <w:rFonts w:ascii="宋体" w:hAnsi="宋体"/>
          <w:b/>
          <w:color w:val="auto"/>
          <w:szCs w:val="21"/>
        </w:rPr>
      </w:pPr>
    </w:p>
    <w:p w14:paraId="6BC0F7D3">
      <w:pPr>
        <w:spacing w:line="400" w:lineRule="exact"/>
        <w:rPr>
          <w:rFonts w:ascii="宋体" w:hAnsi="宋体"/>
          <w:b/>
          <w:color w:val="auto"/>
          <w:szCs w:val="21"/>
        </w:rPr>
      </w:pPr>
    </w:p>
    <w:p w14:paraId="4305ADD8">
      <w:pPr>
        <w:spacing w:line="400" w:lineRule="exact"/>
        <w:rPr>
          <w:rFonts w:ascii="宋体" w:hAnsi="宋体"/>
          <w:b/>
          <w:color w:val="auto"/>
          <w:szCs w:val="21"/>
        </w:rPr>
      </w:pPr>
    </w:p>
    <w:p w14:paraId="65E6CB70">
      <w:pPr>
        <w:spacing w:line="400" w:lineRule="exact"/>
        <w:ind w:firstLine="422" w:firstLineChars="200"/>
        <w:rPr>
          <w:rFonts w:ascii="宋体" w:hAnsi="宋体"/>
          <w:b/>
          <w:color w:val="auto"/>
          <w:szCs w:val="21"/>
        </w:rPr>
      </w:pPr>
    </w:p>
    <w:p w14:paraId="7753EB9A">
      <w:pPr>
        <w:widowControl/>
        <w:jc w:val="left"/>
        <w:rPr>
          <w:rFonts w:ascii="宋体" w:hAnsi="宋体"/>
          <w:b/>
          <w:color w:val="auto"/>
          <w:szCs w:val="21"/>
        </w:rPr>
      </w:pPr>
      <w:r>
        <w:rPr>
          <w:rFonts w:ascii="宋体" w:hAnsi="宋体"/>
          <w:b/>
          <w:color w:val="auto"/>
          <w:szCs w:val="21"/>
        </w:rPr>
        <w:br w:type="page"/>
      </w:r>
    </w:p>
    <w:p w14:paraId="5430B27C">
      <w:pPr>
        <w:spacing w:line="400" w:lineRule="exact"/>
        <w:ind w:firstLine="422" w:firstLineChars="200"/>
        <w:rPr>
          <w:rFonts w:ascii="宋体" w:hAnsi="宋体"/>
          <w:b/>
          <w:color w:val="auto"/>
          <w:szCs w:val="21"/>
        </w:rPr>
        <w:sectPr>
          <w:pgSz w:w="11907" w:h="16840"/>
          <w:pgMar w:top="851" w:right="1588" w:bottom="851" w:left="1545" w:header="285" w:footer="418" w:gutter="0"/>
          <w:cols w:space="720" w:num="1"/>
          <w:docGrid w:linePitch="286" w:charSpace="0"/>
        </w:sectPr>
      </w:pPr>
    </w:p>
    <w:p w14:paraId="434E8B5B">
      <w:pPr>
        <w:spacing w:line="600" w:lineRule="exact"/>
        <w:jc w:val="center"/>
        <w:outlineLvl w:val="0"/>
        <w:rPr>
          <w:rFonts w:ascii="宋体" w:hAnsi="宋体"/>
          <w:b/>
          <w:color w:val="auto"/>
          <w:sz w:val="32"/>
        </w:rPr>
      </w:pPr>
      <w:bookmarkStart w:id="82" w:name="_Toc55385107"/>
      <w:r>
        <w:rPr>
          <w:rFonts w:hint="eastAsia" w:ascii="宋体" w:hAnsi="宋体"/>
          <w:b/>
          <w:color w:val="auto"/>
          <w:sz w:val="32"/>
        </w:rPr>
        <w:t>第六章  商务条款</w:t>
      </w:r>
      <w:bookmarkEnd w:id="82"/>
    </w:p>
    <w:tbl>
      <w:tblPr>
        <w:tblStyle w:val="44"/>
        <w:tblW w:w="9072" w:type="dxa"/>
        <w:tblInd w:w="108" w:type="dxa"/>
        <w:tblLayout w:type="fixed"/>
        <w:tblCellMar>
          <w:top w:w="0" w:type="dxa"/>
          <w:left w:w="108" w:type="dxa"/>
          <w:bottom w:w="0" w:type="dxa"/>
          <w:right w:w="108" w:type="dxa"/>
        </w:tblCellMar>
      </w:tblPr>
      <w:tblGrid>
        <w:gridCol w:w="851"/>
        <w:gridCol w:w="8221"/>
      </w:tblGrid>
      <w:tr w14:paraId="3BAA934B">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1CA5CA97">
            <w:pPr>
              <w:autoSpaceDE w:val="0"/>
              <w:autoSpaceDN w:val="0"/>
              <w:adjustRightInd w:val="0"/>
              <w:spacing w:line="400" w:lineRule="exact"/>
              <w:jc w:val="center"/>
              <w:rPr>
                <w:rFonts w:ascii="宋体" w:hAnsi="宋体"/>
                <w:b/>
                <w:bCs/>
                <w:color w:val="auto"/>
                <w:szCs w:val="21"/>
              </w:rPr>
            </w:pPr>
            <w:r>
              <w:rPr>
                <w:rFonts w:hint="eastAsia" w:ascii="宋体" w:hAnsi="宋体"/>
                <w:b/>
                <w:bCs/>
                <w:color w:val="auto"/>
                <w:szCs w:val="21"/>
              </w:rPr>
              <w:t>序号</w:t>
            </w:r>
          </w:p>
        </w:tc>
        <w:tc>
          <w:tcPr>
            <w:tcW w:w="8221" w:type="dxa"/>
            <w:tcBorders>
              <w:top w:val="single" w:color="auto" w:sz="4" w:space="0"/>
              <w:left w:val="nil"/>
              <w:bottom w:val="single" w:color="000000" w:sz="6" w:space="0"/>
              <w:right w:val="single" w:color="auto" w:sz="4" w:space="0"/>
            </w:tcBorders>
            <w:vAlign w:val="center"/>
          </w:tcPr>
          <w:p w14:paraId="62A0604D">
            <w:pPr>
              <w:autoSpaceDE w:val="0"/>
              <w:autoSpaceDN w:val="0"/>
              <w:adjustRightInd w:val="0"/>
              <w:spacing w:line="400" w:lineRule="exact"/>
              <w:jc w:val="center"/>
              <w:rPr>
                <w:rFonts w:ascii="宋体" w:hAnsi="宋体"/>
                <w:b/>
                <w:bCs/>
                <w:color w:val="auto"/>
                <w:szCs w:val="21"/>
              </w:rPr>
            </w:pPr>
            <w:r>
              <w:rPr>
                <w:rFonts w:hint="eastAsia" w:ascii="宋体" w:hAnsi="宋体"/>
                <w:b/>
                <w:bCs/>
                <w:color w:val="auto"/>
                <w:szCs w:val="21"/>
              </w:rPr>
              <w:t>内      容</w:t>
            </w:r>
          </w:p>
        </w:tc>
      </w:tr>
      <w:tr w14:paraId="448D3AED">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1F77A26F">
            <w:pPr>
              <w:autoSpaceDE w:val="0"/>
              <w:autoSpaceDN w:val="0"/>
              <w:adjustRightInd w:val="0"/>
              <w:spacing w:line="400" w:lineRule="exact"/>
              <w:jc w:val="center"/>
              <w:rPr>
                <w:rFonts w:ascii="宋体" w:hAnsi="宋体"/>
                <w:color w:val="auto"/>
                <w:szCs w:val="21"/>
              </w:rPr>
            </w:pPr>
            <w:r>
              <w:rPr>
                <w:rFonts w:hint="eastAsia" w:ascii="宋体" w:hAnsi="宋体"/>
                <w:color w:val="auto"/>
                <w:szCs w:val="21"/>
              </w:rPr>
              <w:t>1</w:t>
            </w:r>
          </w:p>
        </w:tc>
        <w:tc>
          <w:tcPr>
            <w:tcW w:w="8221" w:type="dxa"/>
            <w:tcBorders>
              <w:top w:val="single" w:color="000000" w:sz="6" w:space="0"/>
              <w:left w:val="nil"/>
              <w:bottom w:val="single" w:color="000000" w:sz="6" w:space="0"/>
              <w:right w:val="single" w:color="auto" w:sz="4" w:space="0"/>
            </w:tcBorders>
            <w:vAlign w:val="center"/>
          </w:tcPr>
          <w:p w14:paraId="1989801F">
            <w:pPr>
              <w:spacing w:line="400" w:lineRule="exact"/>
              <w:rPr>
                <w:rFonts w:ascii="宋体" w:hAnsi="宋体"/>
                <w:color w:val="auto"/>
              </w:rPr>
            </w:pPr>
            <w:r>
              <w:rPr>
                <w:rFonts w:hint="eastAsia" w:ascii="宋体" w:hAnsi="宋体" w:cs="宋体"/>
                <w:color w:val="auto"/>
              </w:rPr>
              <w:t>交货地点：采购人指定地点（各使用学校）。</w:t>
            </w:r>
          </w:p>
        </w:tc>
      </w:tr>
      <w:tr w14:paraId="53B0F20F">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979E7BA">
            <w:pPr>
              <w:autoSpaceDE w:val="0"/>
              <w:autoSpaceDN w:val="0"/>
              <w:adjustRightInd w:val="0"/>
              <w:spacing w:line="400" w:lineRule="exact"/>
              <w:jc w:val="center"/>
              <w:rPr>
                <w:rFonts w:ascii="宋体" w:hAnsi="宋体"/>
                <w:color w:val="auto"/>
                <w:szCs w:val="21"/>
              </w:rPr>
            </w:pPr>
            <w:r>
              <w:rPr>
                <w:rFonts w:hint="eastAsia" w:ascii="宋体" w:hAnsi="宋体"/>
                <w:color w:val="auto"/>
                <w:szCs w:val="21"/>
              </w:rPr>
              <w:t>2</w:t>
            </w:r>
          </w:p>
        </w:tc>
        <w:tc>
          <w:tcPr>
            <w:tcW w:w="8221" w:type="dxa"/>
            <w:tcBorders>
              <w:top w:val="single" w:color="000000" w:sz="6" w:space="0"/>
              <w:left w:val="nil"/>
              <w:bottom w:val="single" w:color="000000" w:sz="6" w:space="0"/>
              <w:right w:val="single" w:color="auto" w:sz="4" w:space="0"/>
            </w:tcBorders>
            <w:vAlign w:val="center"/>
          </w:tcPr>
          <w:p w14:paraId="0383D015">
            <w:pPr>
              <w:spacing w:line="400" w:lineRule="exact"/>
              <w:rPr>
                <w:rFonts w:ascii="宋体" w:hAnsi="宋体" w:cs="宋体"/>
                <w:color w:val="auto"/>
              </w:rPr>
            </w:pPr>
            <w:r>
              <w:rPr>
                <w:rFonts w:hint="eastAsia" w:ascii="宋体" w:hAnsi="宋体" w:cs="宋体"/>
                <w:color w:val="auto"/>
              </w:rPr>
              <w:t>交货期：接采购人通知后30天内交付至</w:t>
            </w:r>
            <w:r>
              <w:rPr>
                <w:rFonts w:hint="eastAsia" w:ascii="宋体" w:hAnsi="宋体"/>
                <w:color w:val="auto"/>
                <w:szCs w:val="21"/>
              </w:rPr>
              <w:t>各使用学校</w:t>
            </w:r>
            <w:r>
              <w:rPr>
                <w:rFonts w:hint="eastAsia" w:ascii="宋体" w:hAnsi="宋体" w:cs="宋体"/>
                <w:color w:val="auto"/>
              </w:rPr>
              <w:t>并通过</w:t>
            </w:r>
            <w:r>
              <w:rPr>
                <w:rFonts w:hint="eastAsia" w:ascii="宋体" w:hAnsi="宋体"/>
                <w:color w:val="auto"/>
                <w:szCs w:val="21"/>
              </w:rPr>
              <w:t>各使用学校</w:t>
            </w:r>
            <w:r>
              <w:rPr>
                <w:rFonts w:hint="eastAsia" w:ascii="宋体" w:hAnsi="宋体" w:cs="宋体"/>
                <w:color w:val="auto"/>
              </w:rPr>
              <w:t>验收。</w:t>
            </w:r>
          </w:p>
        </w:tc>
      </w:tr>
      <w:tr w14:paraId="544FE903">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3AD02D7">
            <w:pPr>
              <w:autoSpaceDE w:val="0"/>
              <w:autoSpaceDN w:val="0"/>
              <w:adjustRightInd w:val="0"/>
              <w:spacing w:line="400" w:lineRule="exact"/>
              <w:jc w:val="center"/>
              <w:rPr>
                <w:rFonts w:ascii="宋体" w:hAnsi="宋体"/>
                <w:color w:val="auto"/>
                <w:szCs w:val="21"/>
              </w:rPr>
            </w:pPr>
            <w:bookmarkStart w:id="83" w:name="_Hlk200636214"/>
            <w:r>
              <w:rPr>
                <w:rFonts w:hint="eastAsia" w:ascii="宋体" w:hAnsi="宋体"/>
                <w:color w:val="auto"/>
                <w:szCs w:val="21"/>
              </w:rPr>
              <w:t>3</w:t>
            </w:r>
          </w:p>
        </w:tc>
        <w:tc>
          <w:tcPr>
            <w:tcW w:w="8221" w:type="dxa"/>
            <w:tcBorders>
              <w:top w:val="single" w:color="000000" w:sz="6" w:space="0"/>
              <w:left w:val="nil"/>
              <w:bottom w:val="single" w:color="000000" w:sz="6" w:space="0"/>
              <w:right w:val="single" w:color="auto" w:sz="4" w:space="0"/>
            </w:tcBorders>
            <w:vAlign w:val="center"/>
          </w:tcPr>
          <w:p w14:paraId="0F2721C1">
            <w:pPr>
              <w:spacing w:line="400" w:lineRule="exact"/>
              <w:rPr>
                <w:rFonts w:ascii="宋体" w:hAnsi="宋体"/>
                <w:color w:val="auto"/>
                <w:szCs w:val="21"/>
                <w:lang w:val="zh-CN"/>
              </w:rPr>
            </w:pPr>
            <w:r>
              <w:rPr>
                <w:rFonts w:hint="eastAsia" w:ascii="宋体" w:hAnsi="宋体"/>
                <w:color w:val="auto"/>
                <w:szCs w:val="21"/>
                <w:lang w:val="zh-CN"/>
              </w:rPr>
              <w:t>付款方法和条件：</w:t>
            </w:r>
          </w:p>
          <w:p w14:paraId="2BF399A9">
            <w:pPr>
              <w:spacing w:line="400" w:lineRule="exact"/>
              <w:rPr>
                <w:rFonts w:ascii="宋体" w:hAnsi="宋体"/>
                <w:color w:val="auto"/>
                <w:szCs w:val="21"/>
              </w:rPr>
            </w:pPr>
            <w:r>
              <w:rPr>
                <w:rFonts w:hint="eastAsia" w:ascii="宋体" w:hAnsi="宋体"/>
                <w:color w:val="auto"/>
                <w:szCs w:val="21"/>
              </w:rPr>
              <w:t>1、合同生效及具备实施条件后7个工作日内，采购人预付给中标供应商合同总价的40%作为预付款，中标供应商在签订合同时，表示无需预付款或主动要求降低预付款比例的，可不适用本条款。需要支付预付款的情况下，中标供应商需提交银行、保险公司等金融机构出具的预付款保函或其他担保措施。</w:t>
            </w:r>
          </w:p>
          <w:p w14:paraId="35F35131">
            <w:pPr>
              <w:spacing w:line="400" w:lineRule="exact"/>
              <w:rPr>
                <w:rFonts w:ascii="宋体" w:hAnsi="宋体"/>
                <w:color w:val="auto"/>
                <w:szCs w:val="21"/>
              </w:rPr>
            </w:pPr>
            <w:r>
              <w:rPr>
                <w:rFonts w:hint="eastAsia" w:ascii="宋体" w:hAnsi="宋体"/>
                <w:color w:val="auto"/>
                <w:szCs w:val="21"/>
              </w:rPr>
              <w:t>2、所有货物交付完毕并通过各使用学校验收后7个工作日内，采购人按实际采购数量支付至实际结算金额的100%。</w:t>
            </w:r>
          </w:p>
          <w:p w14:paraId="50A44F5C">
            <w:pPr>
              <w:spacing w:line="400" w:lineRule="exact"/>
              <w:rPr>
                <w:rFonts w:ascii="宋体" w:hAnsi="宋体"/>
                <w:color w:val="auto"/>
                <w:szCs w:val="21"/>
                <w:lang w:val="zh-CN"/>
              </w:rPr>
            </w:pPr>
            <w:r>
              <w:rPr>
                <w:rFonts w:hint="eastAsia" w:ascii="宋体" w:hAnsi="宋体"/>
                <w:color w:val="auto"/>
                <w:szCs w:val="21"/>
              </w:rPr>
              <w:t>3、采购人支付费用前，中标供应商须提供正规税务发票，否则采购人有权不予支付。</w:t>
            </w:r>
          </w:p>
        </w:tc>
      </w:tr>
      <w:bookmarkEnd w:id="83"/>
      <w:tr w14:paraId="7AAD90AE">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2F507540">
            <w:pPr>
              <w:autoSpaceDE w:val="0"/>
              <w:autoSpaceDN w:val="0"/>
              <w:adjustRightInd w:val="0"/>
              <w:spacing w:line="400" w:lineRule="exact"/>
              <w:jc w:val="center"/>
              <w:rPr>
                <w:rFonts w:ascii="宋体" w:hAnsi="宋体"/>
                <w:color w:val="auto"/>
                <w:szCs w:val="21"/>
              </w:rPr>
            </w:pPr>
            <w:r>
              <w:rPr>
                <w:rFonts w:hint="eastAsia" w:ascii="宋体" w:hAnsi="宋体"/>
                <w:color w:val="auto"/>
                <w:szCs w:val="21"/>
              </w:rPr>
              <w:t>4</w:t>
            </w:r>
          </w:p>
        </w:tc>
        <w:tc>
          <w:tcPr>
            <w:tcW w:w="8221" w:type="dxa"/>
            <w:tcBorders>
              <w:top w:val="single" w:color="000000" w:sz="6" w:space="0"/>
              <w:left w:val="nil"/>
              <w:bottom w:val="single" w:color="auto" w:sz="4" w:space="0"/>
              <w:right w:val="single" w:color="auto" w:sz="4" w:space="0"/>
            </w:tcBorders>
            <w:vAlign w:val="center"/>
          </w:tcPr>
          <w:p w14:paraId="2B4E5BD3">
            <w:pPr>
              <w:spacing w:line="400" w:lineRule="exact"/>
              <w:rPr>
                <w:rFonts w:ascii="宋体" w:hAnsi="宋体" w:cs="宋体"/>
                <w:color w:val="auto"/>
              </w:rPr>
            </w:pPr>
            <w:r>
              <w:rPr>
                <w:rFonts w:hint="eastAsia" w:ascii="宋体" w:hAnsi="宋体" w:cs="宋体"/>
                <w:color w:val="auto"/>
              </w:rPr>
              <w:t>质量保证期：自</w:t>
            </w:r>
            <w:r>
              <w:rPr>
                <w:rFonts w:hint="eastAsia" w:ascii="宋体" w:hAnsi="宋体"/>
                <w:color w:val="auto"/>
                <w:szCs w:val="21"/>
                <w:lang w:val="zh-CN"/>
              </w:rPr>
              <w:t>所有货物</w:t>
            </w:r>
            <w:r>
              <w:rPr>
                <w:rFonts w:hint="eastAsia" w:ascii="宋体" w:hAnsi="宋体"/>
                <w:color w:val="auto"/>
                <w:szCs w:val="21"/>
              </w:rPr>
              <w:t>交付完毕并通过各使用学校验收之日起不少于3年</w:t>
            </w:r>
            <w:r>
              <w:rPr>
                <w:rFonts w:hint="eastAsia" w:ascii="宋体" w:hAnsi="宋体" w:cs="宋体"/>
                <w:color w:val="auto"/>
              </w:rPr>
              <w:t>。</w:t>
            </w:r>
          </w:p>
        </w:tc>
      </w:tr>
      <w:tr w14:paraId="3B6831C3">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29ED3EDF">
            <w:pPr>
              <w:autoSpaceDE w:val="0"/>
              <w:autoSpaceDN w:val="0"/>
              <w:adjustRightInd w:val="0"/>
              <w:spacing w:line="400" w:lineRule="exact"/>
              <w:jc w:val="center"/>
              <w:rPr>
                <w:rFonts w:ascii="宋体" w:hAnsi="宋体"/>
                <w:color w:val="auto"/>
                <w:szCs w:val="21"/>
              </w:rPr>
            </w:pPr>
            <w:r>
              <w:rPr>
                <w:rFonts w:hint="eastAsia" w:ascii="宋体" w:hAnsi="宋体"/>
                <w:color w:val="auto"/>
                <w:szCs w:val="21"/>
              </w:rPr>
              <w:t>5</w:t>
            </w:r>
          </w:p>
        </w:tc>
        <w:tc>
          <w:tcPr>
            <w:tcW w:w="8221" w:type="dxa"/>
            <w:tcBorders>
              <w:top w:val="single" w:color="auto" w:sz="4" w:space="0"/>
              <w:left w:val="nil"/>
              <w:bottom w:val="single" w:color="000000" w:sz="6" w:space="0"/>
              <w:right w:val="single" w:color="auto" w:sz="4" w:space="0"/>
            </w:tcBorders>
            <w:vAlign w:val="center"/>
          </w:tcPr>
          <w:p w14:paraId="580BB5D1">
            <w:pPr>
              <w:spacing w:line="400" w:lineRule="exact"/>
              <w:rPr>
                <w:rFonts w:ascii="宋体" w:hAnsi="宋体" w:cs="宋体"/>
                <w:color w:val="auto"/>
              </w:rPr>
            </w:pPr>
            <w:r>
              <w:rPr>
                <w:rFonts w:hint="eastAsia" w:ascii="宋体" w:hAnsi="宋体" w:cs="宋体"/>
                <w:color w:val="auto"/>
              </w:rPr>
              <w:t>售后服务：</w:t>
            </w:r>
          </w:p>
          <w:p w14:paraId="1AC6F37C">
            <w:pPr>
              <w:spacing w:line="400" w:lineRule="exact"/>
              <w:rPr>
                <w:rFonts w:ascii="宋体" w:hAnsi="宋体" w:cs="宋体"/>
                <w:color w:val="auto"/>
              </w:rPr>
            </w:pPr>
            <w:r>
              <w:rPr>
                <w:rFonts w:hint="eastAsia" w:ascii="宋体" w:hAnsi="宋体" w:cs="宋体"/>
                <w:color w:val="auto"/>
              </w:rPr>
              <w:t>（1）接采购人维修通知后</w:t>
            </w:r>
            <w:r>
              <w:rPr>
                <w:rFonts w:ascii="宋体" w:hAnsi="宋体" w:cs="宋体"/>
                <w:color w:val="auto"/>
              </w:rPr>
              <w:t>2</w:t>
            </w:r>
            <w:r>
              <w:rPr>
                <w:rFonts w:hint="eastAsia" w:ascii="宋体" w:hAnsi="宋体" w:cs="宋体"/>
                <w:color w:val="auto"/>
              </w:rPr>
              <w:t>小时上门维修，4小时内解决问题，以保证正常使用。</w:t>
            </w:r>
          </w:p>
          <w:p w14:paraId="5EFD4490">
            <w:pPr>
              <w:spacing w:line="400" w:lineRule="exact"/>
              <w:rPr>
                <w:rFonts w:ascii="宋体" w:hAnsi="宋体"/>
                <w:color w:val="auto"/>
              </w:rPr>
            </w:pPr>
            <w:r>
              <w:rPr>
                <w:rFonts w:hint="eastAsia" w:ascii="宋体" w:hAnsi="宋体"/>
                <w:color w:val="auto"/>
              </w:rPr>
              <w:t>（2）</w:t>
            </w:r>
            <w:r>
              <w:rPr>
                <w:rFonts w:hint="eastAsia" w:ascii="宋体" w:hAnsi="宋体" w:cs="宋体"/>
                <w:color w:val="auto"/>
              </w:rPr>
              <w:t>质量保证期要求见本表第4条。</w:t>
            </w:r>
            <w:r>
              <w:rPr>
                <w:rFonts w:hint="eastAsia" w:ascii="宋体" w:hAnsi="宋体"/>
                <w:color w:val="auto"/>
                <w:szCs w:val="21"/>
              </w:rPr>
              <w:t>质保期内若出现质量问题，乙方免费维修或更换。质保期满后提供货物终身维修（所发生费用的只收取材料成本费，不再收取其它费用）</w:t>
            </w:r>
            <w:r>
              <w:rPr>
                <w:rFonts w:hint="eastAsia" w:ascii="宋体" w:hAnsi="宋体"/>
                <w:color w:val="auto"/>
              </w:rPr>
              <w:t>。</w:t>
            </w:r>
          </w:p>
          <w:p w14:paraId="69A818D5">
            <w:pPr>
              <w:spacing w:line="400" w:lineRule="exact"/>
              <w:rPr>
                <w:rFonts w:ascii="宋体" w:hAnsi="宋体" w:cs="宋体"/>
                <w:color w:val="auto"/>
              </w:rPr>
            </w:pPr>
            <w:r>
              <w:rPr>
                <w:rFonts w:hint="eastAsia" w:ascii="宋体" w:hAnsi="宋体"/>
                <w:color w:val="auto"/>
              </w:rPr>
              <w:t>（3）</w:t>
            </w:r>
            <w:r>
              <w:rPr>
                <w:rFonts w:hint="eastAsia" w:ascii="宋体" w:hAnsi="宋体" w:cs="宋体"/>
                <w:color w:val="auto"/>
              </w:rPr>
              <w:t>提供售后服务网点的地址、电话、联系人。</w:t>
            </w:r>
          </w:p>
          <w:p w14:paraId="776617BD">
            <w:pPr>
              <w:spacing w:line="400" w:lineRule="exact"/>
              <w:rPr>
                <w:rFonts w:ascii="宋体" w:hAnsi="宋体"/>
                <w:color w:val="auto"/>
                <w:szCs w:val="21"/>
              </w:rPr>
            </w:pPr>
            <w:r>
              <w:rPr>
                <w:rFonts w:hint="eastAsia" w:ascii="宋体" w:hAnsi="宋体" w:cs="宋体"/>
                <w:color w:val="auto"/>
              </w:rPr>
              <w:t>（4）</w:t>
            </w:r>
            <w:r>
              <w:rPr>
                <w:rFonts w:hint="eastAsia" w:ascii="宋体" w:hAnsi="宋体"/>
                <w:color w:val="auto"/>
                <w:szCs w:val="21"/>
              </w:rPr>
              <w:t>供应商</w:t>
            </w:r>
            <w:r>
              <w:rPr>
                <w:rFonts w:ascii="宋体" w:hAnsi="宋体"/>
                <w:color w:val="auto"/>
                <w:szCs w:val="21"/>
              </w:rPr>
              <w:t>确保有原厂生产的足够的备件、附件和易损件满足设备正常</w:t>
            </w:r>
            <w:r>
              <w:rPr>
                <w:rFonts w:hint="eastAsia" w:ascii="宋体" w:hAnsi="宋体"/>
                <w:color w:val="auto"/>
                <w:szCs w:val="21"/>
              </w:rPr>
              <w:t>使用</w:t>
            </w:r>
            <w:r>
              <w:rPr>
                <w:rFonts w:ascii="宋体" w:hAnsi="宋体"/>
                <w:color w:val="auto"/>
                <w:szCs w:val="21"/>
              </w:rPr>
              <w:t>需要。</w:t>
            </w:r>
          </w:p>
          <w:p w14:paraId="5EC717E1">
            <w:pPr>
              <w:spacing w:line="400" w:lineRule="exact"/>
              <w:rPr>
                <w:rFonts w:ascii="宋体" w:hAnsi="宋体" w:cs="宋体"/>
                <w:color w:val="auto"/>
              </w:rPr>
            </w:pPr>
            <w:r>
              <w:rPr>
                <w:rFonts w:hint="eastAsia" w:ascii="宋体" w:hAnsi="宋体"/>
                <w:color w:val="auto"/>
                <w:szCs w:val="21"/>
              </w:rPr>
              <w:t>（5）产品因非人为因素无法使用时，中标供应商应当在三日内将补充或者更换的货物运抵发生故障的货物所在地，由此产生的一切相关费用由中标供应商承担。</w:t>
            </w:r>
          </w:p>
        </w:tc>
      </w:tr>
      <w:tr w14:paraId="7A0B599E">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486F386">
            <w:pPr>
              <w:autoSpaceDE w:val="0"/>
              <w:autoSpaceDN w:val="0"/>
              <w:adjustRightInd w:val="0"/>
              <w:spacing w:line="400" w:lineRule="exact"/>
              <w:jc w:val="center"/>
              <w:rPr>
                <w:rFonts w:ascii="宋体" w:hAnsi="宋体"/>
                <w:color w:val="auto"/>
                <w:szCs w:val="21"/>
              </w:rPr>
            </w:pPr>
            <w:r>
              <w:rPr>
                <w:rFonts w:hint="eastAsia" w:ascii="宋体" w:hAnsi="宋体"/>
                <w:color w:val="auto"/>
                <w:szCs w:val="21"/>
              </w:rPr>
              <w:t>6</w:t>
            </w:r>
          </w:p>
        </w:tc>
        <w:tc>
          <w:tcPr>
            <w:tcW w:w="8221" w:type="dxa"/>
            <w:tcBorders>
              <w:top w:val="single" w:color="000000" w:sz="6" w:space="0"/>
              <w:left w:val="nil"/>
              <w:bottom w:val="single" w:color="000000" w:sz="6" w:space="0"/>
              <w:right w:val="single" w:color="auto" w:sz="4" w:space="0"/>
            </w:tcBorders>
            <w:vAlign w:val="center"/>
          </w:tcPr>
          <w:p w14:paraId="0F45A789">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授予合同：</w:t>
            </w:r>
          </w:p>
          <w:p w14:paraId="62F032AC">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①中标通知书发出之日起</w:t>
            </w:r>
            <w:r>
              <w:rPr>
                <w:rFonts w:ascii="宋体" w:hAnsi="宋体"/>
                <w:color w:val="auto"/>
                <w:szCs w:val="21"/>
                <w:lang w:val="zh-CN"/>
              </w:rPr>
              <w:t>30</w:t>
            </w:r>
            <w:r>
              <w:rPr>
                <w:rFonts w:hint="eastAsia" w:ascii="宋体" w:hAnsi="宋体"/>
                <w:color w:val="auto"/>
                <w:szCs w:val="21"/>
                <w:lang w:val="zh-CN"/>
              </w:rPr>
              <w:t>天内，中标供应商应按照采购文件的规定、中标供应商的投标文件及中标通知书确定的金额签订合同。</w:t>
            </w:r>
          </w:p>
          <w:p w14:paraId="115F38F9">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②中标供应商如不遵守招标文件各项条款的邀约与要约，或在接到中标通知书后借故拖延，拒签合同的，采购人将按《浙江省政府采购供应商注册及诚信管理暂行办法》的规定上报诚信状况。给采购人造成的损失的还应当予以赔偿。</w:t>
            </w:r>
          </w:p>
        </w:tc>
      </w:tr>
    </w:tbl>
    <w:p w14:paraId="499310BB">
      <w:pPr>
        <w:spacing w:line="400" w:lineRule="exact"/>
        <w:jc w:val="center"/>
        <w:outlineLvl w:val="0"/>
        <w:rPr>
          <w:rFonts w:ascii="宋体" w:hAnsi="宋体"/>
          <w:b/>
          <w:color w:val="auto"/>
          <w:sz w:val="32"/>
        </w:rPr>
      </w:pPr>
    </w:p>
    <w:p w14:paraId="7894EC0B">
      <w:pPr>
        <w:spacing w:line="400" w:lineRule="exact"/>
        <w:outlineLvl w:val="0"/>
        <w:rPr>
          <w:rFonts w:ascii="宋体" w:hAnsi="宋体"/>
          <w:bCs/>
          <w:color w:val="auto"/>
          <w:sz w:val="24"/>
        </w:rPr>
      </w:pPr>
    </w:p>
    <w:p w14:paraId="585BF142">
      <w:pPr>
        <w:spacing w:line="400" w:lineRule="exact"/>
        <w:jc w:val="center"/>
        <w:rPr>
          <w:rFonts w:ascii="宋体" w:hAnsi="宋体"/>
          <w:b/>
          <w:color w:val="auto"/>
          <w:sz w:val="32"/>
        </w:rPr>
        <w:sectPr>
          <w:pgSz w:w="11907" w:h="16840"/>
          <w:pgMar w:top="851" w:right="1588" w:bottom="851" w:left="1545" w:header="285" w:footer="418" w:gutter="0"/>
          <w:cols w:space="720" w:num="1"/>
          <w:docGrid w:linePitch="285" w:charSpace="0"/>
        </w:sectPr>
      </w:pPr>
    </w:p>
    <w:bookmarkEnd w:id="59"/>
    <w:p w14:paraId="1DE42CD6">
      <w:pPr>
        <w:spacing w:line="400" w:lineRule="exact"/>
        <w:jc w:val="center"/>
        <w:outlineLvl w:val="0"/>
        <w:rPr>
          <w:rFonts w:ascii="宋体" w:hAnsi="宋体"/>
          <w:b/>
          <w:color w:val="auto"/>
          <w:sz w:val="32"/>
        </w:rPr>
      </w:pPr>
      <w:bookmarkStart w:id="84" w:name="_Toc55385108"/>
      <w:r>
        <w:rPr>
          <w:rFonts w:hint="eastAsia" w:ascii="宋体" w:hAnsi="宋体"/>
          <w:b/>
          <w:color w:val="auto"/>
          <w:sz w:val="32"/>
        </w:rPr>
        <w:t>第七章  附件</w:t>
      </w:r>
      <w:bookmarkEnd w:id="84"/>
    </w:p>
    <w:p w14:paraId="68C5E74D">
      <w:pPr>
        <w:spacing w:line="360" w:lineRule="auto"/>
        <w:rPr>
          <w:rStyle w:val="88"/>
          <w:rFonts w:ascii="宋体" w:hAnsi="宋体"/>
          <w:color w:val="auto"/>
          <w:sz w:val="21"/>
          <w:szCs w:val="21"/>
        </w:rPr>
      </w:pPr>
    </w:p>
    <w:p w14:paraId="2C86A331">
      <w:pPr>
        <w:spacing w:line="400" w:lineRule="exact"/>
        <w:rPr>
          <w:rStyle w:val="88"/>
          <w:rFonts w:ascii="宋体" w:hAnsi="宋体"/>
          <w:b w:val="0"/>
          <w:color w:val="auto"/>
          <w:spacing w:val="0"/>
          <w:sz w:val="21"/>
          <w:szCs w:val="21"/>
        </w:rPr>
      </w:pPr>
      <w:r>
        <w:rPr>
          <w:rStyle w:val="88"/>
          <w:rFonts w:hint="eastAsia" w:ascii="宋体" w:hAnsi="宋体"/>
          <w:color w:val="auto"/>
          <w:sz w:val="21"/>
          <w:szCs w:val="21"/>
        </w:rPr>
        <w:t>封面</w:t>
      </w:r>
    </w:p>
    <w:p w14:paraId="49C5796B">
      <w:pPr>
        <w:spacing w:line="360" w:lineRule="auto"/>
        <w:ind w:firstLine="1189" w:firstLineChars="400"/>
        <w:rPr>
          <w:rFonts w:ascii="宋体" w:hAnsi="宋体"/>
          <w:b/>
          <w:color w:val="auto"/>
          <w:sz w:val="32"/>
          <w:szCs w:val="32"/>
        </w:rPr>
      </w:pPr>
      <w:r>
        <w:rPr>
          <w:rStyle w:val="88"/>
          <w:rFonts w:hint="eastAsia" w:ascii="宋体" w:hAnsi="宋体"/>
          <w:color w:val="auto"/>
          <w:sz w:val="30"/>
          <w:szCs w:val="30"/>
        </w:rPr>
        <w:t xml:space="preserve">   </w:t>
      </w:r>
      <w:r>
        <w:rPr>
          <w:rFonts w:hint="eastAsia" w:ascii="宋体" w:hAnsi="宋体"/>
          <w:color w:val="auto"/>
          <w:sz w:val="28"/>
        </w:rPr>
        <w:t xml:space="preserve">                                         </w:t>
      </w:r>
    </w:p>
    <w:p w14:paraId="7D895BBF">
      <w:pPr>
        <w:spacing w:line="360" w:lineRule="auto"/>
        <w:rPr>
          <w:rFonts w:ascii="宋体" w:hAnsi="宋体"/>
          <w:color w:val="auto"/>
          <w:sz w:val="28"/>
          <w:szCs w:val="28"/>
        </w:rPr>
      </w:pPr>
    </w:p>
    <w:p w14:paraId="3D1EFD10">
      <w:pPr>
        <w:spacing w:line="360" w:lineRule="auto"/>
        <w:jc w:val="center"/>
        <w:rPr>
          <w:rFonts w:ascii="宋体" w:hAnsi="宋体"/>
          <w:b/>
          <w:color w:val="auto"/>
          <w:sz w:val="46"/>
          <w:szCs w:val="52"/>
        </w:rPr>
      </w:pPr>
      <w:r>
        <w:rPr>
          <w:rFonts w:hint="eastAsia" w:ascii="宋体" w:hAnsi="宋体"/>
          <w:b/>
          <w:color w:val="auto"/>
          <w:sz w:val="46"/>
          <w:szCs w:val="52"/>
        </w:rPr>
        <w:t>宁波前湾新区教育文体和旅游局学生午休垫采购项目</w:t>
      </w:r>
    </w:p>
    <w:p w14:paraId="0E76AC2F">
      <w:pPr>
        <w:spacing w:line="360" w:lineRule="auto"/>
        <w:jc w:val="center"/>
        <w:rPr>
          <w:rFonts w:ascii="宋体" w:hAnsi="宋体"/>
          <w:color w:val="auto"/>
          <w:sz w:val="36"/>
          <w:szCs w:val="36"/>
        </w:rPr>
      </w:pPr>
      <w:r>
        <w:rPr>
          <w:rFonts w:hint="eastAsia" w:ascii="宋体" w:hAnsi="宋体"/>
          <w:color w:val="auto"/>
          <w:sz w:val="36"/>
          <w:szCs w:val="36"/>
        </w:rPr>
        <w:t>采购编号：</w:t>
      </w:r>
      <w:r>
        <w:rPr>
          <w:rFonts w:hint="eastAsia" w:ascii="宋体" w:hAnsi="宋体"/>
          <w:color w:val="auto"/>
          <w:sz w:val="36"/>
          <w:szCs w:val="36"/>
          <w:u w:val="single"/>
        </w:rPr>
        <w:t>QWZFCG25054（NBITC-202510852G）</w:t>
      </w:r>
    </w:p>
    <w:p w14:paraId="28104BA2">
      <w:pPr>
        <w:rPr>
          <w:rFonts w:ascii="宋体" w:hAnsi="宋体"/>
          <w:color w:val="auto"/>
          <w:sz w:val="28"/>
          <w:szCs w:val="28"/>
        </w:rPr>
      </w:pPr>
    </w:p>
    <w:p w14:paraId="5C0642C6">
      <w:pPr>
        <w:jc w:val="center"/>
        <w:rPr>
          <w:rFonts w:ascii="宋体" w:hAnsi="宋体"/>
          <w:color w:val="auto"/>
          <w:sz w:val="28"/>
          <w:szCs w:val="28"/>
        </w:rPr>
      </w:pPr>
    </w:p>
    <w:p w14:paraId="30544154">
      <w:pPr>
        <w:jc w:val="center"/>
        <w:rPr>
          <w:rFonts w:ascii="宋体" w:hAnsi="宋体"/>
          <w:color w:val="auto"/>
          <w:sz w:val="28"/>
          <w:szCs w:val="28"/>
        </w:rPr>
      </w:pPr>
    </w:p>
    <w:p w14:paraId="65CB1D22">
      <w:pPr>
        <w:jc w:val="center"/>
        <w:rPr>
          <w:rFonts w:ascii="宋体" w:hAnsi="宋体"/>
          <w:color w:val="auto"/>
          <w:sz w:val="28"/>
          <w:szCs w:val="28"/>
        </w:rPr>
      </w:pPr>
    </w:p>
    <w:p w14:paraId="4A72BDCA">
      <w:pPr>
        <w:spacing w:line="360" w:lineRule="auto"/>
        <w:jc w:val="center"/>
        <w:rPr>
          <w:rFonts w:ascii="宋体" w:hAnsi="宋体"/>
          <w:b/>
          <w:color w:val="auto"/>
          <w:sz w:val="52"/>
          <w:szCs w:val="52"/>
        </w:rPr>
      </w:pPr>
      <w:r>
        <w:rPr>
          <w:rFonts w:hint="eastAsia" w:ascii="宋体" w:hAnsi="宋体"/>
          <w:b/>
          <w:color w:val="auto"/>
          <w:sz w:val="52"/>
          <w:szCs w:val="52"/>
        </w:rPr>
        <w:t>（资格/商务和技术/报价文件）</w:t>
      </w:r>
    </w:p>
    <w:p w14:paraId="6C841883">
      <w:pPr>
        <w:spacing w:line="360" w:lineRule="auto"/>
        <w:jc w:val="center"/>
        <w:rPr>
          <w:rFonts w:ascii="宋体" w:hAnsi="宋体"/>
          <w:b/>
          <w:color w:val="auto"/>
          <w:sz w:val="72"/>
          <w:szCs w:val="72"/>
        </w:rPr>
      </w:pPr>
    </w:p>
    <w:p w14:paraId="0F5AEBDE">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6A9DB98F">
      <w:pPr>
        <w:pStyle w:val="23"/>
        <w:ind w:left="101" w:leftChars="48" w:firstLine="1920" w:firstLineChars="800"/>
        <w:jc w:val="left"/>
        <w:rPr>
          <w:rFonts w:hAnsi="宋体"/>
          <w:color w:val="auto"/>
          <w:szCs w:val="28"/>
          <w:u w:val="single"/>
        </w:rPr>
      </w:pPr>
    </w:p>
    <w:p w14:paraId="2A6ECBD7">
      <w:pPr>
        <w:spacing w:line="360" w:lineRule="auto"/>
        <w:jc w:val="center"/>
        <w:rPr>
          <w:rFonts w:ascii="宋体" w:hAnsi="宋体"/>
          <w:color w:val="auto"/>
          <w:sz w:val="36"/>
          <w:szCs w:val="36"/>
        </w:rPr>
      </w:pPr>
      <w:r>
        <w:rPr>
          <w:rFonts w:hint="eastAsia" w:ascii="宋体" w:hAnsi="宋体"/>
          <w:color w:val="auto"/>
          <w:sz w:val="36"/>
          <w:szCs w:val="36"/>
        </w:rPr>
        <w:t>年   月   日</w:t>
      </w:r>
    </w:p>
    <w:p w14:paraId="2A9E0E89">
      <w:pPr>
        <w:pStyle w:val="21"/>
        <w:snapToGrid w:val="0"/>
        <w:spacing w:line="400" w:lineRule="exact"/>
        <w:rPr>
          <w:rStyle w:val="88"/>
          <w:color w:val="auto"/>
          <w:sz w:val="21"/>
        </w:rPr>
      </w:pPr>
      <w:r>
        <w:rPr>
          <w:color w:val="auto"/>
          <w:sz w:val="36"/>
          <w:szCs w:val="36"/>
        </w:rPr>
        <w:br w:type="page"/>
      </w:r>
    </w:p>
    <w:p w14:paraId="0082C8EC">
      <w:pPr>
        <w:spacing w:line="400" w:lineRule="exact"/>
        <w:jc w:val="center"/>
        <w:rPr>
          <w:rFonts w:ascii="宋体" w:hAnsi="宋体"/>
          <w:b/>
          <w:color w:val="auto"/>
          <w:szCs w:val="21"/>
        </w:rPr>
      </w:pPr>
      <w:r>
        <w:rPr>
          <w:rStyle w:val="88"/>
          <w:rFonts w:hint="eastAsia" w:ascii="宋体" w:hAnsi="宋体"/>
          <w:color w:val="auto"/>
          <w:sz w:val="21"/>
          <w:szCs w:val="21"/>
        </w:rPr>
        <w:t>A1、关于</w:t>
      </w:r>
      <w:r>
        <w:rPr>
          <w:rFonts w:hint="eastAsia" w:ascii="宋体" w:hAnsi="宋体"/>
          <w:b/>
          <w:color w:val="auto"/>
          <w:szCs w:val="21"/>
        </w:rPr>
        <w:t>资格的承诺函</w:t>
      </w:r>
    </w:p>
    <w:p w14:paraId="3C18A290">
      <w:pPr>
        <w:spacing w:line="400" w:lineRule="exact"/>
        <w:rPr>
          <w:rFonts w:ascii="宋体" w:hAnsi="宋体"/>
          <w:b/>
          <w:color w:val="auto"/>
          <w:szCs w:val="21"/>
        </w:rPr>
      </w:pPr>
      <w:r>
        <w:rPr>
          <w:rFonts w:hint="eastAsia" w:ascii="宋体" w:hAnsi="宋体"/>
          <w:color w:val="auto"/>
          <w:szCs w:val="21"/>
        </w:rPr>
        <w:t>致：采购人</w:t>
      </w:r>
    </w:p>
    <w:p w14:paraId="4B80CA71">
      <w:pPr>
        <w:spacing w:line="400" w:lineRule="exact"/>
        <w:ind w:firstLine="420" w:firstLineChars="200"/>
        <w:rPr>
          <w:rFonts w:ascii="宋体" w:hAnsi="宋体"/>
          <w:color w:val="auto"/>
          <w:szCs w:val="21"/>
        </w:rPr>
      </w:pPr>
      <w:r>
        <w:rPr>
          <w:rFonts w:hint="eastAsia" w:ascii="宋体" w:hAnsi="宋体"/>
          <w:bCs/>
          <w:color w:val="auto"/>
          <w:szCs w:val="21"/>
        </w:rPr>
        <w:t>我单位承诺：</w:t>
      </w:r>
    </w:p>
    <w:p w14:paraId="485235FF">
      <w:pPr>
        <w:spacing w:line="400" w:lineRule="exact"/>
        <w:ind w:firstLine="420" w:firstLineChars="200"/>
        <w:rPr>
          <w:rFonts w:ascii="宋体" w:hAnsi="宋体"/>
          <w:color w:val="auto"/>
          <w:szCs w:val="21"/>
        </w:rPr>
      </w:pPr>
      <w:r>
        <w:rPr>
          <w:rFonts w:hint="eastAsia" w:ascii="宋体" w:hAnsi="宋体"/>
          <w:color w:val="auto"/>
          <w:szCs w:val="21"/>
        </w:rPr>
        <w:t>我单位满足《中华人民共和国政府采购法》第二十二条 供应商参加政府采购活动应当具备的下列条件：</w:t>
      </w:r>
    </w:p>
    <w:p w14:paraId="7C1844E9">
      <w:pPr>
        <w:spacing w:line="400" w:lineRule="exact"/>
        <w:ind w:firstLine="420" w:firstLineChars="200"/>
        <w:rPr>
          <w:rFonts w:ascii="宋体" w:hAnsi="宋体"/>
          <w:color w:val="auto"/>
          <w:szCs w:val="21"/>
        </w:rPr>
      </w:pPr>
      <w:r>
        <w:rPr>
          <w:rFonts w:hint="eastAsia" w:ascii="宋体" w:hAnsi="宋体"/>
          <w:color w:val="auto"/>
          <w:szCs w:val="21"/>
        </w:rPr>
        <w:t>（一）具有独立承担民事责任的能力；</w:t>
      </w:r>
    </w:p>
    <w:p w14:paraId="3438A463">
      <w:pPr>
        <w:spacing w:line="400" w:lineRule="exact"/>
        <w:ind w:firstLine="420" w:firstLineChars="200"/>
        <w:rPr>
          <w:rFonts w:ascii="宋体" w:hAnsi="宋体"/>
          <w:color w:val="auto"/>
          <w:szCs w:val="21"/>
        </w:rPr>
      </w:pPr>
      <w:r>
        <w:rPr>
          <w:rFonts w:hint="eastAsia" w:ascii="宋体" w:hAnsi="宋体"/>
          <w:color w:val="auto"/>
          <w:szCs w:val="21"/>
        </w:rPr>
        <w:t>（二）具有良好的商业信誉和健全的财务会计制度；</w:t>
      </w:r>
    </w:p>
    <w:p w14:paraId="050BA236">
      <w:pPr>
        <w:spacing w:line="400" w:lineRule="exact"/>
        <w:ind w:firstLine="420" w:firstLineChars="200"/>
        <w:rPr>
          <w:rFonts w:ascii="宋体" w:hAnsi="宋体"/>
          <w:color w:val="auto"/>
          <w:szCs w:val="21"/>
        </w:rPr>
      </w:pPr>
      <w:r>
        <w:rPr>
          <w:rFonts w:hint="eastAsia" w:ascii="宋体" w:hAnsi="宋体"/>
          <w:color w:val="auto"/>
          <w:szCs w:val="21"/>
        </w:rPr>
        <w:t>（三）具有履行合同所必需的设备和专业技术能力；</w:t>
      </w:r>
    </w:p>
    <w:p w14:paraId="43D0E5DD">
      <w:pPr>
        <w:spacing w:line="400" w:lineRule="exact"/>
        <w:ind w:firstLine="420" w:firstLineChars="200"/>
        <w:rPr>
          <w:rFonts w:ascii="宋体" w:hAnsi="宋体"/>
          <w:color w:val="auto"/>
          <w:szCs w:val="21"/>
        </w:rPr>
      </w:pPr>
      <w:r>
        <w:rPr>
          <w:rFonts w:hint="eastAsia" w:ascii="宋体" w:hAnsi="宋体"/>
          <w:color w:val="auto"/>
          <w:szCs w:val="21"/>
        </w:rPr>
        <w:t>（四）有依法缴纳税收和社会保障资金的良好记录；</w:t>
      </w:r>
    </w:p>
    <w:p w14:paraId="37146119">
      <w:pPr>
        <w:spacing w:line="400" w:lineRule="exact"/>
        <w:ind w:firstLine="420" w:firstLineChars="200"/>
        <w:rPr>
          <w:rFonts w:ascii="宋体" w:hAnsi="宋体"/>
          <w:color w:val="auto"/>
          <w:szCs w:val="21"/>
        </w:rPr>
      </w:pPr>
      <w:r>
        <w:rPr>
          <w:rFonts w:hint="eastAsia" w:ascii="宋体" w:hAnsi="宋体"/>
          <w:color w:val="auto"/>
          <w:szCs w:val="21"/>
        </w:rPr>
        <w:t>（五）参加政府采购活动前三年内，在经营活动中没有重大违法记录；</w:t>
      </w:r>
    </w:p>
    <w:p w14:paraId="755ED20A">
      <w:pPr>
        <w:spacing w:line="400" w:lineRule="exact"/>
        <w:ind w:firstLine="420" w:firstLineChars="200"/>
        <w:rPr>
          <w:rFonts w:ascii="宋体" w:hAnsi="宋体"/>
          <w:color w:val="auto"/>
          <w:szCs w:val="21"/>
        </w:rPr>
      </w:pPr>
      <w:r>
        <w:rPr>
          <w:rFonts w:hint="eastAsia" w:ascii="宋体" w:hAnsi="宋体"/>
          <w:color w:val="auto"/>
          <w:szCs w:val="21"/>
        </w:rPr>
        <w:t>（六）法律、行政法规规定的其他条件。</w:t>
      </w:r>
    </w:p>
    <w:p w14:paraId="427273BF">
      <w:pPr>
        <w:spacing w:line="400" w:lineRule="exact"/>
        <w:ind w:firstLine="420" w:firstLineChars="200"/>
        <w:rPr>
          <w:rFonts w:ascii="宋体" w:hAnsi="宋体"/>
          <w:color w:val="auto"/>
          <w:szCs w:val="21"/>
        </w:rPr>
      </w:pPr>
    </w:p>
    <w:p w14:paraId="4910E5DC">
      <w:pPr>
        <w:spacing w:line="400" w:lineRule="exact"/>
        <w:ind w:firstLine="420" w:firstLineChars="200"/>
        <w:rPr>
          <w:rFonts w:ascii="宋体" w:hAnsi="宋体"/>
          <w:color w:val="auto"/>
          <w:szCs w:val="21"/>
        </w:rPr>
      </w:pPr>
      <w:r>
        <w:rPr>
          <w:rFonts w:hint="eastAsia" w:ascii="宋体" w:hAnsi="宋体"/>
          <w:color w:val="auto"/>
          <w:szCs w:val="21"/>
        </w:rPr>
        <w:t>特此承诺。</w:t>
      </w:r>
    </w:p>
    <w:p w14:paraId="2B23F5C3">
      <w:pPr>
        <w:spacing w:line="400" w:lineRule="exact"/>
        <w:ind w:firstLine="420" w:firstLineChars="200"/>
        <w:rPr>
          <w:rFonts w:ascii="宋体" w:hAnsi="宋体"/>
          <w:color w:val="auto"/>
          <w:szCs w:val="21"/>
        </w:rPr>
      </w:pPr>
    </w:p>
    <w:p w14:paraId="252054F9">
      <w:pPr>
        <w:spacing w:line="400" w:lineRule="exact"/>
        <w:ind w:firstLine="420" w:firstLineChars="200"/>
        <w:rPr>
          <w:rFonts w:ascii="宋体" w:hAnsi="宋体"/>
          <w:color w:val="auto"/>
          <w:szCs w:val="21"/>
        </w:rPr>
      </w:pPr>
    </w:p>
    <w:p w14:paraId="34B04D15">
      <w:pPr>
        <w:spacing w:line="400" w:lineRule="exact"/>
        <w:ind w:firstLine="420" w:firstLineChars="200"/>
        <w:rPr>
          <w:rFonts w:ascii="宋体" w:hAnsi="宋体"/>
          <w:color w:val="auto"/>
          <w:szCs w:val="21"/>
        </w:rPr>
      </w:pPr>
    </w:p>
    <w:p w14:paraId="4108F69E">
      <w:pPr>
        <w:spacing w:line="400" w:lineRule="exact"/>
        <w:ind w:firstLine="420" w:firstLineChars="200"/>
        <w:rPr>
          <w:rFonts w:ascii="宋体" w:hAnsi="宋体"/>
          <w:color w:val="auto"/>
          <w:szCs w:val="21"/>
        </w:rPr>
      </w:pPr>
    </w:p>
    <w:p w14:paraId="2EAFB3C6">
      <w:pPr>
        <w:spacing w:line="400" w:lineRule="atLeast"/>
        <w:jc w:val="left"/>
        <w:rPr>
          <w:rFonts w:ascii="宋体" w:hAnsi="宋体"/>
          <w:color w:val="auto"/>
          <w:szCs w:val="21"/>
        </w:rPr>
      </w:pPr>
      <w:r>
        <w:rPr>
          <w:rFonts w:hint="eastAsia" w:ascii="宋体" w:hAnsi="宋体"/>
          <w:color w:val="auto"/>
          <w:szCs w:val="21"/>
        </w:rPr>
        <w:t>供应商（盖章）：</w:t>
      </w:r>
      <w:r>
        <w:rPr>
          <w:rFonts w:ascii="宋体" w:hAnsi="宋体"/>
          <w:color w:val="auto"/>
          <w:szCs w:val="21"/>
        </w:rPr>
        <w:t xml:space="preserve">          </w:t>
      </w:r>
    </w:p>
    <w:p w14:paraId="78926885">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C6EB95A">
      <w:pPr>
        <w:adjustRightInd w:val="0"/>
        <w:snapToGrid w:val="0"/>
        <w:spacing w:line="400" w:lineRule="exact"/>
        <w:rPr>
          <w:rFonts w:ascii="宋体" w:hAnsi="宋体"/>
          <w:b/>
          <w:color w:val="auto"/>
          <w:szCs w:val="21"/>
        </w:rPr>
      </w:pPr>
      <w:r>
        <w:rPr>
          <w:b/>
          <w:color w:val="auto"/>
          <w:szCs w:val="21"/>
        </w:rPr>
        <w:br w:type="page"/>
      </w:r>
    </w:p>
    <w:p w14:paraId="50EF0A12">
      <w:pPr>
        <w:widowControl/>
        <w:spacing w:line="400" w:lineRule="exact"/>
        <w:jc w:val="left"/>
        <w:rPr>
          <w:rFonts w:ascii="宋体" w:hAnsi="宋体"/>
          <w:b/>
          <w:color w:val="auto"/>
          <w:szCs w:val="21"/>
        </w:rPr>
      </w:pPr>
      <w:r>
        <w:rPr>
          <w:rFonts w:hint="eastAsia" w:ascii="宋体" w:hAnsi="宋体"/>
          <w:b/>
          <w:color w:val="auto"/>
          <w:szCs w:val="21"/>
        </w:rPr>
        <w:t>A2、营业执照副本（或事业法人登记证副本或其他登记证明材料）复印件加盖供应商公章（供应商如果有名称变更的，应提供由行政主管部门出具的变更证明文件复印件加盖供应商公章）</w:t>
      </w:r>
    </w:p>
    <w:p w14:paraId="5634FA23">
      <w:pPr>
        <w:widowControl/>
        <w:jc w:val="left"/>
        <w:rPr>
          <w:rFonts w:ascii="宋体" w:hAnsi="宋体"/>
          <w:b/>
          <w:color w:val="auto"/>
          <w:szCs w:val="21"/>
        </w:rPr>
      </w:pPr>
    </w:p>
    <w:p w14:paraId="06EBF579">
      <w:pPr>
        <w:widowControl/>
        <w:jc w:val="left"/>
        <w:rPr>
          <w:rFonts w:ascii="宋体" w:hAnsi="宋体"/>
          <w:b/>
          <w:color w:val="auto"/>
          <w:szCs w:val="21"/>
        </w:rPr>
      </w:pPr>
      <w:r>
        <w:rPr>
          <w:rFonts w:ascii="宋体" w:hAnsi="宋体"/>
          <w:b/>
          <w:color w:val="auto"/>
          <w:szCs w:val="21"/>
        </w:rPr>
        <w:br w:type="page"/>
      </w:r>
    </w:p>
    <w:p w14:paraId="612E0B1A">
      <w:pPr>
        <w:spacing w:line="400" w:lineRule="exact"/>
        <w:jc w:val="center"/>
        <w:rPr>
          <w:rFonts w:ascii="宋体" w:hAnsi="宋体"/>
          <w:b/>
          <w:color w:val="auto"/>
          <w:szCs w:val="21"/>
        </w:rPr>
      </w:pPr>
      <w:r>
        <w:rPr>
          <w:rFonts w:hint="eastAsia" w:ascii="宋体" w:hAnsi="宋体"/>
          <w:b/>
          <w:color w:val="auto"/>
          <w:szCs w:val="21"/>
        </w:rPr>
        <w:t>A3、中小企业声明函（货物）</w:t>
      </w:r>
    </w:p>
    <w:p w14:paraId="6196F5F3">
      <w:pPr>
        <w:rPr>
          <w:rFonts w:ascii="宋体" w:hAnsi="宋体"/>
          <w:color w:val="auto"/>
          <w:szCs w:val="21"/>
        </w:rPr>
      </w:pPr>
    </w:p>
    <w:p w14:paraId="3C48485E">
      <w:pPr>
        <w:pStyle w:val="16"/>
        <w:spacing w:line="400" w:lineRule="exact"/>
        <w:ind w:firstLine="420" w:firstLineChars="200"/>
        <w:jc w:val="left"/>
        <w:rPr>
          <w:rFonts w:cs="宋体"/>
          <w:i w:val="0"/>
          <w:color w:val="auto"/>
          <w:sz w:val="21"/>
          <w:szCs w:val="21"/>
        </w:rPr>
      </w:pPr>
      <w:r>
        <w:rPr>
          <w:rFonts w:hint="eastAsia" w:cs="宋体"/>
          <w:i w:val="0"/>
          <w:color w:val="auto"/>
          <w:sz w:val="21"/>
          <w:szCs w:val="21"/>
        </w:rPr>
        <w:t>本公司（联合体</w:t>
      </w:r>
      <w:r>
        <w:rPr>
          <w:rFonts w:hint="eastAsia" w:ascii="宋体" w:hAnsi="宋体" w:cs="宋体"/>
          <w:i w:val="0"/>
          <w:color w:val="auto"/>
          <w:sz w:val="21"/>
          <w:szCs w:val="21"/>
        </w:rPr>
        <w:t>）郑重声明，根据《政府采购促进中小企业发展管理办法》（财库﹝</w:t>
      </w:r>
      <w:r>
        <w:rPr>
          <w:rFonts w:ascii="宋体" w:hAnsi="宋体" w:cs="宋体"/>
          <w:i w:val="0"/>
          <w:color w:val="auto"/>
          <w:sz w:val="21"/>
          <w:szCs w:val="21"/>
        </w:rPr>
        <w:t>2020</w:t>
      </w:r>
      <w:r>
        <w:rPr>
          <w:rFonts w:hint="eastAsia" w:ascii="宋体" w:hAnsi="宋体" w:cs="宋体"/>
          <w:i w:val="0"/>
          <w:color w:val="auto"/>
          <w:sz w:val="21"/>
          <w:szCs w:val="21"/>
        </w:rPr>
        <w:t>﹞</w:t>
      </w:r>
      <w:r>
        <w:rPr>
          <w:rFonts w:ascii="宋体" w:hAnsi="宋体" w:cs="宋体"/>
          <w:i w:val="0"/>
          <w:color w:val="auto"/>
          <w:sz w:val="21"/>
          <w:szCs w:val="21"/>
        </w:rPr>
        <w:t>46</w:t>
      </w:r>
      <w:r>
        <w:rPr>
          <w:rFonts w:hint="eastAsia" w:ascii="宋体" w:hAnsi="宋体" w:cs="宋体"/>
          <w:i w:val="0"/>
          <w:color w:val="auto"/>
          <w:sz w:val="21"/>
          <w:szCs w:val="21"/>
        </w:rPr>
        <w:t>号）的规定，本公司</w:t>
      </w:r>
      <w:r>
        <w:rPr>
          <w:rFonts w:hint="eastAsia" w:cs="宋体"/>
          <w:i w:val="0"/>
          <w:color w:val="auto"/>
          <w:sz w:val="21"/>
          <w:szCs w:val="21"/>
        </w:rPr>
        <w:t>（联合体）参加</w:t>
      </w:r>
      <w:r>
        <w:rPr>
          <w:rFonts w:hint="eastAsia" w:cs="宋体"/>
          <w:i w:val="0"/>
          <w:iCs/>
          <w:color w:val="auto"/>
          <w:sz w:val="21"/>
          <w:szCs w:val="21"/>
          <w:u w:val="single"/>
        </w:rPr>
        <w:t>宁波前湾新区教育文体和旅游局</w:t>
      </w:r>
      <w:r>
        <w:rPr>
          <w:rFonts w:hint="eastAsia" w:cs="宋体"/>
          <w:i w:val="0"/>
          <w:color w:val="auto"/>
          <w:sz w:val="21"/>
          <w:szCs w:val="21"/>
        </w:rPr>
        <w:t>的</w:t>
      </w:r>
      <w:r>
        <w:rPr>
          <w:rFonts w:hint="eastAsia" w:cs="宋体"/>
          <w:i w:val="0"/>
          <w:iCs/>
          <w:color w:val="auto"/>
          <w:sz w:val="21"/>
          <w:szCs w:val="21"/>
          <w:u w:val="single"/>
        </w:rPr>
        <w:t>宁波前湾新区教育文体和旅游局学生午休垫采购项目</w:t>
      </w:r>
      <w:r>
        <w:rPr>
          <w:rFonts w:hint="eastAsia" w:cs="宋体"/>
          <w:i w:val="0"/>
          <w:color w:val="auto"/>
          <w:sz w:val="21"/>
          <w:szCs w:val="21"/>
        </w:rPr>
        <w:t>采购活动，提供的货物全部由符合政策要求的中小企业制造。相关企业（含联合体中的中小企业、签订分包意向协议的中小企业）的具体情况如下：</w:t>
      </w:r>
    </w:p>
    <w:p w14:paraId="76E7F71A">
      <w:pPr>
        <w:pStyle w:val="16"/>
        <w:spacing w:line="400" w:lineRule="exact"/>
        <w:ind w:firstLine="420" w:firstLineChars="200"/>
        <w:jc w:val="left"/>
        <w:rPr>
          <w:rFonts w:ascii="宋体" w:hAnsi="宋体" w:cs="宋体"/>
          <w:i w:val="0"/>
          <w:color w:val="auto"/>
          <w:sz w:val="21"/>
          <w:szCs w:val="21"/>
        </w:rPr>
      </w:pPr>
      <w:r>
        <w:rPr>
          <w:rFonts w:ascii="宋体" w:hAnsi="宋体" w:cs="宋体"/>
          <w:i w:val="0"/>
          <w:color w:val="auto"/>
          <w:sz w:val="21"/>
          <w:szCs w:val="21"/>
        </w:rPr>
        <w:t>1.</w:t>
      </w:r>
      <w:r>
        <w:rPr>
          <w:rFonts w:hint="eastAsia" w:ascii="宋体" w:hAnsi="宋体"/>
          <w:color w:val="auto"/>
        </w:rPr>
        <w:t xml:space="preserve"> </w:t>
      </w:r>
      <w:r>
        <w:rPr>
          <w:rFonts w:hint="eastAsia" w:cs="宋体"/>
          <w:i w:val="0"/>
          <w:iCs/>
          <w:color w:val="auto"/>
          <w:sz w:val="21"/>
          <w:szCs w:val="21"/>
          <w:u w:val="single"/>
        </w:rPr>
        <w:t>学生午休垫</w:t>
      </w:r>
      <w:r>
        <w:rPr>
          <w:rFonts w:hint="eastAsia" w:ascii="宋体" w:hAnsi="宋体" w:cs="宋体"/>
          <w:i w:val="0"/>
          <w:color w:val="auto"/>
          <w:sz w:val="21"/>
          <w:szCs w:val="21"/>
        </w:rPr>
        <w:t>，属于</w:t>
      </w:r>
      <w:r>
        <w:rPr>
          <w:rFonts w:hint="eastAsia" w:ascii="宋体" w:hAnsi="宋体" w:cs="宋体"/>
          <w:b/>
          <w:i w:val="0"/>
          <w:iCs/>
          <w:color w:val="auto"/>
          <w:sz w:val="21"/>
          <w:szCs w:val="21"/>
          <w:u w:val="single"/>
        </w:rPr>
        <w:t>工业</w:t>
      </w:r>
      <w:r>
        <w:rPr>
          <w:rFonts w:hint="eastAsia" w:ascii="宋体" w:hAnsi="宋体" w:cs="宋体"/>
          <w:i w:val="0"/>
          <w:color w:val="auto"/>
          <w:sz w:val="21"/>
          <w:szCs w:val="21"/>
        </w:rPr>
        <w:t>；制造商为</w:t>
      </w:r>
      <w:r>
        <w:rPr>
          <w:rFonts w:hint="eastAsia" w:ascii="宋体" w:hAnsi="宋体" w:cs="宋体"/>
          <w:i w:val="0"/>
          <w:iCs/>
          <w:color w:val="auto"/>
          <w:sz w:val="21"/>
          <w:szCs w:val="21"/>
          <w:u w:val="single"/>
        </w:rPr>
        <w:t>（企业名称）</w:t>
      </w:r>
      <w:r>
        <w:rPr>
          <w:rFonts w:hint="eastAsia" w:ascii="宋体" w:hAnsi="宋体" w:cs="宋体"/>
          <w:i w:val="0"/>
          <w:color w:val="auto"/>
          <w:sz w:val="21"/>
          <w:szCs w:val="21"/>
        </w:rPr>
        <w:t>，从业人员</w:t>
      </w:r>
      <w:r>
        <w:rPr>
          <w:rFonts w:ascii="宋体" w:hAnsi="宋体" w:cs="宋体"/>
          <w:i w:val="0"/>
          <w:color w:val="auto"/>
          <w:sz w:val="21"/>
          <w:szCs w:val="21"/>
          <w:u w:val="single"/>
        </w:rPr>
        <w:t xml:space="preserve">   </w:t>
      </w:r>
      <w:r>
        <w:rPr>
          <w:rFonts w:hint="eastAsia" w:ascii="宋体" w:hAnsi="宋体" w:cs="宋体"/>
          <w:i w:val="0"/>
          <w:color w:val="auto"/>
          <w:sz w:val="21"/>
          <w:szCs w:val="21"/>
        </w:rPr>
        <w:t>人，营业收入为</w:t>
      </w:r>
      <w:r>
        <w:rPr>
          <w:rFonts w:ascii="宋体" w:hAnsi="宋体" w:cs="宋体"/>
          <w:i w:val="0"/>
          <w:color w:val="auto"/>
          <w:sz w:val="21"/>
          <w:szCs w:val="21"/>
          <w:u w:val="single"/>
        </w:rPr>
        <w:t xml:space="preserve">   </w:t>
      </w:r>
      <w:r>
        <w:rPr>
          <w:rFonts w:hint="eastAsia" w:ascii="宋体" w:hAnsi="宋体" w:cs="宋体"/>
          <w:i w:val="0"/>
          <w:color w:val="auto"/>
          <w:sz w:val="21"/>
          <w:szCs w:val="21"/>
        </w:rPr>
        <w:t>万元，资产总额为</w:t>
      </w:r>
      <w:r>
        <w:rPr>
          <w:rFonts w:ascii="宋体" w:hAnsi="宋体" w:cs="宋体"/>
          <w:i w:val="0"/>
          <w:color w:val="auto"/>
          <w:sz w:val="21"/>
          <w:szCs w:val="21"/>
          <w:u w:val="single"/>
        </w:rPr>
        <w:t xml:space="preserve"> </w:t>
      </w:r>
      <w:r>
        <w:rPr>
          <w:rFonts w:hint="eastAsia" w:ascii="宋体" w:hAnsi="宋体" w:cs="宋体"/>
          <w:i w:val="0"/>
          <w:color w:val="auto"/>
          <w:sz w:val="21"/>
          <w:szCs w:val="21"/>
          <w:u w:val="single"/>
        </w:rPr>
        <w:t xml:space="preserve">  </w:t>
      </w:r>
      <w:r>
        <w:rPr>
          <w:rFonts w:ascii="宋体" w:hAnsi="宋体" w:cs="宋体"/>
          <w:i w:val="0"/>
          <w:color w:val="auto"/>
          <w:sz w:val="21"/>
          <w:szCs w:val="21"/>
          <w:u w:val="single"/>
        </w:rPr>
        <w:t xml:space="preserve"> </w:t>
      </w:r>
      <w:r>
        <w:rPr>
          <w:rFonts w:hint="eastAsia" w:ascii="宋体" w:hAnsi="宋体" w:cs="宋体"/>
          <w:i w:val="0"/>
          <w:color w:val="auto"/>
          <w:sz w:val="21"/>
          <w:szCs w:val="21"/>
        </w:rPr>
        <w:t>万元，属于</w:t>
      </w:r>
      <w:r>
        <w:rPr>
          <w:rFonts w:hint="eastAsia" w:ascii="宋体" w:hAnsi="宋体" w:cs="宋体"/>
          <w:i w:val="0"/>
          <w:iCs/>
          <w:color w:val="auto"/>
          <w:sz w:val="21"/>
          <w:szCs w:val="21"/>
          <w:u w:val="single"/>
        </w:rPr>
        <w:t>（中型企业、小型企业、微型企业）</w:t>
      </w:r>
      <w:r>
        <w:rPr>
          <w:rFonts w:hint="eastAsia" w:ascii="宋体" w:hAnsi="宋体" w:cs="宋体"/>
          <w:i w:val="0"/>
          <w:color w:val="auto"/>
          <w:sz w:val="21"/>
          <w:szCs w:val="21"/>
        </w:rPr>
        <w:t>；</w:t>
      </w:r>
    </w:p>
    <w:p w14:paraId="24AFBC10">
      <w:pPr>
        <w:pStyle w:val="16"/>
        <w:spacing w:line="400" w:lineRule="exact"/>
        <w:ind w:firstLine="420" w:firstLineChars="200"/>
        <w:jc w:val="left"/>
        <w:rPr>
          <w:rFonts w:cs="宋体"/>
          <w:i w:val="0"/>
          <w:color w:val="auto"/>
          <w:sz w:val="21"/>
          <w:szCs w:val="21"/>
        </w:rPr>
      </w:pPr>
    </w:p>
    <w:p w14:paraId="11D7EAE9">
      <w:pPr>
        <w:pStyle w:val="16"/>
        <w:spacing w:line="400" w:lineRule="exact"/>
        <w:ind w:firstLine="420" w:firstLineChars="200"/>
        <w:jc w:val="left"/>
        <w:rPr>
          <w:rFonts w:cs="宋体"/>
          <w:i w:val="0"/>
          <w:color w:val="auto"/>
          <w:sz w:val="21"/>
          <w:szCs w:val="21"/>
        </w:rPr>
      </w:pPr>
      <w:r>
        <w:rPr>
          <w:rFonts w:hint="eastAsia" w:cs="宋体"/>
          <w:i w:val="0"/>
          <w:color w:val="auto"/>
          <w:sz w:val="21"/>
          <w:szCs w:val="21"/>
        </w:rPr>
        <w:t>以上企业，不属于大企业的分支机构，不存在控股股东为大企业的情形，也不存在与大企业的负责人为同一人的情形。</w:t>
      </w:r>
    </w:p>
    <w:p w14:paraId="36CA3B54">
      <w:pPr>
        <w:spacing w:line="400" w:lineRule="exact"/>
        <w:ind w:firstLine="420" w:firstLineChars="200"/>
        <w:rPr>
          <w:rFonts w:ascii="宋体" w:hAnsi="宋体"/>
          <w:color w:val="auto"/>
          <w:szCs w:val="21"/>
        </w:rPr>
      </w:pPr>
      <w:r>
        <w:rPr>
          <w:rFonts w:hint="eastAsia" w:cs="宋体"/>
          <w:color w:val="auto"/>
          <w:szCs w:val="21"/>
        </w:rPr>
        <w:t>本企业对上述声明内容的真实性负责。如有虚假，将依法承担相应责任。</w:t>
      </w:r>
    </w:p>
    <w:p w14:paraId="7AC95151">
      <w:pPr>
        <w:spacing w:line="400" w:lineRule="exact"/>
        <w:ind w:firstLine="420" w:firstLineChars="200"/>
        <w:rPr>
          <w:rFonts w:ascii="宋体" w:hAnsi="宋体"/>
          <w:color w:val="auto"/>
          <w:szCs w:val="21"/>
        </w:rPr>
      </w:pPr>
    </w:p>
    <w:p w14:paraId="0071E2B1">
      <w:pPr>
        <w:pStyle w:val="16"/>
        <w:rPr>
          <w:color w:val="auto"/>
        </w:rPr>
      </w:pPr>
    </w:p>
    <w:p w14:paraId="236C6CB0">
      <w:pPr>
        <w:rPr>
          <w:rFonts w:ascii="宋体" w:hAnsi="宋体" w:cs="宋体"/>
          <w:color w:val="auto"/>
        </w:rPr>
      </w:pPr>
      <w:r>
        <w:rPr>
          <w:rFonts w:hint="eastAsia" w:ascii="宋体" w:hAnsi="宋体" w:cs="宋体"/>
          <w:color w:val="auto"/>
        </w:rPr>
        <w:t>1、从业人员、营业收入、资产总额填报上一年度数据，无上一年度数据的新成立企业可不填报。</w:t>
      </w:r>
    </w:p>
    <w:p w14:paraId="036E27F4">
      <w:pPr>
        <w:rPr>
          <w:color w:val="auto"/>
        </w:rPr>
      </w:pPr>
    </w:p>
    <w:p w14:paraId="3CD22747">
      <w:pPr>
        <w:rPr>
          <w:color w:val="auto"/>
        </w:rPr>
      </w:pPr>
    </w:p>
    <w:p w14:paraId="33B7FF78">
      <w:pPr>
        <w:rPr>
          <w:color w:val="auto"/>
        </w:rPr>
      </w:pPr>
    </w:p>
    <w:p w14:paraId="63274C5B">
      <w:pPr>
        <w:rPr>
          <w:color w:val="auto"/>
        </w:rPr>
      </w:pPr>
    </w:p>
    <w:p w14:paraId="095D3BC4">
      <w:pPr>
        <w:spacing w:line="400" w:lineRule="exact"/>
        <w:jc w:val="left"/>
        <w:rPr>
          <w:rFonts w:ascii="宋体" w:hAnsi="宋体"/>
          <w:color w:val="auto"/>
          <w:szCs w:val="21"/>
        </w:rPr>
      </w:pPr>
      <w:r>
        <w:rPr>
          <w:rFonts w:hint="eastAsia" w:ascii="宋体" w:hAnsi="宋体"/>
          <w:color w:val="auto"/>
          <w:szCs w:val="21"/>
        </w:rPr>
        <w:t>供应商（盖章）：</w:t>
      </w:r>
    </w:p>
    <w:p w14:paraId="1DE6D570">
      <w:pPr>
        <w:spacing w:line="400" w:lineRule="exact"/>
        <w:jc w:val="left"/>
        <w:rPr>
          <w:rFonts w:ascii="宋体" w:hAnsi="宋体"/>
          <w:color w:val="auto"/>
          <w:szCs w:val="21"/>
        </w:rPr>
      </w:pPr>
      <w:r>
        <w:rPr>
          <w:rFonts w:hint="eastAsia" w:ascii="宋体" w:hAnsi="宋体"/>
          <w:color w:val="auto"/>
          <w:szCs w:val="21"/>
        </w:rPr>
        <w:t>日          期：</w:t>
      </w:r>
    </w:p>
    <w:p w14:paraId="5F34F8AC">
      <w:pPr>
        <w:spacing w:line="400" w:lineRule="exact"/>
        <w:jc w:val="left"/>
        <w:rPr>
          <w:rFonts w:ascii="宋体" w:hAnsi="宋体"/>
          <w:color w:val="auto"/>
          <w:szCs w:val="21"/>
        </w:rPr>
      </w:pPr>
    </w:p>
    <w:p w14:paraId="0DF170EB">
      <w:pPr>
        <w:snapToGrid w:val="0"/>
        <w:spacing w:line="400" w:lineRule="exact"/>
        <w:jc w:val="center"/>
        <w:rPr>
          <w:rFonts w:ascii="宋体" w:hAnsi="宋体"/>
          <w:b/>
          <w:color w:val="auto"/>
          <w:szCs w:val="21"/>
        </w:rPr>
      </w:pPr>
      <w:r>
        <w:rPr>
          <w:rFonts w:ascii="宋体" w:hAnsi="宋体"/>
          <w:color w:val="auto"/>
          <w:szCs w:val="21"/>
        </w:rPr>
        <w:br w:type="page"/>
      </w:r>
      <w:r>
        <w:rPr>
          <w:rFonts w:hint="eastAsia" w:ascii="宋体" w:hAnsi="宋体"/>
          <w:b/>
          <w:color w:val="auto"/>
          <w:szCs w:val="21"/>
        </w:rPr>
        <w:t>A4、</w:t>
      </w:r>
      <w:r>
        <w:rPr>
          <w:rFonts w:ascii="宋体" w:hAnsi="宋体"/>
          <w:b/>
          <w:color w:val="auto"/>
          <w:szCs w:val="21"/>
        </w:rPr>
        <w:t>残疾人福利性单位声明函</w:t>
      </w:r>
      <w:r>
        <w:rPr>
          <w:rFonts w:hint="eastAsia" w:ascii="宋体" w:hAnsi="宋体"/>
          <w:b/>
          <w:color w:val="auto"/>
          <w:szCs w:val="21"/>
        </w:rPr>
        <w:t>（如有需提供）</w:t>
      </w:r>
    </w:p>
    <w:p w14:paraId="036D0B8E">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DC2908">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51E0A9CA">
      <w:pPr>
        <w:spacing w:line="588" w:lineRule="exact"/>
        <w:ind w:firstLine="420" w:firstLineChars="200"/>
        <w:rPr>
          <w:rFonts w:ascii="宋体" w:hAnsi="宋体"/>
          <w:color w:val="auto"/>
          <w:szCs w:val="21"/>
        </w:rPr>
      </w:pPr>
    </w:p>
    <w:p w14:paraId="1EBCB8ED">
      <w:pPr>
        <w:spacing w:line="588" w:lineRule="exact"/>
        <w:ind w:firstLine="420" w:firstLineChars="200"/>
        <w:rPr>
          <w:rFonts w:ascii="宋体" w:hAnsi="宋体"/>
          <w:color w:val="auto"/>
          <w:szCs w:val="21"/>
        </w:rPr>
      </w:pPr>
    </w:p>
    <w:p w14:paraId="1D88E8A6">
      <w:pPr>
        <w:tabs>
          <w:tab w:val="left" w:pos="4860"/>
        </w:tabs>
        <w:spacing w:line="588" w:lineRule="exact"/>
        <w:ind w:right="1560" w:firstLine="420" w:firstLineChars="200"/>
        <w:jc w:val="left"/>
        <w:rPr>
          <w:rFonts w:ascii="宋体" w:hAnsi="宋体"/>
          <w:color w:val="auto"/>
          <w:szCs w:val="21"/>
        </w:rPr>
      </w:pPr>
      <w:r>
        <w:rPr>
          <w:rFonts w:hint="eastAsia" w:ascii="宋体" w:hAnsi="宋体"/>
          <w:color w:val="auto"/>
          <w:szCs w:val="21"/>
        </w:rPr>
        <w:t>供应商（盖章）：</w:t>
      </w:r>
    </w:p>
    <w:p w14:paraId="4D647F90">
      <w:pPr>
        <w:spacing w:line="400" w:lineRule="exact"/>
        <w:ind w:firstLine="420" w:firstLineChars="200"/>
        <w:rPr>
          <w:rFonts w:ascii="宋体" w:hAnsi="宋体"/>
          <w:color w:val="auto"/>
          <w:szCs w:val="21"/>
        </w:rPr>
      </w:pPr>
      <w:r>
        <w:rPr>
          <w:rFonts w:hint="eastAsia" w:ascii="宋体" w:hAnsi="宋体"/>
          <w:color w:val="auto"/>
          <w:szCs w:val="21"/>
        </w:rPr>
        <w:t>日  期：</w:t>
      </w:r>
    </w:p>
    <w:p w14:paraId="520D0A43">
      <w:pPr>
        <w:spacing w:line="400" w:lineRule="exact"/>
        <w:ind w:firstLine="420" w:firstLineChars="200"/>
        <w:rPr>
          <w:rFonts w:ascii="宋体" w:hAnsi="宋体"/>
          <w:color w:val="auto"/>
          <w:szCs w:val="21"/>
        </w:rPr>
      </w:pPr>
    </w:p>
    <w:p w14:paraId="109F8760">
      <w:pPr>
        <w:widowControl/>
        <w:jc w:val="left"/>
        <w:rPr>
          <w:rFonts w:ascii="宋体" w:hAnsi="宋体"/>
          <w:b/>
          <w:color w:val="auto"/>
          <w:szCs w:val="21"/>
        </w:rPr>
      </w:pPr>
      <w:r>
        <w:rPr>
          <w:rFonts w:ascii="宋体" w:hAnsi="宋体"/>
          <w:b/>
          <w:color w:val="auto"/>
          <w:szCs w:val="21"/>
        </w:rPr>
        <w:br w:type="page"/>
      </w:r>
    </w:p>
    <w:p w14:paraId="3DCE27B5">
      <w:pPr>
        <w:spacing w:line="400" w:lineRule="exact"/>
        <w:jc w:val="center"/>
        <w:rPr>
          <w:rFonts w:ascii="宋体" w:hAnsi="宋体"/>
          <w:b/>
          <w:color w:val="auto"/>
          <w:szCs w:val="21"/>
        </w:rPr>
      </w:pPr>
      <w:r>
        <w:rPr>
          <w:rFonts w:hint="eastAsia" w:ascii="宋体" w:hAnsi="宋体"/>
          <w:b/>
          <w:color w:val="auto"/>
          <w:szCs w:val="21"/>
        </w:rPr>
        <w:t>B1、投标书</w:t>
      </w:r>
    </w:p>
    <w:p w14:paraId="2160E5A3">
      <w:pPr>
        <w:spacing w:line="400" w:lineRule="exact"/>
        <w:rPr>
          <w:rFonts w:ascii="宋体" w:hAnsi="宋体"/>
          <w:color w:val="auto"/>
          <w:szCs w:val="21"/>
        </w:rPr>
      </w:pPr>
      <w:r>
        <w:rPr>
          <w:rFonts w:hint="eastAsia" w:ascii="宋体" w:hAnsi="宋体"/>
          <w:color w:val="auto"/>
          <w:szCs w:val="21"/>
        </w:rPr>
        <w:t>致：采购人</w:t>
      </w:r>
    </w:p>
    <w:p w14:paraId="4EBC3BF7">
      <w:pPr>
        <w:spacing w:line="400" w:lineRule="exact"/>
        <w:ind w:firstLine="420" w:firstLineChars="200"/>
        <w:rPr>
          <w:rFonts w:ascii="宋体" w:hAnsi="宋体"/>
          <w:color w:val="auto"/>
          <w:szCs w:val="21"/>
        </w:rPr>
      </w:pPr>
      <w:r>
        <w:rPr>
          <w:rFonts w:hint="eastAsia" w:ascii="宋体" w:hAnsi="宋体"/>
          <w:color w:val="auto"/>
          <w:szCs w:val="21"/>
          <w:u w:val="single"/>
        </w:rPr>
        <w:t xml:space="preserve">(供应商全称)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rPr>
        <w:t>宁波前湾新区教育文体和旅游局学生午休垫采购项目</w:t>
      </w:r>
      <w:r>
        <w:rPr>
          <w:rFonts w:hint="eastAsia" w:ascii="宋体" w:hAnsi="宋体"/>
          <w:color w:val="auto"/>
          <w:szCs w:val="21"/>
        </w:rPr>
        <w:t>（采购编号：</w:t>
      </w:r>
      <w:r>
        <w:rPr>
          <w:rFonts w:hint="eastAsia" w:ascii="宋体" w:hAnsi="宋体"/>
          <w:color w:val="auto"/>
          <w:szCs w:val="21"/>
          <w:u w:val="single"/>
        </w:rPr>
        <w:t>QWZFCG25054（NBITC-202510852G）</w:t>
      </w:r>
      <w:r>
        <w:rPr>
          <w:rFonts w:hint="eastAsia" w:ascii="宋体" w:hAnsi="宋体"/>
          <w:color w:val="auto"/>
          <w:szCs w:val="21"/>
        </w:rPr>
        <w:t>）招标活动并投标，为便于贵方公正、择优地确定中标供应商及其服务，我方就本次投标有关事项郑重声明如下：</w:t>
      </w:r>
    </w:p>
    <w:p w14:paraId="60F63686">
      <w:pPr>
        <w:snapToGrid w:val="0"/>
        <w:spacing w:line="400" w:lineRule="exact"/>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1、我方向贵方提交的所有投标文件、资料都是准确的和真实的。如有虚假或隐瞒，我方愿意承担一切后果，并不再寻求任何旨在减轻或免除法律责任的辩解。</w:t>
      </w:r>
    </w:p>
    <w:p w14:paraId="3DE75DB6">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2、我方不是为本项目提供整体设计、规范编制或者项目管理、监理、检测等服务的供应商。</w:t>
      </w:r>
    </w:p>
    <w:p w14:paraId="5740A688">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7CB2B885">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61AA475E">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78A07A1C">
      <w:pPr>
        <w:spacing w:line="400" w:lineRule="exact"/>
        <w:ind w:firstLine="420" w:firstLineChars="200"/>
        <w:jc w:val="left"/>
        <w:rPr>
          <w:rFonts w:ascii="宋体" w:hAnsi="宋体"/>
          <w:color w:val="auto"/>
          <w:szCs w:val="21"/>
        </w:rPr>
      </w:pPr>
      <w:r>
        <w:rPr>
          <w:rFonts w:hint="eastAsia" w:ascii="宋体" w:hAnsi="宋体"/>
          <w:color w:val="auto"/>
          <w:szCs w:val="21"/>
        </w:rPr>
        <w:t>6、投标文件有效期为自开标之日起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1AFA7B8B">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、保证在中标后忠实地执行与采购人所签署的合同，并承担合同规定的责任义务。</w:t>
      </w:r>
    </w:p>
    <w:p w14:paraId="5AFBD4A2">
      <w:pPr>
        <w:spacing w:line="400" w:lineRule="exact"/>
        <w:ind w:firstLine="420" w:firstLineChars="200"/>
        <w:jc w:val="left"/>
        <w:rPr>
          <w:rFonts w:ascii="宋体" w:hAnsi="宋体"/>
          <w:color w:val="auto"/>
          <w:szCs w:val="21"/>
        </w:rPr>
      </w:pPr>
      <w:r>
        <w:rPr>
          <w:rFonts w:hint="eastAsia" w:ascii="宋体" w:hAnsi="宋体"/>
          <w:color w:val="auto"/>
          <w:szCs w:val="21"/>
        </w:rPr>
        <w:t>8、完全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p>
    <w:p w14:paraId="39C88C6C">
      <w:pPr>
        <w:spacing w:line="400" w:lineRule="exact"/>
        <w:ind w:firstLine="420" w:firstLineChars="200"/>
        <w:jc w:val="left"/>
        <w:rPr>
          <w:rFonts w:ascii="宋体" w:hAnsi="宋体"/>
          <w:color w:val="auto"/>
          <w:szCs w:val="21"/>
        </w:rPr>
      </w:pPr>
      <w:r>
        <w:rPr>
          <w:rFonts w:hint="eastAsia" w:ascii="宋体" w:hAnsi="宋体"/>
          <w:color w:val="auto"/>
          <w:szCs w:val="21"/>
        </w:rPr>
        <w:t>9、与本投标有关的一切正式来往通讯请寄：</w:t>
      </w:r>
    </w:p>
    <w:p w14:paraId="1CEADC64">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p>
    <w:p w14:paraId="10260567">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w:t>
      </w:r>
    </w:p>
    <w:p w14:paraId="0F3C9BD2">
      <w:pPr>
        <w:spacing w:line="400" w:lineRule="exact"/>
        <w:ind w:left="540" w:firstLine="30"/>
        <w:jc w:val="left"/>
        <w:rPr>
          <w:rFonts w:ascii="宋体" w:hAnsi="宋体"/>
          <w:color w:val="auto"/>
          <w:szCs w:val="21"/>
        </w:rPr>
      </w:pPr>
    </w:p>
    <w:p w14:paraId="189CC666">
      <w:pPr>
        <w:spacing w:line="400" w:lineRule="exact"/>
        <w:jc w:val="left"/>
        <w:rPr>
          <w:rFonts w:ascii="宋体" w:hAnsi="宋体"/>
          <w:color w:val="auto"/>
          <w:szCs w:val="21"/>
        </w:rPr>
      </w:pPr>
    </w:p>
    <w:p w14:paraId="29F7373E">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1721CAB9">
      <w:pPr>
        <w:spacing w:line="400" w:lineRule="exact"/>
        <w:jc w:val="left"/>
        <w:rPr>
          <w:rFonts w:ascii="宋体" w:hAnsi="宋体"/>
          <w:color w:val="auto"/>
          <w:szCs w:val="21"/>
        </w:rPr>
      </w:pPr>
      <w:r>
        <w:rPr>
          <w:rFonts w:hint="eastAsia" w:ascii="宋体" w:hAnsi="宋体"/>
          <w:color w:val="auto"/>
          <w:szCs w:val="21"/>
        </w:rPr>
        <w:t>法定代表人或授权代表（签字或盖章）：</w:t>
      </w:r>
      <w:r>
        <w:rPr>
          <w:rFonts w:ascii="宋体" w:hAnsi="宋体"/>
          <w:color w:val="auto"/>
          <w:szCs w:val="21"/>
          <w:u w:val="single"/>
        </w:rPr>
        <w:t xml:space="preserve">                  </w:t>
      </w:r>
    </w:p>
    <w:p w14:paraId="39267DF4">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7CFA18D5">
      <w:pPr>
        <w:spacing w:line="400" w:lineRule="exact"/>
        <w:rPr>
          <w:rFonts w:ascii="宋体" w:hAnsi="宋体"/>
          <w:color w:val="auto"/>
          <w:szCs w:val="21"/>
          <w:u w:val="single"/>
        </w:rPr>
      </w:pPr>
    </w:p>
    <w:p w14:paraId="3D044523">
      <w:pPr>
        <w:spacing w:line="400" w:lineRule="exact"/>
        <w:rPr>
          <w:rFonts w:ascii="宋体" w:hAnsi="宋体"/>
          <w:color w:val="auto"/>
          <w:szCs w:val="21"/>
          <w:u w:val="single"/>
        </w:rPr>
      </w:pPr>
    </w:p>
    <w:p w14:paraId="239CB917">
      <w:pPr>
        <w:pStyle w:val="21"/>
        <w:snapToGrid w:val="0"/>
        <w:spacing w:line="400" w:lineRule="exact"/>
        <w:rPr>
          <w:b/>
          <w:color w:val="auto"/>
          <w:sz w:val="21"/>
          <w:szCs w:val="21"/>
        </w:rPr>
      </w:pPr>
      <w:r>
        <w:rPr>
          <w:rStyle w:val="88"/>
          <w:color w:val="auto"/>
          <w:sz w:val="21"/>
          <w:szCs w:val="21"/>
        </w:rPr>
        <w:br w:type="page"/>
      </w:r>
      <w:bookmarkStart w:id="85" w:name="OLE_LINK17"/>
    </w:p>
    <w:p w14:paraId="6B3AFDFF">
      <w:pPr>
        <w:spacing w:line="400" w:lineRule="exact"/>
        <w:jc w:val="center"/>
        <w:outlineLvl w:val="0"/>
        <w:rPr>
          <w:rFonts w:ascii="宋体" w:hAnsi="宋体"/>
          <w:b/>
          <w:color w:val="auto"/>
          <w:szCs w:val="21"/>
        </w:rPr>
      </w:pPr>
      <w:bookmarkStart w:id="86" w:name="_Toc55385109"/>
      <w:bookmarkStart w:id="87" w:name="_Toc529355821"/>
      <w:r>
        <w:rPr>
          <w:rFonts w:hint="eastAsia" w:ascii="宋体" w:hAnsi="宋体"/>
          <w:b/>
          <w:color w:val="auto"/>
          <w:szCs w:val="21"/>
        </w:rPr>
        <w:t>B2、</w:t>
      </w:r>
      <w:r>
        <w:rPr>
          <w:rFonts w:ascii="宋体" w:hAnsi="宋体"/>
          <w:b/>
          <w:color w:val="auto"/>
          <w:szCs w:val="21"/>
        </w:rPr>
        <w:t>法定代表人身份证明</w:t>
      </w:r>
      <w:bookmarkEnd w:id="86"/>
      <w:bookmarkEnd w:id="87"/>
    </w:p>
    <w:p w14:paraId="686925FE">
      <w:pPr>
        <w:spacing w:line="400" w:lineRule="exact"/>
        <w:jc w:val="center"/>
        <w:outlineLvl w:val="0"/>
        <w:rPr>
          <w:rFonts w:ascii="宋体" w:hAnsi="宋体"/>
          <w:b/>
          <w:color w:val="auto"/>
          <w:szCs w:val="21"/>
        </w:rPr>
      </w:pPr>
    </w:p>
    <w:p w14:paraId="39F05764">
      <w:pPr>
        <w:spacing w:afterLines="50" w:line="400" w:lineRule="exact"/>
        <w:rPr>
          <w:rFonts w:ascii="宋体" w:hAnsi="宋体"/>
          <w:color w:val="auto"/>
          <w:szCs w:val="21"/>
          <w:u w:val="single"/>
        </w:rPr>
      </w:pPr>
      <w:r>
        <w:rPr>
          <w:rFonts w:ascii="宋体" w:hAnsi="宋体"/>
          <w:color w:val="auto"/>
          <w:szCs w:val="21"/>
        </w:rPr>
        <w:t>供应商名称：</w:t>
      </w:r>
      <w:r>
        <w:rPr>
          <w:rFonts w:ascii="宋体" w:hAnsi="宋体"/>
          <w:color w:val="auto"/>
          <w:szCs w:val="21"/>
          <w:u w:val="single"/>
        </w:rPr>
        <w:t xml:space="preserve">                                  </w:t>
      </w:r>
    </w:p>
    <w:p w14:paraId="27BD96DD">
      <w:pPr>
        <w:spacing w:afterLines="50" w:line="400" w:lineRule="exact"/>
        <w:rPr>
          <w:rFonts w:ascii="宋体" w:hAnsi="宋体"/>
          <w:color w:val="auto"/>
          <w:szCs w:val="21"/>
          <w:u w:val="single"/>
        </w:rPr>
      </w:pPr>
      <w:r>
        <w:rPr>
          <w:rFonts w:ascii="宋体" w:hAnsi="宋体"/>
          <w:color w:val="auto"/>
          <w:szCs w:val="21"/>
        </w:rPr>
        <w:t>单位性质：</w:t>
      </w:r>
      <w:r>
        <w:rPr>
          <w:rFonts w:ascii="宋体" w:hAnsi="宋体"/>
          <w:color w:val="auto"/>
          <w:szCs w:val="21"/>
          <w:u w:val="single"/>
        </w:rPr>
        <w:t xml:space="preserve">                                    </w:t>
      </w:r>
    </w:p>
    <w:p w14:paraId="1469D4A7">
      <w:pPr>
        <w:spacing w:afterLines="50" w:line="400" w:lineRule="exact"/>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14:paraId="06E8C3E7">
      <w:pPr>
        <w:spacing w:afterLines="50" w:line="400" w:lineRule="exact"/>
        <w:rPr>
          <w:rFonts w:ascii="宋体" w:hAnsi="宋体"/>
          <w:color w:val="auto"/>
          <w:szCs w:val="21"/>
          <w:u w:val="single"/>
        </w:rPr>
      </w:pPr>
      <w:r>
        <w:rPr>
          <w:rFonts w:ascii="宋体" w:hAnsi="宋体"/>
          <w:color w:val="auto"/>
          <w:szCs w:val="21"/>
        </w:rPr>
        <w:t>成立时间：</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14:paraId="49D7AE82">
      <w:pPr>
        <w:spacing w:afterLines="50" w:line="400" w:lineRule="exact"/>
        <w:rPr>
          <w:rFonts w:ascii="宋体" w:hAnsi="宋体"/>
          <w:color w:val="auto"/>
          <w:szCs w:val="21"/>
          <w:u w:val="single"/>
        </w:rPr>
      </w:pPr>
      <w:r>
        <w:rPr>
          <w:rFonts w:ascii="宋体" w:hAnsi="宋体"/>
          <w:color w:val="auto"/>
          <w:szCs w:val="21"/>
        </w:rPr>
        <w:t>经营期限：</w:t>
      </w:r>
      <w:r>
        <w:rPr>
          <w:rFonts w:ascii="宋体" w:hAnsi="宋体"/>
          <w:color w:val="auto"/>
          <w:szCs w:val="21"/>
          <w:u w:val="single"/>
        </w:rPr>
        <w:t xml:space="preserve">                                     </w:t>
      </w:r>
    </w:p>
    <w:p w14:paraId="3EC79789">
      <w:pPr>
        <w:spacing w:afterLines="50" w:line="400" w:lineRule="exact"/>
        <w:rPr>
          <w:rFonts w:ascii="宋体" w:hAnsi="宋体"/>
          <w:color w:val="auto"/>
          <w:szCs w:val="21"/>
          <w:u w:val="single"/>
        </w:rPr>
      </w:pPr>
      <w:r>
        <w:rPr>
          <w:rFonts w:ascii="宋体" w:hAnsi="宋体"/>
          <w:color w:val="auto"/>
          <w:szCs w:val="21"/>
        </w:rPr>
        <w:t>姓名：</w:t>
      </w:r>
      <w:r>
        <w:rPr>
          <w:rFonts w:ascii="宋体" w:hAnsi="宋体"/>
          <w:color w:val="auto"/>
          <w:szCs w:val="21"/>
          <w:u w:val="single"/>
        </w:rPr>
        <w:t xml:space="preserve">         </w:t>
      </w:r>
      <w:r>
        <w:rPr>
          <w:rFonts w:ascii="宋体" w:hAnsi="宋体"/>
          <w:color w:val="auto"/>
          <w:szCs w:val="21"/>
        </w:rPr>
        <w:t xml:space="preserve">  性别：</w:t>
      </w:r>
      <w:r>
        <w:rPr>
          <w:rFonts w:ascii="宋体" w:hAnsi="宋体"/>
          <w:color w:val="auto"/>
          <w:szCs w:val="21"/>
          <w:u w:val="single"/>
        </w:rPr>
        <w:t xml:space="preserve">         </w:t>
      </w:r>
      <w:r>
        <w:rPr>
          <w:rFonts w:ascii="宋体" w:hAnsi="宋体"/>
          <w:color w:val="auto"/>
          <w:szCs w:val="21"/>
        </w:rPr>
        <w:t xml:space="preserve">  年龄：</w:t>
      </w:r>
      <w:r>
        <w:rPr>
          <w:rFonts w:ascii="宋体" w:hAnsi="宋体"/>
          <w:color w:val="auto"/>
          <w:szCs w:val="21"/>
          <w:u w:val="single"/>
        </w:rPr>
        <w:t xml:space="preserve">         </w:t>
      </w:r>
      <w:r>
        <w:rPr>
          <w:rFonts w:ascii="宋体" w:hAnsi="宋体"/>
          <w:color w:val="auto"/>
          <w:szCs w:val="21"/>
        </w:rPr>
        <w:t xml:space="preserve">  职务：</w:t>
      </w:r>
      <w:r>
        <w:rPr>
          <w:rFonts w:ascii="宋体" w:hAnsi="宋体"/>
          <w:color w:val="auto"/>
          <w:szCs w:val="21"/>
          <w:u w:val="single"/>
        </w:rPr>
        <w:t xml:space="preserve">         </w:t>
      </w:r>
      <w:r>
        <w:rPr>
          <w:rFonts w:ascii="宋体" w:hAnsi="宋体"/>
          <w:color w:val="auto"/>
          <w:szCs w:val="21"/>
        </w:rPr>
        <w:t xml:space="preserve">  </w:t>
      </w:r>
    </w:p>
    <w:p w14:paraId="161DFDD4">
      <w:pPr>
        <w:spacing w:afterLines="50" w:line="400" w:lineRule="exact"/>
        <w:rPr>
          <w:rFonts w:ascii="宋体" w:hAnsi="宋体"/>
          <w:color w:val="auto"/>
          <w:szCs w:val="21"/>
          <w:u w:val="single"/>
        </w:rPr>
      </w:pPr>
      <w:r>
        <w:rPr>
          <w:rFonts w:ascii="宋体" w:hAnsi="宋体"/>
          <w:color w:val="auto"/>
          <w:szCs w:val="21"/>
        </w:rPr>
        <w:t>身份证号码：</w:t>
      </w:r>
      <w:r>
        <w:rPr>
          <w:rFonts w:ascii="宋体" w:hAnsi="宋体"/>
          <w:color w:val="auto"/>
          <w:szCs w:val="21"/>
          <w:u w:val="single"/>
        </w:rPr>
        <w:t xml:space="preserve">                           </w:t>
      </w:r>
    </w:p>
    <w:p w14:paraId="1DAF2FA3">
      <w:pPr>
        <w:spacing w:line="400" w:lineRule="exact"/>
        <w:ind w:firstLine="560"/>
        <w:rPr>
          <w:rFonts w:ascii="宋体" w:hAnsi="宋体"/>
          <w:color w:val="auto"/>
          <w:szCs w:val="21"/>
        </w:rPr>
      </w:pPr>
    </w:p>
    <w:p w14:paraId="51745AB6">
      <w:pPr>
        <w:spacing w:line="400" w:lineRule="exact"/>
        <w:rPr>
          <w:rFonts w:ascii="宋体" w:hAnsi="宋体"/>
          <w:color w:val="auto"/>
          <w:szCs w:val="21"/>
        </w:rPr>
      </w:pPr>
      <w:r>
        <w:rPr>
          <w:rFonts w:ascii="宋体" w:hAnsi="宋体"/>
          <w:color w:val="auto"/>
          <w:szCs w:val="21"/>
        </w:rPr>
        <w:t xml:space="preserve">    系</w:t>
      </w:r>
      <w:r>
        <w:rPr>
          <w:rFonts w:ascii="宋体" w:hAnsi="宋体"/>
          <w:color w:val="auto"/>
          <w:szCs w:val="21"/>
          <w:u w:val="single"/>
        </w:rPr>
        <w:t xml:space="preserve">                          </w:t>
      </w:r>
      <w:r>
        <w:rPr>
          <w:rFonts w:ascii="宋体" w:hAnsi="宋体"/>
          <w:color w:val="auto"/>
          <w:szCs w:val="21"/>
        </w:rPr>
        <w:t>（供应商名称）的法定代表人。</w:t>
      </w:r>
    </w:p>
    <w:p w14:paraId="791207C5">
      <w:pPr>
        <w:spacing w:line="400" w:lineRule="exact"/>
        <w:ind w:firstLine="560"/>
        <w:rPr>
          <w:rFonts w:ascii="宋体" w:hAnsi="宋体"/>
          <w:color w:val="auto"/>
          <w:szCs w:val="21"/>
        </w:rPr>
      </w:pPr>
    </w:p>
    <w:p w14:paraId="05A54676">
      <w:pPr>
        <w:spacing w:line="400" w:lineRule="exact"/>
        <w:rPr>
          <w:rFonts w:ascii="宋体" w:hAnsi="宋体"/>
          <w:color w:val="auto"/>
          <w:szCs w:val="21"/>
        </w:rPr>
      </w:pPr>
      <w:r>
        <w:rPr>
          <w:rFonts w:ascii="宋体" w:hAnsi="宋体"/>
          <w:color w:val="auto"/>
          <w:szCs w:val="21"/>
        </w:rPr>
        <w:t>特此证明。</w:t>
      </w:r>
    </w:p>
    <w:p w14:paraId="7F414F7A">
      <w:pPr>
        <w:spacing w:line="400" w:lineRule="exact"/>
        <w:rPr>
          <w:rFonts w:ascii="宋体" w:hAnsi="宋体"/>
          <w:color w:val="auto"/>
          <w:szCs w:val="21"/>
        </w:rPr>
      </w:pPr>
    </w:p>
    <w:p w14:paraId="3AD4DF14">
      <w:pPr>
        <w:spacing w:line="400" w:lineRule="exact"/>
        <w:rPr>
          <w:rFonts w:ascii="宋体" w:hAnsi="宋体"/>
          <w:color w:val="auto"/>
          <w:szCs w:val="21"/>
        </w:rPr>
      </w:pPr>
      <w:r>
        <w:rPr>
          <w:rFonts w:hint="eastAsia" w:ascii="宋体" w:hAnsi="宋体"/>
          <w:color w:val="auto"/>
          <w:szCs w:val="21"/>
        </w:rPr>
        <w:t>供应商（盖章）：</w:t>
      </w:r>
    </w:p>
    <w:p w14:paraId="4662A85C">
      <w:pPr>
        <w:spacing w:line="400" w:lineRule="exact"/>
        <w:ind w:right="560"/>
        <w:rPr>
          <w:rFonts w:ascii="宋体" w:hAnsi="宋体"/>
          <w:color w:val="auto"/>
          <w:szCs w:val="21"/>
        </w:rPr>
      </w:pPr>
      <w:r>
        <w:rPr>
          <w:rFonts w:ascii="宋体" w:hAnsi="宋体"/>
          <w:color w:val="auto"/>
          <w:szCs w:val="21"/>
        </w:rPr>
        <w:t>日期：   年    月    日</w:t>
      </w:r>
    </w:p>
    <w:p w14:paraId="29FBAA2E">
      <w:pPr>
        <w:spacing w:line="400" w:lineRule="exact"/>
        <w:ind w:right="560"/>
        <w:rPr>
          <w:rFonts w:ascii="宋体" w:hAnsi="宋体"/>
          <w:color w:val="auto"/>
          <w:szCs w:val="21"/>
        </w:rPr>
      </w:pPr>
      <w:r>
        <w:rPr>
          <w:rFonts w:ascii="宋体" w:hAnsi="宋体"/>
          <w:color w:val="auto"/>
          <w:szCs w:val="21"/>
        </w:rPr>
        <w:pict>
          <v:shape id="文本框 3" o:spid="_x0000_s1026" o:spt="202" type="#_x0000_t202" style="position:absolute;left:0pt;margin-left:0pt;margin-top:100.6pt;height:171.6pt;width:423pt;mso-wrap-distance-bottom:0pt;mso-wrap-distance-left:9pt;mso-wrap-distance-right:9pt;mso-wrap-distance-top:0pt;z-index:251659264;mso-width-relative:page;mso-height-relative:page;"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BoAUNgAAAAIAQAADwAA&#10;AAAAAAABACAAAAAiAAAAZHJzL2Rvd25yZXYueG1sUEsBAhQAFAAAAAgAh07iQGshiUYWAgAARQQA&#10;AA4AAAAAAAAAAQAgAAAAJwEAAGRycy9lMm9Eb2MueG1sUEsFBgAAAAAGAAYAWQEAAK8FAAAAAA==&#10;">
            <v:path/>
            <v:fill focussize="0,0"/>
            <v:stroke joinstyle="miter"/>
            <v:imagedata o:title=""/>
            <o:lock v:ext="edit"/>
            <v:textbox>
              <w:txbxContent>
                <w:p w14:paraId="5B1B11D8">
                  <w:pPr>
                    <w:jc w:val="center"/>
                    <w:rPr>
                      <w:sz w:val="30"/>
                      <w:szCs w:val="30"/>
                    </w:rPr>
                  </w:pPr>
                </w:p>
                <w:p w14:paraId="1EFAAA88">
                  <w:pPr>
                    <w:spacing w:line="360" w:lineRule="auto"/>
                    <w:rPr>
                      <w:sz w:val="28"/>
                      <w:szCs w:val="28"/>
                    </w:rPr>
                  </w:pPr>
                </w:p>
                <w:p w14:paraId="386F51AD">
                  <w:pPr>
                    <w:spacing w:line="360" w:lineRule="auto"/>
                    <w:jc w:val="center"/>
                    <w:rPr>
                      <w:szCs w:val="21"/>
                    </w:rPr>
                  </w:pPr>
                  <w:r>
                    <w:rPr>
                      <w:rFonts w:ascii="宋体" w:hAnsi="宋体"/>
                      <w:szCs w:val="21"/>
                    </w:rPr>
                    <w:t>法定代表人</w:t>
                  </w:r>
                  <w:r>
                    <w:rPr>
                      <w:rFonts w:hint="eastAsia"/>
                      <w:szCs w:val="21"/>
                    </w:rPr>
                    <w:t>身份证复印件粘贴处（正、反面）</w:t>
                  </w:r>
                </w:p>
                <w:p w14:paraId="0F2D6011">
                  <w:pPr>
                    <w:jc w:val="center"/>
                    <w:rPr>
                      <w:sz w:val="28"/>
                      <w:szCs w:val="28"/>
                    </w:rPr>
                  </w:pPr>
                </w:p>
              </w:txbxContent>
            </v:textbox>
            <w10:wrap type="square"/>
          </v:shape>
        </w:pict>
      </w:r>
    </w:p>
    <w:p w14:paraId="171B02CB">
      <w:pPr>
        <w:spacing w:line="400" w:lineRule="exact"/>
        <w:ind w:right="560"/>
        <w:rPr>
          <w:rFonts w:ascii="宋体" w:hAnsi="宋体"/>
          <w:color w:val="auto"/>
          <w:szCs w:val="21"/>
        </w:rPr>
      </w:pPr>
    </w:p>
    <w:p w14:paraId="24A9E895">
      <w:pPr>
        <w:spacing w:line="400" w:lineRule="exact"/>
        <w:rPr>
          <w:rFonts w:ascii="宋体" w:hAnsi="宋体"/>
          <w:color w:val="auto"/>
          <w:szCs w:val="21"/>
        </w:rPr>
      </w:pPr>
      <w:r>
        <w:rPr>
          <w:rFonts w:ascii="宋体" w:hAnsi="宋体"/>
          <w:color w:val="auto"/>
          <w:szCs w:val="21"/>
        </w:rPr>
        <w:t>附：法定代表人身份证复印件</w:t>
      </w:r>
    </w:p>
    <w:p w14:paraId="31AFCCF4">
      <w:pPr>
        <w:spacing w:line="400" w:lineRule="exact"/>
        <w:jc w:val="left"/>
        <w:rPr>
          <w:rStyle w:val="88"/>
          <w:rFonts w:ascii="宋体" w:hAnsi="宋体"/>
          <w:color w:val="auto"/>
          <w:sz w:val="21"/>
          <w:szCs w:val="21"/>
        </w:rPr>
      </w:pPr>
    </w:p>
    <w:p w14:paraId="6FD59F0F">
      <w:pPr>
        <w:spacing w:line="400" w:lineRule="exact"/>
        <w:jc w:val="left"/>
        <w:rPr>
          <w:rStyle w:val="88"/>
          <w:rFonts w:ascii="宋体" w:hAnsi="宋体"/>
          <w:color w:val="auto"/>
          <w:sz w:val="21"/>
          <w:szCs w:val="21"/>
        </w:rPr>
      </w:pPr>
    </w:p>
    <w:p w14:paraId="65E97D2F">
      <w:pPr>
        <w:spacing w:line="400" w:lineRule="exact"/>
        <w:jc w:val="left"/>
        <w:rPr>
          <w:rStyle w:val="88"/>
          <w:rFonts w:ascii="宋体" w:hAnsi="宋体"/>
          <w:color w:val="auto"/>
          <w:sz w:val="21"/>
          <w:szCs w:val="21"/>
        </w:rPr>
      </w:pPr>
    </w:p>
    <w:p w14:paraId="672B3376">
      <w:pPr>
        <w:spacing w:line="400" w:lineRule="exact"/>
        <w:jc w:val="left"/>
        <w:rPr>
          <w:rStyle w:val="88"/>
          <w:rFonts w:ascii="宋体" w:hAnsi="宋体"/>
          <w:color w:val="auto"/>
          <w:sz w:val="21"/>
          <w:szCs w:val="21"/>
        </w:rPr>
      </w:pPr>
    </w:p>
    <w:bookmarkEnd w:id="85"/>
    <w:p w14:paraId="1A2C0E24">
      <w:pPr>
        <w:widowControl/>
        <w:jc w:val="left"/>
        <w:rPr>
          <w:rFonts w:ascii="宋体" w:hAnsi="宋体"/>
          <w:b/>
          <w:color w:val="auto"/>
          <w:szCs w:val="21"/>
        </w:rPr>
      </w:pPr>
      <w:r>
        <w:rPr>
          <w:rFonts w:ascii="宋体" w:hAnsi="宋体"/>
          <w:b/>
          <w:color w:val="auto"/>
          <w:szCs w:val="21"/>
        </w:rPr>
        <w:br w:type="page"/>
      </w:r>
    </w:p>
    <w:p w14:paraId="09377EEF">
      <w:pPr>
        <w:spacing w:line="400" w:lineRule="exact"/>
        <w:jc w:val="center"/>
        <w:rPr>
          <w:rFonts w:ascii="宋体" w:hAnsi="宋体"/>
          <w:b/>
          <w:color w:val="auto"/>
          <w:szCs w:val="21"/>
        </w:rPr>
      </w:pPr>
      <w:r>
        <w:rPr>
          <w:rFonts w:hint="eastAsia" w:ascii="宋体" w:hAnsi="宋体"/>
          <w:b/>
          <w:color w:val="auto"/>
          <w:szCs w:val="21"/>
        </w:rPr>
        <w:t>B3、法定代表人授权书</w:t>
      </w:r>
    </w:p>
    <w:p w14:paraId="77EAD496">
      <w:pPr>
        <w:spacing w:line="400" w:lineRule="exact"/>
        <w:jc w:val="center"/>
        <w:rPr>
          <w:rFonts w:ascii="宋体" w:hAnsi="宋体"/>
          <w:b/>
          <w:color w:val="auto"/>
          <w:szCs w:val="21"/>
        </w:rPr>
      </w:pPr>
      <w:r>
        <w:rPr>
          <w:rFonts w:hint="eastAsia" w:ascii="宋体" w:hAnsi="宋体"/>
          <w:color w:val="auto"/>
          <w:szCs w:val="21"/>
        </w:rPr>
        <w:t>（投标文件由授权代表签字的）</w:t>
      </w:r>
    </w:p>
    <w:p w14:paraId="6B8886E3">
      <w:pPr>
        <w:spacing w:line="400" w:lineRule="exact"/>
        <w:rPr>
          <w:rFonts w:ascii="宋体" w:hAnsi="宋体"/>
          <w:color w:val="auto"/>
          <w:szCs w:val="21"/>
        </w:rPr>
      </w:pPr>
      <w:r>
        <w:rPr>
          <w:rFonts w:hint="eastAsia" w:ascii="宋体" w:hAnsi="宋体"/>
          <w:color w:val="auto"/>
          <w:szCs w:val="21"/>
        </w:rPr>
        <w:t>致：采购人</w:t>
      </w:r>
    </w:p>
    <w:p w14:paraId="667F534C">
      <w:pPr>
        <w:spacing w:line="40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（供应商全称）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 xml:space="preserve"> （授权代表姓名）</w:t>
      </w:r>
      <w:r>
        <w:rPr>
          <w:rFonts w:hint="eastAsia" w:ascii="宋体" w:hAnsi="宋体"/>
          <w:color w:val="auto"/>
          <w:szCs w:val="21"/>
        </w:rPr>
        <w:t>为授权代表，参加</w:t>
      </w:r>
      <w:r>
        <w:rPr>
          <w:rFonts w:hint="eastAsia" w:ascii="宋体" w:hAnsi="宋体"/>
          <w:color w:val="auto"/>
          <w:szCs w:val="21"/>
          <w:u w:val="single"/>
        </w:rPr>
        <w:t>宁波前湾新区教育文体和旅游局学生午休垫采购项目</w:t>
      </w:r>
      <w:r>
        <w:rPr>
          <w:rFonts w:hint="eastAsia" w:ascii="宋体" w:hAnsi="宋体"/>
          <w:color w:val="auto"/>
          <w:szCs w:val="21"/>
        </w:rPr>
        <w:t>，采购编号为</w:t>
      </w:r>
      <w:r>
        <w:rPr>
          <w:rFonts w:hint="eastAsia" w:ascii="宋体" w:hAnsi="宋体"/>
          <w:color w:val="auto"/>
          <w:szCs w:val="21"/>
          <w:u w:val="single"/>
        </w:rPr>
        <w:t>QWZFCG25054（NBITC-202510852G）</w:t>
      </w:r>
      <w:r>
        <w:rPr>
          <w:rFonts w:hint="eastAsia" w:ascii="宋体" w:hAnsi="宋体"/>
          <w:color w:val="auto"/>
          <w:szCs w:val="21"/>
        </w:rPr>
        <w:t>，其在招投标活动中的一切活动本公司均予承认。</w:t>
      </w:r>
    </w:p>
    <w:p w14:paraId="307A77FD">
      <w:pPr>
        <w:spacing w:line="400" w:lineRule="exact"/>
        <w:jc w:val="left"/>
        <w:rPr>
          <w:rFonts w:ascii="宋体" w:hAnsi="宋体"/>
          <w:color w:val="auto"/>
          <w:szCs w:val="21"/>
        </w:rPr>
      </w:pPr>
    </w:p>
    <w:p w14:paraId="5D895F71">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70AD8E1C">
      <w:pPr>
        <w:spacing w:line="400" w:lineRule="exact"/>
        <w:jc w:val="left"/>
        <w:rPr>
          <w:rFonts w:ascii="宋体" w:hAnsi="宋体"/>
          <w:color w:val="auto"/>
          <w:szCs w:val="21"/>
        </w:rPr>
      </w:pPr>
      <w:r>
        <w:rPr>
          <w:rFonts w:hint="eastAsia" w:ascii="宋体" w:hAnsi="宋体"/>
          <w:color w:val="auto"/>
          <w:szCs w:val="21"/>
        </w:rPr>
        <w:t>法定代表人（签字或盖章）：</w:t>
      </w:r>
      <w:r>
        <w:rPr>
          <w:rFonts w:ascii="宋体" w:hAnsi="宋体"/>
          <w:color w:val="auto"/>
          <w:szCs w:val="21"/>
          <w:u w:val="single"/>
        </w:rPr>
        <w:t xml:space="preserve">                  </w:t>
      </w:r>
    </w:p>
    <w:p w14:paraId="77382417">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54BCC160">
      <w:pPr>
        <w:spacing w:line="400" w:lineRule="exact"/>
        <w:rPr>
          <w:rFonts w:ascii="宋体" w:hAnsi="宋体"/>
          <w:color w:val="auto"/>
          <w:szCs w:val="21"/>
        </w:rPr>
      </w:pPr>
    </w:p>
    <w:p w14:paraId="5EBC1683">
      <w:pPr>
        <w:spacing w:line="400" w:lineRule="exact"/>
        <w:rPr>
          <w:rFonts w:ascii="宋体" w:hAnsi="宋体"/>
          <w:color w:val="auto"/>
          <w:szCs w:val="21"/>
        </w:rPr>
      </w:pPr>
    </w:p>
    <w:p w14:paraId="651B43D5">
      <w:pPr>
        <w:spacing w:line="400" w:lineRule="exact"/>
        <w:rPr>
          <w:rFonts w:ascii="宋体" w:hAnsi="宋体"/>
          <w:color w:val="auto"/>
          <w:szCs w:val="21"/>
        </w:rPr>
      </w:pPr>
      <w:r>
        <w:rPr>
          <w:rFonts w:hint="eastAsia" w:ascii="宋体" w:hAnsi="宋体"/>
          <w:color w:val="auto"/>
          <w:szCs w:val="21"/>
        </w:rPr>
        <w:t>附：</w:t>
      </w:r>
    </w:p>
    <w:p w14:paraId="00D511A7">
      <w:pPr>
        <w:spacing w:line="400" w:lineRule="exact"/>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54399056">
      <w:pPr>
        <w:spacing w:line="400" w:lineRule="exact"/>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745684A3">
      <w:pPr>
        <w:spacing w:line="400" w:lineRule="exact"/>
        <w:rPr>
          <w:rFonts w:ascii="宋体" w:hAnsi="宋体"/>
          <w:color w:val="auto"/>
          <w:szCs w:val="21"/>
          <w:u w:val="single"/>
        </w:rPr>
      </w:pPr>
      <w:r>
        <w:rPr>
          <w:rFonts w:hint="eastAsia" w:ascii="宋体" w:hAnsi="宋体"/>
          <w:color w:val="auto"/>
          <w:szCs w:val="21"/>
        </w:rPr>
        <w:t xml:space="preserve">     职务：</w:t>
      </w:r>
      <w:r>
        <w:rPr>
          <w:rFonts w:hint="eastAsia" w:ascii="宋体" w:hAnsi="宋体"/>
          <w:color w:val="auto"/>
          <w:szCs w:val="21"/>
          <w:u w:val="single"/>
        </w:rPr>
        <w:t xml:space="preserve">                </w:t>
      </w:r>
    </w:p>
    <w:p w14:paraId="16B4A5A8">
      <w:pPr>
        <w:spacing w:line="400" w:lineRule="exact"/>
        <w:rPr>
          <w:rFonts w:ascii="宋体" w:hAnsi="宋体"/>
          <w:color w:val="auto"/>
          <w:szCs w:val="21"/>
          <w:u w:val="single"/>
        </w:rPr>
      </w:pPr>
      <w:r>
        <w:rPr>
          <w:rFonts w:hint="eastAsia" w:ascii="宋体" w:hAnsi="宋体"/>
          <w:color w:val="auto"/>
          <w:szCs w:val="21"/>
        </w:rPr>
        <w:t xml:space="preserve">     详细通讯地址：</w:t>
      </w:r>
      <w:r>
        <w:rPr>
          <w:rFonts w:hint="eastAsia" w:ascii="宋体" w:hAnsi="宋体"/>
          <w:color w:val="auto"/>
          <w:szCs w:val="21"/>
          <w:u w:val="single"/>
        </w:rPr>
        <w:t xml:space="preserve">                                  </w:t>
      </w:r>
    </w:p>
    <w:p w14:paraId="6433AFE4">
      <w:pPr>
        <w:spacing w:line="400" w:lineRule="exact"/>
        <w:ind w:firstLine="525" w:firstLineChars="250"/>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r>
        <w:rPr>
          <w:rFonts w:hint="eastAsia" w:ascii="宋体" w:hAnsi="宋体"/>
          <w:color w:val="auto"/>
          <w:szCs w:val="21"/>
        </w:rPr>
        <w:t xml:space="preserve"> 邮编：</w:t>
      </w:r>
      <w:r>
        <w:rPr>
          <w:rFonts w:hint="eastAsia" w:ascii="宋体" w:hAnsi="宋体"/>
          <w:color w:val="auto"/>
          <w:szCs w:val="21"/>
          <w:u w:val="single"/>
        </w:rPr>
        <w:t xml:space="preserve">          </w:t>
      </w:r>
    </w:p>
    <w:p w14:paraId="6CAB32F4">
      <w:pPr>
        <w:spacing w:line="400" w:lineRule="exact"/>
        <w:ind w:firstLine="517" w:firstLineChars="250"/>
        <w:jc w:val="center"/>
        <w:rPr>
          <w:rStyle w:val="88"/>
          <w:rFonts w:ascii="宋体" w:hAnsi="宋体"/>
          <w:color w:val="auto"/>
          <w:sz w:val="21"/>
          <w:szCs w:val="21"/>
        </w:rPr>
      </w:pPr>
    </w:p>
    <w:p w14:paraId="36EA8444">
      <w:pPr>
        <w:spacing w:line="400" w:lineRule="exact"/>
        <w:ind w:firstLine="517" w:firstLineChars="250"/>
        <w:jc w:val="center"/>
        <w:rPr>
          <w:rStyle w:val="88"/>
          <w:rFonts w:ascii="宋体" w:hAnsi="宋体"/>
          <w:color w:val="auto"/>
          <w:sz w:val="21"/>
          <w:szCs w:val="21"/>
        </w:rPr>
      </w:pPr>
    </w:p>
    <w:p w14:paraId="4ABD0D59">
      <w:pPr>
        <w:spacing w:line="400" w:lineRule="exact"/>
        <w:jc w:val="left"/>
        <w:rPr>
          <w:rFonts w:ascii="宋体" w:hAnsi="宋体"/>
          <w:color w:val="auto"/>
          <w:szCs w:val="21"/>
        </w:rPr>
      </w:pPr>
    </w:p>
    <w:p w14:paraId="09140301">
      <w:pPr>
        <w:spacing w:line="400" w:lineRule="exact"/>
        <w:jc w:val="left"/>
        <w:rPr>
          <w:rFonts w:ascii="宋体" w:hAnsi="宋体"/>
          <w:color w:val="auto"/>
          <w:szCs w:val="21"/>
        </w:rPr>
      </w:pPr>
      <w:r>
        <w:rPr>
          <w:rFonts w:hint="eastAsia" w:ascii="宋体" w:hAnsi="宋体"/>
          <w:color w:val="auto"/>
          <w:szCs w:val="21"/>
        </w:rPr>
        <w:t>后附：授权代表身份证复印件加盖供应商公章</w:t>
      </w:r>
    </w:p>
    <w:p w14:paraId="626E5649">
      <w:pPr>
        <w:spacing w:line="400" w:lineRule="exact"/>
        <w:jc w:val="left"/>
        <w:rPr>
          <w:rStyle w:val="88"/>
          <w:rFonts w:ascii="宋体" w:hAnsi="宋体"/>
          <w:color w:val="auto"/>
          <w:sz w:val="21"/>
          <w:szCs w:val="21"/>
        </w:rPr>
      </w:pPr>
      <w:r>
        <w:rPr>
          <w:rStyle w:val="88"/>
          <w:rFonts w:ascii="宋体" w:hAnsi="宋体"/>
          <w:color w:val="auto"/>
          <w:sz w:val="21"/>
          <w:szCs w:val="21"/>
        </w:rPr>
        <w:br w:type="page"/>
      </w:r>
    </w:p>
    <w:p w14:paraId="490F82BF">
      <w:pPr>
        <w:spacing w:line="400" w:lineRule="exact"/>
        <w:jc w:val="center"/>
        <w:rPr>
          <w:rFonts w:ascii="宋体" w:hAnsi="宋体"/>
          <w:b/>
          <w:color w:val="auto"/>
          <w:spacing w:val="20"/>
          <w:szCs w:val="21"/>
        </w:rPr>
      </w:pPr>
      <w:r>
        <w:rPr>
          <w:rFonts w:hint="eastAsia" w:ascii="宋体" w:hAnsi="宋体"/>
          <w:b/>
          <w:color w:val="auto"/>
          <w:szCs w:val="21"/>
        </w:rPr>
        <w:t>B4、商务条款响应表</w:t>
      </w:r>
    </w:p>
    <w:p w14:paraId="6F75D1D8">
      <w:pPr>
        <w:spacing w:line="400" w:lineRule="exact"/>
        <w:ind w:left="540"/>
        <w:jc w:val="center"/>
        <w:rPr>
          <w:rFonts w:ascii="宋体" w:hAnsi="宋体"/>
          <w:b/>
          <w:color w:val="auto"/>
          <w:szCs w:val="21"/>
        </w:rPr>
      </w:pPr>
    </w:p>
    <w:p w14:paraId="093DB909">
      <w:pPr>
        <w:adjustRightInd w:val="0"/>
        <w:snapToGrid w:val="0"/>
        <w:spacing w:line="400" w:lineRule="exact"/>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宁波前湾新区教育文体和旅游局学生午休垫采购项目</w:t>
      </w:r>
      <w:r>
        <w:rPr>
          <w:rFonts w:hint="eastAsia" w:ascii="宋体" w:hAnsi="宋体"/>
          <w:color w:val="auto"/>
          <w:szCs w:val="21"/>
        </w:rPr>
        <w:t xml:space="preserve">            </w:t>
      </w:r>
    </w:p>
    <w:p w14:paraId="65E5671E">
      <w:pPr>
        <w:adjustRightInd w:val="0"/>
        <w:snapToGrid w:val="0"/>
        <w:spacing w:line="400" w:lineRule="exact"/>
        <w:rPr>
          <w:rFonts w:ascii="宋体" w:hAnsi="宋体"/>
          <w:color w:val="auto"/>
          <w:szCs w:val="21"/>
          <w:u w:val="single"/>
        </w:rPr>
      </w:pPr>
      <w:r>
        <w:rPr>
          <w:rFonts w:hint="eastAsia" w:ascii="宋体" w:hAnsi="宋体"/>
          <w:color w:val="auto"/>
          <w:szCs w:val="21"/>
        </w:rPr>
        <w:t>采购编号：</w:t>
      </w:r>
      <w:r>
        <w:rPr>
          <w:rFonts w:hint="eastAsia" w:ascii="宋体" w:hAnsi="宋体"/>
          <w:color w:val="auto"/>
          <w:szCs w:val="21"/>
          <w:u w:val="single"/>
        </w:rPr>
        <w:t>QWZFCG25054（NBITC-202510852G）</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20AA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60D677A">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5206D0F6">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221D69CC">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vAlign w:val="center"/>
          </w:tcPr>
          <w:p w14:paraId="7C8D2561">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7FBB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392B52B">
            <w:pPr>
              <w:adjustRightInd w:val="0"/>
              <w:snapToGrid w:val="0"/>
              <w:spacing w:line="400" w:lineRule="exact"/>
              <w:jc w:val="center"/>
              <w:rPr>
                <w:rFonts w:ascii="宋体" w:hAnsi="宋体"/>
                <w:color w:val="auto"/>
                <w:szCs w:val="21"/>
              </w:rPr>
            </w:pPr>
          </w:p>
        </w:tc>
        <w:tc>
          <w:tcPr>
            <w:tcW w:w="2824" w:type="dxa"/>
            <w:vAlign w:val="center"/>
          </w:tcPr>
          <w:p w14:paraId="5B1ADF66">
            <w:pPr>
              <w:adjustRightInd w:val="0"/>
              <w:snapToGrid w:val="0"/>
              <w:spacing w:line="400" w:lineRule="exact"/>
              <w:jc w:val="center"/>
              <w:rPr>
                <w:rFonts w:ascii="宋体" w:hAnsi="宋体"/>
                <w:color w:val="auto"/>
                <w:szCs w:val="21"/>
              </w:rPr>
            </w:pPr>
          </w:p>
        </w:tc>
        <w:tc>
          <w:tcPr>
            <w:tcW w:w="2835" w:type="dxa"/>
            <w:vAlign w:val="center"/>
          </w:tcPr>
          <w:p w14:paraId="471E32FC">
            <w:pPr>
              <w:adjustRightInd w:val="0"/>
              <w:snapToGrid w:val="0"/>
              <w:spacing w:line="400" w:lineRule="exact"/>
              <w:jc w:val="center"/>
              <w:rPr>
                <w:rFonts w:ascii="宋体" w:hAnsi="宋体"/>
                <w:color w:val="auto"/>
                <w:szCs w:val="21"/>
              </w:rPr>
            </w:pPr>
          </w:p>
        </w:tc>
        <w:tc>
          <w:tcPr>
            <w:tcW w:w="2369" w:type="dxa"/>
            <w:vAlign w:val="center"/>
          </w:tcPr>
          <w:p w14:paraId="2B21EE19">
            <w:pPr>
              <w:adjustRightInd w:val="0"/>
              <w:snapToGrid w:val="0"/>
              <w:spacing w:line="400" w:lineRule="exact"/>
              <w:jc w:val="center"/>
              <w:rPr>
                <w:rFonts w:ascii="宋体" w:hAnsi="宋体"/>
                <w:color w:val="auto"/>
                <w:szCs w:val="21"/>
              </w:rPr>
            </w:pPr>
          </w:p>
        </w:tc>
      </w:tr>
      <w:tr w14:paraId="7E5F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C15606F">
            <w:pPr>
              <w:adjustRightInd w:val="0"/>
              <w:snapToGrid w:val="0"/>
              <w:spacing w:line="400" w:lineRule="exact"/>
              <w:jc w:val="center"/>
              <w:rPr>
                <w:rFonts w:ascii="宋体" w:hAnsi="宋体"/>
                <w:color w:val="auto"/>
                <w:szCs w:val="21"/>
              </w:rPr>
            </w:pPr>
          </w:p>
        </w:tc>
        <w:tc>
          <w:tcPr>
            <w:tcW w:w="2824" w:type="dxa"/>
            <w:vAlign w:val="center"/>
          </w:tcPr>
          <w:p w14:paraId="38DA0BCF">
            <w:pPr>
              <w:adjustRightInd w:val="0"/>
              <w:snapToGrid w:val="0"/>
              <w:spacing w:line="400" w:lineRule="exact"/>
              <w:jc w:val="center"/>
              <w:rPr>
                <w:rFonts w:ascii="宋体" w:hAnsi="宋体"/>
                <w:color w:val="auto"/>
                <w:szCs w:val="21"/>
              </w:rPr>
            </w:pPr>
          </w:p>
        </w:tc>
        <w:tc>
          <w:tcPr>
            <w:tcW w:w="2835" w:type="dxa"/>
            <w:vAlign w:val="center"/>
          </w:tcPr>
          <w:p w14:paraId="65012F83">
            <w:pPr>
              <w:adjustRightInd w:val="0"/>
              <w:snapToGrid w:val="0"/>
              <w:spacing w:line="400" w:lineRule="exact"/>
              <w:jc w:val="center"/>
              <w:rPr>
                <w:rFonts w:ascii="宋体" w:hAnsi="宋体"/>
                <w:color w:val="auto"/>
                <w:szCs w:val="21"/>
              </w:rPr>
            </w:pPr>
          </w:p>
        </w:tc>
        <w:tc>
          <w:tcPr>
            <w:tcW w:w="2369" w:type="dxa"/>
            <w:vAlign w:val="center"/>
          </w:tcPr>
          <w:p w14:paraId="4CC73E70">
            <w:pPr>
              <w:adjustRightInd w:val="0"/>
              <w:snapToGrid w:val="0"/>
              <w:spacing w:line="400" w:lineRule="exact"/>
              <w:jc w:val="center"/>
              <w:rPr>
                <w:rFonts w:ascii="宋体" w:hAnsi="宋体"/>
                <w:color w:val="auto"/>
                <w:szCs w:val="21"/>
              </w:rPr>
            </w:pPr>
          </w:p>
        </w:tc>
      </w:tr>
      <w:tr w14:paraId="10EA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921433F">
            <w:pPr>
              <w:adjustRightInd w:val="0"/>
              <w:snapToGrid w:val="0"/>
              <w:spacing w:line="400" w:lineRule="exact"/>
              <w:jc w:val="center"/>
              <w:rPr>
                <w:rFonts w:ascii="宋体" w:hAnsi="宋体"/>
                <w:color w:val="auto"/>
                <w:szCs w:val="21"/>
              </w:rPr>
            </w:pPr>
          </w:p>
        </w:tc>
        <w:tc>
          <w:tcPr>
            <w:tcW w:w="2824" w:type="dxa"/>
            <w:vAlign w:val="center"/>
          </w:tcPr>
          <w:p w14:paraId="14F4DF50">
            <w:pPr>
              <w:adjustRightInd w:val="0"/>
              <w:snapToGrid w:val="0"/>
              <w:spacing w:line="400" w:lineRule="exact"/>
              <w:jc w:val="center"/>
              <w:rPr>
                <w:rFonts w:ascii="宋体" w:hAnsi="宋体"/>
                <w:color w:val="auto"/>
                <w:szCs w:val="21"/>
              </w:rPr>
            </w:pPr>
          </w:p>
        </w:tc>
        <w:tc>
          <w:tcPr>
            <w:tcW w:w="2835" w:type="dxa"/>
            <w:vAlign w:val="center"/>
          </w:tcPr>
          <w:p w14:paraId="4A31F618">
            <w:pPr>
              <w:adjustRightInd w:val="0"/>
              <w:snapToGrid w:val="0"/>
              <w:spacing w:line="400" w:lineRule="exact"/>
              <w:jc w:val="center"/>
              <w:rPr>
                <w:rFonts w:ascii="宋体" w:hAnsi="宋体"/>
                <w:color w:val="auto"/>
                <w:szCs w:val="21"/>
              </w:rPr>
            </w:pPr>
          </w:p>
        </w:tc>
        <w:tc>
          <w:tcPr>
            <w:tcW w:w="2369" w:type="dxa"/>
            <w:vAlign w:val="center"/>
          </w:tcPr>
          <w:p w14:paraId="15CC5EBD">
            <w:pPr>
              <w:adjustRightInd w:val="0"/>
              <w:snapToGrid w:val="0"/>
              <w:spacing w:line="400" w:lineRule="exact"/>
              <w:jc w:val="center"/>
              <w:rPr>
                <w:rFonts w:ascii="宋体" w:hAnsi="宋体"/>
                <w:color w:val="auto"/>
                <w:szCs w:val="21"/>
              </w:rPr>
            </w:pPr>
          </w:p>
        </w:tc>
      </w:tr>
      <w:tr w14:paraId="5DF8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F818285">
            <w:pPr>
              <w:adjustRightInd w:val="0"/>
              <w:snapToGrid w:val="0"/>
              <w:spacing w:line="400" w:lineRule="exact"/>
              <w:jc w:val="center"/>
              <w:rPr>
                <w:rFonts w:ascii="宋体" w:hAnsi="宋体"/>
                <w:color w:val="auto"/>
                <w:szCs w:val="21"/>
              </w:rPr>
            </w:pPr>
          </w:p>
        </w:tc>
        <w:tc>
          <w:tcPr>
            <w:tcW w:w="2824" w:type="dxa"/>
            <w:vAlign w:val="center"/>
          </w:tcPr>
          <w:p w14:paraId="3FC830FE">
            <w:pPr>
              <w:adjustRightInd w:val="0"/>
              <w:snapToGrid w:val="0"/>
              <w:spacing w:line="400" w:lineRule="exact"/>
              <w:jc w:val="center"/>
              <w:rPr>
                <w:rFonts w:ascii="宋体" w:hAnsi="宋体"/>
                <w:color w:val="auto"/>
                <w:szCs w:val="21"/>
              </w:rPr>
            </w:pPr>
          </w:p>
        </w:tc>
        <w:tc>
          <w:tcPr>
            <w:tcW w:w="2835" w:type="dxa"/>
            <w:vAlign w:val="center"/>
          </w:tcPr>
          <w:p w14:paraId="57D97B32">
            <w:pPr>
              <w:adjustRightInd w:val="0"/>
              <w:snapToGrid w:val="0"/>
              <w:spacing w:line="400" w:lineRule="exact"/>
              <w:jc w:val="center"/>
              <w:rPr>
                <w:rFonts w:ascii="宋体" w:hAnsi="宋体"/>
                <w:color w:val="auto"/>
                <w:szCs w:val="21"/>
              </w:rPr>
            </w:pPr>
          </w:p>
        </w:tc>
        <w:tc>
          <w:tcPr>
            <w:tcW w:w="2369" w:type="dxa"/>
            <w:vAlign w:val="center"/>
          </w:tcPr>
          <w:p w14:paraId="34AFB0B1">
            <w:pPr>
              <w:adjustRightInd w:val="0"/>
              <w:snapToGrid w:val="0"/>
              <w:spacing w:line="400" w:lineRule="exact"/>
              <w:jc w:val="center"/>
              <w:rPr>
                <w:rFonts w:ascii="宋体" w:hAnsi="宋体"/>
                <w:color w:val="auto"/>
                <w:szCs w:val="21"/>
              </w:rPr>
            </w:pPr>
          </w:p>
        </w:tc>
      </w:tr>
      <w:tr w14:paraId="0995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47FF499">
            <w:pPr>
              <w:adjustRightInd w:val="0"/>
              <w:snapToGrid w:val="0"/>
              <w:spacing w:line="400" w:lineRule="exact"/>
              <w:jc w:val="center"/>
              <w:rPr>
                <w:rFonts w:ascii="宋体" w:hAnsi="宋体"/>
                <w:color w:val="auto"/>
                <w:szCs w:val="21"/>
              </w:rPr>
            </w:pPr>
          </w:p>
        </w:tc>
        <w:tc>
          <w:tcPr>
            <w:tcW w:w="2824" w:type="dxa"/>
            <w:vAlign w:val="center"/>
          </w:tcPr>
          <w:p w14:paraId="7886D3BA">
            <w:pPr>
              <w:adjustRightInd w:val="0"/>
              <w:snapToGrid w:val="0"/>
              <w:spacing w:line="400" w:lineRule="exact"/>
              <w:jc w:val="center"/>
              <w:rPr>
                <w:rFonts w:ascii="宋体" w:hAnsi="宋体"/>
                <w:color w:val="auto"/>
                <w:szCs w:val="21"/>
              </w:rPr>
            </w:pPr>
          </w:p>
        </w:tc>
        <w:tc>
          <w:tcPr>
            <w:tcW w:w="2835" w:type="dxa"/>
            <w:vAlign w:val="center"/>
          </w:tcPr>
          <w:p w14:paraId="379E4221">
            <w:pPr>
              <w:adjustRightInd w:val="0"/>
              <w:snapToGrid w:val="0"/>
              <w:spacing w:line="400" w:lineRule="exact"/>
              <w:jc w:val="center"/>
              <w:rPr>
                <w:rFonts w:ascii="宋体" w:hAnsi="宋体"/>
                <w:color w:val="auto"/>
                <w:szCs w:val="21"/>
              </w:rPr>
            </w:pPr>
          </w:p>
        </w:tc>
        <w:tc>
          <w:tcPr>
            <w:tcW w:w="2369" w:type="dxa"/>
            <w:vAlign w:val="center"/>
          </w:tcPr>
          <w:p w14:paraId="62C9CAE5">
            <w:pPr>
              <w:adjustRightInd w:val="0"/>
              <w:snapToGrid w:val="0"/>
              <w:spacing w:line="400" w:lineRule="exact"/>
              <w:jc w:val="center"/>
              <w:rPr>
                <w:rFonts w:ascii="宋体" w:hAnsi="宋体"/>
                <w:color w:val="auto"/>
                <w:szCs w:val="21"/>
              </w:rPr>
            </w:pPr>
          </w:p>
        </w:tc>
      </w:tr>
    </w:tbl>
    <w:p w14:paraId="39638527">
      <w:pPr>
        <w:adjustRightInd w:val="0"/>
        <w:snapToGrid w:val="0"/>
        <w:spacing w:line="400" w:lineRule="exact"/>
        <w:ind w:left="319" w:leftChars="152"/>
        <w:rPr>
          <w:rFonts w:ascii="宋体" w:hAnsi="宋体"/>
          <w:color w:val="auto"/>
          <w:spacing w:val="20"/>
          <w:szCs w:val="21"/>
        </w:rPr>
      </w:pPr>
      <w:r>
        <w:rPr>
          <w:rFonts w:hint="eastAsia" w:ascii="宋体" w:hAnsi="宋体"/>
          <w:color w:val="auto"/>
          <w:spacing w:val="20"/>
          <w:szCs w:val="21"/>
        </w:rPr>
        <w:t>注：</w:t>
      </w:r>
      <w:r>
        <w:rPr>
          <w:rFonts w:hint="eastAsia" w:ascii="宋体" w:hAnsi="宋体"/>
          <w:color w:val="auto"/>
          <w:szCs w:val="21"/>
        </w:rPr>
        <w:t>须与“第六章 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0437E662">
      <w:pPr>
        <w:adjustRightInd w:val="0"/>
        <w:snapToGrid w:val="0"/>
        <w:spacing w:line="400" w:lineRule="exact"/>
        <w:rPr>
          <w:rFonts w:ascii="宋体" w:hAnsi="宋体"/>
          <w:color w:val="auto"/>
          <w:spacing w:val="20"/>
          <w:szCs w:val="21"/>
        </w:rPr>
      </w:pPr>
    </w:p>
    <w:p w14:paraId="7248A369">
      <w:pPr>
        <w:adjustRightInd w:val="0"/>
        <w:snapToGrid w:val="0"/>
        <w:spacing w:line="400" w:lineRule="exact"/>
        <w:rPr>
          <w:rFonts w:ascii="宋体" w:hAnsi="宋体"/>
          <w:color w:val="auto"/>
          <w:spacing w:val="20"/>
          <w:szCs w:val="21"/>
        </w:rPr>
      </w:pPr>
    </w:p>
    <w:p w14:paraId="54B8829D">
      <w:pPr>
        <w:spacing w:line="400" w:lineRule="exact"/>
        <w:jc w:val="left"/>
        <w:rPr>
          <w:rFonts w:ascii="宋体" w:hAnsi="宋体"/>
          <w:color w:val="auto"/>
          <w:szCs w:val="21"/>
        </w:rPr>
      </w:pPr>
      <w:bookmarkStart w:id="88" w:name="_Toc436408720"/>
      <w:bookmarkStart w:id="89" w:name="_Toc441316563"/>
      <w:r>
        <w:rPr>
          <w:rFonts w:hint="eastAsia" w:ascii="宋体" w:hAnsi="宋体"/>
          <w:color w:val="auto"/>
          <w:szCs w:val="21"/>
        </w:rPr>
        <w:t>供应商（盖章）：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23B2E590">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5A45AFB3">
      <w:pPr>
        <w:spacing w:line="400" w:lineRule="exact"/>
        <w:jc w:val="left"/>
        <w:rPr>
          <w:rFonts w:ascii="宋体" w:hAnsi="宋体"/>
          <w:color w:val="auto"/>
          <w:szCs w:val="21"/>
          <w:u w:val="single"/>
        </w:rPr>
      </w:pPr>
    </w:p>
    <w:p w14:paraId="689DC3B6">
      <w:pPr>
        <w:spacing w:line="400" w:lineRule="exact"/>
        <w:jc w:val="center"/>
        <w:rPr>
          <w:rFonts w:ascii="宋体" w:hAnsi="宋体"/>
          <w:b/>
          <w:color w:val="auto"/>
          <w:szCs w:val="21"/>
        </w:rPr>
      </w:pPr>
      <w:r>
        <w:rPr>
          <w:rStyle w:val="88"/>
          <w:rFonts w:ascii="宋体" w:hAnsi="宋体"/>
          <w:color w:val="auto"/>
          <w:sz w:val="21"/>
          <w:szCs w:val="21"/>
        </w:rPr>
        <w:br w:type="page"/>
      </w:r>
      <w:bookmarkEnd w:id="88"/>
      <w:bookmarkEnd w:id="89"/>
      <w:r>
        <w:rPr>
          <w:rFonts w:hint="eastAsia" w:ascii="宋体" w:hAnsi="宋体"/>
          <w:b/>
          <w:color w:val="auto"/>
          <w:szCs w:val="21"/>
        </w:rPr>
        <w:t>B5、技术条款响应表</w:t>
      </w:r>
    </w:p>
    <w:p w14:paraId="2963C181">
      <w:pPr>
        <w:spacing w:line="400" w:lineRule="exact"/>
        <w:ind w:left="540"/>
        <w:jc w:val="center"/>
        <w:rPr>
          <w:rFonts w:ascii="宋体" w:hAnsi="宋体"/>
          <w:b/>
          <w:color w:val="auto"/>
          <w:szCs w:val="21"/>
        </w:rPr>
      </w:pPr>
    </w:p>
    <w:p w14:paraId="53E0FDCA">
      <w:pPr>
        <w:adjustRightInd w:val="0"/>
        <w:snapToGrid w:val="0"/>
        <w:spacing w:line="400" w:lineRule="exact"/>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宁波前湾新区教育文体和旅游局学生午休垫采购项目</w:t>
      </w:r>
      <w:r>
        <w:rPr>
          <w:rFonts w:hint="eastAsia" w:ascii="宋体" w:hAnsi="宋体"/>
          <w:color w:val="auto"/>
          <w:szCs w:val="21"/>
        </w:rPr>
        <w:t xml:space="preserve">            </w:t>
      </w:r>
    </w:p>
    <w:p w14:paraId="4B4720F6">
      <w:pPr>
        <w:adjustRightInd w:val="0"/>
        <w:snapToGrid w:val="0"/>
        <w:spacing w:line="400" w:lineRule="exact"/>
        <w:rPr>
          <w:rFonts w:ascii="宋体" w:hAnsi="宋体"/>
          <w:color w:val="auto"/>
          <w:szCs w:val="21"/>
          <w:u w:val="single"/>
        </w:rPr>
      </w:pPr>
      <w:r>
        <w:rPr>
          <w:rFonts w:hint="eastAsia" w:ascii="宋体" w:hAnsi="宋体"/>
          <w:color w:val="auto"/>
          <w:szCs w:val="21"/>
        </w:rPr>
        <w:t>采购编号：</w:t>
      </w:r>
      <w:r>
        <w:rPr>
          <w:rFonts w:hint="eastAsia" w:ascii="宋体" w:hAnsi="宋体"/>
          <w:color w:val="auto"/>
          <w:szCs w:val="21"/>
          <w:u w:val="single"/>
        </w:rPr>
        <w:t>QWZFCG25054（NBITC-202510852G）</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714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3E12DE0">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71CC7C82">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40133A01">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vAlign w:val="center"/>
          </w:tcPr>
          <w:p w14:paraId="024340B7">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916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FC075CE">
            <w:pPr>
              <w:adjustRightInd w:val="0"/>
              <w:snapToGrid w:val="0"/>
              <w:spacing w:line="400" w:lineRule="exact"/>
              <w:jc w:val="center"/>
              <w:rPr>
                <w:rFonts w:ascii="宋体" w:hAnsi="宋体"/>
                <w:color w:val="auto"/>
                <w:szCs w:val="21"/>
              </w:rPr>
            </w:pPr>
          </w:p>
        </w:tc>
        <w:tc>
          <w:tcPr>
            <w:tcW w:w="2824" w:type="dxa"/>
            <w:vAlign w:val="center"/>
          </w:tcPr>
          <w:p w14:paraId="6551440F">
            <w:pPr>
              <w:adjustRightInd w:val="0"/>
              <w:snapToGrid w:val="0"/>
              <w:spacing w:line="400" w:lineRule="exact"/>
              <w:jc w:val="center"/>
              <w:rPr>
                <w:rFonts w:ascii="宋体" w:hAnsi="宋体"/>
                <w:color w:val="auto"/>
                <w:szCs w:val="21"/>
              </w:rPr>
            </w:pPr>
          </w:p>
        </w:tc>
        <w:tc>
          <w:tcPr>
            <w:tcW w:w="2835" w:type="dxa"/>
            <w:vAlign w:val="center"/>
          </w:tcPr>
          <w:p w14:paraId="2DA8C532">
            <w:pPr>
              <w:adjustRightInd w:val="0"/>
              <w:snapToGrid w:val="0"/>
              <w:spacing w:line="400" w:lineRule="exact"/>
              <w:jc w:val="center"/>
              <w:rPr>
                <w:rFonts w:ascii="宋体" w:hAnsi="宋体"/>
                <w:color w:val="auto"/>
                <w:szCs w:val="21"/>
              </w:rPr>
            </w:pPr>
          </w:p>
        </w:tc>
        <w:tc>
          <w:tcPr>
            <w:tcW w:w="2369" w:type="dxa"/>
            <w:vAlign w:val="center"/>
          </w:tcPr>
          <w:p w14:paraId="5AE427F4">
            <w:pPr>
              <w:adjustRightInd w:val="0"/>
              <w:snapToGrid w:val="0"/>
              <w:spacing w:line="400" w:lineRule="exact"/>
              <w:jc w:val="center"/>
              <w:rPr>
                <w:rFonts w:ascii="宋体" w:hAnsi="宋体"/>
                <w:color w:val="auto"/>
                <w:szCs w:val="21"/>
              </w:rPr>
            </w:pPr>
          </w:p>
        </w:tc>
      </w:tr>
      <w:tr w14:paraId="0D29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6165055">
            <w:pPr>
              <w:adjustRightInd w:val="0"/>
              <w:snapToGrid w:val="0"/>
              <w:spacing w:line="400" w:lineRule="exact"/>
              <w:jc w:val="center"/>
              <w:rPr>
                <w:rFonts w:ascii="宋体" w:hAnsi="宋体"/>
                <w:color w:val="auto"/>
                <w:szCs w:val="21"/>
              </w:rPr>
            </w:pPr>
          </w:p>
        </w:tc>
        <w:tc>
          <w:tcPr>
            <w:tcW w:w="2824" w:type="dxa"/>
            <w:vAlign w:val="center"/>
          </w:tcPr>
          <w:p w14:paraId="1B095492">
            <w:pPr>
              <w:adjustRightInd w:val="0"/>
              <w:snapToGrid w:val="0"/>
              <w:spacing w:line="400" w:lineRule="exact"/>
              <w:jc w:val="center"/>
              <w:rPr>
                <w:rFonts w:ascii="宋体" w:hAnsi="宋体"/>
                <w:color w:val="auto"/>
                <w:szCs w:val="21"/>
              </w:rPr>
            </w:pPr>
          </w:p>
        </w:tc>
        <w:tc>
          <w:tcPr>
            <w:tcW w:w="2835" w:type="dxa"/>
            <w:vAlign w:val="center"/>
          </w:tcPr>
          <w:p w14:paraId="339F3620">
            <w:pPr>
              <w:adjustRightInd w:val="0"/>
              <w:snapToGrid w:val="0"/>
              <w:spacing w:line="400" w:lineRule="exact"/>
              <w:jc w:val="center"/>
              <w:rPr>
                <w:rFonts w:ascii="宋体" w:hAnsi="宋体"/>
                <w:color w:val="auto"/>
                <w:szCs w:val="21"/>
              </w:rPr>
            </w:pPr>
          </w:p>
        </w:tc>
        <w:tc>
          <w:tcPr>
            <w:tcW w:w="2369" w:type="dxa"/>
            <w:vAlign w:val="center"/>
          </w:tcPr>
          <w:p w14:paraId="7DF51DC5">
            <w:pPr>
              <w:adjustRightInd w:val="0"/>
              <w:snapToGrid w:val="0"/>
              <w:spacing w:line="400" w:lineRule="exact"/>
              <w:jc w:val="center"/>
              <w:rPr>
                <w:rFonts w:ascii="宋体" w:hAnsi="宋体"/>
                <w:color w:val="auto"/>
                <w:szCs w:val="21"/>
              </w:rPr>
            </w:pPr>
          </w:p>
        </w:tc>
      </w:tr>
      <w:tr w14:paraId="1700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467BAC0">
            <w:pPr>
              <w:adjustRightInd w:val="0"/>
              <w:snapToGrid w:val="0"/>
              <w:spacing w:line="400" w:lineRule="exact"/>
              <w:jc w:val="center"/>
              <w:rPr>
                <w:rFonts w:ascii="宋体" w:hAnsi="宋体"/>
                <w:color w:val="auto"/>
                <w:szCs w:val="21"/>
              </w:rPr>
            </w:pPr>
          </w:p>
        </w:tc>
        <w:tc>
          <w:tcPr>
            <w:tcW w:w="2824" w:type="dxa"/>
            <w:vAlign w:val="center"/>
          </w:tcPr>
          <w:p w14:paraId="5442D42C">
            <w:pPr>
              <w:adjustRightInd w:val="0"/>
              <w:snapToGrid w:val="0"/>
              <w:spacing w:line="400" w:lineRule="exact"/>
              <w:jc w:val="center"/>
              <w:rPr>
                <w:rFonts w:ascii="宋体" w:hAnsi="宋体"/>
                <w:color w:val="auto"/>
                <w:szCs w:val="21"/>
              </w:rPr>
            </w:pPr>
          </w:p>
        </w:tc>
        <w:tc>
          <w:tcPr>
            <w:tcW w:w="2835" w:type="dxa"/>
            <w:vAlign w:val="center"/>
          </w:tcPr>
          <w:p w14:paraId="059668EF">
            <w:pPr>
              <w:adjustRightInd w:val="0"/>
              <w:snapToGrid w:val="0"/>
              <w:spacing w:line="400" w:lineRule="exact"/>
              <w:jc w:val="center"/>
              <w:rPr>
                <w:rFonts w:ascii="宋体" w:hAnsi="宋体"/>
                <w:color w:val="auto"/>
                <w:szCs w:val="21"/>
              </w:rPr>
            </w:pPr>
          </w:p>
        </w:tc>
        <w:tc>
          <w:tcPr>
            <w:tcW w:w="2369" w:type="dxa"/>
            <w:vAlign w:val="center"/>
          </w:tcPr>
          <w:p w14:paraId="39F0EB6B">
            <w:pPr>
              <w:adjustRightInd w:val="0"/>
              <w:snapToGrid w:val="0"/>
              <w:spacing w:line="400" w:lineRule="exact"/>
              <w:jc w:val="center"/>
              <w:rPr>
                <w:rFonts w:ascii="宋体" w:hAnsi="宋体"/>
                <w:color w:val="auto"/>
                <w:szCs w:val="21"/>
              </w:rPr>
            </w:pPr>
          </w:p>
        </w:tc>
      </w:tr>
      <w:tr w14:paraId="64B0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C7E8907">
            <w:pPr>
              <w:adjustRightInd w:val="0"/>
              <w:snapToGrid w:val="0"/>
              <w:spacing w:line="400" w:lineRule="exact"/>
              <w:jc w:val="center"/>
              <w:rPr>
                <w:rFonts w:ascii="宋体" w:hAnsi="宋体"/>
                <w:color w:val="auto"/>
                <w:szCs w:val="21"/>
              </w:rPr>
            </w:pPr>
          </w:p>
        </w:tc>
        <w:tc>
          <w:tcPr>
            <w:tcW w:w="2824" w:type="dxa"/>
            <w:vAlign w:val="center"/>
          </w:tcPr>
          <w:p w14:paraId="312CD455">
            <w:pPr>
              <w:adjustRightInd w:val="0"/>
              <w:snapToGrid w:val="0"/>
              <w:spacing w:line="400" w:lineRule="exact"/>
              <w:jc w:val="center"/>
              <w:rPr>
                <w:rFonts w:ascii="宋体" w:hAnsi="宋体"/>
                <w:color w:val="auto"/>
                <w:szCs w:val="21"/>
              </w:rPr>
            </w:pPr>
          </w:p>
        </w:tc>
        <w:tc>
          <w:tcPr>
            <w:tcW w:w="2835" w:type="dxa"/>
            <w:vAlign w:val="center"/>
          </w:tcPr>
          <w:p w14:paraId="60656F15">
            <w:pPr>
              <w:adjustRightInd w:val="0"/>
              <w:snapToGrid w:val="0"/>
              <w:spacing w:line="400" w:lineRule="exact"/>
              <w:jc w:val="center"/>
              <w:rPr>
                <w:rFonts w:ascii="宋体" w:hAnsi="宋体"/>
                <w:color w:val="auto"/>
                <w:szCs w:val="21"/>
              </w:rPr>
            </w:pPr>
          </w:p>
        </w:tc>
        <w:tc>
          <w:tcPr>
            <w:tcW w:w="2369" w:type="dxa"/>
            <w:vAlign w:val="center"/>
          </w:tcPr>
          <w:p w14:paraId="1FC39853">
            <w:pPr>
              <w:adjustRightInd w:val="0"/>
              <w:snapToGrid w:val="0"/>
              <w:spacing w:line="400" w:lineRule="exact"/>
              <w:jc w:val="center"/>
              <w:rPr>
                <w:rFonts w:ascii="宋体" w:hAnsi="宋体"/>
                <w:color w:val="auto"/>
                <w:szCs w:val="21"/>
              </w:rPr>
            </w:pPr>
          </w:p>
        </w:tc>
      </w:tr>
      <w:tr w14:paraId="2ECE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0F9D56A">
            <w:pPr>
              <w:adjustRightInd w:val="0"/>
              <w:snapToGrid w:val="0"/>
              <w:spacing w:line="400" w:lineRule="exact"/>
              <w:jc w:val="center"/>
              <w:rPr>
                <w:rFonts w:ascii="宋体" w:hAnsi="宋体"/>
                <w:color w:val="auto"/>
                <w:szCs w:val="21"/>
              </w:rPr>
            </w:pPr>
          </w:p>
        </w:tc>
        <w:tc>
          <w:tcPr>
            <w:tcW w:w="2824" w:type="dxa"/>
            <w:vAlign w:val="center"/>
          </w:tcPr>
          <w:p w14:paraId="3E777068">
            <w:pPr>
              <w:adjustRightInd w:val="0"/>
              <w:snapToGrid w:val="0"/>
              <w:spacing w:line="400" w:lineRule="exact"/>
              <w:jc w:val="center"/>
              <w:rPr>
                <w:rFonts w:ascii="宋体" w:hAnsi="宋体"/>
                <w:color w:val="auto"/>
                <w:szCs w:val="21"/>
              </w:rPr>
            </w:pPr>
          </w:p>
        </w:tc>
        <w:tc>
          <w:tcPr>
            <w:tcW w:w="2835" w:type="dxa"/>
            <w:vAlign w:val="center"/>
          </w:tcPr>
          <w:p w14:paraId="10C69AF3">
            <w:pPr>
              <w:adjustRightInd w:val="0"/>
              <w:snapToGrid w:val="0"/>
              <w:spacing w:line="400" w:lineRule="exact"/>
              <w:jc w:val="center"/>
              <w:rPr>
                <w:rFonts w:ascii="宋体" w:hAnsi="宋体"/>
                <w:color w:val="auto"/>
                <w:szCs w:val="21"/>
              </w:rPr>
            </w:pPr>
          </w:p>
        </w:tc>
        <w:tc>
          <w:tcPr>
            <w:tcW w:w="2369" w:type="dxa"/>
            <w:vAlign w:val="center"/>
          </w:tcPr>
          <w:p w14:paraId="7935587E">
            <w:pPr>
              <w:adjustRightInd w:val="0"/>
              <w:snapToGrid w:val="0"/>
              <w:spacing w:line="400" w:lineRule="exact"/>
              <w:jc w:val="center"/>
              <w:rPr>
                <w:rFonts w:ascii="宋体" w:hAnsi="宋体"/>
                <w:color w:val="auto"/>
                <w:szCs w:val="21"/>
              </w:rPr>
            </w:pPr>
          </w:p>
        </w:tc>
      </w:tr>
    </w:tbl>
    <w:p w14:paraId="6FECA686">
      <w:pPr>
        <w:spacing w:line="400" w:lineRule="exact"/>
        <w:rPr>
          <w:rFonts w:ascii="宋体" w:hAnsi="宋体"/>
          <w:color w:val="auto"/>
          <w:szCs w:val="21"/>
        </w:rPr>
      </w:pPr>
      <w:r>
        <w:rPr>
          <w:rFonts w:hint="eastAsia" w:ascii="宋体" w:hAnsi="宋体"/>
          <w:color w:val="auto"/>
          <w:szCs w:val="21"/>
        </w:rPr>
        <w:t>注：须与“第五章 招标内容与技术需求”中的</w:t>
      </w:r>
      <w:r>
        <w:rPr>
          <w:rFonts w:hint="eastAsia" w:ascii="宋体" w:hAnsi="宋体"/>
          <w:b/>
          <w:color w:val="auto"/>
          <w:szCs w:val="21"/>
        </w:rPr>
        <w:t>“</w:t>
      </w:r>
      <w:r>
        <w:rPr>
          <w:rFonts w:hint="eastAsia" w:ascii="宋体" w:hAnsi="宋体"/>
          <w:b/>
          <w:bCs/>
          <w:color w:val="auto"/>
          <w:szCs w:val="21"/>
        </w:rPr>
        <w:t>二、技术要求</w:t>
      </w:r>
      <w:r>
        <w:rPr>
          <w:rFonts w:hint="eastAsia" w:ascii="宋体" w:hAnsi="宋体"/>
          <w:b/>
          <w:color w:val="auto"/>
          <w:szCs w:val="21"/>
        </w:rPr>
        <w:t>”</w:t>
      </w:r>
      <w:r>
        <w:rPr>
          <w:rFonts w:hint="eastAsia" w:ascii="宋体" w:hAnsi="宋体"/>
          <w:color w:val="auto"/>
          <w:szCs w:val="21"/>
        </w:rPr>
        <w:t>逐项比较，如有偏离的，须在本表中列明，并提供详细的偏离说明。</w:t>
      </w:r>
    </w:p>
    <w:p w14:paraId="089C8B32">
      <w:pPr>
        <w:adjustRightInd w:val="0"/>
        <w:snapToGrid w:val="0"/>
        <w:spacing w:line="400" w:lineRule="exact"/>
        <w:rPr>
          <w:rFonts w:ascii="宋体" w:hAnsi="宋体"/>
          <w:color w:val="auto"/>
          <w:spacing w:val="20"/>
          <w:szCs w:val="21"/>
        </w:rPr>
      </w:pPr>
    </w:p>
    <w:p w14:paraId="2DED725F">
      <w:pPr>
        <w:adjustRightInd w:val="0"/>
        <w:snapToGrid w:val="0"/>
        <w:spacing w:line="400" w:lineRule="exact"/>
        <w:rPr>
          <w:rFonts w:ascii="宋体" w:hAnsi="宋体"/>
          <w:color w:val="auto"/>
          <w:spacing w:val="20"/>
          <w:szCs w:val="21"/>
        </w:rPr>
      </w:pPr>
    </w:p>
    <w:p w14:paraId="2B8A72A9">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06EB61AD">
      <w:pPr>
        <w:spacing w:line="400" w:lineRule="exact"/>
        <w:jc w:val="left"/>
        <w:rPr>
          <w:rFonts w:ascii="宋体" w:hAnsi="宋体"/>
          <w:color w:val="auto"/>
          <w:szCs w:val="21"/>
        </w:rPr>
      </w:pPr>
      <w:r>
        <w:rPr>
          <w:rFonts w:hint="eastAsia" w:ascii="宋体" w:hAnsi="宋体"/>
          <w:color w:val="auto"/>
          <w:szCs w:val="21"/>
        </w:rPr>
        <w:t>日            期：</w:t>
      </w:r>
    </w:p>
    <w:p w14:paraId="0FAA2A4C">
      <w:pPr>
        <w:spacing w:line="400" w:lineRule="exact"/>
        <w:jc w:val="left"/>
        <w:rPr>
          <w:rFonts w:ascii="宋体" w:hAnsi="宋体"/>
          <w:b/>
          <w:color w:val="auto"/>
          <w:szCs w:val="21"/>
        </w:rPr>
      </w:pPr>
      <w:r>
        <w:rPr>
          <w:rFonts w:ascii="宋体" w:hAnsi="宋体"/>
          <w:color w:val="auto"/>
          <w:szCs w:val="21"/>
        </w:rPr>
        <w:br w:type="page"/>
      </w:r>
    </w:p>
    <w:p w14:paraId="73EC0335">
      <w:pPr>
        <w:spacing w:line="400" w:lineRule="exact"/>
        <w:jc w:val="center"/>
        <w:rPr>
          <w:rFonts w:ascii="宋体" w:hAnsi="宋体"/>
          <w:b/>
          <w:color w:val="auto"/>
          <w:szCs w:val="21"/>
        </w:rPr>
      </w:pPr>
      <w:r>
        <w:rPr>
          <w:rFonts w:hint="eastAsia" w:ascii="宋体" w:hAnsi="宋体"/>
          <w:b/>
          <w:color w:val="auto"/>
          <w:szCs w:val="21"/>
        </w:rPr>
        <w:t>C1、开标一览表</w:t>
      </w:r>
    </w:p>
    <w:p w14:paraId="47C25116">
      <w:pPr>
        <w:pStyle w:val="17"/>
        <w:spacing w:line="400" w:lineRule="exact"/>
        <w:ind w:firstLine="0"/>
        <w:rPr>
          <w:rFonts w:ascii="宋体" w:hAnsi="宋体" w:eastAsia="宋体"/>
          <w:color w:val="auto"/>
          <w:sz w:val="21"/>
          <w:szCs w:val="21"/>
        </w:rPr>
      </w:pPr>
    </w:p>
    <w:p w14:paraId="6EAC505D">
      <w:pPr>
        <w:pStyle w:val="17"/>
        <w:spacing w:line="400" w:lineRule="exact"/>
        <w:ind w:firstLine="0"/>
        <w:rPr>
          <w:rFonts w:ascii="宋体" w:hAnsi="宋体" w:eastAsia="宋体"/>
          <w:color w:val="auto"/>
          <w:sz w:val="21"/>
          <w:szCs w:val="21"/>
        </w:rPr>
      </w:pPr>
      <w:r>
        <w:rPr>
          <w:rFonts w:hint="eastAsia" w:ascii="宋体" w:hAnsi="宋体" w:eastAsia="宋体"/>
          <w:color w:val="auto"/>
          <w:sz w:val="21"/>
          <w:szCs w:val="21"/>
        </w:rPr>
        <w:t>项目名称：</w:t>
      </w:r>
      <w:r>
        <w:rPr>
          <w:rFonts w:hint="eastAsia" w:ascii="宋体" w:hAnsi="宋体" w:eastAsia="宋体"/>
          <w:color w:val="auto"/>
          <w:sz w:val="21"/>
          <w:szCs w:val="21"/>
          <w:u w:val="single"/>
        </w:rPr>
        <w:t>宁波前湾新区教育文体和旅游局学生午休垫采购项目</w:t>
      </w:r>
      <w:r>
        <w:rPr>
          <w:rFonts w:hint="eastAsia" w:ascii="宋体" w:hAnsi="宋体" w:eastAsia="宋体"/>
          <w:color w:val="auto"/>
          <w:sz w:val="21"/>
          <w:szCs w:val="21"/>
        </w:rPr>
        <w:t xml:space="preserve">              </w:t>
      </w:r>
    </w:p>
    <w:p w14:paraId="60F41730">
      <w:pPr>
        <w:pStyle w:val="17"/>
        <w:spacing w:line="400" w:lineRule="exact"/>
        <w:ind w:firstLine="0"/>
        <w:rPr>
          <w:rFonts w:ascii="宋体" w:hAnsi="宋体" w:eastAsia="宋体"/>
          <w:color w:val="auto"/>
          <w:sz w:val="21"/>
          <w:szCs w:val="21"/>
          <w:u w:val="single"/>
        </w:rPr>
      </w:pPr>
      <w:r>
        <w:rPr>
          <w:rFonts w:hint="eastAsia" w:ascii="宋体" w:hAnsi="宋体" w:eastAsia="宋体"/>
          <w:color w:val="auto"/>
          <w:sz w:val="21"/>
          <w:szCs w:val="21"/>
        </w:rPr>
        <w:t>采购编号：</w:t>
      </w:r>
      <w:r>
        <w:rPr>
          <w:rFonts w:hint="eastAsia" w:ascii="宋体" w:hAnsi="宋体" w:eastAsia="宋体"/>
          <w:color w:val="auto"/>
          <w:sz w:val="21"/>
          <w:szCs w:val="21"/>
          <w:u w:val="single"/>
        </w:rPr>
        <w:t>QWZFCG25054（NBITC-202510852G）</w:t>
      </w:r>
    </w:p>
    <w:p w14:paraId="4D48C26E">
      <w:pPr>
        <w:pStyle w:val="21"/>
        <w:snapToGrid w:val="0"/>
        <w:spacing w:line="400" w:lineRule="exact"/>
        <w:ind w:firstLine="4515" w:firstLineChars="2150"/>
        <w:rPr>
          <w:color w:val="auto"/>
          <w:sz w:val="21"/>
          <w:szCs w:val="21"/>
        </w:rPr>
      </w:pPr>
      <w:r>
        <w:rPr>
          <w:rFonts w:hint="eastAsia"/>
          <w:color w:val="auto"/>
          <w:sz w:val="21"/>
          <w:szCs w:val="21"/>
        </w:rPr>
        <w:t xml:space="preserve">                      货币单位：人民币（元）</w:t>
      </w:r>
    </w:p>
    <w:tbl>
      <w:tblPr>
        <w:tblStyle w:val="44"/>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268"/>
        <w:gridCol w:w="1984"/>
        <w:gridCol w:w="4038"/>
      </w:tblGrid>
      <w:tr w14:paraId="38AF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06834C9C">
            <w:pPr>
              <w:spacing w:line="400" w:lineRule="exact"/>
              <w:jc w:val="center"/>
              <w:rPr>
                <w:rFonts w:ascii="宋体" w:hAnsi="宋体"/>
                <w:color w:val="auto"/>
                <w:szCs w:val="21"/>
              </w:rPr>
            </w:pPr>
            <w:r>
              <w:rPr>
                <w:rFonts w:hint="eastAsia" w:ascii="宋体" w:hAnsi="宋体"/>
                <w:color w:val="auto"/>
                <w:szCs w:val="21"/>
              </w:rPr>
              <w:t>标项</w:t>
            </w:r>
          </w:p>
        </w:tc>
        <w:tc>
          <w:tcPr>
            <w:tcW w:w="2268" w:type="dxa"/>
            <w:tcBorders>
              <w:top w:val="single" w:color="auto" w:sz="4" w:space="0"/>
              <w:left w:val="single" w:color="auto" w:sz="4" w:space="0"/>
              <w:bottom w:val="single" w:color="auto" w:sz="4" w:space="0"/>
              <w:right w:val="single" w:color="auto" w:sz="4" w:space="0"/>
            </w:tcBorders>
            <w:vAlign w:val="center"/>
          </w:tcPr>
          <w:p w14:paraId="1B2733C7">
            <w:pPr>
              <w:spacing w:line="400" w:lineRule="exact"/>
              <w:jc w:val="center"/>
              <w:rPr>
                <w:rFonts w:ascii="宋体" w:hAnsi="宋体"/>
                <w:color w:val="auto"/>
                <w:szCs w:val="21"/>
              </w:rPr>
            </w:pPr>
            <w:r>
              <w:rPr>
                <w:rFonts w:hint="eastAsia" w:ascii="宋体" w:hAnsi="宋体"/>
                <w:color w:val="auto"/>
                <w:szCs w:val="21"/>
              </w:rPr>
              <w:t>标项名称</w:t>
            </w:r>
          </w:p>
        </w:tc>
        <w:tc>
          <w:tcPr>
            <w:tcW w:w="1984" w:type="dxa"/>
            <w:tcBorders>
              <w:top w:val="single" w:color="auto" w:sz="4" w:space="0"/>
              <w:left w:val="single" w:color="auto" w:sz="4" w:space="0"/>
              <w:bottom w:val="single" w:color="auto" w:sz="4" w:space="0"/>
              <w:right w:val="single" w:color="auto" w:sz="4" w:space="0"/>
            </w:tcBorders>
            <w:vAlign w:val="center"/>
          </w:tcPr>
          <w:p w14:paraId="79FCF121">
            <w:pPr>
              <w:spacing w:line="400" w:lineRule="exact"/>
              <w:jc w:val="center"/>
              <w:rPr>
                <w:rFonts w:ascii="宋体" w:hAnsi="宋体"/>
                <w:color w:val="auto"/>
                <w:szCs w:val="21"/>
              </w:rPr>
            </w:pPr>
            <w:r>
              <w:rPr>
                <w:rFonts w:hint="eastAsia" w:ascii="宋体" w:hAnsi="宋体"/>
                <w:color w:val="auto"/>
                <w:szCs w:val="21"/>
              </w:rPr>
              <w:t>数量</w:t>
            </w:r>
          </w:p>
        </w:tc>
        <w:tc>
          <w:tcPr>
            <w:tcW w:w="4038" w:type="dxa"/>
            <w:tcBorders>
              <w:top w:val="single" w:color="auto" w:sz="4" w:space="0"/>
              <w:left w:val="single" w:color="auto" w:sz="4" w:space="0"/>
              <w:bottom w:val="single" w:color="auto" w:sz="4" w:space="0"/>
              <w:right w:val="single" w:color="auto" w:sz="4" w:space="0"/>
            </w:tcBorders>
            <w:vAlign w:val="center"/>
          </w:tcPr>
          <w:p w14:paraId="11D667C9">
            <w:pPr>
              <w:pStyle w:val="17"/>
              <w:spacing w:line="400" w:lineRule="exact"/>
              <w:ind w:firstLine="0"/>
              <w:jc w:val="center"/>
              <w:rPr>
                <w:rFonts w:ascii="宋体" w:hAnsi="宋体" w:eastAsia="宋体"/>
                <w:color w:val="auto"/>
                <w:sz w:val="21"/>
                <w:szCs w:val="21"/>
              </w:rPr>
            </w:pPr>
            <w:r>
              <w:rPr>
                <w:rFonts w:hint="eastAsia" w:ascii="宋体" w:hAnsi="宋体" w:eastAsia="宋体"/>
                <w:color w:val="auto"/>
                <w:sz w:val="21"/>
                <w:szCs w:val="21"/>
              </w:rPr>
              <w:t>投标报价</w:t>
            </w:r>
          </w:p>
        </w:tc>
      </w:tr>
      <w:tr w14:paraId="53FD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55B485A7">
            <w:pPr>
              <w:spacing w:line="400" w:lineRule="exact"/>
              <w:jc w:val="center"/>
              <w:rPr>
                <w:rFonts w:ascii="宋体" w:hAnsi="宋体"/>
                <w:color w:val="auto"/>
                <w:szCs w:val="21"/>
              </w:rPr>
            </w:pPr>
            <w:r>
              <w:rPr>
                <w:rFonts w:hint="eastAsia" w:ascii="宋体" w:hAnsi="宋体"/>
                <w:color w:val="auto"/>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35986FA3">
            <w:pPr>
              <w:spacing w:line="400" w:lineRule="exact"/>
              <w:jc w:val="center"/>
              <w:rPr>
                <w:rFonts w:ascii="宋体" w:hAnsi="宋体"/>
                <w:color w:val="auto"/>
                <w:szCs w:val="21"/>
              </w:rPr>
            </w:pPr>
            <w:r>
              <w:rPr>
                <w:rFonts w:hint="eastAsia" w:ascii="宋体" w:hAnsi="宋体"/>
                <w:color w:val="auto"/>
                <w:szCs w:val="21"/>
              </w:rPr>
              <w:t>学生午休垫</w:t>
            </w:r>
          </w:p>
        </w:tc>
        <w:tc>
          <w:tcPr>
            <w:tcW w:w="1984" w:type="dxa"/>
            <w:tcBorders>
              <w:top w:val="single" w:color="auto" w:sz="4" w:space="0"/>
              <w:left w:val="single" w:color="auto" w:sz="4" w:space="0"/>
              <w:bottom w:val="single" w:color="auto" w:sz="4" w:space="0"/>
              <w:right w:val="single" w:color="auto" w:sz="4" w:space="0"/>
            </w:tcBorders>
            <w:vAlign w:val="center"/>
          </w:tcPr>
          <w:p w14:paraId="0256C6AF">
            <w:pPr>
              <w:spacing w:line="400" w:lineRule="exact"/>
              <w:jc w:val="center"/>
              <w:rPr>
                <w:rFonts w:ascii="宋体" w:hAnsi="宋体"/>
                <w:color w:val="auto"/>
                <w:szCs w:val="21"/>
              </w:rPr>
            </w:pPr>
            <w:r>
              <w:rPr>
                <w:rFonts w:ascii="宋体" w:hAnsi="宋体"/>
                <w:color w:val="auto"/>
                <w:szCs w:val="21"/>
              </w:rPr>
              <w:t>8119</w:t>
            </w:r>
            <w:r>
              <w:rPr>
                <w:rFonts w:hint="eastAsia" w:ascii="宋体" w:hAnsi="宋体"/>
                <w:color w:val="auto"/>
                <w:szCs w:val="21"/>
              </w:rPr>
              <w:t>件</w:t>
            </w:r>
          </w:p>
        </w:tc>
        <w:tc>
          <w:tcPr>
            <w:tcW w:w="4038" w:type="dxa"/>
            <w:tcBorders>
              <w:top w:val="single" w:color="auto" w:sz="4" w:space="0"/>
              <w:left w:val="single" w:color="auto" w:sz="4" w:space="0"/>
              <w:bottom w:val="single" w:color="auto" w:sz="4" w:space="0"/>
              <w:right w:val="single" w:color="auto" w:sz="4" w:space="0"/>
            </w:tcBorders>
            <w:vAlign w:val="center"/>
          </w:tcPr>
          <w:p w14:paraId="5A133086">
            <w:pPr>
              <w:spacing w:line="400" w:lineRule="exact"/>
              <w:jc w:val="center"/>
              <w:rPr>
                <w:rFonts w:ascii="宋体" w:hAnsi="宋体"/>
                <w:color w:val="auto"/>
                <w:szCs w:val="21"/>
              </w:rPr>
            </w:pPr>
          </w:p>
          <w:p w14:paraId="6F98728E">
            <w:pPr>
              <w:spacing w:line="400" w:lineRule="exact"/>
              <w:jc w:val="center"/>
              <w:rPr>
                <w:rFonts w:ascii="宋体" w:hAnsi="宋体"/>
                <w:color w:val="auto"/>
                <w:szCs w:val="21"/>
              </w:rPr>
            </w:pPr>
            <w:r>
              <w:rPr>
                <w:rFonts w:hint="eastAsia" w:ascii="宋体" w:hAnsi="宋体"/>
                <w:color w:val="auto"/>
                <w:szCs w:val="21"/>
              </w:rPr>
              <w:t>小写：___________________元</w:t>
            </w:r>
          </w:p>
          <w:p w14:paraId="386803B9">
            <w:pPr>
              <w:spacing w:line="400" w:lineRule="exact"/>
              <w:jc w:val="center"/>
              <w:rPr>
                <w:rFonts w:ascii="宋体" w:hAnsi="宋体"/>
                <w:color w:val="auto"/>
                <w:szCs w:val="21"/>
              </w:rPr>
            </w:pPr>
          </w:p>
          <w:p w14:paraId="26510A2D">
            <w:pPr>
              <w:spacing w:line="400" w:lineRule="exact"/>
              <w:jc w:val="center"/>
              <w:rPr>
                <w:rFonts w:ascii="宋体" w:hAnsi="宋体"/>
                <w:color w:val="auto"/>
                <w:szCs w:val="21"/>
              </w:rPr>
            </w:pPr>
            <w:r>
              <w:rPr>
                <w:rFonts w:hint="eastAsia" w:ascii="宋体" w:hAnsi="宋体"/>
                <w:color w:val="auto"/>
                <w:szCs w:val="21"/>
              </w:rPr>
              <w:t>大写：__________________元</w:t>
            </w:r>
          </w:p>
          <w:p w14:paraId="513463AD">
            <w:pPr>
              <w:spacing w:line="400" w:lineRule="exact"/>
              <w:jc w:val="center"/>
              <w:rPr>
                <w:rFonts w:ascii="宋体" w:hAnsi="宋体"/>
                <w:color w:val="auto"/>
                <w:szCs w:val="21"/>
              </w:rPr>
            </w:pPr>
          </w:p>
        </w:tc>
      </w:tr>
    </w:tbl>
    <w:p w14:paraId="375263ED">
      <w:pPr>
        <w:snapToGrid w:val="0"/>
        <w:spacing w:line="400" w:lineRule="exact"/>
        <w:rPr>
          <w:rFonts w:ascii="宋体" w:hAnsi="宋体"/>
          <w:color w:val="auto"/>
          <w:szCs w:val="21"/>
        </w:rPr>
      </w:pPr>
      <w:r>
        <w:rPr>
          <w:rFonts w:hint="eastAsia" w:ascii="宋体" w:hAnsi="宋体"/>
          <w:color w:val="auto"/>
          <w:szCs w:val="21"/>
        </w:rPr>
        <w:t>注：本表所填内容与政采云系统“开标一览表”中录入的内容不一致的，以上传的盖章版投标文件中本表所填内容为准。</w:t>
      </w:r>
    </w:p>
    <w:p w14:paraId="13E35DFA">
      <w:pPr>
        <w:snapToGrid w:val="0"/>
        <w:spacing w:line="400" w:lineRule="exact"/>
        <w:rPr>
          <w:rFonts w:ascii="宋体" w:hAnsi="宋体"/>
          <w:color w:val="auto"/>
          <w:szCs w:val="21"/>
          <w:u w:val="single"/>
        </w:rPr>
      </w:pPr>
    </w:p>
    <w:p w14:paraId="3DF7E01C">
      <w:pPr>
        <w:snapToGrid w:val="0"/>
        <w:spacing w:line="400" w:lineRule="exact"/>
        <w:rPr>
          <w:rFonts w:ascii="宋体" w:hAnsi="宋体"/>
          <w:color w:val="auto"/>
          <w:szCs w:val="21"/>
          <w:u w:val="single"/>
        </w:rPr>
      </w:pPr>
    </w:p>
    <w:p w14:paraId="578AC30E">
      <w:pPr>
        <w:snapToGrid w:val="0"/>
        <w:spacing w:line="400" w:lineRule="exact"/>
        <w:rPr>
          <w:rFonts w:ascii="宋体" w:hAnsi="宋体"/>
          <w:color w:val="auto"/>
          <w:szCs w:val="21"/>
          <w:u w:val="single"/>
        </w:rPr>
      </w:pPr>
    </w:p>
    <w:p w14:paraId="6A17AED7">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p>
    <w:p w14:paraId="784935CC">
      <w:pPr>
        <w:spacing w:line="400" w:lineRule="exact"/>
        <w:jc w:val="left"/>
        <w:rPr>
          <w:rFonts w:ascii="宋体" w:hAnsi="宋体"/>
          <w:color w:val="auto"/>
          <w:szCs w:val="21"/>
        </w:rPr>
      </w:pPr>
      <w:r>
        <w:rPr>
          <w:rFonts w:hint="eastAsia" w:ascii="宋体" w:hAnsi="宋体"/>
          <w:color w:val="auto"/>
          <w:szCs w:val="21"/>
        </w:rPr>
        <w:t>日            期：</w:t>
      </w:r>
      <w:r>
        <w:rPr>
          <w:rFonts w:ascii="宋体" w:hAnsi="宋体"/>
          <w:color w:val="auto"/>
          <w:szCs w:val="21"/>
        </w:rPr>
        <w:t xml:space="preserve">                  </w:t>
      </w:r>
      <w:r>
        <w:rPr>
          <w:rFonts w:hint="eastAsia" w:ascii="宋体" w:hAnsi="宋体"/>
          <w:color w:val="auto"/>
          <w:szCs w:val="21"/>
        </w:rPr>
        <w:t xml:space="preserve">          </w:t>
      </w:r>
    </w:p>
    <w:p w14:paraId="63B5958E">
      <w:pPr>
        <w:spacing w:line="400" w:lineRule="exact"/>
        <w:jc w:val="left"/>
        <w:rPr>
          <w:rFonts w:ascii="宋体" w:hAnsi="宋体"/>
          <w:color w:val="auto"/>
          <w:szCs w:val="21"/>
        </w:rPr>
      </w:pPr>
    </w:p>
    <w:p w14:paraId="7B3A8BBB">
      <w:pPr>
        <w:spacing w:line="400" w:lineRule="exact"/>
        <w:jc w:val="left"/>
        <w:rPr>
          <w:rFonts w:ascii="宋体" w:hAnsi="宋体"/>
          <w:color w:val="auto"/>
          <w:szCs w:val="21"/>
        </w:rPr>
      </w:pPr>
    </w:p>
    <w:p w14:paraId="6011D21A">
      <w:pPr>
        <w:spacing w:line="400" w:lineRule="exact"/>
        <w:jc w:val="left"/>
        <w:rPr>
          <w:rFonts w:ascii="宋体" w:hAnsi="宋体"/>
          <w:color w:val="auto"/>
          <w:szCs w:val="21"/>
        </w:rPr>
      </w:pPr>
      <w:r>
        <w:rPr>
          <w:rFonts w:hint="eastAsia" w:ascii="宋体" w:hAnsi="宋体"/>
          <w:color w:val="auto"/>
          <w:szCs w:val="21"/>
        </w:rPr>
        <w:t xml:space="preserve"> </w:t>
      </w:r>
    </w:p>
    <w:p w14:paraId="6FFFEBA5">
      <w:pPr>
        <w:spacing w:line="400" w:lineRule="exact"/>
        <w:jc w:val="left"/>
        <w:rPr>
          <w:rFonts w:ascii="宋体" w:hAnsi="宋体"/>
          <w:color w:val="auto"/>
          <w:szCs w:val="21"/>
        </w:rPr>
        <w:sectPr>
          <w:headerReference r:id="rId12" w:type="default"/>
          <w:footerReference r:id="rId13" w:type="default"/>
          <w:pgSz w:w="11907" w:h="16840"/>
          <w:pgMar w:top="1138" w:right="1588" w:bottom="1135" w:left="1339" w:header="285" w:footer="990" w:gutter="0"/>
          <w:cols w:space="720" w:num="1"/>
          <w:docGrid w:linePitch="285" w:charSpace="0"/>
        </w:sectPr>
      </w:pPr>
    </w:p>
    <w:p w14:paraId="7AEF71A8">
      <w:pPr>
        <w:spacing w:line="400" w:lineRule="exact"/>
        <w:jc w:val="center"/>
        <w:rPr>
          <w:b/>
          <w:color w:val="auto"/>
          <w:szCs w:val="21"/>
        </w:rPr>
      </w:pPr>
      <w:r>
        <w:rPr>
          <w:rFonts w:hint="eastAsia" w:ascii="宋体" w:hAnsi="宋体"/>
          <w:b/>
          <w:color w:val="auto"/>
          <w:szCs w:val="21"/>
        </w:rPr>
        <w:t>C2、</w:t>
      </w:r>
      <w:r>
        <w:rPr>
          <w:rFonts w:hint="eastAsia"/>
          <w:b/>
          <w:color w:val="auto"/>
          <w:szCs w:val="21"/>
        </w:rPr>
        <w:t>分项报价表</w:t>
      </w:r>
    </w:p>
    <w:p w14:paraId="3123D9DD">
      <w:pPr>
        <w:pStyle w:val="17"/>
        <w:spacing w:line="400" w:lineRule="exact"/>
        <w:ind w:firstLine="420" w:firstLineChars="200"/>
        <w:rPr>
          <w:rFonts w:asciiTheme="minorEastAsia" w:hAnsiTheme="minorEastAsia" w:eastAsiaTheme="minorEastAsia"/>
          <w:color w:val="auto"/>
          <w:sz w:val="21"/>
          <w:szCs w:val="21"/>
        </w:rPr>
      </w:pPr>
    </w:p>
    <w:p w14:paraId="0851D0B5">
      <w:pPr>
        <w:pStyle w:val="17"/>
        <w:spacing w:line="40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u w:val="single"/>
        </w:rPr>
        <w:t>宁波前湾新区教育文体和旅游局学生午休垫采购项目</w:t>
      </w:r>
      <w:r>
        <w:rPr>
          <w:rFonts w:hint="eastAsia" w:asciiTheme="minorEastAsia" w:hAnsiTheme="minorEastAsia" w:eastAsiaTheme="minorEastAsia"/>
          <w:color w:val="auto"/>
          <w:sz w:val="21"/>
          <w:szCs w:val="21"/>
        </w:rPr>
        <w:t xml:space="preserve"> </w:t>
      </w:r>
    </w:p>
    <w:p w14:paraId="6803F2EA">
      <w:pPr>
        <w:pStyle w:val="17"/>
        <w:spacing w:line="400" w:lineRule="exact"/>
        <w:ind w:firstLine="420" w:firstLineChars="20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采购编号：</w:t>
      </w:r>
      <w:r>
        <w:rPr>
          <w:rFonts w:hint="eastAsia" w:asciiTheme="minorEastAsia" w:hAnsiTheme="minorEastAsia" w:eastAsiaTheme="minorEastAsia"/>
          <w:color w:val="auto"/>
          <w:sz w:val="21"/>
          <w:szCs w:val="21"/>
          <w:u w:val="single"/>
        </w:rPr>
        <w:t>QWZFCG25054（NBITC-202510852G）</w:t>
      </w:r>
    </w:p>
    <w:p w14:paraId="65C061FF">
      <w:pPr>
        <w:pStyle w:val="17"/>
        <w:spacing w:line="400" w:lineRule="exact"/>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货币单位：人民币元</w:t>
      </w:r>
    </w:p>
    <w:tbl>
      <w:tblPr>
        <w:tblStyle w:val="44"/>
        <w:tblW w:w="9002" w:type="dxa"/>
        <w:jc w:val="center"/>
        <w:tblLayout w:type="autofit"/>
        <w:tblCellMar>
          <w:top w:w="0" w:type="dxa"/>
          <w:left w:w="0" w:type="dxa"/>
          <w:bottom w:w="0" w:type="dxa"/>
          <w:right w:w="0" w:type="dxa"/>
        </w:tblCellMar>
      </w:tblPr>
      <w:tblGrid>
        <w:gridCol w:w="720"/>
        <w:gridCol w:w="2268"/>
        <w:gridCol w:w="851"/>
        <w:gridCol w:w="850"/>
        <w:gridCol w:w="1078"/>
        <w:gridCol w:w="1078"/>
        <w:gridCol w:w="1078"/>
        <w:gridCol w:w="1079"/>
      </w:tblGrid>
      <w:tr w14:paraId="7878EC89">
        <w:tblPrEx>
          <w:tblCellMar>
            <w:top w:w="0" w:type="dxa"/>
            <w:left w:w="0" w:type="dxa"/>
            <w:bottom w:w="0" w:type="dxa"/>
            <w:right w:w="0" w:type="dxa"/>
          </w:tblCellMar>
        </w:tblPrEx>
        <w:trPr>
          <w:trHeight w:val="567" w:hRule="atLeast"/>
          <w:jc w:val="center"/>
        </w:trPr>
        <w:tc>
          <w:tcPr>
            <w:tcW w:w="720" w:type="dxa"/>
            <w:tcBorders>
              <w:top w:val="single" w:color="000000" w:sz="8" w:space="0"/>
              <w:left w:val="single" w:color="000000" w:sz="8" w:space="0"/>
              <w:right w:val="single" w:color="000000" w:sz="8" w:space="0"/>
            </w:tcBorders>
            <w:tcMar>
              <w:top w:w="12" w:type="dxa"/>
              <w:left w:w="12" w:type="dxa"/>
              <w:right w:w="12" w:type="dxa"/>
            </w:tcMar>
            <w:vAlign w:val="center"/>
          </w:tcPr>
          <w:p w14:paraId="76BF5FC6">
            <w:pPr>
              <w:widowControl/>
              <w:spacing w:line="400" w:lineRule="exact"/>
              <w:jc w:val="center"/>
              <w:textAlignment w:val="center"/>
              <w:rPr>
                <w:rFonts w:cs="仿宋" w:asciiTheme="minorEastAsia" w:hAnsiTheme="minorEastAsia" w:eastAsiaTheme="minorEastAsia"/>
                <w:b/>
                <w:color w:val="auto"/>
                <w:szCs w:val="21"/>
              </w:rPr>
            </w:pPr>
            <w:r>
              <w:rPr>
                <w:rFonts w:hint="eastAsia" w:cs="仿宋" w:asciiTheme="minorEastAsia" w:hAnsiTheme="minorEastAsia" w:eastAsiaTheme="minorEastAsia"/>
                <w:b/>
                <w:bCs/>
                <w:color w:val="auto"/>
                <w:kern w:val="0"/>
                <w:szCs w:val="21"/>
              </w:rPr>
              <w:t>序号</w:t>
            </w:r>
          </w:p>
        </w:tc>
        <w:tc>
          <w:tcPr>
            <w:tcW w:w="2268" w:type="dxa"/>
            <w:tcBorders>
              <w:top w:val="single" w:color="000000" w:sz="8" w:space="0"/>
              <w:left w:val="nil"/>
              <w:right w:val="single" w:color="000000" w:sz="8" w:space="0"/>
            </w:tcBorders>
            <w:tcMar>
              <w:top w:w="12" w:type="dxa"/>
              <w:left w:w="12" w:type="dxa"/>
              <w:right w:w="12" w:type="dxa"/>
            </w:tcMar>
            <w:vAlign w:val="center"/>
          </w:tcPr>
          <w:p w14:paraId="5E4FADAD">
            <w:pPr>
              <w:widowControl/>
              <w:spacing w:line="400" w:lineRule="exact"/>
              <w:jc w:val="center"/>
              <w:textAlignment w:val="center"/>
              <w:rPr>
                <w:rFonts w:cs="仿宋" w:asciiTheme="minorEastAsia" w:hAnsiTheme="minorEastAsia" w:eastAsiaTheme="minorEastAsia"/>
                <w:b/>
                <w:color w:val="auto"/>
                <w:szCs w:val="21"/>
              </w:rPr>
            </w:pPr>
            <w:r>
              <w:rPr>
                <w:rFonts w:hint="eastAsia" w:cs="仿宋" w:asciiTheme="minorEastAsia" w:hAnsiTheme="minorEastAsia" w:eastAsiaTheme="minorEastAsia"/>
                <w:b/>
                <w:bCs/>
                <w:color w:val="auto"/>
                <w:kern w:val="0"/>
                <w:szCs w:val="21"/>
              </w:rPr>
              <w:t>货物名称</w:t>
            </w:r>
          </w:p>
        </w:tc>
        <w:tc>
          <w:tcPr>
            <w:tcW w:w="851" w:type="dxa"/>
            <w:tcBorders>
              <w:top w:val="single" w:color="000000" w:sz="8" w:space="0"/>
              <w:left w:val="nil"/>
              <w:bottom w:val="nil"/>
              <w:right w:val="single" w:color="000000" w:sz="8" w:space="0"/>
            </w:tcBorders>
            <w:vAlign w:val="center"/>
          </w:tcPr>
          <w:p w14:paraId="7F3C2402">
            <w:pPr>
              <w:widowControl/>
              <w:spacing w:line="400" w:lineRule="exact"/>
              <w:jc w:val="center"/>
              <w:textAlignment w:val="center"/>
              <w:rPr>
                <w:rFonts w:cs="仿宋" w:asciiTheme="minorEastAsia" w:hAnsiTheme="minorEastAsia" w:eastAsiaTheme="minorEastAsia"/>
                <w:b/>
                <w:color w:val="auto"/>
                <w:szCs w:val="21"/>
              </w:rPr>
            </w:pPr>
            <w:r>
              <w:rPr>
                <w:rFonts w:hint="eastAsia" w:cs="仿宋" w:asciiTheme="minorEastAsia" w:hAnsiTheme="minorEastAsia" w:eastAsiaTheme="minorEastAsia"/>
                <w:b/>
                <w:color w:val="auto"/>
                <w:szCs w:val="21"/>
              </w:rPr>
              <w:t>数量</w:t>
            </w:r>
          </w:p>
        </w:tc>
        <w:tc>
          <w:tcPr>
            <w:tcW w:w="850" w:type="dxa"/>
            <w:tcBorders>
              <w:top w:val="single" w:color="000000" w:sz="8" w:space="0"/>
              <w:left w:val="nil"/>
              <w:right w:val="single" w:color="000000" w:sz="8" w:space="0"/>
            </w:tcBorders>
            <w:tcMar>
              <w:top w:w="12" w:type="dxa"/>
              <w:left w:w="12" w:type="dxa"/>
              <w:right w:w="12" w:type="dxa"/>
            </w:tcMar>
            <w:vAlign w:val="center"/>
          </w:tcPr>
          <w:p w14:paraId="3799441E">
            <w:pPr>
              <w:widowControl/>
              <w:spacing w:line="400" w:lineRule="exact"/>
              <w:jc w:val="center"/>
              <w:textAlignment w:val="center"/>
              <w:rPr>
                <w:rFonts w:cs="仿宋" w:asciiTheme="minorEastAsia" w:hAnsiTheme="minorEastAsia" w:eastAsiaTheme="minorEastAsia"/>
                <w:b/>
                <w:color w:val="auto"/>
                <w:szCs w:val="21"/>
              </w:rPr>
            </w:pPr>
            <w:r>
              <w:rPr>
                <w:rFonts w:hint="eastAsia" w:cs="仿宋" w:asciiTheme="minorEastAsia" w:hAnsiTheme="minorEastAsia" w:eastAsiaTheme="minorEastAsia"/>
                <w:b/>
                <w:bCs/>
                <w:color w:val="auto"/>
                <w:kern w:val="0"/>
                <w:szCs w:val="21"/>
              </w:rPr>
              <w:t>单位</w:t>
            </w:r>
          </w:p>
        </w:tc>
        <w:tc>
          <w:tcPr>
            <w:tcW w:w="1078" w:type="dxa"/>
            <w:tcBorders>
              <w:top w:val="single" w:color="000000" w:sz="8" w:space="0"/>
              <w:left w:val="nil"/>
              <w:right w:val="single" w:color="000000" w:sz="8" w:space="0"/>
            </w:tcBorders>
            <w:vAlign w:val="center"/>
          </w:tcPr>
          <w:p w14:paraId="1683C403">
            <w:pPr>
              <w:widowControl/>
              <w:spacing w:line="400" w:lineRule="exact"/>
              <w:jc w:val="center"/>
              <w:textAlignment w:val="center"/>
              <w:rPr>
                <w:rFonts w:cs="仿宋" w:asciiTheme="minorEastAsia" w:hAnsiTheme="minorEastAsia" w:eastAsiaTheme="minorEastAsia"/>
                <w:b/>
                <w:bCs/>
                <w:color w:val="auto"/>
                <w:kern w:val="0"/>
                <w:szCs w:val="21"/>
              </w:rPr>
            </w:pPr>
            <w:r>
              <w:rPr>
                <w:rFonts w:hint="eastAsia" w:cs="仿宋" w:asciiTheme="minorEastAsia" w:hAnsiTheme="minorEastAsia" w:eastAsiaTheme="minorEastAsia"/>
                <w:b/>
                <w:bCs/>
                <w:color w:val="auto"/>
                <w:kern w:val="0"/>
                <w:szCs w:val="21"/>
              </w:rPr>
              <w:t>产地品牌</w:t>
            </w:r>
          </w:p>
        </w:tc>
        <w:tc>
          <w:tcPr>
            <w:tcW w:w="1078" w:type="dxa"/>
            <w:tcBorders>
              <w:top w:val="single" w:color="000000" w:sz="8" w:space="0"/>
              <w:left w:val="nil"/>
              <w:right w:val="single" w:color="000000" w:sz="8" w:space="0"/>
            </w:tcBorders>
            <w:vAlign w:val="center"/>
          </w:tcPr>
          <w:p w14:paraId="26E88829">
            <w:pPr>
              <w:widowControl/>
              <w:spacing w:line="400" w:lineRule="exact"/>
              <w:jc w:val="center"/>
              <w:textAlignment w:val="center"/>
              <w:rPr>
                <w:rFonts w:cs="仿宋" w:asciiTheme="minorEastAsia" w:hAnsiTheme="minorEastAsia" w:eastAsiaTheme="minorEastAsia"/>
                <w:b/>
                <w:bCs/>
                <w:color w:val="auto"/>
                <w:kern w:val="0"/>
                <w:szCs w:val="21"/>
              </w:rPr>
            </w:pPr>
            <w:r>
              <w:rPr>
                <w:rFonts w:hint="eastAsia" w:cs="仿宋" w:asciiTheme="minorEastAsia" w:hAnsiTheme="minorEastAsia" w:eastAsiaTheme="minorEastAsia"/>
                <w:b/>
                <w:bCs/>
                <w:color w:val="auto"/>
                <w:kern w:val="0"/>
                <w:szCs w:val="21"/>
              </w:rPr>
              <w:t>规格型号</w:t>
            </w:r>
          </w:p>
        </w:tc>
        <w:tc>
          <w:tcPr>
            <w:tcW w:w="1078" w:type="dxa"/>
            <w:tcBorders>
              <w:top w:val="single" w:color="000000" w:sz="8" w:space="0"/>
              <w:left w:val="nil"/>
              <w:right w:val="single" w:color="000000" w:sz="8" w:space="0"/>
            </w:tcBorders>
            <w:vAlign w:val="center"/>
          </w:tcPr>
          <w:p w14:paraId="0E40482F">
            <w:pPr>
              <w:widowControl/>
              <w:spacing w:line="400" w:lineRule="exact"/>
              <w:jc w:val="center"/>
              <w:textAlignment w:val="center"/>
              <w:rPr>
                <w:rFonts w:cs="仿宋" w:asciiTheme="minorEastAsia" w:hAnsiTheme="minorEastAsia" w:eastAsiaTheme="minorEastAsia"/>
                <w:b/>
                <w:bCs/>
                <w:color w:val="auto"/>
                <w:kern w:val="0"/>
                <w:szCs w:val="21"/>
              </w:rPr>
            </w:pPr>
            <w:r>
              <w:rPr>
                <w:rFonts w:hint="eastAsia" w:cs="仿宋" w:asciiTheme="minorEastAsia" w:hAnsiTheme="minorEastAsia" w:eastAsiaTheme="minorEastAsia"/>
                <w:b/>
                <w:bCs/>
                <w:color w:val="auto"/>
                <w:kern w:val="0"/>
                <w:szCs w:val="21"/>
              </w:rPr>
              <w:t>综合单价</w:t>
            </w:r>
          </w:p>
        </w:tc>
        <w:tc>
          <w:tcPr>
            <w:tcW w:w="1079" w:type="dxa"/>
            <w:tcBorders>
              <w:top w:val="single" w:color="000000" w:sz="8" w:space="0"/>
              <w:left w:val="nil"/>
              <w:right w:val="single" w:color="000000" w:sz="8" w:space="0"/>
            </w:tcBorders>
            <w:vAlign w:val="center"/>
          </w:tcPr>
          <w:p w14:paraId="48FA6657">
            <w:pPr>
              <w:widowControl/>
              <w:spacing w:line="400" w:lineRule="exact"/>
              <w:jc w:val="center"/>
              <w:textAlignment w:val="center"/>
              <w:rPr>
                <w:rFonts w:cs="仿宋" w:asciiTheme="minorEastAsia" w:hAnsiTheme="minorEastAsia" w:eastAsiaTheme="minorEastAsia"/>
                <w:b/>
                <w:snapToGrid w:val="0"/>
                <w:color w:val="auto"/>
                <w:kern w:val="0"/>
                <w:szCs w:val="21"/>
              </w:rPr>
            </w:pPr>
            <w:r>
              <w:rPr>
                <w:rFonts w:hint="eastAsia" w:cs="仿宋" w:asciiTheme="minorEastAsia" w:hAnsiTheme="minorEastAsia" w:eastAsiaTheme="minorEastAsia"/>
                <w:b/>
                <w:snapToGrid w:val="0"/>
                <w:color w:val="auto"/>
                <w:kern w:val="0"/>
                <w:szCs w:val="21"/>
              </w:rPr>
              <w:t>合计</w:t>
            </w:r>
          </w:p>
        </w:tc>
      </w:tr>
      <w:tr w14:paraId="7EAFE018">
        <w:tblPrEx>
          <w:tblCellMar>
            <w:top w:w="0" w:type="dxa"/>
            <w:left w:w="0" w:type="dxa"/>
            <w:bottom w:w="0" w:type="dxa"/>
            <w:right w:w="0" w:type="dxa"/>
          </w:tblCellMar>
        </w:tblPrEx>
        <w:trPr>
          <w:trHeight w:val="567" w:hRule="atLeast"/>
          <w:jc w:val="center"/>
        </w:trPr>
        <w:tc>
          <w:tcPr>
            <w:tcW w:w="72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14:paraId="732724DA">
            <w:pPr>
              <w:widowControl/>
              <w:spacing w:line="400" w:lineRule="exact"/>
              <w:jc w:val="center"/>
              <w:textAlignment w:val="center"/>
              <w:rPr>
                <w:rFonts w:cs="仿宋" w:asciiTheme="minorEastAsia" w:hAnsiTheme="minorEastAsia" w:eastAsiaTheme="minorEastAsia"/>
                <w:snapToGrid w:val="0"/>
                <w:color w:val="auto"/>
                <w:kern w:val="0"/>
                <w:szCs w:val="21"/>
              </w:rPr>
            </w:pPr>
            <w:r>
              <w:rPr>
                <w:rFonts w:hint="eastAsia" w:cs="仿宋" w:asciiTheme="minorEastAsia" w:hAnsiTheme="minorEastAsia" w:eastAsiaTheme="minorEastAsia"/>
                <w:snapToGrid w:val="0"/>
                <w:color w:val="auto"/>
                <w:kern w:val="0"/>
                <w:szCs w:val="21"/>
              </w:rPr>
              <w:t>1</w:t>
            </w:r>
          </w:p>
        </w:tc>
        <w:tc>
          <w:tcPr>
            <w:tcW w:w="2268"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14:paraId="63803FE3">
            <w:pPr>
              <w:widowControl/>
              <w:spacing w:line="400" w:lineRule="exact"/>
              <w:jc w:val="center"/>
              <w:textAlignment w:val="center"/>
              <w:rPr>
                <w:rFonts w:cs="仿宋" w:asciiTheme="minorEastAsia" w:hAnsiTheme="minorEastAsia" w:eastAsiaTheme="minorEastAsia"/>
                <w:snapToGrid w:val="0"/>
                <w:color w:val="auto"/>
                <w:kern w:val="0"/>
                <w:szCs w:val="21"/>
              </w:rPr>
            </w:pPr>
            <w:r>
              <w:rPr>
                <w:rFonts w:hint="eastAsia" w:cs="仿宋" w:asciiTheme="minorEastAsia" w:hAnsiTheme="minorEastAsia" w:eastAsiaTheme="minorEastAsia"/>
                <w:snapToGrid w:val="0"/>
                <w:color w:val="auto"/>
                <w:kern w:val="0"/>
                <w:szCs w:val="21"/>
              </w:rPr>
              <w:t>学生午休垫</w:t>
            </w:r>
          </w:p>
        </w:tc>
        <w:tc>
          <w:tcPr>
            <w:tcW w:w="851" w:type="dxa"/>
            <w:tcBorders>
              <w:top w:val="single" w:color="000000" w:sz="8" w:space="0"/>
              <w:left w:val="single" w:color="auto" w:sz="4" w:space="0"/>
              <w:bottom w:val="single" w:color="000000" w:sz="8" w:space="0"/>
              <w:right w:val="single" w:color="000000" w:sz="8" w:space="0"/>
            </w:tcBorders>
            <w:vAlign w:val="center"/>
          </w:tcPr>
          <w:p w14:paraId="29BCE2EA">
            <w:pPr>
              <w:widowControl/>
              <w:spacing w:line="400" w:lineRule="exact"/>
              <w:jc w:val="center"/>
              <w:textAlignment w:val="center"/>
              <w:rPr>
                <w:rFonts w:cs="仿宋" w:asciiTheme="minorEastAsia" w:hAnsiTheme="minorEastAsia" w:eastAsiaTheme="minorEastAsia"/>
                <w:snapToGrid w:val="0"/>
                <w:color w:val="auto"/>
                <w:kern w:val="0"/>
                <w:szCs w:val="21"/>
              </w:rPr>
            </w:pPr>
            <w:r>
              <w:rPr>
                <w:rFonts w:hint="eastAsia" w:cs="仿宋" w:asciiTheme="minorEastAsia" w:hAnsiTheme="minorEastAsia" w:eastAsiaTheme="minorEastAsia"/>
                <w:snapToGrid w:val="0"/>
                <w:color w:val="auto"/>
                <w:kern w:val="0"/>
                <w:szCs w:val="21"/>
              </w:rPr>
              <w:t>8119</w:t>
            </w:r>
          </w:p>
        </w:tc>
        <w:tc>
          <w:tcPr>
            <w:tcW w:w="8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14:paraId="1DD4642F">
            <w:pPr>
              <w:widowControl/>
              <w:spacing w:line="400" w:lineRule="exact"/>
              <w:jc w:val="center"/>
              <w:textAlignment w:val="center"/>
              <w:rPr>
                <w:rFonts w:cs="仿宋" w:asciiTheme="minorEastAsia" w:hAnsiTheme="minorEastAsia" w:eastAsiaTheme="minorEastAsia"/>
                <w:snapToGrid w:val="0"/>
                <w:color w:val="auto"/>
                <w:kern w:val="0"/>
                <w:szCs w:val="21"/>
              </w:rPr>
            </w:pPr>
            <w:r>
              <w:rPr>
                <w:rFonts w:hint="eastAsia" w:cs="仿宋" w:asciiTheme="minorEastAsia" w:hAnsiTheme="minorEastAsia" w:eastAsiaTheme="minorEastAsia"/>
                <w:snapToGrid w:val="0"/>
                <w:color w:val="auto"/>
                <w:kern w:val="0"/>
                <w:szCs w:val="21"/>
              </w:rPr>
              <w:t>件</w:t>
            </w:r>
          </w:p>
        </w:tc>
        <w:tc>
          <w:tcPr>
            <w:tcW w:w="1078" w:type="dxa"/>
            <w:tcBorders>
              <w:top w:val="single" w:color="000000" w:sz="8" w:space="0"/>
              <w:left w:val="nil"/>
              <w:bottom w:val="single" w:color="000000" w:sz="8" w:space="0"/>
              <w:right w:val="single" w:color="000000" w:sz="8" w:space="0"/>
            </w:tcBorders>
          </w:tcPr>
          <w:p w14:paraId="1065AD20">
            <w:pPr>
              <w:widowControl/>
              <w:spacing w:line="400" w:lineRule="exact"/>
              <w:jc w:val="center"/>
              <w:textAlignment w:val="center"/>
              <w:rPr>
                <w:rFonts w:cs="仿宋" w:asciiTheme="minorEastAsia" w:hAnsiTheme="minorEastAsia" w:eastAsiaTheme="minorEastAsia"/>
                <w:snapToGrid w:val="0"/>
                <w:color w:val="auto"/>
                <w:kern w:val="0"/>
                <w:szCs w:val="21"/>
              </w:rPr>
            </w:pPr>
          </w:p>
        </w:tc>
        <w:tc>
          <w:tcPr>
            <w:tcW w:w="1078" w:type="dxa"/>
            <w:tcBorders>
              <w:top w:val="single" w:color="000000" w:sz="8" w:space="0"/>
              <w:left w:val="nil"/>
              <w:bottom w:val="single" w:color="000000" w:sz="8" w:space="0"/>
              <w:right w:val="single" w:color="000000" w:sz="8" w:space="0"/>
            </w:tcBorders>
          </w:tcPr>
          <w:p w14:paraId="7CEE2549">
            <w:pPr>
              <w:widowControl/>
              <w:spacing w:line="400" w:lineRule="exact"/>
              <w:jc w:val="center"/>
              <w:textAlignment w:val="center"/>
              <w:rPr>
                <w:rFonts w:cs="仿宋" w:asciiTheme="minorEastAsia" w:hAnsiTheme="minorEastAsia" w:eastAsiaTheme="minorEastAsia"/>
                <w:snapToGrid w:val="0"/>
                <w:color w:val="auto"/>
                <w:kern w:val="0"/>
                <w:szCs w:val="21"/>
              </w:rPr>
            </w:pPr>
          </w:p>
        </w:tc>
        <w:tc>
          <w:tcPr>
            <w:tcW w:w="1078" w:type="dxa"/>
            <w:tcBorders>
              <w:top w:val="single" w:color="000000" w:sz="8" w:space="0"/>
              <w:left w:val="nil"/>
              <w:bottom w:val="single" w:color="000000" w:sz="8" w:space="0"/>
              <w:right w:val="single" w:color="000000" w:sz="8" w:space="0"/>
            </w:tcBorders>
          </w:tcPr>
          <w:p w14:paraId="72C6A763">
            <w:pPr>
              <w:widowControl/>
              <w:spacing w:line="400" w:lineRule="exact"/>
              <w:jc w:val="center"/>
              <w:textAlignment w:val="center"/>
              <w:rPr>
                <w:rFonts w:cs="仿宋" w:asciiTheme="minorEastAsia" w:hAnsiTheme="minorEastAsia" w:eastAsiaTheme="minorEastAsia"/>
                <w:snapToGrid w:val="0"/>
                <w:color w:val="auto"/>
                <w:kern w:val="0"/>
                <w:szCs w:val="21"/>
              </w:rPr>
            </w:pPr>
          </w:p>
        </w:tc>
        <w:tc>
          <w:tcPr>
            <w:tcW w:w="1079" w:type="dxa"/>
            <w:tcBorders>
              <w:top w:val="single" w:color="000000" w:sz="8" w:space="0"/>
              <w:left w:val="nil"/>
              <w:bottom w:val="single" w:color="000000" w:sz="8" w:space="0"/>
              <w:right w:val="single" w:color="000000" w:sz="8" w:space="0"/>
            </w:tcBorders>
          </w:tcPr>
          <w:p w14:paraId="4F8EA587">
            <w:pPr>
              <w:widowControl/>
              <w:spacing w:line="400" w:lineRule="exact"/>
              <w:jc w:val="center"/>
              <w:textAlignment w:val="center"/>
              <w:rPr>
                <w:rFonts w:cs="仿宋" w:asciiTheme="minorEastAsia" w:hAnsiTheme="minorEastAsia" w:eastAsiaTheme="minorEastAsia"/>
                <w:snapToGrid w:val="0"/>
                <w:color w:val="auto"/>
                <w:kern w:val="0"/>
                <w:szCs w:val="21"/>
              </w:rPr>
            </w:pPr>
          </w:p>
        </w:tc>
      </w:tr>
    </w:tbl>
    <w:p w14:paraId="0442184F">
      <w:pPr>
        <w:pStyle w:val="17"/>
        <w:spacing w:line="400" w:lineRule="exact"/>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注：1、</w:t>
      </w:r>
      <w:r>
        <w:rPr>
          <w:rFonts w:asciiTheme="minorEastAsia" w:hAnsiTheme="minorEastAsia" w:eastAsiaTheme="minorEastAsia"/>
          <w:color w:val="auto"/>
          <w:sz w:val="21"/>
          <w:szCs w:val="21"/>
        </w:rPr>
        <w:t>本表所列项目计入</w:t>
      </w:r>
      <w:r>
        <w:rPr>
          <w:rFonts w:hint="eastAsia" w:asciiTheme="minorEastAsia" w:hAnsiTheme="minorEastAsia" w:eastAsiaTheme="minorEastAsia"/>
          <w:color w:val="auto"/>
          <w:sz w:val="21"/>
          <w:szCs w:val="21"/>
        </w:rPr>
        <w:t>投标报价中，“合计”应当与投标报价一致</w:t>
      </w:r>
      <w:r>
        <w:rPr>
          <w:rFonts w:asciiTheme="minorEastAsia" w:hAnsiTheme="minorEastAsia" w:eastAsiaTheme="minorEastAsia"/>
          <w:color w:val="auto"/>
          <w:sz w:val="21"/>
          <w:szCs w:val="21"/>
        </w:rPr>
        <w:t>；</w:t>
      </w:r>
    </w:p>
    <w:p w14:paraId="04AE6641">
      <w:pPr>
        <w:pStyle w:val="17"/>
        <w:spacing w:line="40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综合单价包含货物生产、备品备件及专用工具制造、运输、保险、税金、装卸、移交前保管、安装、调试、验收等交付使用前发生的所有工作，以及培训、技术服务（包括技术资料、图纸的提供）、质量保证期内售后服务等相关费用（包括材料、设备物价上涨因素）等。</w:t>
      </w:r>
    </w:p>
    <w:p w14:paraId="2C3CF3CD">
      <w:pPr>
        <w:spacing w:line="400" w:lineRule="exact"/>
        <w:jc w:val="left"/>
        <w:rPr>
          <w:rFonts w:asciiTheme="minorEastAsia" w:hAnsiTheme="minorEastAsia" w:eastAsiaTheme="minorEastAsia"/>
          <w:color w:val="auto"/>
          <w:szCs w:val="21"/>
        </w:rPr>
      </w:pPr>
    </w:p>
    <w:p w14:paraId="7526927E">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供应商（盖章）：</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 xml:space="preserve">                 </w:t>
      </w:r>
    </w:p>
    <w:p w14:paraId="564439D2">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日       期：</w:t>
      </w:r>
      <w:r>
        <w:rPr>
          <w:rFonts w:asciiTheme="minorEastAsia" w:hAnsiTheme="minorEastAsia" w:eastAsiaTheme="minorEastAsia"/>
          <w:color w:val="auto"/>
          <w:szCs w:val="21"/>
        </w:rPr>
        <w:t xml:space="preserve">                  </w:t>
      </w:r>
    </w:p>
    <w:p w14:paraId="6F7BB6DC">
      <w:pPr>
        <w:spacing w:line="400" w:lineRule="exact"/>
        <w:ind w:firstLine="420" w:firstLineChars="200"/>
        <w:rPr>
          <w:rFonts w:ascii="宋体" w:hAnsi="宋体"/>
          <w:color w:val="auto"/>
          <w:szCs w:val="21"/>
        </w:rPr>
      </w:pPr>
    </w:p>
    <w:p w14:paraId="62CBACA2">
      <w:pPr>
        <w:adjustRightInd w:val="0"/>
        <w:snapToGrid w:val="0"/>
        <w:spacing w:line="400" w:lineRule="exact"/>
        <w:rPr>
          <w:rFonts w:ascii="宋体" w:hAnsi="宋体"/>
          <w:color w:val="auto"/>
          <w:szCs w:val="21"/>
        </w:rPr>
      </w:pPr>
    </w:p>
    <w:p w14:paraId="17BC519D">
      <w:pPr>
        <w:spacing w:line="400" w:lineRule="exact"/>
        <w:ind w:firstLine="420" w:firstLineChars="200"/>
        <w:rPr>
          <w:rFonts w:ascii="宋体" w:hAnsi="宋体"/>
          <w:color w:val="auto"/>
          <w:szCs w:val="21"/>
        </w:rPr>
      </w:pPr>
    </w:p>
    <w:p w14:paraId="02B3A643">
      <w:pPr>
        <w:spacing w:line="400" w:lineRule="exact"/>
        <w:ind w:firstLine="420" w:firstLineChars="200"/>
        <w:rPr>
          <w:rFonts w:ascii="宋体" w:hAnsi="宋体"/>
          <w:color w:val="auto"/>
          <w:szCs w:val="21"/>
        </w:rPr>
        <w:sectPr>
          <w:headerReference r:id="rId14" w:type="default"/>
          <w:footerReference r:id="rId15" w:type="default"/>
          <w:pgSz w:w="11907" w:h="16840"/>
          <w:pgMar w:top="1138" w:right="1588" w:bottom="1135" w:left="1339" w:header="285" w:footer="990" w:gutter="0"/>
          <w:cols w:space="720" w:num="1"/>
          <w:docGrid w:linePitch="285" w:charSpace="0"/>
        </w:sectPr>
      </w:pPr>
    </w:p>
    <w:tbl>
      <w:tblPr>
        <w:tblStyle w:val="44"/>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14:paraId="44A31184">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14:paraId="063A793D">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083D07BE">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1475D1F">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58E2F65">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458" w:type="dxa"/>
            <w:gridSpan w:val="3"/>
            <w:tcBorders>
              <w:top w:val="single" w:color="auto" w:sz="8" w:space="0"/>
              <w:left w:val="nil"/>
              <w:bottom w:val="single" w:color="auto" w:sz="4" w:space="0"/>
              <w:right w:val="single" w:color="000000" w:sz="8" w:space="0"/>
            </w:tcBorders>
            <w:vAlign w:val="bottom"/>
          </w:tcPr>
          <w:p w14:paraId="2CFD9CF4">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FD0D247">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598D269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5ADF8FDA">
            <w:pPr>
              <w:widowControl/>
              <w:jc w:val="left"/>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42E31C91">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1B0392D6">
            <w:pPr>
              <w:widowControl/>
              <w:jc w:val="center"/>
              <w:rPr>
                <w:rFonts w:ascii="宋体" w:hAnsi="宋体" w:cs="宋体"/>
                <w:color w:val="auto"/>
                <w:kern w:val="0"/>
                <w:sz w:val="20"/>
              </w:rPr>
            </w:pPr>
            <w:r>
              <w:rPr>
                <w:rFonts w:hint="eastAsia" w:ascii="宋体" w:hAnsi="宋体" w:cs="宋体"/>
                <w:color w:val="auto"/>
                <w:kern w:val="0"/>
                <w:sz w:val="20"/>
              </w:rPr>
              <w:t>营业收入Y</w:t>
            </w:r>
          </w:p>
          <w:p w14:paraId="510A695D">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099A44D3">
            <w:pPr>
              <w:widowControl/>
              <w:jc w:val="center"/>
              <w:rPr>
                <w:rFonts w:ascii="宋体" w:hAnsi="宋体" w:cs="宋体"/>
                <w:color w:val="auto"/>
                <w:kern w:val="0"/>
                <w:sz w:val="20"/>
              </w:rPr>
            </w:pPr>
            <w:r>
              <w:rPr>
                <w:rFonts w:hint="eastAsia" w:ascii="宋体" w:hAnsi="宋体" w:cs="宋体"/>
                <w:color w:val="auto"/>
                <w:kern w:val="0"/>
                <w:sz w:val="20"/>
              </w:rPr>
              <w:t>资产总额Z</w:t>
            </w:r>
          </w:p>
          <w:p w14:paraId="2870D913">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458" w:type="dxa"/>
            <w:tcBorders>
              <w:top w:val="nil"/>
              <w:left w:val="nil"/>
              <w:bottom w:val="single" w:color="auto" w:sz="4" w:space="0"/>
              <w:right w:val="single" w:color="auto" w:sz="4" w:space="0"/>
            </w:tcBorders>
            <w:vAlign w:val="bottom"/>
          </w:tcPr>
          <w:p w14:paraId="4BF49C99">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480" w:type="dxa"/>
            <w:tcBorders>
              <w:top w:val="nil"/>
              <w:left w:val="nil"/>
              <w:bottom w:val="single" w:color="auto" w:sz="4" w:space="0"/>
              <w:right w:val="single" w:color="auto" w:sz="4" w:space="0"/>
            </w:tcBorders>
            <w:vAlign w:val="bottom"/>
          </w:tcPr>
          <w:p w14:paraId="39369428">
            <w:pPr>
              <w:widowControl/>
              <w:jc w:val="center"/>
              <w:rPr>
                <w:rFonts w:ascii="宋体" w:hAnsi="宋体" w:cs="宋体"/>
                <w:color w:val="auto"/>
                <w:kern w:val="0"/>
                <w:sz w:val="20"/>
              </w:rPr>
            </w:pPr>
            <w:r>
              <w:rPr>
                <w:rFonts w:hint="eastAsia" w:ascii="宋体" w:hAnsi="宋体" w:cs="宋体"/>
                <w:color w:val="auto"/>
                <w:kern w:val="0"/>
                <w:sz w:val="20"/>
              </w:rPr>
              <w:t>营业收入Y</w:t>
            </w:r>
          </w:p>
          <w:p w14:paraId="3FC8A305">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06F60A5E">
            <w:pPr>
              <w:widowControl/>
              <w:jc w:val="center"/>
              <w:rPr>
                <w:rFonts w:ascii="宋体" w:hAnsi="宋体" w:cs="宋体"/>
                <w:color w:val="auto"/>
                <w:kern w:val="0"/>
                <w:sz w:val="20"/>
              </w:rPr>
            </w:pPr>
            <w:r>
              <w:rPr>
                <w:rFonts w:hint="eastAsia" w:ascii="宋体" w:hAnsi="宋体" w:cs="宋体"/>
                <w:color w:val="auto"/>
                <w:kern w:val="0"/>
                <w:sz w:val="20"/>
              </w:rPr>
              <w:t>资产总额Z</w:t>
            </w:r>
          </w:p>
          <w:p w14:paraId="22D851C7">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5F226A80">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5122B24A">
            <w:pPr>
              <w:widowControl/>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72C16104">
            <w:pPr>
              <w:widowControl/>
              <w:jc w:val="center"/>
              <w:rPr>
                <w:rFonts w:ascii="宋体" w:hAnsi="宋体" w:cs="宋体"/>
                <w:color w:val="auto"/>
                <w:kern w:val="0"/>
                <w:sz w:val="20"/>
              </w:rPr>
            </w:pPr>
            <w:r>
              <w:rPr>
                <w:rFonts w:hint="eastAsia" w:ascii="宋体" w:hAnsi="宋体" w:cs="宋体"/>
                <w:color w:val="auto"/>
                <w:kern w:val="0"/>
                <w:sz w:val="20"/>
              </w:rPr>
              <w:t>资产总额Z（万元）</w:t>
            </w:r>
          </w:p>
        </w:tc>
      </w:tr>
      <w:tr w14:paraId="1D54F8C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ABC1822">
            <w:pPr>
              <w:widowControl/>
              <w:jc w:val="left"/>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083B2ED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763" w:type="dxa"/>
            <w:tcBorders>
              <w:top w:val="nil"/>
              <w:left w:val="nil"/>
              <w:bottom w:val="single" w:color="auto" w:sz="4" w:space="0"/>
              <w:right w:val="single" w:color="auto" w:sz="4" w:space="0"/>
            </w:tcBorders>
            <w:vAlign w:val="bottom"/>
          </w:tcPr>
          <w:p w14:paraId="44792FE1">
            <w:pPr>
              <w:widowControl/>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681F8B4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3591441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80" w:type="dxa"/>
            <w:tcBorders>
              <w:top w:val="nil"/>
              <w:left w:val="nil"/>
              <w:bottom w:val="single" w:color="auto" w:sz="4" w:space="0"/>
              <w:right w:val="single" w:color="auto" w:sz="4" w:space="0"/>
            </w:tcBorders>
            <w:vAlign w:val="bottom"/>
          </w:tcPr>
          <w:p w14:paraId="4A9CE5C4">
            <w:pPr>
              <w:widowControl/>
              <w:jc w:val="left"/>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3AE403A6">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24F0D19E">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75" w:type="dxa"/>
            <w:tcBorders>
              <w:top w:val="nil"/>
              <w:left w:val="nil"/>
              <w:bottom w:val="single" w:color="auto" w:sz="4" w:space="0"/>
              <w:right w:val="single" w:color="auto" w:sz="4" w:space="0"/>
            </w:tcBorders>
            <w:vAlign w:val="bottom"/>
          </w:tcPr>
          <w:p w14:paraId="14C8A33A">
            <w:pPr>
              <w:widowControl/>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5B4D75E">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643E8BA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A29F541">
            <w:pPr>
              <w:widowControl/>
              <w:jc w:val="left"/>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40589147">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2C1C6F76">
            <w:pPr>
              <w:widowControl/>
              <w:jc w:val="left"/>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6819D8E9">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71077869">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0" w:type="dxa"/>
            <w:tcBorders>
              <w:top w:val="nil"/>
              <w:left w:val="nil"/>
              <w:bottom w:val="single" w:color="auto" w:sz="4" w:space="0"/>
              <w:right w:val="single" w:color="auto" w:sz="4" w:space="0"/>
            </w:tcBorders>
            <w:vAlign w:val="bottom"/>
          </w:tcPr>
          <w:p w14:paraId="2622D31C">
            <w:pPr>
              <w:widowControl/>
              <w:jc w:val="left"/>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53A32023">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0795F372">
            <w:pPr>
              <w:widowControl/>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1FAD6ED">
            <w:pPr>
              <w:widowControl/>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03709BD2">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0D5F48A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E805D9">
            <w:pPr>
              <w:widowControl/>
              <w:jc w:val="left"/>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2F730DD1">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763" w:type="dxa"/>
            <w:tcBorders>
              <w:top w:val="nil"/>
              <w:left w:val="nil"/>
              <w:bottom w:val="single" w:color="auto" w:sz="4" w:space="0"/>
              <w:right w:val="single" w:color="auto" w:sz="4" w:space="0"/>
            </w:tcBorders>
            <w:vAlign w:val="bottom"/>
          </w:tcPr>
          <w:p w14:paraId="301CA095">
            <w:pPr>
              <w:widowControl/>
              <w:jc w:val="left"/>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14BD656C">
            <w:pPr>
              <w:widowControl/>
              <w:jc w:val="left"/>
              <w:rPr>
                <w:rFonts w:ascii="宋体" w:hAnsi="宋体" w:cs="宋体"/>
                <w:color w:val="auto"/>
                <w:kern w:val="0"/>
                <w:sz w:val="20"/>
              </w:rPr>
            </w:pPr>
            <w:r>
              <w:rPr>
                <w:rFonts w:hint="eastAsia" w:ascii="宋体" w:hAnsi="宋体" w:cs="宋体"/>
                <w:color w:val="auto"/>
                <w:kern w:val="0"/>
                <w:sz w:val="20"/>
              </w:rPr>
              <w:t>5000≤Z＜80000</w:t>
            </w:r>
          </w:p>
        </w:tc>
        <w:tc>
          <w:tcPr>
            <w:tcW w:w="1458" w:type="dxa"/>
            <w:tcBorders>
              <w:top w:val="nil"/>
              <w:left w:val="nil"/>
              <w:bottom w:val="single" w:color="auto" w:sz="4" w:space="0"/>
              <w:right w:val="single" w:color="auto" w:sz="4" w:space="0"/>
            </w:tcBorders>
            <w:vAlign w:val="bottom"/>
          </w:tcPr>
          <w:p w14:paraId="15190AC9">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80" w:type="dxa"/>
            <w:tcBorders>
              <w:top w:val="nil"/>
              <w:left w:val="nil"/>
              <w:bottom w:val="single" w:color="auto" w:sz="4" w:space="0"/>
              <w:right w:val="single" w:color="auto" w:sz="4" w:space="0"/>
            </w:tcBorders>
            <w:vAlign w:val="bottom"/>
          </w:tcPr>
          <w:p w14:paraId="67937E72">
            <w:pPr>
              <w:widowControl/>
              <w:jc w:val="left"/>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32F250B1">
            <w:pPr>
              <w:widowControl/>
              <w:jc w:val="left"/>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58DEC687">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75" w:type="dxa"/>
            <w:tcBorders>
              <w:top w:val="nil"/>
              <w:left w:val="nil"/>
              <w:bottom w:val="single" w:color="auto" w:sz="4" w:space="0"/>
              <w:right w:val="single" w:color="auto" w:sz="4" w:space="0"/>
            </w:tcBorders>
            <w:vAlign w:val="bottom"/>
          </w:tcPr>
          <w:p w14:paraId="599CAC48">
            <w:pPr>
              <w:widowControl/>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12D9D090">
            <w:pPr>
              <w:widowControl/>
              <w:jc w:val="left"/>
              <w:rPr>
                <w:rFonts w:ascii="宋体" w:hAnsi="宋体" w:cs="宋体"/>
                <w:color w:val="auto"/>
                <w:kern w:val="0"/>
                <w:sz w:val="20"/>
              </w:rPr>
            </w:pPr>
            <w:r>
              <w:rPr>
                <w:rFonts w:hint="eastAsia" w:ascii="宋体" w:hAnsi="宋体" w:cs="宋体"/>
                <w:color w:val="auto"/>
                <w:kern w:val="0"/>
                <w:sz w:val="20"/>
              </w:rPr>
              <w:t>Z＜300</w:t>
            </w:r>
          </w:p>
        </w:tc>
      </w:tr>
      <w:tr w14:paraId="2E70DB9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E53B95">
            <w:pPr>
              <w:widowControl/>
              <w:jc w:val="left"/>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6F229894">
            <w:pPr>
              <w:widowControl/>
              <w:jc w:val="left"/>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6964F184">
            <w:pPr>
              <w:widowControl/>
              <w:jc w:val="left"/>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494F72AB">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0280B5FF">
            <w:pPr>
              <w:widowControl/>
              <w:jc w:val="left"/>
              <w:rPr>
                <w:rFonts w:ascii="宋体" w:hAnsi="宋体" w:cs="宋体"/>
                <w:color w:val="auto"/>
                <w:kern w:val="0"/>
                <w:sz w:val="20"/>
              </w:rPr>
            </w:pPr>
            <w:r>
              <w:rPr>
                <w:rFonts w:hint="eastAsia" w:ascii="宋体" w:hAnsi="宋体" w:cs="宋体"/>
                <w:color w:val="auto"/>
                <w:kern w:val="0"/>
                <w:sz w:val="20"/>
              </w:rPr>
              <w:t xml:space="preserve"> 5≤X＜20</w:t>
            </w:r>
          </w:p>
        </w:tc>
        <w:tc>
          <w:tcPr>
            <w:tcW w:w="1480" w:type="dxa"/>
            <w:tcBorders>
              <w:top w:val="nil"/>
              <w:left w:val="nil"/>
              <w:bottom w:val="single" w:color="auto" w:sz="4" w:space="0"/>
              <w:right w:val="single" w:color="auto" w:sz="4" w:space="0"/>
            </w:tcBorders>
            <w:vAlign w:val="bottom"/>
          </w:tcPr>
          <w:p w14:paraId="672D1AD7">
            <w:pPr>
              <w:widowControl/>
              <w:jc w:val="left"/>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6252321A">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4BD96BE5">
            <w:pPr>
              <w:widowControl/>
              <w:jc w:val="left"/>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12179606">
            <w:pPr>
              <w:widowControl/>
              <w:jc w:val="left"/>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4D43FB89">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480EF80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15A576A">
            <w:pPr>
              <w:widowControl/>
              <w:jc w:val="left"/>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06E28555">
            <w:pPr>
              <w:widowControl/>
              <w:jc w:val="left"/>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5336EED9">
            <w:pPr>
              <w:widowControl/>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5318676A">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6075CCF6">
            <w:pPr>
              <w:widowControl/>
              <w:jc w:val="left"/>
              <w:rPr>
                <w:rFonts w:ascii="宋体" w:hAnsi="宋体" w:cs="宋体"/>
                <w:color w:val="auto"/>
                <w:kern w:val="0"/>
                <w:sz w:val="20"/>
              </w:rPr>
            </w:pPr>
            <w:r>
              <w:rPr>
                <w:rFonts w:hint="eastAsia" w:ascii="宋体" w:hAnsi="宋体" w:cs="宋体"/>
                <w:color w:val="auto"/>
                <w:kern w:val="0"/>
                <w:sz w:val="20"/>
              </w:rPr>
              <w:t>10≤X＜50</w:t>
            </w:r>
          </w:p>
        </w:tc>
        <w:tc>
          <w:tcPr>
            <w:tcW w:w="1480" w:type="dxa"/>
            <w:tcBorders>
              <w:top w:val="nil"/>
              <w:left w:val="nil"/>
              <w:bottom w:val="single" w:color="auto" w:sz="4" w:space="0"/>
              <w:right w:val="single" w:color="auto" w:sz="4" w:space="0"/>
            </w:tcBorders>
            <w:vAlign w:val="bottom"/>
          </w:tcPr>
          <w:p w14:paraId="7BC3EE85">
            <w:pPr>
              <w:widowControl/>
              <w:jc w:val="left"/>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4CD51EC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24AFBCF4">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48D095D5">
            <w:pPr>
              <w:widowControl/>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510FA83">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7148592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4409061">
            <w:pPr>
              <w:widowControl/>
              <w:jc w:val="left"/>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23EA1DCC">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517330DA">
            <w:pPr>
              <w:widowControl/>
              <w:jc w:val="left"/>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2211A80E">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2221C414">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0" w:type="dxa"/>
            <w:tcBorders>
              <w:top w:val="nil"/>
              <w:left w:val="nil"/>
              <w:bottom w:val="single" w:color="auto" w:sz="4" w:space="0"/>
              <w:right w:val="single" w:color="auto" w:sz="4" w:space="0"/>
            </w:tcBorders>
            <w:vAlign w:val="bottom"/>
          </w:tcPr>
          <w:p w14:paraId="11F99F37">
            <w:pPr>
              <w:widowControl/>
              <w:jc w:val="left"/>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212B0198">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16BD8BB9">
            <w:pPr>
              <w:widowControl/>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0165C7D1">
            <w:pPr>
              <w:widowControl/>
              <w:jc w:val="left"/>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1B2452B4">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4FFA1F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45EDBD5">
            <w:pPr>
              <w:widowControl/>
              <w:jc w:val="left"/>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70F5AD06">
            <w:pPr>
              <w:widowControl/>
              <w:jc w:val="left"/>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4239EAD7">
            <w:pPr>
              <w:widowControl/>
              <w:jc w:val="left"/>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69BC8CC6">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49891B34">
            <w:pPr>
              <w:widowControl/>
              <w:jc w:val="left"/>
              <w:rPr>
                <w:rFonts w:ascii="宋体" w:hAnsi="宋体" w:cs="宋体"/>
                <w:color w:val="auto"/>
                <w:kern w:val="0"/>
                <w:sz w:val="20"/>
              </w:rPr>
            </w:pPr>
            <w:r>
              <w:rPr>
                <w:rFonts w:hint="eastAsia" w:ascii="宋体" w:hAnsi="宋体" w:cs="宋体"/>
                <w:color w:val="auto"/>
                <w:kern w:val="0"/>
                <w:sz w:val="20"/>
              </w:rPr>
              <w:t>20≤X＜100</w:t>
            </w:r>
          </w:p>
        </w:tc>
        <w:tc>
          <w:tcPr>
            <w:tcW w:w="1480" w:type="dxa"/>
            <w:tcBorders>
              <w:top w:val="nil"/>
              <w:left w:val="nil"/>
              <w:bottom w:val="single" w:color="auto" w:sz="4" w:space="0"/>
              <w:right w:val="single" w:color="auto" w:sz="4" w:space="0"/>
            </w:tcBorders>
            <w:vAlign w:val="bottom"/>
          </w:tcPr>
          <w:p w14:paraId="2B45E4FC">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02FD7E7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2E7CA84D">
            <w:pPr>
              <w:widowControl/>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F4557A6">
            <w:pPr>
              <w:widowControl/>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3DFAC44">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35B59B1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CF62A5">
            <w:pPr>
              <w:widowControl/>
              <w:jc w:val="left"/>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248D138E">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1537B4DE">
            <w:pPr>
              <w:widowControl/>
              <w:jc w:val="left"/>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123EE60A">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4FA8B936">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0" w:type="dxa"/>
            <w:tcBorders>
              <w:top w:val="nil"/>
              <w:left w:val="nil"/>
              <w:bottom w:val="single" w:color="auto" w:sz="4" w:space="0"/>
              <w:right w:val="single" w:color="auto" w:sz="4" w:space="0"/>
            </w:tcBorders>
            <w:vAlign w:val="bottom"/>
          </w:tcPr>
          <w:p w14:paraId="305DB130">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0B8F6A4F">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1E084E1D">
            <w:pPr>
              <w:widowControl/>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C7A2DC2">
            <w:pPr>
              <w:widowControl/>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FD14CCE">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3382447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1F7327">
            <w:pPr>
              <w:widowControl/>
              <w:jc w:val="left"/>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0233CFE1">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7B9A9FED">
            <w:pPr>
              <w:widowControl/>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2E729EA2">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6D73DE58">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0" w:type="dxa"/>
            <w:tcBorders>
              <w:top w:val="nil"/>
              <w:left w:val="nil"/>
              <w:bottom w:val="single" w:color="auto" w:sz="4" w:space="0"/>
              <w:right w:val="single" w:color="auto" w:sz="4" w:space="0"/>
            </w:tcBorders>
            <w:vAlign w:val="bottom"/>
          </w:tcPr>
          <w:p w14:paraId="501E5884">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2016CEA0">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61D31665">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7EB78A94">
            <w:pPr>
              <w:widowControl/>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3123A93">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04975E4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0E1E6E9">
            <w:pPr>
              <w:widowControl/>
              <w:jc w:val="left"/>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23ADAF3F">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74509E4">
            <w:pPr>
              <w:widowControl/>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264372A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280552C4">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0" w:type="dxa"/>
            <w:tcBorders>
              <w:top w:val="nil"/>
              <w:left w:val="nil"/>
              <w:bottom w:val="single" w:color="auto" w:sz="4" w:space="0"/>
              <w:right w:val="single" w:color="auto" w:sz="4" w:space="0"/>
            </w:tcBorders>
            <w:vAlign w:val="bottom"/>
          </w:tcPr>
          <w:p w14:paraId="688CB6F0">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EE10617">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1BC4E1D8">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8F19A85">
            <w:pPr>
              <w:widowControl/>
              <w:jc w:val="left"/>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358E3438">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738733F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F03E619">
            <w:pPr>
              <w:widowControl/>
              <w:jc w:val="left"/>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0F0AFA7B">
            <w:pPr>
              <w:widowControl/>
              <w:jc w:val="left"/>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2C7A2D2D">
            <w:pPr>
              <w:widowControl/>
              <w:jc w:val="left"/>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5C39C77D">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0D040A92">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0" w:type="dxa"/>
            <w:tcBorders>
              <w:top w:val="nil"/>
              <w:left w:val="nil"/>
              <w:bottom w:val="single" w:color="auto" w:sz="4" w:space="0"/>
              <w:right w:val="single" w:color="auto" w:sz="4" w:space="0"/>
            </w:tcBorders>
            <w:vAlign w:val="bottom"/>
          </w:tcPr>
          <w:p w14:paraId="59FECA97">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30759248">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56557039">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6DCD85B">
            <w:pPr>
              <w:widowControl/>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327AFBF">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0F2AB6D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48997E2">
            <w:pPr>
              <w:widowControl/>
              <w:jc w:val="left"/>
              <w:rPr>
                <w:rFonts w:ascii="宋体" w:hAnsi="宋体" w:cs="宋体"/>
                <w:color w:val="auto"/>
                <w:kern w:val="0"/>
                <w:sz w:val="20"/>
              </w:rPr>
            </w:pPr>
            <w:r>
              <w:rPr>
                <w:rFonts w:hint="eastAsia" w:ascii="宋体" w:hAnsi="宋体" w:cs="宋体"/>
                <w:color w:val="auto"/>
                <w:kern w:val="0"/>
                <w:sz w:val="20"/>
              </w:rPr>
              <w:t>12、软件和信息技术服务业</w:t>
            </w:r>
          </w:p>
        </w:tc>
        <w:tc>
          <w:tcPr>
            <w:tcW w:w="1498" w:type="dxa"/>
            <w:tcBorders>
              <w:top w:val="nil"/>
              <w:left w:val="nil"/>
              <w:bottom w:val="single" w:color="auto" w:sz="4" w:space="0"/>
              <w:right w:val="single" w:color="auto" w:sz="4" w:space="0"/>
            </w:tcBorders>
            <w:vAlign w:val="bottom"/>
          </w:tcPr>
          <w:p w14:paraId="29C6A897">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D5A0B53">
            <w:pPr>
              <w:widowControl/>
              <w:jc w:val="left"/>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64667D91">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58845A02">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0" w:type="dxa"/>
            <w:tcBorders>
              <w:top w:val="nil"/>
              <w:left w:val="nil"/>
              <w:bottom w:val="single" w:color="auto" w:sz="4" w:space="0"/>
              <w:right w:val="single" w:color="auto" w:sz="4" w:space="0"/>
            </w:tcBorders>
            <w:vAlign w:val="bottom"/>
          </w:tcPr>
          <w:p w14:paraId="74E09E6C">
            <w:pPr>
              <w:widowControl/>
              <w:jc w:val="left"/>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72D2A3A9">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35508A1C">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E4A572F">
            <w:pPr>
              <w:widowControl/>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197674DC">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34807C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E5C54A">
            <w:pPr>
              <w:widowControl/>
              <w:jc w:val="left"/>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69CBA9FA">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763" w:type="dxa"/>
            <w:tcBorders>
              <w:top w:val="nil"/>
              <w:left w:val="nil"/>
              <w:bottom w:val="single" w:color="auto" w:sz="4" w:space="0"/>
              <w:right w:val="single" w:color="auto" w:sz="4" w:space="0"/>
            </w:tcBorders>
            <w:vAlign w:val="bottom"/>
          </w:tcPr>
          <w:p w14:paraId="087C4398">
            <w:pPr>
              <w:widowControl/>
              <w:jc w:val="left"/>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534E28E2">
            <w:pPr>
              <w:widowControl/>
              <w:jc w:val="left"/>
              <w:rPr>
                <w:rFonts w:ascii="宋体" w:hAnsi="宋体" w:cs="宋体"/>
                <w:color w:val="auto"/>
                <w:kern w:val="0"/>
                <w:sz w:val="20"/>
              </w:rPr>
            </w:pPr>
            <w:r>
              <w:rPr>
                <w:rFonts w:hint="eastAsia" w:ascii="宋体" w:hAnsi="宋体" w:cs="宋体"/>
                <w:color w:val="auto"/>
                <w:kern w:val="0"/>
                <w:sz w:val="20"/>
              </w:rPr>
              <w:t>5000≤Z＜10000</w:t>
            </w:r>
          </w:p>
        </w:tc>
        <w:tc>
          <w:tcPr>
            <w:tcW w:w="1458" w:type="dxa"/>
            <w:tcBorders>
              <w:top w:val="nil"/>
              <w:left w:val="nil"/>
              <w:bottom w:val="single" w:color="auto" w:sz="4" w:space="0"/>
              <w:right w:val="single" w:color="auto" w:sz="4" w:space="0"/>
            </w:tcBorders>
            <w:vAlign w:val="bottom"/>
          </w:tcPr>
          <w:p w14:paraId="4291B1E9">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80" w:type="dxa"/>
            <w:tcBorders>
              <w:top w:val="nil"/>
              <w:left w:val="nil"/>
              <w:bottom w:val="single" w:color="auto" w:sz="4" w:space="0"/>
              <w:right w:val="single" w:color="auto" w:sz="4" w:space="0"/>
            </w:tcBorders>
            <w:vAlign w:val="bottom"/>
          </w:tcPr>
          <w:p w14:paraId="241907D4">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0E624EBA">
            <w:pPr>
              <w:widowControl/>
              <w:jc w:val="left"/>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31BA597D">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75" w:type="dxa"/>
            <w:tcBorders>
              <w:top w:val="nil"/>
              <w:left w:val="nil"/>
              <w:bottom w:val="single" w:color="auto" w:sz="4" w:space="0"/>
              <w:right w:val="single" w:color="auto" w:sz="4" w:space="0"/>
            </w:tcBorders>
            <w:vAlign w:val="bottom"/>
          </w:tcPr>
          <w:p w14:paraId="672CC7D4">
            <w:pPr>
              <w:widowControl/>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013C2A3">
            <w:pPr>
              <w:widowControl/>
              <w:jc w:val="left"/>
              <w:rPr>
                <w:rFonts w:ascii="宋体" w:hAnsi="宋体" w:cs="宋体"/>
                <w:color w:val="auto"/>
                <w:kern w:val="0"/>
                <w:sz w:val="20"/>
              </w:rPr>
            </w:pPr>
            <w:r>
              <w:rPr>
                <w:rFonts w:hint="eastAsia" w:ascii="宋体" w:hAnsi="宋体" w:cs="宋体"/>
                <w:color w:val="auto"/>
                <w:kern w:val="0"/>
                <w:sz w:val="20"/>
              </w:rPr>
              <w:t>Z＜2000</w:t>
            </w:r>
          </w:p>
        </w:tc>
      </w:tr>
      <w:tr w14:paraId="025486E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2B71F57">
            <w:pPr>
              <w:widowControl/>
              <w:jc w:val="left"/>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6FC4E654">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BA4C2D5">
            <w:pPr>
              <w:widowControl/>
              <w:jc w:val="left"/>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05E155FA">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4" w:space="0"/>
              <w:right w:val="single" w:color="auto" w:sz="4" w:space="0"/>
            </w:tcBorders>
            <w:vAlign w:val="bottom"/>
          </w:tcPr>
          <w:p w14:paraId="44AFBA86">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480" w:type="dxa"/>
            <w:tcBorders>
              <w:top w:val="nil"/>
              <w:left w:val="nil"/>
              <w:bottom w:val="single" w:color="auto" w:sz="4" w:space="0"/>
              <w:right w:val="single" w:color="auto" w:sz="4" w:space="0"/>
            </w:tcBorders>
            <w:vAlign w:val="bottom"/>
          </w:tcPr>
          <w:p w14:paraId="4D03EE95">
            <w:pPr>
              <w:widowControl/>
              <w:jc w:val="left"/>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62D022F0">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4" w:space="0"/>
              <w:right w:val="single" w:color="auto" w:sz="4" w:space="0"/>
            </w:tcBorders>
            <w:vAlign w:val="bottom"/>
          </w:tcPr>
          <w:p w14:paraId="6354424B">
            <w:pPr>
              <w:widowControl/>
              <w:jc w:val="left"/>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302A1C9B">
            <w:pPr>
              <w:widowControl/>
              <w:jc w:val="left"/>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2DACA659">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7F65A0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50B88AE">
            <w:pPr>
              <w:widowControl/>
              <w:jc w:val="left"/>
              <w:rPr>
                <w:rFonts w:ascii="宋体" w:hAnsi="宋体" w:cs="宋体"/>
                <w:color w:val="auto"/>
                <w:kern w:val="0"/>
                <w:sz w:val="20"/>
              </w:rPr>
            </w:pPr>
            <w:r>
              <w:rPr>
                <w:rFonts w:hint="eastAsia" w:ascii="宋体" w:hAnsi="宋体" w:cs="宋体"/>
                <w:color w:val="auto"/>
                <w:kern w:val="0"/>
                <w:sz w:val="20"/>
              </w:rPr>
              <w:t>15、租赁和商务服务业</w:t>
            </w:r>
          </w:p>
        </w:tc>
        <w:tc>
          <w:tcPr>
            <w:tcW w:w="1498" w:type="dxa"/>
            <w:tcBorders>
              <w:top w:val="nil"/>
              <w:left w:val="nil"/>
              <w:bottom w:val="single" w:color="auto" w:sz="4" w:space="0"/>
              <w:right w:val="single" w:color="auto" w:sz="4" w:space="0"/>
            </w:tcBorders>
            <w:vAlign w:val="bottom"/>
          </w:tcPr>
          <w:p w14:paraId="50033701">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EE0E57B">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660" w:type="dxa"/>
            <w:tcBorders>
              <w:top w:val="nil"/>
              <w:left w:val="nil"/>
              <w:bottom w:val="single" w:color="auto" w:sz="4" w:space="0"/>
              <w:right w:val="single" w:color="auto" w:sz="8" w:space="0"/>
            </w:tcBorders>
            <w:vAlign w:val="bottom"/>
          </w:tcPr>
          <w:p w14:paraId="08E31837">
            <w:pPr>
              <w:widowControl/>
              <w:jc w:val="left"/>
              <w:rPr>
                <w:rFonts w:ascii="宋体" w:hAnsi="宋体" w:cs="宋体"/>
                <w:color w:val="auto"/>
                <w:kern w:val="0"/>
                <w:sz w:val="20"/>
              </w:rPr>
            </w:pPr>
            <w:r>
              <w:rPr>
                <w:rFonts w:hint="eastAsia" w:ascii="宋体" w:hAnsi="宋体" w:cs="宋体"/>
                <w:color w:val="auto"/>
                <w:kern w:val="0"/>
                <w:sz w:val="20"/>
              </w:rPr>
              <w:t>8000≤Z＜120000</w:t>
            </w:r>
          </w:p>
        </w:tc>
        <w:tc>
          <w:tcPr>
            <w:tcW w:w="1458" w:type="dxa"/>
            <w:tcBorders>
              <w:top w:val="nil"/>
              <w:left w:val="nil"/>
              <w:bottom w:val="single" w:color="auto" w:sz="4" w:space="0"/>
              <w:right w:val="single" w:color="auto" w:sz="4" w:space="0"/>
            </w:tcBorders>
            <w:vAlign w:val="bottom"/>
          </w:tcPr>
          <w:p w14:paraId="4AF77CD8">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0" w:type="dxa"/>
            <w:tcBorders>
              <w:top w:val="nil"/>
              <w:left w:val="nil"/>
              <w:bottom w:val="single" w:color="auto" w:sz="4" w:space="0"/>
              <w:right w:val="single" w:color="auto" w:sz="4" w:space="0"/>
            </w:tcBorders>
            <w:vAlign w:val="bottom"/>
          </w:tcPr>
          <w:p w14:paraId="12E7C614">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520" w:type="dxa"/>
            <w:tcBorders>
              <w:top w:val="nil"/>
              <w:left w:val="nil"/>
              <w:bottom w:val="single" w:color="auto" w:sz="4" w:space="0"/>
              <w:right w:val="single" w:color="auto" w:sz="8" w:space="0"/>
            </w:tcBorders>
            <w:vAlign w:val="bottom"/>
          </w:tcPr>
          <w:p w14:paraId="4D449225">
            <w:pPr>
              <w:widowControl/>
              <w:jc w:val="left"/>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39F65BF9">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D2A4CE7">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21" w:type="dxa"/>
            <w:tcBorders>
              <w:top w:val="nil"/>
              <w:left w:val="nil"/>
              <w:bottom w:val="single" w:color="auto" w:sz="4" w:space="0"/>
              <w:right w:val="single" w:color="auto" w:sz="8" w:space="0"/>
            </w:tcBorders>
            <w:vAlign w:val="bottom"/>
          </w:tcPr>
          <w:p w14:paraId="395EDBAD">
            <w:pPr>
              <w:widowControl/>
              <w:jc w:val="left"/>
              <w:rPr>
                <w:rFonts w:ascii="宋体" w:hAnsi="宋体" w:cs="宋体"/>
                <w:color w:val="auto"/>
                <w:kern w:val="0"/>
                <w:sz w:val="20"/>
              </w:rPr>
            </w:pPr>
            <w:r>
              <w:rPr>
                <w:rFonts w:hint="eastAsia" w:ascii="宋体" w:hAnsi="宋体" w:cs="宋体"/>
                <w:color w:val="auto"/>
                <w:kern w:val="0"/>
                <w:sz w:val="20"/>
              </w:rPr>
              <w:t>Z＜100</w:t>
            </w:r>
          </w:p>
        </w:tc>
      </w:tr>
      <w:tr w14:paraId="418A655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15EC3E8E">
            <w:pPr>
              <w:widowControl/>
              <w:jc w:val="left"/>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5A5E682D">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74ACC9B5">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660" w:type="dxa"/>
            <w:tcBorders>
              <w:top w:val="nil"/>
              <w:left w:val="nil"/>
              <w:bottom w:val="single" w:color="auto" w:sz="8" w:space="0"/>
              <w:right w:val="single" w:color="auto" w:sz="8" w:space="0"/>
            </w:tcBorders>
            <w:vAlign w:val="bottom"/>
          </w:tcPr>
          <w:p w14:paraId="458009C1">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458" w:type="dxa"/>
            <w:tcBorders>
              <w:top w:val="nil"/>
              <w:left w:val="nil"/>
              <w:bottom w:val="single" w:color="auto" w:sz="8" w:space="0"/>
              <w:right w:val="single" w:color="auto" w:sz="4" w:space="0"/>
            </w:tcBorders>
            <w:vAlign w:val="bottom"/>
          </w:tcPr>
          <w:p w14:paraId="6297CCF5">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0" w:type="dxa"/>
            <w:tcBorders>
              <w:top w:val="nil"/>
              <w:left w:val="nil"/>
              <w:bottom w:val="single" w:color="auto" w:sz="8" w:space="0"/>
              <w:right w:val="single" w:color="auto" w:sz="4" w:space="0"/>
            </w:tcBorders>
            <w:vAlign w:val="bottom"/>
          </w:tcPr>
          <w:p w14:paraId="3155A002">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520" w:type="dxa"/>
            <w:tcBorders>
              <w:top w:val="nil"/>
              <w:left w:val="nil"/>
              <w:bottom w:val="single" w:color="auto" w:sz="8" w:space="0"/>
              <w:right w:val="single" w:color="auto" w:sz="8" w:space="0"/>
            </w:tcBorders>
            <w:vAlign w:val="bottom"/>
          </w:tcPr>
          <w:p w14:paraId="0A3F68DA">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85" w:type="dxa"/>
            <w:tcBorders>
              <w:top w:val="nil"/>
              <w:left w:val="nil"/>
              <w:bottom w:val="single" w:color="auto" w:sz="8" w:space="0"/>
              <w:right w:val="single" w:color="auto" w:sz="4" w:space="0"/>
            </w:tcBorders>
            <w:vAlign w:val="bottom"/>
          </w:tcPr>
          <w:p w14:paraId="3B1F521A">
            <w:pPr>
              <w:widowControl/>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09B0610D">
            <w:pPr>
              <w:widowControl/>
              <w:jc w:val="left"/>
              <w:rPr>
                <w:rFonts w:ascii="宋体" w:hAnsi="宋体" w:cs="宋体"/>
                <w:color w:val="auto"/>
                <w:kern w:val="0"/>
                <w:sz w:val="20"/>
              </w:rPr>
            </w:pPr>
            <w:r>
              <w:rPr>
                <w:rFonts w:hint="eastAsia" w:ascii="宋体" w:hAnsi="宋体" w:cs="宋体"/>
                <w:color w:val="auto"/>
                <w:kern w:val="0"/>
                <w:sz w:val="20"/>
              </w:rPr>
              <w:t xml:space="preserve"> </w:t>
            </w:r>
          </w:p>
        </w:tc>
        <w:tc>
          <w:tcPr>
            <w:tcW w:w="1221" w:type="dxa"/>
            <w:tcBorders>
              <w:top w:val="nil"/>
              <w:left w:val="nil"/>
              <w:bottom w:val="single" w:color="auto" w:sz="8" w:space="0"/>
              <w:right w:val="single" w:color="auto" w:sz="8" w:space="0"/>
            </w:tcBorders>
            <w:vAlign w:val="bottom"/>
          </w:tcPr>
          <w:p w14:paraId="35A0E786">
            <w:pPr>
              <w:widowControl/>
              <w:jc w:val="left"/>
              <w:rPr>
                <w:rFonts w:ascii="宋体" w:hAnsi="宋体" w:cs="宋体"/>
                <w:color w:val="auto"/>
                <w:kern w:val="0"/>
                <w:sz w:val="20"/>
              </w:rPr>
            </w:pPr>
            <w:r>
              <w:rPr>
                <w:rFonts w:hint="eastAsia" w:ascii="宋体" w:hAnsi="宋体" w:cs="宋体"/>
                <w:color w:val="auto"/>
                <w:kern w:val="0"/>
                <w:sz w:val="20"/>
              </w:rPr>
              <w:t xml:space="preserve"> </w:t>
            </w:r>
          </w:p>
        </w:tc>
      </w:tr>
      <w:tr w14:paraId="525F990A">
        <w:tblPrEx>
          <w:tblCellMar>
            <w:top w:w="0" w:type="dxa"/>
            <w:left w:w="108" w:type="dxa"/>
            <w:bottom w:w="0" w:type="dxa"/>
            <w:right w:w="108" w:type="dxa"/>
          </w:tblCellMar>
        </w:tblPrEx>
        <w:trPr>
          <w:trHeight w:val="285" w:hRule="atLeast"/>
        </w:trPr>
        <w:tc>
          <w:tcPr>
            <w:tcW w:w="15145" w:type="dxa"/>
            <w:gridSpan w:val="10"/>
            <w:tcBorders>
              <w:top w:val="nil"/>
              <w:left w:val="nil"/>
              <w:bottom w:val="nil"/>
              <w:right w:val="nil"/>
            </w:tcBorders>
            <w:vAlign w:val="bottom"/>
          </w:tcPr>
          <w:p w14:paraId="0714860C">
            <w:pPr>
              <w:widowControl/>
              <w:jc w:val="left"/>
              <w:rPr>
                <w:rFonts w:ascii="宋体" w:hAnsi="宋体" w:cs="宋体"/>
                <w:color w:val="auto"/>
                <w:kern w:val="0"/>
                <w:sz w:val="20"/>
              </w:rPr>
            </w:pPr>
            <w:r>
              <w:rPr>
                <w:rFonts w:hint="eastAsia" w:ascii="宋体" w:hAnsi="宋体" w:cs="宋体"/>
                <w:color w:val="auto"/>
                <w:kern w:val="0"/>
                <w:sz w:val="20"/>
              </w:rPr>
              <w:t>说明 1、企业类型的划分以统计部门的统计数据为依据。</w:t>
            </w:r>
          </w:p>
          <w:p w14:paraId="67416FB5">
            <w:pPr>
              <w:widowControl/>
              <w:ind w:firstLine="600" w:firstLineChars="300"/>
              <w:jc w:val="left"/>
              <w:rPr>
                <w:rFonts w:ascii="宋体" w:hAnsi="宋体" w:cs="宋体"/>
                <w:color w:val="auto"/>
                <w:kern w:val="0"/>
                <w:sz w:val="20"/>
              </w:rPr>
            </w:pPr>
            <w:r>
              <w:rPr>
                <w:rFonts w:hint="eastAsia" w:ascii="宋体" w:hAnsi="宋体" w:cs="宋体"/>
                <w:color w:val="auto"/>
                <w:kern w:val="0"/>
                <w:sz w:val="20"/>
              </w:rPr>
              <w:t>2、个体工商户和本规定以外的行业，参照本规定进行划型。</w:t>
            </w:r>
          </w:p>
          <w:p w14:paraId="3E22D3D8">
            <w:pPr>
              <w:widowControl/>
              <w:ind w:firstLine="600" w:firstLineChars="300"/>
              <w:jc w:val="left"/>
              <w:rPr>
                <w:rFonts w:ascii="宋体" w:hAnsi="宋体" w:cs="宋体"/>
                <w:color w:val="auto"/>
                <w:kern w:val="0"/>
                <w:sz w:val="20"/>
              </w:rPr>
            </w:pPr>
            <w:r>
              <w:rPr>
                <w:rFonts w:hint="eastAsia" w:ascii="宋体" w:hAnsi="宋体" w:cs="宋体"/>
                <w:color w:val="auto"/>
                <w:kern w:val="0"/>
                <w:sz w:val="20"/>
              </w:rPr>
              <w:t>3、本规定的中型企业标准上限即为大型企业标准的下限。</w:t>
            </w:r>
          </w:p>
        </w:tc>
      </w:tr>
    </w:tbl>
    <w:p w14:paraId="0B2C54B4">
      <w:pPr>
        <w:spacing w:line="400" w:lineRule="exact"/>
        <w:ind w:firstLine="420" w:firstLineChars="200"/>
        <w:rPr>
          <w:rFonts w:ascii="宋体" w:hAnsi="宋体"/>
          <w:color w:val="auto"/>
        </w:rPr>
      </w:pPr>
    </w:p>
    <w:sectPr>
      <w:headerReference r:id="rId16" w:type="default"/>
      <w:footerReference r:id="rId17" w:type="default"/>
      <w:pgSz w:w="16840" w:h="11907" w:orient="landscape"/>
      <w:pgMar w:top="1338" w:right="1140" w:bottom="1138" w:left="1134" w:header="284"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1067C">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5558">
    <w:pPr>
      <w:pStyle w:val="26"/>
      <w:framePr w:wrap="around" w:vAnchor="text" w:hAnchor="margin" w:xAlign="center" w:y="1"/>
      <w:rPr>
        <w:rStyle w:val="48"/>
      </w:rPr>
    </w:pPr>
    <w:r>
      <w:fldChar w:fldCharType="begin"/>
    </w:r>
    <w:r>
      <w:rPr>
        <w:rStyle w:val="48"/>
      </w:rPr>
      <w:instrText xml:space="preserve">PAGE  </w:instrText>
    </w:r>
    <w:r>
      <w:fldChar w:fldCharType="end"/>
    </w:r>
  </w:p>
  <w:p w14:paraId="60FDC5D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DAC1">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14:paraId="10A18A28">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56EC">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12</w:t>
    </w:r>
    <w:r>
      <w:fldChar w:fldCharType="end"/>
    </w:r>
  </w:p>
  <w:p w14:paraId="0463D680">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F814">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29</w:t>
    </w:r>
    <w:r>
      <w:fldChar w:fldCharType="end"/>
    </w:r>
  </w:p>
  <w:p w14:paraId="488F9B6C">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0B3A">
    <w:pPr>
      <w:pStyle w:val="26"/>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32</w:t>
    </w:r>
    <w:r>
      <w:fldChar w:fldCharType="end"/>
    </w:r>
  </w:p>
  <w:p w14:paraId="3C1075C2">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74D">
    <w:pPr>
      <w:pStyle w:val="26"/>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43</w:t>
    </w:r>
    <w:r>
      <w:fldChar w:fldCharType="end"/>
    </w:r>
  </w:p>
  <w:p w14:paraId="54DDA178">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722C">
    <w:pPr>
      <w:pStyle w:val="26"/>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44</w:t>
    </w:r>
    <w:r>
      <w:fldChar w:fldCharType="end"/>
    </w:r>
  </w:p>
  <w:p w14:paraId="3036AFB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D662">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1C4C">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6783A">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ADF2">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A53A">
    <w:pPr>
      <w:pStyle w:val="2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52A0">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B1C4">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285"/>
  <w:displayHorizontalDrawingGridEvery w:val="2"/>
  <w:noPunctuationKerning w:val="1"/>
  <w:characterSpacingControl w:val="compressPunctuation"/>
  <w:compat>
    <w:spaceForUL/>
    <w:balanceSingleByteDoubleByteWidth/>
    <w:doNotLeaveBackslashAlone/>
    <w:doNotExpandShiftReturn/>
    <w:useFELayout/>
    <w:compatSetting w:name="compatibilityMode" w:uri="http://schemas.microsoft.com/office/word" w:val="12"/>
  </w:compat>
  <w:docVars>
    <w:docVar w:name="commondata" w:val="eyJoZGlkIjoiMzRiNzQ2MGJiYTA4MTc0MmYyOWQ3NGRmMTdjM2ExZGUifQ=="/>
  </w:docVars>
  <w:rsids>
    <w:rsidRoot w:val="00D719E6"/>
    <w:rsid w:val="00000399"/>
    <w:rsid w:val="000008B6"/>
    <w:rsid w:val="00000F6F"/>
    <w:rsid w:val="00000FD8"/>
    <w:rsid w:val="00001A82"/>
    <w:rsid w:val="00002288"/>
    <w:rsid w:val="00002B25"/>
    <w:rsid w:val="0000343E"/>
    <w:rsid w:val="00003757"/>
    <w:rsid w:val="0000377D"/>
    <w:rsid w:val="0000380B"/>
    <w:rsid w:val="00003965"/>
    <w:rsid w:val="00003A34"/>
    <w:rsid w:val="00003B24"/>
    <w:rsid w:val="00003B7F"/>
    <w:rsid w:val="00003E11"/>
    <w:rsid w:val="00003F93"/>
    <w:rsid w:val="0000405C"/>
    <w:rsid w:val="00004888"/>
    <w:rsid w:val="00004C35"/>
    <w:rsid w:val="000053D5"/>
    <w:rsid w:val="00005A5E"/>
    <w:rsid w:val="00005AD2"/>
    <w:rsid w:val="00005B62"/>
    <w:rsid w:val="000060A7"/>
    <w:rsid w:val="000060C9"/>
    <w:rsid w:val="00006265"/>
    <w:rsid w:val="0000684E"/>
    <w:rsid w:val="0000693E"/>
    <w:rsid w:val="00006CD5"/>
    <w:rsid w:val="000071E6"/>
    <w:rsid w:val="00007A27"/>
    <w:rsid w:val="00007A91"/>
    <w:rsid w:val="00007AFA"/>
    <w:rsid w:val="00007FB4"/>
    <w:rsid w:val="00010002"/>
    <w:rsid w:val="0001031A"/>
    <w:rsid w:val="000105DB"/>
    <w:rsid w:val="0001102F"/>
    <w:rsid w:val="00011313"/>
    <w:rsid w:val="00011427"/>
    <w:rsid w:val="00011727"/>
    <w:rsid w:val="000117D3"/>
    <w:rsid w:val="00011872"/>
    <w:rsid w:val="00012022"/>
    <w:rsid w:val="00012585"/>
    <w:rsid w:val="00012728"/>
    <w:rsid w:val="0001286E"/>
    <w:rsid w:val="000129F0"/>
    <w:rsid w:val="00014763"/>
    <w:rsid w:val="000147A6"/>
    <w:rsid w:val="000147E2"/>
    <w:rsid w:val="000156FF"/>
    <w:rsid w:val="00015A10"/>
    <w:rsid w:val="0001664F"/>
    <w:rsid w:val="00016E4F"/>
    <w:rsid w:val="000171FF"/>
    <w:rsid w:val="000174C2"/>
    <w:rsid w:val="00017DC3"/>
    <w:rsid w:val="0002053F"/>
    <w:rsid w:val="000207B6"/>
    <w:rsid w:val="00020890"/>
    <w:rsid w:val="0002108C"/>
    <w:rsid w:val="0002115F"/>
    <w:rsid w:val="000212AE"/>
    <w:rsid w:val="000217E4"/>
    <w:rsid w:val="00021CC3"/>
    <w:rsid w:val="000222E6"/>
    <w:rsid w:val="00022DC6"/>
    <w:rsid w:val="000235AF"/>
    <w:rsid w:val="000238B5"/>
    <w:rsid w:val="00024548"/>
    <w:rsid w:val="00024EC2"/>
    <w:rsid w:val="00024F13"/>
    <w:rsid w:val="0002570D"/>
    <w:rsid w:val="00026061"/>
    <w:rsid w:val="00026D80"/>
    <w:rsid w:val="000270C0"/>
    <w:rsid w:val="00027906"/>
    <w:rsid w:val="0002795F"/>
    <w:rsid w:val="00027A5D"/>
    <w:rsid w:val="00027AC0"/>
    <w:rsid w:val="0003018B"/>
    <w:rsid w:val="00030242"/>
    <w:rsid w:val="000308B3"/>
    <w:rsid w:val="00030919"/>
    <w:rsid w:val="00030B2F"/>
    <w:rsid w:val="000312DA"/>
    <w:rsid w:val="000322B7"/>
    <w:rsid w:val="000324FE"/>
    <w:rsid w:val="000328FE"/>
    <w:rsid w:val="00032B67"/>
    <w:rsid w:val="0003301F"/>
    <w:rsid w:val="0003306F"/>
    <w:rsid w:val="0003344C"/>
    <w:rsid w:val="00033877"/>
    <w:rsid w:val="00034019"/>
    <w:rsid w:val="000344B9"/>
    <w:rsid w:val="00034E2F"/>
    <w:rsid w:val="0003542B"/>
    <w:rsid w:val="000354B7"/>
    <w:rsid w:val="000357C9"/>
    <w:rsid w:val="00035A63"/>
    <w:rsid w:val="000363B7"/>
    <w:rsid w:val="00036D1A"/>
    <w:rsid w:val="000378FE"/>
    <w:rsid w:val="00037CD2"/>
    <w:rsid w:val="00037CE4"/>
    <w:rsid w:val="00040383"/>
    <w:rsid w:val="000406F5"/>
    <w:rsid w:val="000408D4"/>
    <w:rsid w:val="00040B4D"/>
    <w:rsid w:val="00040C62"/>
    <w:rsid w:val="0004141A"/>
    <w:rsid w:val="000414C4"/>
    <w:rsid w:val="00041A39"/>
    <w:rsid w:val="00042059"/>
    <w:rsid w:val="00042CA9"/>
    <w:rsid w:val="00043490"/>
    <w:rsid w:val="00043530"/>
    <w:rsid w:val="0004386C"/>
    <w:rsid w:val="00044A80"/>
    <w:rsid w:val="00045CE3"/>
    <w:rsid w:val="0004615F"/>
    <w:rsid w:val="000467BF"/>
    <w:rsid w:val="0004694B"/>
    <w:rsid w:val="00046F89"/>
    <w:rsid w:val="00047373"/>
    <w:rsid w:val="000479BA"/>
    <w:rsid w:val="00050357"/>
    <w:rsid w:val="00050C52"/>
    <w:rsid w:val="00051226"/>
    <w:rsid w:val="0005145F"/>
    <w:rsid w:val="00051EC3"/>
    <w:rsid w:val="00052035"/>
    <w:rsid w:val="00052187"/>
    <w:rsid w:val="0005273A"/>
    <w:rsid w:val="00052B1F"/>
    <w:rsid w:val="00052B7C"/>
    <w:rsid w:val="00052BBD"/>
    <w:rsid w:val="00053208"/>
    <w:rsid w:val="00053211"/>
    <w:rsid w:val="0005437E"/>
    <w:rsid w:val="000546A6"/>
    <w:rsid w:val="00054803"/>
    <w:rsid w:val="00054925"/>
    <w:rsid w:val="00054AD8"/>
    <w:rsid w:val="00054CDC"/>
    <w:rsid w:val="00054D7E"/>
    <w:rsid w:val="00055134"/>
    <w:rsid w:val="000555E4"/>
    <w:rsid w:val="00055A3D"/>
    <w:rsid w:val="00055A61"/>
    <w:rsid w:val="00055A6F"/>
    <w:rsid w:val="000564BB"/>
    <w:rsid w:val="000567F0"/>
    <w:rsid w:val="0005697B"/>
    <w:rsid w:val="00056B02"/>
    <w:rsid w:val="00056DC8"/>
    <w:rsid w:val="00056F94"/>
    <w:rsid w:val="000576E8"/>
    <w:rsid w:val="00057B58"/>
    <w:rsid w:val="00057B61"/>
    <w:rsid w:val="00057D5B"/>
    <w:rsid w:val="0006041F"/>
    <w:rsid w:val="00060FB1"/>
    <w:rsid w:val="000613FD"/>
    <w:rsid w:val="000617D3"/>
    <w:rsid w:val="00061A87"/>
    <w:rsid w:val="00061D54"/>
    <w:rsid w:val="00061F8D"/>
    <w:rsid w:val="00062322"/>
    <w:rsid w:val="000627EB"/>
    <w:rsid w:val="000628D7"/>
    <w:rsid w:val="00062A9E"/>
    <w:rsid w:val="00063297"/>
    <w:rsid w:val="00063327"/>
    <w:rsid w:val="00063E9D"/>
    <w:rsid w:val="000641E4"/>
    <w:rsid w:val="00064C04"/>
    <w:rsid w:val="00065328"/>
    <w:rsid w:val="00065BA9"/>
    <w:rsid w:val="00065CDD"/>
    <w:rsid w:val="000675B4"/>
    <w:rsid w:val="0007040C"/>
    <w:rsid w:val="0007088F"/>
    <w:rsid w:val="00070AC0"/>
    <w:rsid w:val="00071AB2"/>
    <w:rsid w:val="00071F49"/>
    <w:rsid w:val="0007223B"/>
    <w:rsid w:val="000727D6"/>
    <w:rsid w:val="000729D0"/>
    <w:rsid w:val="00072F9F"/>
    <w:rsid w:val="00072FA2"/>
    <w:rsid w:val="00073D89"/>
    <w:rsid w:val="00073E27"/>
    <w:rsid w:val="00073E9D"/>
    <w:rsid w:val="00074517"/>
    <w:rsid w:val="00074529"/>
    <w:rsid w:val="000746FD"/>
    <w:rsid w:val="0007479C"/>
    <w:rsid w:val="000749F0"/>
    <w:rsid w:val="00074C0F"/>
    <w:rsid w:val="00074FCC"/>
    <w:rsid w:val="00075876"/>
    <w:rsid w:val="0007617D"/>
    <w:rsid w:val="00076AD7"/>
    <w:rsid w:val="00076EAC"/>
    <w:rsid w:val="000770AD"/>
    <w:rsid w:val="00077207"/>
    <w:rsid w:val="000772D3"/>
    <w:rsid w:val="0007754D"/>
    <w:rsid w:val="00077720"/>
    <w:rsid w:val="00077864"/>
    <w:rsid w:val="00077ED8"/>
    <w:rsid w:val="00077F66"/>
    <w:rsid w:val="00080227"/>
    <w:rsid w:val="00080787"/>
    <w:rsid w:val="00080A0D"/>
    <w:rsid w:val="00080BBB"/>
    <w:rsid w:val="000816EB"/>
    <w:rsid w:val="000817BD"/>
    <w:rsid w:val="00081933"/>
    <w:rsid w:val="00081DAC"/>
    <w:rsid w:val="00081E32"/>
    <w:rsid w:val="00082367"/>
    <w:rsid w:val="0008275C"/>
    <w:rsid w:val="00083375"/>
    <w:rsid w:val="000839A6"/>
    <w:rsid w:val="00083CA0"/>
    <w:rsid w:val="00084354"/>
    <w:rsid w:val="000846B2"/>
    <w:rsid w:val="0008474C"/>
    <w:rsid w:val="000848B5"/>
    <w:rsid w:val="00084A15"/>
    <w:rsid w:val="00084E12"/>
    <w:rsid w:val="0008644B"/>
    <w:rsid w:val="0008654F"/>
    <w:rsid w:val="0008683C"/>
    <w:rsid w:val="00087365"/>
    <w:rsid w:val="00090344"/>
    <w:rsid w:val="00090391"/>
    <w:rsid w:val="00090836"/>
    <w:rsid w:val="00090BEC"/>
    <w:rsid w:val="00090E11"/>
    <w:rsid w:val="0009114B"/>
    <w:rsid w:val="000912DB"/>
    <w:rsid w:val="000913E5"/>
    <w:rsid w:val="00091A35"/>
    <w:rsid w:val="00092307"/>
    <w:rsid w:val="0009241D"/>
    <w:rsid w:val="000929F7"/>
    <w:rsid w:val="00092D61"/>
    <w:rsid w:val="000931F0"/>
    <w:rsid w:val="000938B8"/>
    <w:rsid w:val="00093CBA"/>
    <w:rsid w:val="00093EC3"/>
    <w:rsid w:val="0009437E"/>
    <w:rsid w:val="000945F2"/>
    <w:rsid w:val="00094B0A"/>
    <w:rsid w:val="00094F80"/>
    <w:rsid w:val="0009506C"/>
    <w:rsid w:val="00095896"/>
    <w:rsid w:val="00096587"/>
    <w:rsid w:val="00096A7B"/>
    <w:rsid w:val="00096C6C"/>
    <w:rsid w:val="00097214"/>
    <w:rsid w:val="0009722E"/>
    <w:rsid w:val="00097CB6"/>
    <w:rsid w:val="00097E9F"/>
    <w:rsid w:val="000A01C4"/>
    <w:rsid w:val="000A0479"/>
    <w:rsid w:val="000A0519"/>
    <w:rsid w:val="000A0641"/>
    <w:rsid w:val="000A0A04"/>
    <w:rsid w:val="000A0EE3"/>
    <w:rsid w:val="000A1236"/>
    <w:rsid w:val="000A1BEB"/>
    <w:rsid w:val="000A1FFE"/>
    <w:rsid w:val="000A2220"/>
    <w:rsid w:val="000A24ED"/>
    <w:rsid w:val="000A2586"/>
    <w:rsid w:val="000A2F3B"/>
    <w:rsid w:val="000A3203"/>
    <w:rsid w:val="000A33F2"/>
    <w:rsid w:val="000A387A"/>
    <w:rsid w:val="000A3B0C"/>
    <w:rsid w:val="000A3CD8"/>
    <w:rsid w:val="000A3CEB"/>
    <w:rsid w:val="000A4188"/>
    <w:rsid w:val="000A4819"/>
    <w:rsid w:val="000A57F0"/>
    <w:rsid w:val="000A5C01"/>
    <w:rsid w:val="000A5D38"/>
    <w:rsid w:val="000A5EDF"/>
    <w:rsid w:val="000A6039"/>
    <w:rsid w:val="000A6155"/>
    <w:rsid w:val="000A7192"/>
    <w:rsid w:val="000A79AE"/>
    <w:rsid w:val="000A7A23"/>
    <w:rsid w:val="000A7C4C"/>
    <w:rsid w:val="000B03F1"/>
    <w:rsid w:val="000B07BA"/>
    <w:rsid w:val="000B084C"/>
    <w:rsid w:val="000B107C"/>
    <w:rsid w:val="000B10E2"/>
    <w:rsid w:val="000B1B5F"/>
    <w:rsid w:val="000B1CF7"/>
    <w:rsid w:val="000B2117"/>
    <w:rsid w:val="000B212C"/>
    <w:rsid w:val="000B24B3"/>
    <w:rsid w:val="000B330B"/>
    <w:rsid w:val="000B3414"/>
    <w:rsid w:val="000B39B2"/>
    <w:rsid w:val="000B3BC9"/>
    <w:rsid w:val="000B3C5E"/>
    <w:rsid w:val="000B3D15"/>
    <w:rsid w:val="000B435E"/>
    <w:rsid w:val="000B4418"/>
    <w:rsid w:val="000B44B1"/>
    <w:rsid w:val="000B45AC"/>
    <w:rsid w:val="000B494B"/>
    <w:rsid w:val="000B4D71"/>
    <w:rsid w:val="000B5D68"/>
    <w:rsid w:val="000B5FA9"/>
    <w:rsid w:val="000B779E"/>
    <w:rsid w:val="000C001F"/>
    <w:rsid w:val="000C00C1"/>
    <w:rsid w:val="000C083F"/>
    <w:rsid w:val="000C12D4"/>
    <w:rsid w:val="000C1494"/>
    <w:rsid w:val="000C162E"/>
    <w:rsid w:val="000C1EB3"/>
    <w:rsid w:val="000C27D4"/>
    <w:rsid w:val="000C28B3"/>
    <w:rsid w:val="000C29B6"/>
    <w:rsid w:val="000C2F90"/>
    <w:rsid w:val="000C30FE"/>
    <w:rsid w:val="000C3334"/>
    <w:rsid w:val="000C3E16"/>
    <w:rsid w:val="000C59C2"/>
    <w:rsid w:val="000C5B6F"/>
    <w:rsid w:val="000C6077"/>
    <w:rsid w:val="000C608D"/>
    <w:rsid w:val="000C6114"/>
    <w:rsid w:val="000C6820"/>
    <w:rsid w:val="000C6B9C"/>
    <w:rsid w:val="000C71FA"/>
    <w:rsid w:val="000C7929"/>
    <w:rsid w:val="000D00BF"/>
    <w:rsid w:val="000D06B7"/>
    <w:rsid w:val="000D0747"/>
    <w:rsid w:val="000D094C"/>
    <w:rsid w:val="000D0C42"/>
    <w:rsid w:val="000D15A4"/>
    <w:rsid w:val="000D15FE"/>
    <w:rsid w:val="000D1698"/>
    <w:rsid w:val="000D24F3"/>
    <w:rsid w:val="000D2D36"/>
    <w:rsid w:val="000D3060"/>
    <w:rsid w:val="000D380C"/>
    <w:rsid w:val="000D3BFB"/>
    <w:rsid w:val="000D429B"/>
    <w:rsid w:val="000D4688"/>
    <w:rsid w:val="000D4F25"/>
    <w:rsid w:val="000D5205"/>
    <w:rsid w:val="000D5379"/>
    <w:rsid w:val="000D53F8"/>
    <w:rsid w:val="000D5612"/>
    <w:rsid w:val="000D58AC"/>
    <w:rsid w:val="000D5D57"/>
    <w:rsid w:val="000D5F1A"/>
    <w:rsid w:val="000D6083"/>
    <w:rsid w:val="000D72BD"/>
    <w:rsid w:val="000D766C"/>
    <w:rsid w:val="000D7823"/>
    <w:rsid w:val="000D7EEF"/>
    <w:rsid w:val="000D7FF8"/>
    <w:rsid w:val="000E038D"/>
    <w:rsid w:val="000E07CB"/>
    <w:rsid w:val="000E0C9E"/>
    <w:rsid w:val="000E1014"/>
    <w:rsid w:val="000E1D05"/>
    <w:rsid w:val="000E1F13"/>
    <w:rsid w:val="000E2042"/>
    <w:rsid w:val="000E2627"/>
    <w:rsid w:val="000E2E11"/>
    <w:rsid w:val="000E2E16"/>
    <w:rsid w:val="000E2FFC"/>
    <w:rsid w:val="000E32E1"/>
    <w:rsid w:val="000E3656"/>
    <w:rsid w:val="000E3906"/>
    <w:rsid w:val="000E4299"/>
    <w:rsid w:val="000E5124"/>
    <w:rsid w:val="000E5258"/>
    <w:rsid w:val="000E5D43"/>
    <w:rsid w:val="000E68DF"/>
    <w:rsid w:val="000E6DDA"/>
    <w:rsid w:val="000E728B"/>
    <w:rsid w:val="000E7861"/>
    <w:rsid w:val="000E7F53"/>
    <w:rsid w:val="000F0E41"/>
    <w:rsid w:val="000F1949"/>
    <w:rsid w:val="000F1C49"/>
    <w:rsid w:val="000F1C96"/>
    <w:rsid w:val="000F1FC1"/>
    <w:rsid w:val="000F1FC2"/>
    <w:rsid w:val="000F2087"/>
    <w:rsid w:val="000F22BF"/>
    <w:rsid w:val="000F2351"/>
    <w:rsid w:val="000F24E1"/>
    <w:rsid w:val="000F25BC"/>
    <w:rsid w:val="000F2642"/>
    <w:rsid w:val="000F29BC"/>
    <w:rsid w:val="000F2C17"/>
    <w:rsid w:val="000F33E3"/>
    <w:rsid w:val="000F3C7F"/>
    <w:rsid w:val="000F459B"/>
    <w:rsid w:val="000F488F"/>
    <w:rsid w:val="000F4958"/>
    <w:rsid w:val="000F4CBF"/>
    <w:rsid w:val="000F4D92"/>
    <w:rsid w:val="000F4F75"/>
    <w:rsid w:val="000F52F1"/>
    <w:rsid w:val="000F5B2B"/>
    <w:rsid w:val="000F5B4B"/>
    <w:rsid w:val="000F6476"/>
    <w:rsid w:val="000F6D25"/>
    <w:rsid w:val="000F6F06"/>
    <w:rsid w:val="000F76B2"/>
    <w:rsid w:val="00100704"/>
    <w:rsid w:val="00100F0C"/>
    <w:rsid w:val="00101002"/>
    <w:rsid w:val="00101345"/>
    <w:rsid w:val="00101556"/>
    <w:rsid w:val="00101FBA"/>
    <w:rsid w:val="00102534"/>
    <w:rsid w:val="00102A0A"/>
    <w:rsid w:val="00102BB1"/>
    <w:rsid w:val="001035C7"/>
    <w:rsid w:val="00103700"/>
    <w:rsid w:val="00103BD2"/>
    <w:rsid w:val="001040C1"/>
    <w:rsid w:val="00104683"/>
    <w:rsid w:val="001047ED"/>
    <w:rsid w:val="00104D43"/>
    <w:rsid w:val="0010559C"/>
    <w:rsid w:val="001055C2"/>
    <w:rsid w:val="00105721"/>
    <w:rsid w:val="00106100"/>
    <w:rsid w:val="001062FF"/>
    <w:rsid w:val="00106308"/>
    <w:rsid w:val="00106EC8"/>
    <w:rsid w:val="00107792"/>
    <w:rsid w:val="001079C0"/>
    <w:rsid w:val="001103FB"/>
    <w:rsid w:val="001104B2"/>
    <w:rsid w:val="001105D7"/>
    <w:rsid w:val="00110BBC"/>
    <w:rsid w:val="00111378"/>
    <w:rsid w:val="001117E4"/>
    <w:rsid w:val="00111993"/>
    <w:rsid w:val="00111D5E"/>
    <w:rsid w:val="00112313"/>
    <w:rsid w:val="00112949"/>
    <w:rsid w:val="00112E6F"/>
    <w:rsid w:val="00113033"/>
    <w:rsid w:val="0011325D"/>
    <w:rsid w:val="0011397C"/>
    <w:rsid w:val="00113A35"/>
    <w:rsid w:val="00113C05"/>
    <w:rsid w:val="00113C92"/>
    <w:rsid w:val="00113FDE"/>
    <w:rsid w:val="0011415F"/>
    <w:rsid w:val="001147B5"/>
    <w:rsid w:val="00114B04"/>
    <w:rsid w:val="00114BAC"/>
    <w:rsid w:val="00114C3A"/>
    <w:rsid w:val="001155EA"/>
    <w:rsid w:val="0011576C"/>
    <w:rsid w:val="0011637E"/>
    <w:rsid w:val="00116E96"/>
    <w:rsid w:val="00117106"/>
    <w:rsid w:val="001176FB"/>
    <w:rsid w:val="00117790"/>
    <w:rsid w:val="001178EF"/>
    <w:rsid w:val="00117C5C"/>
    <w:rsid w:val="00117E03"/>
    <w:rsid w:val="00120442"/>
    <w:rsid w:val="001212F8"/>
    <w:rsid w:val="00121861"/>
    <w:rsid w:val="00121966"/>
    <w:rsid w:val="00121F01"/>
    <w:rsid w:val="00123CC5"/>
    <w:rsid w:val="0012424E"/>
    <w:rsid w:val="00124275"/>
    <w:rsid w:val="0012428B"/>
    <w:rsid w:val="001243EA"/>
    <w:rsid w:val="0012453B"/>
    <w:rsid w:val="0012455A"/>
    <w:rsid w:val="001248F7"/>
    <w:rsid w:val="00124F2B"/>
    <w:rsid w:val="00125836"/>
    <w:rsid w:val="0012587E"/>
    <w:rsid w:val="00125C6D"/>
    <w:rsid w:val="00125DA2"/>
    <w:rsid w:val="00126530"/>
    <w:rsid w:val="001269AD"/>
    <w:rsid w:val="00126A5F"/>
    <w:rsid w:val="00126E75"/>
    <w:rsid w:val="00127C2A"/>
    <w:rsid w:val="00127CD2"/>
    <w:rsid w:val="001302F6"/>
    <w:rsid w:val="00130341"/>
    <w:rsid w:val="0013050A"/>
    <w:rsid w:val="0013059A"/>
    <w:rsid w:val="001310CF"/>
    <w:rsid w:val="0013128B"/>
    <w:rsid w:val="00131991"/>
    <w:rsid w:val="00131ACB"/>
    <w:rsid w:val="00131DCD"/>
    <w:rsid w:val="00131EF0"/>
    <w:rsid w:val="00132372"/>
    <w:rsid w:val="001323E6"/>
    <w:rsid w:val="00132658"/>
    <w:rsid w:val="001328DE"/>
    <w:rsid w:val="00132CE1"/>
    <w:rsid w:val="001330A5"/>
    <w:rsid w:val="00133159"/>
    <w:rsid w:val="00133304"/>
    <w:rsid w:val="0013339A"/>
    <w:rsid w:val="001335EE"/>
    <w:rsid w:val="00133A14"/>
    <w:rsid w:val="00133AAC"/>
    <w:rsid w:val="00133B90"/>
    <w:rsid w:val="00133F6B"/>
    <w:rsid w:val="0013482F"/>
    <w:rsid w:val="0013584A"/>
    <w:rsid w:val="001359EE"/>
    <w:rsid w:val="00135E21"/>
    <w:rsid w:val="00136205"/>
    <w:rsid w:val="001364D0"/>
    <w:rsid w:val="001368FC"/>
    <w:rsid w:val="00136D4A"/>
    <w:rsid w:val="00136F9A"/>
    <w:rsid w:val="00137704"/>
    <w:rsid w:val="00137933"/>
    <w:rsid w:val="00140A16"/>
    <w:rsid w:val="00141496"/>
    <w:rsid w:val="001415AD"/>
    <w:rsid w:val="001416F1"/>
    <w:rsid w:val="001417DC"/>
    <w:rsid w:val="00141A3D"/>
    <w:rsid w:val="00141E30"/>
    <w:rsid w:val="001426B2"/>
    <w:rsid w:val="00142CBE"/>
    <w:rsid w:val="00142FFA"/>
    <w:rsid w:val="001436B1"/>
    <w:rsid w:val="00143987"/>
    <w:rsid w:val="0014457B"/>
    <w:rsid w:val="00144EAC"/>
    <w:rsid w:val="00144F73"/>
    <w:rsid w:val="0014506D"/>
    <w:rsid w:val="001451DC"/>
    <w:rsid w:val="001458B9"/>
    <w:rsid w:val="00145B87"/>
    <w:rsid w:val="001461CF"/>
    <w:rsid w:val="0014627F"/>
    <w:rsid w:val="0014637C"/>
    <w:rsid w:val="0014680E"/>
    <w:rsid w:val="001468E2"/>
    <w:rsid w:val="0014709C"/>
    <w:rsid w:val="001474EC"/>
    <w:rsid w:val="00147F26"/>
    <w:rsid w:val="00150002"/>
    <w:rsid w:val="00150074"/>
    <w:rsid w:val="0015014F"/>
    <w:rsid w:val="0015027B"/>
    <w:rsid w:val="001503E2"/>
    <w:rsid w:val="00150C69"/>
    <w:rsid w:val="001511A8"/>
    <w:rsid w:val="0015242E"/>
    <w:rsid w:val="00152754"/>
    <w:rsid w:val="00152888"/>
    <w:rsid w:val="00152D09"/>
    <w:rsid w:val="00153195"/>
    <w:rsid w:val="0015323D"/>
    <w:rsid w:val="00153474"/>
    <w:rsid w:val="00153BC7"/>
    <w:rsid w:val="001547B5"/>
    <w:rsid w:val="001554DC"/>
    <w:rsid w:val="00155677"/>
    <w:rsid w:val="00155C60"/>
    <w:rsid w:val="00155DD1"/>
    <w:rsid w:val="00156540"/>
    <w:rsid w:val="0015657B"/>
    <w:rsid w:val="00156B14"/>
    <w:rsid w:val="001576C6"/>
    <w:rsid w:val="00157814"/>
    <w:rsid w:val="0016019B"/>
    <w:rsid w:val="0016029D"/>
    <w:rsid w:val="00160AEE"/>
    <w:rsid w:val="0016122F"/>
    <w:rsid w:val="0016197A"/>
    <w:rsid w:val="001622EC"/>
    <w:rsid w:val="00162340"/>
    <w:rsid w:val="001627F0"/>
    <w:rsid w:val="0016287E"/>
    <w:rsid w:val="00162CE9"/>
    <w:rsid w:val="00162FA5"/>
    <w:rsid w:val="00162FAC"/>
    <w:rsid w:val="0016318C"/>
    <w:rsid w:val="001633C4"/>
    <w:rsid w:val="001635BE"/>
    <w:rsid w:val="00163A31"/>
    <w:rsid w:val="00164368"/>
    <w:rsid w:val="0016437F"/>
    <w:rsid w:val="0016484A"/>
    <w:rsid w:val="00164BD5"/>
    <w:rsid w:val="001657E4"/>
    <w:rsid w:val="001659A8"/>
    <w:rsid w:val="00165F65"/>
    <w:rsid w:val="00166657"/>
    <w:rsid w:val="001674DB"/>
    <w:rsid w:val="00167523"/>
    <w:rsid w:val="0016794D"/>
    <w:rsid w:val="00170054"/>
    <w:rsid w:val="001702D9"/>
    <w:rsid w:val="001703BA"/>
    <w:rsid w:val="001705D6"/>
    <w:rsid w:val="001709FC"/>
    <w:rsid w:val="00170C4D"/>
    <w:rsid w:val="00170FD2"/>
    <w:rsid w:val="0017144A"/>
    <w:rsid w:val="0017189E"/>
    <w:rsid w:val="00172247"/>
    <w:rsid w:val="00172561"/>
    <w:rsid w:val="00172D38"/>
    <w:rsid w:val="00173931"/>
    <w:rsid w:val="001739A9"/>
    <w:rsid w:val="00173E29"/>
    <w:rsid w:val="001741D7"/>
    <w:rsid w:val="00174277"/>
    <w:rsid w:val="00174EFC"/>
    <w:rsid w:val="0017524D"/>
    <w:rsid w:val="00175525"/>
    <w:rsid w:val="0017575F"/>
    <w:rsid w:val="00175A54"/>
    <w:rsid w:val="00175F2F"/>
    <w:rsid w:val="00175F46"/>
    <w:rsid w:val="00176341"/>
    <w:rsid w:val="001767B7"/>
    <w:rsid w:val="001775BD"/>
    <w:rsid w:val="001775F1"/>
    <w:rsid w:val="0017763A"/>
    <w:rsid w:val="001779C1"/>
    <w:rsid w:val="00177FD9"/>
    <w:rsid w:val="001800AD"/>
    <w:rsid w:val="001801EC"/>
    <w:rsid w:val="00181450"/>
    <w:rsid w:val="00181697"/>
    <w:rsid w:val="001817EF"/>
    <w:rsid w:val="00181974"/>
    <w:rsid w:val="0018278E"/>
    <w:rsid w:val="00182B02"/>
    <w:rsid w:val="00182BB0"/>
    <w:rsid w:val="00183054"/>
    <w:rsid w:val="0018332F"/>
    <w:rsid w:val="0018342B"/>
    <w:rsid w:val="001837F7"/>
    <w:rsid w:val="00184286"/>
    <w:rsid w:val="0018434F"/>
    <w:rsid w:val="001843A4"/>
    <w:rsid w:val="00184CCA"/>
    <w:rsid w:val="0018503F"/>
    <w:rsid w:val="00185099"/>
    <w:rsid w:val="001854F3"/>
    <w:rsid w:val="0018565C"/>
    <w:rsid w:val="00185801"/>
    <w:rsid w:val="0018608B"/>
    <w:rsid w:val="0018613E"/>
    <w:rsid w:val="0018614A"/>
    <w:rsid w:val="001865FE"/>
    <w:rsid w:val="00186A73"/>
    <w:rsid w:val="00186DA3"/>
    <w:rsid w:val="00187302"/>
    <w:rsid w:val="001875C4"/>
    <w:rsid w:val="00187636"/>
    <w:rsid w:val="0018780A"/>
    <w:rsid w:val="00187B3F"/>
    <w:rsid w:val="00187BF6"/>
    <w:rsid w:val="00187CBC"/>
    <w:rsid w:val="00187FF2"/>
    <w:rsid w:val="00190BFC"/>
    <w:rsid w:val="00190FD9"/>
    <w:rsid w:val="0019113E"/>
    <w:rsid w:val="0019118D"/>
    <w:rsid w:val="001919BD"/>
    <w:rsid w:val="00191CF6"/>
    <w:rsid w:val="00192116"/>
    <w:rsid w:val="0019317F"/>
    <w:rsid w:val="00193C09"/>
    <w:rsid w:val="0019423B"/>
    <w:rsid w:val="0019477B"/>
    <w:rsid w:val="001949B8"/>
    <w:rsid w:val="00194FA2"/>
    <w:rsid w:val="0019565D"/>
    <w:rsid w:val="001967E0"/>
    <w:rsid w:val="00196C38"/>
    <w:rsid w:val="00196ED6"/>
    <w:rsid w:val="0019790F"/>
    <w:rsid w:val="00197AD2"/>
    <w:rsid w:val="00197E50"/>
    <w:rsid w:val="00197EBB"/>
    <w:rsid w:val="001A084B"/>
    <w:rsid w:val="001A114C"/>
    <w:rsid w:val="001A173D"/>
    <w:rsid w:val="001A1A43"/>
    <w:rsid w:val="001A2045"/>
    <w:rsid w:val="001A2482"/>
    <w:rsid w:val="001A263B"/>
    <w:rsid w:val="001A2952"/>
    <w:rsid w:val="001A2DEC"/>
    <w:rsid w:val="001A34EA"/>
    <w:rsid w:val="001A361A"/>
    <w:rsid w:val="001A3807"/>
    <w:rsid w:val="001A3BF8"/>
    <w:rsid w:val="001A4B78"/>
    <w:rsid w:val="001A4C9C"/>
    <w:rsid w:val="001A4CDB"/>
    <w:rsid w:val="001A4E91"/>
    <w:rsid w:val="001A558F"/>
    <w:rsid w:val="001A587D"/>
    <w:rsid w:val="001A5B02"/>
    <w:rsid w:val="001A6DE5"/>
    <w:rsid w:val="001A7F2E"/>
    <w:rsid w:val="001B0193"/>
    <w:rsid w:val="001B0EDA"/>
    <w:rsid w:val="001B1106"/>
    <w:rsid w:val="001B17AA"/>
    <w:rsid w:val="001B18AA"/>
    <w:rsid w:val="001B1B2E"/>
    <w:rsid w:val="001B21C0"/>
    <w:rsid w:val="001B24B3"/>
    <w:rsid w:val="001B2D59"/>
    <w:rsid w:val="001B3110"/>
    <w:rsid w:val="001B4088"/>
    <w:rsid w:val="001B4173"/>
    <w:rsid w:val="001B4465"/>
    <w:rsid w:val="001B47B7"/>
    <w:rsid w:val="001B55D1"/>
    <w:rsid w:val="001B5875"/>
    <w:rsid w:val="001B5ECA"/>
    <w:rsid w:val="001B6EE2"/>
    <w:rsid w:val="001B723E"/>
    <w:rsid w:val="001B7372"/>
    <w:rsid w:val="001B77D1"/>
    <w:rsid w:val="001B78A1"/>
    <w:rsid w:val="001B7B54"/>
    <w:rsid w:val="001B7F5F"/>
    <w:rsid w:val="001C0372"/>
    <w:rsid w:val="001C0919"/>
    <w:rsid w:val="001C0A2C"/>
    <w:rsid w:val="001C0A74"/>
    <w:rsid w:val="001C0D00"/>
    <w:rsid w:val="001C1322"/>
    <w:rsid w:val="001C174F"/>
    <w:rsid w:val="001C2294"/>
    <w:rsid w:val="001C22C5"/>
    <w:rsid w:val="001C22E7"/>
    <w:rsid w:val="001C27EC"/>
    <w:rsid w:val="001C2994"/>
    <w:rsid w:val="001C2F31"/>
    <w:rsid w:val="001C2FC9"/>
    <w:rsid w:val="001C40E9"/>
    <w:rsid w:val="001C4160"/>
    <w:rsid w:val="001C44D5"/>
    <w:rsid w:val="001C4585"/>
    <w:rsid w:val="001C4D15"/>
    <w:rsid w:val="001C4FDF"/>
    <w:rsid w:val="001C5694"/>
    <w:rsid w:val="001C5777"/>
    <w:rsid w:val="001C6080"/>
    <w:rsid w:val="001C616D"/>
    <w:rsid w:val="001C66C4"/>
    <w:rsid w:val="001C6C5A"/>
    <w:rsid w:val="001C6FFC"/>
    <w:rsid w:val="001C70C4"/>
    <w:rsid w:val="001C711E"/>
    <w:rsid w:val="001C7BA9"/>
    <w:rsid w:val="001D0098"/>
    <w:rsid w:val="001D00EE"/>
    <w:rsid w:val="001D05C7"/>
    <w:rsid w:val="001D0795"/>
    <w:rsid w:val="001D094C"/>
    <w:rsid w:val="001D0F4B"/>
    <w:rsid w:val="001D1073"/>
    <w:rsid w:val="001D13DD"/>
    <w:rsid w:val="001D17B4"/>
    <w:rsid w:val="001D1EA3"/>
    <w:rsid w:val="001D24D5"/>
    <w:rsid w:val="001D26E1"/>
    <w:rsid w:val="001D281A"/>
    <w:rsid w:val="001D2AD6"/>
    <w:rsid w:val="001D2F31"/>
    <w:rsid w:val="001D33B2"/>
    <w:rsid w:val="001D3A0E"/>
    <w:rsid w:val="001D3A5A"/>
    <w:rsid w:val="001D4289"/>
    <w:rsid w:val="001D50A0"/>
    <w:rsid w:val="001D5B7B"/>
    <w:rsid w:val="001D5FAC"/>
    <w:rsid w:val="001D64BE"/>
    <w:rsid w:val="001D6DA4"/>
    <w:rsid w:val="001D6DB6"/>
    <w:rsid w:val="001D7120"/>
    <w:rsid w:val="001D799D"/>
    <w:rsid w:val="001D79FA"/>
    <w:rsid w:val="001E07F5"/>
    <w:rsid w:val="001E0AE2"/>
    <w:rsid w:val="001E157E"/>
    <w:rsid w:val="001E17AA"/>
    <w:rsid w:val="001E1C51"/>
    <w:rsid w:val="001E2582"/>
    <w:rsid w:val="001E2AF8"/>
    <w:rsid w:val="001E2B42"/>
    <w:rsid w:val="001E343C"/>
    <w:rsid w:val="001E3AB7"/>
    <w:rsid w:val="001E47D7"/>
    <w:rsid w:val="001E4B3F"/>
    <w:rsid w:val="001E5632"/>
    <w:rsid w:val="001E5698"/>
    <w:rsid w:val="001E5B5D"/>
    <w:rsid w:val="001E6312"/>
    <w:rsid w:val="001E6DA3"/>
    <w:rsid w:val="001E6E32"/>
    <w:rsid w:val="001E7213"/>
    <w:rsid w:val="001E7BBF"/>
    <w:rsid w:val="001F00A4"/>
    <w:rsid w:val="001F02D5"/>
    <w:rsid w:val="001F12E8"/>
    <w:rsid w:val="001F1483"/>
    <w:rsid w:val="001F17B7"/>
    <w:rsid w:val="001F183C"/>
    <w:rsid w:val="001F1D4B"/>
    <w:rsid w:val="001F1D5B"/>
    <w:rsid w:val="001F216C"/>
    <w:rsid w:val="001F2172"/>
    <w:rsid w:val="001F261C"/>
    <w:rsid w:val="001F2E1E"/>
    <w:rsid w:val="001F368A"/>
    <w:rsid w:val="001F3C7A"/>
    <w:rsid w:val="001F3D29"/>
    <w:rsid w:val="001F4180"/>
    <w:rsid w:val="001F48F1"/>
    <w:rsid w:val="001F4B0A"/>
    <w:rsid w:val="001F55D6"/>
    <w:rsid w:val="001F5E23"/>
    <w:rsid w:val="001F5EA6"/>
    <w:rsid w:val="001F5F06"/>
    <w:rsid w:val="001F643F"/>
    <w:rsid w:val="001F659E"/>
    <w:rsid w:val="001F6635"/>
    <w:rsid w:val="001F6ECB"/>
    <w:rsid w:val="001F708B"/>
    <w:rsid w:val="002011FA"/>
    <w:rsid w:val="00201833"/>
    <w:rsid w:val="00201BD5"/>
    <w:rsid w:val="00201C82"/>
    <w:rsid w:val="00201E8C"/>
    <w:rsid w:val="00202929"/>
    <w:rsid w:val="00202BE3"/>
    <w:rsid w:val="002032BD"/>
    <w:rsid w:val="002036BD"/>
    <w:rsid w:val="002054C7"/>
    <w:rsid w:val="0020554A"/>
    <w:rsid w:val="00205CA2"/>
    <w:rsid w:val="002062FF"/>
    <w:rsid w:val="002069A1"/>
    <w:rsid w:val="00206BD2"/>
    <w:rsid w:val="00206FFE"/>
    <w:rsid w:val="002072D8"/>
    <w:rsid w:val="00207581"/>
    <w:rsid w:val="002076EA"/>
    <w:rsid w:val="00207AD7"/>
    <w:rsid w:val="00207D8B"/>
    <w:rsid w:val="00207DA1"/>
    <w:rsid w:val="00207E23"/>
    <w:rsid w:val="00210039"/>
    <w:rsid w:val="002108AC"/>
    <w:rsid w:val="00210FC8"/>
    <w:rsid w:val="002111A4"/>
    <w:rsid w:val="002112B5"/>
    <w:rsid w:val="002113AD"/>
    <w:rsid w:val="0021142E"/>
    <w:rsid w:val="002118CD"/>
    <w:rsid w:val="002118FE"/>
    <w:rsid w:val="00211D45"/>
    <w:rsid w:val="00211D58"/>
    <w:rsid w:val="00211DE6"/>
    <w:rsid w:val="00211F41"/>
    <w:rsid w:val="00211F70"/>
    <w:rsid w:val="00212479"/>
    <w:rsid w:val="002125FD"/>
    <w:rsid w:val="0021290B"/>
    <w:rsid w:val="00212BE6"/>
    <w:rsid w:val="00213360"/>
    <w:rsid w:val="002138AE"/>
    <w:rsid w:val="00213FBE"/>
    <w:rsid w:val="0021401E"/>
    <w:rsid w:val="002146F6"/>
    <w:rsid w:val="00214B65"/>
    <w:rsid w:val="0021517E"/>
    <w:rsid w:val="00215494"/>
    <w:rsid w:val="00215742"/>
    <w:rsid w:val="0021577D"/>
    <w:rsid w:val="00215858"/>
    <w:rsid w:val="00215FA5"/>
    <w:rsid w:val="002161BB"/>
    <w:rsid w:val="0021626E"/>
    <w:rsid w:val="00216684"/>
    <w:rsid w:val="00216ACC"/>
    <w:rsid w:val="00217322"/>
    <w:rsid w:val="00220B4B"/>
    <w:rsid w:val="002212F0"/>
    <w:rsid w:val="00221B65"/>
    <w:rsid w:val="00221F5E"/>
    <w:rsid w:val="00222E3E"/>
    <w:rsid w:val="00222F93"/>
    <w:rsid w:val="00223172"/>
    <w:rsid w:val="002234A0"/>
    <w:rsid w:val="00224083"/>
    <w:rsid w:val="00224273"/>
    <w:rsid w:val="00224483"/>
    <w:rsid w:val="002246AB"/>
    <w:rsid w:val="00224993"/>
    <w:rsid w:val="00224BB0"/>
    <w:rsid w:val="00224D5D"/>
    <w:rsid w:val="00225387"/>
    <w:rsid w:val="00225714"/>
    <w:rsid w:val="0022571D"/>
    <w:rsid w:val="0022589F"/>
    <w:rsid w:val="00225A0F"/>
    <w:rsid w:val="00225A19"/>
    <w:rsid w:val="0022634C"/>
    <w:rsid w:val="002265C8"/>
    <w:rsid w:val="00226A8F"/>
    <w:rsid w:val="0022710C"/>
    <w:rsid w:val="00227126"/>
    <w:rsid w:val="0022733D"/>
    <w:rsid w:val="00227828"/>
    <w:rsid w:val="00227937"/>
    <w:rsid w:val="002301F6"/>
    <w:rsid w:val="002305B8"/>
    <w:rsid w:val="002305FF"/>
    <w:rsid w:val="0023088F"/>
    <w:rsid w:val="00230A4F"/>
    <w:rsid w:val="00230A9F"/>
    <w:rsid w:val="00230C6C"/>
    <w:rsid w:val="00230E81"/>
    <w:rsid w:val="00230F5B"/>
    <w:rsid w:val="002311BB"/>
    <w:rsid w:val="00231643"/>
    <w:rsid w:val="002316AE"/>
    <w:rsid w:val="00231710"/>
    <w:rsid w:val="002317E2"/>
    <w:rsid w:val="00232184"/>
    <w:rsid w:val="002323CD"/>
    <w:rsid w:val="002327D0"/>
    <w:rsid w:val="002329AA"/>
    <w:rsid w:val="00232A15"/>
    <w:rsid w:val="00232E52"/>
    <w:rsid w:val="00233995"/>
    <w:rsid w:val="002347FB"/>
    <w:rsid w:val="00234838"/>
    <w:rsid w:val="00234C94"/>
    <w:rsid w:val="00235EBA"/>
    <w:rsid w:val="00235F4C"/>
    <w:rsid w:val="002361D9"/>
    <w:rsid w:val="0023645E"/>
    <w:rsid w:val="00236949"/>
    <w:rsid w:val="002369E4"/>
    <w:rsid w:val="00237CC6"/>
    <w:rsid w:val="00237F21"/>
    <w:rsid w:val="00237FA3"/>
    <w:rsid w:val="00240028"/>
    <w:rsid w:val="00240193"/>
    <w:rsid w:val="0024036D"/>
    <w:rsid w:val="0024149A"/>
    <w:rsid w:val="002416BD"/>
    <w:rsid w:val="00241A97"/>
    <w:rsid w:val="00241BB1"/>
    <w:rsid w:val="00241C29"/>
    <w:rsid w:val="00242946"/>
    <w:rsid w:val="002430F9"/>
    <w:rsid w:val="00243E7D"/>
    <w:rsid w:val="002444C6"/>
    <w:rsid w:val="00244819"/>
    <w:rsid w:val="00244A46"/>
    <w:rsid w:val="0024530B"/>
    <w:rsid w:val="0024539B"/>
    <w:rsid w:val="00245B36"/>
    <w:rsid w:val="00245FC9"/>
    <w:rsid w:val="002466D0"/>
    <w:rsid w:val="00246A3E"/>
    <w:rsid w:val="00246E6A"/>
    <w:rsid w:val="002473E7"/>
    <w:rsid w:val="00247521"/>
    <w:rsid w:val="00247547"/>
    <w:rsid w:val="00247835"/>
    <w:rsid w:val="002501F2"/>
    <w:rsid w:val="00250DB5"/>
    <w:rsid w:val="0025122B"/>
    <w:rsid w:val="00251264"/>
    <w:rsid w:val="00251512"/>
    <w:rsid w:val="00251A7D"/>
    <w:rsid w:val="00252178"/>
    <w:rsid w:val="002521E4"/>
    <w:rsid w:val="002529CD"/>
    <w:rsid w:val="00252A15"/>
    <w:rsid w:val="00252CCA"/>
    <w:rsid w:val="00252D94"/>
    <w:rsid w:val="002534DC"/>
    <w:rsid w:val="002535FF"/>
    <w:rsid w:val="00253AF0"/>
    <w:rsid w:val="00253BB7"/>
    <w:rsid w:val="002540B2"/>
    <w:rsid w:val="00254610"/>
    <w:rsid w:val="00254650"/>
    <w:rsid w:val="0025473D"/>
    <w:rsid w:val="00254784"/>
    <w:rsid w:val="00254C67"/>
    <w:rsid w:val="00255800"/>
    <w:rsid w:val="002564F9"/>
    <w:rsid w:val="002569A7"/>
    <w:rsid w:val="00257B77"/>
    <w:rsid w:val="00257DA9"/>
    <w:rsid w:val="00260059"/>
    <w:rsid w:val="002604E4"/>
    <w:rsid w:val="00260F75"/>
    <w:rsid w:val="0026256B"/>
    <w:rsid w:val="002628B7"/>
    <w:rsid w:val="00262A5C"/>
    <w:rsid w:val="00262C6F"/>
    <w:rsid w:val="00263008"/>
    <w:rsid w:val="0026311C"/>
    <w:rsid w:val="002633C1"/>
    <w:rsid w:val="0026376C"/>
    <w:rsid w:val="00263CB9"/>
    <w:rsid w:val="00264512"/>
    <w:rsid w:val="002654D8"/>
    <w:rsid w:val="00265891"/>
    <w:rsid w:val="00265A13"/>
    <w:rsid w:val="00265A7A"/>
    <w:rsid w:val="00265F60"/>
    <w:rsid w:val="00266705"/>
    <w:rsid w:val="00267A1C"/>
    <w:rsid w:val="0027013D"/>
    <w:rsid w:val="0027171F"/>
    <w:rsid w:val="002719BC"/>
    <w:rsid w:val="00271E58"/>
    <w:rsid w:val="002723FB"/>
    <w:rsid w:val="002728FB"/>
    <w:rsid w:val="00272DD0"/>
    <w:rsid w:val="00272FD8"/>
    <w:rsid w:val="00273AE8"/>
    <w:rsid w:val="002749ED"/>
    <w:rsid w:val="00274BA5"/>
    <w:rsid w:val="002752B1"/>
    <w:rsid w:val="002754F8"/>
    <w:rsid w:val="0027597E"/>
    <w:rsid w:val="002761E0"/>
    <w:rsid w:val="0027663C"/>
    <w:rsid w:val="00276910"/>
    <w:rsid w:val="0027698A"/>
    <w:rsid w:val="002779BA"/>
    <w:rsid w:val="00277B43"/>
    <w:rsid w:val="00277C3C"/>
    <w:rsid w:val="002803A6"/>
    <w:rsid w:val="00280457"/>
    <w:rsid w:val="002804F4"/>
    <w:rsid w:val="002805B2"/>
    <w:rsid w:val="002807FE"/>
    <w:rsid w:val="00280D28"/>
    <w:rsid w:val="002812DC"/>
    <w:rsid w:val="00281388"/>
    <w:rsid w:val="00281496"/>
    <w:rsid w:val="0028198E"/>
    <w:rsid w:val="00281A1E"/>
    <w:rsid w:val="00281F2F"/>
    <w:rsid w:val="002823A4"/>
    <w:rsid w:val="00282E77"/>
    <w:rsid w:val="00282EDD"/>
    <w:rsid w:val="002830B3"/>
    <w:rsid w:val="002837B8"/>
    <w:rsid w:val="002839A0"/>
    <w:rsid w:val="00283AB3"/>
    <w:rsid w:val="00283F66"/>
    <w:rsid w:val="002845A7"/>
    <w:rsid w:val="00284B50"/>
    <w:rsid w:val="00284C1F"/>
    <w:rsid w:val="002850CA"/>
    <w:rsid w:val="00285374"/>
    <w:rsid w:val="002854F4"/>
    <w:rsid w:val="0028585D"/>
    <w:rsid w:val="002858EA"/>
    <w:rsid w:val="00286585"/>
    <w:rsid w:val="0028682F"/>
    <w:rsid w:val="00286910"/>
    <w:rsid w:val="002878A8"/>
    <w:rsid w:val="00287D44"/>
    <w:rsid w:val="00290274"/>
    <w:rsid w:val="002903FF"/>
    <w:rsid w:val="002909BC"/>
    <w:rsid w:val="002909F9"/>
    <w:rsid w:val="00291588"/>
    <w:rsid w:val="00291A32"/>
    <w:rsid w:val="00291C06"/>
    <w:rsid w:val="0029225A"/>
    <w:rsid w:val="00292750"/>
    <w:rsid w:val="00292F54"/>
    <w:rsid w:val="00293373"/>
    <w:rsid w:val="00293ACD"/>
    <w:rsid w:val="00294724"/>
    <w:rsid w:val="00294756"/>
    <w:rsid w:val="002951E1"/>
    <w:rsid w:val="0029533D"/>
    <w:rsid w:val="00295A1B"/>
    <w:rsid w:val="00295AFE"/>
    <w:rsid w:val="002963A6"/>
    <w:rsid w:val="00296AE1"/>
    <w:rsid w:val="0029702C"/>
    <w:rsid w:val="002971D4"/>
    <w:rsid w:val="002975D0"/>
    <w:rsid w:val="002976CE"/>
    <w:rsid w:val="00297A1C"/>
    <w:rsid w:val="00297B92"/>
    <w:rsid w:val="002A0C24"/>
    <w:rsid w:val="002A0D4C"/>
    <w:rsid w:val="002A0FC3"/>
    <w:rsid w:val="002A189E"/>
    <w:rsid w:val="002A1AA2"/>
    <w:rsid w:val="002A1D3C"/>
    <w:rsid w:val="002A1FEC"/>
    <w:rsid w:val="002A205B"/>
    <w:rsid w:val="002A20BF"/>
    <w:rsid w:val="002A2265"/>
    <w:rsid w:val="002A2459"/>
    <w:rsid w:val="002A2FB0"/>
    <w:rsid w:val="002A3672"/>
    <w:rsid w:val="002A4F86"/>
    <w:rsid w:val="002A5301"/>
    <w:rsid w:val="002A5322"/>
    <w:rsid w:val="002A65DA"/>
    <w:rsid w:val="002A6C23"/>
    <w:rsid w:val="002A743D"/>
    <w:rsid w:val="002A7744"/>
    <w:rsid w:val="002B01E1"/>
    <w:rsid w:val="002B0267"/>
    <w:rsid w:val="002B0A17"/>
    <w:rsid w:val="002B0D51"/>
    <w:rsid w:val="002B2560"/>
    <w:rsid w:val="002B281C"/>
    <w:rsid w:val="002B284F"/>
    <w:rsid w:val="002B2A17"/>
    <w:rsid w:val="002B37E3"/>
    <w:rsid w:val="002B3BE5"/>
    <w:rsid w:val="002B3F9B"/>
    <w:rsid w:val="002B4B98"/>
    <w:rsid w:val="002B4C4D"/>
    <w:rsid w:val="002B4C9E"/>
    <w:rsid w:val="002B4DA2"/>
    <w:rsid w:val="002B5CD2"/>
    <w:rsid w:val="002B65D6"/>
    <w:rsid w:val="002B6FA2"/>
    <w:rsid w:val="002B6FE4"/>
    <w:rsid w:val="002B71F4"/>
    <w:rsid w:val="002B72F0"/>
    <w:rsid w:val="002B7A93"/>
    <w:rsid w:val="002C00F0"/>
    <w:rsid w:val="002C04DC"/>
    <w:rsid w:val="002C074A"/>
    <w:rsid w:val="002C0E8E"/>
    <w:rsid w:val="002C12FE"/>
    <w:rsid w:val="002C1799"/>
    <w:rsid w:val="002C2A5F"/>
    <w:rsid w:val="002C2A7F"/>
    <w:rsid w:val="002C2B1E"/>
    <w:rsid w:val="002C2ECA"/>
    <w:rsid w:val="002C31FB"/>
    <w:rsid w:val="002C3A5C"/>
    <w:rsid w:val="002C4055"/>
    <w:rsid w:val="002C423E"/>
    <w:rsid w:val="002C4337"/>
    <w:rsid w:val="002C4656"/>
    <w:rsid w:val="002C4D5A"/>
    <w:rsid w:val="002C4F35"/>
    <w:rsid w:val="002C5293"/>
    <w:rsid w:val="002C5956"/>
    <w:rsid w:val="002C59AB"/>
    <w:rsid w:val="002C5B03"/>
    <w:rsid w:val="002C5B79"/>
    <w:rsid w:val="002C6C35"/>
    <w:rsid w:val="002D0262"/>
    <w:rsid w:val="002D079C"/>
    <w:rsid w:val="002D0B7A"/>
    <w:rsid w:val="002D10E6"/>
    <w:rsid w:val="002D20A5"/>
    <w:rsid w:val="002D2141"/>
    <w:rsid w:val="002D2725"/>
    <w:rsid w:val="002D293E"/>
    <w:rsid w:val="002D2A82"/>
    <w:rsid w:val="002D34B2"/>
    <w:rsid w:val="002D3EF6"/>
    <w:rsid w:val="002D4451"/>
    <w:rsid w:val="002D4657"/>
    <w:rsid w:val="002D4757"/>
    <w:rsid w:val="002D4B75"/>
    <w:rsid w:val="002D4BA2"/>
    <w:rsid w:val="002D4D0A"/>
    <w:rsid w:val="002D5159"/>
    <w:rsid w:val="002D52B7"/>
    <w:rsid w:val="002D601D"/>
    <w:rsid w:val="002D65B6"/>
    <w:rsid w:val="002D6B47"/>
    <w:rsid w:val="002D6E45"/>
    <w:rsid w:val="002D7B1A"/>
    <w:rsid w:val="002D7D14"/>
    <w:rsid w:val="002D7E2F"/>
    <w:rsid w:val="002D7E6B"/>
    <w:rsid w:val="002E003F"/>
    <w:rsid w:val="002E0B36"/>
    <w:rsid w:val="002E0C8C"/>
    <w:rsid w:val="002E0F28"/>
    <w:rsid w:val="002E0F62"/>
    <w:rsid w:val="002E158C"/>
    <w:rsid w:val="002E1624"/>
    <w:rsid w:val="002E1645"/>
    <w:rsid w:val="002E1747"/>
    <w:rsid w:val="002E174E"/>
    <w:rsid w:val="002E1BC9"/>
    <w:rsid w:val="002E1CC2"/>
    <w:rsid w:val="002E3137"/>
    <w:rsid w:val="002E3CA2"/>
    <w:rsid w:val="002E3E28"/>
    <w:rsid w:val="002E46EA"/>
    <w:rsid w:val="002E4DDC"/>
    <w:rsid w:val="002E4E49"/>
    <w:rsid w:val="002E6A87"/>
    <w:rsid w:val="002E74A5"/>
    <w:rsid w:val="002E7BEF"/>
    <w:rsid w:val="002E7C07"/>
    <w:rsid w:val="002E7DD7"/>
    <w:rsid w:val="002F0073"/>
    <w:rsid w:val="002F0A9A"/>
    <w:rsid w:val="002F0C9C"/>
    <w:rsid w:val="002F0CA8"/>
    <w:rsid w:val="002F0EB2"/>
    <w:rsid w:val="002F125E"/>
    <w:rsid w:val="002F1738"/>
    <w:rsid w:val="002F1B20"/>
    <w:rsid w:val="002F1CCB"/>
    <w:rsid w:val="002F2408"/>
    <w:rsid w:val="002F2680"/>
    <w:rsid w:val="002F37D5"/>
    <w:rsid w:val="002F3F3B"/>
    <w:rsid w:val="002F4187"/>
    <w:rsid w:val="002F4337"/>
    <w:rsid w:val="002F45F7"/>
    <w:rsid w:val="002F46C6"/>
    <w:rsid w:val="002F4964"/>
    <w:rsid w:val="002F5660"/>
    <w:rsid w:val="002F5B59"/>
    <w:rsid w:val="002F5DA6"/>
    <w:rsid w:val="002F5F0F"/>
    <w:rsid w:val="002F6104"/>
    <w:rsid w:val="002F64DF"/>
    <w:rsid w:val="002F660A"/>
    <w:rsid w:val="002F6A15"/>
    <w:rsid w:val="002F6C95"/>
    <w:rsid w:val="002F780F"/>
    <w:rsid w:val="002F7D1B"/>
    <w:rsid w:val="002F7D83"/>
    <w:rsid w:val="0030059E"/>
    <w:rsid w:val="00300DDF"/>
    <w:rsid w:val="00300E6D"/>
    <w:rsid w:val="0030106A"/>
    <w:rsid w:val="00301205"/>
    <w:rsid w:val="00301E8D"/>
    <w:rsid w:val="00302055"/>
    <w:rsid w:val="00302955"/>
    <w:rsid w:val="00302C4D"/>
    <w:rsid w:val="00302E0A"/>
    <w:rsid w:val="0030319E"/>
    <w:rsid w:val="00303367"/>
    <w:rsid w:val="003034ED"/>
    <w:rsid w:val="003036FD"/>
    <w:rsid w:val="003039BE"/>
    <w:rsid w:val="00303C59"/>
    <w:rsid w:val="00303E06"/>
    <w:rsid w:val="00303F00"/>
    <w:rsid w:val="00304094"/>
    <w:rsid w:val="00304CC5"/>
    <w:rsid w:val="0030547E"/>
    <w:rsid w:val="003059B5"/>
    <w:rsid w:val="00305C47"/>
    <w:rsid w:val="00305D31"/>
    <w:rsid w:val="003068C5"/>
    <w:rsid w:val="0030730D"/>
    <w:rsid w:val="003073BF"/>
    <w:rsid w:val="003074F4"/>
    <w:rsid w:val="003079DC"/>
    <w:rsid w:val="003109D7"/>
    <w:rsid w:val="003109E6"/>
    <w:rsid w:val="0031116B"/>
    <w:rsid w:val="003117C9"/>
    <w:rsid w:val="00311A25"/>
    <w:rsid w:val="00312165"/>
    <w:rsid w:val="003127A7"/>
    <w:rsid w:val="003128CE"/>
    <w:rsid w:val="00312D44"/>
    <w:rsid w:val="00312DC9"/>
    <w:rsid w:val="00312FCD"/>
    <w:rsid w:val="0031325A"/>
    <w:rsid w:val="00313831"/>
    <w:rsid w:val="00313D22"/>
    <w:rsid w:val="00313F62"/>
    <w:rsid w:val="003148A4"/>
    <w:rsid w:val="00314FD2"/>
    <w:rsid w:val="00315053"/>
    <w:rsid w:val="00315092"/>
    <w:rsid w:val="00315629"/>
    <w:rsid w:val="003159B1"/>
    <w:rsid w:val="00315F34"/>
    <w:rsid w:val="00315FD7"/>
    <w:rsid w:val="00316339"/>
    <w:rsid w:val="00316A0C"/>
    <w:rsid w:val="00316EA3"/>
    <w:rsid w:val="0031720C"/>
    <w:rsid w:val="003175B9"/>
    <w:rsid w:val="00317789"/>
    <w:rsid w:val="003178C6"/>
    <w:rsid w:val="00317CF4"/>
    <w:rsid w:val="00317D21"/>
    <w:rsid w:val="00320536"/>
    <w:rsid w:val="0032067B"/>
    <w:rsid w:val="003214B7"/>
    <w:rsid w:val="00322215"/>
    <w:rsid w:val="003222D9"/>
    <w:rsid w:val="003242E1"/>
    <w:rsid w:val="00324461"/>
    <w:rsid w:val="003245D7"/>
    <w:rsid w:val="00324A2D"/>
    <w:rsid w:val="003251D6"/>
    <w:rsid w:val="003256BF"/>
    <w:rsid w:val="003262C2"/>
    <w:rsid w:val="00326922"/>
    <w:rsid w:val="0032736B"/>
    <w:rsid w:val="00327409"/>
    <w:rsid w:val="00327D1D"/>
    <w:rsid w:val="00327F40"/>
    <w:rsid w:val="0033022F"/>
    <w:rsid w:val="00330528"/>
    <w:rsid w:val="00330A59"/>
    <w:rsid w:val="0033120E"/>
    <w:rsid w:val="003315A0"/>
    <w:rsid w:val="00331721"/>
    <w:rsid w:val="00332194"/>
    <w:rsid w:val="003323E0"/>
    <w:rsid w:val="00332C45"/>
    <w:rsid w:val="00333166"/>
    <w:rsid w:val="00333282"/>
    <w:rsid w:val="0033339D"/>
    <w:rsid w:val="003334E9"/>
    <w:rsid w:val="0033430B"/>
    <w:rsid w:val="00334479"/>
    <w:rsid w:val="0033480B"/>
    <w:rsid w:val="00334D0E"/>
    <w:rsid w:val="00334EB3"/>
    <w:rsid w:val="00335092"/>
    <w:rsid w:val="003356FB"/>
    <w:rsid w:val="00336150"/>
    <w:rsid w:val="003361E3"/>
    <w:rsid w:val="00336D04"/>
    <w:rsid w:val="003372AA"/>
    <w:rsid w:val="003372CD"/>
    <w:rsid w:val="00337695"/>
    <w:rsid w:val="00337750"/>
    <w:rsid w:val="003377EC"/>
    <w:rsid w:val="00337C1A"/>
    <w:rsid w:val="00337FBC"/>
    <w:rsid w:val="00340322"/>
    <w:rsid w:val="00340418"/>
    <w:rsid w:val="00340B82"/>
    <w:rsid w:val="00340B84"/>
    <w:rsid w:val="00340E0C"/>
    <w:rsid w:val="00340E9D"/>
    <w:rsid w:val="00340F02"/>
    <w:rsid w:val="00340F37"/>
    <w:rsid w:val="00340F77"/>
    <w:rsid w:val="003411B4"/>
    <w:rsid w:val="00341564"/>
    <w:rsid w:val="00341A3B"/>
    <w:rsid w:val="00341DB1"/>
    <w:rsid w:val="00342203"/>
    <w:rsid w:val="00342220"/>
    <w:rsid w:val="003431C2"/>
    <w:rsid w:val="003432EF"/>
    <w:rsid w:val="00343815"/>
    <w:rsid w:val="00343B29"/>
    <w:rsid w:val="00343C82"/>
    <w:rsid w:val="0034405E"/>
    <w:rsid w:val="003447EC"/>
    <w:rsid w:val="00344CC5"/>
    <w:rsid w:val="003453F1"/>
    <w:rsid w:val="0034586D"/>
    <w:rsid w:val="00345964"/>
    <w:rsid w:val="00345CBA"/>
    <w:rsid w:val="00346C60"/>
    <w:rsid w:val="00346D94"/>
    <w:rsid w:val="00346EE7"/>
    <w:rsid w:val="0034764C"/>
    <w:rsid w:val="00347BAF"/>
    <w:rsid w:val="0035043F"/>
    <w:rsid w:val="0035065E"/>
    <w:rsid w:val="00351CE2"/>
    <w:rsid w:val="0035256B"/>
    <w:rsid w:val="00352707"/>
    <w:rsid w:val="00352D19"/>
    <w:rsid w:val="00353ABF"/>
    <w:rsid w:val="00354D74"/>
    <w:rsid w:val="003554D6"/>
    <w:rsid w:val="00355752"/>
    <w:rsid w:val="00355BC5"/>
    <w:rsid w:val="00355DAE"/>
    <w:rsid w:val="00355E0E"/>
    <w:rsid w:val="00356151"/>
    <w:rsid w:val="003563F4"/>
    <w:rsid w:val="00356456"/>
    <w:rsid w:val="003566A5"/>
    <w:rsid w:val="003569B8"/>
    <w:rsid w:val="00357355"/>
    <w:rsid w:val="00357508"/>
    <w:rsid w:val="00357538"/>
    <w:rsid w:val="00357CF7"/>
    <w:rsid w:val="003605F2"/>
    <w:rsid w:val="003606BE"/>
    <w:rsid w:val="003607D0"/>
    <w:rsid w:val="00360C20"/>
    <w:rsid w:val="003619BD"/>
    <w:rsid w:val="003619CE"/>
    <w:rsid w:val="00361A9F"/>
    <w:rsid w:val="0036202A"/>
    <w:rsid w:val="0036223C"/>
    <w:rsid w:val="00362579"/>
    <w:rsid w:val="00362587"/>
    <w:rsid w:val="003626EC"/>
    <w:rsid w:val="003627A8"/>
    <w:rsid w:val="00362C7E"/>
    <w:rsid w:val="00362E4E"/>
    <w:rsid w:val="00363343"/>
    <w:rsid w:val="00363473"/>
    <w:rsid w:val="003634BD"/>
    <w:rsid w:val="00363A93"/>
    <w:rsid w:val="00363E59"/>
    <w:rsid w:val="00363F82"/>
    <w:rsid w:val="00364836"/>
    <w:rsid w:val="003648B6"/>
    <w:rsid w:val="00366A1A"/>
    <w:rsid w:val="003678BE"/>
    <w:rsid w:val="00367C43"/>
    <w:rsid w:val="00367E31"/>
    <w:rsid w:val="00367E98"/>
    <w:rsid w:val="00370043"/>
    <w:rsid w:val="0037007E"/>
    <w:rsid w:val="00370BC1"/>
    <w:rsid w:val="00370BC8"/>
    <w:rsid w:val="00370C6C"/>
    <w:rsid w:val="00370D3F"/>
    <w:rsid w:val="00370D87"/>
    <w:rsid w:val="00370E83"/>
    <w:rsid w:val="003713D4"/>
    <w:rsid w:val="00371408"/>
    <w:rsid w:val="0037186E"/>
    <w:rsid w:val="00371F0C"/>
    <w:rsid w:val="0037255D"/>
    <w:rsid w:val="00372AB3"/>
    <w:rsid w:val="00372DB9"/>
    <w:rsid w:val="00373C35"/>
    <w:rsid w:val="00374082"/>
    <w:rsid w:val="00374755"/>
    <w:rsid w:val="00374F02"/>
    <w:rsid w:val="003754FE"/>
    <w:rsid w:val="0037580F"/>
    <w:rsid w:val="00376786"/>
    <w:rsid w:val="003768AE"/>
    <w:rsid w:val="00376B09"/>
    <w:rsid w:val="003770EF"/>
    <w:rsid w:val="00377610"/>
    <w:rsid w:val="003777DC"/>
    <w:rsid w:val="003779B8"/>
    <w:rsid w:val="003779F3"/>
    <w:rsid w:val="00377C39"/>
    <w:rsid w:val="0038019B"/>
    <w:rsid w:val="00380387"/>
    <w:rsid w:val="003806D3"/>
    <w:rsid w:val="00380D1A"/>
    <w:rsid w:val="00381439"/>
    <w:rsid w:val="003814CE"/>
    <w:rsid w:val="00381A39"/>
    <w:rsid w:val="00381E97"/>
    <w:rsid w:val="00381ED9"/>
    <w:rsid w:val="003825C7"/>
    <w:rsid w:val="003829D0"/>
    <w:rsid w:val="00382C65"/>
    <w:rsid w:val="00382CA0"/>
    <w:rsid w:val="00383037"/>
    <w:rsid w:val="00384341"/>
    <w:rsid w:val="00384555"/>
    <w:rsid w:val="00384AE3"/>
    <w:rsid w:val="00384C62"/>
    <w:rsid w:val="003852D9"/>
    <w:rsid w:val="003855F9"/>
    <w:rsid w:val="00385DCA"/>
    <w:rsid w:val="00386161"/>
    <w:rsid w:val="00386529"/>
    <w:rsid w:val="00386C69"/>
    <w:rsid w:val="00386D82"/>
    <w:rsid w:val="00387033"/>
    <w:rsid w:val="003870B5"/>
    <w:rsid w:val="00387BDB"/>
    <w:rsid w:val="00387C7F"/>
    <w:rsid w:val="00387D7D"/>
    <w:rsid w:val="00387F7D"/>
    <w:rsid w:val="003908D0"/>
    <w:rsid w:val="003909B9"/>
    <w:rsid w:val="00390C8E"/>
    <w:rsid w:val="00390FE2"/>
    <w:rsid w:val="00391160"/>
    <w:rsid w:val="003911D4"/>
    <w:rsid w:val="00391365"/>
    <w:rsid w:val="003914CA"/>
    <w:rsid w:val="00391866"/>
    <w:rsid w:val="003927F9"/>
    <w:rsid w:val="00392FA6"/>
    <w:rsid w:val="003930A1"/>
    <w:rsid w:val="00393614"/>
    <w:rsid w:val="003945F9"/>
    <w:rsid w:val="003946C0"/>
    <w:rsid w:val="003951A4"/>
    <w:rsid w:val="0039586B"/>
    <w:rsid w:val="00395DF9"/>
    <w:rsid w:val="0039643C"/>
    <w:rsid w:val="003966C7"/>
    <w:rsid w:val="00396874"/>
    <w:rsid w:val="00396C65"/>
    <w:rsid w:val="00396DB0"/>
    <w:rsid w:val="00397222"/>
    <w:rsid w:val="003976CE"/>
    <w:rsid w:val="00397842"/>
    <w:rsid w:val="003979B0"/>
    <w:rsid w:val="00397B84"/>
    <w:rsid w:val="003A0062"/>
    <w:rsid w:val="003A012B"/>
    <w:rsid w:val="003A0248"/>
    <w:rsid w:val="003A081B"/>
    <w:rsid w:val="003A0A88"/>
    <w:rsid w:val="003A18E1"/>
    <w:rsid w:val="003A238A"/>
    <w:rsid w:val="003A2397"/>
    <w:rsid w:val="003A2468"/>
    <w:rsid w:val="003A26BE"/>
    <w:rsid w:val="003A2B31"/>
    <w:rsid w:val="003A2CB3"/>
    <w:rsid w:val="003A3D58"/>
    <w:rsid w:val="003A3FB4"/>
    <w:rsid w:val="003A435E"/>
    <w:rsid w:val="003A49D0"/>
    <w:rsid w:val="003A4ADF"/>
    <w:rsid w:val="003A64A9"/>
    <w:rsid w:val="003A674A"/>
    <w:rsid w:val="003A6EA4"/>
    <w:rsid w:val="003A728C"/>
    <w:rsid w:val="003A739F"/>
    <w:rsid w:val="003A7FC2"/>
    <w:rsid w:val="003B006D"/>
    <w:rsid w:val="003B080A"/>
    <w:rsid w:val="003B0E33"/>
    <w:rsid w:val="003B10C4"/>
    <w:rsid w:val="003B1E93"/>
    <w:rsid w:val="003B211F"/>
    <w:rsid w:val="003B22F9"/>
    <w:rsid w:val="003B24F8"/>
    <w:rsid w:val="003B26FD"/>
    <w:rsid w:val="003B299C"/>
    <w:rsid w:val="003B2C9E"/>
    <w:rsid w:val="003B3019"/>
    <w:rsid w:val="003B3E34"/>
    <w:rsid w:val="003B4EE0"/>
    <w:rsid w:val="003B5289"/>
    <w:rsid w:val="003B537E"/>
    <w:rsid w:val="003B54A2"/>
    <w:rsid w:val="003B58C2"/>
    <w:rsid w:val="003B5C8A"/>
    <w:rsid w:val="003B7012"/>
    <w:rsid w:val="003B73D0"/>
    <w:rsid w:val="003B7CDB"/>
    <w:rsid w:val="003B7F83"/>
    <w:rsid w:val="003C06E9"/>
    <w:rsid w:val="003C0B7D"/>
    <w:rsid w:val="003C105D"/>
    <w:rsid w:val="003C109F"/>
    <w:rsid w:val="003C1235"/>
    <w:rsid w:val="003C160A"/>
    <w:rsid w:val="003C16FD"/>
    <w:rsid w:val="003C19D5"/>
    <w:rsid w:val="003C1BE5"/>
    <w:rsid w:val="003C1F05"/>
    <w:rsid w:val="003C22E8"/>
    <w:rsid w:val="003C23B0"/>
    <w:rsid w:val="003C247D"/>
    <w:rsid w:val="003C299A"/>
    <w:rsid w:val="003C2E93"/>
    <w:rsid w:val="003C3489"/>
    <w:rsid w:val="003C3D89"/>
    <w:rsid w:val="003C435D"/>
    <w:rsid w:val="003C43FF"/>
    <w:rsid w:val="003C5362"/>
    <w:rsid w:val="003C57CE"/>
    <w:rsid w:val="003C764D"/>
    <w:rsid w:val="003D05A8"/>
    <w:rsid w:val="003D0811"/>
    <w:rsid w:val="003D1B33"/>
    <w:rsid w:val="003D1FEF"/>
    <w:rsid w:val="003D2648"/>
    <w:rsid w:val="003D2BB6"/>
    <w:rsid w:val="003D34EB"/>
    <w:rsid w:val="003D34F3"/>
    <w:rsid w:val="003D3A68"/>
    <w:rsid w:val="003D3E7F"/>
    <w:rsid w:val="003D41C6"/>
    <w:rsid w:val="003D4367"/>
    <w:rsid w:val="003D47DA"/>
    <w:rsid w:val="003D4A8A"/>
    <w:rsid w:val="003D4D53"/>
    <w:rsid w:val="003D520B"/>
    <w:rsid w:val="003D52A8"/>
    <w:rsid w:val="003D539F"/>
    <w:rsid w:val="003D5CA9"/>
    <w:rsid w:val="003D5E45"/>
    <w:rsid w:val="003D6116"/>
    <w:rsid w:val="003D6283"/>
    <w:rsid w:val="003D66C2"/>
    <w:rsid w:val="003D6A2D"/>
    <w:rsid w:val="003D6F50"/>
    <w:rsid w:val="003D6FCE"/>
    <w:rsid w:val="003D7992"/>
    <w:rsid w:val="003D7D66"/>
    <w:rsid w:val="003E0B46"/>
    <w:rsid w:val="003E0DE2"/>
    <w:rsid w:val="003E178D"/>
    <w:rsid w:val="003E19B0"/>
    <w:rsid w:val="003E1D1E"/>
    <w:rsid w:val="003E1DE0"/>
    <w:rsid w:val="003E1E8E"/>
    <w:rsid w:val="003E1F39"/>
    <w:rsid w:val="003E2383"/>
    <w:rsid w:val="003E2427"/>
    <w:rsid w:val="003E24FB"/>
    <w:rsid w:val="003E2786"/>
    <w:rsid w:val="003E2CA0"/>
    <w:rsid w:val="003E2DEA"/>
    <w:rsid w:val="003E3731"/>
    <w:rsid w:val="003E386E"/>
    <w:rsid w:val="003E3C01"/>
    <w:rsid w:val="003E4228"/>
    <w:rsid w:val="003E4FF7"/>
    <w:rsid w:val="003E52D8"/>
    <w:rsid w:val="003E5407"/>
    <w:rsid w:val="003E5461"/>
    <w:rsid w:val="003E59C8"/>
    <w:rsid w:val="003E5F37"/>
    <w:rsid w:val="003E6A82"/>
    <w:rsid w:val="003E6EF5"/>
    <w:rsid w:val="003E77C9"/>
    <w:rsid w:val="003F0AEF"/>
    <w:rsid w:val="003F0EC4"/>
    <w:rsid w:val="003F12F5"/>
    <w:rsid w:val="003F146B"/>
    <w:rsid w:val="003F157C"/>
    <w:rsid w:val="003F18B9"/>
    <w:rsid w:val="003F1C0F"/>
    <w:rsid w:val="003F2594"/>
    <w:rsid w:val="003F25DC"/>
    <w:rsid w:val="003F269A"/>
    <w:rsid w:val="003F2B2C"/>
    <w:rsid w:val="003F2D13"/>
    <w:rsid w:val="003F2EB2"/>
    <w:rsid w:val="003F2FB9"/>
    <w:rsid w:val="003F3316"/>
    <w:rsid w:val="003F3757"/>
    <w:rsid w:val="003F3D6B"/>
    <w:rsid w:val="003F40F3"/>
    <w:rsid w:val="003F4554"/>
    <w:rsid w:val="003F465D"/>
    <w:rsid w:val="003F491E"/>
    <w:rsid w:val="003F536D"/>
    <w:rsid w:val="003F5CD2"/>
    <w:rsid w:val="003F6C5B"/>
    <w:rsid w:val="003F6EDF"/>
    <w:rsid w:val="003F74B4"/>
    <w:rsid w:val="003F79C5"/>
    <w:rsid w:val="00400448"/>
    <w:rsid w:val="004004DD"/>
    <w:rsid w:val="004007F6"/>
    <w:rsid w:val="00400A4A"/>
    <w:rsid w:val="00400A95"/>
    <w:rsid w:val="00400EA0"/>
    <w:rsid w:val="00401077"/>
    <w:rsid w:val="00401427"/>
    <w:rsid w:val="0040147F"/>
    <w:rsid w:val="00401C3C"/>
    <w:rsid w:val="00401E38"/>
    <w:rsid w:val="004021E7"/>
    <w:rsid w:val="0040263B"/>
    <w:rsid w:val="00402887"/>
    <w:rsid w:val="00403024"/>
    <w:rsid w:val="004030F9"/>
    <w:rsid w:val="004031B5"/>
    <w:rsid w:val="004033B2"/>
    <w:rsid w:val="00403C7A"/>
    <w:rsid w:val="00404B13"/>
    <w:rsid w:val="00404B63"/>
    <w:rsid w:val="00404B91"/>
    <w:rsid w:val="00404CBB"/>
    <w:rsid w:val="00406766"/>
    <w:rsid w:val="00406C01"/>
    <w:rsid w:val="0040706F"/>
    <w:rsid w:val="0040787F"/>
    <w:rsid w:val="0041070C"/>
    <w:rsid w:val="0041097A"/>
    <w:rsid w:val="00410EC1"/>
    <w:rsid w:val="00410EF1"/>
    <w:rsid w:val="004115AF"/>
    <w:rsid w:val="0041188A"/>
    <w:rsid w:val="00412901"/>
    <w:rsid w:val="00412AEA"/>
    <w:rsid w:val="00412BBE"/>
    <w:rsid w:val="00412F00"/>
    <w:rsid w:val="00413C17"/>
    <w:rsid w:val="00413F74"/>
    <w:rsid w:val="00414739"/>
    <w:rsid w:val="00414BF2"/>
    <w:rsid w:val="00414C23"/>
    <w:rsid w:val="00414E3D"/>
    <w:rsid w:val="00414F78"/>
    <w:rsid w:val="00415189"/>
    <w:rsid w:val="0041524D"/>
    <w:rsid w:val="00415957"/>
    <w:rsid w:val="00415A36"/>
    <w:rsid w:val="00416D47"/>
    <w:rsid w:val="00416F43"/>
    <w:rsid w:val="004171DB"/>
    <w:rsid w:val="004171E9"/>
    <w:rsid w:val="00417274"/>
    <w:rsid w:val="00417439"/>
    <w:rsid w:val="004200AC"/>
    <w:rsid w:val="004204E5"/>
    <w:rsid w:val="00420537"/>
    <w:rsid w:val="00420A5E"/>
    <w:rsid w:val="00420F3A"/>
    <w:rsid w:val="004216F5"/>
    <w:rsid w:val="004219EE"/>
    <w:rsid w:val="00422121"/>
    <w:rsid w:val="00422778"/>
    <w:rsid w:val="0042278D"/>
    <w:rsid w:val="004228B6"/>
    <w:rsid w:val="00422CE2"/>
    <w:rsid w:val="00423696"/>
    <w:rsid w:val="00423B90"/>
    <w:rsid w:val="00423BA7"/>
    <w:rsid w:val="0042435C"/>
    <w:rsid w:val="0042476A"/>
    <w:rsid w:val="00424B16"/>
    <w:rsid w:val="0042564D"/>
    <w:rsid w:val="00425B7C"/>
    <w:rsid w:val="00425CB8"/>
    <w:rsid w:val="00425EDD"/>
    <w:rsid w:val="0042622A"/>
    <w:rsid w:val="00426536"/>
    <w:rsid w:val="00426964"/>
    <w:rsid w:val="00426F3F"/>
    <w:rsid w:val="00427636"/>
    <w:rsid w:val="00427F4F"/>
    <w:rsid w:val="0043108A"/>
    <w:rsid w:val="00431331"/>
    <w:rsid w:val="00431C21"/>
    <w:rsid w:val="00433588"/>
    <w:rsid w:val="004339E5"/>
    <w:rsid w:val="004341F7"/>
    <w:rsid w:val="0043447A"/>
    <w:rsid w:val="00434AA9"/>
    <w:rsid w:val="00435442"/>
    <w:rsid w:val="00435719"/>
    <w:rsid w:val="00435FCB"/>
    <w:rsid w:val="004360FA"/>
    <w:rsid w:val="00436335"/>
    <w:rsid w:val="004364F1"/>
    <w:rsid w:val="0043658E"/>
    <w:rsid w:val="004368B3"/>
    <w:rsid w:val="00436A58"/>
    <w:rsid w:val="00436F4E"/>
    <w:rsid w:val="004375B0"/>
    <w:rsid w:val="004375BD"/>
    <w:rsid w:val="00440847"/>
    <w:rsid w:val="00440A95"/>
    <w:rsid w:val="00440DC6"/>
    <w:rsid w:val="004410E9"/>
    <w:rsid w:val="00441703"/>
    <w:rsid w:val="00441DF4"/>
    <w:rsid w:val="00441F10"/>
    <w:rsid w:val="00441FBA"/>
    <w:rsid w:val="00442820"/>
    <w:rsid w:val="00442E01"/>
    <w:rsid w:val="004436A8"/>
    <w:rsid w:val="00443C86"/>
    <w:rsid w:val="004447A9"/>
    <w:rsid w:val="00444D7C"/>
    <w:rsid w:val="00444F6F"/>
    <w:rsid w:val="00445448"/>
    <w:rsid w:val="00445545"/>
    <w:rsid w:val="00446870"/>
    <w:rsid w:val="00446C04"/>
    <w:rsid w:val="00446CCD"/>
    <w:rsid w:val="00446E71"/>
    <w:rsid w:val="00446FF1"/>
    <w:rsid w:val="004476E5"/>
    <w:rsid w:val="004479E7"/>
    <w:rsid w:val="004501CC"/>
    <w:rsid w:val="004501D6"/>
    <w:rsid w:val="00450467"/>
    <w:rsid w:val="00450C96"/>
    <w:rsid w:val="00450E30"/>
    <w:rsid w:val="00450E84"/>
    <w:rsid w:val="00451850"/>
    <w:rsid w:val="00451C67"/>
    <w:rsid w:val="00451E23"/>
    <w:rsid w:val="0045215F"/>
    <w:rsid w:val="00452858"/>
    <w:rsid w:val="00453774"/>
    <w:rsid w:val="00453AB9"/>
    <w:rsid w:val="00453DD8"/>
    <w:rsid w:val="00454807"/>
    <w:rsid w:val="00454E46"/>
    <w:rsid w:val="0045585C"/>
    <w:rsid w:val="00456C78"/>
    <w:rsid w:val="00456E5F"/>
    <w:rsid w:val="00456F96"/>
    <w:rsid w:val="00457196"/>
    <w:rsid w:val="00457366"/>
    <w:rsid w:val="00457530"/>
    <w:rsid w:val="004578E7"/>
    <w:rsid w:val="0045795A"/>
    <w:rsid w:val="00457A32"/>
    <w:rsid w:val="0046002D"/>
    <w:rsid w:val="004600BC"/>
    <w:rsid w:val="00460ADA"/>
    <w:rsid w:val="00461101"/>
    <w:rsid w:val="00461F85"/>
    <w:rsid w:val="00462557"/>
    <w:rsid w:val="004626A9"/>
    <w:rsid w:val="004626B8"/>
    <w:rsid w:val="00462B76"/>
    <w:rsid w:val="004636B8"/>
    <w:rsid w:val="00463F28"/>
    <w:rsid w:val="004644D4"/>
    <w:rsid w:val="00464842"/>
    <w:rsid w:val="00464856"/>
    <w:rsid w:val="004649DE"/>
    <w:rsid w:val="00464DC3"/>
    <w:rsid w:val="00464F3E"/>
    <w:rsid w:val="004654F5"/>
    <w:rsid w:val="00465874"/>
    <w:rsid w:val="004660A6"/>
    <w:rsid w:val="00466219"/>
    <w:rsid w:val="0046685E"/>
    <w:rsid w:val="0046716C"/>
    <w:rsid w:val="004675B9"/>
    <w:rsid w:val="00467D6F"/>
    <w:rsid w:val="0047014A"/>
    <w:rsid w:val="004708F3"/>
    <w:rsid w:val="00470D85"/>
    <w:rsid w:val="00470EA2"/>
    <w:rsid w:val="004718C4"/>
    <w:rsid w:val="0047268D"/>
    <w:rsid w:val="00472B0D"/>
    <w:rsid w:val="00472DBD"/>
    <w:rsid w:val="00472E0F"/>
    <w:rsid w:val="0047351E"/>
    <w:rsid w:val="00473765"/>
    <w:rsid w:val="00473AB1"/>
    <w:rsid w:val="00473C0E"/>
    <w:rsid w:val="004744A6"/>
    <w:rsid w:val="0047471F"/>
    <w:rsid w:val="004748E8"/>
    <w:rsid w:val="004749B0"/>
    <w:rsid w:val="00474DAC"/>
    <w:rsid w:val="004751C5"/>
    <w:rsid w:val="004764C1"/>
    <w:rsid w:val="004766F8"/>
    <w:rsid w:val="00477985"/>
    <w:rsid w:val="0048014E"/>
    <w:rsid w:val="0048041D"/>
    <w:rsid w:val="00480495"/>
    <w:rsid w:val="0048049B"/>
    <w:rsid w:val="00480B82"/>
    <w:rsid w:val="00480CAA"/>
    <w:rsid w:val="00481546"/>
    <w:rsid w:val="0048166F"/>
    <w:rsid w:val="004819E2"/>
    <w:rsid w:val="00481B26"/>
    <w:rsid w:val="00481D96"/>
    <w:rsid w:val="00481ED1"/>
    <w:rsid w:val="00482425"/>
    <w:rsid w:val="00482D44"/>
    <w:rsid w:val="00483016"/>
    <w:rsid w:val="00484475"/>
    <w:rsid w:val="00484E4A"/>
    <w:rsid w:val="00485283"/>
    <w:rsid w:val="00485467"/>
    <w:rsid w:val="00486C1A"/>
    <w:rsid w:val="00487243"/>
    <w:rsid w:val="004874D1"/>
    <w:rsid w:val="004875D0"/>
    <w:rsid w:val="004900BF"/>
    <w:rsid w:val="004901FE"/>
    <w:rsid w:val="00490438"/>
    <w:rsid w:val="00490F5A"/>
    <w:rsid w:val="00490F5E"/>
    <w:rsid w:val="0049124E"/>
    <w:rsid w:val="004916A6"/>
    <w:rsid w:val="004918CA"/>
    <w:rsid w:val="004919FD"/>
    <w:rsid w:val="00491D51"/>
    <w:rsid w:val="00491DA3"/>
    <w:rsid w:val="00491E7C"/>
    <w:rsid w:val="004923D5"/>
    <w:rsid w:val="00492C5A"/>
    <w:rsid w:val="00492EE8"/>
    <w:rsid w:val="00493031"/>
    <w:rsid w:val="00494293"/>
    <w:rsid w:val="00494355"/>
    <w:rsid w:val="004944A3"/>
    <w:rsid w:val="00494634"/>
    <w:rsid w:val="00494ABA"/>
    <w:rsid w:val="00494B5E"/>
    <w:rsid w:val="0049502D"/>
    <w:rsid w:val="00495053"/>
    <w:rsid w:val="004950BF"/>
    <w:rsid w:val="00495121"/>
    <w:rsid w:val="004951F3"/>
    <w:rsid w:val="004954F7"/>
    <w:rsid w:val="004959C7"/>
    <w:rsid w:val="00495EE5"/>
    <w:rsid w:val="00495F25"/>
    <w:rsid w:val="0049604B"/>
    <w:rsid w:val="004960B7"/>
    <w:rsid w:val="004966B6"/>
    <w:rsid w:val="0049673F"/>
    <w:rsid w:val="00496822"/>
    <w:rsid w:val="004969B1"/>
    <w:rsid w:val="0049723F"/>
    <w:rsid w:val="004A115C"/>
    <w:rsid w:val="004A13F8"/>
    <w:rsid w:val="004A19E0"/>
    <w:rsid w:val="004A1A22"/>
    <w:rsid w:val="004A1FD2"/>
    <w:rsid w:val="004A2126"/>
    <w:rsid w:val="004A2FF5"/>
    <w:rsid w:val="004A35EE"/>
    <w:rsid w:val="004A3856"/>
    <w:rsid w:val="004A3CDC"/>
    <w:rsid w:val="004A4F4C"/>
    <w:rsid w:val="004A509D"/>
    <w:rsid w:val="004A51E1"/>
    <w:rsid w:val="004A576B"/>
    <w:rsid w:val="004A5AF5"/>
    <w:rsid w:val="004A5C99"/>
    <w:rsid w:val="004A5D2C"/>
    <w:rsid w:val="004A652B"/>
    <w:rsid w:val="004A6701"/>
    <w:rsid w:val="004A67FF"/>
    <w:rsid w:val="004A74F6"/>
    <w:rsid w:val="004A7938"/>
    <w:rsid w:val="004A7C61"/>
    <w:rsid w:val="004B0A99"/>
    <w:rsid w:val="004B0CED"/>
    <w:rsid w:val="004B10D0"/>
    <w:rsid w:val="004B121D"/>
    <w:rsid w:val="004B12CF"/>
    <w:rsid w:val="004B13D7"/>
    <w:rsid w:val="004B245E"/>
    <w:rsid w:val="004B27F1"/>
    <w:rsid w:val="004B34CA"/>
    <w:rsid w:val="004B39F2"/>
    <w:rsid w:val="004B3D1A"/>
    <w:rsid w:val="004B414E"/>
    <w:rsid w:val="004B4B8D"/>
    <w:rsid w:val="004B4BEC"/>
    <w:rsid w:val="004B5218"/>
    <w:rsid w:val="004B5699"/>
    <w:rsid w:val="004B56DC"/>
    <w:rsid w:val="004B5834"/>
    <w:rsid w:val="004B5E73"/>
    <w:rsid w:val="004B5F30"/>
    <w:rsid w:val="004B609A"/>
    <w:rsid w:val="004B62F2"/>
    <w:rsid w:val="004B642A"/>
    <w:rsid w:val="004B6901"/>
    <w:rsid w:val="004B6D26"/>
    <w:rsid w:val="004B6ED1"/>
    <w:rsid w:val="004B6FA1"/>
    <w:rsid w:val="004B70E0"/>
    <w:rsid w:val="004B73C7"/>
    <w:rsid w:val="004B7632"/>
    <w:rsid w:val="004B7F6B"/>
    <w:rsid w:val="004C02B9"/>
    <w:rsid w:val="004C0F47"/>
    <w:rsid w:val="004C1B89"/>
    <w:rsid w:val="004C1ED2"/>
    <w:rsid w:val="004C2139"/>
    <w:rsid w:val="004C2304"/>
    <w:rsid w:val="004C25FD"/>
    <w:rsid w:val="004C2BE9"/>
    <w:rsid w:val="004C2F79"/>
    <w:rsid w:val="004C3B29"/>
    <w:rsid w:val="004C40D6"/>
    <w:rsid w:val="004C41C0"/>
    <w:rsid w:val="004C427B"/>
    <w:rsid w:val="004C42BB"/>
    <w:rsid w:val="004C4840"/>
    <w:rsid w:val="004C4E9C"/>
    <w:rsid w:val="004C524F"/>
    <w:rsid w:val="004C5CB2"/>
    <w:rsid w:val="004C5F9F"/>
    <w:rsid w:val="004C676A"/>
    <w:rsid w:val="004C6878"/>
    <w:rsid w:val="004C6A21"/>
    <w:rsid w:val="004C6A78"/>
    <w:rsid w:val="004C6B23"/>
    <w:rsid w:val="004C7C71"/>
    <w:rsid w:val="004C7EC6"/>
    <w:rsid w:val="004D0179"/>
    <w:rsid w:val="004D0451"/>
    <w:rsid w:val="004D04C8"/>
    <w:rsid w:val="004D0AE7"/>
    <w:rsid w:val="004D0B63"/>
    <w:rsid w:val="004D0EF2"/>
    <w:rsid w:val="004D0FD2"/>
    <w:rsid w:val="004D1AD2"/>
    <w:rsid w:val="004D1E78"/>
    <w:rsid w:val="004D1F4A"/>
    <w:rsid w:val="004D31BB"/>
    <w:rsid w:val="004D3210"/>
    <w:rsid w:val="004D3217"/>
    <w:rsid w:val="004D3248"/>
    <w:rsid w:val="004D3460"/>
    <w:rsid w:val="004D362D"/>
    <w:rsid w:val="004D39DF"/>
    <w:rsid w:val="004D3A30"/>
    <w:rsid w:val="004D4273"/>
    <w:rsid w:val="004D4CFE"/>
    <w:rsid w:val="004D4FA7"/>
    <w:rsid w:val="004D506E"/>
    <w:rsid w:val="004D53B6"/>
    <w:rsid w:val="004D5876"/>
    <w:rsid w:val="004D59B9"/>
    <w:rsid w:val="004D5B1F"/>
    <w:rsid w:val="004D5EEF"/>
    <w:rsid w:val="004D67B3"/>
    <w:rsid w:val="004D6F4C"/>
    <w:rsid w:val="004D7E7C"/>
    <w:rsid w:val="004E016C"/>
    <w:rsid w:val="004E02C4"/>
    <w:rsid w:val="004E083A"/>
    <w:rsid w:val="004E0C8E"/>
    <w:rsid w:val="004E1326"/>
    <w:rsid w:val="004E1787"/>
    <w:rsid w:val="004E1D90"/>
    <w:rsid w:val="004E29A3"/>
    <w:rsid w:val="004E2CBB"/>
    <w:rsid w:val="004E3671"/>
    <w:rsid w:val="004E375C"/>
    <w:rsid w:val="004E38F2"/>
    <w:rsid w:val="004E398A"/>
    <w:rsid w:val="004E3A0C"/>
    <w:rsid w:val="004E47F0"/>
    <w:rsid w:val="004E4EAB"/>
    <w:rsid w:val="004E5199"/>
    <w:rsid w:val="004E5A1B"/>
    <w:rsid w:val="004E6551"/>
    <w:rsid w:val="004E66A2"/>
    <w:rsid w:val="004E7141"/>
    <w:rsid w:val="004E74E1"/>
    <w:rsid w:val="004E75A9"/>
    <w:rsid w:val="004E79A0"/>
    <w:rsid w:val="004E7A8E"/>
    <w:rsid w:val="004F0BA4"/>
    <w:rsid w:val="004F17B4"/>
    <w:rsid w:val="004F1A98"/>
    <w:rsid w:val="004F1E34"/>
    <w:rsid w:val="004F247F"/>
    <w:rsid w:val="004F28A3"/>
    <w:rsid w:val="004F3B79"/>
    <w:rsid w:val="004F40DF"/>
    <w:rsid w:val="004F50E6"/>
    <w:rsid w:val="004F524F"/>
    <w:rsid w:val="004F5EE7"/>
    <w:rsid w:val="004F607A"/>
    <w:rsid w:val="004F64AE"/>
    <w:rsid w:val="004F6701"/>
    <w:rsid w:val="004F6EA1"/>
    <w:rsid w:val="004F6F96"/>
    <w:rsid w:val="004F73B3"/>
    <w:rsid w:val="004F7423"/>
    <w:rsid w:val="004F7766"/>
    <w:rsid w:val="004F7F63"/>
    <w:rsid w:val="00500A26"/>
    <w:rsid w:val="00500A64"/>
    <w:rsid w:val="00500B26"/>
    <w:rsid w:val="00501195"/>
    <w:rsid w:val="00501367"/>
    <w:rsid w:val="00502379"/>
    <w:rsid w:val="00502577"/>
    <w:rsid w:val="005033CB"/>
    <w:rsid w:val="00503823"/>
    <w:rsid w:val="00503DCA"/>
    <w:rsid w:val="00503E36"/>
    <w:rsid w:val="00503E82"/>
    <w:rsid w:val="00504298"/>
    <w:rsid w:val="00504403"/>
    <w:rsid w:val="00504C34"/>
    <w:rsid w:val="00504F13"/>
    <w:rsid w:val="00505207"/>
    <w:rsid w:val="00505FA4"/>
    <w:rsid w:val="00506A2B"/>
    <w:rsid w:val="00507701"/>
    <w:rsid w:val="0050783C"/>
    <w:rsid w:val="00507B42"/>
    <w:rsid w:val="005109EE"/>
    <w:rsid w:val="00510D96"/>
    <w:rsid w:val="0051108B"/>
    <w:rsid w:val="00511A26"/>
    <w:rsid w:val="005131C1"/>
    <w:rsid w:val="005131E8"/>
    <w:rsid w:val="00513D16"/>
    <w:rsid w:val="00514091"/>
    <w:rsid w:val="005142DE"/>
    <w:rsid w:val="0051498A"/>
    <w:rsid w:val="00514A0D"/>
    <w:rsid w:val="00515023"/>
    <w:rsid w:val="00515341"/>
    <w:rsid w:val="005153A5"/>
    <w:rsid w:val="00515490"/>
    <w:rsid w:val="005154C9"/>
    <w:rsid w:val="0051553D"/>
    <w:rsid w:val="00515B04"/>
    <w:rsid w:val="00515E32"/>
    <w:rsid w:val="00515F4B"/>
    <w:rsid w:val="00515F81"/>
    <w:rsid w:val="00517EAD"/>
    <w:rsid w:val="00517F6A"/>
    <w:rsid w:val="00517F6D"/>
    <w:rsid w:val="00517FF6"/>
    <w:rsid w:val="00520F00"/>
    <w:rsid w:val="0052187F"/>
    <w:rsid w:val="00521F1C"/>
    <w:rsid w:val="00522004"/>
    <w:rsid w:val="00522A39"/>
    <w:rsid w:val="0052300D"/>
    <w:rsid w:val="00523F97"/>
    <w:rsid w:val="00524082"/>
    <w:rsid w:val="00524397"/>
    <w:rsid w:val="00524BE9"/>
    <w:rsid w:val="00524CF4"/>
    <w:rsid w:val="00524E4C"/>
    <w:rsid w:val="00524E7F"/>
    <w:rsid w:val="00525023"/>
    <w:rsid w:val="00525067"/>
    <w:rsid w:val="0052531D"/>
    <w:rsid w:val="0052547C"/>
    <w:rsid w:val="00525496"/>
    <w:rsid w:val="00525965"/>
    <w:rsid w:val="00525A5C"/>
    <w:rsid w:val="005264F1"/>
    <w:rsid w:val="005265A5"/>
    <w:rsid w:val="005266D9"/>
    <w:rsid w:val="0052699B"/>
    <w:rsid w:val="005272DA"/>
    <w:rsid w:val="0052745D"/>
    <w:rsid w:val="00530505"/>
    <w:rsid w:val="00530800"/>
    <w:rsid w:val="00530F97"/>
    <w:rsid w:val="005310D8"/>
    <w:rsid w:val="0053118A"/>
    <w:rsid w:val="0053181A"/>
    <w:rsid w:val="00531D8A"/>
    <w:rsid w:val="0053225E"/>
    <w:rsid w:val="00532415"/>
    <w:rsid w:val="00532ADD"/>
    <w:rsid w:val="00532B9A"/>
    <w:rsid w:val="00532ED6"/>
    <w:rsid w:val="0053387B"/>
    <w:rsid w:val="00533A30"/>
    <w:rsid w:val="00533AA8"/>
    <w:rsid w:val="00533E41"/>
    <w:rsid w:val="005342AD"/>
    <w:rsid w:val="00534C0B"/>
    <w:rsid w:val="0053555E"/>
    <w:rsid w:val="00535EE1"/>
    <w:rsid w:val="0053645A"/>
    <w:rsid w:val="005364DC"/>
    <w:rsid w:val="0053657D"/>
    <w:rsid w:val="00537229"/>
    <w:rsid w:val="00537986"/>
    <w:rsid w:val="00537D34"/>
    <w:rsid w:val="00537D6E"/>
    <w:rsid w:val="00537DC6"/>
    <w:rsid w:val="005401CE"/>
    <w:rsid w:val="0054038E"/>
    <w:rsid w:val="0054067A"/>
    <w:rsid w:val="00540B79"/>
    <w:rsid w:val="00540C21"/>
    <w:rsid w:val="00540E70"/>
    <w:rsid w:val="00540FCA"/>
    <w:rsid w:val="005412F8"/>
    <w:rsid w:val="00541562"/>
    <w:rsid w:val="00541F2F"/>
    <w:rsid w:val="00542041"/>
    <w:rsid w:val="0054245A"/>
    <w:rsid w:val="00542546"/>
    <w:rsid w:val="00542967"/>
    <w:rsid w:val="00542A1E"/>
    <w:rsid w:val="00542A3D"/>
    <w:rsid w:val="00542D58"/>
    <w:rsid w:val="0054360B"/>
    <w:rsid w:val="00543788"/>
    <w:rsid w:val="00543AC6"/>
    <w:rsid w:val="00543DDF"/>
    <w:rsid w:val="005446DD"/>
    <w:rsid w:val="00544E80"/>
    <w:rsid w:val="00544F4B"/>
    <w:rsid w:val="00545217"/>
    <w:rsid w:val="00545436"/>
    <w:rsid w:val="0054569D"/>
    <w:rsid w:val="00546434"/>
    <w:rsid w:val="0054675F"/>
    <w:rsid w:val="00546FE3"/>
    <w:rsid w:val="00547036"/>
    <w:rsid w:val="005473FE"/>
    <w:rsid w:val="00547430"/>
    <w:rsid w:val="00547DA6"/>
    <w:rsid w:val="005504C8"/>
    <w:rsid w:val="00550985"/>
    <w:rsid w:val="00550BFD"/>
    <w:rsid w:val="00551310"/>
    <w:rsid w:val="00551357"/>
    <w:rsid w:val="00551DED"/>
    <w:rsid w:val="00551EB9"/>
    <w:rsid w:val="0055223F"/>
    <w:rsid w:val="00552AA8"/>
    <w:rsid w:val="005534C2"/>
    <w:rsid w:val="00553C61"/>
    <w:rsid w:val="00553D1A"/>
    <w:rsid w:val="00553ECC"/>
    <w:rsid w:val="005541A5"/>
    <w:rsid w:val="00554977"/>
    <w:rsid w:val="005563DB"/>
    <w:rsid w:val="00556401"/>
    <w:rsid w:val="00556F2E"/>
    <w:rsid w:val="005575FC"/>
    <w:rsid w:val="00557752"/>
    <w:rsid w:val="005578A8"/>
    <w:rsid w:val="005578D6"/>
    <w:rsid w:val="00560263"/>
    <w:rsid w:val="0056056A"/>
    <w:rsid w:val="00561257"/>
    <w:rsid w:val="00561670"/>
    <w:rsid w:val="00561865"/>
    <w:rsid w:val="00562CEC"/>
    <w:rsid w:val="00562FA0"/>
    <w:rsid w:val="00562FAB"/>
    <w:rsid w:val="00563026"/>
    <w:rsid w:val="005631D7"/>
    <w:rsid w:val="00563428"/>
    <w:rsid w:val="00563A9C"/>
    <w:rsid w:val="00563B8E"/>
    <w:rsid w:val="00563DF1"/>
    <w:rsid w:val="00563F9F"/>
    <w:rsid w:val="005649A9"/>
    <w:rsid w:val="00564C74"/>
    <w:rsid w:val="00564E8F"/>
    <w:rsid w:val="005653CC"/>
    <w:rsid w:val="00565536"/>
    <w:rsid w:val="00565650"/>
    <w:rsid w:val="005656B3"/>
    <w:rsid w:val="005656BD"/>
    <w:rsid w:val="005660BA"/>
    <w:rsid w:val="005667B7"/>
    <w:rsid w:val="00567120"/>
    <w:rsid w:val="00567165"/>
    <w:rsid w:val="005672FE"/>
    <w:rsid w:val="00567B0C"/>
    <w:rsid w:val="00570E77"/>
    <w:rsid w:val="005715C2"/>
    <w:rsid w:val="00571EAC"/>
    <w:rsid w:val="00571F04"/>
    <w:rsid w:val="00572A8D"/>
    <w:rsid w:val="00572BD1"/>
    <w:rsid w:val="00573E77"/>
    <w:rsid w:val="00574A92"/>
    <w:rsid w:val="00574BC7"/>
    <w:rsid w:val="0057522A"/>
    <w:rsid w:val="00576359"/>
    <w:rsid w:val="005769F0"/>
    <w:rsid w:val="00576D72"/>
    <w:rsid w:val="005777B1"/>
    <w:rsid w:val="00577E5C"/>
    <w:rsid w:val="00580032"/>
    <w:rsid w:val="0058066E"/>
    <w:rsid w:val="00580676"/>
    <w:rsid w:val="00580B66"/>
    <w:rsid w:val="00580FE1"/>
    <w:rsid w:val="00581806"/>
    <w:rsid w:val="00581C52"/>
    <w:rsid w:val="005825E3"/>
    <w:rsid w:val="00582814"/>
    <w:rsid w:val="005829AC"/>
    <w:rsid w:val="00582D0B"/>
    <w:rsid w:val="00582E25"/>
    <w:rsid w:val="00582FC3"/>
    <w:rsid w:val="00583263"/>
    <w:rsid w:val="00583267"/>
    <w:rsid w:val="005832EC"/>
    <w:rsid w:val="00583416"/>
    <w:rsid w:val="00583756"/>
    <w:rsid w:val="00583BED"/>
    <w:rsid w:val="005847B0"/>
    <w:rsid w:val="00584AAB"/>
    <w:rsid w:val="00584ABA"/>
    <w:rsid w:val="00584E22"/>
    <w:rsid w:val="00584E93"/>
    <w:rsid w:val="00585065"/>
    <w:rsid w:val="005861B3"/>
    <w:rsid w:val="00586232"/>
    <w:rsid w:val="00586600"/>
    <w:rsid w:val="00586BFC"/>
    <w:rsid w:val="005871D0"/>
    <w:rsid w:val="00587772"/>
    <w:rsid w:val="005879A9"/>
    <w:rsid w:val="00587E8D"/>
    <w:rsid w:val="00590051"/>
    <w:rsid w:val="005902EF"/>
    <w:rsid w:val="0059068E"/>
    <w:rsid w:val="00590B28"/>
    <w:rsid w:val="00591F08"/>
    <w:rsid w:val="00592802"/>
    <w:rsid w:val="00593A1A"/>
    <w:rsid w:val="00593A49"/>
    <w:rsid w:val="00593CD4"/>
    <w:rsid w:val="005940CD"/>
    <w:rsid w:val="005944EE"/>
    <w:rsid w:val="005945F4"/>
    <w:rsid w:val="00595320"/>
    <w:rsid w:val="00596110"/>
    <w:rsid w:val="005961E8"/>
    <w:rsid w:val="0059630A"/>
    <w:rsid w:val="00596693"/>
    <w:rsid w:val="00596C25"/>
    <w:rsid w:val="00596EFC"/>
    <w:rsid w:val="0059721A"/>
    <w:rsid w:val="0059795E"/>
    <w:rsid w:val="00597AE7"/>
    <w:rsid w:val="00597D4B"/>
    <w:rsid w:val="00597FF9"/>
    <w:rsid w:val="005A0186"/>
    <w:rsid w:val="005A0260"/>
    <w:rsid w:val="005A02B7"/>
    <w:rsid w:val="005A0322"/>
    <w:rsid w:val="005A048C"/>
    <w:rsid w:val="005A0B70"/>
    <w:rsid w:val="005A0CE5"/>
    <w:rsid w:val="005A10BE"/>
    <w:rsid w:val="005A1291"/>
    <w:rsid w:val="005A1BC6"/>
    <w:rsid w:val="005A1C2B"/>
    <w:rsid w:val="005A2304"/>
    <w:rsid w:val="005A230B"/>
    <w:rsid w:val="005A28AE"/>
    <w:rsid w:val="005A2F39"/>
    <w:rsid w:val="005A320C"/>
    <w:rsid w:val="005A335A"/>
    <w:rsid w:val="005A3BD8"/>
    <w:rsid w:val="005A3D19"/>
    <w:rsid w:val="005A3E1C"/>
    <w:rsid w:val="005A3EBB"/>
    <w:rsid w:val="005A46CA"/>
    <w:rsid w:val="005A477F"/>
    <w:rsid w:val="005A4845"/>
    <w:rsid w:val="005A49D4"/>
    <w:rsid w:val="005A4F40"/>
    <w:rsid w:val="005A5AEA"/>
    <w:rsid w:val="005A63AC"/>
    <w:rsid w:val="005A655B"/>
    <w:rsid w:val="005A662B"/>
    <w:rsid w:val="005A675D"/>
    <w:rsid w:val="005A69D9"/>
    <w:rsid w:val="005A6C39"/>
    <w:rsid w:val="005A7506"/>
    <w:rsid w:val="005A7823"/>
    <w:rsid w:val="005A7916"/>
    <w:rsid w:val="005A7D3A"/>
    <w:rsid w:val="005A7EF9"/>
    <w:rsid w:val="005A7F6C"/>
    <w:rsid w:val="005B06D2"/>
    <w:rsid w:val="005B0CFC"/>
    <w:rsid w:val="005B0FDF"/>
    <w:rsid w:val="005B1AE2"/>
    <w:rsid w:val="005B1DA6"/>
    <w:rsid w:val="005B1DB6"/>
    <w:rsid w:val="005B1DDF"/>
    <w:rsid w:val="005B1E34"/>
    <w:rsid w:val="005B28C3"/>
    <w:rsid w:val="005B29E3"/>
    <w:rsid w:val="005B330A"/>
    <w:rsid w:val="005B35B4"/>
    <w:rsid w:val="005B379A"/>
    <w:rsid w:val="005B3E94"/>
    <w:rsid w:val="005B56B6"/>
    <w:rsid w:val="005B5FBF"/>
    <w:rsid w:val="005B5FE6"/>
    <w:rsid w:val="005B6287"/>
    <w:rsid w:val="005B62CE"/>
    <w:rsid w:val="005B6322"/>
    <w:rsid w:val="005B6C70"/>
    <w:rsid w:val="005B7092"/>
    <w:rsid w:val="005B766E"/>
    <w:rsid w:val="005B7AE9"/>
    <w:rsid w:val="005B7D97"/>
    <w:rsid w:val="005C08C4"/>
    <w:rsid w:val="005C0CE4"/>
    <w:rsid w:val="005C0E3A"/>
    <w:rsid w:val="005C1538"/>
    <w:rsid w:val="005C18E6"/>
    <w:rsid w:val="005C19E1"/>
    <w:rsid w:val="005C1B6E"/>
    <w:rsid w:val="005C1FA2"/>
    <w:rsid w:val="005C2424"/>
    <w:rsid w:val="005C2572"/>
    <w:rsid w:val="005C28A8"/>
    <w:rsid w:val="005C3A1E"/>
    <w:rsid w:val="005C3A5F"/>
    <w:rsid w:val="005C4087"/>
    <w:rsid w:val="005C42F4"/>
    <w:rsid w:val="005C4370"/>
    <w:rsid w:val="005C4D82"/>
    <w:rsid w:val="005C51ED"/>
    <w:rsid w:val="005C543A"/>
    <w:rsid w:val="005C5F9B"/>
    <w:rsid w:val="005C6A0B"/>
    <w:rsid w:val="005C6CB5"/>
    <w:rsid w:val="005C6EC9"/>
    <w:rsid w:val="005C6F72"/>
    <w:rsid w:val="005C7489"/>
    <w:rsid w:val="005C77B1"/>
    <w:rsid w:val="005C78CA"/>
    <w:rsid w:val="005C7970"/>
    <w:rsid w:val="005D0112"/>
    <w:rsid w:val="005D04FA"/>
    <w:rsid w:val="005D0D2A"/>
    <w:rsid w:val="005D0F8E"/>
    <w:rsid w:val="005D15DA"/>
    <w:rsid w:val="005D1A91"/>
    <w:rsid w:val="005D1AA4"/>
    <w:rsid w:val="005D1AE8"/>
    <w:rsid w:val="005D1CED"/>
    <w:rsid w:val="005D2B0A"/>
    <w:rsid w:val="005D2E51"/>
    <w:rsid w:val="005D3510"/>
    <w:rsid w:val="005D36DA"/>
    <w:rsid w:val="005D41E5"/>
    <w:rsid w:val="005D5414"/>
    <w:rsid w:val="005D54F9"/>
    <w:rsid w:val="005D579D"/>
    <w:rsid w:val="005D5C81"/>
    <w:rsid w:val="005D60FB"/>
    <w:rsid w:val="005D6408"/>
    <w:rsid w:val="005D6CF3"/>
    <w:rsid w:val="005D6E28"/>
    <w:rsid w:val="005D7425"/>
    <w:rsid w:val="005E06B9"/>
    <w:rsid w:val="005E095A"/>
    <w:rsid w:val="005E0D38"/>
    <w:rsid w:val="005E10DC"/>
    <w:rsid w:val="005E1214"/>
    <w:rsid w:val="005E1C51"/>
    <w:rsid w:val="005E2397"/>
    <w:rsid w:val="005E2594"/>
    <w:rsid w:val="005E2CC6"/>
    <w:rsid w:val="005E316B"/>
    <w:rsid w:val="005E3906"/>
    <w:rsid w:val="005E3BD9"/>
    <w:rsid w:val="005E3D61"/>
    <w:rsid w:val="005E40AE"/>
    <w:rsid w:val="005E467A"/>
    <w:rsid w:val="005E4745"/>
    <w:rsid w:val="005E4FA4"/>
    <w:rsid w:val="005E57D0"/>
    <w:rsid w:val="005E7209"/>
    <w:rsid w:val="005E732A"/>
    <w:rsid w:val="005E7A65"/>
    <w:rsid w:val="005E7AFC"/>
    <w:rsid w:val="005F0020"/>
    <w:rsid w:val="005F03FB"/>
    <w:rsid w:val="005F089D"/>
    <w:rsid w:val="005F091C"/>
    <w:rsid w:val="005F0928"/>
    <w:rsid w:val="005F0DC4"/>
    <w:rsid w:val="005F225E"/>
    <w:rsid w:val="005F27F0"/>
    <w:rsid w:val="005F3867"/>
    <w:rsid w:val="005F3A92"/>
    <w:rsid w:val="005F3E48"/>
    <w:rsid w:val="005F40B6"/>
    <w:rsid w:val="005F4B21"/>
    <w:rsid w:val="005F53C6"/>
    <w:rsid w:val="005F58B4"/>
    <w:rsid w:val="005F6252"/>
    <w:rsid w:val="005F638A"/>
    <w:rsid w:val="005F6C32"/>
    <w:rsid w:val="005F71EA"/>
    <w:rsid w:val="005F7B58"/>
    <w:rsid w:val="005F7C9A"/>
    <w:rsid w:val="00600A8E"/>
    <w:rsid w:val="00600E96"/>
    <w:rsid w:val="00600F2D"/>
    <w:rsid w:val="00601DB3"/>
    <w:rsid w:val="00601ECF"/>
    <w:rsid w:val="00601F02"/>
    <w:rsid w:val="00602549"/>
    <w:rsid w:val="0060259B"/>
    <w:rsid w:val="0060285F"/>
    <w:rsid w:val="006036F6"/>
    <w:rsid w:val="006038CB"/>
    <w:rsid w:val="0060398F"/>
    <w:rsid w:val="00603F5B"/>
    <w:rsid w:val="00604092"/>
    <w:rsid w:val="00604737"/>
    <w:rsid w:val="00604901"/>
    <w:rsid w:val="00604AB4"/>
    <w:rsid w:val="00605097"/>
    <w:rsid w:val="006053C8"/>
    <w:rsid w:val="00605749"/>
    <w:rsid w:val="00605B55"/>
    <w:rsid w:val="00607035"/>
    <w:rsid w:val="006070D6"/>
    <w:rsid w:val="006074FE"/>
    <w:rsid w:val="0060757B"/>
    <w:rsid w:val="00610018"/>
    <w:rsid w:val="006100F7"/>
    <w:rsid w:val="006105B6"/>
    <w:rsid w:val="0061076B"/>
    <w:rsid w:val="006108E8"/>
    <w:rsid w:val="00610B93"/>
    <w:rsid w:val="00610C19"/>
    <w:rsid w:val="006123A4"/>
    <w:rsid w:val="006124B2"/>
    <w:rsid w:val="006125AA"/>
    <w:rsid w:val="00612716"/>
    <w:rsid w:val="006129BB"/>
    <w:rsid w:val="006130DB"/>
    <w:rsid w:val="006132B8"/>
    <w:rsid w:val="006132C9"/>
    <w:rsid w:val="0061365D"/>
    <w:rsid w:val="0061392A"/>
    <w:rsid w:val="006156CC"/>
    <w:rsid w:val="0061654E"/>
    <w:rsid w:val="0061694E"/>
    <w:rsid w:val="00616BB6"/>
    <w:rsid w:val="006170C6"/>
    <w:rsid w:val="00617410"/>
    <w:rsid w:val="0061749D"/>
    <w:rsid w:val="00617C76"/>
    <w:rsid w:val="00617E3C"/>
    <w:rsid w:val="00620593"/>
    <w:rsid w:val="00620786"/>
    <w:rsid w:val="00620C62"/>
    <w:rsid w:val="006214CF"/>
    <w:rsid w:val="0062223E"/>
    <w:rsid w:val="00623469"/>
    <w:rsid w:val="0062382D"/>
    <w:rsid w:val="00623970"/>
    <w:rsid w:val="006240B6"/>
    <w:rsid w:val="00624472"/>
    <w:rsid w:val="006244D7"/>
    <w:rsid w:val="006252B7"/>
    <w:rsid w:val="00625639"/>
    <w:rsid w:val="0062586C"/>
    <w:rsid w:val="00625B8A"/>
    <w:rsid w:val="0062679C"/>
    <w:rsid w:val="00626815"/>
    <w:rsid w:val="00626C8E"/>
    <w:rsid w:val="00626F68"/>
    <w:rsid w:val="00627365"/>
    <w:rsid w:val="00627C66"/>
    <w:rsid w:val="006309D3"/>
    <w:rsid w:val="00630B26"/>
    <w:rsid w:val="00630BB7"/>
    <w:rsid w:val="006316B8"/>
    <w:rsid w:val="006317B8"/>
    <w:rsid w:val="0063190B"/>
    <w:rsid w:val="006319FE"/>
    <w:rsid w:val="00631E4D"/>
    <w:rsid w:val="006324E3"/>
    <w:rsid w:val="0063272F"/>
    <w:rsid w:val="0063286B"/>
    <w:rsid w:val="00632AB3"/>
    <w:rsid w:val="00632BD2"/>
    <w:rsid w:val="00633324"/>
    <w:rsid w:val="006334E3"/>
    <w:rsid w:val="00633CBC"/>
    <w:rsid w:val="00633E3A"/>
    <w:rsid w:val="00634056"/>
    <w:rsid w:val="00634E0A"/>
    <w:rsid w:val="00635D78"/>
    <w:rsid w:val="0063614A"/>
    <w:rsid w:val="00636535"/>
    <w:rsid w:val="00636D72"/>
    <w:rsid w:val="006376F7"/>
    <w:rsid w:val="0063775E"/>
    <w:rsid w:val="00637A60"/>
    <w:rsid w:val="00640052"/>
    <w:rsid w:val="00640068"/>
    <w:rsid w:val="00640462"/>
    <w:rsid w:val="00641910"/>
    <w:rsid w:val="006427A4"/>
    <w:rsid w:val="00642B46"/>
    <w:rsid w:val="00642BE9"/>
    <w:rsid w:val="006435CC"/>
    <w:rsid w:val="00643EB4"/>
    <w:rsid w:val="006455B4"/>
    <w:rsid w:val="00645718"/>
    <w:rsid w:val="00645A6A"/>
    <w:rsid w:val="00645DDE"/>
    <w:rsid w:val="00646460"/>
    <w:rsid w:val="0064650B"/>
    <w:rsid w:val="00646CD3"/>
    <w:rsid w:val="0064726A"/>
    <w:rsid w:val="006472EB"/>
    <w:rsid w:val="00647A47"/>
    <w:rsid w:val="00647B4C"/>
    <w:rsid w:val="00647BA9"/>
    <w:rsid w:val="00647DC0"/>
    <w:rsid w:val="00651294"/>
    <w:rsid w:val="006513B5"/>
    <w:rsid w:val="00651463"/>
    <w:rsid w:val="0065146D"/>
    <w:rsid w:val="00651595"/>
    <w:rsid w:val="0065162A"/>
    <w:rsid w:val="00651C9A"/>
    <w:rsid w:val="00651DF8"/>
    <w:rsid w:val="00651EE5"/>
    <w:rsid w:val="006521E3"/>
    <w:rsid w:val="00652260"/>
    <w:rsid w:val="00652817"/>
    <w:rsid w:val="006529A4"/>
    <w:rsid w:val="00652C88"/>
    <w:rsid w:val="006537DD"/>
    <w:rsid w:val="00653C4A"/>
    <w:rsid w:val="0065456F"/>
    <w:rsid w:val="006548E4"/>
    <w:rsid w:val="00654D85"/>
    <w:rsid w:val="00655031"/>
    <w:rsid w:val="00655187"/>
    <w:rsid w:val="00655E52"/>
    <w:rsid w:val="006560D5"/>
    <w:rsid w:val="006563A4"/>
    <w:rsid w:val="00656566"/>
    <w:rsid w:val="0065669D"/>
    <w:rsid w:val="0065682E"/>
    <w:rsid w:val="00656A17"/>
    <w:rsid w:val="00656D8A"/>
    <w:rsid w:val="00656F96"/>
    <w:rsid w:val="006570E3"/>
    <w:rsid w:val="006578BC"/>
    <w:rsid w:val="00657D80"/>
    <w:rsid w:val="00657DC6"/>
    <w:rsid w:val="0066023F"/>
    <w:rsid w:val="006602B1"/>
    <w:rsid w:val="0066042F"/>
    <w:rsid w:val="00660928"/>
    <w:rsid w:val="006610F2"/>
    <w:rsid w:val="0066117E"/>
    <w:rsid w:val="006613F6"/>
    <w:rsid w:val="00661517"/>
    <w:rsid w:val="006620BB"/>
    <w:rsid w:val="00662243"/>
    <w:rsid w:val="00662470"/>
    <w:rsid w:val="0066279C"/>
    <w:rsid w:val="00663190"/>
    <w:rsid w:val="00663688"/>
    <w:rsid w:val="00664843"/>
    <w:rsid w:val="006653C5"/>
    <w:rsid w:val="00666114"/>
    <w:rsid w:val="00666122"/>
    <w:rsid w:val="00666806"/>
    <w:rsid w:val="00666BC5"/>
    <w:rsid w:val="006678BA"/>
    <w:rsid w:val="00667A14"/>
    <w:rsid w:val="00667D79"/>
    <w:rsid w:val="00670113"/>
    <w:rsid w:val="0067041A"/>
    <w:rsid w:val="006708ED"/>
    <w:rsid w:val="00670AA6"/>
    <w:rsid w:val="00670D32"/>
    <w:rsid w:val="00670F15"/>
    <w:rsid w:val="00671631"/>
    <w:rsid w:val="00672577"/>
    <w:rsid w:val="00672610"/>
    <w:rsid w:val="00672792"/>
    <w:rsid w:val="006727FB"/>
    <w:rsid w:val="00672B18"/>
    <w:rsid w:val="0067314B"/>
    <w:rsid w:val="006738CA"/>
    <w:rsid w:val="00673F9D"/>
    <w:rsid w:val="006743E0"/>
    <w:rsid w:val="00674C12"/>
    <w:rsid w:val="00674F2E"/>
    <w:rsid w:val="006752C6"/>
    <w:rsid w:val="00675A98"/>
    <w:rsid w:val="00675B31"/>
    <w:rsid w:val="006762DE"/>
    <w:rsid w:val="0067682B"/>
    <w:rsid w:val="0067710C"/>
    <w:rsid w:val="00677EE7"/>
    <w:rsid w:val="00677F71"/>
    <w:rsid w:val="006800EB"/>
    <w:rsid w:val="00680569"/>
    <w:rsid w:val="00680A8F"/>
    <w:rsid w:val="00680C5C"/>
    <w:rsid w:val="00680FAC"/>
    <w:rsid w:val="00681019"/>
    <w:rsid w:val="00681EA5"/>
    <w:rsid w:val="0068217A"/>
    <w:rsid w:val="00682199"/>
    <w:rsid w:val="0068246A"/>
    <w:rsid w:val="006828C1"/>
    <w:rsid w:val="00682929"/>
    <w:rsid w:val="00682BDF"/>
    <w:rsid w:val="0068306B"/>
    <w:rsid w:val="00683A29"/>
    <w:rsid w:val="00683C72"/>
    <w:rsid w:val="00683D9F"/>
    <w:rsid w:val="0068422A"/>
    <w:rsid w:val="006849C4"/>
    <w:rsid w:val="00684B8C"/>
    <w:rsid w:val="00685211"/>
    <w:rsid w:val="00685BDC"/>
    <w:rsid w:val="006864DE"/>
    <w:rsid w:val="00686DB0"/>
    <w:rsid w:val="0068720A"/>
    <w:rsid w:val="006873EA"/>
    <w:rsid w:val="00687ACA"/>
    <w:rsid w:val="00687B02"/>
    <w:rsid w:val="00687C00"/>
    <w:rsid w:val="006903F3"/>
    <w:rsid w:val="006904ED"/>
    <w:rsid w:val="0069065E"/>
    <w:rsid w:val="00690A97"/>
    <w:rsid w:val="00691411"/>
    <w:rsid w:val="00691430"/>
    <w:rsid w:val="006922B8"/>
    <w:rsid w:val="00692386"/>
    <w:rsid w:val="00692D17"/>
    <w:rsid w:val="00692E98"/>
    <w:rsid w:val="00692FA7"/>
    <w:rsid w:val="0069347A"/>
    <w:rsid w:val="00693CCD"/>
    <w:rsid w:val="00693EEF"/>
    <w:rsid w:val="00694B73"/>
    <w:rsid w:val="00694B91"/>
    <w:rsid w:val="0069508C"/>
    <w:rsid w:val="0069514E"/>
    <w:rsid w:val="006954EB"/>
    <w:rsid w:val="00695BE0"/>
    <w:rsid w:val="00695F1C"/>
    <w:rsid w:val="006966C0"/>
    <w:rsid w:val="00696A71"/>
    <w:rsid w:val="00697197"/>
    <w:rsid w:val="00697F0C"/>
    <w:rsid w:val="006A00BB"/>
    <w:rsid w:val="006A0671"/>
    <w:rsid w:val="006A0855"/>
    <w:rsid w:val="006A0B58"/>
    <w:rsid w:val="006A118F"/>
    <w:rsid w:val="006A1366"/>
    <w:rsid w:val="006A144D"/>
    <w:rsid w:val="006A1711"/>
    <w:rsid w:val="006A1808"/>
    <w:rsid w:val="006A1DD0"/>
    <w:rsid w:val="006A27EA"/>
    <w:rsid w:val="006A35D5"/>
    <w:rsid w:val="006A392F"/>
    <w:rsid w:val="006A3C5E"/>
    <w:rsid w:val="006A42EE"/>
    <w:rsid w:val="006A432A"/>
    <w:rsid w:val="006A4684"/>
    <w:rsid w:val="006A490A"/>
    <w:rsid w:val="006A4967"/>
    <w:rsid w:val="006A4DD8"/>
    <w:rsid w:val="006A4E98"/>
    <w:rsid w:val="006A4FD8"/>
    <w:rsid w:val="006A50C4"/>
    <w:rsid w:val="006A52F1"/>
    <w:rsid w:val="006A564D"/>
    <w:rsid w:val="006A587A"/>
    <w:rsid w:val="006A5B07"/>
    <w:rsid w:val="006A5DBD"/>
    <w:rsid w:val="006A5DC0"/>
    <w:rsid w:val="006A5E01"/>
    <w:rsid w:val="006A5F60"/>
    <w:rsid w:val="006A61F5"/>
    <w:rsid w:val="006A637C"/>
    <w:rsid w:val="006A641F"/>
    <w:rsid w:val="006A64A9"/>
    <w:rsid w:val="006A6E3A"/>
    <w:rsid w:val="006A727F"/>
    <w:rsid w:val="006A72D8"/>
    <w:rsid w:val="006A797B"/>
    <w:rsid w:val="006A7C62"/>
    <w:rsid w:val="006B113C"/>
    <w:rsid w:val="006B269D"/>
    <w:rsid w:val="006B2D05"/>
    <w:rsid w:val="006B2D5D"/>
    <w:rsid w:val="006B3261"/>
    <w:rsid w:val="006B3600"/>
    <w:rsid w:val="006B3D9C"/>
    <w:rsid w:val="006B3F72"/>
    <w:rsid w:val="006B41DD"/>
    <w:rsid w:val="006B45E5"/>
    <w:rsid w:val="006B45E9"/>
    <w:rsid w:val="006B4AC1"/>
    <w:rsid w:val="006B4AD5"/>
    <w:rsid w:val="006B4AF5"/>
    <w:rsid w:val="006B5561"/>
    <w:rsid w:val="006B5C7A"/>
    <w:rsid w:val="006B5F73"/>
    <w:rsid w:val="006B682C"/>
    <w:rsid w:val="006B738C"/>
    <w:rsid w:val="006C018B"/>
    <w:rsid w:val="006C0610"/>
    <w:rsid w:val="006C080F"/>
    <w:rsid w:val="006C1812"/>
    <w:rsid w:val="006C181D"/>
    <w:rsid w:val="006C1A28"/>
    <w:rsid w:val="006C1A4E"/>
    <w:rsid w:val="006C1A60"/>
    <w:rsid w:val="006C1F76"/>
    <w:rsid w:val="006C2140"/>
    <w:rsid w:val="006C2282"/>
    <w:rsid w:val="006C2402"/>
    <w:rsid w:val="006C25D1"/>
    <w:rsid w:val="006C270A"/>
    <w:rsid w:val="006C3528"/>
    <w:rsid w:val="006C37D3"/>
    <w:rsid w:val="006C3826"/>
    <w:rsid w:val="006C3D11"/>
    <w:rsid w:val="006C4654"/>
    <w:rsid w:val="006C4AA8"/>
    <w:rsid w:val="006C4D97"/>
    <w:rsid w:val="006C5400"/>
    <w:rsid w:val="006C5FF0"/>
    <w:rsid w:val="006C6437"/>
    <w:rsid w:val="006C7061"/>
    <w:rsid w:val="006C72E4"/>
    <w:rsid w:val="006C7B21"/>
    <w:rsid w:val="006D0738"/>
    <w:rsid w:val="006D08AB"/>
    <w:rsid w:val="006D0AD4"/>
    <w:rsid w:val="006D0E5B"/>
    <w:rsid w:val="006D1179"/>
    <w:rsid w:val="006D12EA"/>
    <w:rsid w:val="006D1930"/>
    <w:rsid w:val="006D1A6F"/>
    <w:rsid w:val="006D1B89"/>
    <w:rsid w:val="006D1BD1"/>
    <w:rsid w:val="006D2078"/>
    <w:rsid w:val="006D2435"/>
    <w:rsid w:val="006D2E3E"/>
    <w:rsid w:val="006D32D9"/>
    <w:rsid w:val="006D3408"/>
    <w:rsid w:val="006D3DD9"/>
    <w:rsid w:val="006D3EE2"/>
    <w:rsid w:val="006D4107"/>
    <w:rsid w:val="006D4609"/>
    <w:rsid w:val="006D527E"/>
    <w:rsid w:val="006D5A89"/>
    <w:rsid w:val="006D6061"/>
    <w:rsid w:val="006D6CE8"/>
    <w:rsid w:val="006D6D0D"/>
    <w:rsid w:val="006D6DC8"/>
    <w:rsid w:val="006D700E"/>
    <w:rsid w:val="006D7986"/>
    <w:rsid w:val="006D7FF5"/>
    <w:rsid w:val="006E0E47"/>
    <w:rsid w:val="006E1E19"/>
    <w:rsid w:val="006E31E2"/>
    <w:rsid w:val="006E38ED"/>
    <w:rsid w:val="006E3A44"/>
    <w:rsid w:val="006E4BC0"/>
    <w:rsid w:val="006E566C"/>
    <w:rsid w:val="006E5CDA"/>
    <w:rsid w:val="006E6354"/>
    <w:rsid w:val="006E64A3"/>
    <w:rsid w:val="006E64AE"/>
    <w:rsid w:val="006E672F"/>
    <w:rsid w:val="006E6D9F"/>
    <w:rsid w:val="006E7249"/>
    <w:rsid w:val="006E7432"/>
    <w:rsid w:val="006E7629"/>
    <w:rsid w:val="006E767E"/>
    <w:rsid w:val="006E7A51"/>
    <w:rsid w:val="006E7C7F"/>
    <w:rsid w:val="006E7DE3"/>
    <w:rsid w:val="006E7EF7"/>
    <w:rsid w:val="006F00F0"/>
    <w:rsid w:val="006F018B"/>
    <w:rsid w:val="006F0F55"/>
    <w:rsid w:val="006F11E3"/>
    <w:rsid w:val="006F1A31"/>
    <w:rsid w:val="006F1B41"/>
    <w:rsid w:val="006F1BE0"/>
    <w:rsid w:val="006F1CB8"/>
    <w:rsid w:val="006F1CBA"/>
    <w:rsid w:val="006F1D02"/>
    <w:rsid w:val="006F1DB5"/>
    <w:rsid w:val="006F2504"/>
    <w:rsid w:val="006F29D5"/>
    <w:rsid w:val="006F2D48"/>
    <w:rsid w:val="006F2EE2"/>
    <w:rsid w:val="006F2F48"/>
    <w:rsid w:val="006F310E"/>
    <w:rsid w:val="006F356E"/>
    <w:rsid w:val="006F36E2"/>
    <w:rsid w:val="006F3ABE"/>
    <w:rsid w:val="006F4484"/>
    <w:rsid w:val="006F47D9"/>
    <w:rsid w:val="006F4A2A"/>
    <w:rsid w:val="006F4B2F"/>
    <w:rsid w:val="006F4B46"/>
    <w:rsid w:val="006F4E58"/>
    <w:rsid w:val="006F4E97"/>
    <w:rsid w:val="006F533B"/>
    <w:rsid w:val="006F56E8"/>
    <w:rsid w:val="006F5943"/>
    <w:rsid w:val="006F5CDF"/>
    <w:rsid w:val="006F696E"/>
    <w:rsid w:val="006F6B67"/>
    <w:rsid w:val="006F7EA9"/>
    <w:rsid w:val="00700590"/>
    <w:rsid w:val="00700A9D"/>
    <w:rsid w:val="00700EF8"/>
    <w:rsid w:val="00700F04"/>
    <w:rsid w:val="007013B3"/>
    <w:rsid w:val="00701944"/>
    <w:rsid w:val="00701C06"/>
    <w:rsid w:val="00702936"/>
    <w:rsid w:val="00702B71"/>
    <w:rsid w:val="00703084"/>
    <w:rsid w:val="007030A3"/>
    <w:rsid w:val="007044B2"/>
    <w:rsid w:val="007044E3"/>
    <w:rsid w:val="00704BA0"/>
    <w:rsid w:val="00704C62"/>
    <w:rsid w:val="007055A2"/>
    <w:rsid w:val="0070578F"/>
    <w:rsid w:val="00705858"/>
    <w:rsid w:val="00705DEB"/>
    <w:rsid w:val="00705F08"/>
    <w:rsid w:val="00706457"/>
    <w:rsid w:val="00706554"/>
    <w:rsid w:val="00706C57"/>
    <w:rsid w:val="00706D1F"/>
    <w:rsid w:val="007076B2"/>
    <w:rsid w:val="00707DB4"/>
    <w:rsid w:val="00710B5B"/>
    <w:rsid w:val="00710B64"/>
    <w:rsid w:val="00710B6E"/>
    <w:rsid w:val="00710FB8"/>
    <w:rsid w:val="007110AC"/>
    <w:rsid w:val="0071148D"/>
    <w:rsid w:val="007114DB"/>
    <w:rsid w:val="00711E6A"/>
    <w:rsid w:val="00711EFD"/>
    <w:rsid w:val="00712245"/>
    <w:rsid w:val="0071230F"/>
    <w:rsid w:val="007123D5"/>
    <w:rsid w:val="00712672"/>
    <w:rsid w:val="00712ABB"/>
    <w:rsid w:val="00712ED4"/>
    <w:rsid w:val="0071339F"/>
    <w:rsid w:val="0071403A"/>
    <w:rsid w:val="007141FB"/>
    <w:rsid w:val="00714AE1"/>
    <w:rsid w:val="00715053"/>
    <w:rsid w:val="0071599F"/>
    <w:rsid w:val="00715D34"/>
    <w:rsid w:val="007163B4"/>
    <w:rsid w:val="0071675A"/>
    <w:rsid w:val="007168FF"/>
    <w:rsid w:val="00716AB7"/>
    <w:rsid w:val="00716BBE"/>
    <w:rsid w:val="00716D1F"/>
    <w:rsid w:val="00717CDB"/>
    <w:rsid w:val="0072099E"/>
    <w:rsid w:val="007212CC"/>
    <w:rsid w:val="00721335"/>
    <w:rsid w:val="00721811"/>
    <w:rsid w:val="00721E76"/>
    <w:rsid w:val="00721EC4"/>
    <w:rsid w:val="00721F96"/>
    <w:rsid w:val="007221A8"/>
    <w:rsid w:val="00722206"/>
    <w:rsid w:val="007227C0"/>
    <w:rsid w:val="00722C0C"/>
    <w:rsid w:val="007230B7"/>
    <w:rsid w:val="00723528"/>
    <w:rsid w:val="00723DA6"/>
    <w:rsid w:val="0072403D"/>
    <w:rsid w:val="00724365"/>
    <w:rsid w:val="00724A29"/>
    <w:rsid w:val="00724A59"/>
    <w:rsid w:val="00725501"/>
    <w:rsid w:val="00725E18"/>
    <w:rsid w:val="00725E67"/>
    <w:rsid w:val="00726842"/>
    <w:rsid w:val="0073050E"/>
    <w:rsid w:val="0073056D"/>
    <w:rsid w:val="00730BA5"/>
    <w:rsid w:val="007316BE"/>
    <w:rsid w:val="0073171C"/>
    <w:rsid w:val="00731AC0"/>
    <w:rsid w:val="007324CC"/>
    <w:rsid w:val="0073287D"/>
    <w:rsid w:val="0073309C"/>
    <w:rsid w:val="007332E4"/>
    <w:rsid w:val="00733A1D"/>
    <w:rsid w:val="00734C2B"/>
    <w:rsid w:val="00734CC7"/>
    <w:rsid w:val="00735834"/>
    <w:rsid w:val="007359E0"/>
    <w:rsid w:val="007359E9"/>
    <w:rsid w:val="00735B0C"/>
    <w:rsid w:val="0073621A"/>
    <w:rsid w:val="00736354"/>
    <w:rsid w:val="007364E1"/>
    <w:rsid w:val="00736605"/>
    <w:rsid w:val="0073674A"/>
    <w:rsid w:val="00736E9D"/>
    <w:rsid w:val="00737738"/>
    <w:rsid w:val="007378C9"/>
    <w:rsid w:val="00740037"/>
    <w:rsid w:val="007406E4"/>
    <w:rsid w:val="00740CE2"/>
    <w:rsid w:val="00740DDE"/>
    <w:rsid w:val="00740F23"/>
    <w:rsid w:val="00741015"/>
    <w:rsid w:val="0074166F"/>
    <w:rsid w:val="007419E6"/>
    <w:rsid w:val="00741AE0"/>
    <w:rsid w:val="007422CE"/>
    <w:rsid w:val="007427A4"/>
    <w:rsid w:val="007428AC"/>
    <w:rsid w:val="0074341E"/>
    <w:rsid w:val="007437FC"/>
    <w:rsid w:val="00743A4C"/>
    <w:rsid w:val="00744211"/>
    <w:rsid w:val="00744607"/>
    <w:rsid w:val="00744CD1"/>
    <w:rsid w:val="007459EE"/>
    <w:rsid w:val="00745A31"/>
    <w:rsid w:val="00745E96"/>
    <w:rsid w:val="00746286"/>
    <w:rsid w:val="007469AD"/>
    <w:rsid w:val="00746CBC"/>
    <w:rsid w:val="0074764D"/>
    <w:rsid w:val="00747791"/>
    <w:rsid w:val="007507C4"/>
    <w:rsid w:val="00750963"/>
    <w:rsid w:val="00751280"/>
    <w:rsid w:val="00751416"/>
    <w:rsid w:val="0075177E"/>
    <w:rsid w:val="00752A45"/>
    <w:rsid w:val="00753288"/>
    <w:rsid w:val="00753639"/>
    <w:rsid w:val="00753D0D"/>
    <w:rsid w:val="00754F76"/>
    <w:rsid w:val="00755762"/>
    <w:rsid w:val="00756A2A"/>
    <w:rsid w:val="00756B7B"/>
    <w:rsid w:val="00757270"/>
    <w:rsid w:val="007578F4"/>
    <w:rsid w:val="00757BC8"/>
    <w:rsid w:val="00760437"/>
    <w:rsid w:val="00760ADF"/>
    <w:rsid w:val="00760B67"/>
    <w:rsid w:val="00760FEF"/>
    <w:rsid w:val="00761836"/>
    <w:rsid w:val="00761AC8"/>
    <w:rsid w:val="00762064"/>
    <w:rsid w:val="007623FF"/>
    <w:rsid w:val="007639B4"/>
    <w:rsid w:val="007639C2"/>
    <w:rsid w:val="007644AC"/>
    <w:rsid w:val="007646D3"/>
    <w:rsid w:val="00764784"/>
    <w:rsid w:val="007665AF"/>
    <w:rsid w:val="00766C80"/>
    <w:rsid w:val="00766E68"/>
    <w:rsid w:val="00766FF8"/>
    <w:rsid w:val="007671CC"/>
    <w:rsid w:val="00767253"/>
    <w:rsid w:val="007673B0"/>
    <w:rsid w:val="0076764D"/>
    <w:rsid w:val="00767753"/>
    <w:rsid w:val="00767C85"/>
    <w:rsid w:val="00770882"/>
    <w:rsid w:val="00770A9B"/>
    <w:rsid w:val="00770DC0"/>
    <w:rsid w:val="00770EBD"/>
    <w:rsid w:val="00771DC1"/>
    <w:rsid w:val="00772DA5"/>
    <w:rsid w:val="00772E74"/>
    <w:rsid w:val="00773562"/>
    <w:rsid w:val="00773D88"/>
    <w:rsid w:val="00774880"/>
    <w:rsid w:val="0077545B"/>
    <w:rsid w:val="00775864"/>
    <w:rsid w:val="00775E38"/>
    <w:rsid w:val="007760F9"/>
    <w:rsid w:val="007762CC"/>
    <w:rsid w:val="007768B8"/>
    <w:rsid w:val="00776943"/>
    <w:rsid w:val="007773E1"/>
    <w:rsid w:val="00780F0C"/>
    <w:rsid w:val="00780F32"/>
    <w:rsid w:val="0078232D"/>
    <w:rsid w:val="00782855"/>
    <w:rsid w:val="00782AA8"/>
    <w:rsid w:val="00782E09"/>
    <w:rsid w:val="00782E1F"/>
    <w:rsid w:val="00783306"/>
    <w:rsid w:val="007839CC"/>
    <w:rsid w:val="00784BCC"/>
    <w:rsid w:val="00785ED8"/>
    <w:rsid w:val="00785FC8"/>
    <w:rsid w:val="00786A3E"/>
    <w:rsid w:val="0078717C"/>
    <w:rsid w:val="007872A6"/>
    <w:rsid w:val="00787487"/>
    <w:rsid w:val="00787A3A"/>
    <w:rsid w:val="00787F21"/>
    <w:rsid w:val="00787F92"/>
    <w:rsid w:val="00790052"/>
    <w:rsid w:val="00790108"/>
    <w:rsid w:val="0079038C"/>
    <w:rsid w:val="00790DA1"/>
    <w:rsid w:val="00791BCD"/>
    <w:rsid w:val="00791CE8"/>
    <w:rsid w:val="00791EEC"/>
    <w:rsid w:val="00792EE2"/>
    <w:rsid w:val="0079479E"/>
    <w:rsid w:val="0079496D"/>
    <w:rsid w:val="00794A98"/>
    <w:rsid w:val="00794EB8"/>
    <w:rsid w:val="00794F7C"/>
    <w:rsid w:val="00794F84"/>
    <w:rsid w:val="0079510F"/>
    <w:rsid w:val="00795175"/>
    <w:rsid w:val="0079520A"/>
    <w:rsid w:val="0079593F"/>
    <w:rsid w:val="00795C2F"/>
    <w:rsid w:val="00796BA8"/>
    <w:rsid w:val="00797FC1"/>
    <w:rsid w:val="007A015F"/>
    <w:rsid w:val="007A0524"/>
    <w:rsid w:val="007A080C"/>
    <w:rsid w:val="007A1277"/>
    <w:rsid w:val="007A12F0"/>
    <w:rsid w:val="007A16E0"/>
    <w:rsid w:val="007A1C87"/>
    <w:rsid w:val="007A1E5B"/>
    <w:rsid w:val="007A2135"/>
    <w:rsid w:val="007A23E1"/>
    <w:rsid w:val="007A288C"/>
    <w:rsid w:val="007A2ABE"/>
    <w:rsid w:val="007A2C9E"/>
    <w:rsid w:val="007A2E52"/>
    <w:rsid w:val="007A3089"/>
    <w:rsid w:val="007A31CF"/>
    <w:rsid w:val="007A322F"/>
    <w:rsid w:val="007A35DE"/>
    <w:rsid w:val="007A3A47"/>
    <w:rsid w:val="007A3BEB"/>
    <w:rsid w:val="007A3C3B"/>
    <w:rsid w:val="007A4041"/>
    <w:rsid w:val="007A4641"/>
    <w:rsid w:val="007A5ACD"/>
    <w:rsid w:val="007A5B21"/>
    <w:rsid w:val="007A5EBB"/>
    <w:rsid w:val="007A603B"/>
    <w:rsid w:val="007A6258"/>
    <w:rsid w:val="007A6AEC"/>
    <w:rsid w:val="007A6CA4"/>
    <w:rsid w:val="007A6CE5"/>
    <w:rsid w:val="007A714D"/>
    <w:rsid w:val="007A75E8"/>
    <w:rsid w:val="007A77F7"/>
    <w:rsid w:val="007A7805"/>
    <w:rsid w:val="007A7948"/>
    <w:rsid w:val="007A7B6A"/>
    <w:rsid w:val="007A7E2A"/>
    <w:rsid w:val="007B0553"/>
    <w:rsid w:val="007B055B"/>
    <w:rsid w:val="007B089B"/>
    <w:rsid w:val="007B0C9C"/>
    <w:rsid w:val="007B13CD"/>
    <w:rsid w:val="007B183B"/>
    <w:rsid w:val="007B2C61"/>
    <w:rsid w:val="007B3425"/>
    <w:rsid w:val="007B3F28"/>
    <w:rsid w:val="007B4703"/>
    <w:rsid w:val="007B548B"/>
    <w:rsid w:val="007B6216"/>
    <w:rsid w:val="007B629A"/>
    <w:rsid w:val="007B6F5D"/>
    <w:rsid w:val="007B7897"/>
    <w:rsid w:val="007B7903"/>
    <w:rsid w:val="007C00CD"/>
    <w:rsid w:val="007C0A4E"/>
    <w:rsid w:val="007C0ADE"/>
    <w:rsid w:val="007C12F8"/>
    <w:rsid w:val="007C1536"/>
    <w:rsid w:val="007C158D"/>
    <w:rsid w:val="007C268C"/>
    <w:rsid w:val="007C3EA8"/>
    <w:rsid w:val="007C3F08"/>
    <w:rsid w:val="007C4D04"/>
    <w:rsid w:val="007C4FF5"/>
    <w:rsid w:val="007C53E2"/>
    <w:rsid w:val="007C58AB"/>
    <w:rsid w:val="007C58C1"/>
    <w:rsid w:val="007C5CFB"/>
    <w:rsid w:val="007C638E"/>
    <w:rsid w:val="007C66D7"/>
    <w:rsid w:val="007C6CB8"/>
    <w:rsid w:val="007C6EF7"/>
    <w:rsid w:val="007C77B6"/>
    <w:rsid w:val="007C7C36"/>
    <w:rsid w:val="007C7DCB"/>
    <w:rsid w:val="007C7EDB"/>
    <w:rsid w:val="007D01E3"/>
    <w:rsid w:val="007D0BF3"/>
    <w:rsid w:val="007D0E7B"/>
    <w:rsid w:val="007D1A08"/>
    <w:rsid w:val="007D1ACD"/>
    <w:rsid w:val="007D1D31"/>
    <w:rsid w:val="007D2C9B"/>
    <w:rsid w:val="007D2D52"/>
    <w:rsid w:val="007D3845"/>
    <w:rsid w:val="007D3A93"/>
    <w:rsid w:val="007D4276"/>
    <w:rsid w:val="007D5323"/>
    <w:rsid w:val="007D5993"/>
    <w:rsid w:val="007D5A1E"/>
    <w:rsid w:val="007D5ADD"/>
    <w:rsid w:val="007D5CA7"/>
    <w:rsid w:val="007D66F6"/>
    <w:rsid w:val="007D67BA"/>
    <w:rsid w:val="007D7073"/>
    <w:rsid w:val="007D730C"/>
    <w:rsid w:val="007D7A57"/>
    <w:rsid w:val="007E041A"/>
    <w:rsid w:val="007E09FE"/>
    <w:rsid w:val="007E0DB0"/>
    <w:rsid w:val="007E12DD"/>
    <w:rsid w:val="007E162B"/>
    <w:rsid w:val="007E1DAD"/>
    <w:rsid w:val="007E1EE6"/>
    <w:rsid w:val="007E2350"/>
    <w:rsid w:val="007E2427"/>
    <w:rsid w:val="007E28F0"/>
    <w:rsid w:val="007E2903"/>
    <w:rsid w:val="007E29C2"/>
    <w:rsid w:val="007E3B71"/>
    <w:rsid w:val="007E3BA2"/>
    <w:rsid w:val="007E40A5"/>
    <w:rsid w:val="007E43AF"/>
    <w:rsid w:val="007E58B0"/>
    <w:rsid w:val="007E5DAF"/>
    <w:rsid w:val="007E666B"/>
    <w:rsid w:val="007E6741"/>
    <w:rsid w:val="007E7CA8"/>
    <w:rsid w:val="007F0299"/>
    <w:rsid w:val="007F0658"/>
    <w:rsid w:val="007F102F"/>
    <w:rsid w:val="007F131A"/>
    <w:rsid w:val="007F143D"/>
    <w:rsid w:val="007F1A55"/>
    <w:rsid w:val="007F1FEA"/>
    <w:rsid w:val="007F216A"/>
    <w:rsid w:val="007F2CA6"/>
    <w:rsid w:val="007F2DF2"/>
    <w:rsid w:val="007F30F8"/>
    <w:rsid w:val="007F32FE"/>
    <w:rsid w:val="007F37F6"/>
    <w:rsid w:val="007F3DD9"/>
    <w:rsid w:val="007F3F06"/>
    <w:rsid w:val="007F4783"/>
    <w:rsid w:val="007F4B13"/>
    <w:rsid w:val="007F4D37"/>
    <w:rsid w:val="007F54CA"/>
    <w:rsid w:val="007F55C0"/>
    <w:rsid w:val="007F571F"/>
    <w:rsid w:val="007F57AB"/>
    <w:rsid w:val="007F612E"/>
    <w:rsid w:val="007F63FC"/>
    <w:rsid w:val="007F6551"/>
    <w:rsid w:val="007F6949"/>
    <w:rsid w:val="007F7770"/>
    <w:rsid w:val="007F7B16"/>
    <w:rsid w:val="007F7BA5"/>
    <w:rsid w:val="0080015F"/>
    <w:rsid w:val="0080162A"/>
    <w:rsid w:val="00801870"/>
    <w:rsid w:val="0080188C"/>
    <w:rsid w:val="00801911"/>
    <w:rsid w:val="00801C8E"/>
    <w:rsid w:val="00801E3A"/>
    <w:rsid w:val="0080209A"/>
    <w:rsid w:val="008020C0"/>
    <w:rsid w:val="00802BAC"/>
    <w:rsid w:val="008030F3"/>
    <w:rsid w:val="00803B73"/>
    <w:rsid w:val="00803FAA"/>
    <w:rsid w:val="00804052"/>
    <w:rsid w:val="00804C45"/>
    <w:rsid w:val="00804F9B"/>
    <w:rsid w:val="00805517"/>
    <w:rsid w:val="0080563B"/>
    <w:rsid w:val="00805C48"/>
    <w:rsid w:val="00805E85"/>
    <w:rsid w:val="0080695C"/>
    <w:rsid w:val="008076BA"/>
    <w:rsid w:val="0080789A"/>
    <w:rsid w:val="008078BB"/>
    <w:rsid w:val="00807D01"/>
    <w:rsid w:val="00807FAA"/>
    <w:rsid w:val="00810492"/>
    <w:rsid w:val="00810872"/>
    <w:rsid w:val="00811009"/>
    <w:rsid w:val="008114AA"/>
    <w:rsid w:val="00811988"/>
    <w:rsid w:val="00812B6C"/>
    <w:rsid w:val="008136AD"/>
    <w:rsid w:val="008143DC"/>
    <w:rsid w:val="008145BB"/>
    <w:rsid w:val="008149CF"/>
    <w:rsid w:val="00814B00"/>
    <w:rsid w:val="00814E10"/>
    <w:rsid w:val="00814F1E"/>
    <w:rsid w:val="008151F2"/>
    <w:rsid w:val="0081566C"/>
    <w:rsid w:val="00815697"/>
    <w:rsid w:val="00815DAC"/>
    <w:rsid w:val="00816330"/>
    <w:rsid w:val="00816F61"/>
    <w:rsid w:val="008173DD"/>
    <w:rsid w:val="008174A0"/>
    <w:rsid w:val="008178A1"/>
    <w:rsid w:val="00817A9B"/>
    <w:rsid w:val="00817E9D"/>
    <w:rsid w:val="008201C0"/>
    <w:rsid w:val="008205DF"/>
    <w:rsid w:val="00820F81"/>
    <w:rsid w:val="008219F9"/>
    <w:rsid w:val="00821A71"/>
    <w:rsid w:val="00821EED"/>
    <w:rsid w:val="00821F4D"/>
    <w:rsid w:val="008222DB"/>
    <w:rsid w:val="00822327"/>
    <w:rsid w:val="00822A96"/>
    <w:rsid w:val="00822AAD"/>
    <w:rsid w:val="00822B95"/>
    <w:rsid w:val="00822BE9"/>
    <w:rsid w:val="008241ED"/>
    <w:rsid w:val="00824839"/>
    <w:rsid w:val="00824900"/>
    <w:rsid w:val="00825CF0"/>
    <w:rsid w:val="00825D01"/>
    <w:rsid w:val="00825DD2"/>
    <w:rsid w:val="00826754"/>
    <w:rsid w:val="00826895"/>
    <w:rsid w:val="0082785C"/>
    <w:rsid w:val="00827E21"/>
    <w:rsid w:val="00830389"/>
    <w:rsid w:val="008307F9"/>
    <w:rsid w:val="00831181"/>
    <w:rsid w:val="00831183"/>
    <w:rsid w:val="008313D8"/>
    <w:rsid w:val="00831647"/>
    <w:rsid w:val="00831817"/>
    <w:rsid w:val="008319B5"/>
    <w:rsid w:val="00831B5F"/>
    <w:rsid w:val="00831C27"/>
    <w:rsid w:val="00831C56"/>
    <w:rsid w:val="00832092"/>
    <w:rsid w:val="00832304"/>
    <w:rsid w:val="008324BE"/>
    <w:rsid w:val="00832878"/>
    <w:rsid w:val="00834190"/>
    <w:rsid w:val="008342CE"/>
    <w:rsid w:val="0083431C"/>
    <w:rsid w:val="00834CCF"/>
    <w:rsid w:val="00834E5A"/>
    <w:rsid w:val="0083500F"/>
    <w:rsid w:val="0083532A"/>
    <w:rsid w:val="00835ED7"/>
    <w:rsid w:val="0083609B"/>
    <w:rsid w:val="008360FF"/>
    <w:rsid w:val="008361A5"/>
    <w:rsid w:val="00836216"/>
    <w:rsid w:val="00837465"/>
    <w:rsid w:val="00837A21"/>
    <w:rsid w:val="00840F2D"/>
    <w:rsid w:val="008412F8"/>
    <w:rsid w:val="00841360"/>
    <w:rsid w:val="00841556"/>
    <w:rsid w:val="00841800"/>
    <w:rsid w:val="00841ECD"/>
    <w:rsid w:val="00841F11"/>
    <w:rsid w:val="00842073"/>
    <w:rsid w:val="00842467"/>
    <w:rsid w:val="00843EAD"/>
    <w:rsid w:val="008440C2"/>
    <w:rsid w:val="008443CE"/>
    <w:rsid w:val="008447BC"/>
    <w:rsid w:val="00844EB7"/>
    <w:rsid w:val="0084510B"/>
    <w:rsid w:val="00845805"/>
    <w:rsid w:val="00845E89"/>
    <w:rsid w:val="0084640F"/>
    <w:rsid w:val="008466FE"/>
    <w:rsid w:val="00846712"/>
    <w:rsid w:val="00846731"/>
    <w:rsid w:val="008468C1"/>
    <w:rsid w:val="008468CD"/>
    <w:rsid w:val="00846930"/>
    <w:rsid w:val="008469C3"/>
    <w:rsid w:val="00846F65"/>
    <w:rsid w:val="00847262"/>
    <w:rsid w:val="00847845"/>
    <w:rsid w:val="00847A6C"/>
    <w:rsid w:val="00847EEB"/>
    <w:rsid w:val="008501EF"/>
    <w:rsid w:val="00850269"/>
    <w:rsid w:val="0085060F"/>
    <w:rsid w:val="0085112B"/>
    <w:rsid w:val="0085168A"/>
    <w:rsid w:val="00851C3B"/>
    <w:rsid w:val="00851C40"/>
    <w:rsid w:val="00852677"/>
    <w:rsid w:val="00852DC8"/>
    <w:rsid w:val="00852E6D"/>
    <w:rsid w:val="0085332D"/>
    <w:rsid w:val="0085357A"/>
    <w:rsid w:val="008537AA"/>
    <w:rsid w:val="008539CA"/>
    <w:rsid w:val="008543C9"/>
    <w:rsid w:val="00854660"/>
    <w:rsid w:val="00854BB7"/>
    <w:rsid w:val="00854C8D"/>
    <w:rsid w:val="00854DD2"/>
    <w:rsid w:val="00855429"/>
    <w:rsid w:val="00855836"/>
    <w:rsid w:val="00855AB5"/>
    <w:rsid w:val="008561E9"/>
    <w:rsid w:val="0085682F"/>
    <w:rsid w:val="00856CC8"/>
    <w:rsid w:val="00856DA4"/>
    <w:rsid w:val="00856E14"/>
    <w:rsid w:val="008570C8"/>
    <w:rsid w:val="00857278"/>
    <w:rsid w:val="008575C5"/>
    <w:rsid w:val="008578FB"/>
    <w:rsid w:val="00857957"/>
    <w:rsid w:val="00857B45"/>
    <w:rsid w:val="008602F3"/>
    <w:rsid w:val="00860313"/>
    <w:rsid w:val="008603AC"/>
    <w:rsid w:val="00860B75"/>
    <w:rsid w:val="00860E6D"/>
    <w:rsid w:val="00860EA0"/>
    <w:rsid w:val="0086124D"/>
    <w:rsid w:val="00861DCC"/>
    <w:rsid w:val="0086464F"/>
    <w:rsid w:val="0086472E"/>
    <w:rsid w:val="00864F1E"/>
    <w:rsid w:val="0086537B"/>
    <w:rsid w:val="00867143"/>
    <w:rsid w:val="00867383"/>
    <w:rsid w:val="0086740B"/>
    <w:rsid w:val="008675DE"/>
    <w:rsid w:val="00867ABF"/>
    <w:rsid w:val="00867AF9"/>
    <w:rsid w:val="00867B00"/>
    <w:rsid w:val="00867DAB"/>
    <w:rsid w:val="00870528"/>
    <w:rsid w:val="00870792"/>
    <w:rsid w:val="0087091C"/>
    <w:rsid w:val="00870C8D"/>
    <w:rsid w:val="008710DC"/>
    <w:rsid w:val="00871473"/>
    <w:rsid w:val="00871865"/>
    <w:rsid w:val="00871CC7"/>
    <w:rsid w:val="00871DC9"/>
    <w:rsid w:val="00871E25"/>
    <w:rsid w:val="00872956"/>
    <w:rsid w:val="00872974"/>
    <w:rsid w:val="00872979"/>
    <w:rsid w:val="008731B5"/>
    <w:rsid w:val="00873633"/>
    <w:rsid w:val="0087371F"/>
    <w:rsid w:val="008739BD"/>
    <w:rsid w:val="00873A7D"/>
    <w:rsid w:val="00873AEA"/>
    <w:rsid w:val="00873BCC"/>
    <w:rsid w:val="00873DCA"/>
    <w:rsid w:val="00873FD2"/>
    <w:rsid w:val="00874641"/>
    <w:rsid w:val="00874849"/>
    <w:rsid w:val="00874C16"/>
    <w:rsid w:val="0087548A"/>
    <w:rsid w:val="00875B04"/>
    <w:rsid w:val="00875F00"/>
    <w:rsid w:val="00876772"/>
    <w:rsid w:val="00876952"/>
    <w:rsid w:val="00876F59"/>
    <w:rsid w:val="0087780A"/>
    <w:rsid w:val="00877E0C"/>
    <w:rsid w:val="00880D51"/>
    <w:rsid w:val="00880F8A"/>
    <w:rsid w:val="00881AA1"/>
    <w:rsid w:val="00881CDA"/>
    <w:rsid w:val="0088202A"/>
    <w:rsid w:val="00882112"/>
    <w:rsid w:val="008821DB"/>
    <w:rsid w:val="00883375"/>
    <w:rsid w:val="0088350C"/>
    <w:rsid w:val="00883879"/>
    <w:rsid w:val="00883ACE"/>
    <w:rsid w:val="00883C24"/>
    <w:rsid w:val="00883F8C"/>
    <w:rsid w:val="0088428B"/>
    <w:rsid w:val="00884644"/>
    <w:rsid w:val="00884C8C"/>
    <w:rsid w:val="00885189"/>
    <w:rsid w:val="008859E7"/>
    <w:rsid w:val="00886072"/>
    <w:rsid w:val="008861AF"/>
    <w:rsid w:val="00886763"/>
    <w:rsid w:val="008868D0"/>
    <w:rsid w:val="00886A48"/>
    <w:rsid w:val="00886C1C"/>
    <w:rsid w:val="00886F7F"/>
    <w:rsid w:val="00887335"/>
    <w:rsid w:val="008873B1"/>
    <w:rsid w:val="00887737"/>
    <w:rsid w:val="00887A9A"/>
    <w:rsid w:val="00887C8F"/>
    <w:rsid w:val="00887D35"/>
    <w:rsid w:val="00890482"/>
    <w:rsid w:val="008908D5"/>
    <w:rsid w:val="0089160B"/>
    <w:rsid w:val="00891AC1"/>
    <w:rsid w:val="00891E1D"/>
    <w:rsid w:val="00891F7F"/>
    <w:rsid w:val="008924ED"/>
    <w:rsid w:val="00892834"/>
    <w:rsid w:val="00892A61"/>
    <w:rsid w:val="00892DFB"/>
    <w:rsid w:val="00893144"/>
    <w:rsid w:val="00893892"/>
    <w:rsid w:val="00893D31"/>
    <w:rsid w:val="00893EFE"/>
    <w:rsid w:val="00894263"/>
    <w:rsid w:val="00894546"/>
    <w:rsid w:val="00894B25"/>
    <w:rsid w:val="00894FBC"/>
    <w:rsid w:val="0089508A"/>
    <w:rsid w:val="008956A6"/>
    <w:rsid w:val="00895D7E"/>
    <w:rsid w:val="00895ED9"/>
    <w:rsid w:val="0089616C"/>
    <w:rsid w:val="008961A4"/>
    <w:rsid w:val="0089683D"/>
    <w:rsid w:val="00897B9F"/>
    <w:rsid w:val="00897C3D"/>
    <w:rsid w:val="00897DD4"/>
    <w:rsid w:val="008A040A"/>
    <w:rsid w:val="008A087D"/>
    <w:rsid w:val="008A12F9"/>
    <w:rsid w:val="008A137C"/>
    <w:rsid w:val="008A14BA"/>
    <w:rsid w:val="008A1B7C"/>
    <w:rsid w:val="008A1BF4"/>
    <w:rsid w:val="008A2240"/>
    <w:rsid w:val="008A25B6"/>
    <w:rsid w:val="008A26B3"/>
    <w:rsid w:val="008A2AC4"/>
    <w:rsid w:val="008A2D0E"/>
    <w:rsid w:val="008A3023"/>
    <w:rsid w:val="008A33B1"/>
    <w:rsid w:val="008A4385"/>
    <w:rsid w:val="008A5372"/>
    <w:rsid w:val="008A56BA"/>
    <w:rsid w:val="008A57DA"/>
    <w:rsid w:val="008A6718"/>
    <w:rsid w:val="008A6781"/>
    <w:rsid w:val="008A6CA8"/>
    <w:rsid w:val="008A6DA8"/>
    <w:rsid w:val="008B06CF"/>
    <w:rsid w:val="008B0CC2"/>
    <w:rsid w:val="008B0D8B"/>
    <w:rsid w:val="008B0E6B"/>
    <w:rsid w:val="008B0F3C"/>
    <w:rsid w:val="008B178D"/>
    <w:rsid w:val="008B1F3A"/>
    <w:rsid w:val="008B2BA7"/>
    <w:rsid w:val="008B2BC7"/>
    <w:rsid w:val="008B2D61"/>
    <w:rsid w:val="008B2F9D"/>
    <w:rsid w:val="008B3740"/>
    <w:rsid w:val="008B397D"/>
    <w:rsid w:val="008B3B6B"/>
    <w:rsid w:val="008B3DC0"/>
    <w:rsid w:val="008B44D4"/>
    <w:rsid w:val="008B51A9"/>
    <w:rsid w:val="008B5815"/>
    <w:rsid w:val="008B591F"/>
    <w:rsid w:val="008B5C4F"/>
    <w:rsid w:val="008B5D27"/>
    <w:rsid w:val="008B6C87"/>
    <w:rsid w:val="008B7180"/>
    <w:rsid w:val="008B72FB"/>
    <w:rsid w:val="008B78C7"/>
    <w:rsid w:val="008B7E96"/>
    <w:rsid w:val="008C01F9"/>
    <w:rsid w:val="008C03AD"/>
    <w:rsid w:val="008C0C2A"/>
    <w:rsid w:val="008C0F6E"/>
    <w:rsid w:val="008C11D0"/>
    <w:rsid w:val="008C17D2"/>
    <w:rsid w:val="008C1FDA"/>
    <w:rsid w:val="008C22A0"/>
    <w:rsid w:val="008C22C0"/>
    <w:rsid w:val="008C271C"/>
    <w:rsid w:val="008C2936"/>
    <w:rsid w:val="008C2C37"/>
    <w:rsid w:val="008C36DE"/>
    <w:rsid w:val="008C381D"/>
    <w:rsid w:val="008C3DF2"/>
    <w:rsid w:val="008C4081"/>
    <w:rsid w:val="008C4593"/>
    <w:rsid w:val="008C49E5"/>
    <w:rsid w:val="008C4E58"/>
    <w:rsid w:val="008C594D"/>
    <w:rsid w:val="008C5CA8"/>
    <w:rsid w:val="008C60C5"/>
    <w:rsid w:val="008C6341"/>
    <w:rsid w:val="008C64A6"/>
    <w:rsid w:val="008C6E1D"/>
    <w:rsid w:val="008C7E5F"/>
    <w:rsid w:val="008D0668"/>
    <w:rsid w:val="008D0B15"/>
    <w:rsid w:val="008D0E9E"/>
    <w:rsid w:val="008D125E"/>
    <w:rsid w:val="008D1552"/>
    <w:rsid w:val="008D1753"/>
    <w:rsid w:val="008D1EB3"/>
    <w:rsid w:val="008D2624"/>
    <w:rsid w:val="008D2681"/>
    <w:rsid w:val="008D26A6"/>
    <w:rsid w:val="008D26DD"/>
    <w:rsid w:val="008D2A79"/>
    <w:rsid w:val="008D2AC4"/>
    <w:rsid w:val="008D2E02"/>
    <w:rsid w:val="008D372D"/>
    <w:rsid w:val="008D3C32"/>
    <w:rsid w:val="008D4B01"/>
    <w:rsid w:val="008D525C"/>
    <w:rsid w:val="008D54E3"/>
    <w:rsid w:val="008D57A0"/>
    <w:rsid w:val="008D5A4A"/>
    <w:rsid w:val="008D5DA6"/>
    <w:rsid w:val="008D5DEB"/>
    <w:rsid w:val="008D61F5"/>
    <w:rsid w:val="008D6DC5"/>
    <w:rsid w:val="008D72F1"/>
    <w:rsid w:val="008D74B7"/>
    <w:rsid w:val="008D7E86"/>
    <w:rsid w:val="008E0342"/>
    <w:rsid w:val="008E0449"/>
    <w:rsid w:val="008E06D7"/>
    <w:rsid w:val="008E0B87"/>
    <w:rsid w:val="008E1667"/>
    <w:rsid w:val="008E1991"/>
    <w:rsid w:val="008E1A52"/>
    <w:rsid w:val="008E3589"/>
    <w:rsid w:val="008E43B5"/>
    <w:rsid w:val="008E462E"/>
    <w:rsid w:val="008E4C43"/>
    <w:rsid w:val="008E5ABE"/>
    <w:rsid w:val="008E6070"/>
    <w:rsid w:val="008E6134"/>
    <w:rsid w:val="008E6197"/>
    <w:rsid w:val="008E7822"/>
    <w:rsid w:val="008E7940"/>
    <w:rsid w:val="008F0293"/>
    <w:rsid w:val="008F0BC3"/>
    <w:rsid w:val="008F0C7D"/>
    <w:rsid w:val="008F10A5"/>
    <w:rsid w:val="008F1414"/>
    <w:rsid w:val="008F174F"/>
    <w:rsid w:val="008F190D"/>
    <w:rsid w:val="008F1C15"/>
    <w:rsid w:val="008F2010"/>
    <w:rsid w:val="008F256B"/>
    <w:rsid w:val="008F2599"/>
    <w:rsid w:val="008F2684"/>
    <w:rsid w:val="008F2BB1"/>
    <w:rsid w:val="008F361D"/>
    <w:rsid w:val="008F37A8"/>
    <w:rsid w:val="008F3FC4"/>
    <w:rsid w:val="008F432C"/>
    <w:rsid w:val="008F441E"/>
    <w:rsid w:val="008F4866"/>
    <w:rsid w:val="008F4912"/>
    <w:rsid w:val="008F538B"/>
    <w:rsid w:val="008F5400"/>
    <w:rsid w:val="008F557D"/>
    <w:rsid w:val="008F5BEC"/>
    <w:rsid w:val="008F5F32"/>
    <w:rsid w:val="008F60FA"/>
    <w:rsid w:val="008F6A4C"/>
    <w:rsid w:val="008F6E11"/>
    <w:rsid w:val="008F709B"/>
    <w:rsid w:val="008F75CD"/>
    <w:rsid w:val="008F7FF3"/>
    <w:rsid w:val="009005BB"/>
    <w:rsid w:val="009006B5"/>
    <w:rsid w:val="00902640"/>
    <w:rsid w:val="00902FB2"/>
    <w:rsid w:val="009036DB"/>
    <w:rsid w:val="00903701"/>
    <w:rsid w:val="00903E4D"/>
    <w:rsid w:val="009040F2"/>
    <w:rsid w:val="009046CB"/>
    <w:rsid w:val="00904BB5"/>
    <w:rsid w:val="00904C8A"/>
    <w:rsid w:val="00904E96"/>
    <w:rsid w:val="00905611"/>
    <w:rsid w:val="00905A1B"/>
    <w:rsid w:val="00905AC7"/>
    <w:rsid w:val="00905D77"/>
    <w:rsid w:val="00905E5C"/>
    <w:rsid w:val="00906157"/>
    <w:rsid w:val="0090666D"/>
    <w:rsid w:val="00906B4D"/>
    <w:rsid w:val="00907157"/>
    <w:rsid w:val="009072BC"/>
    <w:rsid w:val="00910BBC"/>
    <w:rsid w:val="00910BCF"/>
    <w:rsid w:val="00910EAC"/>
    <w:rsid w:val="00911302"/>
    <w:rsid w:val="009119F5"/>
    <w:rsid w:val="00912129"/>
    <w:rsid w:val="009123D5"/>
    <w:rsid w:val="009130B6"/>
    <w:rsid w:val="009139DF"/>
    <w:rsid w:val="00913FA1"/>
    <w:rsid w:val="00914172"/>
    <w:rsid w:val="00914847"/>
    <w:rsid w:val="0091499B"/>
    <w:rsid w:val="00914B0D"/>
    <w:rsid w:val="00915149"/>
    <w:rsid w:val="0091517B"/>
    <w:rsid w:val="0091635C"/>
    <w:rsid w:val="00916D63"/>
    <w:rsid w:val="00916E44"/>
    <w:rsid w:val="00916E72"/>
    <w:rsid w:val="00917022"/>
    <w:rsid w:val="009170B7"/>
    <w:rsid w:val="00917821"/>
    <w:rsid w:val="0092041E"/>
    <w:rsid w:val="0092083E"/>
    <w:rsid w:val="0092096C"/>
    <w:rsid w:val="00920B36"/>
    <w:rsid w:val="00920EA2"/>
    <w:rsid w:val="00921455"/>
    <w:rsid w:val="00921923"/>
    <w:rsid w:val="00921AE3"/>
    <w:rsid w:val="00922125"/>
    <w:rsid w:val="009221F4"/>
    <w:rsid w:val="00922657"/>
    <w:rsid w:val="0092283F"/>
    <w:rsid w:val="00922BA7"/>
    <w:rsid w:val="00923256"/>
    <w:rsid w:val="0092355B"/>
    <w:rsid w:val="00923638"/>
    <w:rsid w:val="00923F36"/>
    <w:rsid w:val="00924234"/>
    <w:rsid w:val="009245B4"/>
    <w:rsid w:val="00924DF4"/>
    <w:rsid w:val="00924E7F"/>
    <w:rsid w:val="00925095"/>
    <w:rsid w:val="00925F37"/>
    <w:rsid w:val="009273FF"/>
    <w:rsid w:val="0092788A"/>
    <w:rsid w:val="009278A1"/>
    <w:rsid w:val="00927B39"/>
    <w:rsid w:val="00930BF4"/>
    <w:rsid w:val="00930C28"/>
    <w:rsid w:val="00931B44"/>
    <w:rsid w:val="00931E9A"/>
    <w:rsid w:val="009321C8"/>
    <w:rsid w:val="009323F2"/>
    <w:rsid w:val="00932FB6"/>
    <w:rsid w:val="00932FD2"/>
    <w:rsid w:val="009331EC"/>
    <w:rsid w:val="00933375"/>
    <w:rsid w:val="009333F1"/>
    <w:rsid w:val="0093341E"/>
    <w:rsid w:val="0093370C"/>
    <w:rsid w:val="009338CE"/>
    <w:rsid w:val="0093397D"/>
    <w:rsid w:val="0093422B"/>
    <w:rsid w:val="0093441B"/>
    <w:rsid w:val="00934766"/>
    <w:rsid w:val="0093497C"/>
    <w:rsid w:val="00934EB8"/>
    <w:rsid w:val="009354AD"/>
    <w:rsid w:val="009362FB"/>
    <w:rsid w:val="00936631"/>
    <w:rsid w:val="00936963"/>
    <w:rsid w:val="00936C0A"/>
    <w:rsid w:val="00936CB6"/>
    <w:rsid w:val="00936E3E"/>
    <w:rsid w:val="00936E68"/>
    <w:rsid w:val="0093704B"/>
    <w:rsid w:val="009373ED"/>
    <w:rsid w:val="009377A9"/>
    <w:rsid w:val="00940739"/>
    <w:rsid w:val="00941224"/>
    <w:rsid w:val="00941234"/>
    <w:rsid w:val="00941BA6"/>
    <w:rsid w:val="00941DB6"/>
    <w:rsid w:val="00941EB7"/>
    <w:rsid w:val="00942239"/>
    <w:rsid w:val="009426B6"/>
    <w:rsid w:val="00942855"/>
    <w:rsid w:val="00942AB6"/>
    <w:rsid w:val="00942ADF"/>
    <w:rsid w:val="00942B10"/>
    <w:rsid w:val="00942B7E"/>
    <w:rsid w:val="00942B86"/>
    <w:rsid w:val="00943A78"/>
    <w:rsid w:val="00943E32"/>
    <w:rsid w:val="00943F1E"/>
    <w:rsid w:val="009440F7"/>
    <w:rsid w:val="0094412B"/>
    <w:rsid w:val="00944240"/>
    <w:rsid w:val="00944306"/>
    <w:rsid w:val="00944695"/>
    <w:rsid w:val="009448BB"/>
    <w:rsid w:val="00944E28"/>
    <w:rsid w:val="009451E0"/>
    <w:rsid w:val="009456AD"/>
    <w:rsid w:val="0094624F"/>
    <w:rsid w:val="009465FC"/>
    <w:rsid w:val="0094687C"/>
    <w:rsid w:val="009469F5"/>
    <w:rsid w:val="00946A4A"/>
    <w:rsid w:val="00946D24"/>
    <w:rsid w:val="00947380"/>
    <w:rsid w:val="00950609"/>
    <w:rsid w:val="00950839"/>
    <w:rsid w:val="00950C27"/>
    <w:rsid w:val="00950CB2"/>
    <w:rsid w:val="009512CD"/>
    <w:rsid w:val="0095209D"/>
    <w:rsid w:val="009535E3"/>
    <w:rsid w:val="00953602"/>
    <w:rsid w:val="00954056"/>
    <w:rsid w:val="009545A3"/>
    <w:rsid w:val="009545B0"/>
    <w:rsid w:val="00954B0E"/>
    <w:rsid w:val="009551F2"/>
    <w:rsid w:val="00955245"/>
    <w:rsid w:val="009553C2"/>
    <w:rsid w:val="009556F8"/>
    <w:rsid w:val="00955846"/>
    <w:rsid w:val="009561F3"/>
    <w:rsid w:val="00956262"/>
    <w:rsid w:val="00956508"/>
    <w:rsid w:val="0095653D"/>
    <w:rsid w:val="009568B7"/>
    <w:rsid w:val="00956968"/>
    <w:rsid w:val="00957370"/>
    <w:rsid w:val="009573CA"/>
    <w:rsid w:val="00957578"/>
    <w:rsid w:val="00957F30"/>
    <w:rsid w:val="00960063"/>
    <w:rsid w:val="0096045D"/>
    <w:rsid w:val="00960C07"/>
    <w:rsid w:val="00960C10"/>
    <w:rsid w:val="009610B6"/>
    <w:rsid w:val="00961272"/>
    <w:rsid w:val="00961661"/>
    <w:rsid w:val="00961CFC"/>
    <w:rsid w:val="00962D81"/>
    <w:rsid w:val="00963072"/>
    <w:rsid w:val="00963476"/>
    <w:rsid w:val="00963D08"/>
    <w:rsid w:val="00964036"/>
    <w:rsid w:val="0096431A"/>
    <w:rsid w:val="00964ADF"/>
    <w:rsid w:val="00964F66"/>
    <w:rsid w:val="00965107"/>
    <w:rsid w:val="0096510E"/>
    <w:rsid w:val="009653F0"/>
    <w:rsid w:val="00965681"/>
    <w:rsid w:val="009656BD"/>
    <w:rsid w:val="009659EC"/>
    <w:rsid w:val="009661BD"/>
    <w:rsid w:val="00966685"/>
    <w:rsid w:val="0096670F"/>
    <w:rsid w:val="00966A20"/>
    <w:rsid w:val="00967279"/>
    <w:rsid w:val="00967580"/>
    <w:rsid w:val="0096791A"/>
    <w:rsid w:val="00967CBB"/>
    <w:rsid w:val="00967F8E"/>
    <w:rsid w:val="009704F3"/>
    <w:rsid w:val="009706F1"/>
    <w:rsid w:val="00970BAB"/>
    <w:rsid w:val="00970E47"/>
    <w:rsid w:val="00971845"/>
    <w:rsid w:val="00972738"/>
    <w:rsid w:val="00972E14"/>
    <w:rsid w:val="00973172"/>
    <w:rsid w:val="00973B70"/>
    <w:rsid w:val="00973D91"/>
    <w:rsid w:val="00973FA3"/>
    <w:rsid w:val="00974038"/>
    <w:rsid w:val="00974361"/>
    <w:rsid w:val="009749EF"/>
    <w:rsid w:val="00975D2D"/>
    <w:rsid w:val="0097618F"/>
    <w:rsid w:val="009763C7"/>
    <w:rsid w:val="00976732"/>
    <w:rsid w:val="00976F78"/>
    <w:rsid w:val="009770B5"/>
    <w:rsid w:val="0097722D"/>
    <w:rsid w:val="00977283"/>
    <w:rsid w:val="0097752C"/>
    <w:rsid w:val="0097797D"/>
    <w:rsid w:val="00981487"/>
    <w:rsid w:val="009816B2"/>
    <w:rsid w:val="0098170D"/>
    <w:rsid w:val="00981BEB"/>
    <w:rsid w:val="00981F6C"/>
    <w:rsid w:val="009825A6"/>
    <w:rsid w:val="009826DC"/>
    <w:rsid w:val="00982911"/>
    <w:rsid w:val="00982FAC"/>
    <w:rsid w:val="0098345F"/>
    <w:rsid w:val="0098382C"/>
    <w:rsid w:val="00983E39"/>
    <w:rsid w:val="009856E0"/>
    <w:rsid w:val="00985707"/>
    <w:rsid w:val="009858CF"/>
    <w:rsid w:val="0098593E"/>
    <w:rsid w:val="00985D19"/>
    <w:rsid w:val="0098696E"/>
    <w:rsid w:val="00986C95"/>
    <w:rsid w:val="00987320"/>
    <w:rsid w:val="00987DBF"/>
    <w:rsid w:val="009900BD"/>
    <w:rsid w:val="009906BB"/>
    <w:rsid w:val="00990B91"/>
    <w:rsid w:val="00990BE7"/>
    <w:rsid w:val="00990D57"/>
    <w:rsid w:val="00990E1B"/>
    <w:rsid w:val="00991C8F"/>
    <w:rsid w:val="00992004"/>
    <w:rsid w:val="00992DBB"/>
    <w:rsid w:val="00992F08"/>
    <w:rsid w:val="00992FA4"/>
    <w:rsid w:val="00993251"/>
    <w:rsid w:val="0099342D"/>
    <w:rsid w:val="00993838"/>
    <w:rsid w:val="009939AF"/>
    <w:rsid w:val="009939B5"/>
    <w:rsid w:val="00993B0B"/>
    <w:rsid w:val="00994054"/>
    <w:rsid w:val="009944AC"/>
    <w:rsid w:val="0099463F"/>
    <w:rsid w:val="0099486B"/>
    <w:rsid w:val="00995734"/>
    <w:rsid w:val="009957E4"/>
    <w:rsid w:val="00995A64"/>
    <w:rsid w:val="00995E10"/>
    <w:rsid w:val="00996399"/>
    <w:rsid w:val="00996411"/>
    <w:rsid w:val="00996479"/>
    <w:rsid w:val="009969AC"/>
    <w:rsid w:val="00996DEB"/>
    <w:rsid w:val="00997E87"/>
    <w:rsid w:val="00997FC5"/>
    <w:rsid w:val="009A01EE"/>
    <w:rsid w:val="009A01F5"/>
    <w:rsid w:val="009A035D"/>
    <w:rsid w:val="009A06E4"/>
    <w:rsid w:val="009A09F0"/>
    <w:rsid w:val="009A0A46"/>
    <w:rsid w:val="009A0A7B"/>
    <w:rsid w:val="009A0B64"/>
    <w:rsid w:val="009A0DE5"/>
    <w:rsid w:val="009A0E94"/>
    <w:rsid w:val="009A0EA2"/>
    <w:rsid w:val="009A0F46"/>
    <w:rsid w:val="009A179A"/>
    <w:rsid w:val="009A1B5D"/>
    <w:rsid w:val="009A1DBD"/>
    <w:rsid w:val="009A21DA"/>
    <w:rsid w:val="009A2740"/>
    <w:rsid w:val="009A2840"/>
    <w:rsid w:val="009A289D"/>
    <w:rsid w:val="009A2B6B"/>
    <w:rsid w:val="009A41DF"/>
    <w:rsid w:val="009A4234"/>
    <w:rsid w:val="009A4249"/>
    <w:rsid w:val="009A44C2"/>
    <w:rsid w:val="009A45B1"/>
    <w:rsid w:val="009A48A6"/>
    <w:rsid w:val="009A511B"/>
    <w:rsid w:val="009A5339"/>
    <w:rsid w:val="009A5721"/>
    <w:rsid w:val="009A5736"/>
    <w:rsid w:val="009A5CC1"/>
    <w:rsid w:val="009A6307"/>
    <w:rsid w:val="009A664E"/>
    <w:rsid w:val="009A6AA5"/>
    <w:rsid w:val="009A708B"/>
    <w:rsid w:val="009A7892"/>
    <w:rsid w:val="009A79AA"/>
    <w:rsid w:val="009B0180"/>
    <w:rsid w:val="009B05F2"/>
    <w:rsid w:val="009B11D4"/>
    <w:rsid w:val="009B1354"/>
    <w:rsid w:val="009B1C1B"/>
    <w:rsid w:val="009B1ED9"/>
    <w:rsid w:val="009B269F"/>
    <w:rsid w:val="009B2858"/>
    <w:rsid w:val="009B313F"/>
    <w:rsid w:val="009B351D"/>
    <w:rsid w:val="009B47E1"/>
    <w:rsid w:val="009B48E8"/>
    <w:rsid w:val="009B622B"/>
    <w:rsid w:val="009B694A"/>
    <w:rsid w:val="009B6C65"/>
    <w:rsid w:val="009B6CD8"/>
    <w:rsid w:val="009B7882"/>
    <w:rsid w:val="009B79E5"/>
    <w:rsid w:val="009C0661"/>
    <w:rsid w:val="009C0968"/>
    <w:rsid w:val="009C0CFC"/>
    <w:rsid w:val="009C1699"/>
    <w:rsid w:val="009C172B"/>
    <w:rsid w:val="009C1C50"/>
    <w:rsid w:val="009C1CDE"/>
    <w:rsid w:val="009C1E8C"/>
    <w:rsid w:val="009C237C"/>
    <w:rsid w:val="009C2D54"/>
    <w:rsid w:val="009C325F"/>
    <w:rsid w:val="009C3292"/>
    <w:rsid w:val="009C36B6"/>
    <w:rsid w:val="009C3E5F"/>
    <w:rsid w:val="009C3EAB"/>
    <w:rsid w:val="009C41B8"/>
    <w:rsid w:val="009C4A85"/>
    <w:rsid w:val="009C4AA9"/>
    <w:rsid w:val="009C4E42"/>
    <w:rsid w:val="009C52E2"/>
    <w:rsid w:val="009C5447"/>
    <w:rsid w:val="009C5BBA"/>
    <w:rsid w:val="009C5D9A"/>
    <w:rsid w:val="009C6400"/>
    <w:rsid w:val="009C65D3"/>
    <w:rsid w:val="009C6662"/>
    <w:rsid w:val="009C69C4"/>
    <w:rsid w:val="009C6B5E"/>
    <w:rsid w:val="009C6DAE"/>
    <w:rsid w:val="009C6E21"/>
    <w:rsid w:val="009D0365"/>
    <w:rsid w:val="009D03F7"/>
    <w:rsid w:val="009D043A"/>
    <w:rsid w:val="009D05DB"/>
    <w:rsid w:val="009D0A06"/>
    <w:rsid w:val="009D0B1E"/>
    <w:rsid w:val="009D153F"/>
    <w:rsid w:val="009D1BDA"/>
    <w:rsid w:val="009D2FEF"/>
    <w:rsid w:val="009D3702"/>
    <w:rsid w:val="009D3735"/>
    <w:rsid w:val="009D3D0B"/>
    <w:rsid w:val="009D4ED4"/>
    <w:rsid w:val="009D5217"/>
    <w:rsid w:val="009D5242"/>
    <w:rsid w:val="009D55A5"/>
    <w:rsid w:val="009D57AC"/>
    <w:rsid w:val="009D5C87"/>
    <w:rsid w:val="009D609B"/>
    <w:rsid w:val="009D641C"/>
    <w:rsid w:val="009D662B"/>
    <w:rsid w:val="009D6710"/>
    <w:rsid w:val="009D6729"/>
    <w:rsid w:val="009D69B1"/>
    <w:rsid w:val="009D6F2D"/>
    <w:rsid w:val="009D71B8"/>
    <w:rsid w:val="009D738D"/>
    <w:rsid w:val="009D73C4"/>
    <w:rsid w:val="009D7566"/>
    <w:rsid w:val="009D7769"/>
    <w:rsid w:val="009D7AEA"/>
    <w:rsid w:val="009E00D4"/>
    <w:rsid w:val="009E01DA"/>
    <w:rsid w:val="009E0A53"/>
    <w:rsid w:val="009E0D85"/>
    <w:rsid w:val="009E10CA"/>
    <w:rsid w:val="009E12AF"/>
    <w:rsid w:val="009E2A55"/>
    <w:rsid w:val="009E2E1B"/>
    <w:rsid w:val="009E3F6A"/>
    <w:rsid w:val="009E4804"/>
    <w:rsid w:val="009E5195"/>
    <w:rsid w:val="009E5A32"/>
    <w:rsid w:val="009E5EAD"/>
    <w:rsid w:val="009E6FFE"/>
    <w:rsid w:val="009E7509"/>
    <w:rsid w:val="009E7BF4"/>
    <w:rsid w:val="009F026E"/>
    <w:rsid w:val="009F028D"/>
    <w:rsid w:val="009F0646"/>
    <w:rsid w:val="009F108C"/>
    <w:rsid w:val="009F1AB5"/>
    <w:rsid w:val="009F1B28"/>
    <w:rsid w:val="009F2548"/>
    <w:rsid w:val="009F2623"/>
    <w:rsid w:val="009F27D9"/>
    <w:rsid w:val="009F31A1"/>
    <w:rsid w:val="009F32E3"/>
    <w:rsid w:val="009F3529"/>
    <w:rsid w:val="009F3A7D"/>
    <w:rsid w:val="009F44EB"/>
    <w:rsid w:val="009F4D04"/>
    <w:rsid w:val="009F4D97"/>
    <w:rsid w:val="009F56F4"/>
    <w:rsid w:val="009F6121"/>
    <w:rsid w:val="009F61DA"/>
    <w:rsid w:val="009F649C"/>
    <w:rsid w:val="009F6551"/>
    <w:rsid w:val="009F709D"/>
    <w:rsid w:val="009F7146"/>
    <w:rsid w:val="009F7294"/>
    <w:rsid w:val="009F77BB"/>
    <w:rsid w:val="009F7C35"/>
    <w:rsid w:val="00A0056A"/>
    <w:rsid w:val="00A005EF"/>
    <w:rsid w:val="00A008C4"/>
    <w:rsid w:val="00A00DA5"/>
    <w:rsid w:val="00A00E28"/>
    <w:rsid w:val="00A02130"/>
    <w:rsid w:val="00A0259F"/>
    <w:rsid w:val="00A025A0"/>
    <w:rsid w:val="00A025C9"/>
    <w:rsid w:val="00A03175"/>
    <w:rsid w:val="00A03995"/>
    <w:rsid w:val="00A0436E"/>
    <w:rsid w:val="00A04655"/>
    <w:rsid w:val="00A04699"/>
    <w:rsid w:val="00A0470C"/>
    <w:rsid w:val="00A04859"/>
    <w:rsid w:val="00A0493F"/>
    <w:rsid w:val="00A04F1C"/>
    <w:rsid w:val="00A051A8"/>
    <w:rsid w:val="00A05868"/>
    <w:rsid w:val="00A05C98"/>
    <w:rsid w:val="00A062B8"/>
    <w:rsid w:val="00A069F2"/>
    <w:rsid w:val="00A06FC1"/>
    <w:rsid w:val="00A073A0"/>
    <w:rsid w:val="00A075BF"/>
    <w:rsid w:val="00A07A04"/>
    <w:rsid w:val="00A10033"/>
    <w:rsid w:val="00A101F7"/>
    <w:rsid w:val="00A1043B"/>
    <w:rsid w:val="00A116A4"/>
    <w:rsid w:val="00A11B6F"/>
    <w:rsid w:val="00A126FE"/>
    <w:rsid w:val="00A12735"/>
    <w:rsid w:val="00A12932"/>
    <w:rsid w:val="00A12F69"/>
    <w:rsid w:val="00A13125"/>
    <w:rsid w:val="00A1318F"/>
    <w:rsid w:val="00A132F2"/>
    <w:rsid w:val="00A135BC"/>
    <w:rsid w:val="00A13866"/>
    <w:rsid w:val="00A14342"/>
    <w:rsid w:val="00A149BB"/>
    <w:rsid w:val="00A152AD"/>
    <w:rsid w:val="00A15DFA"/>
    <w:rsid w:val="00A15F79"/>
    <w:rsid w:val="00A161DD"/>
    <w:rsid w:val="00A166AF"/>
    <w:rsid w:val="00A1680E"/>
    <w:rsid w:val="00A172B0"/>
    <w:rsid w:val="00A174DC"/>
    <w:rsid w:val="00A17868"/>
    <w:rsid w:val="00A17C12"/>
    <w:rsid w:val="00A20133"/>
    <w:rsid w:val="00A2057F"/>
    <w:rsid w:val="00A206EB"/>
    <w:rsid w:val="00A215D5"/>
    <w:rsid w:val="00A21658"/>
    <w:rsid w:val="00A21879"/>
    <w:rsid w:val="00A21E0A"/>
    <w:rsid w:val="00A222F2"/>
    <w:rsid w:val="00A224B9"/>
    <w:rsid w:val="00A22516"/>
    <w:rsid w:val="00A228D4"/>
    <w:rsid w:val="00A22ED2"/>
    <w:rsid w:val="00A23209"/>
    <w:rsid w:val="00A23979"/>
    <w:rsid w:val="00A23B13"/>
    <w:rsid w:val="00A247A2"/>
    <w:rsid w:val="00A24C88"/>
    <w:rsid w:val="00A24DA0"/>
    <w:rsid w:val="00A252C3"/>
    <w:rsid w:val="00A253C2"/>
    <w:rsid w:val="00A260B3"/>
    <w:rsid w:val="00A268DC"/>
    <w:rsid w:val="00A27303"/>
    <w:rsid w:val="00A27C26"/>
    <w:rsid w:val="00A30524"/>
    <w:rsid w:val="00A30681"/>
    <w:rsid w:val="00A30844"/>
    <w:rsid w:val="00A312F9"/>
    <w:rsid w:val="00A313FA"/>
    <w:rsid w:val="00A31B3C"/>
    <w:rsid w:val="00A31FA5"/>
    <w:rsid w:val="00A32292"/>
    <w:rsid w:val="00A3261F"/>
    <w:rsid w:val="00A327B0"/>
    <w:rsid w:val="00A32AC3"/>
    <w:rsid w:val="00A32BBF"/>
    <w:rsid w:val="00A339E1"/>
    <w:rsid w:val="00A33BFD"/>
    <w:rsid w:val="00A34746"/>
    <w:rsid w:val="00A34AE9"/>
    <w:rsid w:val="00A3510D"/>
    <w:rsid w:val="00A35544"/>
    <w:rsid w:val="00A36A79"/>
    <w:rsid w:val="00A36E32"/>
    <w:rsid w:val="00A36F3F"/>
    <w:rsid w:val="00A371C0"/>
    <w:rsid w:val="00A37E36"/>
    <w:rsid w:val="00A4054C"/>
    <w:rsid w:val="00A40B64"/>
    <w:rsid w:val="00A40ED5"/>
    <w:rsid w:val="00A41181"/>
    <w:rsid w:val="00A420C5"/>
    <w:rsid w:val="00A424A6"/>
    <w:rsid w:val="00A42CF3"/>
    <w:rsid w:val="00A42D4D"/>
    <w:rsid w:val="00A43789"/>
    <w:rsid w:val="00A43BB2"/>
    <w:rsid w:val="00A44207"/>
    <w:rsid w:val="00A4426B"/>
    <w:rsid w:val="00A44AB0"/>
    <w:rsid w:val="00A44D33"/>
    <w:rsid w:val="00A44D43"/>
    <w:rsid w:val="00A44DD2"/>
    <w:rsid w:val="00A45017"/>
    <w:rsid w:val="00A45429"/>
    <w:rsid w:val="00A4581E"/>
    <w:rsid w:val="00A45A60"/>
    <w:rsid w:val="00A46875"/>
    <w:rsid w:val="00A46E4C"/>
    <w:rsid w:val="00A47684"/>
    <w:rsid w:val="00A47845"/>
    <w:rsid w:val="00A47880"/>
    <w:rsid w:val="00A47C7E"/>
    <w:rsid w:val="00A503EA"/>
    <w:rsid w:val="00A50623"/>
    <w:rsid w:val="00A50948"/>
    <w:rsid w:val="00A509A7"/>
    <w:rsid w:val="00A50B1B"/>
    <w:rsid w:val="00A50BCF"/>
    <w:rsid w:val="00A50E95"/>
    <w:rsid w:val="00A51108"/>
    <w:rsid w:val="00A51398"/>
    <w:rsid w:val="00A51A98"/>
    <w:rsid w:val="00A51C6B"/>
    <w:rsid w:val="00A526C6"/>
    <w:rsid w:val="00A52AA3"/>
    <w:rsid w:val="00A52B22"/>
    <w:rsid w:val="00A53B4D"/>
    <w:rsid w:val="00A5475B"/>
    <w:rsid w:val="00A54A27"/>
    <w:rsid w:val="00A550D5"/>
    <w:rsid w:val="00A55169"/>
    <w:rsid w:val="00A556CE"/>
    <w:rsid w:val="00A55ACC"/>
    <w:rsid w:val="00A55FF4"/>
    <w:rsid w:val="00A56399"/>
    <w:rsid w:val="00A5672F"/>
    <w:rsid w:val="00A567D4"/>
    <w:rsid w:val="00A567E0"/>
    <w:rsid w:val="00A56BBE"/>
    <w:rsid w:val="00A56D55"/>
    <w:rsid w:val="00A56EEE"/>
    <w:rsid w:val="00A57249"/>
    <w:rsid w:val="00A5728A"/>
    <w:rsid w:val="00A57DFA"/>
    <w:rsid w:val="00A60F0B"/>
    <w:rsid w:val="00A6146F"/>
    <w:rsid w:val="00A6194C"/>
    <w:rsid w:val="00A61BB0"/>
    <w:rsid w:val="00A61E4B"/>
    <w:rsid w:val="00A628AA"/>
    <w:rsid w:val="00A62B18"/>
    <w:rsid w:val="00A63A04"/>
    <w:rsid w:val="00A63C59"/>
    <w:rsid w:val="00A640C6"/>
    <w:rsid w:val="00A64401"/>
    <w:rsid w:val="00A648AC"/>
    <w:rsid w:val="00A64A71"/>
    <w:rsid w:val="00A65590"/>
    <w:rsid w:val="00A656FE"/>
    <w:rsid w:val="00A65DB9"/>
    <w:rsid w:val="00A65DBD"/>
    <w:rsid w:val="00A6678F"/>
    <w:rsid w:val="00A668F4"/>
    <w:rsid w:val="00A66F40"/>
    <w:rsid w:val="00A66F56"/>
    <w:rsid w:val="00A675CA"/>
    <w:rsid w:val="00A67789"/>
    <w:rsid w:val="00A6791D"/>
    <w:rsid w:val="00A67BFF"/>
    <w:rsid w:val="00A67FCD"/>
    <w:rsid w:val="00A70192"/>
    <w:rsid w:val="00A7027F"/>
    <w:rsid w:val="00A702B5"/>
    <w:rsid w:val="00A7050C"/>
    <w:rsid w:val="00A70530"/>
    <w:rsid w:val="00A7092E"/>
    <w:rsid w:val="00A713BB"/>
    <w:rsid w:val="00A71881"/>
    <w:rsid w:val="00A71D5A"/>
    <w:rsid w:val="00A71F74"/>
    <w:rsid w:val="00A72089"/>
    <w:rsid w:val="00A7249D"/>
    <w:rsid w:val="00A72AB3"/>
    <w:rsid w:val="00A72D05"/>
    <w:rsid w:val="00A731C8"/>
    <w:rsid w:val="00A73833"/>
    <w:rsid w:val="00A73A12"/>
    <w:rsid w:val="00A742F3"/>
    <w:rsid w:val="00A746DE"/>
    <w:rsid w:val="00A751EA"/>
    <w:rsid w:val="00A75220"/>
    <w:rsid w:val="00A75A93"/>
    <w:rsid w:val="00A75ED0"/>
    <w:rsid w:val="00A7630B"/>
    <w:rsid w:val="00A76CCE"/>
    <w:rsid w:val="00A76CFB"/>
    <w:rsid w:val="00A76D03"/>
    <w:rsid w:val="00A77446"/>
    <w:rsid w:val="00A7750C"/>
    <w:rsid w:val="00A779FA"/>
    <w:rsid w:val="00A77F1C"/>
    <w:rsid w:val="00A80106"/>
    <w:rsid w:val="00A806F1"/>
    <w:rsid w:val="00A80BB5"/>
    <w:rsid w:val="00A80BEB"/>
    <w:rsid w:val="00A813B4"/>
    <w:rsid w:val="00A81901"/>
    <w:rsid w:val="00A828E4"/>
    <w:rsid w:val="00A83814"/>
    <w:rsid w:val="00A839FA"/>
    <w:rsid w:val="00A83CD9"/>
    <w:rsid w:val="00A83FAD"/>
    <w:rsid w:val="00A8412E"/>
    <w:rsid w:val="00A8414B"/>
    <w:rsid w:val="00A847E6"/>
    <w:rsid w:val="00A84E98"/>
    <w:rsid w:val="00A85447"/>
    <w:rsid w:val="00A864B0"/>
    <w:rsid w:val="00A86BB0"/>
    <w:rsid w:val="00A87A1A"/>
    <w:rsid w:val="00A87A81"/>
    <w:rsid w:val="00A9042C"/>
    <w:rsid w:val="00A912E0"/>
    <w:rsid w:val="00A91456"/>
    <w:rsid w:val="00A919D8"/>
    <w:rsid w:val="00A91BDA"/>
    <w:rsid w:val="00A92265"/>
    <w:rsid w:val="00A92615"/>
    <w:rsid w:val="00A92B1A"/>
    <w:rsid w:val="00A92D4B"/>
    <w:rsid w:val="00A93B9F"/>
    <w:rsid w:val="00A93EE2"/>
    <w:rsid w:val="00A946B4"/>
    <w:rsid w:val="00A94EB8"/>
    <w:rsid w:val="00A95078"/>
    <w:rsid w:val="00A95799"/>
    <w:rsid w:val="00A958BD"/>
    <w:rsid w:val="00A96296"/>
    <w:rsid w:val="00A9721D"/>
    <w:rsid w:val="00A9723D"/>
    <w:rsid w:val="00A9725A"/>
    <w:rsid w:val="00A973AB"/>
    <w:rsid w:val="00A97730"/>
    <w:rsid w:val="00AA052F"/>
    <w:rsid w:val="00AA0A26"/>
    <w:rsid w:val="00AA0EB0"/>
    <w:rsid w:val="00AA16D6"/>
    <w:rsid w:val="00AA17AF"/>
    <w:rsid w:val="00AA18A2"/>
    <w:rsid w:val="00AA2097"/>
    <w:rsid w:val="00AA233E"/>
    <w:rsid w:val="00AA2599"/>
    <w:rsid w:val="00AA2964"/>
    <w:rsid w:val="00AA3CEF"/>
    <w:rsid w:val="00AA3F56"/>
    <w:rsid w:val="00AA4690"/>
    <w:rsid w:val="00AA4EFD"/>
    <w:rsid w:val="00AA4F3B"/>
    <w:rsid w:val="00AA4FF6"/>
    <w:rsid w:val="00AA5332"/>
    <w:rsid w:val="00AA53F7"/>
    <w:rsid w:val="00AA545D"/>
    <w:rsid w:val="00AA5C3C"/>
    <w:rsid w:val="00AA5CCB"/>
    <w:rsid w:val="00AA635D"/>
    <w:rsid w:val="00AA6584"/>
    <w:rsid w:val="00AA6E43"/>
    <w:rsid w:val="00AA7834"/>
    <w:rsid w:val="00AA79E3"/>
    <w:rsid w:val="00AA7B25"/>
    <w:rsid w:val="00AB0938"/>
    <w:rsid w:val="00AB0C5D"/>
    <w:rsid w:val="00AB2333"/>
    <w:rsid w:val="00AB2CFF"/>
    <w:rsid w:val="00AB2D09"/>
    <w:rsid w:val="00AB2F38"/>
    <w:rsid w:val="00AB32DA"/>
    <w:rsid w:val="00AB33DB"/>
    <w:rsid w:val="00AB3437"/>
    <w:rsid w:val="00AB35B1"/>
    <w:rsid w:val="00AB384A"/>
    <w:rsid w:val="00AB3A3B"/>
    <w:rsid w:val="00AB3B1B"/>
    <w:rsid w:val="00AB4076"/>
    <w:rsid w:val="00AB44E0"/>
    <w:rsid w:val="00AB465D"/>
    <w:rsid w:val="00AB4835"/>
    <w:rsid w:val="00AB5216"/>
    <w:rsid w:val="00AB5520"/>
    <w:rsid w:val="00AB5775"/>
    <w:rsid w:val="00AB58AE"/>
    <w:rsid w:val="00AB590A"/>
    <w:rsid w:val="00AB5931"/>
    <w:rsid w:val="00AB5AE5"/>
    <w:rsid w:val="00AB5F68"/>
    <w:rsid w:val="00AB5FD7"/>
    <w:rsid w:val="00AB6045"/>
    <w:rsid w:val="00AB6839"/>
    <w:rsid w:val="00AB6F20"/>
    <w:rsid w:val="00AB74B3"/>
    <w:rsid w:val="00AB7539"/>
    <w:rsid w:val="00AC00BC"/>
    <w:rsid w:val="00AC07E0"/>
    <w:rsid w:val="00AC0E7F"/>
    <w:rsid w:val="00AC1014"/>
    <w:rsid w:val="00AC10FA"/>
    <w:rsid w:val="00AC1BA2"/>
    <w:rsid w:val="00AC21BB"/>
    <w:rsid w:val="00AC3438"/>
    <w:rsid w:val="00AC3537"/>
    <w:rsid w:val="00AC369C"/>
    <w:rsid w:val="00AC37FA"/>
    <w:rsid w:val="00AC4072"/>
    <w:rsid w:val="00AC488A"/>
    <w:rsid w:val="00AC64B2"/>
    <w:rsid w:val="00AC666D"/>
    <w:rsid w:val="00AC7193"/>
    <w:rsid w:val="00AC71F1"/>
    <w:rsid w:val="00AC754E"/>
    <w:rsid w:val="00AC7A65"/>
    <w:rsid w:val="00AC7F97"/>
    <w:rsid w:val="00AD0005"/>
    <w:rsid w:val="00AD01C4"/>
    <w:rsid w:val="00AD0EC4"/>
    <w:rsid w:val="00AD14D5"/>
    <w:rsid w:val="00AD1B58"/>
    <w:rsid w:val="00AD1C73"/>
    <w:rsid w:val="00AD2572"/>
    <w:rsid w:val="00AD2776"/>
    <w:rsid w:val="00AD2A4A"/>
    <w:rsid w:val="00AD2A6C"/>
    <w:rsid w:val="00AD39CE"/>
    <w:rsid w:val="00AD3A44"/>
    <w:rsid w:val="00AD3A72"/>
    <w:rsid w:val="00AD3E7A"/>
    <w:rsid w:val="00AD436B"/>
    <w:rsid w:val="00AD4D8A"/>
    <w:rsid w:val="00AD4F47"/>
    <w:rsid w:val="00AD51A2"/>
    <w:rsid w:val="00AD5288"/>
    <w:rsid w:val="00AD680E"/>
    <w:rsid w:val="00AD69F5"/>
    <w:rsid w:val="00AD6CCA"/>
    <w:rsid w:val="00AE0235"/>
    <w:rsid w:val="00AE0389"/>
    <w:rsid w:val="00AE08D6"/>
    <w:rsid w:val="00AE0BB2"/>
    <w:rsid w:val="00AE0BF3"/>
    <w:rsid w:val="00AE0E4D"/>
    <w:rsid w:val="00AE10F5"/>
    <w:rsid w:val="00AE11DC"/>
    <w:rsid w:val="00AE14B2"/>
    <w:rsid w:val="00AE1BD8"/>
    <w:rsid w:val="00AE268E"/>
    <w:rsid w:val="00AE2E9A"/>
    <w:rsid w:val="00AE2F57"/>
    <w:rsid w:val="00AE37D9"/>
    <w:rsid w:val="00AE3CCB"/>
    <w:rsid w:val="00AE49BF"/>
    <w:rsid w:val="00AE4A58"/>
    <w:rsid w:val="00AE5437"/>
    <w:rsid w:val="00AE5B08"/>
    <w:rsid w:val="00AE5B50"/>
    <w:rsid w:val="00AE5B8E"/>
    <w:rsid w:val="00AE5F23"/>
    <w:rsid w:val="00AE6B8B"/>
    <w:rsid w:val="00AE6D5F"/>
    <w:rsid w:val="00AE7561"/>
    <w:rsid w:val="00AE778D"/>
    <w:rsid w:val="00AE7C3D"/>
    <w:rsid w:val="00AE7FF1"/>
    <w:rsid w:val="00AF019C"/>
    <w:rsid w:val="00AF03C1"/>
    <w:rsid w:val="00AF041C"/>
    <w:rsid w:val="00AF0674"/>
    <w:rsid w:val="00AF084C"/>
    <w:rsid w:val="00AF0E15"/>
    <w:rsid w:val="00AF162C"/>
    <w:rsid w:val="00AF1A7F"/>
    <w:rsid w:val="00AF1FA1"/>
    <w:rsid w:val="00AF2864"/>
    <w:rsid w:val="00AF28BB"/>
    <w:rsid w:val="00AF2AE2"/>
    <w:rsid w:val="00AF38AA"/>
    <w:rsid w:val="00AF3E86"/>
    <w:rsid w:val="00AF3F55"/>
    <w:rsid w:val="00AF4074"/>
    <w:rsid w:val="00AF4082"/>
    <w:rsid w:val="00AF4664"/>
    <w:rsid w:val="00AF5C89"/>
    <w:rsid w:val="00AF6545"/>
    <w:rsid w:val="00AF7119"/>
    <w:rsid w:val="00AF71BD"/>
    <w:rsid w:val="00AF790A"/>
    <w:rsid w:val="00B000C2"/>
    <w:rsid w:val="00B000EB"/>
    <w:rsid w:val="00B00105"/>
    <w:rsid w:val="00B001A8"/>
    <w:rsid w:val="00B00707"/>
    <w:rsid w:val="00B007FA"/>
    <w:rsid w:val="00B00A42"/>
    <w:rsid w:val="00B01D9D"/>
    <w:rsid w:val="00B030E7"/>
    <w:rsid w:val="00B03148"/>
    <w:rsid w:val="00B0399B"/>
    <w:rsid w:val="00B03C82"/>
    <w:rsid w:val="00B0437F"/>
    <w:rsid w:val="00B048D3"/>
    <w:rsid w:val="00B049E1"/>
    <w:rsid w:val="00B04A6F"/>
    <w:rsid w:val="00B04C85"/>
    <w:rsid w:val="00B04DDE"/>
    <w:rsid w:val="00B052AD"/>
    <w:rsid w:val="00B055AD"/>
    <w:rsid w:val="00B0607B"/>
    <w:rsid w:val="00B0643E"/>
    <w:rsid w:val="00B067E6"/>
    <w:rsid w:val="00B0718B"/>
    <w:rsid w:val="00B109AA"/>
    <w:rsid w:val="00B11B75"/>
    <w:rsid w:val="00B1208D"/>
    <w:rsid w:val="00B12355"/>
    <w:rsid w:val="00B1262D"/>
    <w:rsid w:val="00B133B6"/>
    <w:rsid w:val="00B1392D"/>
    <w:rsid w:val="00B13F74"/>
    <w:rsid w:val="00B140C6"/>
    <w:rsid w:val="00B14989"/>
    <w:rsid w:val="00B14F1D"/>
    <w:rsid w:val="00B15653"/>
    <w:rsid w:val="00B157BC"/>
    <w:rsid w:val="00B1588A"/>
    <w:rsid w:val="00B15950"/>
    <w:rsid w:val="00B15BFB"/>
    <w:rsid w:val="00B15CF8"/>
    <w:rsid w:val="00B16804"/>
    <w:rsid w:val="00B16DE4"/>
    <w:rsid w:val="00B1737E"/>
    <w:rsid w:val="00B175FE"/>
    <w:rsid w:val="00B20274"/>
    <w:rsid w:val="00B20B90"/>
    <w:rsid w:val="00B21B44"/>
    <w:rsid w:val="00B21E82"/>
    <w:rsid w:val="00B22E16"/>
    <w:rsid w:val="00B236E8"/>
    <w:rsid w:val="00B23956"/>
    <w:rsid w:val="00B239A9"/>
    <w:rsid w:val="00B23ED5"/>
    <w:rsid w:val="00B24A20"/>
    <w:rsid w:val="00B24A5F"/>
    <w:rsid w:val="00B24B34"/>
    <w:rsid w:val="00B256A7"/>
    <w:rsid w:val="00B2596E"/>
    <w:rsid w:val="00B25BC4"/>
    <w:rsid w:val="00B25C69"/>
    <w:rsid w:val="00B26149"/>
    <w:rsid w:val="00B262B4"/>
    <w:rsid w:val="00B263D3"/>
    <w:rsid w:val="00B26687"/>
    <w:rsid w:val="00B2682E"/>
    <w:rsid w:val="00B2686B"/>
    <w:rsid w:val="00B272D5"/>
    <w:rsid w:val="00B27668"/>
    <w:rsid w:val="00B2792F"/>
    <w:rsid w:val="00B3031C"/>
    <w:rsid w:val="00B3043E"/>
    <w:rsid w:val="00B305D3"/>
    <w:rsid w:val="00B309ED"/>
    <w:rsid w:val="00B315B1"/>
    <w:rsid w:val="00B31722"/>
    <w:rsid w:val="00B319AA"/>
    <w:rsid w:val="00B32B06"/>
    <w:rsid w:val="00B33693"/>
    <w:rsid w:val="00B33A13"/>
    <w:rsid w:val="00B34301"/>
    <w:rsid w:val="00B34C97"/>
    <w:rsid w:val="00B34F1B"/>
    <w:rsid w:val="00B350E2"/>
    <w:rsid w:val="00B35823"/>
    <w:rsid w:val="00B35AD4"/>
    <w:rsid w:val="00B35C03"/>
    <w:rsid w:val="00B35D7E"/>
    <w:rsid w:val="00B3654C"/>
    <w:rsid w:val="00B3656A"/>
    <w:rsid w:val="00B36BF7"/>
    <w:rsid w:val="00B3730C"/>
    <w:rsid w:val="00B375E2"/>
    <w:rsid w:val="00B3764A"/>
    <w:rsid w:val="00B378DF"/>
    <w:rsid w:val="00B37A99"/>
    <w:rsid w:val="00B404DD"/>
    <w:rsid w:val="00B40E1B"/>
    <w:rsid w:val="00B41140"/>
    <w:rsid w:val="00B4119E"/>
    <w:rsid w:val="00B41953"/>
    <w:rsid w:val="00B42386"/>
    <w:rsid w:val="00B427BD"/>
    <w:rsid w:val="00B42D82"/>
    <w:rsid w:val="00B42DB7"/>
    <w:rsid w:val="00B433CD"/>
    <w:rsid w:val="00B4387D"/>
    <w:rsid w:val="00B439AE"/>
    <w:rsid w:val="00B43B1E"/>
    <w:rsid w:val="00B43BFA"/>
    <w:rsid w:val="00B43D3F"/>
    <w:rsid w:val="00B440C7"/>
    <w:rsid w:val="00B44408"/>
    <w:rsid w:val="00B44566"/>
    <w:rsid w:val="00B445A5"/>
    <w:rsid w:val="00B44666"/>
    <w:rsid w:val="00B4490C"/>
    <w:rsid w:val="00B44DFB"/>
    <w:rsid w:val="00B455BE"/>
    <w:rsid w:val="00B4563F"/>
    <w:rsid w:val="00B45B0D"/>
    <w:rsid w:val="00B45B2F"/>
    <w:rsid w:val="00B466F9"/>
    <w:rsid w:val="00B46CD3"/>
    <w:rsid w:val="00B46D34"/>
    <w:rsid w:val="00B47169"/>
    <w:rsid w:val="00B477FF"/>
    <w:rsid w:val="00B4787B"/>
    <w:rsid w:val="00B47E10"/>
    <w:rsid w:val="00B47E52"/>
    <w:rsid w:val="00B500AB"/>
    <w:rsid w:val="00B50263"/>
    <w:rsid w:val="00B50AFD"/>
    <w:rsid w:val="00B50D50"/>
    <w:rsid w:val="00B5100C"/>
    <w:rsid w:val="00B51763"/>
    <w:rsid w:val="00B5211E"/>
    <w:rsid w:val="00B52127"/>
    <w:rsid w:val="00B535B9"/>
    <w:rsid w:val="00B538AD"/>
    <w:rsid w:val="00B546FE"/>
    <w:rsid w:val="00B54A08"/>
    <w:rsid w:val="00B55443"/>
    <w:rsid w:val="00B55872"/>
    <w:rsid w:val="00B55945"/>
    <w:rsid w:val="00B55A92"/>
    <w:rsid w:val="00B5671A"/>
    <w:rsid w:val="00B56779"/>
    <w:rsid w:val="00B56D2C"/>
    <w:rsid w:val="00B57533"/>
    <w:rsid w:val="00B57B4C"/>
    <w:rsid w:val="00B57E30"/>
    <w:rsid w:val="00B57FD1"/>
    <w:rsid w:val="00B60368"/>
    <w:rsid w:val="00B6037E"/>
    <w:rsid w:val="00B60425"/>
    <w:rsid w:val="00B60B07"/>
    <w:rsid w:val="00B60F76"/>
    <w:rsid w:val="00B61363"/>
    <w:rsid w:val="00B61722"/>
    <w:rsid w:val="00B623FB"/>
    <w:rsid w:val="00B626EA"/>
    <w:rsid w:val="00B62720"/>
    <w:rsid w:val="00B62C90"/>
    <w:rsid w:val="00B62F42"/>
    <w:rsid w:val="00B62FB9"/>
    <w:rsid w:val="00B63128"/>
    <w:rsid w:val="00B6373D"/>
    <w:rsid w:val="00B63863"/>
    <w:rsid w:val="00B63A75"/>
    <w:rsid w:val="00B63AA6"/>
    <w:rsid w:val="00B63E05"/>
    <w:rsid w:val="00B63E31"/>
    <w:rsid w:val="00B646A5"/>
    <w:rsid w:val="00B6492C"/>
    <w:rsid w:val="00B64C24"/>
    <w:rsid w:val="00B64C5B"/>
    <w:rsid w:val="00B64E7C"/>
    <w:rsid w:val="00B65A48"/>
    <w:rsid w:val="00B6650B"/>
    <w:rsid w:val="00B665B8"/>
    <w:rsid w:val="00B66648"/>
    <w:rsid w:val="00B66B36"/>
    <w:rsid w:val="00B66CE2"/>
    <w:rsid w:val="00B67038"/>
    <w:rsid w:val="00B67DF9"/>
    <w:rsid w:val="00B7024C"/>
    <w:rsid w:val="00B704F5"/>
    <w:rsid w:val="00B7050F"/>
    <w:rsid w:val="00B70C16"/>
    <w:rsid w:val="00B715BF"/>
    <w:rsid w:val="00B718C7"/>
    <w:rsid w:val="00B71BDF"/>
    <w:rsid w:val="00B71E7E"/>
    <w:rsid w:val="00B71EA4"/>
    <w:rsid w:val="00B71FFF"/>
    <w:rsid w:val="00B72276"/>
    <w:rsid w:val="00B72663"/>
    <w:rsid w:val="00B72817"/>
    <w:rsid w:val="00B72A52"/>
    <w:rsid w:val="00B72B68"/>
    <w:rsid w:val="00B730B2"/>
    <w:rsid w:val="00B730F4"/>
    <w:rsid w:val="00B73D0A"/>
    <w:rsid w:val="00B73D1F"/>
    <w:rsid w:val="00B747DE"/>
    <w:rsid w:val="00B74C54"/>
    <w:rsid w:val="00B7530D"/>
    <w:rsid w:val="00B7541E"/>
    <w:rsid w:val="00B7615C"/>
    <w:rsid w:val="00B767E9"/>
    <w:rsid w:val="00B767F5"/>
    <w:rsid w:val="00B7680F"/>
    <w:rsid w:val="00B76834"/>
    <w:rsid w:val="00B76DE3"/>
    <w:rsid w:val="00B7746C"/>
    <w:rsid w:val="00B7749E"/>
    <w:rsid w:val="00B774DD"/>
    <w:rsid w:val="00B776E9"/>
    <w:rsid w:val="00B77C89"/>
    <w:rsid w:val="00B800A8"/>
    <w:rsid w:val="00B8047F"/>
    <w:rsid w:val="00B80AA2"/>
    <w:rsid w:val="00B816FB"/>
    <w:rsid w:val="00B819B9"/>
    <w:rsid w:val="00B81B26"/>
    <w:rsid w:val="00B81C94"/>
    <w:rsid w:val="00B825AB"/>
    <w:rsid w:val="00B82860"/>
    <w:rsid w:val="00B828A5"/>
    <w:rsid w:val="00B82B80"/>
    <w:rsid w:val="00B82FDC"/>
    <w:rsid w:val="00B838E4"/>
    <w:rsid w:val="00B838EC"/>
    <w:rsid w:val="00B83E21"/>
    <w:rsid w:val="00B8411E"/>
    <w:rsid w:val="00B84441"/>
    <w:rsid w:val="00B84522"/>
    <w:rsid w:val="00B8466B"/>
    <w:rsid w:val="00B8487E"/>
    <w:rsid w:val="00B85702"/>
    <w:rsid w:val="00B857E5"/>
    <w:rsid w:val="00B85BE3"/>
    <w:rsid w:val="00B85C2A"/>
    <w:rsid w:val="00B85F4C"/>
    <w:rsid w:val="00B86086"/>
    <w:rsid w:val="00B861C1"/>
    <w:rsid w:val="00B86296"/>
    <w:rsid w:val="00B86626"/>
    <w:rsid w:val="00B86EB3"/>
    <w:rsid w:val="00B872EA"/>
    <w:rsid w:val="00B87564"/>
    <w:rsid w:val="00B87616"/>
    <w:rsid w:val="00B87E8B"/>
    <w:rsid w:val="00B91ACB"/>
    <w:rsid w:val="00B91BF1"/>
    <w:rsid w:val="00B91E02"/>
    <w:rsid w:val="00B921E7"/>
    <w:rsid w:val="00B92943"/>
    <w:rsid w:val="00B92DD0"/>
    <w:rsid w:val="00B92E2F"/>
    <w:rsid w:val="00B92F96"/>
    <w:rsid w:val="00B92FC9"/>
    <w:rsid w:val="00B933CF"/>
    <w:rsid w:val="00B9354F"/>
    <w:rsid w:val="00B93D9B"/>
    <w:rsid w:val="00B94979"/>
    <w:rsid w:val="00B949E7"/>
    <w:rsid w:val="00B94AAA"/>
    <w:rsid w:val="00B956B5"/>
    <w:rsid w:val="00B9656E"/>
    <w:rsid w:val="00B966B5"/>
    <w:rsid w:val="00B96DA7"/>
    <w:rsid w:val="00B974CA"/>
    <w:rsid w:val="00B977A2"/>
    <w:rsid w:val="00B97C2F"/>
    <w:rsid w:val="00BA0818"/>
    <w:rsid w:val="00BA0C91"/>
    <w:rsid w:val="00BA10D1"/>
    <w:rsid w:val="00BA147B"/>
    <w:rsid w:val="00BA1C2C"/>
    <w:rsid w:val="00BA201E"/>
    <w:rsid w:val="00BA246D"/>
    <w:rsid w:val="00BA24FE"/>
    <w:rsid w:val="00BA29C6"/>
    <w:rsid w:val="00BA3025"/>
    <w:rsid w:val="00BA34B5"/>
    <w:rsid w:val="00BA35C9"/>
    <w:rsid w:val="00BA3957"/>
    <w:rsid w:val="00BA4658"/>
    <w:rsid w:val="00BA4BEA"/>
    <w:rsid w:val="00BA4CDF"/>
    <w:rsid w:val="00BA4E0A"/>
    <w:rsid w:val="00BA4F75"/>
    <w:rsid w:val="00BA5938"/>
    <w:rsid w:val="00BA63CB"/>
    <w:rsid w:val="00BA6867"/>
    <w:rsid w:val="00BA6D08"/>
    <w:rsid w:val="00BA743D"/>
    <w:rsid w:val="00BA7652"/>
    <w:rsid w:val="00BA766B"/>
    <w:rsid w:val="00BA7D7B"/>
    <w:rsid w:val="00BB090D"/>
    <w:rsid w:val="00BB0CBD"/>
    <w:rsid w:val="00BB0ED5"/>
    <w:rsid w:val="00BB0FAE"/>
    <w:rsid w:val="00BB1914"/>
    <w:rsid w:val="00BB1A59"/>
    <w:rsid w:val="00BB1C13"/>
    <w:rsid w:val="00BB2294"/>
    <w:rsid w:val="00BB22B2"/>
    <w:rsid w:val="00BB309D"/>
    <w:rsid w:val="00BB30B2"/>
    <w:rsid w:val="00BB30CD"/>
    <w:rsid w:val="00BB35CC"/>
    <w:rsid w:val="00BB382C"/>
    <w:rsid w:val="00BB3BD9"/>
    <w:rsid w:val="00BB3C2D"/>
    <w:rsid w:val="00BB3F35"/>
    <w:rsid w:val="00BB45DE"/>
    <w:rsid w:val="00BB4774"/>
    <w:rsid w:val="00BB5176"/>
    <w:rsid w:val="00BB5BFF"/>
    <w:rsid w:val="00BB608F"/>
    <w:rsid w:val="00BB6EC5"/>
    <w:rsid w:val="00BB723B"/>
    <w:rsid w:val="00BB7496"/>
    <w:rsid w:val="00BB797C"/>
    <w:rsid w:val="00BC05C8"/>
    <w:rsid w:val="00BC097E"/>
    <w:rsid w:val="00BC0BA1"/>
    <w:rsid w:val="00BC1913"/>
    <w:rsid w:val="00BC290F"/>
    <w:rsid w:val="00BC299B"/>
    <w:rsid w:val="00BC2CD0"/>
    <w:rsid w:val="00BC365C"/>
    <w:rsid w:val="00BC3AFC"/>
    <w:rsid w:val="00BC4037"/>
    <w:rsid w:val="00BC43B4"/>
    <w:rsid w:val="00BC4C4D"/>
    <w:rsid w:val="00BC5005"/>
    <w:rsid w:val="00BC5228"/>
    <w:rsid w:val="00BC5370"/>
    <w:rsid w:val="00BC58A2"/>
    <w:rsid w:val="00BC6022"/>
    <w:rsid w:val="00BC6751"/>
    <w:rsid w:val="00BC75D5"/>
    <w:rsid w:val="00BD000A"/>
    <w:rsid w:val="00BD0329"/>
    <w:rsid w:val="00BD216D"/>
    <w:rsid w:val="00BD2239"/>
    <w:rsid w:val="00BD2704"/>
    <w:rsid w:val="00BD29BE"/>
    <w:rsid w:val="00BD362A"/>
    <w:rsid w:val="00BD366C"/>
    <w:rsid w:val="00BD3701"/>
    <w:rsid w:val="00BD3887"/>
    <w:rsid w:val="00BD3C00"/>
    <w:rsid w:val="00BD3EFB"/>
    <w:rsid w:val="00BD4030"/>
    <w:rsid w:val="00BD45A7"/>
    <w:rsid w:val="00BD488C"/>
    <w:rsid w:val="00BD4E3B"/>
    <w:rsid w:val="00BD4F2F"/>
    <w:rsid w:val="00BD560A"/>
    <w:rsid w:val="00BD57C5"/>
    <w:rsid w:val="00BD5A56"/>
    <w:rsid w:val="00BD5FAB"/>
    <w:rsid w:val="00BD6071"/>
    <w:rsid w:val="00BD6678"/>
    <w:rsid w:val="00BD6737"/>
    <w:rsid w:val="00BD6A32"/>
    <w:rsid w:val="00BD6AA1"/>
    <w:rsid w:val="00BD6DB9"/>
    <w:rsid w:val="00BD7593"/>
    <w:rsid w:val="00BD759A"/>
    <w:rsid w:val="00BD7AEE"/>
    <w:rsid w:val="00BD7FAE"/>
    <w:rsid w:val="00BE0314"/>
    <w:rsid w:val="00BE0967"/>
    <w:rsid w:val="00BE09C8"/>
    <w:rsid w:val="00BE0A92"/>
    <w:rsid w:val="00BE0FEB"/>
    <w:rsid w:val="00BE1191"/>
    <w:rsid w:val="00BE283A"/>
    <w:rsid w:val="00BE2C25"/>
    <w:rsid w:val="00BE2C84"/>
    <w:rsid w:val="00BE2E37"/>
    <w:rsid w:val="00BE3060"/>
    <w:rsid w:val="00BE336E"/>
    <w:rsid w:val="00BE342F"/>
    <w:rsid w:val="00BE390F"/>
    <w:rsid w:val="00BE3984"/>
    <w:rsid w:val="00BE4C28"/>
    <w:rsid w:val="00BE51D8"/>
    <w:rsid w:val="00BE52C0"/>
    <w:rsid w:val="00BE570F"/>
    <w:rsid w:val="00BE5CEB"/>
    <w:rsid w:val="00BE5D00"/>
    <w:rsid w:val="00BE6455"/>
    <w:rsid w:val="00BE66C4"/>
    <w:rsid w:val="00BE66CF"/>
    <w:rsid w:val="00BF000C"/>
    <w:rsid w:val="00BF0172"/>
    <w:rsid w:val="00BF10B3"/>
    <w:rsid w:val="00BF11DF"/>
    <w:rsid w:val="00BF120F"/>
    <w:rsid w:val="00BF1635"/>
    <w:rsid w:val="00BF17FA"/>
    <w:rsid w:val="00BF253B"/>
    <w:rsid w:val="00BF2B9A"/>
    <w:rsid w:val="00BF2C07"/>
    <w:rsid w:val="00BF3785"/>
    <w:rsid w:val="00BF3BAC"/>
    <w:rsid w:val="00BF3C55"/>
    <w:rsid w:val="00BF3E1B"/>
    <w:rsid w:val="00BF3F81"/>
    <w:rsid w:val="00BF4911"/>
    <w:rsid w:val="00BF4C17"/>
    <w:rsid w:val="00BF52D6"/>
    <w:rsid w:val="00BF62D8"/>
    <w:rsid w:val="00BF6877"/>
    <w:rsid w:val="00BF69AE"/>
    <w:rsid w:val="00BF6AEF"/>
    <w:rsid w:val="00BF7044"/>
    <w:rsid w:val="00BF7202"/>
    <w:rsid w:val="00BF74E5"/>
    <w:rsid w:val="00BF7EDE"/>
    <w:rsid w:val="00C00312"/>
    <w:rsid w:val="00C00384"/>
    <w:rsid w:val="00C00DD2"/>
    <w:rsid w:val="00C02164"/>
    <w:rsid w:val="00C02A2B"/>
    <w:rsid w:val="00C02B6B"/>
    <w:rsid w:val="00C02CE1"/>
    <w:rsid w:val="00C034FE"/>
    <w:rsid w:val="00C03878"/>
    <w:rsid w:val="00C03ED6"/>
    <w:rsid w:val="00C04942"/>
    <w:rsid w:val="00C04CF3"/>
    <w:rsid w:val="00C04F94"/>
    <w:rsid w:val="00C051E2"/>
    <w:rsid w:val="00C069B4"/>
    <w:rsid w:val="00C06A43"/>
    <w:rsid w:val="00C06AAD"/>
    <w:rsid w:val="00C07251"/>
    <w:rsid w:val="00C076D1"/>
    <w:rsid w:val="00C077DA"/>
    <w:rsid w:val="00C10387"/>
    <w:rsid w:val="00C10AEC"/>
    <w:rsid w:val="00C11103"/>
    <w:rsid w:val="00C1130F"/>
    <w:rsid w:val="00C116F5"/>
    <w:rsid w:val="00C117C5"/>
    <w:rsid w:val="00C1183F"/>
    <w:rsid w:val="00C118AD"/>
    <w:rsid w:val="00C119AD"/>
    <w:rsid w:val="00C11C8E"/>
    <w:rsid w:val="00C11EE2"/>
    <w:rsid w:val="00C1204E"/>
    <w:rsid w:val="00C12C03"/>
    <w:rsid w:val="00C1348F"/>
    <w:rsid w:val="00C13749"/>
    <w:rsid w:val="00C13F6C"/>
    <w:rsid w:val="00C13FBF"/>
    <w:rsid w:val="00C1425B"/>
    <w:rsid w:val="00C14C7A"/>
    <w:rsid w:val="00C14CF8"/>
    <w:rsid w:val="00C1519C"/>
    <w:rsid w:val="00C15792"/>
    <w:rsid w:val="00C15C55"/>
    <w:rsid w:val="00C15ED1"/>
    <w:rsid w:val="00C161B7"/>
    <w:rsid w:val="00C16790"/>
    <w:rsid w:val="00C1728E"/>
    <w:rsid w:val="00C173C2"/>
    <w:rsid w:val="00C17534"/>
    <w:rsid w:val="00C176AE"/>
    <w:rsid w:val="00C179E5"/>
    <w:rsid w:val="00C17BB0"/>
    <w:rsid w:val="00C17D29"/>
    <w:rsid w:val="00C17E50"/>
    <w:rsid w:val="00C17EAC"/>
    <w:rsid w:val="00C2011C"/>
    <w:rsid w:val="00C205D4"/>
    <w:rsid w:val="00C208D0"/>
    <w:rsid w:val="00C215C5"/>
    <w:rsid w:val="00C218F3"/>
    <w:rsid w:val="00C2193E"/>
    <w:rsid w:val="00C21AF0"/>
    <w:rsid w:val="00C22366"/>
    <w:rsid w:val="00C2276E"/>
    <w:rsid w:val="00C23151"/>
    <w:rsid w:val="00C23198"/>
    <w:rsid w:val="00C23304"/>
    <w:rsid w:val="00C23B5B"/>
    <w:rsid w:val="00C23E51"/>
    <w:rsid w:val="00C244DE"/>
    <w:rsid w:val="00C25446"/>
    <w:rsid w:val="00C25575"/>
    <w:rsid w:val="00C2587B"/>
    <w:rsid w:val="00C25DF8"/>
    <w:rsid w:val="00C26979"/>
    <w:rsid w:val="00C26DB9"/>
    <w:rsid w:val="00C26E9A"/>
    <w:rsid w:val="00C27C89"/>
    <w:rsid w:val="00C30531"/>
    <w:rsid w:val="00C30B5E"/>
    <w:rsid w:val="00C30EF4"/>
    <w:rsid w:val="00C3155F"/>
    <w:rsid w:val="00C31A70"/>
    <w:rsid w:val="00C31E6E"/>
    <w:rsid w:val="00C32944"/>
    <w:rsid w:val="00C32B97"/>
    <w:rsid w:val="00C332B3"/>
    <w:rsid w:val="00C336EB"/>
    <w:rsid w:val="00C3377B"/>
    <w:rsid w:val="00C3399E"/>
    <w:rsid w:val="00C344AF"/>
    <w:rsid w:val="00C34552"/>
    <w:rsid w:val="00C34602"/>
    <w:rsid w:val="00C34FDF"/>
    <w:rsid w:val="00C36090"/>
    <w:rsid w:val="00C362EE"/>
    <w:rsid w:val="00C36B23"/>
    <w:rsid w:val="00C36D89"/>
    <w:rsid w:val="00C36EE7"/>
    <w:rsid w:val="00C37103"/>
    <w:rsid w:val="00C373E0"/>
    <w:rsid w:val="00C40131"/>
    <w:rsid w:val="00C402AC"/>
    <w:rsid w:val="00C407E5"/>
    <w:rsid w:val="00C40DB2"/>
    <w:rsid w:val="00C40F31"/>
    <w:rsid w:val="00C41070"/>
    <w:rsid w:val="00C4119A"/>
    <w:rsid w:val="00C412D6"/>
    <w:rsid w:val="00C41546"/>
    <w:rsid w:val="00C41A04"/>
    <w:rsid w:val="00C4231D"/>
    <w:rsid w:val="00C4300D"/>
    <w:rsid w:val="00C43568"/>
    <w:rsid w:val="00C435D6"/>
    <w:rsid w:val="00C43CCF"/>
    <w:rsid w:val="00C43D06"/>
    <w:rsid w:val="00C43FBD"/>
    <w:rsid w:val="00C444EB"/>
    <w:rsid w:val="00C44CAE"/>
    <w:rsid w:val="00C44D29"/>
    <w:rsid w:val="00C44FE7"/>
    <w:rsid w:val="00C45415"/>
    <w:rsid w:val="00C45711"/>
    <w:rsid w:val="00C46023"/>
    <w:rsid w:val="00C462EE"/>
    <w:rsid w:val="00C46508"/>
    <w:rsid w:val="00C465A0"/>
    <w:rsid w:val="00C4689D"/>
    <w:rsid w:val="00C46954"/>
    <w:rsid w:val="00C46B8C"/>
    <w:rsid w:val="00C46D6B"/>
    <w:rsid w:val="00C47C92"/>
    <w:rsid w:val="00C507CD"/>
    <w:rsid w:val="00C50B92"/>
    <w:rsid w:val="00C50C71"/>
    <w:rsid w:val="00C50DF8"/>
    <w:rsid w:val="00C50F89"/>
    <w:rsid w:val="00C510F2"/>
    <w:rsid w:val="00C516A4"/>
    <w:rsid w:val="00C52045"/>
    <w:rsid w:val="00C52566"/>
    <w:rsid w:val="00C534FF"/>
    <w:rsid w:val="00C536BD"/>
    <w:rsid w:val="00C5450B"/>
    <w:rsid w:val="00C54657"/>
    <w:rsid w:val="00C551C4"/>
    <w:rsid w:val="00C55341"/>
    <w:rsid w:val="00C554BC"/>
    <w:rsid w:val="00C555B6"/>
    <w:rsid w:val="00C55E5A"/>
    <w:rsid w:val="00C56122"/>
    <w:rsid w:val="00C56915"/>
    <w:rsid w:val="00C56A0F"/>
    <w:rsid w:val="00C56C0E"/>
    <w:rsid w:val="00C56CED"/>
    <w:rsid w:val="00C56D70"/>
    <w:rsid w:val="00C56DC4"/>
    <w:rsid w:val="00C57455"/>
    <w:rsid w:val="00C576DE"/>
    <w:rsid w:val="00C57896"/>
    <w:rsid w:val="00C609A5"/>
    <w:rsid w:val="00C6142B"/>
    <w:rsid w:val="00C620FE"/>
    <w:rsid w:val="00C62193"/>
    <w:rsid w:val="00C62463"/>
    <w:rsid w:val="00C62A00"/>
    <w:rsid w:val="00C62A10"/>
    <w:rsid w:val="00C63185"/>
    <w:rsid w:val="00C6346A"/>
    <w:rsid w:val="00C64109"/>
    <w:rsid w:val="00C6464A"/>
    <w:rsid w:val="00C64B54"/>
    <w:rsid w:val="00C64FAD"/>
    <w:rsid w:val="00C65134"/>
    <w:rsid w:val="00C65189"/>
    <w:rsid w:val="00C65432"/>
    <w:rsid w:val="00C6543B"/>
    <w:rsid w:val="00C657D6"/>
    <w:rsid w:val="00C65C48"/>
    <w:rsid w:val="00C65C72"/>
    <w:rsid w:val="00C6619E"/>
    <w:rsid w:val="00C6632D"/>
    <w:rsid w:val="00C67663"/>
    <w:rsid w:val="00C67C76"/>
    <w:rsid w:val="00C703F6"/>
    <w:rsid w:val="00C7098D"/>
    <w:rsid w:val="00C7107D"/>
    <w:rsid w:val="00C71DCC"/>
    <w:rsid w:val="00C723CB"/>
    <w:rsid w:val="00C729A3"/>
    <w:rsid w:val="00C72A0C"/>
    <w:rsid w:val="00C72ABC"/>
    <w:rsid w:val="00C73CEE"/>
    <w:rsid w:val="00C74A8B"/>
    <w:rsid w:val="00C74DD0"/>
    <w:rsid w:val="00C751FB"/>
    <w:rsid w:val="00C75694"/>
    <w:rsid w:val="00C759CF"/>
    <w:rsid w:val="00C75D46"/>
    <w:rsid w:val="00C7651C"/>
    <w:rsid w:val="00C76604"/>
    <w:rsid w:val="00C77136"/>
    <w:rsid w:val="00C77D9D"/>
    <w:rsid w:val="00C77EFF"/>
    <w:rsid w:val="00C802F0"/>
    <w:rsid w:val="00C805B6"/>
    <w:rsid w:val="00C810C3"/>
    <w:rsid w:val="00C81106"/>
    <w:rsid w:val="00C81175"/>
    <w:rsid w:val="00C82540"/>
    <w:rsid w:val="00C825A9"/>
    <w:rsid w:val="00C8279B"/>
    <w:rsid w:val="00C82C9C"/>
    <w:rsid w:val="00C83210"/>
    <w:rsid w:val="00C833C8"/>
    <w:rsid w:val="00C84422"/>
    <w:rsid w:val="00C84EE8"/>
    <w:rsid w:val="00C8556B"/>
    <w:rsid w:val="00C86BEB"/>
    <w:rsid w:val="00C86E44"/>
    <w:rsid w:val="00C87BB8"/>
    <w:rsid w:val="00C901AA"/>
    <w:rsid w:val="00C9022C"/>
    <w:rsid w:val="00C9035B"/>
    <w:rsid w:val="00C903A8"/>
    <w:rsid w:val="00C90847"/>
    <w:rsid w:val="00C9084D"/>
    <w:rsid w:val="00C90E29"/>
    <w:rsid w:val="00C913D4"/>
    <w:rsid w:val="00C9183A"/>
    <w:rsid w:val="00C91CF1"/>
    <w:rsid w:val="00C91E5F"/>
    <w:rsid w:val="00C921AA"/>
    <w:rsid w:val="00C92CF0"/>
    <w:rsid w:val="00C9305F"/>
    <w:rsid w:val="00C936F8"/>
    <w:rsid w:val="00C93793"/>
    <w:rsid w:val="00C9436F"/>
    <w:rsid w:val="00C944DC"/>
    <w:rsid w:val="00C94672"/>
    <w:rsid w:val="00C94CE5"/>
    <w:rsid w:val="00C94FD7"/>
    <w:rsid w:val="00C9534B"/>
    <w:rsid w:val="00C95AE9"/>
    <w:rsid w:val="00C95F8E"/>
    <w:rsid w:val="00C96122"/>
    <w:rsid w:val="00C96213"/>
    <w:rsid w:val="00C96D51"/>
    <w:rsid w:val="00C97133"/>
    <w:rsid w:val="00C97524"/>
    <w:rsid w:val="00C97FCB"/>
    <w:rsid w:val="00CA0173"/>
    <w:rsid w:val="00CA0B22"/>
    <w:rsid w:val="00CA0CA1"/>
    <w:rsid w:val="00CA105A"/>
    <w:rsid w:val="00CA215A"/>
    <w:rsid w:val="00CA268A"/>
    <w:rsid w:val="00CA3732"/>
    <w:rsid w:val="00CA37B4"/>
    <w:rsid w:val="00CA37C4"/>
    <w:rsid w:val="00CA3B5D"/>
    <w:rsid w:val="00CA3ECE"/>
    <w:rsid w:val="00CA44B3"/>
    <w:rsid w:val="00CA4542"/>
    <w:rsid w:val="00CA5032"/>
    <w:rsid w:val="00CA514F"/>
    <w:rsid w:val="00CA5B53"/>
    <w:rsid w:val="00CA5F60"/>
    <w:rsid w:val="00CA5FF0"/>
    <w:rsid w:val="00CA6648"/>
    <w:rsid w:val="00CA66DC"/>
    <w:rsid w:val="00CA6AD8"/>
    <w:rsid w:val="00CA6E93"/>
    <w:rsid w:val="00CA7C56"/>
    <w:rsid w:val="00CB06BD"/>
    <w:rsid w:val="00CB07E7"/>
    <w:rsid w:val="00CB0B19"/>
    <w:rsid w:val="00CB0F2E"/>
    <w:rsid w:val="00CB152B"/>
    <w:rsid w:val="00CB17D7"/>
    <w:rsid w:val="00CB1B6A"/>
    <w:rsid w:val="00CB1F7F"/>
    <w:rsid w:val="00CB2174"/>
    <w:rsid w:val="00CB2479"/>
    <w:rsid w:val="00CB26EA"/>
    <w:rsid w:val="00CB27A6"/>
    <w:rsid w:val="00CB2F00"/>
    <w:rsid w:val="00CB2F6A"/>
    <w:rsid w:val="00CB371F"/>
    <w:rsid w:val="00CB3AE1"/>
    <w:rsid w:val="00CB3D8F"/>
    <w:rsid w:val="00CB41D6"/>
    <w:rsid w:val="00CB4329"/>
    <w:rsid w:val="00CB4672"/>
    <w:rsid w:val="00CB4BB8"/>
    <w:rsid w:val="00CB4CD5"/>
    <w:rsid w:val="00CB5192"/>
    <w:rsid w:val="00CB5209"/>
    <w:rsid w:val="00CB558B"/>
    <w:rsid w:val="00CB56B8"/>
    <w:rsid w:val="00CB5863"/>
    <w:rsid w:val="00CB5ACF"/>
    <w:rsid w:val="00CB5CB2"/>
    <w:rsid w:val="00CB5F02"/>
    <w:rsid w:val="00CB6751"/>
    <w:rsid w:val="00CB691B"/>
    <w:rsid w:val="00CB6935"/>
    <w:rsid w:val="00CB6C30"/>
    <w:rsid w:val="00CB6D23"/>
    <w:rsid w:val="00CB7545"/>
    <w:rsid w:val="00CB7B74"/>
    <w:rsid w:val="00CC0633"/>
    <w:rsid w:val="00CC0677"/>
    <w:rsid w:val="00CC0EE1"/>
    <w:rsid w:val="00CC133D"/>
    <w:rsid w:val="00CC1506"/>
    <w:rsid w:val="00CC161C"/>
    <w:rsid w:val="00CC1DF7"/>
    <w:rsid w:val="00CC1E7D"/>
    <w:rsid w:val="00CC1FA8"/>
    <w:rsid w:val="00CC28BF"/>
    <w:rsid w:val="00CC307C"/>
    <w:rsid w:val="00CC3582"/>
    <w:rsid w:val="00CC3EF4"/>
    <w:rsid w:val="00CC429B"/>
    <w:rsid w:val="00CC4A2A"/>
    <w:rsid w:val="00CC4D39"/>
    <w:rsid w:val="00CC4E37"/>
    <w:rsid w:val="00CC50BF"/>
    <w:rsid w:val="00CC5328"/>
    <w:rsid w:val="00CC5F0B"/>
    <w:rsid w:val="00CC63DB"/>
    <w:rsid w:val="00CC641D"/>
    <w:rsid w:val="00CC7329"/>
    <w:rsid w:val="00CC779A"/>
    <w:rsid w:val="00CC7C3D"/>
    <w:rsid w:val="00CD0475"/>
    <w:rsid w:val="00CD0A32"/>
    <w:rsid w:val="00CD15D6"/>
    <w:rsid w:val="00CD1B53"/>
    <w:rsid w:val="00CD1BD3"/>
    <w:rsid w:val="00CD2A7F"/>
    <w:rsid w:val="00CD2DA6"/>
    <w:rsid w:val="00CD2F05"/>
    <w:rsid w:val="00CD3004"/>
    <w:rsid w:val="00CD32A6"/>
    <w:rsid w:val="00CD3479"/>
    <w:rsid w:val="00CD4159"/>
    <w:rsid w:val="00CD4633"/>
    <w:rsid w:val="00CD4774"/>
    <w:rsid w:val="00CD4D25"/>
    <w:rsid w:val="00CD5159"/>
    <w:rsid w:val="00CD5435"/>
    <w:rsid w:val="00CD5AA8"/>
    <w:rsid w:val="00CD5F3F"/>
    <w:rsid w:val="00CD62A7"/>
    <w:rsid w:val="00CD62E0"/>
    <w:rsid w:val="00CD67C4"/>
    <w:rsid w:val="00CD77D2"/>
    <w:rsid w:val="00CD7B36"/>
    <w:rsid w:val="00CE0BFA"/>
    <w:rsid w:val="00CE0C25"/>
    <w:rsid w:val="00CE0DE1"/>
    <w:rsid w:val="00CE0F3D"/>
    <w:rsid w:val="00CE117B"/>
    <w:rsid w:val="00CE13A6"/>
    <w:rsid w:val="00CE17A7"/>
    <w:rsid w:val="00CE2524"/>
    <w:rsid w:val="00CE3E8C"/>
    <w:rsid w:val="00CE3F47"/>
    <w:rsid w:val="00CE5585"/>
    <w:rsid w:val="00CE592F"/>
    <w:rsid w:val="00CE5E22"/>
    <w:rsid w:val="00CE5E60"/>
    <w:rsid w:val="00CE63E4"/>
    <w:rsid w:val="00CE6DAC"/>
    <w:rsid w:val="00CE72FD"/>
    <w:rsid w:val="00CE792A"/>
    <w:rsid w:val="00CE7C23"/>
    <w:rsid w:val="00CE7E99"/>
    <w:rsid w:val="00CF06E5"/>
    <w:rsid w:val="00CF07F5"/>
    <w:rsid w:val="00CF0D08"/>
    <w:rsid w:val="00CF0DA8"/>
    <w:rsid w:val="00CF0DC6"/>
    <w:rsid w:val="00CF0FBC"/>
    <w:rsid w:val="00CF100D"/>
    <w:rsid w:val="00CF1027"/>
    <w:rsid w:val="00CF11C5"/>
    <w:rsid w:val="00CF1713"/>
    <w:rsid w:val="00CF1D86"/>
    <w:rsid w:val="00CF1DE9"/>
    <w:rsid w:val="00CF1F13"/>
    <w:rsid w:val="00CF22CC"/>
    <w:rsid w:val="00CF2739"/>
    <w:rsid w:val="00CF2C43"/>
    <w:rsid w:val="00CF30FC"/>
    <w:rsid w:val="00CF3779"/>
    <w:rsid w:val="00CF3C51"/>
    <w:rsid w:val="00CF3C9E"/>
    <w:rsid w:val="00CF448A"/>
    <w:rsid w:val="00CF44C6"/>
    <w:rsid w:val="00CF4A28"/>
    <w:rsid w:val="00CF54C7"/>
    <w:rsid w:val="00CF5ACA"/>
    <w:rsid w:val="00CF6675"/>
    <w:rsid w:val="00CF6758"/>
    <w:rsid w:val="00CF6AE0"/>
    <w:rsid w:val="00CF6B6F"/>
    <w:rsid w:val="00CF7733"/>
    <w:rsid w:val="00CF7800"/>
    <w:rsid w:val="00CF784E"/>
    <w:rsid w:val="00CF7884"/>
    <w:rsid w:val="00D002B0"/>
    <w:rsid w:val="00D00744"/>
    <w:rsid w:val="00D00776"/>
    <w:rsid w:val="00D00FCA"/>
    <w:rsid w:val="00D01F26"/>
    <w:rsid w:val="00D01FA5"/>
    <w:rsid w:val="00D02389"/>
    <w:rsid w:val="00D0247C"/>
    <w:rsid w:val="00D02F10"/>
    <w:rsid w:val="00D034EF"/>
    <w:rsid w:val="00D03918"/>
    <w:rsid w:val="00D040F6"/>
    <w:rsid w:val="00D0437C"/>
    <w:rsid w:val="00D047C9"/>
    <w:rsid w:val="00D0484F"/>
    <w:rsid w:val="00D04AC9"/>
    <w:rsid w:val="00D0523F"/>
    <w:rsid w:val="00D05A66"/>
    <w:rsid w:val="00D05BF8"/>
    <w:rsid w:val="00D05DFC"/>
    <w:rsid w:val="00D06017"/>
    <w:rsid w:val="00D06217"/>
    <w:rsid w:val="00D06EE9"/>
    <w:rsid w:val="00D06FA1"/>
    <w:rsid w:val="00D070FE"/>
    <w:rsid w:val="00D07319"/>
    <w:rsid w:val="00D07660"/>
    <w:rsid w:val="00D07A8B"/>
    <w:rsid w:val="00D07D9A"/>
    <w:rsid w:val="00D07DFA"/>
    <w:rsid w:val="00D10311"/>
    <w:rsid w:val="00D10773"/>
    <w:rsid w:val="00D10991"/>
    <w:rsid w:val="00D12C34"/>
    <w:rsid w:val="00D13343"/>
    <w:rsid w:val="00D138CA"/>
    <w:rsid w:val="00D138EC"/>
    <w:rsid w:val="00D1390B"/>
    <w:rsid w:val="00D139DB"/>
    <w:rsid w:val="00D13F11"/>
    <w:rsid w:val="00D143B8"/>
    <w:rsid w:val="00D1499B"/>
    <w:rsid w:val="00D1551E"/>
    <w:rsid w:val="00D15557"/>
    <w:rsid w:val="00D155A0"/>
    <w:rsid w:val="00D1572C"/>
    <w:rsid w:val="00D159A3"/>
    <w:rsid w:val="00D15DAB"/>
    <w:rsid w:val="00D16581"/>
    <w:rsid w:val="00D1738F"/>
    <w:rsid w:val="00D17683"/>
    <w:rsid w:val="00D205EB"/>
    <w:rsid w:val="00D206FE"/>
    <w:rsid w:val="00D21527"/>
    <w:rsid w:val="00D21FAF"/>
    <w:rsid w:val="00D22123"/>
    <w:rsid w:val="00D234FF"/>
    <w:rsid w:val="00D23858"/>
    <w:rsid w:val="00D23E5C"/>
    <w:rsid w:val="00D24FF4"/>
    <w:rsid w:val="00D25077"/>
    <w:rsid w:val="00D25896"/>
    <w:rsid w:val="00D25929"/>
    <w:rsid w:val="00D264D7"/>
    <w:rsid w:val="00D26741"/>
    <w:rsid w:val="00D268A6"/>
    <w:rsid w:val="00D26901"/>
    <w:rsid w:val="00D26DEA"/>
    <w:rsid w:val="00D26E9E"/>
    <w:rsid w:val="00D27604"/>
    <w:rsid w:val="00D27990"/>
    <w:rsid w:val="00D27EFD"/>
    <w:rsid w:val="00D30097"/>
    <w:rsid w:val="00D306FA"/>
    <w:rsid w:val="00D31141"/>
    <w:rsid w:val="00D31664"/>
    <w:rsid w:val="00D31AC7"/>
    <w:rsid w:val="00D31AD1"/>
    <w:rsid w:val="00D31F94"/>
    <w:rsid w:val="00D3206E"/>
    <w:rsid w:val="00D320C6"/>
    <w:rsid w:val="00D324AF"/>
    <w:rsid w:val="00D324CF"/>
    <w:rsid w:val="00D3290E"/>
    <w:rsid w:val="00D32C8B"/>
    <w:rsid w:val="00D32E89"/>
    <w:rsid w:val="00D3306F"/>
    <w:rsid w:val="00D33074"/>
    <w:rsid w:val="00D330B4"/>
    <w:rsid w:val="00D334E7"/>
    <w:rsid w:val="00D339C5"/>
    <w:rsid w:val="00D33FD1"/>
    <w:rsid w:val="00D3412B"/>
    <w:rsid w:val="00D34308"/>
    <w:rsid w:val="00D343BA"/>
    <w:rsid w:val="00D34BBA"/>
    <w:rsid w:val="00D34D8E"/>
    <w:rsid w:val="00D35497"/>
    <w:rsid w:val="00D3583F"/>
    <w:rsid w:val="00D35ACA"/>
    <w:rsid w:val="00D36DF2"/>
    <w:rsid w:val="00D36F13"/>
    <w:rsid w:val="00D37703"/>
    <w:rsid w:val="00D37DED"/>
    <w:rsid w:val="00D400C6"/>
    <w:rsid w:val="00D40A2A"/>
    <w:rsid w:val="00D40B28"/>
    <w:rsid w:val="00D40D42"/>
    <w:rsid w:val="00D40ECF"/>
    <w:rsid w:val="00D41465"/>
    <w:rsid w:val="00D422C7"/>
    <w:rsid w:val="00D42DA3"/>
    <w:rsid w:val="00D4309B"/>
    <w:rsid w:val="00D4339A"/>
    <w:rsid w:val="00D43B94"/>
    <w:rsid w:val="00D43C04"/>
    <w:rsid w:val="00D44308"/>
    <w:rsid w:val="00D44B89"/>
    <w:rsid w:val="00D455EE"/>
    <w:rsid w:val="00D45A85"/>
    <w:rsid w:val="00D45B21"/>
    <w:rsid w:val="00D45D31"/>
    <w:rsid w:val="00D45F22"/>
    <w:rsid w:val="00D46837"/>
    <w:rsid w:val="00D46F90"/>
    <w:rsid w:val="00D4708C"/>
    <w:rsid w:val="00D473DF"/>
    <w:rsid w:val="00D5009B"/>
    <w:rsid w:val="00D50451"/>
    <w:rsid w:val="00D504A5"/>
    <w:rsid w:val="00D50EA5"/>
    <w:rsid w:val="00D50F41"/>
    <w:rsid w:val="00D50FA7"/>
    <w:rsid w:val="00D5156D"/>
    <w:rsid w:val="00D5184C"/>
    <w:rsid w:val="00D51E50"/>
    <w:rsid w:val="00D52358"/>
    <w:rsid w:val="00D52916"/>
    <w:rsid w:val="00D52A67"/>
    <w:rsid w:val="00D52AEA"/>
    <w:rsid w:val="00D52CF3"/>
    <w:rsid w:val="00D52E01"/>
    <w:rsid w:val="00D52E72"/>
    <w:rsid w:val="00D534ED"/>
    <w:rsid w:val="00D53518"/>
    <w:rsid w:val="00D5362F"/>
    <w:rsid w:val="00D53FFD"/>
    <w:rsid w:val="00D5423C"/>
    <w:rsid w:val="00D544F8"/>
    <w:rsid w:val="00D547CA"/>
    <w:rsid w:val="00D5490F"/>
    <w:rsid w:val="00D54E89"/>
    <w:rsid w:val="00D5503C"/>
    <w:rsid w:val="00D552A0"/>
    <w:rsid w:val="00D556D2"/>
    <w:rsid w:val="00D56473"/>
    <w:rsid w:val="00D5741A"/>
    <w:rsid w:val="00D575F2"/>
    <w:rsid w:val="00D57AD2"/>
    <w:rsid w:val="00D57D17"/>
    <w:rsid w:val="00D603D0"/>
    <w:rsid w:val="00D604D5"/>
    <w:rsid w:val="00D60B14"/>
    <w:rsid w:val="00D60EC3"/>
    <w:rsid w:val="00D61039"/>
    <w:rsid w:val="00D61105"/>
    <w:rsid w:val="00D61679"/>
    <w:rsid w:val="00D61E6D"/>
    <w:rsid w:val="00D62CD2"/>
    <w:rsid w:val="00D6308A"/>
    <w:rsid w:val="00D630DD"/>
    <w:rsid w:val="00D6313F"/>
    <w:rsid w:val="00D63344"/>
    <w:rsid w:val="00D64005"/>
    <w:rsid w:val="00D64202"/>
    <w:rsid w:val="00D647A9"/>
    <w:rsid w:val="00D64931"/>
    <w:rsid w:val="00D64CBA"/>
    <w:rsid w:val="00D64F1E"/>
    <w:rsid w:val="00D654D0"/>
    <w:rsid w:val="00D6606F"/>
    <w:rsid w:val="00D66422"/>
    <w:rsid w:val="00D665CB"/>
    <w:rsid w:val="00D66B84"/>
    <w:rsid w:val="00D66FB0"/>
    <w:rsid w:val="00D67080"/>
    <w:rsid w:val="00D67C44"/>
    <w:rsid w:val="00D67E3E"/>
    <w:rsid w:val="00D67EF2"/>
    <w:rsid w:val="00D7066C"/>
    <w:rsid w:val="00D7197D"/>
    <w:rsid w:val="00D719E6"/>
    <w:rsid w:val="00D721F5"/>
    <w:rsid w:val="00D72381"/>
    <w:rsid w:val="00D72FC2"/>
    <w:rsid w:val="00D7357C"/>
    <w:rsid w:val="00D736D0"/>
    <w:rsid w:val="00D73EAD"/>
    <w:rsid w:val="00D7470F"/>
    <w:rsid w:val="00D74714"/>
    <w:rsid w:val="00D74B7F"/>
    <w:rsid w:val="00D7508B"/>
    <w:rsid w:val="00D75544"/>
    <w:rsid w:val="00D76322"/>
    <w:rsid w:val="00D763E5"/>
    <w:rsid w:val="00D765B2"/>
    <w:rsid w:val="00D7667D"/>
    <w:rsid w:val="00D76C89"/>
    <w:rsid w:val="00D76D26"/>
    <w:rsid w:val="00D76EC5"/>
    <w:rsid w:val="00D77197"/>
    <w:rsid w:val="00D7782E"/>
    <w:rsid w:val="00D801C8"/>
    <w:rsid w:val="00D808D9"/>
    <w:rsid w:val="00D80FFD"/>
    <w:rsid w:val="00D813C3"/>
    <w:rsid w:val="00D81911"/>
    <w:rsid w:val="00D81937"/>
    <w:rsid w:val="00D81939"/>
    <w:rsid w:val="00D81A8C"/>
    <w:rsid w:val="00D81B32"/>
    <w:rsid w:val="00D820DC"/>
    <w:rsid w:val="00D8214A"/>
    <w:rsid w:val="00D823B5"/>
    <w:rsid w:val="00D82A71"/>
    <w:rsid w:val="00D83532"/>
    <w:rsid w:val="00D8488A"/>
    <w:rsid w:val="00D84E9F"/>
    <w:rsid w:val="00D84F7E"/>
    <w:rsid w:val="00D851EE"/>
    <w:rsid w:val="00D85360"/>
    <w:rsid w:val="00D85A35"/>
    <w:rsid w:val="00D85DAF"/>
    <w:rsid w:val="00D85DEE"/>
    <w:rsid w:val="00D8630F"/>
    <w:rsid w:val="00D87024"/>
    <w:rsid w:val="00D87902"/>
    <w:rsid w:val="00D90D8E"/>
    <w:rsid w:val="00D90E03"/>
    <w:rsid w:val="00D90F81"/>
    <w:rsid w:val="00D9161E"/>
    <w:rsid w:val="00D918A2"/>
    <w:rsid w:val="00D91A04"/>
    <w:rsid w:val="00D91A4D"/>
    <w:rsid w:val="00D91D71"/>
    <w:rsid w:val="00D922FE"/>
    <w:rsid w:val="00D92401"/>
    <w:rsid w:val="00D927BC"/>
    <w:rsid w:val="00D92824"/>
    <w:rsid w:val="00D93F32"/>
    <w:rsid w:val="00D93FDD"/>
    <w:rsid w:val="00D93FE1"/>
    <w:rsid w:val="00D94A62"/>
    <w:rsid w:val="00D94ED4"/>
    <w:rsid w:val="00D9535B"/>
    <w:rsid w:val="00D95B34"/>
    <w:rsid w:val="00D95C91"/>
    <w:rsid w:val="00D95CD9"/>
    <w:rsid w:val="00D965EE"/>
    <w:rsid w:val="00D96954"/>
    <w:rsid w:val="00D96968"/>
    <w:rsid w:val="00D96B5A"/>
    <w:rsid w:val="00D96D10"/>
    <w:rsid w:val="00D96D42"/>
    <w:rsid w:val="00D977BC"/>
    <w:rsid w:val="00D97999"/>
    <w:rsid w:val="00D979E2"/>
    <w:rsid w:val="00DA013C"/>
    <w:rsid w:val="00DA0343"/>
    <w:rsid w:val="00DA0A28"/>
    <w:rsid w:val="00DA0D3A"/>
    <w:rsid w:val="00DA0D61"/>
    <w:rsid w:val="00DA124D"/>
    <w:rsid w:val="00DA149C"/>
    <w:rsid w:val="00DA1930"/>
    <w:rsid w:val="00DA2858"/>
    <w:rsid w:val="00DA2939"/>
    <w:rsid w:val="00DA29FD"/>
    <w:rsid w:val="00DA2B32"/>
    <w:rsid w:val="00DA2CCF"/>
    <w:rsid w:val="00DA2D07"/>
    <w:rsid w:val="00DA2E20"/>
    <w:rsid w:val="00DA2F0E"/>
    <w:rsid w:val="00DA3053"/>
    <w:rsid w:val="00DA3D4F"/>
    <w:rsid w:val="00DA3E7E"/>
    <w:rsid w:val="00DA3F45"/>
    <w:rsid w:val="00DA50C5"/>
    <w:rsid w:val="00DA592A"/>
    <w:rsid w:val="00DA5AA6"/>
    <w:rsid w:val="00DA5C4C"/>
    <w:rsid w:val="00DA5E6D"/>
    <w:rsid w:val="00DA6141"/>
    <w:rsid w:val="00DA68E4"/>
    <w:rsid w:val="00DA6B33"/>
    <w:rsid w:val="00DA6B8E"/>
    <w:rsid w:val="00DA76F0"/>
    <w:rsid w:val="00DA77E0"/>
    <w:rsid w:val="00DB0067"/>
    <w:rsid w:val="00DB0321"/>
    <w:rsid w:val="00DB0E06"/>
    <w:rsid w:val="00DB10CA"/>
    <w:rsid w:val="00DB1E24"/>
    <w:rsid w:val="00DB1E76"/>
    <w:rsid w:val="00DB1F53"/>
    <w:rsid w:val="00DB30DD"/>
    <w:rsid w:val="00DB31C3"/>
    <w:rsid w:val="00DB368A"/>
    <w:rsid w:val="00DB3A1E"/>
    <w:rsid w:val="00DB3BA1"/>
    <w:rsid w:val="00DB44B3"/>
    <w:rsid w:val="00DB460E"/>
    <w:rsid w:val="00DB4A50"/>
    <w:rsid w:val="00DB4BF4"/>
    <w:rsid w:val="00DB4CB3"/>
    <w:rsid w:val="00DB514A"/>
    <w:rsid w:val="00DB5158"/>
    <w:rsid w:val="00DB5610"/>
    <w:rsid w:val="00DB5644"/>
    <w:rsid w:val="00DB5D7B"/>
    <w:rsid w:val="00DB5E5C"/>
    <w:rsid w:val="00DB6692"/>
    <w:rsid w:val="00DB6B43"/>
    <w:rsid w:val="00DB7305"/>
    <w:rsid w:val="00DB7A0C"/>
    <w:rsid w:val="00DC0464"/>
    <w:rsid w:val="00DC0AE0"/>
    <w:rsid w:val="00DC0FF9"/>
    <w:rsid w:val="00DC1107"/>
    <w:rsid w:val="00DC1B67"/>
    <w:rsid w:val="00DC2B8A"/>
    <w:rsid w:val="00DC2CB5"/>
    <w:rsid w:val="00DC34E9"/>
    <w:rsid w:val="00DC35A7"/>
    <w:rsid w:val="00DC37C2"/>
    <w:rsid w:val="00DC3BE4"/>
    <w:rsid w:val="00DC3D2E"/>
    <w:rsid w:val="00DC3E43"/>
    <w:rsid w:val="00DC4761"/>
    <w:rsid w:val="00DC4C0B"/>
    <w:rsid w:val="00DC5D08"/>
    <w:rsid w:val="00DC63B5"/>
    <w:rsid w:val="00DC68CB"/>
    <w:rsid w:val="00DC6C55"/>
    <w:rsid w:val="00DC7B1C"/>
    <w:rsid w:val="00DD01A5"/>
    <w:rsid w:val="00DD02AC"/>
    <w:rsid w:val="00DD0D09"/>
    <w:rsid w:val="00DD1157"/>
    <w:rsid w:val="00DD1305"/>
    <w:rsid w:val="00DD1346"/>
    <w:rsid w:val="00DD1B8B"/>
    <w:rsid w:val="00DD2095"/>
    <w:rsid w:val="00DD262D"/>
    <w:rsid w:val="00DD2856"/>
    <w:rsid w:val="00DD2B04"/>
    <w:rsid w:val="00DD2BDE"/>
    <w:rsid w:val="00DD32E3"/>
    <w:rsid w:val="00DD35C9"/>
    <w:rsid w:val="00DD36FA"/>
    <w:rsid w:val="00DD4136"/>
    <w:rsid w:val="00DD418A"/>
    <w:rsid w:val="00DD4594"/>
    <w:rsid w:val="00DD45F8"/>
    <w:rsid w:val="00DD460A"/>
    <w:rsid w:val="00DD495E"/>
    <w:rsid w:val="00DD4AE0"/>
    <w:rsid w:val="00DD52F9"/>
    <w:rsid w:val="00DD56F6"/>
    <w:rsid w:val="00DD60B7"/>
    <w:rsid w:val="00DD68FA"/>
    <w:rsid w:val="00DD6CB5"/>
    <w:rsid w:val="00DD73AA"/>
    <w:rsid w:val="00DD7624"/>
    <w:rsid w:val="00DD76F2"/>
    <w:rsid w:val="00DE0919"/>
    <w:rsid w:val="00DE0DE3"/>
    <w:rsid w:val="00DE1121"/>
    <w:rsid w:val="00DE11DC"/>
    <w:rsid w:val="00DE177F"/>
    <w:rsid w:val="00DE1A6A"/>
    <w:rsid w:val="00DE1CE0"/>
    <w:rsid w:val="00DE1E43"/>
    <w:rsid w:val="00DE2C1E"/>
    <w:rsid w:val="00DE2D94"/>
    <w:rsid w:val="00DE2EB0"/>
    <w:rsid w:val="00DE2EFB"/>
    <w:rsid w:val="00DE2F0F"/>
    <w:rsid w:val="00DE31D1"/>
    <w:rsid w:val="00DE40A7"/>
    <w:rsid w:val="00DE417C"/>
    <w:rsid w:val="00DE542C"/>
    <w:rsid w:val="00DE5B1F"/>
    <w:rsid w:val="00DE663B"/>
    <w:rsid w:val="00DE7043"/>
    <w:rsid w:val="00DF00D6"/>
    <w:rsid w:val="00DF02D7"/>
    <w:rsid w:val="00DF04EF"/>
    <w:rsid w:val="00DF0577"/>
    <w:rsid w:val="00DF0709"/>
    <w:rsid w:val="00DF0A67"/>
    <w:rsid w:val="00DF0C06"/>
    <w:rsid w:val="00DF14B0"/>
    <w:rsid w:val="00DF1D64"/>
    <w:rsid w:val="00DF1D68"/>
    <w:rsid w:val="00DF2BC7"/>
    <w:rsid w:val="00DF2E49"/>
    <w:rsid w:val="00DF4277"/>
    <w:rsid w:val="00DF46AB"/>
    <w:rsid w:val="00DF471F"/>
    <w:rsid w:val="00DF57AF"/>
    <w:rsid w:val="00DF585B"/>
    <w:rsid w:val="00DF5C6B"/>
    <w:rsid w:val="00DF5F4F"/>
    <w:rsid w:val="00DF63D6"/>
    <w:rsid w:val="00DF65B6"/>
    <w:rsid w:val="00DF6E51"/>
    <w:rsid w:val="00DF72AC"/>
    <w:rsid w:val="00DF7350"/>
    <w:rsid w:val="00DF743A"/>
    <w:rsid w:val="00DF74D3"/>
    <w:rsid w:val="00DF7DDB"/>
    <w:rsid w:val="00E00815"/>
    <w:rsid w:val="00E00ACE"/>
    <w:rsid w:val="00E0102C"/>
    <w:rsid w:val="00E01524"/>
    <w:rsid w:val="00E015ED"/>
    <w:rsid w:val="00E0182D"/>
    <w:rsid w:val="00E019CD"/>
    <w:rsid w:val="00E01BCC"/>
    <w:rsid w:val="00E01CCF"/>
    <w:rsid w:val="00E01D0C"/>
    <w:rsid w:val="00E01F03"/>
    <w:rsid w:val="00E025A7"/>
    <w:rsid w:val="00E02A85"/>
    <w:rsid w:val="00E02D9D"/>
    <w:rsid w:val="00E036D4"/>
    <w:rsid w:val="00E03E74"/>
    <w:rsid w:val="00E042B1"/>
    <w:rsid w:val="00E046A9"/>
    <w:rsid w:val="00E04813"/>
    <w:rsid w:val="00E04AD1"/>
    <w:rsid w:val="00E053F3"/>
    <w:rsid w:val="00E0597B"/>
    <w:rsid w:val="00E06391"/>
    <w:rsid w:val="00E06551"/>
    <w:rsid w:val="00E06D4E"/>
    <w:rsid w:val="00E06F6A"/>
    <w:rsid w:val="00E06F8C"/>
    <w:rsid w:val="00E06FA8"/>
    <w:rsid w:val="00E07E49"/>
    <w:rsid w:val="00E104DD"/>
    <w:rsid w:val="00E10896"/>
    <w:rsid w:val="00E108E5"/>
    <w:rsid w:val="00E11E8F"/>
    <w:rsid w:val="00E11E9C"/>
    <w:rsid w:val="00E12A72"/>
    <w:rsid w:val="00E12B3C"/>
    <w:rsid w:val="00E12C70"/>
    <w:rsid w:val="00E1312F"/>
    <w:rsid w:val="00E13738"/>
    <w:rsid w:val="00E13A3B"/>
    <w:rsid w:val="00E13FB2"/>
    <w:rsid w:val="00E14195"/>
    <w:rsid w:val="00E149D9"/>
    <w:rsid w:val="00E14C73"/>
    <w:rsid w:val="00E15088"/>
    <w:rsid w:val="00E150D2"/>
    <w:rsid w:val="00E15675"/>
    <w:rsid w:val="00E156FD"/>
    <w:rsid w:val="00E15B6A"/>
    <w:rsid w:val="00E15E54"/>
    <w:rsid w:val="00E16032"/>
    <w:rsid w:val="00E1655D"/>
    <w:rsid w:val="00E167C8"/>
    <w:rsid w:val="00E169A3"/>
    <w:rsid w:val="00E16A78"/>
    <w:rsid w:val="00E16CC5"/>
    <w:rsid w:val="00E16F91"/>
    <w:rsid w:val="00E17817"/>
    <w:rsid w:val="00E179FC"/>
    <w:rsid w:val="00E20157"/>
    <w:rsid w:val="00E20317"/>
    <w:rsid w:val="00E205B1"/>
    <w:rsid w:val="00E208B5"/>
    <w:rsid w:val="00E215BD"/>
    <w:rsid w:val="00E217F1"/>
    <w:rsid w:val="00E21939"/>
    <w:rsid w:val="00E21ACE"/>
    <w:rsid w:val="00E21BF1"/>
    <w:rsid w:val="00E22496"/>
    <w:rsid w:val="00E22686"/>
    <w:rsid w:val="00E2294B"/>
    <w:rsid w:val="00E242F8"/>
    <w:rsid w:val="00E248EE"/>
    <w:rsid w:val="00E24F96"/>
    <w:rsid w:val="00E251E2"/>
    <w:rsid w:val="00E25527"/>
    <w:rsid w:val="00E258A2"/>
    <w:rsid w:val="00E25A19"/>
    <w:rsid w:val="00E25C59"/>
    <w:rsid w:val="00E26E6B"/>
    <w:rsid w:val="00E27206"/>
    <w:rsid w:val="00E2788A"/>
    <w:rsid w:val="00E27A4B"/>
    <w:rsid w:val="00E27AA5"/>
    <w:rsid w:val="00E27AAA"/>
    <w:rsid w:val="00E3084B"/>
    <w:rsid w:val="00E30B86"/>
    <w:rsid w:val="00E30D22"/>
    <w:rsid w:val="00E313AE"/>
    <w:rsid w:val="00E3149B"/>
    <w:rsid w:val="00E315A9"/>
    <w:rsid w:val="00E31969"/>
    <w:rsid w:val="00E325EC"/>
    <w:rsid w:val="00E340BE"/>
    <w:rsid w:val="00E340C8"/>
    <w:rsid w:val="00E342BC"/>
    <w:rsid w:val="00E342CB"/>
    <w:rsid w:val="00E34B7D"/>
    <w:rsid w:val="00E34E1F"/>
    <w:rsid w:val="00E34EF8"/>
    <w:rsid w:val="00E350EB"/>
    <w:rsid w:val="00E35799"/>
    <w:rsid w:val="00E357DA"/>
    <w:rsid w:val="00E35A02"/>
    <w:rsid w:val="00E35D2F"/>
    <w:rsid w:val="00E36D70"/>
    <w:rsid w:val="00E37096"/>
    <w:rsid w:val="00E374FE"/>
    <w:rsid w:val="00E375D4"/>
    <w:rsid w:val="00E3782D"/>
    <w:rsid w:val="00E37C6E"/>
    <w:rsid w:val="00E403DC"/>
    <w:rsid w:val="00E409F0"/>
    <w:rsid w:val="00E40CBA"/>
    <w:rsid w:val="00E40DF4"/>
    <w:rsid w:val="00E40E58"/>
    <w:rsid w:val="00E40E7B"/>
    <w:rsid w:val="00E40F43"/>
    <w:rsid w:val="00E41637"/>
    <w:rsid w:val="00E42008"/>
    <w:rsid w:val="00E424A7"/>
    <w:rsid w:val="00E42FE7"/>
    <w:rsid w:val="00E43C60"/>
    <w:rsid w:val="00E442F5"/>
    <w:rsid w:val="00E446C4"/>
    <w:rsid w:val="00E44F52"/>
    <w:rsid w:val="00E45006"/>
    <w:rsid w:val="00E4502F"/>
    <w:rsid w:val="00E45277"/>
    <w:rsid w:val="00E45648"/>
    <w:rsid w:val="00E4566B"/>
    <w:rsid w:val="00E4597C"/>
    <w:rsid w:val="00E45AD6"/>
    <w:rsid w:val="00E4621D"/>
    <w:rsid w:val="00E4697C"/>
    <w:rsid w:val="00E46B7E"/>
    <w:rsid w:val="00E46E69"/>
    <w:rsid w:val="00E46FE7"/>
    <w:rsid w:val="00E471C4"/>
    <w:rsid w:val="00E47E71"/>
    <w:rsid w:val="00E50008"/>
    <w:rsid w:val="00E50A25"/>
    <w:rsid w:val="00E50E0B"/>
    <w:rsid w:val="00E51775"/>
    <w:rsid w:val="00E51ACD"/>
    <w:rsid w:val="00E51D69"/>
    <w:rsid w:val="00E53AC7"/>
    <w:rsid w:val="00E53F28"/>
    <w:rsid w:val="00E54634"/>
    <w:rsid w:val="00E546D5"/>
    <w:rsid w:val="00E5470B"/>
    <w:rsid w:val="00E54936"/>
    <w:rsid w:val="00E55102"/>
    <w:rsid w:val="00E55A28"/>
    <w:rsid w:val="00E560A5"/>
    <w:rsid w:val="00E56A42"/>
    <w:rsid w:val="00E60B95"/>
    <w:rsid w:val="00E60C48"/>
    <w:rsid w:val="00E61250"/>
    <w:rsid w:val="00E615E1"/>
    <w:rsid w:val="00E61689"/>
    <w:rsid w:val="00E617AE"/>
    <w:rsid w:val="00E61F16"/>
    <w:rsid w:val="00E62890"/>
    <w:rsid w:val="00E62DF9"/>
    <w:rsid w:val="00E62E43"/>
    <w:rsid w:val="00E632FE"/>
    <w:rsid w:val="00E63B5A"/>
    <w:rsid w:val="00E641BC"/>
    <w:rsid w:val="00E64349"/>
    <w:rsid w:val="00E644D3"/>
    <w:rsid w:val="00E64ED5"/>
    <w:rsid w:val="00E65BEC"/>
    <w:rsid w:val="00E65C93"/>
    <w:rsid w:val="00E6603B"/>
    <w:rsid w:val="00E66314"/>
    <w:rsid w:val="00E66512"/>
    <w:rsid w:val="00E66714"/>
    <w:rsid w:val="00E66D55"/>
    <w:rsid w:val="00E67248"/>
    <w:rsid w:val="00E67EF0"/>
    <w:rsid w:val="00E67FA3"/>
    <w:rsid w:val="00E70125"/>
    <w:rsid w:val="00E7025F"/>
    <w:rsid w:val="00E702AC"/>
    <w:rsid w:val="00E703C8"/>
    <w:rsid w:val="00E704DC"/>
    <w:rsid w:val="00E70BAD"/>
    <w:rsid w:val="00E70CE9"/>
    <w:rsid w:val="00E712DF"/>
    <w:rsid w:val="00E720BB"/>
    <w:rsid w:val="00E720C5"/>
    <w:rsid w:val="00E7221F"/>
    <w:rsid w:val="00E724A5"/>
    <w:rsid w:val="00E72EE9"/>
    <w:rsid w:val="00E735A8"/>
    <w:rsid w:val="00E751CD"/>
    <w:rsid w:val="00E7531A"/>
    <w:rsid w:val="00E754B9"/>
    <w:rsid w:val="00E757BB"/>
    <w:rsid w:val="00E75A79"/>
    <w:rsid w:val="00E75DD4"/>
    <w:rsid w:val="00E75F9F"/>
    <w:rsid w:val="00E76031"/>
    <w:rsid w:val="00E761E0"/>
    <w:rsid w:val="00E7660D"/>
    <w:rsid w:val="00E76A2A"/>
    <w:rsid w:val="00E7795F"/>
    <w:rsid w:val="00E77A80"/>
    <w:rsid w:val="00E80314"/>
    <w:rsid w:val="00E80696"/>
    <w:rsid w:val="00E807DD"/>
    <w:rsid w:val="00E80BEB"/>
    <w:rsid w:val="00E810D0"/>
    <w:rsid w:val="00E81C0A"/>
    <w:rsid w:val="00E8201A"/>
    <w:rsid w:val="00E82242"/>
    <w:rsid w:val="00E822CA"/>
    <w:rsid w:val="00E8265D"/>
    <w:rsid w:val="00E82AC7"/>
    <w:rsid w:val="00E82B99"/>
    <w:rsid w:val="00E82C8A"/>
    <w:rsid w:val="00E83CF7"/>
    <w:rsid w:val="00E8451B"/>
    <w:rsid w:val="00E846DD"/>
    <w:rsid w:val="00E84917"/>
    <w:rsid w:val="00E84E0F"/>
    <w:rsid w:val="00E85169"/>
    <w:rsid w:val="00E85423"/>
    <w:rsid w:val="00E85C50"/>
    <w:rsid w:val="00E8665A"/>
    <w:rsid w:val="00E879C0"/>
    <w:rsid w:val="00E87AD3"/>
    <w:rsid w:val="00E87D8F"/>
    <w:rsid w:val="00E87EC6"/>
    <w:rsid w:val="00E908C1"/>
    <w:rsid w:val="00E90A0F"/>
    <w:rsid w:val="00E90A35"/>
    <w:rsid w:val="00E90AE6"/>
    <w:rsid w:val="00E90F50"/>
    <w:rsid w:val="00E91566"/>
    <w:rsid w:val="00E91688"/>
    <w:rsid w:val="00E917A9"/>
    <w:rsid w:val="00E92011"/>
    <w:rsid w:val="00E920FC"/>
    <w:rsid w:val="00E92490"/>
    <w:rsid w:val="00E92EED"/>
    <w:rsid w:val="00E940F8"/>
    <w:rsid w:val="00E9422F"/>
    <w:rsid w:val="00E94255"/>
    <w:rsid w:val="00E943E1"/>
    <w:rsid w:val="00E94761"/>
    <w:rsid w:val="00E94E0B"/>
    <w:rsid w:val="00E94EAE"/>
    <w:rsid w:val="00E95C3D"/>
    <w:rsid w:val="00E95D4D"/>
    <w:rsid w:val="00E95E3E"/>
    <w:rsid w:val="00E97202"/>
    <w:rsid w:val="00EA0352"/>
    <w:rsid w:val="00EA08B9"/>
    <w:rsid w:val="00EA0C88"/>
    <w:rsid w:val="00EA0E55"/>
    <w:rsid w:val="00EA0F74"/>
    <w:rsid w:val="00EA12C5"/>
    <w:rsid w:val="00EA14BA"/>
    <w:rsid w:val="00EA1E06"/>
    <w:rsid w:val="00EA1E1C"/>
    <w:rsid w:val="00EA28BE"/>
    <w:rsid w:val="00EA2A03"/>
    <w:rsid w:val="00EA2E51"/>
    <w:rsid w:val="00EA2E76"/>
    <w:rsid w:val="00EA3080"/>
    <w:rsid w:val="00EA340F"/>
    <w:rsid w:val="00EA3DB0"/>
    <w:rsid w:val="00EA404E"/>
    <w:rsid w:val="00EA4463"/>
    <w:rsid w:val="00EA4526"/>
    <w:rsid w:val="00EA46F2"/>
    <w:rsid w:val="00EA4EB6"/>
    <w:rsid w:val="00EA54F0"/>
    <w:rsid w:val="00EA5EB2"/>
    <w:rsid w:val="00EA621F"/>
    <w:rsid w:val="00EA6428"/>
    <w:rsid w:val="00EA69C5"/>
    <w:rsid w:val="00EA6CDF"/>
    <w:rsid w:val="00EA71EA"/>
    <w:rsid w:val="00EA73D6"/>
    <w:rsid w:val="00EA79D5"/>
    <w:rsid w:val="00EA7AA6"/>
    <w:rsid w:val="00EB0083"/>
    <w:rsid w:val="00EB00DC"/>
    <w:rsid w:val="00EB1F94"/>
    <w:rsid w:val="00EB20B5"/>
    <w:rsid w:val="00EB2280"/>
    <w:rsid w:val="00EB2321"/>
    <w:rsid w:val="00EB24B9"/>
    <w:rsid w:val="00EB25CD"/>
    <w:rsid w:val="00EB2BC2"/>
    <w:rsid w:val="00EB30A1"/>
    <w:rsid w:val="00EB34BC"/>
    <w:rsid w:val="00EB34F5"/>
    <w:rsid w:val="00EB398A"/>
    <w:rsid w:val="00EB3D4F"/>
    <w:rsid w:val="00EB5484"/>
    <w:rsid w:val="00EB551B"/>
    <w:rsid w:val="00EB59C6"/>
    <w:rsid w:val="00EB5F2E"/>
    <w:rsid w:val="00EB61F9"/>
    <w:rsid w:val="00EB63B2"/>
    <w:rsid w:val="00EB6D22"/>
    <w:rsid w:val="00EB6DBF"/>
    <w:rsid w:val="00EB794D"/>
    <w:rsid w:val="00EC02D3"/>
    <w:rsid w:val="00EC0B85"/>
    <w:rsid w:val="00EC0EEE"/>
    <w:rsid w:val="00EC13B2"/>
    <w:rsid w:val="00EC13BA"/>
    <w:rsid w:val="00EC18BA"/>
    <w:rsid w:val="00EC1DB1"/>
    <w:rsid w:val="00EC2878"/>
    <w:rsid w:val="00EC2AC2"/>
    <w:rsid w:val="00EC2E94"/>
    <w:rsid w:val="00EC30A6"/>
    <w:rsid w:val="00EC345C"/>
    <w:rsid w:val="00EC3894"/>
    <w:rsid w:val="00EC3C27"/>
    <w:rsid w:val="00EC3CD2"/>
    <w:rsid w:val="00EC3D60"/>
    <w:rsid w:val="00EC3DA1"/>
    <w:rsid w:val="00EC47C3"/>
    <w:rsid w:val="00EC483F"/>
    <w:rsid w:val="00EC498E"/>
    <w:rsid w:val="00EC4A3A"/>
    <w:rsid w:val="00EC4D6A"/>
    <w:rsid w:val="00EC51A7"/>
    <w:rsid w:val="00EC5CEE"/>
    <w:rsid w:val="00EC70BD"/>
    <w:rsid w:val="00EC72DD"/>
    <w:rsid w:val="00EC7751"/>
    <w:rsid w:val="00ED033D"/>
    <w:rsid w:val="00ED0952"/>
    <w:rsid w:val="00ED0F33"/>
    <w:rsid w:val="00ED139A"/>
    <w:rsid w:val="00ED1561"/>
    <w:rsid w:val="00ED20A9"/>
    <w:rsid w:val="00ED290A"/>
    <w:rsid w:val="00ED3302"/>
    <w:rsid w:val="00ED3776"/>
    <w:rsid w:val="00ED394F"/>
    <w:rsid w:val="00ED3B7A"/>
    <w:rsid w:val="00ED467D"/>
    <w:rsid w:val="00ED4A4B"/>
    <w:rsid w:val="00ED4CD8"/>
    <w:rsid w:val="00ED4F49"/>
    <w:rsid w:val="00ED501D"/>
    <w:rsid w:val="00ED58E8"/>
    <w:rsid w:val="00ED5C30"/>
    <w:rsid w:val="00ED5DB1"/>
    <w:rsid w:val="00ED60B3"/>
    <w:rsid w:val="00ED6485"/>
    <w:rsid w:val="00ED6BEC"/>
    <w:rsid w:val="00ED71B4"/>
    <w:rsid w:val="00ED7887"/>
    <w:rsid w:val="00ED797B"/>
    <w:rsid w:val="00ED7D81"/>
    <w:rsid w:val="00EE012F"/>
    <w:rsid w:val="00EE0494"/>
    <w:rsid w:val="00EE05AF"/>
    <w:rsid w:val="00EE0B6A"/>
    <w:rsid w:val="00EE0BF9"/>
    <w:rsid w:val="00EE0D3B"/>
    <w:rsid w:val="00EE0E55"/>
    <w:rsid w:val="00EE111E"/>
    <w:rsid w:val="00EE1703"/>
    <w:rsid w:val="00EE21B5"/>
    <w:rsid w:val="00EE274B"/>
    <w:rsid w:val="00EE29E8"/>
    <w:rsid w:val="00EE2B7A"/>
    <w:rsid w:val="00EE334A"/>
    <w:rsid w:val="00EE4196"/>
    <w:rsid w:val="00EE4222"/>
    <w:rsid w:val="00EE49F1"/>
    <w:rsid w:val="00EE4D2F"/>
    <w:rsid w:val="00EE4F8D"/>
    <w:rsid w:val="00EE5084"/>
    <w:rsid w:val="00EE50EA"/>
    <w:rsid w:val="00EE5852"/>
    <w:rsid w:val="00EE59B1"/>
    <w:rsid w:val="00EE5C12"/>
    <w:rsid w:val="00EE618F"/>
    <w:rsid w:val="00EE6A1B"/>
    <w:rsid w:val="00EE723D"/>
    <w:rsid w:val="00EE75F1"/>
    <w:rsid w:val="00EE7987"/>
    <w:rsid w:val="00EE7CA8"/>
    <w:rsid w:val="00EF0895"/>
    <w:rsid w:val="00EF0BF3"/>
    <w:rsid w:val="00EF0F1D"/>
    <w:rsid w:val="00EF11F6"/>
    <w:rsid w:val="00EF11F7"/>
    <w:rsid w:val="00EF1251"/>
    <w:rsid w:val="00EF1807"/>
    <w:rsid w:val="00EF1AC5"/>
    <w:rsid w:val="00EF1AEB"/>
    <w:rsid w:val="00EF27A2"/>
    <w:rsid w:val="00EF2C6C"/>
    <w:rsid w:val="00EF317F"/>
    <w:rsid w:val="00EF3775"/>
    <w:rsid w:val="00EF3CD1"/>
    <w:rsid w:val="00EF3DE2"/>
    <w:rsid w:val="00EF4015"/>
    <w:rsid w:val="00EF4458"/>
    <w:rsid w:val="00EF4481"/>
    <w:rsid w:val="00EF4906"/>
    <w:rsid w:val="00EF491F"/>
    <w:rsid w:val="00EF4D01"/>
    <w:rsid w:val="00EF581B"/>
    <w:rsid w:val="00EF5C40"/>
    <w:rsid w:val="00EF5F39"/>
    <w:rsid w:val="00EF675B"/>
    <w:rsid w:val="00EF6B47"/>
    <w:rsid w:val="00EF706D"/>
    <w:rsid w:val="00EF746F"/>
    <w:rsid w:val="00EF777B"/>
    <w:rsid w:val="00EF7B69"/>
    <w:rsid w:val="00F0038C"/>
    <w:rsid w:val="00F005C0"/>
    <w:rsid w:val="00F006FA"/>
    <w:rsid w:val="00F0084D"/>
    <w:rsid w:val="00F00AE8"/>
    <w:rsid w:val="00F0122C"/>
    <w:rsid w:val="00F01299"/>
    <w:rsid w:val="00F012E8"/>
    <w:rsid w:val="00F01A8B"/>
    <w:rsid w:val="00F01D89"/>
    <w:rsid w:val="00F021F3"/>
    <w:rsid w:val="00F02463"/>
    <w:rsid w:val="00F02B84"/>
    <w:rsid w:val="00F03AA9"/>
    <w:rsid w:val="00F03AD4"/>
    <w:rsid w:val="00F03C02"/>
    <w:rsid w:val="00F03F80"/>
    <w:rsid w:val="00F043BC"/>
    <w:rsid w:val="00F0443D"/>
    <w:rsid w:val="00F04476"/>
    <w:rsid w:val="00F045E2"/>
    <w:rsid w:val="00F056B5"/>
    <w:rsid w:val="00F057A4"/>
    <w:rsid w:val="00F05E1A"/>
    <w:rsid w:val="00F05F5E"/>
    <w:rsid w:val="00F05F79"/>
    <w:rsid w:val="00F061BD"/>
    <w:rsid w:val="00F06668"/>
    <w:rsid w:val="00F066FD"/>
    <w:rsid w:val="00F06908"/>
    <w:rsid w:val="00F06AA6"/>
    <w:rsid w:val="00F06BE8"/>
    <w:rsid w:val="00F06D3F"/>
    <w:rsid w:val="00F070BC"/>
    <w:rsid w:val="00F0716D"/>
    <w:rsid w:val="00F073A9"/>
    <w:rsid w:val="00F0759E"/>
    <w:rsid w:val="00F10691"/>
    <w:rsid w:val="00F10EFC"/>
    <w:rsid w:val="00F110A0"/>
    <w:rsid w:val="00F110DF"/>
    <w:rsid w:val="00F11B93"/>
    <w:rsid w:val="00F12010"/>
    <w:rsid w:val="00F12CF0"/>
    <w:rsid w:val="00F12D6C"/>
    <w:rsid w:val="00F132DC"/>
    <w:rsid w:val="00F14103"/>
    <w:rsid w:val="00F14553"/>
    <w:rsid w:val="00F1475C"/>
    <w:rsid w:val="00F147AF"/>
    <w:rsid w:val="00F14948"/>
    <w:rsid w:val="00F14F43"/>
    <w:rsid w:val="00F154A2"/>
    <w:rsid w:val="00F15636"/>
    <w:rsid w:val="00F15AD1"/>
    <w:rsid w:val="00F15D5E"/>
    <w:rsid w:val="00F1629D"/>
    <w:rsid w:val="00F163A2"/>
    <w:rsid w:val="00F16C0F"/>
    <w:rsid w:val="00F1732B"/>
    <w:rsid w:val="00F173CE"/>
    <w:rsid w:val="00F177AC"/>
    <w:rsid w:val="00F177E2"/>
    <w:rsid w:val="00F17935"/>
    <w:rsid w:val="00F17CEC"/>
    <w:rsid w:val="00F20B3C"/>
    <w:rsid w:val="00F21214"/>
    <w:rsid w:val="00F217B1"/>
    <w:rsid w:val="00F21DAF"/>
    <w:rsid w:val="00F21DC1"/>
    <w:rsid w:val="00F2208D"/>
    <w:rsid w:val="00F222AE"/>
    <w:rsid w:val="00F2244E"/>
    <w:rsid w:val="00F22599"/>
    <w:rsid w:val="00F22727"/>
    <w:rsid w:val="00F2370F"/>
    <w:rsid w:val="00F239B9"/>
    <w:rsid w:val="00F23C37"/>
    <w:rsid w:val="00F23F1C"/>
    <w:rsid w:val="00F23F47"/>
    <w:rsid w:val="00F24560"/>
    <w:rsid w:val="00F24757"/>
    <w:rsid w:val="00F24D16"/>
    <w:rsid w:val="00F24EB7"/>
    <w:rsid w:val="00F251F6"/>
    <w:rsid w:val="00F25324"/>
    <w:rsid w:val="00F255FF"/>
    <w:rsid w:val="00F25AE5"/>
    <w:rsid w:val="00F25FF1"/>
    <w:rsid w:val="00F263CD"/>
    <w:rsid w:val="00F26CAF"/>
    <w:rsid w:val="00F26D7B"/>
    <w:rsid w:val="00F2734A"/>
    <w:rsid w:val="00F27B81"/>
    <w:rsid w:val="00F27E55"/>
    <w:rsid w:val="00F30435"/>
    <w:rsid w:val="00F30DAA"/>
    <w:rsid w:val="00F30F3C"/>
    <w:rsid w:val="00F32088"/>
    <w:rsid w:val="00F32540"/>
    <w:rsid w:val="00F325D8"/>
    <w:rsid w:val="00F32AE6"/>
    <w:rsid w:val="00F32AFA"/>
    <w:rsid w:val="00F32CA9"/>
    <w:rsid w:val="00F331CD"/>
    <w:rsid w:val="00F33389"/>
    <w:rsid w:val="00F334B9"/>
    <w:rsid w:val="00F33594"/>
    <w:rsid w:val="00F33B4D"/>
    <w:rsid w:val="00F33D9F"/>
    <w:rsid w:val="00F344ED"/>
    <w:rsid w:val="00F346FE"/>
    <w:rsid w:val="00F34911"/>
    <w:rsid w:val="00F34AB5"/>
    <w:rsid w:val="00F34AB8"/>
    <w:rsid w:val="00F34AB9"/>
    <w:rsid w:val="00F34E0A"/>
    <w:rsid w:val="00F3536D"/>
    <w:rsid w:val="00F35432"/>
    <w:rsid w:val="00F3556A"/>
    <w:rsid w:val="00F35FAE"/>
    <w:rsid w:val="00F364F2"/>
    <w:rsid w:val="00F36BBD"/>
    <w:rsid w:val="00F36BFA"/>
    <w:rsid w:val="00F372BA"/>
    <w:rsid w:val="00F37633"/>
    <w:rsid w:val="00F379EB"/>
    <w:rsid w:val="00F37E9C"/>
    <w:rsid w:val="00F40AEB"/>
    <w:rsid w:val="00F41552"/>
    <w:rsid w:val="00F41693"/>
    <w:rsid w:val="00F41A9B"/>
    <w:rsid w:val="00F41F44"/>
    <w:rsid w:val="00F42792"/>
    <w:rsid w:val="00F42E10"/>
    <w:rsid w:val="00F43303"/>
    <w:rsid w:val="00F434E0"/>
    <w:rsid w:val="00F43DFF"/>
    <w:rsid w:val="00F43E97"/>
    <w:rsid w:val="00F44128"/>
    <w:rsid w:val="00F44631"/>
    <w:rsid w:val="00F44676"/>
    <w:rsid w:val="00F45394"/>
    <w:rsid w:val="00F453B8"/>
    <w:rsid w:val="00F4569B"/>
    <w:rsid w:val="00F45879"/>
    <w:rsid w:val="00F45913"/>
    <w:rsid w:val="00F45BFA"/>
    <w:rsid w:val="00F45D2E"/>
    <w:rsid w:val="00F4659B"/>
    <w:rsid w:val="00F46C08"/>
    <w:rsid w:val="00F46E31"/>
    <w:rsid w:val="00F4706D"/>
    <w:rsid w:val="00F4710B"/>
    <w:rsid w:val="00F4782E"/>
    <w:rsid w:val="00F50029"/>
    <w:rsid w:val="00F5012B"/>
    <w:rsid w:val="00F5023A"/>
    <w:rsid w:val="00F50417"/>
    <w:rsid w:val="00F504A0"/>
    <w:rsid w:val="00F50685"/>
    <w:rsid w:val="00F50882"/>
    <w:rsid w:val="00F50ABB"/>
    <w:rsid w:val="00F50C19"/>
    <w:rsid w:val="00F50D1E"/>
    <w:rsid w:val="00F50E5A"/>
    <w:rsid w:val="00F51333"/>
    <w:rsid w:val="00F522C9"/>
    <w:rsid w:val="00F5239B"/>
    <w:rsid w:val="00F5288A"/>
    <w:rsid w:val="00F529DA"/>
    <w:rsid w:val="00F53425"/>
    <w:rsid w:val="00F53560"/>
    <w:rsid w:val="00F53736"/>
    <w:rsid w:val="00F5374C"/>
    <w:rsid w:val="00F537AF"/>
    <w:rsid w:val="00F54159"/>
    <w:rsid w:val="00F547A2"/>
    <w:rsid w:val="00F54931"/>
    <w:rsid w:val="00F5515F"/>
    <w:rsid w:val="00F55AB2"/>
    <w:rsid w:val="00F55EAE"/>
    <w:rsid w:val="00F56552"/>
    <w:rsid w:val="00F5665A"/>
    <w:rsid w:val="00F56AA0"/>
    <w:rsid w:val="00F56D8B"/>
    <w:rsid w:val="00F56FAC"/>
    <w:rsid w:val="00F578DE"/>
    <w:rsid w:val="00F601C6"/>
    <w:rsid w:val="00F6076D"/>
    <w:rsid w:val="00F608DB"/>
    <w:rsid w:val="00F6098B"/>
    <w:rsid w:val="00F60C13"/>
    <w:rsid w:val="00F60C3E"/>
    <w:rsid w:val="00F6111E"/>
    <w:rsid w:val="00F6114A"/>
    <w:rsid w:val="00F61301"/>
    <w:rsid w:val="00F613FD"/>
    <w:rsid w:val="00F61424"/>
    <w:rsid w:val="00F61949"/>
    <w:rsid w:val="00F61BE3"/>
    <w:rsid w:val="00F61C12"/>
    <w:rsid w:val="00F62036"/>
    <w:rsid w:val="00F6204D"/>
    <w:rsid w:val="00F62287"/>
    <w:rsid w:val="00F6238B"/>
    <w:rsid w:val="00F62C2F"/>
    <w:rsid w:val="00F63086"/>
    <w:rsid w:val="00F6321B"/>
    <w:rsid w:val="00F637E2"/>
    <w:rsid w:val="00F651BE"/>
    <w:rsid w:val="00F6529B"/>
    <w:rsid w:val="00F653B5"/>
    <w:rsid w:val="00F65644"/>
    <w:rsid w:val="00F65BF0"/>
    <w:rsid w:val="00F6604C"/>
    <w:rsid w:val="00F667FF"/>
    <w:rsid w:val="00F66E32"/>
    <w:rsid w:val="00F7022F"/>
    <w:rsid w:val="00F7087E"/>
    <w:rsid w:val="00F71BD1"/>
    <w:rsid w:val="00F72076"/>
    <w:rsid w:val="00F72499"/>
    <w:rsid w:val="00F725BC"/>
    <w:rsid w:val="00F7264A"/>
    <w:rsid w:val="00F7279F"/>
    <w:rsid w:val="00F728A6"/>
    <w:rsid w:val="00F72B3D"/>
    <w:rsid w:val="00F72DAE"/>
    <w:rsid w:val="00F73A88"/>
    <w:rsid w:val="00F73D21"/>
    <w:rsid w:val="00F746A8"/>
    <w:rsid w:val="00F74E5C"/>
    <w:rsid w:val="00F74EE3"/>
    <w:rsid w:val="00F7523B"/>
    <w:rsid w:val="00F752B1"/>
    <w:rsid w:val="00F75447"/>
    <w:rsid w:val="00F757B6"/>
    <w:rsid w:val="00F75DFF"/>
    <w:rsid w:val="00F75E3C"/>
    <w:rsid w:val="00F75F93"/>
    <w:rsid w:val="00F76496"/>
    <w:rsid w:val="00F7656E"/>
    <w:rsid w:val="00F76874"/>
    <w:rsid w:val="00F77638"/>
    <w:rsid w:val="00F80468"/>
    <w:rsid w:val="00F8073F"/>
    <w:rsid w:val="00F80BF5"/>
    <w:rsid w:val="00F81246"/>
    <w:rsid w:val="00F81414"/>
    <w:rsid w:val="00F8173C"/>
    <w:rsid w:val="00F81820"/>
    <w:rsid w:val="00F81B08"/>
    <w:rsid w:val="00F81B6A"/>
    <w:rsid w:val="00F8292E"/>
    <w:rsid w:val="00F82A84"/>
    <w:rsid w:val="00F82AEB"/>
    <w:rsid w:val="00F82D07"/>
    <w:rsid w:val="00F8335C"/>
    <w:rsid w:val="00F8343C"/>
    <w:rsid w:val="00F835E7"/>
    <w:rsid w:val="00F84029"/>
    <w:rsid w:val="00F8480F"/>
    <w:rsid w:val="00F84D12"/>
    <w:rsid w:val="00F85328"/>
    <w:rsid w:val="00F86058"/>
    <w:rsid w:val="00F86117"/>
    <w:rsid w:val="00F8686C"/>
    <w:rsid w:val="00F87963"/>
    <w:rsid w:val="00F87A37"/>
    <w:rsid w:val="00F87BBC"/>
    <w:rsid w:val="00F87FA0"/>
    <w:rsid w:val="00F900FD"/>
    <w:rsid w:val="00F90219"/>
    <w:rsid w:val="00F903B0"/>
    <w:rsid w:val="00F914C2"/>
    <w:rsid w:val="00F91592"/>
    <w:rsid w:val="00F91E8D"/>
    <w:rsid w:val="00F91FB1"/>
    <w:rsid w:val="00F92272"/>
    <w:rsid w:val="00F926F2"/>
    <w:rsid w:val="00F92FE6"/>
    <w:rsid w:val="00F933DF"/>
    <w:rsid w:val="00F93464"/>
    <w:rsid w:val="00F95997"/>
    <w:rsid w:val="00F95B95"/>
    <w:rsid w:val="00F96186"/>
    <w:rsid w:val="00F96A7B"/>
    <w:rsid w:val="00F96AF6"/>
    <w:rsid w:val="00F97446"/>
    <w:rsid w:val="00F979F3"/>
    <w:rsid w:val="00F97B79"/>
    <w:rsid w:val="00FA0FA1"/>
    <w:rsid w:val="00FA0FDB"/>
    <w:rsid w:val="00FA1188"/>
    <w:rsid w:val="00FA151F"/>
    <w:rsid w:val="00FA15BE"/>
    <w:rsid w:val="00FA1B82"/>
    <w:rsid w:val="00FA2455"/>
    <w:rsid w:val="00FA259C"/>
    <w:rsid w:val="00FA2D45"/>
    <w:rsid w:val="00FA3757"/>
    <w:rsid w:val="00FA375F"/>
    <w:rsid w:val="00FA38C7"/>
    <w:rsid w:val="00FA3A5A"/>
    <w:rsid w:val="00FA3E6D"/>
    <w:rsid w:val="00FA44A5"/>
    <w:rsid w:val="00FA4880"/>
    <w:rsid w:val="00FA4B5A"/>
    <w:rsid w:val="00FA4BA3"/>
    <w:rsid w:val="00FA4BF0"/>
    <w:rsid w:val="00FA55B2"/>
    <w:rsid w:val="00FA5BA0"/>
    <w:rsid w:val="00FA5FD4"/>
    <w:rsid w:val="00FA62A3"/>
    <w:rsid w:val="00FA64DB"/>
    <w:rsid w:val="00FA6AEA"/>
    <w:rsid w:val="00FA6C91"/>
    <w:rsid w:val="00FA6DEB"/>
    <w:rsid w:val="00FA7FE4"/>
    <w:rsid w:val="00FB0360"/>
    <w:rsid w:val="00FB03DA"/>
    <w:rsid w:val="00FB0A1E"/>
    <w:rsid w:val="00FB0B3B"/>
    <w:rsid w:val="00FB1051"/>
    <w:rsid w:val="00FB1627"/>
    <w:rsid w:val="00FB1755"/>
    <w:rsid w:val="00FB230B"/>
    <w:rsid w:val="00FB2607"/>
    <w:rsid w:val="00FB3481"/>
    <w:rsid w:val="00FB42CC"/>
    <w:rsid w:val="00FB4BF7"/>
    <w:rsid w:val="00FB4CD4"/>
    <w:rsid w:val="00FB51CA"/>
    <w:rsid w:val="00FB5466"/>
    <w:rsid w:val="00FB63F8"/>
    <w:rsid w:val="00FB6900"/>
    <w:rsid w:val="00FB69B6"/>
    <w:rsid w:val="00FB7630"/>
    <w:rsid w:val="00FC0007"/>
    <w:rsid w:val="00FC017C"/>
    <w:rsid w:val="00FC05F6"/>
    <w:rsid w:val="00FC0814"/>
    <w:rsid w:val="00FC1320"/>
    <w:rsid w:val="00FC151F"/>
    <w:rsid w:val="00FC1AE7"/>
    <w:rsid w:val="00FC2F4B"/>
    <w:rsid w:val="00FC3B03"/>
    <w:rsid w:val="00FC40F4"/>
    <w:rsid w:val="00FC4112"/>
    <w:rsid w:val="00FC4194"/>
    <w:rsid w:val="00FC4314"/>
    <w:rsid w:val="00FC45D3"/>
    <w:rsid w:val="00FC4DA4"/>
    <w:rsid w:val="00FC507F"/>
    <w:rsid w:val="00FC5644"/>
    <w:rsid w:val="00FC5998"/>
    <w:rsid w:val="00FC5F19"/>
    <w:rsid w:val="00FC652A"/>
    <w:rsid w:val="00FC6C0A"/>
    <w:rsid w:val="00FC7525"/>
    <w:rsid w:val="00FD18CE"/>
    <w:rsid w:val="00FD3941"/>
    <w:rsid w:val="00FD3AF2"/>
    <w:rsid w:val="00FD42A3"/>
    <w:rsid w:val="00FD42C7"/>
    <w:rsid w:val="00FD44C6"/>
    <w:rsid w:val="00FD455B"/>
    <w:rsid w:val="00FD4650"/>
    <w:rsid w:val="00FD4A46"/>
    <w:rsid w:val="00FD5839"/>
    <w:rsid w:val="00FD5E65"/>
    <w:rsid w:val="00FD626D"/>
    <w:rsid w:val="00FD708B"/>
    <w:rsid w:val="00FD70E3"/>
    <w:rsid w:val="00FD7271"/>
    <w:rsid w:val="00FD7B05"/>
    <w:rsid w:val="00FE0B2E"/>
    <w:rsid w:val="00FE16DC"/>
    <w:rsid w:val="00FE1740"/>
    <w:rsid w:val="00FE1D7A"/>
    <w:rsid w:val="00FE1E2C"/>
    <w:rsid w:val="00FE2419"/>
    <w:rsid w:val="00FE2DF4"/>
    <w:rsid w:val="00FE30A0"/>
    <w:rsid w:val="00FE3365"/>
    <w:rsid w:val="00FE356E"/>
    <w:rsid w:val="00FE39F5"/>
    <w:rsid w:val="00FE4039"/>
    <w:rsid w:val="00FE4677"/>
    <w:rsid w:val="00FE4AFD"/>
    <w:rsid w:val="00FE4CDC"/>
    <w:rsid w:val="00FE4EF7"/>
    <w:rsid w:val="00FE51AE"/>
    <w:rsid w:val="00FE56DD"/>
    <w:rsid w:val="00FE5D57"/>
    <w:rsid w:val="00FE615E"/>
    <w:rsid w:val="00FE66AC"/>
    <w:rsid w:val="00FE6D7B"/>
    <w:rsid w:val="00FE6DFE"/>
    <w:rsid w:val="00FE7442"/>
    <w:rsid w:val="00FE761A"/>
    <w:rsid w:val="00FE7647"/>
    <w:rsid w:val="00FF009F"/>
    <w:rsid w:val="00FF03F3"/>
    <w:rsid w:val="00FF09A1"/>
    <w:rsid w:val="00FF0D82"/>
    <w:rsid w:val="00FF111B"/>
    <w:rsid w:val="00FF1421"/>
    <w:rsid w:val="00FF212E"/>
    <w:rsid w:val="00FF2E79"/>
    <w:rsid w:val="00FF364C"/>
    <w:rsid w:val="00FF3E1F"/>
    <w:rsid w:val="00FF3E76"/>
    <w:rsid w:val="00FF4072"/>
    <w:rsid w:val="00FF4202"/>
    <w:rsid w:val="00FF42DF"/>
    <w:rsid w:val="00FF4A3E"/>
    <w:rsid w:val="00FF4B29"/>
    <w:rsid w:val="00FF4C99"/>
    <w:rsid w:val="00FF5222"/>
    <w:rsid w:val="00FF555C"/>
    <w:rsid w:val="00FF5747"/>
    <w:rsid w:val="00FF6135"/>
    <w:rsid w:val="00FF6473"/>
    <w:rsid w:val="00FF67DE"/>
    <w:rsid w:val="00FF6977"/>
    <w:rsid w:val="00FF7DD3"/>
    <w:rsid w:val="00FF7E52"/>
    <w:rsid w:val="02D0381A"/>
    <w:rsid w:val="02FF7A7B"/>
    <w:rsid w:val="03970EF3"/>
    <w:rsid w:val="03FE61E6"/>
    <w:rsid w:val="041651F4"/>
    <w:rsid w:val="04664A43"/>
    <w:rsid w:val="04893C18"/>
    <w:rsid w:val="065906F6"/>
    <w:rsid w:val="069629CC"/>
    <w:rsid w:val="070D3824"/>
    <w:rsid w:val="075C4711"/>
    <w:rsid w:val="08EF7436"/>
    <w:rsid w:val="08FB2C0B"/>
    <w:rsid w:val="0A275C9B"/>
    <w:rsid w:val="0B0E7430"/>
    <w:rsid w:val="0BE56EA6"/>
    <w:rsid w:val="0D5364A5"/>
    <w:rsid w:val="0E0B4410"/>
    <w:rsid w:val="0F1D38DB"/>
    <w:rsid w:val="0F8F00B0"/>
    <w:rsid w:val="0F980C7B"/>
    <w:rsid w:val="12160F3D"/>
    <w:rsid w:val="12383670"/>
    <w:rsid w:val="12E54A8E"/>
    <w:rsid w:val="12EF29D9"/>
    <w:rsid w:val="15633BC1"/>
    <w:rsid w:val="17DC4231"/>
    <w:rsid w:val="18482FF3"/>
    <w:rsid w:val="189512DD"/>
    <w:rsid w:val="199B65FC"/>
    <w:rsid w:val="1B207C78"/>
    <w:rsid w:val="1C9C6D7D"/>
    <w:rsid w:val="1CFD009B"/>
    <w:rsid w:val="1D994751"/>
    <w:rsid w:val="1F1C0096"/>
    <w:rsid w:val="2109131B"/>
    <w:rsid w:val="214F03B6"/>
    <w:rsid w:val="233A4603"/>
    <w:rsid w:val="24270242"/>
    <w:rsid w:val="24327310"/>
    <w:rsid w:val="25AA584B"/>
    <w:rsid w:val="262827A7"/>
    <w:rsid w:val="288822B5"/>
    <w:rsid w:val="29123F25"/>
    <w:rsid w:val="2A4370E4"/>
    <w:rsid w:val="2ACF254B"/>
    <w:rsid w:val="2AE1060A"/>
    <w:rsid w:val="2B524FB1"/>
    <w:rsid w:val="2B6F2B6C"/>
    <w:rsid w:val="2BCB5153"/>
    <w:rsid w:val="2C1106C8"/>
    <w:rsid w:val="2C3D6F12"/>
    <w:rsid w:val="2F0D2540"/>
    <w:rsid w:val="2FC271C4"/>
    <w:rsid w:val="313708CB"/>
    <w:rsid w:val="32744B8F"/>
    <w:rsid w:val="32CF5391"/>
    <w:rsid w:val="3424001A"/>
    <w:rsid w:val="34D669F4"/>
    <w:rsid w:val="356928AF"/>
    <w:rsid w:val="35782485"/>
    <w:rsid w:val="35E67601"/>
    <w:rsid w:val="36034D29"/>
    <w:rsid w:val="36FA3E77"/>
    <w:rsid w:val="36FB77C2"/>
    <w:rsid w:val="375972E4"/>
    <w:rsid w:val="377B4E57"/>
    <w:rsid w:val="39255B4E"/>
    <w:rsid w:val="3BE86680"/>
    <w:rsid w:val="3EAF254C"/>
    <w:rsid w:val="3EB954B1"/>
    <w:rsid w:val="3FED2FEE"/>
    <w:rsid w:val="4084365C"/>
    <w:rsid w:val="40D01062"/>
    <w:rsid w:val="41EB0F11"/>
    <w:rsid w:val="41FB4C9F"/>
    <w:rsid w:val="436957B4"/>
    <w:rsid w:val="442707E9"/>
    <w:rsid w:val="44AD0C81"/>
    <w:rsid w:val="45365B70"/>
    <w:rsid w:val="45CB0EDF"/>
    <w:rsid w:val="45FC0CDF"/>
    <w:rsid w:val="47B906EA"/>
    <w:rsid w:val="494E0432"/>
    <w:rsid w:val="49A3785C"/>
    <w:rsid w:val="49F8439E"/>
    <w:rsid w:val="4A245310"/>
    <w:rsid w:val="4F45079D"/>
    <w:rsid w:val="4F4E3DEF"/>
    <w:rsid w:val="512200B2"/>
    <w:rsid w:val="52715451"/>
    <w:rsid w:val="53FF492A"/>
    <w:rsid w:val="54283E8B"/>
    <w:rsid w:val="544B7567"/>
    <w:rsid w:val="5604752C"/>
    <w:rsid w:val="57661C02"/>
    <w:rsid w:val="57DC12FD"/>
    <w:rsid w:val="59C26464"/>
    <w:rsid w:val="59C819C6"/>
    <w:rsid w:val="5B025999"/>
    <w:rsid w:val="5C60789B"/>
    <w:rsid w:val="5D215280"/>
    <w:rsid w:val="5DA17F0E"/>
    <w:rsid w:val="5F1C4882"/>
    <w:rsid w:val="5F70492E"/>
    <w:rsid w:val="5FB94285"/>
    <w:rsid w:val="5FC324AB"/>
    <w:rsid w:val="5FF067F2"/>
    <w:rsid w:val="60FE69AF"/>
    <w:rsid w:val="63F84A67"/>
    <w:rsid w:val="6513475D"/>
    <w:rsid w:val="65B8668C"/>
    <w:rsid w:val="66336075"/>
    <w:rsid w:val="6649368C"/>
    <w:rsid w:val="67AE7BAA"/>
    <w:rsid w:val="69382A2C"/>
    <w:rsid w:val="69434640"/>
    <w:rsid w:val="6B970DF3"/>
    <w:rsid w:val="6C7021F9"/>
    <w:rsid w:val="6D590FBF"/>
    <w:rsid w:val="6DEF7AF4"/>
    <w:rsid w:val="6DF87AF7"/>
    <w:rsid w:val="70A853A1"/>
    <w:rsid w:val="71191D5B"/>
    <w:rsid w:val="73224AF9"/>
    <w:rsid w:val="73CF2113"/>
    <w:rsid w:val="74A6184D"/>
    <w:rsid w:val="766E211A"/>
    <w:rsid w:val="77E36DBE"/>
    <w:rsid w:val="79393B8B"/>
    <w:rsid w:val="793B7C6B"/>
    <w:rsid w:val="79B73810"/>
    <w:rsid w:val="7AD0650C"/>
    <w:rsid w:val="7B28499C"/>
    <w:rsid w:val="7C4C347A"/>
    <w:rsid w:val="7D433C63"/>
    <w:rsid w:val="7D7D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qFormat="1" w:unhideWhenUsed="0" w:uiPriority="99"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3"/>
    <w:qFormat/>
    <w:uiPriority w:val="9"/>
    <w:pPr>
      <w:keepNext/>
      <w:spacing w:line="380" w:lineRule="exact"/>
      <w:jc w:val="center"/>
      <w:outlineLvl w:val="0"/>
    </w:pPr>
    <w:rPr>
      <w:rFonts w:ascii="宋体"/>
      <w:b/>
      <w:bCs/>
      <w:sz w:val="28"/>
    </w:rPr>
  </w:style>
  <w:style w:type="paragraph" w:styleId="3">
    <w:name w:val="heading 2"/>
    <w:basedOn w:val="1"/>
    <w:next w:val="1"/>
    <w:link w:val="54"/>
    <w:qFormat/>
    <w:uiPriority w:val="0"/>
    <w:pPr>
      <w:keepNext/>
      <w:keepLines/>
      <w:tabs>
        <w:tab w:val="left" w:pos="578"/>
      </w:tabs>
      <w:spacing w:beforeLines="50" w:afterLines="50" w:line="360" w:lineRule="auto"/>
      <w:ind w:left="578" w:hanging="578"/>
      <w:outlineLvl w:val="1"/>
    </w:pPr>
    <w:rPr>
      <w:rFonts w:ascii="Arial" w:hAnsi="Arial" w:eastAsia="黑体"/>
      <w:b/>
      <w:bCs/>
      <w:sz w:val="32"/>
      <w:szCs w:val="32"/>
    </w:rPr>
  </w:style>
  <w:style w:type="paragraph" w:styleId="4">
    <w:name w:val="heading 3"/>
    <w:basedOn w:val="1"/>
    <w:next w:val="1"/>
    <w:link w:val="55"/>
    <w:qFormat/>
    <w:uiPriority w:val="9"/>
    <w:pPr>
      <w:keepNext/>
      <w:keepLines/>
      <w:tabs>
        <w:tab w:val="left" w:pos="1620"/>
      </w:tabs>
      <w:spacing w:beforeLines="50"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56"/>
    <w:qFormat/>
    <w:uiPriority w:val="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57"/>
    <w:qFormat/>
    <w:uiPriority w:val="9"/>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58"/>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9"/>
    <w:qFormat/>
    <w:uiPriority w:val="9"/>
    <w:pPr>
      <w:keepNext/>
      <w:keepLines/>
      <w:tabs>
        <w:tab w:val="left" w:pos="1296"/>
      </w:tabs>
      <w:spacing w:before="240" w:after="64" w:line="317" w:lineRule="auto"/>
      <w:ind w:left="2940" w:hanging="420"/>
      <w:outlineLvl w:val="6"/>
    </w:pPr>
    <w:rPr>
      <w:b/>
      <w:bCs/>
      <w:sz w:val="24"/>
      <w:szCs w:val="24"/>
    </w:rPr>
  </w:style>
  <w:style w:type="paragraph" w:styleId="9">
    <w:name w:val="heading 8"/>
    <w:basedOn w:val="1"/>
    <w:next w:val="1"/>
    <w:link w:val="60"/>
    <w:qFormat/>
    <w:uiPriority w:val="9"/>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0">
    <w:name w:val="heading 9"/>
    <w:basedOn w:val="1"/>
    <w:next w:val="1"/>
    <w:link w:val="61"/>
    <w:qFormat/>
    <w:uiPriority w:val="9"/>
    <w:pPr>
      <w:keepNext/>
      <w:keepLines/>
      <w:tabs>
        <w:tab w:val="left" w:pos="1584"/>
      </w:tabs>
      <w:spacing w:before="240" w:after="64" w:line="317" w:lineRule="auto"/>
      <w:ind w:left="3780" w:hanging="420"/>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2"/>
    <w:qFormat/>
    <w:uiPriority w:val="0"/>
    <w:pPr>
      <w:ind w:firstLine="420" w:firstLineChars="200"/>
    </w:pPr>
    <w:rPr>
      <w:szCs w:val="24"/>
    </w:rPr>
  </w:style>
  <w:style w:type="paragraph" w:styleId="13">
    <w:name w:val="Document Map"/>
    <w:basedOn w:val="1"/>
    <w:link w:val="63"/>
    <w:semiHidden/>
    <w:qFormat/>
    <w:uiPriority w:val="0"/>
    <w:pPr>
      <w:shd w:val="clear" w:color="auto" w:fill="000080"/>
    </w:pPr>
  </w:style>
  <w:style w:type="paragraph" w:styleId="14">
    <w:name w:val="annotation text"/>
    <w:basedOn w:val="1"/>
    <w:link w:val="64"/>
    <w:semiHidden/>
    <w:qFormat/>
    <w:uiPriority w:val="99"/>
    <w:pPr>
      <w:jc w:val="left"/>
    </w:pPr>
  </w:style>
  <w:style w:type="paragraph" w:styleId="15">
    <w:name w:val="Body Text 3"/>
    <w:basedOn w:val="1"/>
    <w:link w:val="65"/>
    <w:qFormat/>
    <w:uiPriority w:val="0"/>
    <w:pPr>
      <w:spacing w:after="120" w:line="360" w:lineRule="auto"/>
    </w:pPr>
    <w:rPr>
      <w:kern w:val="0"/>
      <w:sz w:val="16"/>
      <w:szCs w:val="16"/>
    </w:rPr>
  </w:style>
  <w:style w:type="paragraph" w:styleId="16">
    <w:name w:val="Body Text"/>
    <w:basedOn w:val="1"/>
    <w:link w:val="66"/>
    <w:qFormat/>
    <w:uiPriority w:val="0"/>
    <w:rPr>
      <w:i/>
      <w:sz w:val="18"/>
    </w:rPr>
  </w:style>
  <w:style w:type="paragraph" w:styleId="17">
    <w:name w:val="Body Text Indent"/>
    <w:basedOn w:val="1"/>
    <w:link w:val="67"/>
    <w:qFormat/>
    <w:uiPriority w:val="0"/>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qFormat/>
    <w:uiPriority w:val="39"/>
    <w:pPr>
      <w:ind w:left="420"/>
      <w:jc w:val="left"/>
    </w:pPr>
    <w:rPr>
      <w:i/>
      <w:iCs/>
      <w:sz w:val="20"/>
    </w:rPr>
  </w:style>
  <w:style w:type="paragraph" w:styleId="21">
    <w:name w:val="Plain Text"/>
    <w:basedOn w:val="1"/>
    <w:link w:val="68"/>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9"/>
    <w:qFormat/>
    <w:uiPriority w:val="0"/>
    <w:pPr>
      <w:adjustRightInd w:val="0"/>
      <w:spacing w:line="312" w:lineRule="atLeast"/>
      <w:jc w:val="right"/>
      <w:textAlignment w:val="baseline"/>
    </w:pPr>
    <w:rPr>
      <w:rFonts w:ascii="宋体"/>
      <w:kern w:val="0"/>
      <w:sz w:val="24"/>
    </w:rPr>
  </w:style>
  <w:style w:type="paragraph" w:styleId="24">
    <w:name w:val="Body Text Indent 2"/>
    <w:basedOn w:val="1"/>
    <w:link w:val="70"/>
    <w:qFormat/>
    <w:uiPriority w:val="0"/>
    <w:pPr>
      <w:spacing w:line="380" w:lineRule="exact"/>
      <w:ind w:left="840" w:hanging="45"/>
    </w:pPr>
    <w:rPr>
      <w:rFonts w:ascii="宋体"/>
      <w:sz w:val="24"/>
    </w:rPr>
  </w:style>
  <w:style w:type="paragraph" w:styleId="25">
    <w:name w:val="Balloon Text"/>
    <w:basedOn w:val="1"/>
    <w:link w:val="71"/>
    <w:qFormat/>
    <w:uiPriority w:val="0"/>
    <w:rPr>
      <w:sz w:val="18"/>
      <w:szCs w:val="18"/>
    </w:rPr>
  </w:style>
  <w:style w:type="paragraph" w:styleId="26">
    <w:name w:val="footer"/>
    <w:basedOn w:val="1"/>
    <w:link w:val="72"/>
    <w:qFormat/>
    <w:uiPriority w:val="0"/>
    <w:pPr>
      <w:tabs>
        <w:tab w:val="center" w:pos="4153"/>
        <w:tab w:val="right" w:pos="8306"/>
      </w:tabs>
      <w:snapToGrid w:val="0"/>
      <w:jc w:val="left"/>
    </w:pPr>
    <w:rPr>
      <w:sz w:val="18"/>
    </w:rPr>
  </w:style>
  <w:style w:type="paragraph" w:styleId="27">
    <w:name w:val="header"/>
    <w:basedOn w:val="1"/>
    <w:link w:val="73"/>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4"/>
    <w:qFormat/>
    <w:uiPriority w:val="0"/>
    <w:pPr>
      <w:spacing w:line="380" w:lineRule="exact"/>
      <w:ind w:left="525"/>
    </w:pPr>
    <w:rPr>
      <w:rFonts w:ascii="宋体"/>
      <w:sz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5"/>
    <w:qFormat/>
    <w:uiPriority w:val="0"/>
    <w:pPr>
      <w:spacing w:after="120" w:line="480" w:lineRule="auto"/>
    </w:pPr>
    <w:rPr>
      <w:kern w:val="0"/>
      <w:sz w:val="24"/>
      <w:szCs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Title"/>
    <w:basedOn w:val="1"/>
    <w:link w:val="77"/>
    <w:qFormat/>
    <w:uiPriority w:val="0"/>
    <w:pPr>
      <w:spacing w:before="240" w:after="60"/>
      <w:jc w:val="center"/>
      <w:outlineLvl w:val="0"/>
    </w:pPr>
    <w:rPr>
      <w:rFonts w:ascii="Arial" w:hAnsi="Arial" w:cs="Arial"/>
      <w:b/>
      <w:bCs/>
      <w:sz w:val="32"/>
      <w:szCs w:val="32"/>
    </w:rPr>
  </w:style>
  <w:style w:type="paragraph" w:styleId="41">
    <w:name w:val="annotation subject"/>
    <w:basedOn w:val="14"/>
    <w:next w:val="14"/>
    <w:link w:val="78"/>
    <w:semiHidden/>
    <w:qFormat/>
    <w:uiPriority w:val="99"/>
    <w:rPr>
      <w:b/>
      <w:bCs/>
      <w:kern w:val="0"/>
      <w:sz w:val="20"/>
    </w:rPr>
  </w:style>
  <w:style w:type="paragraph" w:styleId="42">
    <w:name w:val="Body Text First Indent"/>
    <w:basedOn w:val="16"/>
    <w:link w:val="79"/>
    <w:qFormat/>
    <w:uiPriority w:val="0"/>
    <w:pPr>
      <w:spacing w:after="120"/>
      <w:ind w:firstLine="420" w:firstLineChars="100"/>
    </w:pPr>
    <w:rPr>
      <w:i w:val="0"/>
      <w:kern w:val="0"/>
      <w:sz w:val="21"/>
      <w:szCs w:val="24"/>
    </w:rPr>
  </w:style>
  <w:style w:type="paragraph" w:styleId="43">
    <w:name w:val="Body Text First Indent 2"/>
    <w:basedOn w:val="17"/>
    <w:link w:val="80"/>
    <w:qFormat/>
    <w:uiPriority w:val="0"/>
    <w:pPr>
      <w:spacing w:after="120" w:line="240" w:lineRule="auto"/>
      <w:ind w:left="420" w:leftChars="200" w:firstLine="420" w:firstLineChars="200"/>
    </w:pPr>
    <w:rPr>
      <w:rFonts w:ascii="Times New Roman" w:hAnsi="Times New Roman"/>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qFormat/>
    <w:uiPriority w:val="99"/>
  </w:style>
  <w:style w:type="character" w:styleId="49">
    <w:name w:val="FollowedHyperlink"/>
    <w:qFormat/>
    <w:uiPriority w:val="99"/>
    <w:rPr>
      <w:color w:val="800080"/>
      <w:u w:val="single"/>
    </w:rPr>
  </w:style>
  <w:style w:type="character" w:styleId="50">
    <w:name w:val="HTML Typewriter"/>
    <w:qFormat/>
    <w:uiPriority w:val="99"/>
    <w:rPr>
      <w:rFonts w:ascii="Courier New" w:hAnsi="Courier New" w:cs="Courier New"/>
      <w:sz w:val="20"/>
      <w:szCs w:val="20"/>
    </w:rPr>
  </w:style>
  <w:style w:type="character" w:styleId="51">
    <w:name w:val="Hyperlink"/>
    <w:qFormat/>
    <w:uiPriority w:val="99"/>
    <w:rPr>
      <w:color w:val="0000FF"/>
      <w:u w:val="single"/>
    </w:rPr>
  </w:style>
  <w:style w:type="character" w:styleId="52">
    <w:name w:val="annotation reference"/>
    <w:semiHidden/>
    <w:qFormat/>
    <w:uiPriority w:val="99"/>
    <w:rPr>
      <w:sz w:val="21"/>
      <w:szCs w:val="21"/>
    </w:rPr>
  </w:style>
  <w:style w:type="character" w:customStyle="1" w:styleId="53">
    <w:name w:val="标题 1 Char"/>
    <w:link w:val="2"/>
    <w:qFormat/>
    <w:uiPriority w:val="9"/>
    <w:rPr>
      <w:rFonts w:ascii="宋体" w:eastAsia="宋体"/>
      <w:b/>
      <w:bCs/>
      <w:kern w:val="2"/>
      <w:sz w:val="28"/>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标题 3 Char"/>
    <w:link w:val="4"/>
    <w:qFormat/>
    <w:uiPriority w:val="9"/>
    <w:rPr>
      <w:rFonts w:ascii="Arial" w:hAnsi="Arial" w:eastAsia="黑体" w:cs="Arial"/>
      <w:b/>
      <w:bCs/>
      <w:kern w:val="2"/>
      <w:sz w:val="30"/>
      <w:szCs w:val="32"/>
      <w:lang w:val="en-US" w:eastAsia="zh-CN" w:bidi="ar-SA"/>
    </w:rPr>
  </w:style>
  <w:style w:type="character" w:customStyle="1" w:styleId="56">
    <w:name w:val="标题 4 Char"/>
    <w:link w:val="5"/>
    <w:qFormat/>
    <w:uiPriority w:val="9"/>
    <w:rPr>
      <w:rFonts w:ascii="Arial" w:hAnsi="Arial" w:eastAsia="黑体"/>
      <w:b/>
      <w:bCs/>
      <w:kern w:val="2"/>
      <w:sz w:val="28"/>
      <w:szCs w:val="28"/>
      <w:lang w:val="en-US" w:eastAsia="zh-CN" w:bidi="ar-SA"/>
    </w:rPr>
  </w:style>
  <w:style w:type="character" w:customStyle="1" w:styleId="57">
    <w:name w:val="标题 5 Char"/>
    <w:link w:val="6"/>
    <w:qFormat/>
    <w:uiPriority w:val="9"/>
    <w:rPr>
      <w:rFonts w:eastAsia="宋体"/>
      <w:b/>
      <w:bCs/>
      <w:kern w:val="2"/>
      <w:sz w:val="28"/>
      <w:szCs w:val="28"/>
      <w:lang w:val="en-US" w:eastAsia="zh-CN" w:bidi="ar-SA"/>
    </w:rPr>
  </w:style>
  <w:style w:type="character" w:customStyle="1" w:styleId="58">
    <w:name w:val="标题 6 Char"/>
    <w:link w:val="7"/>
    <w:qFormat/>
    <w:uiPriority w:val="9"/>
    <w:rPr>
      <w:rFonts w:ascii="Cambria" w:hAnsi="Cambria" w:eastAsia="宋体"/>
      <w:b/>
      <w:bCs/>
      <w:kern w:val="2"/>
      <w:sz w:val="24"/>
      <w:szCs w:val="24"/>
      <w:lang w:val="en-US" w:eastAsia="zh-CN" w:bidi="ar-SA"/>
    </w:rPr>
  </w:style>
  <w:style w:type="character" w:customStyle="1" w:styleId="59">
    <w:name w:val="标题 7 Char"/>
    <w:link w:val="8"/>
    <w:qFormat/>
    <w:uiPriority w:val="9"/>
    <w:rPr>
      <w:rFonts w:eastAsia="宋体"/>
      <w:b/>
      <w:bCs/>
      <w:kern w:val="2"/>
      <w:sz w:val="24"/>
      <w:szCs w:val="24"/>
      <w:lang w:val="en-US" w:eastAsia="zh-CN" w:bidi="ar-SA"/>
    </w:rPr>
  </w:style>
  <w:style w:type="character" w:customStyle="1" w:styleId="60">
    <w:name w:val="标题 8 Char"/>
    <w:link w:val="9"/>
    <w:qFormat/>
    <w:uiPriority w:val="9"/>
    <w:rPr>
      <w:rFonts w:ascii="Arial" w:hAnsi="Arial" w:eastAsia="黑体"/>
      <w:kern w:val="2"/>
      <w:sz w:val="24"/>
      <w:szCs w:val="24"/>
      <w:lang w:val="en-US" w:eastAsia="zh-CN" w:bidi="ar-SA"/>
    </w:rPr>
  </w:style>
  <w:style w:type="character" w:customStyle="1" w:styleId="61">
    <w:name w:val="标题 9 Char"/>
    <w:link w:val="10"/>
    <w:qFormat/>
    <w:uiPriority w:val="9"/>
    <w:rPr>
      <w:rFonts w:ascii="Arial" w:hAnsi="Arial" w:eastAsia="黑体"/>
      <w:kern w:val="2"/>
      <w:sz w:val="21"/>
      <w:szCs w:val="21"/>
      <w:lang w:val="en-US" w:eastAsia="zh-CN" w:bidi="ar-SA"/>
    </w:rPr>
  </w:style>
  <w:style w:type="character" w:customStyle="1" w:styleId="62">
    <w:name w:val="正文缩进 Char"/>
    <w:link w:val="12"/>
    <w:qFormat/>
    <w:uiPriority w:val="0"/>
    <w:rPr>
      <w:rFonts w:eastAsia="宋体"/>
      <w:kern w:val="2"/>
      <w:sz w:val="21"/>
      <w:szCs w:val="24"/>
      <w:lang w:val="en-US" w:eastAsia="zh-CN" w:bidi="ar-SA"/>
    </w:rPr>
  </w:style>
  <w:style w:type="character" w:customStyle="1" w:styleId="63">
    <w:name w:val="文档结构图 Char"/>
    <w:link w:val="13"/>
    <w:qFormat/>
    <w:uiPriority w:val="0"/>
    <w:rPr>
      <w:rFonts w:eastAsia="宋体"/>
      <w:kern w:val="2"/>
      <w:sz w:val="21"/>
      <w:lang w:val="en-US" w:eastAsia="zh-CN" w:bidi="ar-SA"/>
    </w:rPr>
  </w:style>
  <w:style w:type="character" w:customStyle="1" w:styleId="64">
    <w:name w:val="批注文字 Char"/>
    <w:link w:val="14"/>
    <w:semiHidden/>
    <w:qFormat/>
    <w:uiPriority w:val="99"/>
    <w:rPr>
      <w:rFonts w:eastAsia="宋体"/>
      <w:kern w:val="2"/>
      <w:sz w:val="21"/>
      <w:lang w:val="en-US" w:eastAsia="zh-CN" w:bidi="ar-SA"/>
    </w:rPr>
  </w:style>
  <w:style w:type="character" w:customStyle="1" w:styleId="65">
    <w:name w:val="正文文本 3 Char"/>
    <w:link w:val="15"/>
    <w:qFormat/>
    <w:uiPriority w:val="0"/>
    <w:rPr>
      <w:rFonts w:eastAsia="宋体"/>
      <w:sz w:val="16"/>
      <w:szCs w:val="16"/>
      <w:lang w:bidi="ar-SA"/>
    </w:rPr>
  </w:style>
  <w:style w:type="character" w:customStyle="1" w:styleId="66">
    <w:name w:val="正文文本 Char"/>
    <w:link w:val="16"/>
    <w:qFormat/>
    <w:uiPriority w:val="0"/>
    <w:rPr>
      <w:rFonts w:eastAsia="宋体"/>
      <w:i/>
      <w:kern w:val="2"/>
      <w:sz w:val="18"/>
      <w:lang w:val="en-US" w:eastAsia="zh-CN" w:bidi="ar-SA"/>
    </w:rPr>
  </w:style>
  <w:style w:type="character" w:customStyle="1" w:styleId="67">
    <w:name w:val="正文文本缩进 Char"/>
    <w:link w:val="17"/>
    <w:qFormat/>
    <w:uiPriority w:val="0"/>
    <w:rPr>
      <w:rFonts w:eastAsia="方正书宋简体"/>
      <w:kern w:val="2"/>
      <w:sz w:val="24"/>
      <w:lang w:val="en-US" w:eastAsia="zh-CN" w:bidi="ar-SA"/>
    </w:rPr>
  </w:style>
  <w:style w:type="character" w:customStyle="1" w:styleId="68">
    <w:name w:val="纯文本 Char"/>
    <w:link w:val="21"/>
    <w:qFormat/>
    <w:uiPriority w:val="0"/>
    <w:rPr>
      <w:rFonts w:ascii="宋体" w:hAnsi="宋体" w:eastAsia="宋体" w:cs="宋体"/>
      <w:color w:val="000000"/>
      <w:sz w:val="24"/>
      <w:szCs w:val="24"/>
      <w:lang w:val="en-US" w:eastAsia="zh-CN" w:bidi="ar-SA"/>
    </w:rPr>
  </w:style>
  <w:style w:type="character" w:customStyle="1" w:styleId="69">
    <w:name w:val="日期 Char"/>
    <w:link w:val="23"/>
    <w:qFormat/>
    <w:uiPriority w:val="0"/>
    <w:rPr>
      <w:rFonts w:ascii="宋体"/>
      <w:sz w:val="24"/>
    </w:rPr>
  </w:style>
  <w:style w:type="character" w:customStyle="1" w:styleId="70">
    <w:name w:val="正文文本缩进 2 Char"/>
    <w:link w:val="24"/>
    <w:qFormat/>
    <w:uiPriority w:val="0"/>
    <w:rPr>
      <w:rFonts w:ascii="宋体" w:eastAsia="宋体"/>
      <w:kern w:val="2"/>
      <w:sz w:val="24"/>
      <w:lang w:val="en-US" w:eastAsia="zh-CN" w:bidi="ar-SA"/>
    </w:rPr>
  </w:style>
  <w:style w:type="character" w:customStyle="1" w:styleId="71">
    <w:name w:val="批注框文本 Char"/>
    <w:link w:val="25"/>
    <w:qFormat/>
    <w:locked/>
    <w:uiPriority w:val="0"/>
    <w:rPr>
      <w:rFonts w:eastAsia="宋体"/>
      <w:kern w:val="2"/>
      <w:sz w:val="18"/>
      <w:szCs w:val="18"/>
      <w:lang w:val="en-US" w:eastAsia="zh-CN" w:bidi="ar-SA"/>
    </w:rPr>
  </w:style>
  <w:style w:type="character" w:customStyle="1" w:styleId="72">
    <w:name w:val="页脚 Char"/>
    <w:link w:val="26"/>
    <w:qFormat/>
    <w:uiPriority w:val="0"/>
    <w:rPr>
      <w:rFonts w:eastAsia="宋体"/>
      <w:kern w:val="2"/>
      <w:sz w:val="18"/>
      <w:lang w:val="en-US" w:eastAsia="zh-CN" w:bidi="ar-SA"/>
    </w:rPr>
  </w:style>
  <w:style w:type="character" w:customStyle="1" w:styleId="73">
    <w:name w:val="页眉 Char"/>
    <w:link w:val="27"/>
    <w:qFormat/>
    <w:uiPriority w:val="0"/>
    <w:rPr>
      <w:rFonts w:eastAsia="宋体"/>
      <w:kern w:val="2"/>
      <w:sz w:val="18"/>
      <w:lang w:val="en-US" w:eastAsia="zh-CN" w:bidi="ar-SA"/>
    </w:rPr>
  </w:style>
  <w:style w:type="character" w:customStyle="1" w:styleId="74">
    <w:name w:val="正文文本缩进 3 Char"/>
    <w:link w:val="32"/>
    <w:qFormat/>
    <w:uiPriority w:val="0"/>
    <w:rPr>
      <w:rFonts w:ascii="宋体" w:eastAsia="宋体"/>
      <w:kern w:val="2"/>
      <w:sz w:val="24"/>
      <w:lang w:val="en-US" w:eastAsia="zh-CN" w:bidi="ar-SA"/>
    </w:rPr>
  </w:style>
  <w:style w:type="character" w:customStyle="1" w:styleId="75">
    <w:name w:val="正文文本 2 Char"/>
    <w:link w:val="36"/>
    <w:qFormat/>
    <w:uiPriority w:val="0"/>
    <w:rPr>
      <w:rFonts w:eastAsia="宋体"/>
      <w:sz w:val="24"/>
      <w:szCs w:val="24"/>
      <w:lang w:bidi="ar-SA"/>
    </w:rPr>
  </w:style>
  <w:style w:type="character" w:customStyle="1" w:styleId="76">
    <w:name w:val="HTML 预设格式 Char"/>
    <w:link w:val="37"/>
    <w:qFormat/>
    <w:uiPriority w:val="99"/>
    <w:rPr>
      <w:rFonts w:ascii="Courier New" w:hAnsi="Courier New" w:cs="Courier New"/>
      <w:kern w:val="2"/>
    </w:rPr>
  </w:style>
  <w:style w:type="character" w:customStyle="1" w:styleId="77">
    <w:name w:val="标题 Char"/>
    <w:link w:val="40"/>
    <w:qFormat/>
    <w:uiPriority w:val="0"/>
    <w:rPr>
      <w:rFonts w:ascii="Arial" w:hAnsi="Arial" w:eastAsia="宋体" w:cs="Arial"/>
      <w:b/>
      <w:bCs/>
      <w:kern w:val="2"/>
      <w:sz w:val="32"/>
      <w:szCs w:val="32"/>
      <w:lang w:val="en-US" w:eastAsia="zh-CN" w:bidi="ar-SA"/>
    </w:rPr>
  </w:style>
  <w:style w:type="character" w:customStyle="1" w:styleId="78">
    <w:name w:val="批注主题 Char"/>
    <w:link w:val="41"/>
    <w:semiHidden/>
    <w:qFormat/>
    <w:uiPriority w:val="99"/>
    <w:rPr>
      <w:b/>
      <w:bCs/>
    </w:rPr>
  </w:style>
  <w:style w:type="character" w:customStyle="1" w:styleId="79">
    <w:name w:val="正文首行缩进 Char"/>
    <w:link w:val="42"/>
    <w:qFormat/>
    <w:uiPriority w:val="0"/>
    <w:rPr>
      <w:sz w:val="21"/>
      <w:szCs w:val="24"/>
      <w:lang w:val="en-US" w:eastAsia="zh-CN" w:bidi="ar-SA"/>
    </w:rPr>
  </w:style>
  <w:style w:type="character" w:customStyle="1" w:styleId="80">
    <w:name w:val="正文首行缩进 2 Char"/>
    <w:link w:val="43"/>
    <w:qFormat/>
    <w:uiPriority w:val="0"/>
    <w:rPr>
      <w:rFonts w:ascii="Times New Roman" w:hAnsi="Times New Roman" w:eastAsia="方正书宋简体"/>
      <w:kern w:val="2"/>
      <w:sz w:val="21"/>
      <w:szCs w:val="24"/>
      <w:lang w:bidi="ar-SA"/>
    </w:rPr>
  </w:style>
  <w:style w:type="character" w:customStyle="1" w:styleId="81">
    <w:name w:val="批注文字 Char1"/>
    <w:semiHidden/>
    <w:qFormat/>
    <w:uiPriority w:val="99"/>
    <w:rPr>
      <w:kern w:val="2"/>
      <w:sz w:val="21"/>
    </w:rPr>
  </w:style>
  <w:style w:type="character" w:customStyle="1" w:styleId="82">
    <w:name w:val="List Paragraph Char"/>
    <w:link w:val="83"/>
    <w:qFormat/>
    <w:locked/>
    <w:uiPriority w:val="0"/>
    <w:rPr>
      <w:rFonts w:ascii="Calibri" w:hAnsi="Calibri" w:eastAsia="宋体"/>
      <w:kern w:val="2"/>
      <w:sz w:val="21"/>
      <w:szCs w:val="22"/>
      <w:lang w:val="en-US" w:eastAsia="zh-CN" w:bidi="ar-SA"/>
    </w:rPr>
  </w:style>
  <w:style w:type="paragraph" w:customStyle="1" w:styleId="83">
    <w:name w:val="List Paragraph1"/>
    <w:basedOn w:val="1"/>
    <w:link w:val="82"/>
    <w:qFormat/>
    <w:uiPriority w:val="0"/>
    <w:pPr>
      <w:ind w:firstLine="420" w:firstLineChars="200"/>
    </w:pPr>
    <w:rPr>
      <w:szCs w:val="22"/>
    </w:rPr>
  </w:style>
  <w:style w:type="character" w:customStyle="1" w:styleId="84">
    <w:name w:val="Char Char13"/>
    <w:qFormat/>
    <w:locked/>
    <w:uiPriority w:val="0"/>
    <w:rPr>
      <w:rFonts w:ascii="宋体" w:hAnsi="宋体" w:eastAsia="宋体"/>
      <w:kern w:val="2"/>
      <w:sz w:val="21"/>
      <w:lang w:val="en-US" w:eastAsia="zh-CN" w:bidi="ar-SA"/>
    </w:rPr>
  </w:style>
  <w:style w:type="character" w:customStyle="1" w:styleId="85">
    <w:name w:val="font71"/>
    <w:qFormat/>
    <w:uiPriority w:val="0"/>
    <w:rPr>
      <w:rFonts w:hint="eastAsia" w:ascii="宋体" w:hAnsi="宋体" w:eastAsia="宋体" w:cs="宋体"/>
      <w:color w:val="auto"/>
      <w:sz w:val="22"/>
      <w:szCs w:val="22"/>
      <w:u w:val="none"/>
    </w:rPr>
  </w:style>
  <w:style w:type="character" w:customStyle="1" w:styleId="86">
    <w:name w:val="15"/>
    <w:qFormat/>
    <w:uiPriority w:val="0"/>
    <w:rPr>
      <w:rFonts w:hint="eastAsia" w:ascii="宋体" w:hAnsi="宋体" w:eastAsia="宋体"/>
      <w:b/>
      <w:bCs/>
      <w:color w:val="000000"/>
      <w:sz w:val="18"/>
      <w:szCs w:val="18"/>
    </w:rPr>
  </w:style>
  <w:style w:type="character" w:customStyle="1" w:styleId="87">
    <w:name w:val="font121"/>
    <w:qFormat/>
    <w:uiPriority w:val="0"/>
    <w:rPr>
      <w:rFonts w:hint="eastAsia" w:ascii="宋体" w:hAnsi="宋体" w:eastAsia="宋体" w:cs="宋体"/>
      <w:b/>
      <w:color w:val="FF0000"/>
      <w:sz w:val="22"/>
      <w:szCs w:val="22"/>
      <w:u w:val="none"/>
    </w:rPr>
  </w:style>
  <w:style w:type="character" w:customStyle="1" w:styleId="88">
    <w:name w:val="标题 1 Char Char"/>
    <w:qFormat/>
    <w:uiPriority w:val="0"/>
    <w:rPr>
      <w:rFonts w:eastAsia="宋体"/>
      <w:b/>
      <w:spacing w:val="-2"/>
      <w:sz w:val="24"/>
      <w:lang w:val="en-US" w:eastAsia="zh-CN" w:bidi="ar-SA"/>
    </w:rPr>
  </w:style>
  <w:style w:type="character" w:customStyle="1" w:styleId="89">
    <w:name w:val="font81"/>
    <w:qFormat/>
    <w:uiPriority w:val="0"/>
    <w:rPr>
      <w:rFonts w:hint="eastAsia" w:ascii="宋体" w:hAnsi="宋体" w:eastAsia="宋体"/>
      <w:color w:val="FF0000"/>
      <w:sz w:val="20"/>
      <w:szCs w:val="20"/>
      <w:u w:val="none"/>
    </w:rPr>
  </w:style>
  <w:style w:type="character" w:customStyle="1" w:styleId="90">
    <w:name w:val="列出段落 Char"/>
    <w:qFormat/>
    <w:locked/>
    <w:uiPriority w:val="0"/>
    <w:rPr>
      <w:rFonts w:eastAsia="宋体"/>
      <w:kern w:val="2"/>
      <w:sz w:val="24"/>
      <w:szCs w:val="24"/>
      <w:lang w:val="en-US" w:eastAsia="zh-CN" w:bidi="ar-SA"/>
    </w:rPr>
  </w:style>
  <w:style w:type="paragraph" w:styleId="91">
    <w:name w:val="List Paragraph"/>
    <w:basedOn w:val="1"/>
    <w:link w:val="92"/>
    <w:qFormat/>
    <w:uiPriority w:val="0"/>
    <w:rPr>
      <w:szCs w:val="22"/>
    </w:rPr>
  </w:style>
  <w:style w:type="character" w:customStyle="1" w:styleId="92">
    <w:name w:val="列出段落 Char1"/>
    <w:link w:val="91"/>
    <w:qFormat/>
    <w:uiPriority w:val="0"/>
    <w:rPr>
      <w:kern w:val="2"/>
      <w:sz w:val="21"/>
      <w:szCs w:val="22"/>
      <w:lang w:bidi="ar-SA"/>
    </w:rPr>
  </w:style>
  <w:style w:type="character" w:customStyle="1" w:styleId="93">
    <w:name w:val="font11"/>
    <w:qFormat/>
    <w:uiPriority w:val="0"/>
    <w:rPr>
      <w:rFonts w:hint="default" w:ascii="Times New Roman" w:hAnsi="Times New Roman" w:cs="Times New Roman"/>
      <w:color w:val="000000"/>
      <w:sz w:val="24"/>
      <w:szCs w:val="24"/>
      <w:u w:val="none"/>
    </w:rPr>
  </w:style>
  <w:style w:type="character" w:customStyle="1" w:styleId="94">
    <w:name w:val="页眉 字符"/>
    <w:qFormat/>
    <w:uiPriority w:val="0"/>
    <w:rPr>
      <w:kern w:val="2"/>
      <w:sz w:val="18"/>
      <w:szCs w:val="18"/>
    </w:rPr>
  </w:style>
  <w:style w:type="character" w:customStyle="1" w:styleId="95">
    <w:name w:val="Char Char"/>
    <w:qFormat/>
    <w:locked/>
    <w:uiPriority w:val="0"/>
    <w:rPr>
      <w:rFonts w:ascii="Arial" w:hAnsi="Arial" w:eastAsia="宋体" w:cs="Arial"/>
      <w:b/>
      <w:bCs/>
      <w:kern w:val="2"/>
      <w:sz w:val="32"/>
      <w:szCs w:val="32"/>
      <w:lang w:val="en-US" w:eastAsia="zh-CN" w:bidi="ar-SA"/>
    </w:rPr>
  </w:style>
  <w:style w:type="character" w:customStyle="1" w:styleId="96">
    <w:name w:val="Char Char33"/>
    <w:qFormat/>
    <w:uiPriority w:val="0"/>
    <w:rPr>
      <w:i/>
      <w:szCs w:val="24"/>
      <w:lang w:val="en-US" w:eastAsia="zh-CN" w:bidi="ar-SA"/>
    </w:rPr>
  </w:style>
  <w:style w:type="character" w:customStyle="1" w:styleId="97">
    <w:name w:val="Char Char11"/>
    <w:qFormat/>
    <w:locked/>
    <w:uiPriority w:val="0"/>
    <w:rPr>
      <w:rFonts w:ascii="宋体" w:hAnsi="宋体" w:eastAsia="宋体"/>
      <w:kern w:val="2"/>
      <w:sz w:val="18"/>
      <w:lang w:val="en-US" w:eastAsia="zh-CN" w:bidi="ar-SA"/>
    </w:rPr>
  </w:style>
  <w:style w:type="character" w:customStyle="1" w:styleId="98">
    <w:name w:val="font31"/>
    <w:qFormat/>
    <w:uiPriority w:val="0"/>
    <w:rPr>
      <w:rFonts w:hint="eastAsia" w:ascii="宋体" w:hAnsi="宋体" w:eastAsia="宋体"/>
      <w:color w:val="000000"/>
      <w:sz w:val="20"/>
      <w:szCs w:val="20"/>
      <w:u w:val="none"/>
    </w:rPr>
  </w:style>
  <w:style w:type="character" w:customStyle="1" w:styleId="99">
    <w:name w:val="页脚 字符"/>
    <w:qFormat/>
    <w:uiPriority w:val="0"/>
    <w:rPr>
      <w:kern w:val="2"/>
      <w:sz w:val="18"/>
      <w:szCs w:val="18"/>
    </w:rPr>
  </w:style>
  <w:style w:type="character" w:customStyle="1" w:styleId="100">
    <w:name w:val="哈哈正文 Char"/>
    <w:link w:val="101"/>
    <w:qFormat/>
    <w:uiPriority w:val="0"/>
    <w:rPr>
      <w:rFonts w:ascii="宋体" w:hAnsi="宋体" w:eastAsia="宋体" w:cs="宋体"/>
      <w:kern w:val="2"/>
      <w:sz w:val="24"/>
      <w:lang w:val="en-US" w:eastAsia="zh-CN" w:bidi="ar-SA"/>
    </w:rPr>
  </w:style>
  <w:style w:type="paragraph" w:customStyle="1" w:styleId="101">
    <w:name w:val="哈哈正文"/>
    <w:basedOn w:val="1"/>
    <w:link w:val="100"/>
    <w:qFormat/>
    <w:uiPriority w:val="0"/>
    <w:pPr>
      <w:spacing w:line="360" w:lineRule="auto"/>
      <w:ind w:firstLine="200" w:firstLineChars="200"/>
    </w:pPr>
    <w:rPr>
      <w:rFonts w:ascii="宋体" w:hAnsi="宋体" w:cs="宋体"/>
      <w:sz w:val="24"/>
    </w:rPr>
  </w:style>
  <w:style w:type="character" w:customStyle="1" w:styleId="102">
    <w:name w:val="Char Char5"/>
    <w:qFormat/>
    <w:locked/>
    <w:uiPriority w:val="0"/>
    <w:rPr>
      <w:rFonts w:ascii="宋体" w:hAnsi="宋体" w:eastAsia="宋体"/>
      <w:kern w:val="2"/>
      <w:sz w:val="24"/>
      <w:lang w:val="en-US" w:eastAsia="zh-CN" w:bidi="ar-SA"/>
    </w:rPr>
  </w:style>
  <w:style w:type="character" w:customStyle="1" w:styleId="103">
    <w:name w:val="apple-converted-space"/>
    <w:qFormat/>
    <w:uiPriority w:val="0"/>
  </w:style>
  <w:style w:type="character" w:customStyle="1" w:styleId="104">
    <w:name w:val="样式4 Char"/>
    <w:link w:val="105"/>
    <w:qFormat/>
    <w:uiPriority w:val="0"/>
    <w:rPr>
      <w:rFonts w:ascii="黑体" w:hAnsi="黑体" w:eastAsia="黑体"/>
      <w:bCs/>
      <w:kern w:val="44"/>
      <w:sz w:val="44"/>
      <w:szCs w:val="44"/>
      <w:lang w:val="en-US" w:eastAsia="zh-CN" w:bidi="ar-SA"/>
    </w:rPr>
  </w:style>
  <w:style w:type="paragraph" w:customStyle="1" w:styleId="105">
    <w:name w:val="样式4"/>
    <w:basedOn w:val="2"/>
    <w:link w:val="104"/>
    <w:qFormat/>
    <w:uiPriority w:val="0"/>
    <w:pPr>
      <w:keepLines/>
      <w:spacing w:line="360" w:lineRule="auto"/>
    </w:pPr>
    <w:rPr>
      <w:rFonts w:ascii="黑体" w:hAnsi="黑体" w:eastAsia="黑体"/>
      <w:b w:val="0"/>
      <w:kern w:val="44"/>
      <w:sz w:val="44"/>
      <w:szCs w:val="44"/>
    </w:rPr>
  </w:style>
  <w:style w:type="character" w:customStyle="1" w:styleId="106">
    <w:name w:val="Char Char7"/>
    <w:qFormat/>
    <w:locked/>
    <w:uiPriority w:val="0"/>
    <w:rPr>
      <w:rFonts w:ascii="宋体" w:hAnsi="宋体" w:eastAsia="宋体" w:cs="宋体"/>
      <w:color w:val="000000"/>
      <w:sz w:val="24"/>
      <w:szCs w:val="24"/>
      <w:lang w:val="en-US" w:eastAsia="zh-CN" w:bidi="ar-SA"/>
    </w:rPr>
  </w:style>
  <w:style w:type="character" w:customStyle="1" w:styleId="107">
    <w:name w:val="Char Char21"/>
    <w:qFormat/>
    <w:locked/>
    <w:uiPriority w:val="0"/>
    <w:rPr>
      <w:rFonts w:ascii="Arial" w:hAnsi="Arial" w:eastAsia="黑体"/>
      <w:b/>
      <w:bCs/>
      <w:kern w:val="2"/>
      <w:sz w:val="32"/>
      <w:szCs w:val="32"/>
      <w:lang w:val="en-US" w:eastAsia="zh-CN" w:bidi="ar-SA"/>
    </w:rPr>
  </w:style>
  <w:style w:type="character" w:customStyle="1" w:styleId="108">
    <w:name w:val="Char Char4"/>
    <w:qFormat/>
    <w:locked/>
    <w:uiPriority w:val="0"/>
    <w:rPr>
      <w:rFonts w:ascii="宋体" w:hAnsi="宋体" w:eastAsia="宋体"/>
      <w:kern w:val="2"/>
      <w:sz w:val="24"/>
      <w:lang w:val="en-US" w:eastAsia="zh-CN" w:bidi="ar-SA"/>
    </w:rPr>
  </w:style>
  <w:style w:type="character" w:customStyle="1" w:styleId="109">
    <w:name w:val="Char Char15"/>
    <w:qFormat/>
    <w:locked/>
    <w:uiPriority w:val="0"/>
    <w:rPr>
      <w:rFonts w:ascii="Arial" w:hAnsi="Arial" w:eastAsia="黑体"/>
      <w:kern w:val="2"/>
      <w:sz w:val="24"/>
      <w:szCs w:val="24"/>
      <w:lang w:val="en-US" w:eastAsia="zh-CN" w:bidi="ar-SA"/>
    </w:rPr>
  </w:style>
  <w:style w:type="character" w:customStyle="1" w:styleId="110">
    <w:name w:val="Char Char14"/>
    <w:qFormat/>
    <w:locked/>
    <w:uiPriority w:val="0"/>
    <w:rPr>
      <w:rFonts w:ascii="Arial" w:hAnsi="Arial" w:eastAsia="黑体"/>
      <w:kern w:val="2"/>
      <w:sz w:val="21"/>
      <w:szCs w:val="21"/>
      <w:lang w:val="en-US" w:eastAsia="zh-CN" w:bidi="ar-SA"/>
    </w:rPr>
  </w:style>
  <w:style w:type="character" w:customStyle="1" w:styleId="111">
    <w:name w:val="Char Char6"/>
    <w:qFormat/>
    <w:locked/>
    <w:uiPriority w:val="0"/>
    <w:rPr>
      <w:rFonts w:ascii="宋体" w:hAnsi="宋体" w:eastAsia="宋体"/>
      <w:kern w:val="2"/>
      <w:sz w:val="18"/>
      <w:lang w:val="en-US" w:eastAsia="zh-CN" w:bidi="ar-SA"/>
    </w:rPr>
  </w:style>
  <w:style w:type="character" w:customStyle="1" w:styleId="112">
    <w:name w:val="Char Char20"/>
    <w:qFormat/>
    <w:locked/>
    <w:uiPriority w:val="0"/>
    <w:rPr>
      <w:rFonts w:ascii="Arial" w:hAnsi="Arial" w:eastAsia="黑体" w:cs="Arial"/>
      <w:b/>
      <w:bCs/>
      <w:kern w:val="2"/>
      <w:sz w:val="30"/>
      <w:szCs w:val="32"/>
      <w:lang w:val="en-US" w:eastAsia="zh-CN" w:bidi="ar-SA"/>
    </w:rPr>
  </w:style>
  <w:style w:type="character" w:customStyle="1" w:styleId="113">
    <w:name w:val="font01"/>
    <w:qFormat/>
    <w:uiPriority w:val="0"/>
    <w:rPr>
      <w:rFonts w:hint="eastAsia" w:ascii="宋体" w:hAnsi="宋体" w:eastAsia="宋体"/>
      <w:color w:val="000000"/>
      <w:sz w:val="24"/>
      <w:szCs w:val="24"/>
      <w:u w:val="none"/>
    </w:rPr>
  </w:style>
  <w:style w:type="character" w:customStyle="1" w:styleId="114">
    <w:name w:val="apple-style-span"/>
    <w:qFormat/>
    <w:uiPriority w:val="0"/>
  </w:style>
  <w:style w:type="character" w:customStyle="1" w:styleId="115">
    <w:name w:val="hui3"/>
    <w:qFormat/>
    <w:uiPriority w:val="0"/>
    <w:rPr>
      <w:color w:val="333333"/>
    </w:rPr>
  </w:style>
  <w:style w:type="character" w:customStyle="1" w:styleId="116">
    <w:name w:val="Char Char10"/>
    <w:qFormat/>
    <w:locked/>
    <w:uiPriority w:val="0"/>
    <w:rPr>
      <w:rFonts w:ascii="宋体" w:hAnsi="宋体" w:eastAsia="宋体"/>
      <w:sz w:val="24"/>
      <w:szCs w:val="24"/>
      <w:lang w:bidi="ar-SA"/>
    </w:rPr>
  </w:style>
  <w:style w:type="character" w:customStyle="1" w:styleId="117">
    <w:name w:val="样式2 Char"/>
    <w:link w:val="118"/>
    <w:qFormat/>
    <w:uiPriority w:val="0"/>
    <w:rPr>
      <w:rFonts w:ascii="黑体" w:hAnsi="黑体" w:eastAsia="黑体"/>
      <w:bCs/>
      <w:color w:val="FF0000"/>
      <w:kern w:val="2"/>
      <w:sz w:val="28"/>
      <w:szCs w:val="32"/>
      <w:lang w:val="en-US" w:eastAsia="zh-CN" w:bidi="ar-SA"/>
    </w:rPr>
  </w:style>
  <w:style w:type="paragraph" w:customStyle="1" w:styleId="118">
    <w:name w:val="样式2"/>
    <w:basedOn w:val="4"/>
    <w:link w:val="117"/>
    <w:qFormat/>
    <w:uiPriority w:val="0"/>
    <w:pPr>
      <w:adjustRightInd w:val="0"/>
      <w:spacing w:beforeLines="0" w:afterLines="0"/>
      <w:ind w:left="0" w:firstLine="0"/>
      <w:textAlignment w:val="baseline"/>
    </w:pPr>
    <w:rPr>
      <w:rFonts w:ascii="黑体" w:hAnsi="黑体" w:cs="Times New Roman"/>
      <w:b w:val="0"/>
      <w:color w:val="FF0000"/>
      <w:sz w:val="28"/>
    </w:rPr>
  </w:style>
  <w:style w:type="character" w:customStyle="1" w:styleId="119">
    <w:name w:val="样式5 Char"/>
    <w:link w:val="120"/>
    <w:qFormat/>
    <w:uiPriority w:val="0"/>
    <w:rPr>
      <w:rFonts w:eastAsia="宋体"/>
      <w:b/>
      <w:bCs/>
      <w:kern w:val="2"/>
      <w:sz w:val="28"/>
      <w:szCs w:val="28"/>
      <w:lang w:val="en-US" w:eastAsia="zh-CN" w:bidi="ar-SA"/>
    </w:rPr>
  </w:style>
  <w:style w:type="paragraph" w:customStyle="1" w:styleId="120">
    <w:name w:val="样式5"/>
    <w:basedOn w:val="1"/>
    <w:link w:val="119"/>
    <w:qFormat/>
    <w:uiPriority w:val="0"/>
    <w:pPr>
      <w:keepNext/>
      <w:keepLines/>
      <w:spacing w:before="280" w:after="290" w:line="376" w:lineRule="auto"/>
      <w:ind w:left="210" w:leftChars="100" w:right="210" w:rightChars="100"/>
      <w:outlineLvl w:val="4"/>
    </w:pPr>
    <w:rPr>
      <w:b/>
      <w:bCs/>
      <w:sz w:val="28"/>
      <w:szCs w:val="28"/>
    </w:rPr>
  </w:style>
  <w:style w:type="character" w:customStyle="1" w:styleId="121">
    <w:name w:val="Char Char3"/>
    <w:qFormat/>
    <w:uiPriority w:val="0"/>
    <w:rPr>
      <w:rFonts w:hint="eastAsia" w:ascii="宋体" w:hAnsi="Courier New" w:eastAsia="宋体"/>
      <w:color w:val="000000"/>
      <w:kern w:val="2"/>
      <w:sz w:val="21"/>
      <w:lang w:val="en-US" w:eastAsia="zh-CN" w:bidi="ar-SA"/>
    </w:rPr>
  </w:style>
  <w:style w:type="character" w:customStyle="1" w:styleId="122">
    <w:name w:val="Char Char17"/>
    <w:semiHidden/>
    <w:qFormat/>
    <w:locked/>
    <w:uiPriority w:val="0"/>
    <w:rPr>
      <w:rFonts w:ascii="Cambria" w:hAnsi="Cambria" w:eastAsia="宋体"/>
      <w:b/>
      <w:bCs/>
      <w:kern w:val="2"/>
      <w:sz w:val="24"/>
      <w:szCs w:val="24"/>
      <w:lang w:val="en-US" w:eastAsia="zh-CN" w:bidi="ar-SA"/>
    </w:rPr>
  </w:style>
  <w:style w:type="character" w:customStyle="1" w:styleId="123">
    <w:name w:val="Char Char12"/>
    <w:qFormat/>
    <w:locked/>
    <w:uiPriority w:val="0"/>
    <w:rPr>
      <w:rFonts w:ascii="宋体" w:hAnsi="宋体" w:eastAsia="宋体"/>
      <w:kern w:val="2"/>
      <w:sz w:val="21"/>
      <w:szCs w:val="24"/>
      <w:lang w:val="en-US" w:eastAsia="zh-CN" w:bidi="ar-SA"/>
    </w:rPr>
  </w:style>
  <w:style w:type="character" w:customStyle="1" w:styleId="124">
    <w:name w:val="Char Char1"/>
    <w:qFormat/>
    <w:locked/>
    <w:uiPriority w:val="0"/>
    <w:rPr>
      <w:rFonts w:ascii="方正书宋简体" w:eastAsia="方正书宋简体"/>
      <w:kern w:val="2"/>
      <w:sz w:val="24"/>
      <w:lang w:val="en-US" w:eastAsia="zh-CN" w:bidi="ar-SA"/>
    </w:rPr>
  </w:style>
  <w:style w:type="character" w:customStyle="1" w:styleId="125">
    <w:name w:val="标题2正文 Char Char"/>
    <w:link w:val="126"/>
    <w:qFormat/>
    <w:uiPriority w:val="0"/>
    <w:rPr>
      <w:rFonts w:eastAsia="宋体"/>
      <w:sz w:val="24"/>
      <w:szCs w:val="24"/>
      <w:lang w:bidi="ar-SA"/>
    </w:rPr>
  </w:style>
  <w:style w:type="paragraph" w:customStyle="1" w:styleId="126">
    <w:name w:val="标题2正文 Char"/>
    <w:basedOn w:val="1"/>
    <w:link w:val="125"/>
    <w:qFormat/>
    <w:uiPriority w:val="0"/>
    <w:pPr>
      <w:spacing w:beforeLines="50" w:afterLines="50"/>
      <w:ind w:right="38" w:rightChars="18" w:firstLine="420"/>
    </w:pPr>
    <w:rPr>
      <w:kern w:val="0"/>
      <w:sz w:val="24"/>
      <w:szCs w:val="24"/>
    </w:rPr>
  </w:style>
  <w:style w:type="character" w:customStyle="1" w:styleId="127">
    <w:name w:val="Char Char16"/>
    <w:qFormat/>
    <w:locked/>
    <w:uiPriority w:val="0"/>
    <w:rPr>
      <w:rFonts w:eastAsia="宋体"/>
      <w:b/>
      <w:bCs/>
      <w:kern w:val="2"/>
      <w:sz w:val="24"/>
      <w:szCs w:val="24"/>
      <w:lang w:val="en-US" w:eastAsia="zh-CN" w:bidi="ar-SA"/>
    </w:rPr>
  </w:style>
  <w:style w:type="character" w:customStyle="1" w:styleId="128">
    <w:name w:val="Char Char18"/>
    <w:qFormat/>
    <w:locked/>
    <w:uiPriority w:val="0"/>
    <w:rPr>
      <w:rFonts w:eastAsia="宋体"/>
      <w:b/>
      <w:bCs/>
      <w:kern w:val="2"/>
      <w:sz w:val="28"/>
      <w:szCs w:val="28"/>
      <w:lang w:val="en-US" w:eastAsia="zh-CN" w:bidi="ar-SA"/>
    </w:rPr>
  </w:style>
  <w:style w:type="character" w:customStyle="1" w:styleId="129">
    <w:name w:val="Char Char9"/>
    <w:qFormat/>
    <w:locked/>
    <w:uiPriority w:val="0"/>
    <w:rPr>
      <w:rFonts w:ascii="宋体" w:hAnsi="宋体" w:eastAsia="宋体"/>
      <w:sz w:val="16"/>
      <w:szCs w:val="16"/>
      <w:lang w:bidi="ar-SA"/>
    </w:rPr>
  </w:style>
  <w:style w:type="character" w:customStyle="1" w:styleId="130">
    <w:name w:val="方案－正文 Char"/>
    <w:link w:val="131"/>
    <w:qFormat/>
    <w:uiPriority w:val="0"/>
    <w:rPr>
      <w:rFonts w:ascii="仿宋_GB2312" w:hAnsi="宋体"/>
      <w:sz w:val="24"/>
      <w:lang w:bidi="ar-SA"/>
    </w:rPr>
  </w:style>
  <w:style w:type="paragraph" w:customStyle="1" w:styleId="131">
    <w:name w:val="方案－正文"/>
    <w:basedOn w:val="1"/>
    <w:link w:val="130"/>
    <w:qFormat/>
    <w:uiPriority w:val="0"/>
    <w:pPr>
      <w:spacing w:line="360" w:lineRule="auto"/>
      <w:ind w:firstLine="480" w:firstLineChars="200"/>
    </w:pPr>
    <w:rPr>
      <w:rFonts w:ascii="仿宋_GB2312" w:hAnsi="宋体"/>
      <w:kern w:val="0"/>
      <w:sz w:val="24"/>
    </w:rPr>
  </w:style>
  <w:style w:type="character" w:customStyle="1" w:styleId="132">
    <w:name w:val="Char Char31"/>
    <w:qFormat/>
    <w:uiPriority w:val="0"/>
    <w:rPr>
      <w:rFonts w:ascii="宋体" w:hAnsi="Courier New" w:eastAsia="宋体"/>
      <w:color w:val="000000"/>
      <w:kern w:val="2"/>
      <w:sz w:val="21"/>
      <w:lang w:val="en-US" w:eastAsia="zh-CN" w:bidi="ar-SA"/>
    </w:rPr>
  </w:style>
  <w:style w:type="character" w:customStyle="1" w:styleId="133">
    <w:name w:val="h6 Char"/>
    <w:qFormat/>
    <w:uiPriority w:val="0"/>
    <w:rPr>
      <w:rFonts w:ascii="Arial" w:hAnsi="Arial" w:eastAsia="宋体"/>
      <w:b/>
      <w:bCs/>
      <w:kern w:val="2"/>
      <w:sz w:val="24"/>
      <w:szCs w:val="24"/>
      <w:lang w:val="en-US" w:eastAsia="zh-CN" w:bidi="ar-SA"/>
    </w:rPr>
  </w:style>
  <w:style w:type="character" w:customStyle="1" w:styleId="134">
    <w:name w:val="Char Char2"/>
    <w:qFormat/>
    <w:locked/>
    <w:uiPriority w:val="0"/>
    <w:rPr>
      <w:rFonts w:ascii="宋体" w:hAnsi="宋体"/>
      <w:i/>
      <w:sz w:val="21"/>
      <w:szCs w:val="24"/>
      <w:lang w:val="en-US" w:eastAsia="zh-CN" w:bidi="ar-SA"/>
    </w:rPr>
  </w:style>
  <w:style w:type="character" w:customStyle="1" w:styleId="135">
    <w:name w:val="Char Char8"/>
    <w:qFormat/>
    <w:locked/>
    <w:uiPriority w:val="0"/>
    <w:rPr>
      <w:rFonts w:ascii="Arial" w:hAnsi="Arial" w:eastAsia="宋体" w:cs="Arial"/>
      <w:b/>
      <w:bCs/>
      <w:kern w:val="2"/>
      <w:sz w:val="32"/>
      <w:szCs w:val="32"/>
      <w:lang w:val="en-US" w:eastAsia="zh-CN" w:bidi="ar-SA"/>
    </w:rPr>
  </w:style>
  <w:style w:type="character" w:customStyle="1" w:styleId="136">
    <w:name w:val="font61"/>
    <w:qFormat/>
    <w:uiPriority w:val="0"/>
    <w:rPr>
      <w:rFonts w:hint="eastAsia" w:ascii="宋体" w:hAnsi="宋体" w:eastAsia="宋体" w:cs="宋体"/>
      <w:b/>
      <w:color w:val="auto"/>
      <w:sz w:val="22"/>
      <w:szCs w:val="22"/>
      <w:u w:val="none"/>
    </w:rPr>
  </w:style>
  <w:style w:type="character" w:customStyle="1" w:styleId="137">
    <w:name w:val="font51"/>
    <w:qFormat/>
    <w:uiPriority w:val="0"/>
    <w:rPr>
      <w:rFonts w:hint="eastAsia" w:ascii="宋体" w:hAnsi="宋体" w:eastAsia="宋体" w:cs="宋体"/>
      <w:color w:val="auto"/>
      <w:sz w:val="22"/>
      <w:szCs w:val="22"/>
      <w:u w:val="none"/>
    </w:rPr>
  </w:style>
  <w:style w:type="character" w:customStyle="1" w:styleId="138">
    <w:name w:val="样式1 Char"/>
    <w:link w:val="139"/>
    <w:qFormat/>
    <w:uiPriority w:val="0"/>
    <w:rPr>
      <w:rFonts w:ascii="黑体" w:hAnsi="黑体" w:eastAsia="黑体"/>
      <w:b/>
      <w:bCs/>
      <w:kern w:val="2"/>
      <w:sz w:val="32"/>
      <w:szCs w:val="32"/>
      <w:lang w:bidi="ar-SA"/>
    </w:rPr>
  </w:style>
  <w:style w:type="paragraph" w:customStyle="1" w:styleId="139">
    <w:name w:val="样式1"/>
    <w:basedOn w:val="3"/>
    <w:link w:val="138"/>
    <w:qFormat/>
    <w:uiPriority w:val="0"/>
    <w:pPr>
      <w:tabs>
        <w:tab w:val="clear" w:pos="578"/>
      </w:tabs>
      <w:spacing w:beforeLines="0" w:afterLines="0"/>
      <w:ind w:left="0" w:firstLine="0"/>
    </w:pPr>
    <w:rPr>
      <w:rFonts w:ascii="黑体" w:hAnsi="黑体"/>
    </w:rPr>
  </w:style>
  <w:style w:type="character" w:customStyle="1" w:styleId="140">
    <w:name w:val="font21"/>
    <w:qFormat/>
    <w:uiPriority w:val="0"/>
    <w:rPr>
      <w:rFonts w:hint="eastAsia" w:ascii="宋体" w:hAnsi="宋体" w:eastAsia="宋体"/>
      <w:b/>
      <w:bCs/>
      <w:color w:val="000000"/>
      <w:sz w:val="20"/>
      <w:szCs w:val="20"/>
      <w:u w:val="none"/>
    </w:rPr>
  </w:style>
  <w:style w:type="character" w:customStyle="1" w:styleId="141">
    <w:name w:val="Char Char22"/>
    <w:qFormat/>
    <w:locked/>
    <w:uiPriority w:val="0"/>
    <w:rPr>
      <w:rFonts w:ascii="宋体" w:eastAsia="宋体"/>
      <w:b/>
      <w:bCs/>
      <w:kern w:val="2"/>
      <w:sz w:val="28"/>
      <w:lang w:val="en-US" w:eastAsia="zh-CN" w:bidi="ar-SA"/>
    </w:rPr>
  </w:style>
  <w:style w:type="character" w:customStyle="1" w:styleId="142">
    <w:name w:val="Char Char19"/>
    <w:qFormat/>
    <w:locked/>
    <w:uiPriority w:val="0"/>
    <w:rPr>
      <w:rFonts w:ascii="Arial" w:hAnsi="Arial" w:eastAsia="黑体"/>
      <w:b/>
      <w:bCs/>
      <w:kern w:val="2"/>
      <w:sz w:val="28"/>
      <w:szCs w:val="28"/>
      <w:lang w:val="en-US" w:eastAsia="zh-CN" w:bidi="ar-SA"/>
    </w:rPr>
  </w:style>
  <w:style w:type="paragraph" w:customStyle="1" w:styleId="143">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44">
    <w:name w:val="_Style 3"/>
    <w:qFormat/>
    <w:uiPriority w:val="0"/>
    <w:rPr>
      <w:rFonts w:ascii="Calibri" w:hAnsi="Calibri" w:eastAsia="宋体" w:cs="Times New Roman"/>
      <w:sz w:val="22"/>
      <w:szCs w:val="22"/>
      <w:lang w:val="en-US" w:eastAsia="zh-CN" w:bidi="ar-SA"/>
    </w:rPr>
  </w:style>
  <w:style w:type="paragraph" w:customStyle="1" w:styleId="145">
    <w:name w:val="Char1"/>
    <w:basedOn w:val="1"/>
    <w:qFormat/>
    <w:uiPriority w:val="0"/>
    <w:rPr>
      <w:rFonts w:ascii="仿宋_GB2312" w:eastAsia="仿宋_GB2312"/>
      <w:b/>
      <w:sz w:val="32"/>
      <w:szCs w:val="32"/>
    </w:rPr>
  </w:style>
  <w:style w:type="paragraph" w:customStyle="1" w:styleId="146">
    <w:name w:val="Char Char Char Char"/>
    <w:basedOn w:val="1"/>
    <w:qFormat/>
    <w:uiPriority w:val="0"/>
    <w:pPr>
      <w:widowControl/>
      <w:spacing w:line="400" w:lineRule="exact"/>
      <w:jc w:val="center"/>
    </w:pPr>
    <w:rPr>
      <w:rFonts w:ascii="Verdana" w:hAnsi="Verdana"/>
      <w:kern w:val="0"/>
      <w:lang w:eastAsia="en-US"/>
    </w:rPr>
  </w:style>
  <w:style w:type="paragraph" w:customStyle="1" w:styleId="14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49">
    <w:name w:val="Char Char Char Char1"/>
    <w:basedOn w:val="1"/>
    <w:qFormat/>
    <w:uiPriority w:val="0"/>
    <w:pPr>
      <w:widowControl/>
      <w:spacing w:line="400" w:lineRule="exact"/>
      <w:jc w:val="center"/>
    </w:pPr>
    <w:rPr>
      <w:rFonts w:ascii="Verdana" w:hAnsi="Verdana"/>
      <w:kern w:val="0"/>
      <w:lang w:eastAsia="en-US"/>
    </w:rPr>
  </w:style>
  <w:style w:type="paragraph" w:customStyle="1" w:styleId="150">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51">
    <w:name w:val="正文 居中"/>
    <w:basedOn w:val="1"/>
    <w:qFormat/>
    <w:uiPriority w:val="0"/>
    <w:pPr>
      <w:spacing w:line="360" w:lineRule="auto"/>
      <w:jc w:val="center"/>
    </w:pPr>
    <w:rPr>
      <w:rFonts w:cs="宋体"/>
      <w:sz w:val="24"/>
    </w:rPr>
  </w:style>
  <w:style w:type="paragraph" w:customStyle="1" w:styleId="152">
    <w:name w:val="符号 1"/>
    <w:basedOn w:val="17"/>
    <w:qFormat/>
    <w:uiPriority w:val="0"/>
    <w:pPr>
      <w:tabs>
        <w:tab w:val="left" w:pos="900"/>
      </w:tabs>
      <w:spacing w:line="360" w:lineRule="auto"/>
      <w:ind w:left="1200" w:hanging="720"/>
    </w:pPr>
    <w:rPr>
      <w:rFonts w:eastAsia="宋体"/>
      <w:kern w:val="28"/>
      <w:szCs w:val="24"/>
    </w:rPr>
  </w:style>
  <w:style w:type="paragraph" w:customStyle="1" w:styleId="153">
    <w:name w:val="默认段落字体 Para Char Char Char Char Char Char Char Char Char Char"/>
    <w:basedOn w:val="1"/>
    <w:qFormat/>
    <w:uiPriority w:val="0"/>
    <w:rPr>
      <w:rFonts w:ascii="Tahoma" w:hAnsi="Tahoma"/>
      <w:sz w:val="24"/>
    </w:rPr>
  </w:style>
  <w:style w:type="paragraph" w:customStyle="1" w:styleId="154">
    <w:name w:val="正文编码"/>
    <w:basedOn w:val="42"/>
    <w:qFormat/>
    <w:uiPriority w:val="0"/>
    <w:pPr>
      <w:tabs>
        <w:tab w:val="center" w:pos="2185"/>
      </w:tabs>
      <w:spacing w:after="0" w:line="360" w:lineRule="auto"/>
      <w:ind w:left="1200" w:hanging="720" w:firstLineChars="0"/>
    </w:pPr>
    <w:rPr>
      <w:rFonts w:ascii="仿宋_GB2312" w:hAnsi="宋体" w:eastAsia="仿宋_GB2312"/>
      <w:sz w:val="24"/>
      <w:szCs w:val="20"/>
    </w:rPr>
  </w:style>
  <w:style w:type="paragraph" w:customStyle="1" w:styleId="15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7">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58">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159">
    <w:name w:val="中等深浅网格 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正文段"/>
    <w:basedOn w:val="1"/>
    <w:qFormat/>
    <w:uiPriority w:val="0"/>
    <w:pPr>
      <w:widowControl/>
      <w:snapToGrid w:val="0"/>
      <w:spacing w:afterLines="50"/>
      <w:ind w:firstLine="200" w:firstLineChars="200"/>
    </w:pPr>
    <w:rPr>
      <w:kern w:val="0"/>
      <w:sz w:val="24"/>
    </w:rPr>
  </w:style>
  <w:style w:type="paragraph" w:customStyle="1" w:styleId="161">
    <w:name w:val="符号 2"/>
    <w:basedOn w:val="152"/>
    <w:qFormat/>
    <w:uiPriority w:val="0"/>
    <w:pPr>
      <w:tabs>
        <w:tab w:val="left" w:pos="1320"/>
        <w:tab w:val="clear" w:pos="900"/>
      </w:tabs>
      <w:ind w:left="1320" w:hanging="420"/>
    </w:pPr>
  </w:style>
  <w:style w:type="paragraph" w:customStyle="1" w:styleId="16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标题1"/>
    <w:basedOn w:val="2"/>
    <w:qFormat/>
    <w:uiPriority w:val="0"/>
    <w:pPr>
      <w:keepLines/>
      <w:tabs>
        <w:tab w:val="left" w:pos="397"/>
      </w:tabs>
      <w:spacing w:before="120" w:after="120" w:line="300" w:lineRule="auto"/>
      <w:ind w:firstLine="340"/>
    </w:pPr>
    <w:rPr>
      <w:rFonts w:ascii="黑体" w:hAnsi="宋体" w:eastAsia="黑体"/>
      <w:b w:val="0"/>
      <w:bCs w:val="0"/>
      <w:spacing w:val="6"/>
      <w:kern w:val="44"/>
      <w:sz w:val="36"/>
    </w:rPr>
  </w:style>
  <w:style w:type="paragraph" w:customStyle="1" w:styleId="164">
    <w:name w:val="p0"/>
    <w:basedOn w:val="1"/>
    <w:qFormat/>
    <w:uiPriority w:val="0"/>
    <w:pPr>
      <w:widowControl/>
    </w:pPr>
    <w:rPr>
      <w:kern w:val="0"/>
      <w:szCs w:val="21"/>
    </w:rPr>
  </w:style>
  <w:style w:type="paragraph" w:customStyle="1" w:styleId="165">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66">
    <w:name w:val="Char Char Char Char Char Char Char"/>
    <w:basedOn w:val="1"/>
    <w:qFormat/>
    <w:uiPriority w:val="0"/>
    <w:pPr>
      <w:tabs>
        <w:tab w:val="left" w:pos="432"/>
      </w:tabs>
      <w:ind w:left="432" w:hanging="432"/>
    </w:pPr>
    <w:rPr>
      <w:rFonts w:ascii="Tahoma" w:hAnsi="Tahoma"/>
      <w:sz w:val="24"/>
    </w:rPr>
  </w:style>
  <w:style w:type="paragraph" w:customStyle="1" w:styleId="167">
    <w:name w:val="Char Char Char"/>
    <w:basedOn w:val="1"/>
    <w:qFormat/>
    <w:uiPriority w:val="0"/>
    <w:pPr>
      <w:spacing w:before="120" w:after="120" w:line="360" w:lineRule="auto"/>
      <w:ind w:firstLine="200" w:firstLineChars="200"/>
    </w:pPr>
    <w:rPr>
      <w:rFonts w:ascii="Tahoma" w:hAnsi="Tahoma"/>
      <w:sz w:val="24"/>
    </w:rPr>
  </w:style>
  <w:style w:type="paragraph" w:customStyle="1" w:styleId="168">
    <w:name w:val="Char Char Char Char Char Char Char1"/>
    <w:basedOn w:val="1"/>
    <w:qFormat/>
    <w:uiPriority w:val="0"/>
    <w:pPr>
      <w:tabs>
        <w:tab w:val="left" w:pos="432"/>
      </w:tabs>
      <w:ind w:left="432" w:hanging="432"/>
    </w:pPr>
    <w:rPr>
      <w:rFonts w:ascii="Tahoma" w:hAnsi="Tahoma"/>
      <w:sz w:val="24"/>
    </w:rPr>
  </w:style>
  <w:style w:type="paragraph" w:customStyle="1" w:styleId="16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70">
    <w:name w:val="Char111"/>
    <w:basedOn w:val="1"/>
    <w:qFormat/>
    <w:uiPriority w:val="0"/>
    <w:rPr>
      <w:szCs w:val="24"/>
    </w:rPr>
  </w:style>
  <w:style w:type="paragraph" w:customStyle="1" w:styleId="17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72">
    <w:name w:val="首行缩进"/>
    <w:basedOn w:val="1"/>
    <w:qFormat/>
    <w:uiPriority w:val="0"/>
    <w:rPr>
      <w:rFonts w:ascii="等线" w:hAnsi="等线" w:eastAsia="等线"/>
      <w:szCs w:val="22"/>
      <w:lang w:val="zh-CN"/>
    </w:rPr>
  </w:style>
  <w:style w:type="paragraph" w:customStyle="1" w:styleId="173">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174">
    <w:name w:val="标准小四"/>
    <w:basedOn w:val="1"/>
    <w:qFormat/>
    <w:uiPriority w:val="0"/>
    <w:pPr>
      <w:spacing w:line="360" w:lineRule="auto"/>
      <w:ind w:firstLine="480" w:firstLineChars="200"/>
    </w:pPr>
    <w:rPr>
      <w:rFonts w:ascii="Arial" w:hAnsi="Arial"/>
      <w:sz w:val="24"/>
      <w:szCs w:val="21"/>
    </w:rPr>
  </w:style>
  <w:style w:type="paragraph" w:customStyle="1" w:styleId="175">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6">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7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79">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80">
    <w:name w:val="Char Char1 Char Char Char Char"/>
    <w:basedOn w:val="1"/>
    <w:qFormat/>
    <w:uiPriority w:val="0"/>
    <w:rPr>
      <w:rFonts w:ascii="Tahoma" w:hAnsi="Tahoma"/>
      <w:sz w:val="24"/>
    </w:rPr>
  </w:style>
  <w:style w:type="paragraph" w:customStyle="1" w:styleId="181">
    <w:name w:val="Char21"/>
    <w:basedOn w:val="1"/>
    <w:qFormat/>
    <w:uiPriority w:val="0"/>
    <w:pPr>
      <w:tabs>
        <w:tab w:val="left" w:pos="1200"/>
      </w:tabs>
      <w:ind w:left="1200" w:hanging="720"/>
    </w:pPr>
    <w:rPr>
      <w:sz w:val="24"/>
      <w:szCs w:val="24"/>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3">
    <w:name w:val="*正文"/>
    <w:basedOn w:val="1"/>
    <w:qFormat/>
    <w:uiPriority w:val="0"/>
    <w:pPr>
      <w:widowControl/>
      <w:ind w:firstLine="200" w:firstLineChars="200"/>
    </w:pPr>
    <w:rPr>
      <w:rFonts w:ascii="仿宋_GB2312" w:hAnsi="等线" w:eastAsia="仿宋_GB2312"/>
      <w:sz w:val="24"/>
      <w:szCs w:val="28"/>
    </w:rPr>
  </w:style>
  <w:style w:type="paragraph" w:customStyle="1" w:styleId="184">
    <w:name w:val="中等深浅网格 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Char Char1 Char Char Char Char1"/>
    <w:basedOn w:val="1"/>
    <w:qFormat/>
    <w:uiPriority w:val="0"/>
    <w:rPr>
      <w:rFonts w:ascii="Tahoma" w:hAnsi="Tahoma"/>
      <w:sz w:val="24"/>
    </w:rPr>
  </w:style>
  <w:style w:type="paragraph" w:customStyle="1" w:styleId="187">
    <w:name w:val="纯文本1"/>
    <w:basedOn w:val="1"/>
    <w:qFormat/>
    <w:uiPriority w:val="0"/>
    <w:rPr>
      <w:rFonts w:ascii="宋体" w:hAnsi="Courier New"/>
    </w:rPr>
  </w:style>
  <w:style w:type="paragraph" w:customStyle="1" w:styleId="188">
    <w:name w:val="列出段落1"/>
    <w:basedOn w:val="1"/>
    <w:qFormat/>
    <w:uiPriority w:val="99"/>
    <w:pPr>
      <w:ind w:firstLine="420" w:firstLineChars="200"/>
    </w:pPr>
    <w:rPr>
      <w:szCs w:val="24"/>
    </w:rPr>
  </w:style>
  <w:style w:type="paragraph" w:customStyle="1" w:styleId="189">
    <w:name w:val="标准正文"/>
    <w:basedOn w:val="1"/>
    <w:qFormat/>
    <w:uiPriority w:val="0"/>
    <w:pPr>
      <w:adjustRightInd w:val="0"/>
      <w:spacing w:line="360" w:lineRule="auto"/>
      <w:ind w:firstLine="480" w:firstLineChars="200"/>
    </w:pPr>
    <w:rPr>
      <w:kern w:val="0"/>
      <w:sz w:val="24"/>
    </w:rPr>
  </w:style>
  <w:style w:type="character" w:customStyle="1" w:styleId="190">
    <w:name w:val="批注主题 字符"/>
    <w:qFormat/>
    <w:locked/>
    <w:uiPriority w:val="99"/>
    <w:rPr>
      <w:rFonts w:ascii="宋体" w:hAnsi="宋体" w:eastAsia="宋体" w:cs="宋体"/>
      <w:b/>
      <w:kern w:val="2"/>
      <w:sz w:val="21"/>
      <w:szCs w:val="21"/>
      <w:lang w:val="en-US" w:eastAsia="zh-CN"/>
    </w:rPr>
  </w:style>
  <w:style w:type="character" w:customStyle="1" w:styleId="191">
    <w:name w:val="正文文本缩进 3 Char1"/>
    <w:semiHidden/>
    <w:qFormat/>
    <w:uiPriority w:val="0"/>
    <w:rPr>
      <w:kern w:val="2"/>
      <w:sz w:val="16"/>
      <w:szCs w:val="16"/>
    </w:rPr>
  </w:style>
  <w:style w:type="character" w:customStyle="1" w:styleId="192">
    <w:name w:val="正文文本 3 Char1"/>
    <w:semiHidden/>
    <w:qFormat/>
    <w:uiPriority w:val="0"/>
    <w:rPr>
      <w:kern w:val="2"/>
      <w:sz w:val="16"/>
      <w:szCs w:val="16"/>
    </w:rPr>
  </w:style>
  <w:style w:type="character" w:customStyle="1" w:styleId="193">
    <w:name w:val="批注框文本 Char1"/>
    <w:semiHidden/>
    <w:qFormat/>
    <w:uiPriority w:val="0"/>
    <w:rPr>
      <w:kern w:val="2"/>
      <w:sz w:val="18"/>
      <w:szCs w:val="18"/>
    </w:rPr>
  </w:style>
  <w:style w:type="character" w:customStyle="1" w:styleId="194">
    <w:name w:val="页脚 Char1"/>
    <w:semiHidden/>
    <w:qFormat/>
    <w:uiPriority w:val="99"/>
    <w:rPr>
      <w:kern w:val="2"/>
      <w:sz w:val="18"/>
      <w:szCs w:val="18"/>
    </w:rPr>
  </w:style>
  <w:style w:type="character" w:customStyle="1" w:styleId="195">
    <w:name w:val="正文文本 Char1"/>
    <w:semiHidden/>
    <w:qFormat/>
    <w:uiPriority w:val="0"/>
    <w:rPr>
      <w:kern w:val="2"/>
      <w:sz w:val="21"/>
    </w:rPr>
  </w:style>
  <w:style w:type="character" w:customStyle="1" w:styleId="196">
    <w:name w:val="正文首行缩进 Char1"/>
    <w:semiHidden/>
    <w:qFormat/>
    <w:uiPriority w:val="0"/>
  </w:style>
  <w:style w:type="character" w:customStyle="1" w:styleId="197">
    <w:name w:val="纯文本 Char1"/>
    <w:semiHidden/>
    <w:qFormat/>
    <w:uiPriority w:val="0"/>
    <w:rPr>
      <w:rFonts w:ascii="宋体" w:hAnsi="Courier New" w:cs="Courier New"/>
      <w:kern w:val="2"/>
      <w:sz w:val="21"/>
      <w:szCs w:val="21"/>
    </w:rPr>
  </w:style>
  <w:style w:type="character" w:customStyle="1" w:styleId="198">
    <w:name w:val="页眉 Char1"/>
    <w:semiHidden/>
    <w:qFormat/>
    <w:uiPriority w:val="0"/>
    <w:rPr>
      <w:kern w:val="2"/>
      <w:sz w:val="18"/>
      <w:szCs w:val="18"/>
    </w:rPr>
  </w:style>
  <w:style w:type="character" w:customStyle="1" w:styleId="199">
    <w:name w:val="标题 Char1"/>
    <w:qFormat/>
    <w:uiPriority w:val="0"/>
    <w:rPr>
      <w:rFonts w:ascii="Cambria" w:hAnsi="Cambria" w:cs="Times New Roman"/>
      <w:b/>
      <w:bCs/>
      <w:kern w:val="2"/>
      <w:sz w:val="32"/>
      <w:szCs w:val="32"/>
    </w:rPr>
  </w:style>
  <w:style w:type="character" w:customStyle="1" w:styleId="200">
    <w:name w:val="正文文本缩进 Char1"/>
    <w:qFormat/>
    <w:uiPriority w:val="0"/>
    <w:rPr>
      <w:kern w:val="2"/>
      <w:sz w:val="21"/>
    </w:rPr>
  </w:style>
  <w:style w:type="character" w:customStyle="1" w:styleId="201">
    <w:name w:val="正文文本 2 Char1"/>
    <w:semiHidden/>
    <w:qFormat/>
    <w:uiPriority w:val="0"/>
    <w:rPr>
      <w:kern w:val="2"/>
      <w:sz w:val="21"/>
    </w:rPr>
  </w:style>
  <w:style w:type="character" w:customStyle="1" w:styleId="202">
    <w:name w:val="文档结构图 Char1"/>
    <w:semiHidden/>
    <w:qFormat/>
    <w:uiPriority w:val="0"/>
    <w:rPr>
      <w:rFonts w:ascii="宋体"/>
      <w:kern w:val="2"/>
      <w:sz w:val="18"/>
      <w:szCs w:val="18"/>
    </w:rPr>
  </w:style>
  <w:style w:type="character" w:customStyle="1" w:styleId="203">
    <w:name w:val="正文文本缩进 2 Char1"/>
    <w:semiHidden/>
    <w:qFormat/>
    <w:uiPriority w:val="0"/>
    <w:rPr>
      <w:kern w:val="2"/>
      <w:sz w:val="21"/>
    </w:rPr>
  </w:style>
  <w:style w:type="character" w:customStyle="1" w:styleId="204">
    <w:name w:val="批注主题 Char1"/>
    <w:semiHidden/>
    <w:qFormat/>
    <w:locked/>
    <w:uiPriority w:val="99"/>
    <w:rPr>
      <w:b/>
      <w:bCs/>
      <w:lang w:val="en-US" w:eastAsia="zh-CN" w:bidi="ar-SA"/>
    </w:rPr>
  </w:style>
  <w:style w:type="character" w:customStyle="1" w:styleId="205">
    <w:name w:val="Char Char331"/>
    <w:qFormat/>
    <w:uiPriority w:val="0"/>
    <w:rPr>
      <w:rFonts w:hint="eastAsia" w:ascii="宋体" w:hAnsi="宋体"/>
      <w:i/>
      <w:szCs w:val="24"/>
      <w:lang w:val="en-US" w:eastAsia="zh-CN" w:bidi="ar-SA"/>
    </w:rPr>
  </w:style>
  <w:style w:type="character" w:customStyle="1" w:styleId="206">
    <w:name w:val="日期 Char1"/>
    <w:semiHidden/>
    <w:qFormat/>
    <w:locked/>
    <w:uiPriority w:val="0"/>
    <w:rPr>
      <w:rFonts w:ascii="宋体"/>
      <w:sz w:val="24"/>
    </w:rPr>
  </w:style>
  <w:style w:type="character" w:customStyle="1" w:styleId="207">
    <w:name w:val="HTML 预设格式 Char1"/>
    <w:semiHidden/>
    <w:qFormat/>
    <w:locked/>
    <w:uiPriority w:val="0"/>
    <w:rPr>
      <w:rFonts w:ascii="Courier New" w:hAnsi="Courier New" w:cs="Courier New"/>
      <w:kern w:val="2"/>
    </w:rPr>
  </w:style>
  <w:style w:type="paragraph" w:customStyle="1" w:styleId="208">
    <w:name w:val="F-正文"/>
    <w:qFormat/>
    <w:uiPriority w:val="0"/>
    <w:pPr>
      <w:spacing w:line="560" w:lineRule="exact"/>
      <w:jc w:val="both"/>
    </w:pPr>
    <w:rPr>
      <w:rFonts w:ascii="Times" w:hAnsi="Times" w:eastAsia="仿宋" w:cs="Times New Roman"/>
      <w:kern w:val="2"/>
      <w:sz w:val="24"/>
      <w:lang w:val="en-US" w:eastAsia="zh-CN" w:bidi="ar-SA"/>
    </w:rPr>
  </w:style>
  <w:style w:type="character" w:customStyle="1" w:styleId="209">
    <w:name w:val="bookmark-item"/>
    <w:qFormat/>
    <w:uiPriority w:val="0"/>
  </w:style>
  <w:style w:type="character" w:customStyle="1" w:styleId="210">
    <w:name w:val="NormalCharacter"/>
    <w:qFormat/>
    <w:uiPriority w:val="0"/>
    <w:rPr>
      <w:kern w:val="2"/>
      <w:sz w:val="21"/>
      <w:lang w:val="en-US" w:eastAsia="zh-CN" w:bidi="ar-SA"/>
    </w:rPr>
  </w:style>
  <w:style w:type="character" w:customStyle="1" w:styleId="211">
    <w:name w:val="_Style 210"/>
    <w:qFormat/>
    <w:uiPriority w:val="19"/>
    <w:rPr>
      <w:i/>
      <w:iCs/>
      <w:color w:val="808080"/>
    </w:rPr>
  </w:style>
  <w:style w:type="paragraph" w:customStyle="1" w:styleId="212">
    <w:name w:val="Table Paragraph"/>
    <w:basedOn w:val="1"/>
    <w:qFormat/>
    <w:uiPriority w:val="1"/>
    <w:pPr>
      <w:autoSpaceDE w:val="0"/>
      <w:autoSpaceDN w:val="0"/>
      <w:jc w:val="left"/>
    </w:pPr>
    <w:rPr>
      <w:rFonts w:ascii="宋体" w:hAnsi="宋体" w:cs="宋体"/>
      <w:kern w:val="0"/>
      <w:sz w:val="22"/>
      <w:szCs w:val="22"/>
    </w:rPr>
  </w:style>
  <w:style w:type="character" w:customStyle="1" w:styleId="213">
    <w:name w:val="纯文本 Char3"/>
    <w:qFormat/>
    <w:locked/>
    <w:uiPriority w:val="0"/>
    <w:rPr>
      <w:rFonts w:ascii="宋体" w:hAnsi="Courier New" w:eastAsia="宋体"/>
    </w:rPr>
  </w:style>
  <w:style w:type="character" w:customStyle="1" w:styleId="214">
    <w:name w:val="Document Map Char1"/>
    <w:semiHidden/>
    <w:qFormat/>
    <w:uiPriority w:val="99"/>
    <w:rPr>
      <w:kern w:val="2"/>
      <w:sz w:val="16"/>
      <w:szCs w:val="0"/>
    </w:rPr>
  </w:style>
  <w:style w:type="character" w:customStyle="1" w:styleId="215">
    <w:name w:val="Body Text Char1"/>
    <w:semiHidden/>
    <w:qFormat/>
    <w:uiPriority w:val="99"/>
    <w:rPr>
      <w:kern w:val="2"/>
      <w:sz w:val="21"/>
    </w:rPr>
  </w:style>
  <w:style w:type="character" w:customStyle="1" w:styleId="216">
    <w:name w:val="Body Text Indent 2 Char1"/>
    <w:semiHidden/>
    <w:qFormat/>
    <w:uiPriority w:val="99"/>
    <w:rPr>
      <w:kern w:val="2"/>
      <w:sz w:val="21"/>
    </w:rPr>
  </w:style>
  <w:style w:type="character" w:customStyle="1" w:styleId="217">
    <w:name w:val="Body Text Indent Char1"/>
    <w:semiHidden/>
    <w:qFormat/>
    <w:uiPriority w:val="99"/>
    <w:rPr>
      <w:kern w:val="2"/>
      <w:sz w:val="21"/>
    </w:rPr>
  </w:style>
  <w:style w:type="character" w:customStyle="1" w:styleId="218">
    <w:name w:val="Body Text 3 Char1"/>
    <w:semiHidden/>
    <w:qFormat/>
    <w:uiPriority w:val="99"/>
    <w:rPr>
      <w:kern w:val="2"/>
      <w:sz w:val="16"/>
      <w:szCs w:val="16"/>
    </w:rPr>
  </w:style>
  <w:style w:type="paragraph" w:customStyle="1" w:styleId="219">
    <w:name w:val="列表段落1"/>
    <w:basedOn w:val="1"/>
    <w:qFormat/>
    <w:uiPriority w:val="0"/>
    <w:pPr>
      <w:ind w:firstLine="420" w:firstLineChars="200"/>
    </w:pPr>
    <w:rPr>
      <w:sz w:val="22"/>
    </w:rPr>
  </w:style>
  <w:style w:type="character" w:customStyle="1" w:styleId="220">
    <w:name w:val="Footer Char1"/>
    <w:semiHidden/>
    <w:qFormat/>
    <w:uiPriority w:val="99"/>
    <w:rPr>
      <w:kern w:val="2"/>
      <w:sz w:val="18"/>
      <w:szCs w:val="18"/>
    </w:rPr>
  </w:style>
  <w:style w:type="character" w:customStyle="1" w:styleId="221">
    <w:name w:val="Body Text 2 Char1"/>
    <w:semiHidden/>
    <w:qFormat/>
    <w:uiPriority w:val="99"/>
    <w:rPr>
      <w:kern w:val="2"/>
      <w:sz w:val="21"/>
    </w:rPr>
  </w:style>
  <w:style w:type="character" w:customStyle="1" w:styleId="222">
    <w:name w:val="Body Text First Indent Char1"/>
    <w:semiHidden/>
    <w:qFormat/>
    <w:uiPriority w:val="99"/>
    <w:rPr>
      <w:rFonts w:eastAsia="宋体"/>
      <w:i/>
      <w:kern w:val="2"/>
      <w:sz w:val="21"/>
      <w:lang w:val="en-US" w:eastAsia="zh-CN"/>
    </w:rPr>
  </w:style>
  <w:style w:type="character" w:customStyle="1" w:styleId="223">
    <w:name w:val="Header Char1"/>
    <w:semiHidden/>
    <w:qFormat/>
    <w:uiPriority w:val="99"/>
    <w:rPr>
      <w:kern w:val="2"/>
      <w:sz w:val="18"/>
      <w:szCs w:val="18"/>
    </w:rPr>
  </w:style>
  <w:style w:type="character" w:customStyle="1" w:styleId="224">
    <w:name w:val="Body Text Indent 3 Char1"/>
    <w:semiHidden/>
    <w:qFormat/>
    <w:uiPriority w:val="99"/>
    <w:rPr>
      <w:kern w:val="2"/>
      <w:sz w:val="16"/>
      <w:szCs w:val="16"/>
    </w:rPr>
  </w:style>
  <w:style w:type="character" w:customStyle="1" w:styleId="225">
    <w:name w:val="纯文本 字符"/>
    <w:qFormat/>
    <w:uiPriority w:val="0"/>
    <w:rPr>
      <w:rFonts w:ascii="宋体" w:hAnsi="宋体" w:eastAsia="宋体"/>
      <w:color w:val="000000"/>
      <w:sz w:val="24"/>
      <w:lang w:val="en-US" w:eastAsia="zh-CN"/>
    </w:rPr>
  </w:style>
  <w:style w:type="character" w:customStyle="1" w:styleId="226">
    <w:name w:val="Date Char1"/>
    <w:semiHidden/>
    <w:qFormat/>
    <w:uiPriority w:val="99"/>
    <w:rPr>
      <w:kern w:val="2"/>
      <w:sz w:val="21"/>
    </w:rPr>
  </w:style>
  <w:style w:type="character" w:customStyle="1" w:styleId="227">
    <w:name w:val="Plain Text Char1"/>
    <w:semiHidden/>
    <w:qFormat/>
    <w:uiPriority w:val="99"/>
    <w:rPr>
      <w:rFonts w:ascii="宋体" w:hAnsi="Courier New" w:cs="Courier New"/>
      <w:kern w:val="2"/>
      <w:sz w:val="21"/>
      <w:szCs w:val="21"/>
    </w:rPr>
  </w:style>
  <w:style w:type="paragraph" w:customStyle="1" w:styleId="228">
    <w:name w:val="纯文本11"/>
    <w:basedOn w:val="1"/>
    <w:qFormat/>
    <w:uiPriority w:val="0"/>
    <w:rPr>
      <w:rFonts w:ascii="宋体" w:hAnsi="Courier New"/>
    </w:rPr>
  </w:style>
  <w:style w:type="paragraph" w:customStyle="1" w:styleId="229">
    <w:name w:val="正文11"/>
    <w:qFormat/>
    <w:uiPriority w:val="0"/>
    <w:pPr>
      <w:widowControl w:val="0"/>
      <w:jc w:val="both"/>
    </w:pPr>
    <w:rPr>
      <w:rFonts w:ascii="Calibri" w:hAnsi="Calibri" w:eastAsia="宋体" w:cs="Times New Roman"/>
      <w:kern w:val="2"/>
      <w:sz w:val="21"/>
      <w:lang w:val="en-US" w:eastAsia="zh-CN" w:bidi="ar-SA"/>
    </w:rPr>
  </w:style>
  <w:style w:type="paragraph" w:customStyle="1" w:styleId="230">
    <w:name w:val="Char11"/>
    <w:basedOn w:val="1"/>
    <w:qFormat/>
    <w:uiPriority w:val="0"/>
    <w:rPr>
      <w:szCs w:val="24"/>
    </w:rPr>
  </w:style>
  <w:style w:type="paragraph" w:customStyle="1" w:styleId="231">
    <w:name w:val="Char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3">
    <w:name w:val="样式3"/>
    <w:basedOn w:val="21"/>
    <w:qFormat/>
    <w:uiPriority w:val="0"/>
    <w:pPr>
      <w:spacing w:line="0" w:lineRule="atLeast"/>
      <w:outlineLvl w:val="0"/>
    </w:pPr>
    <w:rPr>
      <w:rFonts w:cs="Times New Roman"/>
      <w:sz w:val="28"/>
      <w:szCs w:val="20"/>
    </w:rPr>
  </w:style>
  <w:style w:type="paragraph" w:styleId="234">
    <w:name w:val="No Spacing"/>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5">
    <w:name w:val="font41"/>
    <w:qFormat/>
    <w:uiPriority w:val="0"/>
    <w:rPr>
      <w:rFonts w:hint="eastAsia" w:ascii="宋体" w:hAnsi="宋体" w:eastAsia="宋体" w:cs="宋体"/>
      <w:color w:val="000000"/>
      <w:sz w:val="18"/>
      <w:szCs w:val="18"/>
      <w:u w:val="none"/>
    </w:rPr>
  </w:style>
  <w:style w:type="character" w:customStyle="1" w:styleId="236">
    <w:name w:val="font131"/>
    <w:qFormat/>
    <w:uiPriority w:val="0"/>
    <w:rPr>
      <w:rFonts w:hint="eastAsia" w:ascii="宋体" w:hAnsi="宋体" w:eastAsia="宋体" w:cs="宋体"/>
      <w:b/>
      <w:bCs/>
      <w:color w:val="000000"/>
      <w:sz w:val="21"/>
      <w:szCs w:val="21"/>
      <w:u w:val="none"/>
    </w:rPr>
  </w:style>
  <w:style w:type="character" w:customStyle="1" w:styleId="237">
    <w:name w:val="font141"/>
    <w:qFormat/>
    <w:uiPriority w:val="0"/>
    <w:rPr>
      <w:rFonts w:ascii="Arial" w:hAnsi="Arial" w:cs="Arial"/>
      <w:color w:val="C00000"/>
      <w:sz w:val="18"/>
      <w:szCs w:val="18"/>
      <w:u w:val="none"/>
    </w:rPr>
  </w:style>
  <w:style w:type="character" w:customStyle="1" w:styleId="238">
    <w:name w:val="font151"/>
    <w:qFormat/>
    <w:uiPriority w:val="0"/>
    <w:rPr>
      <w:rFonts w:hint="eastAsia" w:ascii="宋体" w:hAnsi="宋体" w:eastAsia="宋体" w:cs="宋体"/>
      <w:color w:val="C00000"/>
      <w:sz w:val="18"/>
      <w:szCs w:val="18"/>
      <w:u w:val="none"/>
    </w:rPr>
  </w:style>
  <w:style w:type="character" w:styleId="239">
    <w:name w:val="Placeholder Text"/>
    <w:basedOn w:val="46"/>
    <w:unhideWhenUsed/>
    <w:qFormat/>
    <w:uiPriority w:val="99"/>
    <w:rPr>
      <w:color w:val="808080"/>
    </w:rPr>
  </w:style>
  <w:style w:type="paragraph" w:customStyle="1" w:styleId="240">
    <w:name w:val="Table Text"/>
    <w:basedOn w:val="1"/>
    <w:semiHidden/>
    <w:qFormat/>
    <w:uiPriority w:val="0"/>
    <w:pPr>
      <w:widowControl/>
      <w:kinsoku w:val="0"/>
      <w:autoSpaceDE w:val="0"/>
      <w:autoSpaceDN w:val="0"/>
      <w:adjustRightInd w:val="0"/>
      <w:snapToGrid w:val="0"/>
      <w:jc w:val="left"/>
    </w:pPr>
    <w:rPr>
      <w:rFonts w:ascii="仿宋" w:hAnsi="仿宋" w:eastAsia="仿宋" w:cs="仿宋"/>
      <w:color w:val="000000"/>
      <w:kern w:val="0"/>
      <w:sz w:val="28"/>
      <w:szCs w:val="28"/>
      <w:lang w:eastAsia="en-US"/>
    </w:rPr>
  </w:style>
  <w:style w:type="table" w:customStyle="1" w:styleId="241">
    <w:name w:val="Table Normal"/>
    <w:semiHidden/>
    <w:qFormat/>
    <w:uiPriority w:val="0"/>
    <w:pPr>
      <w:snapToGrid w:val="0"/>
    </w:pPr>
    <w:rPr>
      <w:rFonts w:ascii="Arial" w:hAnsi="Arial" w:eastAsia="Times New Roman" w:cs="Arial"/>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Unknown Organization</Company>
  <Pages>47</Pages>
  <Words>3583</Words>
  <Characters>4016</Characters>
  <Lines>45</Lines>
  <Paragraphs>67</Paragraphs>
  <TotalTime>66</TotalTime>
  <ScaleCrop>false</ScaleCrop>
  <LinksUpToDate>false</LinksUpToDate>
  <CharactersWithSpaces>4053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2020-11-04T05:16:00Z</dcterms:created>
  <dc:creator>Administrator</dc:creator>
  <cp:lastModifiedBy>SL</cp:lastModifiedBy>
  <cp:lastPrinted>2025-06-17T01:36:00Z</cp:lastPrinted>
  <dcterms:modified xsi:type="dcterms:W3CDTF">2025-06-26T04:31:35Z</dcterms:modified>
  <dc:title>第一部分  投标方须知</dc:title>
  <cp:revision>879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E3CDECF5DCF6463BBDB649E1D61C01E5_13</vt:lpwstr>
  </property>
  <property fmtid="{D5CDD505-2E9C-101B-9397-08002B2CF9AE}" pid="4" name="KSOTemplateDocerSaveRecord">
    <vt:lpwstr>eyJoZGlkIjoiYzU5ODlmMTE2ZDRjNDIyNDdmY2E1YzE4M2E5MDNjYzgiLCJ1c2VySWQiOiI2NzgyNTY0NjgifQ==</vt:lpwstr>
  </property>
</Properties>
</file>