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84"/>
          <w:szCs w:val="84"/>
          <w:highlight w:val="none"/>
        </w:rPr>
      </w:pPr>
      <w:bookmarkStart w:id="0" w:name="_Toc97372564"/>
    </w:p>
    <w:p>
      <w:pPr>
        <w:jc w:val="center"/>
        <w:rPr>
          <w:rFonts w:ascii="宋体" w:hAnsi="宋体"/>
          <w:sz w:val="84"/>
          <w:szCs w:val="84"/>
          <w:highlight w:val="none"/>
        </w:rPr>
      </w:pPr>
      <w:r>
        <w:rPr>
          <w:rFonts w:hint="eastAsia" w:ascii="宋体" w:hAnsi="宋体"/>
          <w:sz w:val="84"/>
          <w:szCs w:val="84"/>
          <w:highlight w:val="none"/>
        </w:rPr>
        <w:t>公开招标采购文件</w:t>
      </w: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jc w:val="center"/>
        <w:rPr>
          <w:rFonts w:hint="eastAsia" w:ascii="宋体" w:hAnsi="宋体" w:cs="宋体"/>
          <w:bCs/>
          <w:spacing w:val="-20"/>
          <w:position w:val="-6"/>
          <w:sz w:val="48"/>
          <w:szCs w:val="48"/>
          <w:highlight w:val="none"/>
          <w:lang w:eastAsia="zh-CN"/>
        </w:rPr>
      </w:pPr>
      <w:r>
        <w:rPr>
          <w:rFonts w:hint="eastAsia" w:ascii="宋体" w:hAnsi="宋体" w:cs="宋体"/>
          <w:bCs/>
          <w:spacing w:val="-20"/>
          <w:position w:val="-6"/>
          <w:sz w:val="48"/>
          <w:szCs w:val="48"/>
          <w:highlight w:val="none"/>
          <w:lang w:eastAsia="zh-CN"/>
        </w:rPr>
        <w:t>2024年“5·19中国旅游日”主题周浙江主会场活动暨第二十二届徐霞客开游节开幕式</w:t>
      </w:r>
    </w:p>
    <w:p>
      <w:pPr>
        <w:jc w:val="center"/>
        <w:rPr>
          <w:rFonts w:hint="eastAsia" w:ascii="宋体" w:hAnsi="宋体" w:eastAsia="宋体" w:cs="宋体"/>
          <w:bCs/>
          <w:spacing w:val="-20"/>
          <w:position w:val="-6"/>
          <w:sz w:val="48"/>
          <w:szCs w:val="48"/>
          <w:highlight w:val="none"/>
          <w:lang w:eastAsia="zh-CN"/>
        </w:rPr>
      </w:pPr>
      <w:r>
        <w:rPr>
          <w:rFonts w:hint="eastAsia" w:ascii="宋体" w:hAnsi="宋体" w:cs="宋体"/>
          <w:bCs/>
          <w:spacing w:val="-20"/>
          <w:position w:val="-6"/>
          <w:sz w:val="48"/>
          <w:szCs w:val="48"/>
          <w:highlight w:val="none"/>
          <w:lang w:eastAsia="zh-CN"/>
        </w:rPr>
        <w:t>服务采购项目</w:t>
      </w:r>
    </w:p>
    <w:p>
      <w:pPr>
        <w:rPr>
          <w:rFonts w:ascii="方正小标宋简体" w:eastAsia="方正小标宋简体"/>
          <w:sz w:val="44"/>
          <w:szCs w:val="44"/>
          <w:highlight w:val="none"/>
        </w:rPr>
      </w:pPr>
    </w:p>
    <w:p>
      <w:pPr>
        <w:jc w:val="center"/>
        <w:rPr>
          <w:rFonts w:ascii="宋体" w:hAnsi="宋体"/>
          <w:sz w:val="32"/>
          <w:szCs w:val="32"/>
          <w:highlight w:val="none"/>
        </w:rPr>
      </w:pPr>
    </w:p>
    <w:p>
      <w:pPr>
        <w:jc w:val="center"/>
        <w:rPr>
          <w:rFonts w:ascii="方正小标宋简体"/>
          <w:sz w:val="24"/>
          <w:highlight w:val="none"/>
        </w:rPr>
      </w:pPr>
      <w:r>
        <w:rPr>
          <w:rFonts w:hint="eastAsia" w:ascii="宋体" w:hAnsi="宋体" w:cs="宋体"/>
          <w:sz w:val="36"/>
          <w:szCs w:val="36"/>
          <w:highlight w:val="none"/>
          <w:lang w:val="zh-CN"/>
        </w:rPr>
        <w:t>ZGZB-NHCG2024029</w:t>
      </w:r>
    </w:p>
    <w:p>
      <w:pPr>
        <w:rPr>
          <w:rFonts w:ascii="方正小标宋简体" w:eastAsia="方正小标宋简体"/>
          <w:sz w:val="24"/>
          <w:highlight w:val="none"/>
        </w:rPr>
      </w:pPr>
    </w:p>
    <w:p>
      <w:pPr>
        <w:rPr>
          <w:rFonts w:ascii="方正小标宋简体" w:eastAsia="方正小标宋简体"/>
          <w:sz w:val="24"/>
          <w:highlight w:val="none"/>
        </w:rPr>
      </w:pPr>
    </w:p>
    <w:p>
      <w:pPr>
        <w:spacing w:line="480" w:lineRule="auto"/>
        <w:rPr>
          <w:rFonts w:ascii="方正小标宋简体" w:eastAsia="方正小标宋简体"/>
          <w:sz w:val="24"/>
          <w:highlight w:val="none"/>
        </w:rPr>
      </w:pPr>
    </w:p>
    <w:p>
      <w:pPr>
        <w:spacing w:line="480" w:lineRule="auto"/>
        <w:rPr>
          <w:rFonts w:ascii="方正小标宋简体" w:eastAsia="方正小标宋简体"/>
          <w:sz w:val="24"/>
          <w:highlight w:val="none"/>
        </w:rPr>
      </w:pPr>
    </w:p>
    <w:p>
      <w:pPr>
        <w:spacing w:line="480" w:lineRule="auto"/>
        <w:ind w:firstLine="1120" w:firstLineChars="350"/>
        <w:rPr>
          <w:rFonts w:ascii="宋体" w:hAnsi="宋体" w:cs="宋体"/>
          <w:sz w:val="32"/>
          <w:highlight w:val="none"/>
        </w:rPr>
      </w:pPr>
      <w:r>
        <w:rPr>
          <w:rFonts w:hint="eastAsia" w:ascii="宋体" w:hAnsi="宋体"/>
          <w:sz w:val="32"/>
          <w:highlight w:val="none"/>
        </w:rPr>
        <w:t>招 标 人：</w:t>
      </w:r>
      <w:r>
        <w:rPr>
          <w:rFonts w:hint="eastAsia" w:ascii="宋体" w:hAnsi="宋体" w:cs="宋体"/>
          <w:sz w:val="32"/>
          <w:highlight w:val="none"/>
        </w:rPr>
        <w:t>宁海县文化和广电旅游体育局</w:t>
      </w:r>
    </w:p>
    <w:p>
      <w:pPr>
        <w:spacing w:line="480" w:lineRule="auto"/>
        <w:ind w:firstLine="1120" w:firstLineChars="350"/>
        <w:rPr>
          <w:rFonts w:ascii="宋体" w:hAnsi="宋体"/>
          <w:sz w:val="32"/>
          <w:highlight w:val="none"/>
        </w:rPr>
      </w:pPr>
      <w:r>
        <w:rPr>
          <w:rFonts w:hint="eastAsia" w:ascii="宋体" w:hAnsi="宋体"/>
          <w:sz w:val="32"/>
          <w:highlight w:val="none"/>
        </w:rPr>
        <w:t xml:space="preserve">招标代理: </w:t>
      </w:r>
      <w:r>
        <w:rPr>
          <w:rFonts w:hint="eastAsia" w:ascii="宋体" w:hAnsi="宋体"/>
          <w:sz w:val="32"/>
          <w:szCs w:val="22"/>
          <w:highlight w:val="none"/>
          <w:lang w:val="zh-CN"/>
        </w:rPr>
        <w:t>中冠工程管理咨询有限公司</w:t>
      </w:r>
    </w:p>
    <w:p>
      <w:pPr>
        <w:pStyle w:val="23"/>
        <w:snapToGrid w:val="0"/>
        <w:spacing w:line="360" w:lineRule="auto"/>
        <w:ind w:firstLine="1120" w:firstLineChars="350"/>
        <w:contextualSpacing/>
        <w:rPr>
          <w:rFonts w:ascii="Times New Roman" w:hAnsi="Times New Roman"/>
          <w:bCs/>
          <w:w w:val="80"/>
          <w:sz w:val="28"/>
          <w:szCs w:val="28"/>
          <w:highlight w:val="none"/>
        </w:rPr>
      </w:pPr>
      <w:r>
        <w:rPr>
          <w:rFonts w:hint="eastAsia" w:hAnsi="宋体" w:cs="宋体"/>
          <w:sz w:val="32"/>
          <w:highlight w:val="none"/>
        </w:rPr>
        <w:t>时    间：二○二</w:t>
      </w:r>
      <w:r>
        <w:rPr>
          <w:rFonts w:hint="eastAsia" w:hAnsi="宋体" w:cs="宋体"/>
          <w:sz w:val="32"/>
          <w:highlight w:val="none"/>
          <w:lang w:val="en-US" w:eastAsia="zh-CN"/>
        </w:rPr>
        <w:t>四</w:t>
      </w:r>
      <w:r>
        <w:rPr>
          <w:rFonts w:hint="eastAsia" w:hAnsi="宋体" w:cs="宋体"/>
          <w:sz w:val="32"/>
          <w:highlight w:val="none"/>
        </w:rPr>
        <w:t>年四月</w:t>
      </w:r>
    </w:p>
    <w:p>
      <w:pPr>
        <w:spacing w:line="360" w:lineRule="auto"/>
        <w:ind w:right="-57"/>
        <w:contextualSpacing/>
        <w:rPr>
          <w:w w:val="80"/>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247" w:right="1197" w:bottom="1304" w:left="1560" w:header="720" w:footer="720" w:gutter="0"/>
          <w:pgNumType w:start="0"/>
          <w:cols w:space="720" w:num="1"/>
          <w:titlePg/>
          <w:docGrid w:linePitch="285" w:charSpace="0"/>
        </w:sectPr>
      </w:pPr>
    </w:p>
    <w:p>
      <w:pPr>
        <w:pStyle w:val="23"/>
        <w:spacing w:after="120" w:line="360" w:lineRule="auto"/>
        <w:jc w:val="center"/>
        <w:rPr>
          <w:rFonts w:hAnsi="宋体" w:cs="宋体"/>
          <w:b/>
          <w:bCs/>
          <w:sz w:val="52"/>
          <w:szCs w:val="52"/>
          <w:highlight w:val="none"/>
        </w:rPr>
      </w:pPr>
      <w:r>
        <w:rPr>
          <w:rFonts w:hint="eastAsia" w:hAnsi="宋体" w:cs="宋体"/>
          <w:b/>
          <w:bCs/>
          <w:sz w:val="52"/>
          <w:szCs w:val="52"/>
          <w:highlight w:val="none"/>
        </w:rPr>
        <w:t>目    录</w:t>
      </w:r>
    </w:p>
    <w:p>
      <w:pPr>
        <w:pStyle w:val="30"/>
        <w:tabs>
          <w:tab w:val="right" w:leader="dot" w:pos="8959"/>
          <w:tab w:val="clear" w:pos="8789"/>
        </w:tabs>
        <w:spacing w:line="240" w:lineRule="auto"/>
        <w:rPr>
          <w:rFonts w:hint="eastAsia" w:eastAsia="宋体"/>
          <w:sz w:val="21"/>
          <w:szCs w:val="24"/>
          <w:highlight w:val="none"/>
          <w:lang w:eastAsia="zh-CN"/>
        </w:rPr>
      </w:pPr>
      <w:r>
        <w:rPr>
          <w:rFonts w:hint="eastAsia" w:ascii="宋体" w:hAnsi="宋体" w:cs="宋体"/>
          <w:b/>
          <w:bCs/>
          <w:sz w:val="32"/>
          <w:szCs w:val="32"/>
          <w:highlight w:val="none"/>
        </w:rPr>
        <w:fldChar w:fldCharType="begin"/>
      </w:r>
      <w:r>
        <w:rPr>
          <w:rFonts w:hint="eastAsia" w:ascii="宋体" w:hAnsi="宋体" w:cs="宋体"/>
          <w:b/>
          <w:bCs/>
          <w:sz w:val="32"/>
          <w:szCs w:val="32"/>
          <w:highlight w:val="none"/>
        </w:rPr>
        <w:instrText xml:space="preserve">TOC \o "1-3" \h \u </w:instrText>
      </w:r>
      <w:r>
        <w:rPr>
          <w:rFonts w:hint="eastAsia" w:ascii="宋体" w:hAnsi="宋体" w:cs="宋体"/>
          <w:b/>
          <w:bCs/>
          <w:sz w:val="32"/>
          <w:szCs w:val="32"/>
          <w:highlight w:val="none"/>
        </w:rPr>
        <w:fldChar w:fldCharType="separate"/>
      </w:r>
      <w:r>
        <w:rPr>
          <w:highlight w:val="none"/>
        </w:rPr>
        <w:fldChar w:fldCharType="begin"/>
      </w:r>
      <w:r>
        <w:rPr>
          <w:highlight w:val="none"/>
        </w:rPr>
        <w:instrText xml:space="preserve"> HYPERLINK \l "_Toc9329" </w:instrText>
      </w:r>
      <w:r>
        <w:rPr>
          <w:highlight w:val="none"/>
        </w:rPr>
        <w:fldChar w:fldCharType="separate"/>
      </w:r>
      <w:r>
        <w:rPr>
          <w:rFonts w:hint="eastAsia"/>
          <w:sz w:val="21"/>
          <w:szCs w:val="24"/>
          <w:highlight w:val="none"/>
        </w:rPr>
        <w:t>第一章  采购公告</w:t>
      </w:r>
      <w:r>
        <w:rPr>
          <w:rFonts w:hint="eastAsia"/>
          <w:sz w:val="21"/>
          <w:szCs w:val="24"/>
          <w:highlight w:val="none"/>
        </w:rPr>
        <w:tab/>
      </w:r>
      <w:r>
        <w:rPr>
          <w:rFonts w:hint="eastAsia"/>
          <w:sz w:val="21"/>
          <w:szCs w:val="24"/>
          <w:highlight w:val="none"/>
        </w:rPr>
        <w:fldChar w:fldCharType="end"/>
      </w:r>
      <w:r>
        <w:rPr>
          <w:rFonts w:hint="eastAsia"/>
          <w:sz w:val="21"/>
          <w:szCs w:val="24"/>
          <w:highlight w:val="none"/>
          <w:lang w:val="en-US" w:eastAsia="zh-CN"/>
        </w:rPr>
        <w:t>2</w:t>
      </w:r>
    </w:p>
    <w:p>
      <w:pPr>
        <w:pStyle w:val="37"/>
        <w:tabs>
          <w:tab w:val="right" w:leader="dot" w:pos="8959"/>
          <w:tab w:val="clear" w:pos="8789"/>
        </w:tabs>
        <w:ind w:left="0" w:leftChars="0"/>
        <w:rPr>
          <w:szCs w:val="24"/>
          <w:highlight w:val="none"/>
        </w:rPr>
      </w:pPr>
    </w:p>
    <w:p>
      <w:pPr>
        <w:pStyle w:val="37"/>
        <w:tabs>
          <w:tab w:val="right" w:leader="dot" w:pos="8959"/>
          <w:tab w:val="clear" w:pos="8789"/>
        </w:tabs>
        <w:ind w:left="0" w:leftChars="0"/>
        <w:rPr>
          <w:szCs w:val="24"/>
          <w:highlight w:val="none"/>
        </w:rPr>
      </w:pPr>
      <w:r>
        <w:rPr>
          <w:rFonts w:hint="eastAsia"/>
          <w:szCs w:val="24"/>
          <w:highlight w:val="none"/>
        </w:rPr>
        <w:t xml:space="preserve">第二章  </w:t>
      </w:r>
      <w:r>
        <w:rPr>
          <w:highlight w:val="none"/>
        </w:rPr>
        <w:fldChar w:fldCharType="begin"/>
      </w:r>
      <w:r>
        <w:rPr>
          <w:highlight w:val="none"/>
        </w:rPr>
        <w:instrText xml:space="preserve"> HYPERLINK \l "_Toc28564" </w:instrText>
      </w:r>
      <w:r>
        <w:rPr>
          <w:highlight w:val="none"/>
        </w:rPr>
        <w:fldChar w:fldCharType="separate"/>
      </w:r>
      <w:r>
        <w:rPr>
          <w:rFonts w:hint="eastAsia"/>
          <w:szCs w:val="24"/>
          <w:highlight w:val="none"/>
        </w:rPr>
        <w:t>投标资料表</w:t>
      </w:r>
      <w:r>
        <w:rPr>
          <w:rFonts w:hint="eastAsia"/>
          <w:szCs w:val="24"/>
          <w:highlight w:val="none"/>
        </w:rPr>
        <w:tab/>
      </w:r>
      <w:r>
        <w:rPr>
          <w:rFonts w:hint="eastAsia"/>
          <w:szCs w:val="24"/>
          <w:highlight w:val="none"/>
          <w:lang w:val="en-US" w:eastAsia="zh-CN"/>
        </w:rPr>
        <w:t>7</w:t>
      </w:r>
      <w:r>
        <w:rPr>
          <w:rFonts w:hint="eastAsia"/>
          <w:szCs w:val="24"/>
          <w:highlight w:val="none"/>
        </w:rPr>
        <w:fldChar w:fldCharType="end"/>
      </w:r>
    </w:p>
    <w:p>
      <w:pPr>
        <w:pStyle w:val="37"/>
        <w:tabs>
          <w:tab w:val="right" w:leader="dot" w:pos="8959"/>
          <w:tab w:val="clear" w:pos="8789"/>
        </w:tabs>
        <w:ind w:left="0" w:leftChars="0"/>
        <w:rPr>
          <w:szCs w:val="24"/>
          <w:highlight w:val="none"/>
        </w:rPr>
      </w:pPr>
    </w:p>
    <w:p>
      <w:pPr>
        <w:pStyle w:val="37"/>
        <w:tabs>
          <w:tab w:val="right" w:leader="dot" w:pos="8959"/>
          <w:tab w:val="clear" w:pos="8789"/>
        </w:tabs>
        <w:ind w:left="0" w:leftChars="0"/>
        <w:rPr>
          <w:rFonts w:hint="eastAsia" w:eastAsia="宋体"/>
          <w:szCs w:val="24"/>
          <w:highlight w:val="none"/>
          <w:lang w:eastAsia="zh-CN"/>
        </w:rPr>
      </w:pPr>
      <w:r>
        <w:rPr>
          <w:highlight w:val="none"/>
        </w:rPr>
        <w:fldChar w:fldCharType="begin"/>
      </w:r>
      <w:r>
        <w:rPr>
          <w:highlight w:val="none"/>
        </w:rPr>
        <w:instrText xml:space="preserve"> HYPERLINK \l "_Toc8089" </w:instrText>
      </w:r>
      <w:r>
        <w:rPr>
          <w:highlight w:val="none"/>
        </w:rPr>
        <w:fldChar w:fldCharType="separate"/>
      </w:r>
      <w:r>
        <w:rPr>
          <w:rFonts w:hint="eastAsia"/>
          <w:szCs w:val="24"/>
          <w:highlight w:val="none"/>
        </w:rPr>
        <w:t>第三章  投标人须知</w:t>
      </w:r>
      <w:r>
        <w:rPr>
          <w:rFonts w:hint="eastAsia"/>
          <w:szCs w:val="24"/>
          <w:highlight w:val="none"/>
        </w:rPr>
        <w:tab/>
      </w:r>
      <w:r>
        <w:rPr>
          <w:rFonts w:hint="eastAsia"/>
          <w:szCs w:val="24"/>
          <w:highlight w:val="none"/>
        </w:rPr>
        <w:fldChar w:fldCharType="end"/>
      </w:r>
      <w:r>
        <w:rPr>
          <w:rFonts w:hint="eastAsia"/>
          <w:szCs w:val="24"/>
          <w:highlight w:val="none"/>
        </w:rPr>
        <w:t>1</w:t>
      </w:r>
      <w:r>
        <w:rPr>
          <w:rFonts w:hint="eastAsia"/>
          <w:szCs w:val="24"/>
          <w:highlight w:val="none"/>
          <w:lang w:val="en-US" w:eastAsia="zh-CN"/>
        </w:rPr>
        <w:t>0</w:t>
      </w:r>
    </w:p>
    <w:p>
      <w:pPr>
        <w:pStyle w:val="37"/>
        <w:tabs>
          <w:tab w:val="right" w:leader="dot" w:pos="8959"/>
          <w:tab w:val="clear" w:pos="8789"/>
        </w:tabs>
        <w:ind w:left="0" w:leftChars="0"/>
        <w:rPr>
          <w:szCs w:val="24"/>
          <w:highlight w:val="none"/>
        </w:rPr>
      </w:pPr>
    </w:p>
    <w:p>
      <w:pPr>
        <w:pStyle w:val="37"/>
        <w:tabs>
          <w:tab w:val="right" w:leader="dot" w:pos="8959"/>
          <w:tab w:val="clear" w:pos="8789"/>
        </w:tabs>
        <w:ind w:left="0" w:leftChars="0"/>
        <w:rPr>
          <w:rFonts w:hint="eastAsia" w:eastAsia="宋体"/>
          <w:szCs w:val="24"/>
          <w:highlight w:val="none"/>
          <w:lang w:eastAsia="zh-CN"/>
        </w:rPr>
      </w:pPr>
      <w:r>
        <w:rPr>
          <w:highlight w:val="none"/>
        </w:rPr>
        <w:fldChar w:fldCharType="begin"/>
      </w:r>
      <w:r>
        <w:rPr>
          <w:highlight w:val="none"/>
        </w:rPr>
        <w:instrText xml:space="preserve"> HYPERLINK \l "_Toc11628" </w:instrText>
      </w:r>
      <w:r>
        <w:rPr>
          <w:highlight w:val="none"/>
        </w:rPr>
        <w:fldChar w:fldCharType="separate"/>
      </w:r>
      <w:r>
        <w:rPr>
          <w:rFonts w:hint="eastAsia"/>
          <w:szCs w:val="24"/>
          <w:highlight w:val="none"/>
        </w:rPr>
        <w:t>第四章  评标办法及标准</w:t>
      </w:r>
      <w:r>
        <w:rPr>
          <w:rFonts w:hint="eastAsia"/>
          <w:szCs w:val="24"/>
          <w:highlight w:val="none"/>
        </w:rPr>
        <w:tab/>
      </w:r>
      <w:r>
        <w:rPr>
          <w:rFonts w:hint="eastAsia"/>
          <w:szCs w:val="24"/>
          <w:highlight w:val="none"/>
        </w:rPr>
        <w:fldChar w:fldCharType="end"/>
      </w:r>
      <w:r>
        <w:rPr>
          <w:rFonts w:hint="eastAsia"/>
          <w:szCs w:val="24"/>
          <w:highlight w:val="none"/>
        </w:rPr>
        <w:t>2</w:t>
      </w:r>
      <w:r>
        <w:rPr>
          <w:rFonts w:hint="eastAsia"/>
          <w:szCs w:val="24"/>
          <w:highlight w:val="none"/>
          <w:lang w:val="en-US" w:eastAsia="zh-CN"/>
        </w:rPr>
        <w:t>1</w:t>
      </w:r>
    </w:p>
    <w:p>
      <w:pPr>
        <w:pStyle w:val="37"/>
        <w:tabs>
          <w:tab w:val="right" w:leader="dot" w:pos="8959"/>
          <w:tab w:val="clear" w:pos="8789"/>
        </w:tabs>
        <w:ind w:left="0" w:leftChars="0"/>
        <w:rPr>
          <w:szCs w:val="24"/>
          <w:highlight w:val="none"/>
        </w:rPr>
      </w:pPr>
    </w:p>
    <w:p>
      <w:pPr>
        <w:pStyle w:val="37"/>
        <w:tabs>
          <w:tab w:val="right" w:leader="dot" w:pos="8959"/>
          <w:tab w:val="clear" w:pos="8789"/>
        </w:tabs>
        <w:ind w:left="0" w:leftChars="0"/>
        <w:rPr>
          <w:rFonts w:hint="eastAsia" w:eastAsia="宋体"/>
          <w:szCs w:val="24"/>
          <w:highlight w:val="none"/>
          <w:lang w:eastAsia="zh-CN"/>
        </w:rPr>
      </w:pPr>
      <w:r>
        <w:rPr>
          <w:highlight w:val="none"/>
        </w:rPr>
        <w:fldChar w:fldCharType="begin"/>
      </w:r>
      <w:r>
        <w:rPr>
          <w:highlight w:val="none"/>
        </w:rPr>
        <w:instrText xml:space="preserve"> HYPERLINK \l "_Toc13620" </w:instrText>
      </w:r>
      <w:r>
        <w:rPr>
          <w:highlight w:val="none"/>
        </w:rPr>
        <w:fldChar w:fldCharType="separate"/>
      </w:r>
      <w:r>
        <w:rPr>
          <w:rFonts w:hint="eastAsia"/>
          <w:szCs w:val="24"/>
          <w:highlight w:val="none"/>
        </w:rPr>
        <w:t>第五章  采购内容及要求</w:t>
      </w:r>
      <w:r>
        <w:rPr>
          <w:rFonts w:hint="eastAsia"/>
          <w:szCs w:val="24"/>
          <w:highlight w:val="none"/>
        </w:rPr>
        <w:tab/>
      </w:r>
      <w:r>
        <w:rPr>
          <w:rFonts w:hint="eastAsia"/>
          <w:szCs w:val="24"/>
          <w:highlight w:val="none"/>
        </w:rPr>
        <w:fldChar w:fldCharType="end"/>
      </w:r>
      <w:r>
        <w:rPr>
          <w:rFonts w:hint="eastAsia"/>
          <w:szCs w:val="24"/>
          <w:highlight w:val="none"/>
        </w:rPr>
        <w:t>2</w:t>
      </w:r>
      <w:r>
        <w:rPr>
          <w:rFonts w:hint="eastAsia"/>
          <w:szCs w:val="24"/>
          <w:highlight w:val="none"/>
          <w:lang w:val="en-US" w:eastAsia="zh-CN"/>
        </w:rPr>
        <w:t>4</w:t>
      </w:r>
    </w:p>
    <w:p>
      <w:pPr>
        <w:pStyle w:val="37"/>
        <w:tabs>
          <w:tab w:val="right" w:leader="dot" w:pos="8959"/>
          <w:tab w:val="clear" w:pos="8789"/>
        </w:tabs>
        <w:ind w:left="0" w:leftChars="0"/>
        <w:rPr>
          <w:szCs w:val="24"/>
          <w:highlight w:val="none"/>
        </w:rPr>
      </w:pPr>
    </w:p>
    <w:p>
      <w:pPr>
        <w:pStyle w:val="37"/>
        <w:tabs>
          <w:tab w:val="right" w:leader="dot" w:pos="8959"/>
          <w:tab w:val="clear" w:pos="8789"/>
        </w:tabs>
        <w:ind w:left="0" w:leftChars="0"/>
        <w:rPr>
          <w:rFonts w:hint="default" w:eastAsia="宋体"/>
          <w:szCs w:val="24"/>
          <w:highlight w:val="none"/>
          <w:lang w:val="en-US" w:eastAsia="zh-CN"/>
        </w:rPr>
      </w:pPr>
      <w:r>
        <w:rPr>
          <w:highlight w:val="none"/>
        </w:rPr>
        <w:fldChar w:fldCharType="begin"/>
      </w:r>
      <w:r>
        <w:rPr>
          <w:highlight w:val="none"/>
        </w:rPr>
        <w:instrText xml:space="preserve"> HYPERLINK \l "_Toc13620" </w:instrText>
      </w:r>
      <w:r>
        <w:rPr>
          <w:highlight w:val="none"/>
        </w:rPr>
        <w:fldChar w:fldCharType="separate"/>
      </w:r>
      <w:r>
        <w:rPr>
          <w:rFonts w:hint="eastAsia"/>
          <w:szCs w:val="24"/>
          <w:highlight w:val="none"/>
        </w:rPr>
        <w:t>第六章  拟签订的合同文本</w:t>
      </w:r>
      <w:r>
        <w:rPr>
          <w:rFonts w:hint="eastAsia"/>
          <w:szCs w:val="24"/>
          <w:highlight w:val="none"/>
        </w:rPr>
        <w:tab/>
      </w:r>
      <w:r>
        <w:rPr>
          <w:rFonts w:hint="eastAsia"/>
          <w:szCs w:val="24"/>
          <w:highlight w:val="none"/>
        </w:rPr>
        <w:fldChar w:fldCharType="end"/>
      </w:r>
      <w:r>
        <w:rPr>
          <w:rFonts w:hint="eastAsia"/>
          <w:szCs w:val="24"/>
          <w:highlight w:val="none"/>
          <w:lang w:val="en-US" w:eastAsia="zh-CN"/>
        </w:rPr>
        <w:t>26</w:t>
      </w:r>
    </w:p>
    <w:p>
      <w:pPr>
        <w:pStyle w:val="37"/>
        <w:tabs>
          <w:tab w:val="right" w:leader="dot" w:pos="8959"/>
          <w:tab w:val="clear" w:pos="8789"/>
        </w:tabs>
        <w:ind w:left="0" w:leftChars="0"/>
        <w:rPr>
          <w:szCs w:val="24"/>
          <w:highlight w:val="none"/>
        </w:rPr>
      </w:pPr>
    </w:p>
    <w:p>
      <w:pPr>
        <w:pStyle w:val="37"/>
        <w:tabs>
          <w:tab w:val="right" w:leader="dot" w:pos="8959"/>
          <w:tab w:val="clear" w:pos="8789"/>
        </w:tabs>
        <w:ind w:left="0" w:leftChars="0"/>
        <w:rPr>
          <w:rFonts w:hint="default" w:eastAsia="宋体"/>
          <w:szCs w:val="24"/>
          <w:highlight w:val="none"/>
          <w:lang w:val="en-US" w:eastAsia="zh-CN"/>
        </w:rPr>
      </w:pPr>
      <w:r>
        <w:rPr>
          <w:highlight w:val="none"/>
        </w:rPr>
        <w:fldChar w:fldCharType="begin"/>
      </w:r>
      <w:r>
        <w:rPr>
          <w:highlight w:val="none"/>
        </w:rPr>
        <w:instrText xml:space="preserve"> HYPERLINK \l "_Toc13620" </w:instrText>
      </w:r>
      <w:r>
        <w:rPr>
          <w:highlight w:val="none"/>
        </w:rPr>
        <w:fldChar w:fldCharType="separate"/>
      </w:r>
      <w:r>
        <w:rPr>
          <w:rFonts w:hint="eastAsia"/>
          <w:szCs w:val="24"/>
          <w:highlight w:val="none"/>
        </w:rPr>
        <w:t>第七章  格式与表格</w:t>
      </w:r>
      <w:r>
        <w:rPr>
          <w:rFonts w:hint="eastAsia"/>
          <w:szCs w:val="24"/>
          <w:highlight w:val="none"/>
        </w:rPr>
        <w:tab/>
      </w:r>
      <w:r>
        <w:rPr>
          <w:rFonts w:hint="eastAsia"/>
          <w:szCs w:val="24"/>
          <w:highlight w:val="none"/>
        </w:rPr>
        <w:fldChar w:fldCharType="end"/>
      </w:r>
      <w:r>
        <w:rPr>
          <w:rFonts w:hint="eastAsia"/>
          <w:szCs w:val="24"/>
          <w:highlight w:val="none"/>
          <w:lang w:val="en-US" w:eastAsia="zh-CN"/>
        </w:rPr>
        <w:t>34</w:t>
      </w:r>
    </w:p>
    <w:p>
      <w:pPr>
        <w:pStyle w:val="37"/>
        <w:tabs>
          <w:tab w:val="right" w:leader="dot" w:pos="8959"/>
          <w:tab w:val="clear" w:pos="8789"/>
        </w:tabs>
        <w:ind w:left="0" w:leftChars="0"/>
        <w:rPr>
          <w:rFonts w:ascii="宋体" w:hAnsi="宋体" w:cs="宋体"/>
          <w:b/>
          <w:bCs/>
          <w:sz w:val="32"/>
          <w:szCs w:val="32"/>
          <w:highlight w:val="none"/>
        </w:rPr>
      </w:pPr>
    </w:p>
    <w:p>
      <w:pPr>
        <w:pStyle w:val="37"/>
        <w:tabs>
          <w:tab w:val="right" w:leader="dot" w:pos="8959"/>
          <w:tab w:val="clear" w:pos="8789"/>
        </w:tabs>
        <w:ind w:left="0" w:leftChars="0"/>
        <w:rPr>
          <w:rFonts w:ascii="宋体" w:hAnsi="宋体" w:cs="宋体"/>
          <w:b/>
          <w:bCs/>
          <w:sz w:val="32"/>
          <w:szCs w:val="32"/>
          <w:highlight w:val="none"/>
        </w:rPr>
      </w:pPr>
    </w:p>
    <w:p>
      <w:pPr>
        <w:tabs>
          <w:tab w:val="left" w:pos="2160"/>
        </w:tabs>
        <w:spacing w:beforeLines="50" w:afterLines="50" w:line="0" w:lineRule="atLeast"/>
        <w:rPr>
          <w:w w:val="80"/>
          <w:sz w:val="32"/>
          <w:highlight w:val="none"/>
        </w:rPr>
        <w:sectPr>
          <w:headerReference r:id="rId11" w:type="first"/>
          <w:footerReference r:id="rId14" w:type="first"/>
          <w:headerReference r:id="rId9" w:type="default"/>
          <w:footerReference r:id="rId12" w:type="default"/>
          <w:headerReference r:id="rId10" w:type="even"/>
          <w:footerReference r:id="rId13" w:type="even"/>
          <w:type w:val="nextColumn"/>
          <w:pgSz w:w="11907" w:h="16840"/>
          <w:pgMar w:top="1247" w:right="1531" w:bottom="1304" w:left="1531" w:header="284" w:footer="705" w:gutter="0"/>
          <w:pgNumType w:start="1"/>
          <w:cols w:space="720" w:num="1"/>
          <w:docGrid w:linePitch="285" w:charSpace="0"/>
        </w:sectPr>
      </w:pPr>
      <w:r>
        <w:rPr>
          <w:rFonts w:hint="eastAsia" w:ascii="宋体" w:hAnsi="宋体" w:cs="宋体"/>
          <w:b/>
          <w:bCs/>
          <w:sz w:val="32"/>
          <w:szCs w:val="32"/>
          <w:highlight w:val="none"/>
        </w:rPr>
        <w:fldChar w:fldCharType="end"/>
      </w:r>
    </w:p>
    <w:p>
      <w:pPr>
        <w:pStyle w:val="42"/>
        <w:rPr>
          <w:rFonts w:ascii="Times New Roman" w:hAnsi="Times New Roman"/>
          <w:kern w:val="44"/>
          <w:highlight w:val="none"/>
        </w:rPr>
      </w:pPr>
      <w:bookmarkStart w:id="1" w:name="_Toc262312595"/>
      <w:bookmarkStart w:id="2" w:name="_Toc263083249"/>
      <w:bookmarkStart w:id="3" w:name="_Toc435088062"/>
      <w:r>
        <w:rPr>
          <w:rFonts w:hint="eastAsia" w:ascii="Times New Roman" w:hAnsi="Times New Roman"/>
          <w:kern w:val="44"/>
          <w:highlight w:val="none"/>
        </w:rPr>
        <w:t xml:space="preserve">第一章 </w:t>
      </w:r>
      <w:bookmarkEnd w:id="1"/>
      <w:bookmarkEnd w:id="2"/>
      <w:r>
        <w:rPr>
          <w:rFonts w:hint="eastAsia" w:ascii="Times New Roman" w:hAnsi="Times New Roman"/>
          <w:kern w:val="44"/>
          <w:highlight w:val="none"/>
        </w:rPr>
        <w:t>采购公告</w:t>
      </w:r>
      <w:bookmarkEnd w:id="3"/>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auto"/>
              <w:rPr>
                <w:rFonts w:ascii="宋体" w:hAnsi="宋体" w:cs="宋体"/>
                <w:kern w:val="0"/>
                <w:sz w:val="20"/>
                <w:szCs w:val="21"/>
                <w:highlight w:val="none"/>
              </w:rPr>
            </w:pPr>
            <w:r>
              <w:rPr>
                <w:rFonts w:hint="eastAsia" w:ascii="宋体" w:hAnsi="宋体" w:cs="宋体"/>
                <w:kern w:val="0"/>
                <w:sz w:val="20"/>
                <w:szCs w:val="21"/>
                <w:highlight w:val="none"/>
              </w:rPr>
              <w:t>项目概况：</w:t>
            </w:r>
          </w:p>
          <w:p>
            <w:pPr>
              <w:spacing w:line="360" w:lineRule="auto"/>
              <w:ind w:firstLine="600" w:firstLineChars="300"/>
              <w:rPr>
                <w:rFonts w:ascii="宋体" w:hAnsi="宋体" w:cs="宋体"/>
                <w:kern w:val="0"/>
                <w:sz w:val="20"/>
                <w:szCs w:val="21"/>
                <w:highlight w:val="none"/>
              </w:rPr>
            </w:pPr>
            <w:r>
              <w:rPr>
                <w:rFonts w:hint="eastAsia" w:ascii="宋体" w:hAnsi="宋体" w:cs="Arial"/>
                <w:kern w:val="0"/>
                <w:sz w:val="20"/>
                <w:szCs w:val="21"/>
                <w:highlight w:val="none"/>
                <w:u w:val="single"/>
                <w:lang w:eastAsia="zh-CN"/>
              </w:rPr>
              <w:t>2024年“5·19中国旅游日”主题周浙江主会场活动暨第二十二届徐霞客开游节开幕式服务采购项目</w:t>
            </w:r>
            <w:r>
              <w:rPr>
                <w:rFonts w:hint="eastAsia" w:ascii="宋体" w:hAnsi="宋体" w:cs="Arial"/>
                <w:kern w:val="0"/>
                <w:sz w:val="20"/>
                <w:szCs w:val="21"/>
                <w:highlight w:val="none"/>
              </w:rPr>
              <w:t>招标项目的潜在投标人应在政府采购云平台（</w:t>
            </w:r>
            <w:r>
              <w:rPr>
                <w:rFonts w:hint="eastAsia" w:ascii="宋体" w:hAnsi="宋体" w:cs="Arial"/>
                <w:kern w:val="0"/>
                <w:sz w:val="20"/>
                <w:szCs w:val="21"/>
                <w:highlight w:val="none"/>
                <w:u w:val="single"/>
              </w:rPr>
              <w:t>www.zcygov.cn）获取招标文件，并于202</w:t>
            </w:r>
            <w:r>
              <w:rPr>
                <w:rFonts w:hint="eastAsia" w:ascii="宋体" w:hAnsi="宋体" w:cs="Arial"/>
                <w:kern w:val="0"/>
                <w:sz w:val="20"/>
                <w:szCs w:val="21"/>
                <w:highlight w:val="none"/>
                <w:u w:val="single"/>
                <w:lang w:val="en-US" w:eastAsia="zh-CN"/>
              </w:rPr>
              <w:t>4</w:t>
            </w:r>
            <w:r>
              <w:rPr>
                <w:rFonts w:hint="eastAsia" w:ascii="宋体" w:hAnsi="宋体" w:cs="Arial"/>
                <w:kern w:val="0"/>
                <w:sz w:val="20"/>
                <w:szCs w:val="21"/>
                <w:highlight w:val="none"/>
                <w:u w:val="single"/>
              </w:rPr>
              <w:t>年</w:t>
            </w:r>
            <w:r>
              <w:rPr>
                <w:rFonts w:hint="eastAsia" w:ascii="宋体" w:hAnsi="宋体" w:cs="Arial"/>
                <w:kern w:val="0"/>
                <w:sz w:val="20"/>
                <w:szCs w:val="21"/>
                <w:highlight w:val="none"/>
                <w:u w:val="single"/>
                <w:lang w:val="en-US" w:eastAsia="zh-CN"/>
              </w:rPr>
              <w:t>05</w:t>
            </w:r>
            <w:r>
              <w:rPr>
                <w:rFonts w:hint="eastAsia" w:ascii="宋体" w:hAnsi="宋体" w:cs="Arial"/>
                <w:kern w:val="0"/>
                <w:sz w:val="20"/>
                <w:szCs w:val="21"/>
                <w:highlight w:val="none"/>
                <w:u w:val="single"/>
              </w:rPr>
              <w:t>月</w:t>
            </w:r>
            <w:r>
              <w:rPr>
                <w:rFonts w:hint="eastAsia" w:ascii="宋体" w:hAnsi="宋体" w:cs="Arial"/>
                <w:kern w:val="0"/>
                <w:sz w:val="20"/>
                <w:szCs w:val="21"/>
                <w:highlight w:val="none"/>
                <w:u w:val="single"/>
                <w:lang w:val="en-US" w:eastAsia="zh-CN"/>
              </w:rPr>
              <w:t>16</w:t>
            </w:r>
            <w:r>
              <w:rPr>
                <w:rFonts w:hint="eastAsia" w:ascii="宋体" w:hAnsi="宋体" w:cs="Arial"/>
                <w:kern w:val="0"/>
                <w:sz w:val="20"/>
                <w:szCs w:val="21"/>
                <w:highlight w:val="none"/>
                <w:u w:val="single"/>
              </w:rPr>
              <w:t>日13点30分（北京时间）</w:t>
            </w:r>
            <w:r>
              <w:rPr>
                <w:rFonts w:hint="eastAsia" w:ascii="宋体" w:hAnsi="宋体" w:cs="Arial"/>
                <w:kern w:val="0"/>
                <w:sz w:val="20"/>
                <w:szCs w:val="21"/>
                <w:highlight w:val="none"/>
              </w:rPr>
              <w:t>前递交投标文件。</w:t>
            </w:r>
          </w:p>
        </w:tc>
      </w:tr>
    </w:tbl>
    <w:p>
      <w:pPr>
        <w:widowControl/>
        <w:spacing w:before="100" w:beforeAutospacing="1" w:line="405" w:lineRule="atLeast"/>
        <w:ind w:firstLine="420" w:firstLineChars="200"/>
        <w:jc w:val="left"/>
        <w:outlineLvl w:val="1"/>
        <w:rPr>
          <w:rFonts w:ascii="Arial" w:hAnsi="Arial" w:eastAsia="微软雅黑" w:cs="Arial"/>
          <w:kern w:val="0"/>
          <w:sz w:val="36"/>
          <w:szCs w:val="36"/>
          <w:highlight w:val="none"/>
        </w:rPr>
      </w:pPr>
      <w:r>
        <w:rPr>
          <w:rFonts w:ascii="Arial" w:hAnsi="Arial" w:eastAsia="微软雅黑" w:cs="Arial"/>
          <w:kern w:val="0"/>
          <w:szCs w:val="21"/>
          <w:highlight w:val="none"/>
        </w:rPr>
        <w:t>一、项目基本情况</w:t>
      </w:r>
    </w:p>
    <w:p>
      <w:pPr>
        <w:widowControl/>
        <w:spacing w:before="100" w:beforeAutospacing="1" w:after="100" w:afterAutospacing="1" w:line="405" w:lineRule="atLeast"/>
        <w:ind w:firstLine="420"/>
        <w:jc w:val="left"/>
        <w:rPr>
          <w:rFonts w:hint="eastAsia" w:ascii="Arial" w:hAnsi="Arial" w:eastAsia="宋体" w:cs="Arial"/>
          <w:kern w:val="0"/>
          <w:szCs w:val="21"/>
          <w:highlight w:val="none"/>
          <w:lang w:eastAsia="zh-CN"/>
        </w:rPr>
      </w:pPr>
      <w:r>
        <w:rPr>
          <w:rFonts w:hint="eastAsia" w:ascii="宋体" w:hAnsi="宋体" w:cs="Arial"/>
          <w:kern w:val="0"/>
          <w:szCs w:val="21"/>
          <w:highlight w:val="none"/>
        </w:rPr>
        <w:t>项目编号：</w:t>
      </w:r>
      <w:r>
        <w:rPr>
          <w:rFonts w:hint="eastAsia" w:ascii="宋体" w:hAnsi="宋体" w:cs="Arial"/>
          <w:kern w:val="0"/>
          <w:szCs w:val="21"/>
          <w:highlight w:val="none"/>
          <w:lang w:eastAsia="zh-CN"/>
        </w:rPr>
        <w:t>ZGZB-NHCG2024029</w:t>
      </w:r>
    </w:p>
    <w:p>
      <w:pPr>
        <w:widowControl/>
        <w:spacing w:before="100" w:beforeAutospacing="1" w:after="100" w:afterAutospacing="1" w:line="405" w:lineRule="atLeast"/>
        <w:ind w:firstLine="420"/>
        <w:jc w:val="left"/>
        <w:rPr>
          <w:rFonts w:hint="eastAsia" w:ascii="宋体" w:hAnsi="宋体" w:eastAsia="宋体" w:cs="Arial"/>
          <w:color w:val="000000" w:themeColor="text1"/>
          <w:kern w:val="0"/>
          <w:szCs w:val="21"/>
          <w:highlight w:val="none"/>
          <w:lang w:eastAsia="zh-CN"/>
          <w14:textFill>
            <w14:solidFill>
              <w14:schemeClr w14:val="tx1"/>
            </w14:solidFill>
          </w14:textFill>
        </w:rPr>
      </w:pPr>
      <w:r>
        <w:rPr>
          <w:rFonts w:hint="eastAsia" w:ascii="宋体" w:hAnsi="宋体" w:cs="Arial"/>
          <w:color w:val="000000" w:themeColor="text1"/>
          <w:kern w:val="0"/>
          <w:szCs w:val="21"/>
          <w:highlight w:val="none"/>
          <w14:textFill>
            <w14:solidFill>
              <w14:schemeClr w14:val="tx1"/>
            </w14:solidFill>
          </w14:textFill>
        </w:rPr>
        <w:t>项目名称：</w:t>
      </w:r>
      <w:r>
        <w:rPr>
          <w:rFonts w:hint="eastAsia" w:ascii="宋体" w:hAnsi="宋体" w:cs="Arial"/>
          <w:color w:val="000000" w:themeColor="text1"/>
          <w:kern w:val="0"/>
          <w:szCs w:val="21"/>
          <w:highlight w:val="none"/>
          <w:lang w:eastAsia="zh-CN"/>
          <w14:textFill>
            <w14:solidFill>
              <w14:schemeClr w14:val="tx1"/>
            </w14:solidFill>
          </w14:textFill>
        </w:rPr>
        <w:t>2024年“5·19中国旅游日”主题周浙江主会场活动暨第二十二届徐霞客开游节开幕式服务采购项目</w:t>
      </w:r>
    </w:p>
    <w:p>
      <w:pPr>
        <w:widowControl/>
        <w:spacing w:before="100" w:beforeAutospacing="1" w:after="100" w:afterAutospacing="1" w:line="405" w:lineRule="atLeast"/>
        <w:ind w:firstLine="420"/>
        <w:jc w:val="left"/>
        <w:rPr>
          <w:rFonts w:ascii="Arial" w:hAnsi="Arial" w:cs="Arial"/>
          <w:color w:val="000000" w:themeColor="text1"/>
          <w:kern w:val="0"/>
          <w:szCs w:val="21"/>
          <w:highlight w:val="none"/>
          <w14:textFill>
            <w14:solidFill>
              <w14:schemeClr w14:val="tx1"/>
            </w14:solidFill>
          </w14:textFill>
        </w:rPr>
      </w:pPr>
      <w:r>
        <w:rPr>
          <w:rFonts w:hint="eastAsia" w:ascii="宋体" w:hAnsi="宋体" w:cs="Arial"/>
          <w:color w:val="000000" w:themeColor="text1"/>
          <w:kern w:val="0"/>
          <w:szCs w:val="21"/>
          <w:highlight w:val="none"/>
          <w14:textFill>
            <w14:solidFill>
              <w14:schemeClr w14:val="tx1"/>
            </w14:solidFill>
          </w14:textFill>
        </w:rPr>
        <w:t>预算金额：1</w:t>
      </w:r>
      <w:r>
        <w:rPr>
          <w:rFonts w:hint="eastAsia" w:ascii="宋体" w:hAnsi="宋体" w:cs="Arial"/>
          <w:color w:val="000000" w:themeColor="text1"/>
          <w:kern w:val="0"/>
          <w:szCs w:val="21"/>
          <w:highlight w:val="none"/>
          <w:lang w:val="en-US" w:eastAsia="zh-CN"/>
          <w14:textFill>
            <w14:solidFill>
              <w14:schemeClr w14:val="tx1"/>
            </w14:solidFill>
          </w14:textFill>
        </w:rPr>
        <w:t>25</w:t>
      </w:r>
      <w:r>
        <w:rPr>
          <w:rFonts w:hint="eastAsia" w:ascii="宋体" w:hAnsi="宋体" w:cs="Arial"/>
          <w:color w:val="000000" w:themeColor="text1"/>
          <w:kern w:val="0"/>
          <w:szCs w:val="21"/>
          <w:highlight w:val="none"/>
          <w14:textFill>
            <w14:solidFill>
              <w14:schemeClr w14:val="tx1"/>
            </w14:solidFill>
          </w14:textFill>
        </w:rPr>
        <w:t>0000元。</w:t>
      </w:r>
    </w:p>
    <w:p>
      <w:pPr>
        <w:widowControl/>
        <w:spacing w:before="100" w:beforeAutospacing="1" w:after="100" w:afterAutospacing="1" w:line="405" w:lineRule="atLeast"/>
        <w:ind w:firstLine="420"/>
        <w:jc w:val="left"/>
        <w:rPr>
          <w:rFonts w:ascii="Arial" w:hAnsi="Arial" w:cs="Arial"/>
          <w:color w:val="000000" w:themeColor="text1"/>
          <w:kern w:val="0"/>
          <w:szCs w:val="21"/>
          <w:highlight w:val="none"/>
          <w14:textFill>
            <w14:solidFill>
              <w14:schemeClr w14:val="tx1"/>
            </w14:solidFill>
          </w14:textFill>
        </w:rPr>
      </w:pPr>
      <w:r>
        <w:rPr>
          <w:rFonts w:hint="eastAsia" w:ascii="宋体" w:hAnsi="宋体" w:cs="Arial"/>
          <w:color w:val="000000" w:themeColor="text1"/>
          <w:kern w:val="0"/>
          <w:szCs w:val="21"/>
          <w:highlight w:val="none"/>
          <w14:textFill>
            <w14:solidFill>
              <w14:schemeClr w14:val="tx1"/>
            </w14:solidFill>
          </w14:textFill>
        </w:rPr>
        <w:t>最高限价：1</w:t>
      </w:r>
      <w:r>
        <w:rPr>
          <w:rFonts w:hint="eastAsia" w:ascii="宋体" w:hAnsi="宋体" w:cs="Arial"/>
          <w:color w:val="000000" w:themeColor="text1"/>
          <w:kern w:val="0"/>
          <w:szCs w:val="21"/>
          <w:highlight w:val="none"/>
          <w:lang w:val="en-US" w:eastAsia="zh-CN"/>
          <w14:textFill>
            <w14:solidFill>
              <w14:schemeClr w14:val="tx1"/>
            </w14:solidFill>
          </w14:textFill>
        </w:rPr>
        <w:t>25</w:t>
      </w:r>
      <w:r>
        <w:rPr>
          <w:rFonts w:hint="eastAsia" w:ascii="宋体" w:hAnsi="宋体" w:cs="Arial"/>
          <w:color w:val="000000" w:themeColor="text1"/>
          <w:kern w:val="0"/>
          <w:szCs w:val="21"/>
          <w:highlight w:val="none"/>
          <w14:textFill>
            <w14:solidFill>
              <w14:schemeClr w14:val="tx1"/>
            </w14:solidFill>
          </w14:textFill>
        </w:rPr>
        <w:t>0000元。</w:t>
      </w:r>
    </w:p>
    <w:p>
      <w:pPr>
        <w:widowControl/>
        <w:spacing w:before="100" w:beforeAutospacing="1" w:after="100" w:afterAutospacing="1" w:line="405" w:lineRule="atLeast"/>
        <w:ind w:firstLine="420"/>
        <w:jc w:val="left"/>
        <w:rPr>
          <w:rFonts w:ascii="宋体" w:hAnsi="宋体" w:cs="Arial"/>
          <w:color w:val="000000" w:themeColor="text1"/>
          <w:kern w:val="0"/>
          <w:szCs w:val="21"/>
          <w:highlight w:val="none"/>
          <w14:textFill>
            <w14:solidFill>
              <w14:schemeClr w14:val="tx1"/>
            </w14:solidFill>
          </w14:textFill>
        </w:rPr>
      </w:pPr>
      <w:r>
        <w:rPr>
          <w:rFonts w:hint="eastAsia" w:ascii="宋体" w:hAnsi="宋体" w:cs="Arial"/>
          <w:color w:val="000000" w:themeColor="text1"/>
          <w:kern w:val="0"/>
          <w:szCs w:val="21"/>
          <w:highlight w:val="none"/>
          <w14:textFill>
            <w14:solidFill>
              <w14:schemeClr w14:val="tx1"/>
            </w14:solidFill>
          </w14:textFill>
        </w:rPr>
        <w:t>采购需求：</w:t>
      </w:r>
    </w:p>
    <w:p>
      <w:pPr>
        <w:widowControl/>
        <w:spacing w:before="100" w:beforeAutospacing="1" w:after="100" w:afterAutospacing="1" w:line="405" w:lineRule="atLeast"/>
        <w:ind w:firstLine="420"/>
        <w:jc w:val="left"/>
        <w:rPr>
          <w:rFonts w:hint="eastAsia" w:ascii="宋体" w:hAnsi="宋体" w:cs="Arial"/>
          <w:color w:val="000000" w:themeColor="text1"/>
          <w:kern w:val="0"/>
          <w:szCs w:val="21"/>
          <w:highlight w:val="none"/>
          <w:lang w:eastAsia="zh-CN"/>
          <w14:textFill>
            <w14:solidFill>
              <w14:schemeClr w14:val="tx1"/>
            </w14:solidFill>
          </w14:textFill>
        </w:rPr>
      </w:pPr>
      <w:bookmarkStart w:id="4" w:name="_Toc435088063"/>
      <w:r>
        <w:rPr>
          <w:rFonts w:hint="eastAsia" w:ascii="宋体" w:hAnsi="宋体" w:cs="Arial"/>
          <w:color w:val="333333"/>
          <w:kern w:val="0"/>
          <w:szCs w:val="21"/>
          <w:highlight w:val="none"/>
        </w:rPr>
        <w:t>标项名称：</w:t>
      </w:r>
      <w:r>
        <w:rPr>
          <w:rFonts w:hint="eastAsia" w:ascii="宋体" w:hAnsi="宋体" w:cs="Arial"/>
          <w:color w:val="000000" w:themeColor="text1"/>
          <w:kern w:val="0"/>
          <w:szCs w:val="21"/>
          <w:highlight w:val="none"/>
          <w:lang w:eastAsia="zh-CN"/>
          <w14:textFill>
            <w14:solidFill>
              <w14:schemeClr w14:val="tx1"/>
            </w14:solidFill>
          </w14:textFill>
        </w:rPr>
        <w:t>2024年“5·19中国旅游日”主题周浙江主会场活动暨第二十二届徐霞客开游节开幕式服务采购项目</w:t>
      </w:r>
    </w:p>
    <w:p>
      <w:pPr>
        <w:widowControl/>
        <w:spacing w:before="100" w:beforeAutospacing="1" w:after="100" w:afterAutospacing="1" w:line="405" w:lineRule="atLeast"/>
        <w:ind w:firstLine="420"/>
        <w:jc w:val="left"/>
        <w:rPr>
          <w:rFonts w:hint="default"/>
          <w:highlight w:val="none"/>
          <w:lang w:val="en-US"/>
        </w:rPr>
      </w:pPr>
      <w:r>
        <w:rPr>
          <w:rFonts w:hint="eastAsia" w:ascii="宋体" w:hAnsi="宋体" w:cs="Arial"/>
          <w:color w:val="333333"/>
          <w:kern w:val="0"/>
          <w:szCs w:val="21"/>
          <w:highlight w:val="none"/>
        </w:rPr>
        <w:t>数量：</w:t>
      </w:r>
      <w:r>
        <w:rPr>
          <w:rFonts w:hint="eastAsia" w:ascii="宋体" w:hAnsi="宋体" w:cs="Arial"/>
          <w:color w:val="333333"/>
          <w:kern w:val="0"/>
          <w:szCs w:val="21"/>
          <w:highlight w:val="none"/>
          <w:lang w:val="en-US" w:eastAsia="zh-CN"/>
        </w:rPr>
        <w:t>1批</w:t>
      </w:r>
    </w:p>
    <w:p>
      <w:pPr>
        <w:widowControl/>
        <w:spacing w:before="100" w:beforeAutospacing="1" w:after="100" w:afterAutospacing="1" w:line="405" w:lineRule="atLeast"/>
        <w:ind w:firstLine="420"/>
        <w:jc w:val="left"/>
        <w:rPr>
          <w:rFonts w:ascii="宋体" w:hAnsi="宋体" w:cs="Arial"/>
          <w:color w:val="000000" w:themeColor="text1"/>
          <w:kern w:val="0"/>
          <w:szCs w:val="21"/>
          <w:highlight w:val="none"/>
          <w14:textFill>
            <w14:solidFill>
              <w14:schemeClr w14:val="tx1"/>
            </w14:solidFill>
          </w14:textFill>
        </w:rPr>
      </w:pPr>
      <w:r>
        <w:rPr>
          <w:rFonts w:ascii="宋体" w:hAnsi="宋体"/>
          <w:szCs w:val="21"/>
          <w:highlight w:val="none"/>
        </w:rPr>
        <w:t>简要规格描述或项目基本概况介绍、用途：</w:t>
      </w:r>
      <w:r>
        <w:rPr>
          <w:rFonts w:hint="eastAsia" w:ascii="宋体" w:hAnsi="宋体" w:cs="Arial"/>
          <w:color w:val="000000" w:themeColor="text1"/>
          <w:kern w:val="0"/>
          <w:szCs w:val="21"/>
          <w:highlight w:val="none"/>
          <w14:textFill>
            <w14:solidFill>
              <w14:schemeClr w14:val="tx1"/>
            </w14:solidFill>
          </w14:textFill>
        </w:rPr>
        <w:t>2024年“5·19中国旅游日”主题周浙江主会场活动暨第二十二届徐霞客开游节开幕式相关服务。内容包括活动咨询合作、开幕式现场布置搭建与氛围营造、视觉设计服务、启动环节等相关物料制作、节日宣传、策划执行等活动相关的一切服务和采购人要求的服务。详见采购文件第五章。</w:t>
      </w:r>
    </w:p>
    <w:p>
      <w:pPr>
        <w:widowControl/>
        <w:spacing w:before="100" w:beforeAutospacing="1" w:after="100" w:afterAutospacing="1" w:line="405" w:lineRule="atLeast"/>
        <w:ind w:firstLine="420"/>
        <w:jc w:val="left"/>
        <w:rPr>
          <w:rFonts w:ascii="宋体" w:hAnsi="宋体" w:cs="Arial"/>
          <w:kern w:val="0"/>
          <w:szCs w:val="21"/>
          <w:highlight w:val="none"/>
        </w:rPr>
      </w:pPr>
      <w:r>
        <w:rPr>
          <w:rFonts w:hint="eastAsia" w:ascii="宋体" w:hAnsi="宋体" w:cs="Arial"/>
          <w:kern w:val="0"/>
          <w:szCs w:val="21"/>
          <w:highlight w:val="none"/>
        </w:rPr>
        <w:t>合同履行期限： 合同签订之日起至202</w:t>
      </w:r>
      <w:r>
        <w:rPr>
          <w:rFonts w:hint="eastAsia" w:ascii="宋体" w:hAnsi="宋体" w:cs="Arial"/>
          <w:kern w:val="0"/>
          <w:szCs w:val="21"/>
          <w:highlight w:val="none"/>
          <w:lang w:val="en-US" w:eastAsia="zh-CN"/>
        </w:rPr>
        <w:t>4</w:t>
      </w:r>
      <w:r>
        <w:rPr>
          <w:rFonts w:hint="eastAsia" w:ascii="宋体" w:hAnsi="宋体" w:cs="Arial"/>
          <w:kern w:val="0"/>
          <w:szCs w:val="21"/>
          <w:highlight w:val="none"/>
        </w:rPr>
        <w:t>年5月相关服务完成止。</w:t>
      </w:r>
    </w:p>
    <w:p>
      <w:pPr>
        <w:widowControl/>
        <w:spacing w:before="100" w:beforeAutospacing="1" w:after="100" w:afterAutospacing="1" w:line="405" w:lineRule="atLeast"/>
        <w:ind w:firstLine="420"/>
        <w:jc w:val="left"/>
        <w:rPr>
          <w:rFonts w:ascii="宋体" w:hAnsi="宋体" w:cs="Arial"/>
          <w:kern w:val="0"/>
          <w:szCs w:val="21"/>
          <w:highlight w:val="none"/>
        </w:rPr>
      </w:pPr>
      <w:r>
        <w:rPr>
          <w:rFonts w:hint="eastAsia" w:ascii="宋体" w:hAnsi="宋体" w:cs="Arial"/>
          <w:kern w:val="0"/>
          <w:szCs w:val="21"/>
          <w:highlight w:val="none"/>
        </w:rPr>
        <w:t>本项目</w:t>
      </w:r>
      <w:r>
        <w:rPr>
          <w:rFonts w:hint="eastAsia" w:ascii="宋体" w:hAnsi="宋体"/>
          <w:szCs w:val="21"/>
          <w:highlight w:val="none"/>
        </w:rPr>
        <w:t>（否）</w:t>
      </w:r>
      <w:r>
        <w:rPr>
          <w:rFonts w:hint="eastAsia" w:ascii="宋体" w:hAnsi="宋体" w:cs="Arial"/>
          <w:kern w:val="0"/>
          <w:szCs w:val="21"/>
          <w:highlight w:val="none"/>
        </w:rPr>
        <w:t>接受联合体投标。</w:t>
      </w:r>
    </w:p>
    <w:p>
      <w:pPr>
        <w:widowControl/>
        <w:spacing w:before="100" w:beforeAutospacing="1" w:line="405" w:lineRule="atLeast"/>
        <w:ind w:firstLine="420"/>
        <w:jc w:val="left"/>
        <w:outlineLvl w:val="1"/>
        <w:rPr>
          <w:rFonts w:ascii="Arial" w:hAnsi="Arial" w:eastAsia="微软雅黑" w:cs="Arial"/>
          <w:kern w:val="0"/>
          <w:sz w:val="36"/>
          <w:szCs w:val="36"/>
          <w:highlight w:val="none"/>
        </w:rPr>
      </w:pPr>
      <w:r>
        <w:rPr>
          <w:rFonts w:ascii="Arial" w:hAnsi="Arial" w:eastAsia="微软雅黑" w:cs="Arial"/>
          <w:kern w:val="0"/>
          <w:szCs w:val="21"/>
          <w:highlight w:val="none"/>
        </w:rPr>
        <w:t>二、申请人的资格要求：</w:t>
      </w:r>
    </w:p>
    <w:p>
      <w:pPr>
        <w:widowControl/>
        <w:spacing w:before="100" w:beforeAutospacing="1" w:after="100" w:afterAutospacing="1" w:line="405" w:lineRule="atLeast"/>
        <w:ind w:firstLine="420"/>
        <w:jc w:val="left"/>
        <w:rPr>
          <w:rFonts w:ascii="Arial" w:hAnsi="Arial" w:eastAsia="微软雅黑" w:cs="Arial"/>
          <w:kern w:val="0"/>
          <w:szCs w:val="21"/>
          <w:highlight w:val="none"/>
        </w:rPr>
      </w:pPr>
      <w:r>
        <w:rPr>
          <w:rFonts w:hint="eastAsia" w:ascii="宋体" w:hAnsi="宋体" w:cs="Arial"/>
          <w:kern w:val="0"/>
          <w:szCs w:val="21"/>
          <w:highlight w:val="none"/>
        </w:rPr>
        <w:t>1.满足《中华人民共和国政府采购法》第二十二条规定；</w:t>
      </w:r>
    </w:p>
    <w:p>
      <w:pPr>
        <w:widowControl/>
        <w:spacing w:before="100" w:beforeAutospacing="1" w:after="100" w:afterAutospacing="1" w:line="405" w:lineRule="atLeast"/>
        <w:ind w:firstLine="420"/>
        <w:jc w:val="left"/>
        <w:rPr>
          <w:rFonts w:ascii="Arial" w:hAnsi="Arial" w:eastAsia="微软雅黑" w:cs="Arial"/>
          <w:kern w:val="0"/>
          <w:szCs w:val="21"/>
          <w:highlight w:val="none"/>
        </w:rPr>
      </w:pPr>
      <w:r>
        <w:rPr>
          <w:rFonts w:hint="eastAsia" w:ascii="宋体" w:hAnsi="宋体" w:cs="Arial"/>
          <w:kern w:val="0"/>
          <w:szCs w:val="21"/>
          <w:highlight w:val="none"/>
        </w:rPr>
        <w:t>2.落实政府采购政策需满足的资格要求：</w:t>
      </w:r>
      <w:r>
        <w:rPr>
          <w:rFonts w:hint="eastAsia" w:ascii="宋体" w:hAnsi="宋体" w:cs="宋体"/>
          <w:bCs/>
          <w:color w:val="000000"/>
          <w:szCs w:val="21"/>
          <w:highlight w:val="none"/>
        </w:rPr>
        <w:t>本项目属于专门面向中小企业采购的项目，供应商应为符合财库〔2020〕46号《政府采购促进中小企业发展管理办法》的中小企业（其中，小微企业包括视同为小型、微型企业的监狱企业、残疾人福利性单位）</w:t>
      </w:r>
      <w:r>
        <w:rPr>
          <w:rFonts w:hint="eastAsia" w:ascii="宋体" w:hAnsi="宋体" w:cs="Arial"/>
          <w:kern w:val="0"/>
          <w:szCs w:val="21"/>
          <w:highlight w:val="none"/>
        </w:rPr>
        <w:t>；</w:t>
      </w:r>
    </w:p>
    <w:p>
      <w:pPr>
        <w:widowControl/>
        <w:spacing w:before="100" w:beforeAutospacing="1" w:after="100" w:afterAutospacing="1" w:line="405" w:lineRule="atLeast"/>
        <w:ind w:firstLine="420"/>
        <w:jc w:val="left"/>
        <w:rPr>
          <w:rFonts w:ascii="Arial" w:hAnsi="Arial" w:eastAsia="微软雅黑" w:cs="Arial"/>
          <w:kern w:val="0"/>
          <w:szCs w:val="21"/>
          <w:highlight w:val="none"/>
        </w:rPr>
      </w:pPr>
      <w:r>
        <w:rPr>
          <w:rFonts w:hint="eastAsia" w:ascii="宋体" w:hAnsi="宋体" w:cs="Arial"/>
          <w:kern w:val="0"/>
          <w:szCs w:val="21"/>
          <w:highlight w:val="none"/>
        </w:rPr>
        <w:t>3.本项目的特定资格要求：无</w:t>
      </w:r>
      <w:r>
        <w:rPr>
          <w:rFonts w:hint="eastAsia" w:ascii="宋体" w:hAnsi="宋体" w:cs="宋体"/>
          <w:szCs w:val="21"/>
          <w:highlight w:val="none"/>
        </w:rPr>
        <w:t>；</w:t>
      </w:r>
    </w:p>
    <w:p>
      <w:pPr>
        <w:widowControl/>
        <w:wordWrap w:val="0"/>
        <w:spacing w:before="100" w:beforeAutospacing="1" w:after="100" w:afterAutospacing="1" w:line="405" w:lineRule="atLeast"/>
        <w:ind w:firstLine="420"/>
        <w:jc w:val="left"/>
        <w:rPr>
          <w:rFonts w:ascii="Arial" w:hAnsi="Arial" w:eastAsia="微软雅黑" w:cs="Arial"/>
          <w:kern w:val="0"/>
          <w:szCs w:val="21"/>
          <w:highlight w:val="none"/>
        </w:rPr>
      </w:pPr>
      <w:r>
        <w:rPr>
          <w:rFonts w:hint="eastAsia" w:ascii="宋体" w:hAnsi="宋体" w:cs="Arial"/>
          <w:kern w:val="0"/>
          <w:szCs w:val="21"/>
          <w:highlight w:val="none"/>
        </w:rPr>
        <w:t>4.投标人和投标人的法定代表人/负责人未被列入失信被执行人、重大税收违法失信主体、政府采购严重违法失信行为记录名单等。</w:t>
      </w:r>
    </w:p>
    <w:p>
      <w:pPr>
        <w:widowControl/>
        <w:wordWrap w:val="0"/>
        <w:spacing w:before="100" w:beforeAutospacing="1" w:after="100" w:afterAutospacing="1" w:line="405" w:lineRule="atLeast"/>
        <w:ind w:firstLine="420"/>
        <w:jc w:val="left"/>
        <w:rPr>
          <w:rFonts w:ascii="Arial" w:hAnsi="Arial" w:eastAsia="微软雅黑" w:cs="Arial"/>
          <w:kern w:val="0"/>
          <w:szCs w:val="21"/>
          <w:highlight w:val="none"/>
        </w:rPr>
      </w:pPr>
      <w:r>
        <w:rPr>
          <w:rFonts w:ascii="Arial" w:hAnsi="Arial" w:eastAsia="微软雅黑" w:cs="Arial"/>
          <w:kern w:val="0"/>
          <w:szCs w:val="21"/>
          <w:highlight w:val="none"/>
        </w:rPr>
        <w:t>三、获取招标文件</w:t>
      </w:r>
    </w:p>
    <w:p>
      <w:pPr>
        <w:widowControl/>
        <w:wordWrap w:val="0"/>
        <w:spacing w:before="100" w:beforeAutospacing="1" w:after="100" w:afterAutospacing="1" w:line="405" w:lineRule="atLeast"/>
        <w:ind w:firstLine="420"/>
        <w:jc w:val="left"/>
        <w:rPr>
          <w:rFonts w:ascii="宋体" w:hAnsi="宋体" w:cs="Arial"/>
          <w:kern w:val="0"/>
          <w:szCs w:val="21"/>
          <w:highlight w:val="none"/>
        </w:rPr>
      </w:pPr>
      <w:r>
        <w:rPr>
          <w:rFonts w:hint="eastAsia" w:ascii="宋体" w:hAnsi="宋体" w:cs="Arial"/>
          <w:kern w:val="0"/>
          <w:szCs w:val="21"/>
          <w:highlight w:val="none"/>
        </w:rPr>
        <w:t>时间：提交投标文件截止时间前。</w:t>
      </w:r>
    </w:p>
    <w:p>
      <w:pPr>
        <w:widowControl/>
        <w:wordWrap w:val="0"/>
        <w:spacing w:before="100" w:beforeAutospacing="1" w:after="100" w:afterAutospacing="1" w:line="405" w:lineRule="atLeast"/>
        <w:ind w:firstLine="420"/>
        <w:jc w:val="left"/>
        <w:rPr>
          <w:rFonts w:ascii="宋体" w:hAnsi="宋体" w:cs="Arial"/>
          <w:kern w:val="0"/>
          <w:szCs w:val="21"/>
          <w:highlight w:val="none"/>
        </w:rPr>
      </w:pPr>
      <w:r>
        <w:rPr>
          <w:rFonts w:hint="eastAsia" w:ascii="宋体" w:hAnsi="宋体" w:cs="Arial"/>
          <w:kern w:val="0"/>
          <w:szCs w:val="21"/>
          <w:highlight w:val="none"/>
        </w:rPr>
        <w:t>地点：政府采购云平台（www.zcygov.cn）。</w:t>
      </w:r>
    </w:p>
    <w:p>
      <w:pPr>
        <w:widowControl/>
        <w:wordWrap w:val="0"/>
        <w:spacing w:before="100" w:beforeAutospacing="1" w:after="100" w:afterAutospacing="1" w:line="405" w:lineRule="atLeast"/>
        <w:ind w:firstLine="420"/>
        <w:jc w:val="left"/>
        <w:rPr>
          <w:rFonts w:ascii="宋体" w:hAnsi="宋体" w:cs="Arial"/>
          <w:kern w:val="0"/>
          <w:szCs w:val="21"/>
          <w:highlight w:val="none"/>
        </w:rPr>
      </w:pPr>
      <w:r>
        <w:rPr>
          <w:rFonts w:hint="eastAsia" w:ascii="宋体" w:hAnsi="宋体" w:cs="Arial"/>
          <w:kern w:val="0"/>
          <w:szCs w:val="21"/>
          <w:highlight w:val="none"/>
        </w:rPr>
        <w:t>方式：通过政府采购云平台下载。</w:t>
      </w:r>
    </w:p>
    <w:p>
      <w:pPr>
        <w:widowControl/>
        <w:wordWrap w:val="0"/>
        <w:spacing w:before="100" w:beforeAutospacing="1" w:after="100" w:afterAutospacing="1" w:line="405" w:lineRule="atLeast"/>
        <w:ind w:firstLine="420"/>
        <w:jc w:val="left"/>
        <w:rPr>
          <w:rFonts w:ascii="宋体" w:hAnsi="宋体" w:cs="Arial"/>
          <w:kern w:val="0"/>
          <w:szCs w:val="21"/>
          <w:highlight w:val="none"/>
        </w:rPr>
      </w:pPr>
      <w:r>
        <w:rPr>
          <w:rFonts w:hint="eastAsia" w:ascii="宋体" w:hAnsi="宋体" w:cs="Arial"/>
          <w:kern w:val="0"/>
          <w:szCs w:val="21"/>
          <w:highlight w:val="none"/>
        </w:rPr>
        <w:t>售价：无。</w:t>
      </w:r>
    </w:p>
    <w:p>
      <w:pPr>
        <w:widowControl/>
        <w:spacing w:before="100" w:beforeAutospacing="1" w:line="405" w:lineRule="atLeast"/>
        <w:ind w:firstLine="420"/>
        <w:jc w:val="left"/>
        <w:outlineLvl w:val="1"/>
        <w:rPr>
          <w:rFonts w:ascii="Arial" w:hAnsi="Arial" w:eastAsia="微软雅黑" w:cs="Arial"/>
          <w:kern w:val="0"/>
          <w:sz w:val="36"/>
          <w:szCs w:val="36"/>
          <w:highlight w:val="none"/>
        </w:rPr>
      </w:pPr>
      <w:r>
        <w:rPr>
          <w:rFonts w:ascii="Arial" w:hAnsi="Arial" w:eastAsia="微软雅黑" w:cs="Arial"/>
          <w:kern w:val="0"/>
          <w:szCs w:val="21"/>
          <w:highlight w:val="none"/>
        </w:rPr>
        <w:t>四、提交投标文件截止时间、开标时间和地点</w:t>
      </w:r>
    </w:p>
    <w:p>
      <w:pPr>
        <w:widowControl/>
        <w:wordWrap w:val="0"/>
        <w:spacing w:before="100" w:beforeAutospacing="1" w:after="100" w:afterAutospacing="1" w:line="405" w:lineRule="atLeast"/>
        <w:ind w:firstLine="420"/>
        <w:jc w:val="left"/>
        <w:rPr>
          <w:rFonts w:ascii="宋体" w:hAnsi="宋体" w:cs="Arial"/>
          <w:kern w:val="0"/>
          <w:szCs w:val="21"/>
          <w:highlight w:val="none"/>
        </w:rPr>
      </w:pPr>
      <w:r>
        <w:rPr>
          <w:rFonts w:ascii="宋体" w:hAnsi="宋体" w:cs="Arial"/>
          <w:kern w:val="0"/>
          <w:szCs w:val="21"/>
          <w:highlight w:val="none"/>
        </w:rPr>
        <w:t>提交投标文件截止时间：</w:t>
      </w:r>
      <w:r>
        <w:rPr>
          <w:rFonts w:hint="eastAsia" w:ascii="宋体" w:hAnsi="宋体" w:cs="Arial"/>
          <w:kern w:val="0"/>
          <w:szCs w:val="21"/>
          <w:highlight w:val="none"/>
        </w:rPr>
        <w:t>2024年</w:t>
      </w:r>
      <w:r>
        <w:rPr>
          <w:rFonts w:hint="eastAsia" w:ascii="宋体" w:hAnsi="宋体" w:cs="Arial"/>
          <w:kern w:val="0"/>
          <w:szCs w:val="21"/>
          <w:highlight w:val="none"/>
          <w:lang w:val="en-US" w:eastAsia="zh-CN"/>
        </w:rPr>
        <w:t>05</w:t>
      </w:r>
      <w:r>
        <w:rPr>
          <w:rFonts w:hint="eastAsia" w:ascii="宋体" w:hAnsi="宋体" w:cs="Arial"/>
          <w:kern w:val="0"/>
          <w:szCs w:val="21"/>
          <w:highlight w:val="none"/>
        </w:rPr>
        <w:t>月</w:t>
      </w:r>
      <w:r>
        <w:rPr>
          <w:rFonts w:hint="eastAsia" w:ascii="宋体" w:hAnsi="宋体" w:cs="Arial"/>
          <w:kern w:val="0"/>
          <w:szCs w:val="21"/>
          <w:highlight w:val="none"/>
          <w:lang w:val="en-US" w:eastAsia="zh-CN"/>
        </w:rPr>
        <w:t>16</w:t>
      </w:r>
      <w:r>
        <w:rPr>
          <w:rFonts w:hint="eastAsia" w:ascii="宋体" w:hAnsi="宋体" w:cs="Arial"/>
          <w:kern w:val="0"/>
          <w:szCs w:val="21"/>
          <w:highlight w:val="none"/>
        </w:rPr>
        <w:t>日13点30分（北京时间）</w:t>
      </w:r>
    </w:p>
    <w:p>
      <w:pPr>
        <w:widowControl/>
        <w:wordWrap w:val="0"/>
        <w:spacing w:before="100" w:beforeAutospacing="1" w:after="100" w:afterAutospacing="1" w:line="405" w:lineRule="atLeast"/>
        <w:ind w:firstLine="420"/>
        <w:jc w:val="left"/>
        <w:rPr>
          <w:rFonts w:hint="eastAsia" w:ascii="宋体" w:hAnsi="宋体" w:eastAsia="仿宋" w:cs="Arial"/>
          <w:kern w:val="0"/>
          <w:szCs w:val="21"/>
          <w:highlight w:val="none"/>
        </w:rPr>
      </w:pPr>
      <w:r>
        <w:rPr>
          <w:rFonts w:ascii="宋体" w:hAnsi="宋体" w:cs="Arial"/>
          <w:kern w:val="0"/>
          <w:szCs w:val="21"/>
          <w:highlight w:val="none"/>
        </w:rPr>
        <w:t>投标地点（网址）：政府采购云平台（http://www.zcygov.cn/）</w:t>
      </w:r>
      <w:r>
        <w:rPr>
          <w:rFonts w:hint="eastAsia" w:ascii="宋体" w:hAnsi="宋体" w:cs="Arial"/>
          <w:kern w:val="0"/>
          <w:szCs w:val="21"/>
          <w:highlight w:val="none"/>
        </w:rPr>
        <w:t>。</w:t>
      </w:r>
    </w:p>
    <w:p>
      <w:pPr>
        <w:widowControl/>
        <w:wordWrap w:val="0"/>
        <w:spacing w:before="100" w:beforeAutospacing="1" w:after="100" w:afterAutospacing="1" w:line="405" w:lineRule="atLeast"/>
        <w:ind w:firstLine="420"/>
        <w:jc w:val="left"/>
        <w:rPr>
          <w:rFonts w:ascii="宋体" w:hAnsi="宋体" w:cs="Arial"/>
          <w:kern w:val="0"/>
          <w:szCs w:val="21"/>
          <w:highlight w:val="none"/>
        </w:rPr>
      </w:pPr>
      <w:r>
        <w:rPr>
          <w:rFonts w:ascii="宋体" w:hAnsi="宋体" w:cs="Arial"/>
          <w:kern w:val="0"/>
          <w:szCs w:val="21"/>
          <w:highlight w:val="none"/>
        </w:rPr>
        <w:t>开标时间：</w:t>
      </w:r>
      <w:r>
        <w:rPr>
          <w:rFonts w:hint="eastAsia" w:ascii="宋体" w:hAnsi="宋体" w:cs="Arial"/>
          <w:kern w:val="0"/>
          <w:szCs w:val="21"/>
          <w:highlight w:val="none"/>
        </w:rPr>
        <w:t>2024年</w:t>
      </w:r>
      <w:r>
        <w:rPr>
          <w:rFonts w:hint="eastAsia" w:ascii="宋体" w:hAnsi="宋体" w:cs="Arial"/>
          <w:kern w:val="0"/>
          <w:szCs w:val="21"/>
          <w:highlight w:val="none"/>
          <w:lang w:val="en-US" w:eastAsia="zh-CN"/>
        </w:rPr>
        <w:t>05</w:t>
      </w:r>
      <w:r>
        <w:rPr>
          <w:rFonts w:hint="eastAsia" w:ascii="宋体" w:hAnsi="宋体" w:cs="Arial"/>
          <w:kern w:val="0"/>
          <w:szCs w:val="21"/>
          <w:highlight w:val="none"/>
        </w:rPr>
        <w:t>月</w:t>
      </w:r>
      <w:r>
        <w:rPr>
          <w:rFonts w:hint="eastAsia" w:ascii="宋体" w:hAnsi="宋体" w:cs="Arial"/>
          <w:kern w:val="0"/>
          <w:szCs w:val="21"/>
          <w:highlight w:val="none"/>
          <w:lang w:val="en-US" w:eastAsia="zh-CN"/>
        </w:rPr>
        <w:t>16</w:t>
      </w:r>
      <w:r>
        <w:rPr>
          <w:rFonts w:hint="eastAsia" w:ascii="宋体" w:hAnsi="宋体" w:cs="Arial"/>
          <w:kern w:val="0"/>
          <w:szCs w:val="21"/>
          <w:highlight w:val="none"/>
        </w:rPr>
        <w:t>日13点30分（北京时间）</w:t>
      </w:r>
    </w:p>
    <w:p>
      <w:pPr>
        <w:widowControl/>
        <w:wordWrap w:val="0"/>
        <w:spacing w:before="100" w:beforeAutospacing="1" w:after="100" w:afterAutospacing="1" w:line="405" w:lineRule="atLeast"/>
        <w:ind w:firstLine="420"/>
        <w:jc w:val="left"/>
        <w:rPr>
          <w:rFonts w:ascii="宋体" w:hAnsi="宋体" w:cs="Arial"/>
          <w:kern w:val="0"/>
          <w:szCs w:val="21"/>
          <w:highlight w:val="none"/>
        </w:rPr>
      </w:pPr>
      <w:r>
        <w:rPr>
          <w:rFonts w:ascii="宋体" w:hAnsi="宋体" w:cs="Arial"/>
          <w:kern w:val="0"/>
          <w:szCs w:val="21"/>
          <w:highlight w:val="none"/>
        </w:rPr>
        <w:t>开标地点（网址）：政府采购云平台（http://www.zcygov.cn/）</w:t>
      </w:r>
      <w:r>
        <w:rPr>
          <w:rFonts w:hint="eastAsia" w:ascii="宋体" w:hAnsi="宋体" w:cs="Arial"/>
          <w:kern w:val="0"/>
          <w:szCs w:val="21"/>
          <w:highlight w:val="none"/>
        </w:rPr>
        <w:t>。</w:t>
      </w:r>
    </w:p>
    <w:p>
      <w:pPr>
        <w:widowControl/>
        <w:spacing w:before="100" w:beforeAutospacing="1" w:line="405" w:lineRule="atLeast"/>
        <w:ind w:firstLine="420"/>
        <w:jc w:val="left"/>
        <w:outlineLvl w:val="1"/>
        <w:rPr>
          <w:rFonts w:ascii="Arial" w:hAnsi="Arial" w:eastAsia="微软雅黑" w:cs="Arial"/>
          <w:kern w:val="0"/>
          <w:sz w:val="36"/>
          <w:szCs w:val="36"/>
          <w:highlight w:val="none"/>
        </w:rPr>
      </w:pPr>
      <w:r>
        <w:rPr>
          <w:rFonts w:ascii="Arial" w:hAnsi="Arial" w:eastAsia="微软雅黑" w:cs="Arial"/>
          <w:kern w:val="0"/>
          <w:szCs w:val="21"/>
          <w:highlight w:val="none"/>
        </w:rPr>
        <w:t>五、公告期限</w:t>
      </w:r>
    </w:p>
    <w:p>
      <w:pPr>
        <w:widowControl/>
        <w:spacing w:before="100" w:beforeAutospacing="1" w:after="100" w:afterAutospacing="1" w:line="405" w:lineRule="atLeast"/>
        <w:ind w:firstLine="420"/>
        <w:jc w:val="left"/>
        <w:rPr>
          <w:rFonts w:ascii="Arial" w:hAnsi="Arial" w:eastAsia="微软雅黑" w:cs="Arial"/>
          <w:kern w:val="0"/>
          <w:szCs w:val="21"/>
          <w:highlight w:val="none"/>
        </w:rPr>
      </w:pPr>
      <w:r>
        <w:rPr>
          <w:rFonts w:hint="eastAsia" w:ascii="宋体" w:hAnsi="宋体" w:cs="Arial"/>
          <w:kern w:val="0"/>
          <w:szCs w:val="21"/>
          <w:highlight w:val="none"/>
        </w:rPr>
        <w:t>自本公告发布之日起5个工作日。</w:t>
      </w:r>
    </w:p>
    <w:p>
      <w:pPr>
        <w:widowControl/>
        <w:spacing w:before="100" w:beforeAutospacing="1" w:line="405" w:lineRule="atLeast"/>
        <w:ind w:firstLine="420"/>
        <w:jc w:val="left"/>
        <w:outlineLvl w:val="1"/>
        <w:rPr>
          <w:rFonts w:ascii="Arial" w:hAnsi="Arial" w:eastAsia="微软雅黑" w:cs="Arial"/>
          <w:kern w:val="0"/>
          <w:sz w:val="36"/>
          <w:szCs w:val="36"/>
          <w:highlight w:val="none"/>
        </w:rPr>
      </w:pPr>
      <w:r>
        <w:rPr>
          <w:rFonts w:ascii="Arial" w:hAnsi="Arial" w:eastAsia="微软雅黑" w:cs="Arial"/>
          <w:kern w:val="0"/>
          <w:szCs w:val="21"/>
          <w:highlight w:val="none"/>
        </w:rPr>
        <w:t>六、其他补充事宜</w:t>
      </w:r>
    </w:p>
    <w:p>
      <w:pPr>
        <w:widowControl/>
        <w:wordWrap w:val="0"/>
        <w:spacing w:before="100" w:beforeAutospacing="1" w:after="100" w:afterAutospacing="1" w:line="405" w:lineRule="atLeast"/>
        <w:ind w:firstLine="420"/>
        <w:jc w:val="left"/>
        <w:rPr>
          <w:rFonts w:hint="eastAsia" w:ascii="宋体" w:hAnsi="宋体" w:cs="Arial"/>
          <w:kern w:val="0"/>
          <w:szCs w:val="21"/>
          <w:highlight w:val="none"/>
        </w:rPr>
      </w:pPr>
      <w:r>
        <w:rPr>
          <w:rFonts w:hint="eastAsia" w:ascii="宋体" w:hAnsi="宋体" w:cs="Arial"/>
          <w:kern w:val="0"/>
          <w:szCs w:val="21"/>
          <w:highlight w:val="none"/>
        </w:rPr>
        <w:t>1.投标人认为采购文件使自己的权益受到损害的，可以自获取采购文件之日或者采购文件公告期限届满之日起7个工作日内，对采购文件需求的以书面形式向采购人提出质疑，对其他内容的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wordWrap w:val="0"/>
        <w:spacing w:before="100" w:beforeAutospacing="1" w:after="100" w:afterAutospacing="1" w:line="405" w:lineRule="atLeast"/>
        <w:ind w:firstLine="420"/>
        <w:jc w:val="left"/>
        <w:rPr>
          <w:rFonts w:ascii="宋体" w:hAnsi="宋体" w:cs="Arial"/>
          <w:kern w:val="0"/>
          <w:szCs w:val="21"/>
          <w:highlight w:val="none"/>
        </w:rPr>
      </w:pPr>
      <w:r>
        <w:rPr>
          <w:rFonts w:hint="eastAsia" w:ascii="宋体" w:hAnsi="宋体" w:cs="Arial"/>
          <w:kern w:val="0"/>
          <w:szCs w:val="21"/>
          <w:highlight w:val="none"/>
        </w:rPr>
        <w:t>2.其他事项：</w:t>
      </w:r>
    </w:p>
    <w:p>
      <w:pPr>
        <w:widowControl/>
        <w:wordWrap w:val="0"/>
        <w:spacing w:before="100" w:beforeAutospacing="1" w:after="100" w:afterAutospacing="1" w:line="405" w:lineRule="atLeast"/>
        <w:ind w:firstLine="420"/>
        <w:jc w:val="left"/>
        <w:rPr>
          <w:rFonts w:ascii="宋体" w:hAnsi="宋体" w:cs="Arial"/>
          <w:kern w:val="0"/>
          <w:szCs w:val="21"/>
          <w:highlight w:val="none"/>
        </w:rPr>
      </w:pPr>
      <w:r>
        <w:rPr>
          <w:rFonts w:hint="eastAsia" w:ascii="宋体" w:hAnsi="宋体" w:cs="Arial"/>
          <w:kern w:val="0"/>
          <w:szCs w:val="21"/>
          <w:highlight w:val="none"/>
        </w:rPr>
        <w:t>2.1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widowControl/>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 xml:space="preserve">2.2落实的政策： </w:t>
      </w:r>
    </w:p>
    <w:p>
      <w:pPr>
        <w:widowControl/>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2.2.1对小微企业的产品给予价格优惠（监狱企业、残疾人福利性单位视同小微企业；残疾人福利性单位属于小型、微型企业的，不重复享受政策）；</w:t>
      </w:r>
    </w:p>
    <w:p>
      <w:pPr>
        <w:widowControl/>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2.2.2优先采购节能环保产品（注：所采购的货物在政府采购节能产品、环境标志产品实施品目清单范围内，且具有国家确定的认证机构出具的、处于有效期之内的节能产品、环境标志产品认证证书）。</w:t>
      </w:r>
    </w:p>
    <w:p>
      <w:pPr>
        <w:widowControl/>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2.3投标人需按照《浙江省政府采购投标人注册及诚信管理暂行办法》的规定在“浙江政府采购网”政采云平台注册登记的，成为浙江省政府采购注册投标人。如未注册的投标人，请注意注册所需时间。</w:t>
      </w:r>
    </w:p>
    <w:p>
      <w:pPr>
        <w:widowControl/>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2.4投标与开标注意事项：</w:t>
      </w:r>
    </w:p>
    <w:p>
      <w:pPr>
        <w:widowControl/>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 4.1本项目实行网上投标，采用电子响应文件。若投标人参与投标，自行承担投标一切费用。</w:t>
      </w:r>
    </w:p>
    <w:p>
      <w:pPr>
        <w:widowControl/>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 4.2标前准备：各投标人应在开标前确保成为浙江政府采购网正式注册入库投标人，并完成CA数字证书办理。同时投标人须保证在政府采购云平台注册的手机号码通讯畅通，能够及时收到评标过程中发送的询标通知。因未注册入库、未办理CA数字证书、手机通讯不畅等原因造成无法投标、投标失败或响应不及时等后果由投标人自行承担。</w:t>
      </w:r>
    </w:p>
    <w:p>
      <w:pPr>
        <w:widowControl/>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 4.3响应文件制作：</w:t>
      </w:r>
    </w:p>
    <w:p>
      <w:pPr>
        <w:widowControl/>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 4.3.1应按照本项目采购文件和政府采购云平台的要求编制、加密并递交响应文件。投标人在使用系统进行投标的过程中遇到涉及平台使用的任何问题，可致电政府采购云平台技术支持热线咨询，联系方式：</w:t>
      </w:r>
      <w:r>
        <w:rPr>
          <w:rFonts w:hint="eastAsia" w:cs="宋体"/>
          <w:szCs w:val="21"/>
          <w:highlight w:val="none"/>
        </w:rPr>
        <w:t>95763</w:t>
      </w:r>
      <w:r>
        <w:rPr>
          <w:rFonts w:hint="eastAsia" w:ascii="宋体" w:hAnsi="宋体" w:cs="Arial"/>
          <w:kern w:val="0"/>
          <w:szCs w:val="21"/>
          <w:highlight w:val="none"/>
        </w:rPr>
        <w:t>。</w:t>
      </w:r>
    </w:p>
    <w:p>
      <w:pPr>
        <w:widowControl/>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 4.3.2投标人通过政府采购云平台电子投标工具制作响应文件，电子投标工具请投标人自行前往浙江政府采购网下载并安装，响应文件制作具体流程详见政府采购云平台。</w:t>
      </w:r>
    </w:p>
    <w:p>
      <w:pPr>
        <w:widowControl/>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 4.3.3以U盘存储的电子备份响应文件1份，按政府采购云平台要求制作的电子备份响应文件，以用于异常情况处理。</w:t>
      </w:r>
    </w:p>
    <w:p>
      <w:pPr>
        <w:widowControl/>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2.5本采购公告附件中的采购文件仅供阅览使用，投标人应在规定的采购文件获取期限内在政采云平台登录投标人注册的账号后获取采购文件，未按上述方式获取采购文件的，不得对采购文件提起质疑投诉。</w:t>
      </w:r>
    </w:p>
    <w:p>
      <w:pPr>
        <w:widowControl/>
        <w:wordWrap w:val="0"/>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2.6投标人应于提交响应文件截止时间前将电子响应文件上传到政府采购云平台www.zcygov.cn，未上传电子响应文件，视为投标人放弃投标。</w:t>
      </w:r>
    </w:p>
    <w:p>
      <w:pPr>
        <w:widowControl/>
        <w:wordWrap w:val="0"/>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2.7投标人电子备份响应文件的投标方式：投标人可采用邮寄（含快递）方式或现场方式递交。</w:t>
      </w:r>
    </w:p>
    <w:p>
      <w:pPr>
        <w:widowControl/>
        <w:wordWrap w:val="0"/>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2.7.1采用邮寄方式递交的，需按以下要求递交：各投标人在响应文件提交截止时间前将响应文件邮寄至规定地点，由采购代理工作人员进行签收，各投标人自行考虑邮寄在途时间，邮寄过程中无论何种因素导致响应文件未按时递交的后果，均由投标人自行负责。响应文件递交时间以采购代理实际收到响应文件的时间为准。</w:t>
      </w:r>
    </w:p>
    <w:p>
      <w:pPr>
        <w:widowControl/>
        <w:wordWrap w:val="0"/>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邮寄须在2024年</w:t>
      </w:r>
      <w:r>
        <w:rPr>
          <w:rFonts w:hint="eastAsia" w:ascii="宋体" w:hAnsi="宋体" w:cs="Arial"/>
          <w:kern w:val="0"/>
          <w:szCs w:val="21"/>
          <w:highlight w:val="none"/>
          <w:lang w:val="en-US" w:eastAsia="zh-CN"/>
        </w:rPr>
        <w:t>05</w:t>
      </w:r>
      <w:r>
        <w:rPr>
          <w:rFonts w:hint="eastAsia" w:ascii="宋体" w:hAnsi="宋体" w:cs="Arial"/>
          <w:kern w:val="0"/>
          <w:szCs w:val="21"/>
          <w:highlight w:val="none"/>
        </w:rPr>
        <w:t>月</w:t>
      </w:r>
      <w:r>
        <w:rPr>
          <w:rFonts w:hint="eastAsia" w:ascii="宋体" w:hAnsi="宋体" w:cs="Arial"/>
          <w:kern w:val="0"/>
          <w:szCs w:val="21"/>
          <w:highlight w:val="none"/>
          <w:lang w:val="en-US" w:eastAsia="zh-CN"/>
        </w:rPr>
        <w:t>15</w:t>
      </w:r>
      <w:r>
        <w:rPr>
          <w:rFonts w:hint="eastAsia" w:ascii="宋体" w:hAnsi="宋体" w:cs="Arial"/>
          <w:kern w:val="0"/>
          <w:szCs w:val="21"/>
          <w:highlight w:val="none"/>
        </w:rPr>
        <w:t>日（含）17:00前到件，邮寄地址为：宁波市宁海县兴工二路29号三楼。收件人：周</w:t>
      </w:r>
      <w:r>
        <w:rPr>
          <w:rFonts w:hint="eastAsia" w:ascii="宋体" w:hAnsi="宋体" w:cs="Arial"/>
          <w:kern w:val="0"/>
          <w:szCs w:val="21"/>
          <w:highlight w:val="none"/>
          <w:lang w:val="en-US" w:eastAsia="zh-CN"/>
        </w:rPr>
        <w:t>全</w:t>
      </w:r>
      <w:r>
        <w:rPr>
          <w:rFonts w:hint="eastAsia" w:ascii="宋体" w:hAnsi="宋体" w:cs="Arial"/>
          <w:kern w:val="0"/>
          <w:szCs w:val="21"/>
          <w:highlight w:val="none"/>
        </w:rPr>
        <w:t xml:space="preserve"> 联系方式：15257871020。投标人自行安排好邮寄事宜，招标代理机构不对邮寄过程中的任何事情负责。</w:t>
      </w:r>
    </w:p>
    <w:p>
      <w:pPr>
        <w:widowControl/>
        <w:wordWrap w:val="0"/>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请各投标人确保密封包装在邮寄过程密封包装完好，因邮寄过程的密封破损造成不符合开标要求的，本采购代理及采购人概不负责。</w:t>
      </w:r>
    </w:p>
    <w:p>
      <w:pPr>
        <w:widowControl/>
        <w:spacing w:before="100" w:beforeAutospacing="1" w:line="405" w:lineRule="atLeast"/>
        <w:ind w:firstLine="420"/>
        <w:jc w:val="left"/>
        <w:outlineLvl w:val="1"/>
        <w:rPr>
          <w:rFonts w:ascii="Arial" w:hAnsi="Arial" w:eastAsia="微软雅黑" w:cs="Arial"/>
          <w:kern w:val="0"/>
          <w:sz w:val="36"/>
          <w:szCs w:val="36"/>
          <w:highlight w:val="none"/>
        </w:rPr>
      </w:pPr>
      <w:r>
        <w:rPr>
          <w:rFonts w:ascii="Arial" w:hAnsi="Arial" w:eastAsia="微软雅黑" w:cs="Arial"/>
          <w:kern w:val="0"/>
          <w:szCs w:val="21"/>
          <w:highlight w:val="none"/>
        </w:rPr>
        <w:t>七、对本次招标提出询问，请按以下方式联系。</w:t>
      </w:r>
    </w:p>
    <w:p>
      <w:pPr>
        <w:widowControl/>
        <w:spacing w:before="100" w:beforeAutospacing="1" w:after="100" w:afterAutospacing="1" w:line="405" w:lineRule="atLeast"/>
        <w:ind w:firstLine="420"/>
        <w:jc w:val="left"/>
        <w:rPr>
          <w:rFonts w:ascii="Arial" w:hAnsi="Arial" w:eastAsia="微软雅黑" w:cs="Arial"/>
          <w:kern w:val="0"/>
          <w:szCs w:val="21"/>
          <w:highlight w:val="none"/>
        </w:rPr>
      </w:pPr>
      <w:r>
        <w:rPr>
          <w:rFonts w:hint="eastAsia" w:ascii="宋体" w:hAnsi="宋体" w:cs="Arial"/>
          <w:kern w:val="0"/>
          <w:szCs w:val="21"/>
          <w:highlight w:val="none"/>
        </w:rPr>
        <w:t>1.采购人信息</w:t>
      </w:r>
    </w:p>
    <w:p>
      <w:pPr>
        <w:widowControl/>
        <w:spacing w:before="100" w:beforeAutospacing="1" w:after="100" w:afterAutospacing="1" w:line="405" w:lineRule="atLeast"/>
        <w:ind w:firstLine="420"/>
        <w:jc w:val="left"/>
        <w:rPr>
          <w:rFonts w:ascii="宋体" w:hAnsi="宋体" w:cs="Arial"/>
          <w:kern w:val="0"/>
          <w:szCs w:val="21"/>
          <w:highlight w:val="none"/>
        </w:rPr>
      </w:pPr>
      <w:r>
        <w:rPr>
          <w:rFonts w:hint="eastAsia" w:ascii="宋体" w:hAnsi="宋体" w:cs="Arial"/>
          <w:kern w:val="0"/>
          <w:szCs w:val="21"/>
          <w:highlight w:val="none"/>
        </w:rPr>
        <w:t>采购人：</w:t>
      </w:r>
      <w:r>
        <w:rPr>
          <w:rFonts w:hint="eastAsia" w:ascii="宋体" w:hAnsi="宋体" w:cs="Arial"/>
          <w:kern w:val="0"/>
          <w:szCs w:val="21"/>
          <w:highlight w:val="none"/>
          <w:u w:val="single"/>
        </w:rPr>
        <w:t>宁海县文化和广电旅游体育局</w:t>
      </w:r>
    </w:p>
    <w:p>
      <w:pPr>
        <w:widowControl/>
        <w:spacing w:before="100" w:beforeAutospacing="1" w:after="100" w:afterAutospacing="1" w:line="405" w:lineRule="atLeast"/>
        <w:ind w:firstLine="420"/>
        <w:jc w:val="left"/>
        <w:rPr>
          <w:rFonts w:ascii="宋体" w:hAnsi="宋体" w:cs="Arial"/>
          <w:kern w:val="0"/>
          <w:szCs w:val="21"/>
          <w:highlight w:val="none"/>
          <w:u w:val="single"/>
        </w:rPr>
      </w:pPr>
      <w:r>
        <w:rPr>
          <w:rFonts w:hint="eastAsia" w:ascii="宋体" w:hAnsi="宋体" w:cs="Arial"/>
          <w:kern w:val="0"/>
          <w:szCs w:val="21"/>
          <w:highlight w:val="none"/>
        </w:rPr>
        <w:t>地址：</w:t>
      </w:r>
      <w:r>
        <w:rPr>
          <w:rStyle w:val="224"/>
          <w:rFonts w:ascii="Arial" w:hAnsi="Arial" w:cs="Arial"/>
          <w:sz w:val="22"/>
          <w:szCs w:val="22"/>
          <w:highlight w:val="none"/>
          <w:shd w:val="clear" w:color="auto" w:fill="FFFFFF"/>
        </w:rPr>
        <w:t> </w:t>
      </w:r>
      <w:r>
        <w:rPr>
          <w:rFonts w:ascii="宋体" w:hAnsi="宋体" w:cs="Arial"/>
          <w:kern w:val="0"/>
          <w:szCs w:val="21"/>
          <w:highlight w:val="none"/>
          <w:u w:val="single"/>
        </w:rPr>
        <w:t>宁波市宁海县桃源商务楼B幢1</w:t>
      </w:r>
      <w:r>
        <w:rPr>
          <w:rFonts w:hint="eastAsia" w:ascii="宋体" w:hAnsi="宋体" w:cs="Arial"/>
          <w:kern w:val="0"/>
          <w:szCs w:val="21"/>
          <w:highlight w:val="none"/>
          <w:u w:val="single"/>
        </w:rPr>
        <w:t>2</w:t>
      </w:r>
      <w:r>
        <w:rPr>
          <w:rFonts w:ascii="宋体" w:hAnsi="宋体" w:cs="Arial"/>
          <w:kern w:val="0"/>
          <w:szCs w:val="21"/>
          <w:highlight w:val="none"/>
          <w:u w:val="single"/>
        </w:rPr>
        <w:t>层</w:t>
      </w:r>
    </w:p>
    <w:p>
      <w:pPr>
        <w:widowControl/>
        <w:spacing w:before="100" w:beforeAutospacing="1" w:after="100" w:afterAutospacing="1" w:line="405" w:lineRule="atLeast"/>
        <w:ind w:firstLine="420"/>
        <w:jc w:val="left"/>
        <w:rPr>
          <w:rFonts w:ascii="宋体" w:hAnsi="宋体" w:cs="Arial"/>
          <w:kern w:val="0"/>
          <w:szCs w:val="21"/>
          <w:highlight w:val="none"/>
        </w:rPr>
      </w:pPr>
      <w:r>
        <w:rPr>
          <w:rFonts w:ascii="宋体" w:hAnsi="宋体" w:cs="Arial"/>
          <w:kern w:val="0"/>
          <w:szCs w:val="21"/>
          <w:highlight w:val="none"/>
        </w:rPr>
        <w:t>项目联系人（询问）：</w:t>
      </w:r>
      <w:r>
        <w:rPr>
          <w:rFonts w:hint="eastAsia" w:ascii="宋体" w:hAnsi="宋体" w:cs="Arial"/>
          <w:kern w:val="0"/>
          <w:szCs w:val="21"/>
          <w:highlight w:val="none"/>
          <w:u w:val="single"/>
        </w:rPr>
        <w:t>葛老师</w:t>
      </w:r>
    </w:p>
    <w:p>
      <w:pPr>
        <w:widowControl/>
        <w:spacing w:before="100" w:beforeAutospacing="1" w:after="100" w:afterAutospacing="1" w:line="405" w:lineRule="atLeast"/>
        <w:ind w:firstLine="420"/>
        <w:jc w:val="left"/>
        <w:rPr>
          <w:rFonts w:hint="eastAsia" w:ascii="宋体" w:hAnsi="宋体" w:eastAsia="宋体" w:cs="Arial"/>
          <w:kern w:val="0"/>
          <w:szCs w:val="21"/>
          <w:highlight w:val="none"/>
          <w:lang w:eastAsia="zh-CN"/>
        </w:rPr>
      </w:pPr>
      <w:r>
        <w:rPr>
          <w:rFonts w:hint="eastAsia" w:ascii="宋体" w:hAnsi="宋体" w:cs="Arial"/>
          <w:kern w:val="0"/>
          <w:szCs w:val="21"/>
          <w:highlight w:val="none"/>
        </w:rPr>
        <w:t>联系方式：</w:t>
      </w:r>
      <w:r>
        <w:rPr>
          <w:rFonts w:hint="eastAsia" w:ascii="宋体" w:hAnsi="宋体" w:cs="Arial"/>
          <w:kern w:val="0"/>
          <w:szCs w:val="21"/>
          <w:highlight w:val="none"/>
          <w:u w:val="single"/>
          <w:lang w:eastAsia="zh-CN"/>
        </w:rPr>
        <w:t>0574-89286360</w:t>
      </w:r>
    </w:p>
    <w:p>
      <w:pPr>
        <w:widowControl/>
        <w:spacing w:before="100" w:beforeAutospacing="1" w:after="100" w:afterAutospacing="1" w:line="405" w:lineRule="atLeast"/>
        <w:ind w:firstLine="420"/>
        <w:jc w:val="left"/>
        <w:rPr>
          <w:rFonts w:ascii="宋体" w:hAnsi="宋体" w:cs="Arial"/>
          <w:kern w:val="0"/>
          <w:szCs w:val="21"/>
          <w:highlight w:val="none"/>
        </w:rPr>
      </w:pPr>
      <w:r>
        <w:rPr>
          <w:rFonts w:hint="eastAsia" w:ascii="宋体" w:hAnsi="宋体" w:cs="Arial"/>
          <w:kern w:val="0"/>
          <w:szCs w:val="21"/>
          <w:highlight w:val="none"/>
        </w:rPr>
        <w:t>质疑联系人：</w:t>
      </w:r>
      <w:r>
        <w:rPr>
          <w:rFonts w:hint="eastAsia" w:ascii="宋体" w:hAnsi="宋体" w:cs="Arial"/>
          <w:kern w:val="0"/>
          <w:szCs w:val="21"/>
          <w:highlight w:val="none"/>
          <w:u w:val="single"/>
        </w:rPr>
        <w:t>黄老师</w:t>
      </w:r>
    </w:p>
    <w:p>
      <w:pPr>
        <w:widowControl/>
        <w:spacing w:before="100" w:beforeAutospacing="1" w:after="100" w:afterAutospacing="1" w:line="405" w:lineRule="atLeast"/>
        <w:ind w:firstLine="420"/>
        <w:jc w:val="left"/>
        <w:rPr>
          <w:rFonts w:hint="eastAsia" w:ascii="宋体" w:hAnsi="宋体" w:eastAsia="宋体" w:cs="Arial"/>
          <w:kern w:val="0"/>
          <w:szCs w:val="21"/>
          <w:highlight w:val="none"/>
          <w:lang w:eastAsia="zh-CN"/>
        </w:rPr>
      </w:pPr>
      <w:r>
        <w:rPr>
          <w:rFonts w:hint="eastAsia" w:ascii="宋体" w:hAnsi="宋体" w:cs="Arial"/>
          <w:kern w:val="0"/>
          <w:szCs w:val="21"/>
          <w:highlight w:val="none"/>
        </w:rPr>
        <w:t>联系方式：</w:t>
      </w:r>
      <w:r>
        <w:rPr>
          <w:rFonts w:hint="eastAsia" w:ascii="宋体" w:hAnsi="宋体" w:cs="Arial"/>
          <w:kern w:val="0"/>
          <w:szCs w:val="21"/>
          <w:highlight w:val="none"/>
          <w:u w:val="single"/>
          <w:lang w:eastAsia="zh-CN"/>
        </w:rPr>
        <w:t>0574-89286347</w:t>
      </w:r>
    </w:p>
    <w:p>
      <w:pPr>
        <w:widowControl/>
        <w:spacing w:before="100" w:beforeAutospacing="1" w:after="100" w:afterAutospacing="1" w:line="405" w:lineRule="atLeast"/>
        <w:ind w:firstLine="420"/>
        <w:jc w:val="left"/>
        <w:rPr>
          <w:rFonts w:ascii="Arial" w:hAnsi="Arial" w:eastAsia="微软雅黑" w:cs="Arial"/>
          <w:kern w:val="0"/>
          <w:szCs w:val="21"/>
          <w:highlight w:val="none"/>
        </w:rPr>
      </w:pPr>
      <w:r>
        <w:rPr>
          <w:rFonts w:hint="eastAsia" w:ascii="宋体" w:hAnsi="宋体" w:cs="Arial"/>
          <w:kern w:val="0"/>
          <w:szCs w:val="21"/>
          <w:highlight w:val="none"/>
        </w:rPr>
        <w:t>2.采购代理机构信息</w:t>
      </w:r>
    </w:p>
    <w:p>
      <w:pPr>
        <w:widowControl/>
        <w:spacing w:before="100" w:beforeAutospacing="1" w:after="100" w:afterAutospacing="1" w:line="405" w:lineRule="atLeast"/>
        <w:ind w:firstLine="420"/>
        <w:jc w:val="left"/>
        <w:rPr>
          <w:rFonts w:ascii="宋体" w:hAnsi="宋体" w:cs="Arial"/>
          <w:kern w:val="0"/>
          <w:szCs w:val="21"/>
          <w:highlight w:val="none"/>
        </w:rPr>
      </w:pPr>
      <w:r>
        <w:rPr>
          <w:rFonts w:ascii="宋体" w:hAnsi="宋体" w:cs="Arial"/>
          <w:kern w:val="0"/>
          <w:szCs w:val="21"/>
          <w:highlight w:val="none"/>
        </w:rPr>
        <w:t>代理机构：</w:t>
      </w:r>
      <w:r>
        <w:rPr>
          <w:rFonts w:hint="eastAsia" w:ascii="宋体" w:hAnsi="宋体" w:cs="Arial"/>
          <w:kern w:val="0"/>
          <w:szCs w:val="21"/>
          <w:highlight w:val="none"/>
          <w:u w:val="single"/>
        </w:rPr>
        <w:t>中冠</w:t>
      </w:r>
      <w:r>
        <w:rPr>
          <w:rFonts w:ascii="宋体" w:hAnsi="宋体" w:cs="Arial"/>
          <w:kern w:val="0"/>
          <w:szCs w:val="21"/>
          <w:highlight w:val="none"/>
          <w:u w:val="single"/>
        </w:rPr>
        <w:t>工程管理咨询有限公司</w:t>
      </w:r>
    </w:p>
    <w:p>
      <w:pPr>
        <w:widowControl/>
        <w:spacing w:before="100" w:beforeAutospacing="1" w:after="100" w:afterAutospacing="1" w:line="405" w:lineRule="atLeast"/>
        <w:ind w:firstLine="420"/>
        <w:jc w:val="left"/>
        <w:rPr>
          <w:rFonts w:ascii="宋体" w:hAnsi="宋体" w:cs="Arial"/>
          <w:kern w:val="0"/>
          <w:szCs w:val="21"/>
          <w:highlight w:val="none"/>
        </w:rPr>
      </w:pPr>
      <w:r>
        <w:rPr>
          <w:rFonts w:ascii="宋体" w:hAnsi="宋体" w:cs="Arial"/>
          <w:kern w:val="0"/>
          <w:szCs w:val="21"/>
          <w:highlight w:val="none"/>
        </w:rPr>
        <w:t>联系地址：</w:t>
      </w:r>
      <w:r>
        <w:rPr>
          <w:rFonts w:ascii="宋体" w:hAnsi="宋体" w:cs="Arial"/>
          <w:kern w:val="0"/>
          <w:szCs w:val="21"/>
          <w:highlight w:val="none"/>
          <w:u w:val="single"/>
        </w:rPr>
        <w:t>宁海县兴工二路29号</w:t>
      </w:r>
    </w:p>
    <w:p>
      <w:pPr>
        <w:widowControl/>
        <w:spacing w:before="100" w:beforeAutospacing="1" w:after="100" w:afterAutospacing="1" w:line="405" w:lineRule="atLeast"/>
        <w:ind w:firstLine="420"/>
        <w:jc w:val="left"/>
        <w:rPr>
          <w:rFonts w:ascii="宋体" w:hAnsi="宋体" w:cs="Arial"/>
          <w:kern w:val="0"/>
          <w:szCs w:val="21"/>
          <w:highlight w:val="none"/>
        </w:rPr>
      </w:pPr>
      <w:r>
        <w:rPr>
          <w:rFonts w:ascii="宋体" w:hAnsi="宋体" w:cs="Arial"/>
          <w:kern w:val="0"/>
          <w:szCs w:val="21"/>
          <w:highlight w:val="none"/>
        </w:rPr>
        <w:t>联系方式</w:t>
      </w:r>
      <w:r>
        <w:rPr>
          <w:rFonts w:hint="eastAsia" w:ascii="宋体" w:hAnsi="宋体" w:cs="Arial"/>
          <w:kern w:val="0"/>
          <w:szCs w:val="21"/>
          <w:highlight w:val="none"/>
        </w:rPr>
        <w:t>：</w:t>
      </w:r>
      <w:r>
        <w:rPr>
          <w:rFonts w:hint="eastAsia" w:ascii="宋体" w:hAnsi="宋体" w:cs="Arial"/>
          <w:kern w:val="0"/>
          <w:szCs w:val="21"/>
          <w:highlight w:val="none"/>
          <w:u w:val="single"/>
        </w:rPr>
        <w:t>0574-83556096</w:t>
      </w:r>
    </w:p>
    <w:p>
      <w:pPr>
        <w:widowControl/>
        <w:spacing w:before="100" w:beforeAutospacing="1" w:after="100" w:afterAutospacing="1" w:line="405" w:lineRule="atLeast"/>
        <w:ind w:firstLine="420"/>
        <w:jc w:val="left"/>
        <w:rPr>
          <w:rFonts w:ascii="Arial" w:hAnsi="Arial" w:eastAsia="微软雅黑" w:cs="Arial"/>
          <w:kern w:val="0"/>
          <w:szCs w:val="21"/>
          <w:highlight w:val="none"/>
        </w:rPr>
      </w:pPr>
      <w:r>
        <w:rPr>
          <w:rFonts w:hint="eastAsia" w:ascii="宋体" w:hAnsi="宋体" w:cs="Arial"/>
          <w:kern w:val="0"/>
          <w:szCs w:val="21"/>
          <w:highlight w:val="none"/>
        </w:rPr>
        <w:t>3.项目联系方式</w:t>
      </w:r>
    </w:p>
    <w:p>
      <w:pPr>
        <w:widowControl/>
        <w:spacing w:before="100" w:beforeAutospacing="1" w:after="100" w:afterAutospacing="1" w:line="405" w:lineRule="atLeast"/>
        <w:ind w:firstLine="420"/>
        <w:jc w:val="left"/>
        <w:rPr>
          <w:rFonts w:ascii="Arial" w:hAnsi="Arial" w:eastAsia="微软雅黑" w:cs="Arial"/>
          <w:kern w:val="0"/>
          <w:szCs w:val="21"/>
          <w:highlight w:val="none"/>
        </w:rPr>
      </w:pPr>
      <w:r>
        <w:rPr>
          <w:rFonts w:hint="eastAsia" w:ascii="宋体" w:hAnsi="宋体" w:cs="Arial"/>
          <w:kern w:val="0"/>
          <w:szCs w:val="21"/>
          <w:highlight w:val="none"/>
        </w:rPr>
        <w:t>项目联系人：</w:t>
      </w:r>
      <w:r>
        <w:rPr>
          <w:rFonts w:hint="eastAsia" w:ascii="宋体" w:hAnsi="宋体" w:cs="Arial"/>
          <w:kern w:val="0"/>
          <w:szCs w:val="21"/>
          <w:highlight w:val="none"/>
          <w:u w:val="single"/>
        </w:rPr>
        <w:t>周全</w:t>
      </w:r>
    </w:p>
    <w:p>
      <w:pPr>
        <w:widowControl/>
        <w:spacing w:before="100" w:beforeAutospacing="1" w:after="100" w:afterAutospacing="1" w:line="405" w:lineRule="atLeast"/>
        <w:ind w:firstLine="420"/>
        <w:jc w:val="left"/>
        <w:rPr>
          <w:rFonts w:ascii="宋体" w:hAnsi="宋体" w:cs="Arial"/>
          <w:kern w:val="0"/>
          <w:szCs w:val="21"/>
          <w:highlight w:val="none"/>
          <w:u w:val="single"/>
        </w:rPr>
      </w:pPr>
      <w:r>
        <w:rPr>
          <w:rFonts w:hint="eastAsia" w:ascii="宋体" w:hAnsi="宋体" w:cs="Arial"/>
          <w:kern w:val="0"/>
          <w:szCs w:val="21"/>
          <w:highlight w:val="none"/>
        </w:rPr>
        <w:t>电 话：</w:t>
      </w:r>
      <w:r>
        <w:rPr>
          <w:rFonts w:hint="eastAsia" w:ascii="宋体" w:hAnsi="宋体" w:cs="Arial"/>
          <w:kern w:val="0"/>
          <w:szCs w:val="21"/>
          <w:highlight w:val="none"/>
          <w:u w:val="single"/>
        </w:rPr>
        <w:t>0574-83556096</w:t>
      </w:r>
    </w:p>
    <w:p>
      <w:pPr>
        <w:widowControl/>
        <w:spacing w:before="100" w:beforeAutospacing="1" w:after="100" w:afterAutospacing="1" w:line="405" w:lineRule="atLeast"/>
        <w:ind w:firstLine="420"/>
        <w:jc w:val="left"/>
        <w:rPr>
          <w:rFonts w:ascii="宋体" w:hAnsi="宋体" w:cs="Arial"/>
          <w:kern w:val="0"/>
          <w:szCs w:val="21"/>
          <w:highlight w:val="none"/>
          <w:u w:val="single"/>
        </w:rPr>
      </w:pPr>
      <w:r>
        <w:rPr>
          <w:rFonts w:hint="eastAsia" w:ascii="宋体" w:hAnsi="宋体" w:cs="Arial"/>
          <w:kern w:val="0"/>
          <w:szCs w:val="21"/>
          <w:highlight w:val="none"/>
        </w:rPr>
        <w:t>质疑联系人：</w:t>
      </w:r>
      <w:r>
        <w:rPr>
          <w:rFonts w:hint="eastAsia" w:ascii="宋体" w:hAnsi="宋体" w:cs="Arial"/>
          <w:kern w:val="0"/>
          <w:szCs w:val="21"/>
          <w:highlight w:val="none"/>
          <w:u w:val="single"/>
        </w:rPr>
        <w:t>鲍建锋</w:t>
      </w:r>
    </w:p>
    <w:p>
      <w:pPr>
        <w:widowControl/>
        <w:spacing w:before="100" w:beforeAutospacing="1" w:after="100" w:afterAutospacing="1" w:line="405" w:lineRule="atLeast"/>
        <w:ind w:firstLine="420"/>
        <w:jc w:val="left"/>
        <w:rPr>
          <w:highlight w:val="none"/>
        </w:rPr>
      </w:pPr>
      <w:r>
        <w:rPr>
          <w:rFonts w:hint="eastAsia" w:ascii="宋体" w:hAnsi="宋体" w:cs="Arial"/>
          <w:kern w:val="0"/>
          <w:szCs w:val="21"/>
          <w:highlight w:val="none"/>
        </w:rPr>
        <w:t>电话：</w:t>
      </w:r>
      <w:r>
        <w:rPr>
          <w:rFonts w:hint="eastAsia" w:ascii="宋体" w:hAnsi="宋体" w:cs="Arial"/>
          <w:kern w:val="0"/>
          <w:szCs w:val="21"/>
          <w:highlight w:val="none"/>
          <w:u w:val="single"/>
        </w:rPr>
        <w:t>15257871020</w:t>
      </w:r>
    </w:p>
    <w:p>
      <w:pPr>
        <w:widowControl/>
        <w:spacing w:before="100" w:beforeAutospacing="1" w:after="100" w:afterAutospacing="1" w:line="405" w:lineRule="atLeast"/>
        <w:ind w:firstLine="420"/>
        <w:jc w:val="left"/>
        <w:rPr>
          <w:rFonts w:ascii="宋体" w:hAnsi="宋体" w:cs="Arial"/>
          <w:kern w:val="0"/>
          <w:szCs w:val="21"/>
          <w:highlight w:val="none"/>
        </w:rPr>
      </w:pPr>
      <w:r>
        <w:rPr>
          <w:rFonts w:hint="eastAsia" w:ascii="宋体" w:hAnsi="宋体" w:cs="Arial"/>
          <w:kern w:val="0"/>
          <w:szCs w:val="21"/>
          <w:highlight w:val="none"/>
        </w:rPr>
        <w:t>4.</w:t>
      </w:r>
      <w:r>
        <w:rPr>
          <w:rFonts w:ascii="宋体" w:hAnsi="宋体" w:cs="Arial"/>
          <w:kern w:val="0"/>
          <w:szCs w:val="21"/>
          <w:highlight w:val="none"/>
        </w:rPr>
        <w:t>同级政府采购监督管理部门</w:t>
      </w:r>
    </w:p>
    <w:p>
      <w:pPr>
        <w:widowControl/>
        <w:spacing w:before="100" w:beforeAutospacing="1" w:after="100" w:afterAutospacing="1" w:line="405" w:lineRule="atLeast"/>
        <w:ind w:firstLine="420"/>
        <w:jc w:val="left"/>
        <w:rPr>
          <w:rFonts w:ascii="宋体" w:hAnsi="宋体" w:cs="Arial"/>
          <w:kern w:val="0"/>
          <w:szCs w:val="21"/>
          <w:highlight w:val="none"/>
        </w:rPr>
      </w:pPr>
      <w:r>
        <w:rPr>
          <w:rFonts w:ascii="宋体" w:hAnsi="宋体" w:cs="Arial"/>
          <w:kern w:val="0"/>
          <w:szCs w:val="21"/>
          <w:highlight w:val="none"/>
        </w:rPr>
        <w:t>名称：宁海县政府采购管理办公室 </w:t>
      </w:r>
    </w:p>
    <w:p>
      <w:pPr>
        <w:widowControl/>
        <w:spacing w:before="100" w:beforeAutospacing="1" w:after="100" w:afterAutospacing="1" w:line="405" w:lineRule="atLeast"/>
        <w:ind w:firstLine="420"/>
        <w:jc w:val="left"/>
        <w:rPr>
          <w:rFonts w:ascii="宋体" w:hAnsi="宋体" w:cs="Arial"/>
          <w:kern w:val="0"/>
          <w:szCs w:val="21"/>
          <w:highlight w:val="none"/>
        </w:rPr>
      </w:pPr>
      <w:r>
        <w:rPr>
          <w:rFonts w:ascii="宋体" w:hAnsi="宋体" w:cs="Arial"/>
          <w:kern w:val="0"/>
          <w:szCs w:val="21"/>
          <w:highlight w:val="none"/>
        </w:rPr>
        <w:t>联系人 ：王老师</w:t>
      </w:r>
    </w:p>
    <w:p>
      <w:pPr>
        <w:widowControl/>
        <w:spacing w:before="100" w:beforeAutospacing="1" w:after="100" w:afterAutospacing="1" w:line="405" w:lineRule="atLeast"/>
        <w:ind w:firstLine="420"/>
        <w:jc w:val="left"/>
        <w:rPr>
          <w:rFonts w:ascii="宋体" w:hAnsi="宋体" w:cs="Arial"/>
          <w:kern w:val="0"/>
          <w:szCs w:val="21"/>
          <w:highlight w:val="none"/>
        </w:rPr>
      </w:pPr>
      <w:r>
        <w:rPr>
          <w:rFonts w:hint="eastAsia" w:ascii="宋体" w:hAnsi="宋体" w:cs="Arial"/>
          <w:kern w:val="0"/>
          <w:szCs w:val="21"/>
          <w:highlight w:val="none"/>
        </w:rPr>
        <w:t>联系地址：</w:t>
      </w:r>
      <w:r>
        <w:rPr>
          <w:rFonts w:ascii="宋体" w:hAnsi="宋体" w:cs="Arial"/>
          <w:kern w:val="0"/>
          <w:szCs w:val="21"/>
          <w:highlight w:val="none"/>
        </w:rPr>
        <w:t>宁海县跃龙街道桃源中路218号 </w:t>
      </w:r>
    </w:p>
    <w:p>
      <w:pPr>
        <w:widowControl/>
        <w:spacing w:before="100" w:beforeAutospacing="1" w:after="100" w:afterAutospacing="1" w:line="405" w:lineRule="atLeast"/>
        <w:ind w:firstLine="420"/>
        <w:jc w:val="left"/>
        <w:rPr>
          <w:rFonts w:ascii="宋体" w:hAnsi="宋体" w:cs="Arial"/>
          <w:kern w:val="0"/>
          <w:szCs w:val="21"/>
          <w:highlight w:val="none"/>
        </w:rPr>
      </w:pPr>
      <w:r>
        <w:rPr>
          <w:rFonts w:ascii="宋体" w:hAnsi="宋体" w:cs="Arial"/>
          <w:kern w:val="0"/>
          <w:szCs w:val="21"/>
          <w:highlight w:val="none"/>
        </w:rPr>
        <w:t>监督投诉电话：0574-65265668</w:t>
      </w:r>
    </w:p>
    <w:p>
      <w:pPr>
        <w:widowControl/>
        <w:wordWrap w:val="0"/>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若对项目采购电子交易系统操作有疑问，可登录政采云（https：//www.zcygov.cn/），点击右侧咨询小采，获取采小蜜智能服务管家帮助，或拨打政采云服务热线</w:t>
      </w:r>
      <w:r>
        <w:rPr>
          <w:rFonts w:hint="eastAsia" w:cs="宋体"/>
          <w:szCs w:val="21"/>
          <w:highlight w:val="none"/>
        </w:rPr>
        <w:t>95763</w:t>
      </w:r>
      <w:r>
        <w:rPr>
          <w:rFonts w:hint="eastAsia" w:ascii="宋体" w:hAnsi="宋体" w:cs="Arial"/>
          <w:kern w:val="0"/>
          <w:szCs w:val="21"/>
          <w:highlight w:val="none"/>
        </w:rPr>
        <w:t>获取热线服务帮助。</w:t>
      </w:r>
    </w:p>
    <w:p>
      <w:pPr>
        <w:widowControl/>
        <w:wordWrap w:val="0"/>
        <w:spacing w:before="100" w:beforeAutospacing="1" w:line="405" w:lineRule="atLeast"/>
        <w:ind w:firstLine="420"/>
        <w:jc w:val="left"/>
        <w:outlineLvl w:val="1"/>
        <w:rPr>
          <w:rFonts w:ascii="宋体" w:hAnsi="宋体" w:cs="Arial"/>
          <w:kern w:val="0"/>
          <w:szCs w:val="21"/>
          <w:highlight w:val="none"/>
        </w:rPr>
      </w:pPr>
      <w:r>
        <w:rPr>
          <w:rFonts w:hint="eastAsia" w:ascii="宋体" w:hAnsi="宋体" w:cs="Arial"/>
          <w:kern w:val="0"/>
          <w:szCs w:val="21"/>
          <w:highlight w:val="none"/>
        </w:rPr>
        <w:t>CA问题联系电话（人工）：汇信CA400-888-4636；天谷CA400-087-8198。</w:t>
      </w:r>
    </w:p>
    <w:p>
      <w:pPr>
        <w:widowControl/>
        <w:spacing w:line="440" w:lineRule="exact"/>
        <w:jc w:val="left"/>
        <w:rPr>
          <w:rFonts w:ascii="宋体" w:hAnsi="宋体" w:cs="宋体"/>
          <w:highlight w:val="none"/>
        </w:rPr>
        <w:sectPr>
          <w:headerReference r:id="rId15" w:type="default"/>
          <w:footerReference r:id="rId16" w:type="default"/>
          <w:pgSz w:w="11907" w:h="16840"/>
          <w:pgMar w:top="1247" w:right="1531" w:bottom="1304" w:left="1531" w:header="426" w:footer="708" w:gutter="0"/>
          <w:cols w:space="720" w:num="1"/>
          <w:docGrid w:linePitch="285" w:charSpace="0"/>
        </w:sectPr>
      </w:pPr>
    </w:p>
    <w:p>
      <w:pPr>
        <w:widowControl/>
        <w:spacing w:line="440" w:lineRule="exact"/>
        <w:ind w:firstLine="420" w:firstLineChars="200"/>
        <w:jc w:val="left"/>
        <w:rPr>
          <w:rFonts w:ascii="宋体" w:hAnsi="宋体" w:cs="宋体"/>
          <w:highlight w:val="none"/>
        </w:rPr>
      </w:pPr>
      <w:r>
        <w:rPr>
          <w:rFonts w:hint="eastAsia" w:ascii="宋体" w:hAnsi="宋体" w:cs="宋体"/>
          <w:highlight w:val="none"/>
        </w:rPr>
        <w:t xml:space="preserve"> </w:t>
      </w:r>
    </w:p>
    <w:p>
      <w:pPr>
        <w:pStyle w:val="42"/>
        <w:rPr>
          <w:rFonts w:ascii="Times New Roman" w:hAnsi="Times New Roman"/>
          <w:w w:val="80"/>
          <w:highlight w:val="none"/>
        </w:rPr>
      </w:pPr>
      <w:r>
        <w:rPr>
          <w:rFonts w:hint="eastAsia" w:ascii="Times New Roman" w:hAnsi="Times New Roman"/>
          <w:kern w:val="44"/>
          <w:highlight w:val="none"/>
        </w:rPr>
        <w:t>第二章 投标资料表</w:t>
      </w:r>
      <w:bookmarkEnd w:id="4"/>
    </w:p>
    <w:tbl>
      <w:tblPr>
        <w:tblStyle w:val="46"/>
        <w:tblW w:w="9072"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4"/>
        <w:gridCol w:w="835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tblHeader/>
          <w:jc w:val="center"/>
        </w:trPr>
        <w:tc>
          <w:tcPr>
            <w:tcW w:w="714" w:type="dxa"/>
            <w:tcBorders>
              <w:bottom w:val="single" w:color="auto" w:sz="4" w:space="0"/>
            </w:tcBorders>
            <w:vAlign w:val="center"/>
          </w:tcPr>
          <w:p>
            <w:pPr>
              <w:spacing w:line="340" w:lineRule="exact"/>
              <w:ind w:left="-108" w:right="-113"/>
              <w:contextualSpacing/>
              <w:jc w:val="center"/>
              <w:rPr>
                <w:szCs w:val="24"/>
                <w:highlight w:val="none"/>
              </w:rPr>
            </w:pPr>
            <w:r>
              <w:rPr>
                <w:rFonts w:hint="eastAsia"/>
                <w:szCs w:val="24"/>
                <w:highlight w:val="none"/>
              </w:rPr>
              <w:t>条款号</w:t>
            </w:r>
          </w:p>
        </w:tc>
        <w:tc>
          <w:tcPr>
            <w:tcW w:w="8358" w:type="dxa"/>
            <w:tcBorders>
              <w:bottom w:val="single" w:color="auto" w:sz="4" w:space="0"/>
            </w:tcBorders>
            <w:vAlign w:val="center"/>
          </w:tcPr>
          <w:p>
            <w:pPr>
              <w:spacing w:line="340" w:lineRule="exact"/>
              <w:contextualSpacing/>
              <w:jc w:val="center"/>
              <w:rPr>
                <w:szCs w:val="24"/>
                <w:highlight w:val="none"/>
              </w:rPr>
            </w:pPr>
            <w:r>
              <w:rPr>
                <w:rFonts w:hint="eastAsia"/>
                <w:szCs w:val="24"/>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9072" w:type="dxa"/>
            <w:gridSpan w:val="2"/>
            <w:tcBorders>
              <w:top w:val="single" w:color="auto" w:sz="4" w:space="0"/>
              <w:bottom w:val="single" w:color="auto" w:sz="2" w:space="0"/>
            </w:tcBorders>
            <w:vAlign w:val="center"/>
          </w:tcPr>
          <w:p>
            <w:pPr>
              <w:spacing w:line="340" w:lineRule="exact"/>
              <w:contextualSpacing/>
              <w:jc w:val="center"/>
              <w:rPr>
                <w:szCs w:val="24"/>
                <w:highlight w:val="none"/>
              </w:rPr>
            </w:pPr>
            <w:r>
              <w:rPr>
                <w:rFonts w:hint="eastAsia"/>
                <w:szCs w:val="24"/>
                <w:highlight w:val="none"/>
              </w:rPr>
              <w:t>说明部分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714" w:type="dxa"/>
            <w:vMerge w:val="restart"/>
            <w:vAlign w:val="center"/>
          </w:tcPr>
          <w:p>
            <w:pPr>
              <w:autoSpaceDE w:val="0"/>
              <w:autoSpaceDN w:val="0"/>
              <w:snapToGrid w:val="0"/>
              <w:spacing w:line="440" w:lineRule="exact"/>
              <w:ind w:left="-95" w:right="-129"/>
              <w:contextualSpacing/>
              <w:jc w:val="center"/>
              <w:rPr>
                <w:szCs w:val="21"/>
                <w:highlight w:val="none"/>
              </w:rPr>
            </w:pPr>
            <w:r>
              <w:rPr>
                <w:rFonts w:hint="eastAsia"/>
                <w:szCs w:val="21"/>
                <w:highlight w:val="none"/>
              </w:rPr>
              <w:t>1</w:t>
            </w:r>
          </w:p>
        </w:tc>
        <w:tc>
          <w:tcPr>
            <w:tcW w:w="8358" w:type="dxa"/>
            <w:vAlign w:val="center"/>
          </w:tcPr>
          <w:p>
            <w:pPr>
              <w:tabs>
                <w:tab w:val="left" w:pos="1580"/>
                <w:tab w:val="left" w:pos="3436"/>
                <w:tab w:val="left" w:pos="5512"/>
              </w:tabs>
              <w:spacing w:line="440" w:lineRule="exact"/>
              <w:ind w:left="21"/>
              <w:contextualSpacing/>
              <w:rPr>
                <w:szCs w:val="24"/>
                <w:highlight w:val="none"/>
              </w:rPr>
            </w:pPr>
            <w:r>
              <w:rPr>
                <w:rFonts w:hint="eastAsia"/>
                <w:szCs w:val="24"/>
                <w:highlight w:val="none"/>
              </w:rPr>
              <w:t>采购人：宁海县文化和广电旅游体育局</w:t>
            </w:r>
          </w:p>
          <w:p>
            <w:pPr>
              <w:snapToGrid w:val="0"/>
              <w:spacing w:line="440" w:lineRule="exact"/>
              <w:jc w:val="left"/>
              <w:textAlignment w:val="baseline"/>
              <w:rPr>
                <w:rFonts w:hint="eastAsia" w:eastAsia="宋体" w:asciiTheme="minorEastAsia" w:hAnsiTheme="minorEastAsia" w:cstheme="minorEastAsia"/>
                <w:szCs w:val="21"/>
                <w:highlight w:val="none"/>
                <w:lang w:eastAsia="zh-CN"/>
              </w:rPr>
            </w:pPr>
            <w:r>
              <w:rPr>
                <w:rFonts w:hint="eastAsia"/>
                <w:szCs w:val="24"/>
                <w:highlight w:val="none"/>
              </w:rPr>
              <w:t>联系人：葛老师    联系电话：</w:t>
            </w:r>
            <w:r>
              <w:rPr>
                <w:rFonts w:hint="eastAsia"/>
                <w:szCs w:val="24"/>
                <w:highlight w:val="none"/>
                <w:lang w:eastAsia="zh-CN"/>
              </w:rPr>
              <w:t>0574-89286360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714" w:type="dxa"/>
            <w:vMerge w:val="continue"/>
            <w:vAlign w:val="center"/>
          </w:tcPr>
          <w:p>
            <w:pPr>
              <w:autoSpaceDE w:val="0"/>
              <w:autoSpaceDN w:val="0"/>
              <w:snapToGrid w:val="0"/>
              <w:spacing w:line="440" w:lineRule="exact"/>
              <w:ind w:left="-95" w:right="-129"/>
              <w:contextualSpacing/>
              <w:jc w:val="center"/>
              <w:rPr>
                <w:szCs w:val="21"/>
                <w:highlight w:val="none"/>
              </w:rPr>
            </w:pPr>
          </w:p>
        </w:tc>
        <w:tc>
          <w:tcPr>
            <w:tcW w:w="8358" w:type="dxa"/>
            <w:vAlign w:val="center"/>
          </w:tcPr>
          <w:p>
            <w:pPr>
              <w:tabs>
                <w:tab w:val="left" w:pos="1580"/>
                <w:tab w:val="left" w:pos="3436"/>
                <w:tab w:val="left" w:pos="5512"/>
              </w:tabs>
              <w:spacing w:line="440" w:lineRule="exact"/>
              <w:ind w:left="21"/>
              <w:contextualSpacing/>
              <w:rPr>
                <w:szCs w:val="24"/>
                <w:highlight w:val="none"/>
              </w:rPr>
            </w:pPr>
            <w:r>
              <w:rPr>
                <w:szCs w:val="24"/>
                <w:highlight w:val="none"/>
              </w:rPr>
              <w:t>代理机构：</w:t>
            </w:r>
            <w:r>
              <w:rPr>
                <w:rFonts w:hint="eastAsia" w:ascii="宋体" w:hAnsi="宋体" w:cs="宋体"/>
                <w:highlight w:val="none"/>
              </w:rPr>
              <w:t>中冠工程管理咨询有限公司</w:t>
            </w:r>
          </w:p>
          <w:p>
            <w:pPr>
              <w:tabs>
                <w:tab w:val="left" w:pos="1580"/>
                <w:tab w:val="left" w:pos="3436"/>
                <w:tab w:val="left" w:pos="5512"/>
              </w:tabs>
              <w:spacing w:line="440" w:lineRule="exact"/>
              <w:ind w:left="21"/>
              <w:contextualSpacing/>
              <w:rPr>
                <w:szCs w:val="24"/>
                <w:highlight w:val="none"/>
              </w:rPr>
            </w:pPr>
            <w:r>
              <w:rPr>
                <w:szCs w:val="24"/>
                <w:highlight w:val="none"/>
              </w:rPr>
              <w:t>联系地址：</w:t>
            </w:r>
            <w:r>
              <w:rPr>
                <w:rFonts w:hint="eastAsia" w:ascii="宋体" w:hAnsi="宋体" w:cs="宋体"/>
                <w:highlight w:val="none"/>
              </w:rPr>
              <w:t>宁海县桃源街道兴工二路29号三楼</w:t>
            </w:r>
          </w:p>
          <w:p>
            <w:pPr>
              <w:tabs>
                <w:tab w:val="left" w:pos="1300"/>
              </w:tabs>
              <w:spacing w:line="440" w:lineRule="exact"/>
              <w:ind w:left="21"/>
              <w:contextualSpacing/>
              <w:rPr>
                <w:szCs w:val="24"/>
                <w:highlight w:val="none"/>
              </w:rPr>
            </w:pPr>
            <w:r>
              <w:rPr>
                <w:rFonts w:hint="eastAsia"/>
                <w:szCs w:val="24"/>
                <w:highlight w:val="none"/>
              </w:rPr>
              <w:t>联系人：周全</w:t>
            </w:r>
            <w:r>
              <w:rPr>
                <w:rFonts w:hint="eastAsia"/>
                <w:szCs w:val="24"/>
                <w:highlight w:val="none"/>
              </w:rPr>
              <w:tab/>
            </w:r>
            <w:r>
              <w:rPr>
                <w:rFonts w:hint="eastAsia"/>
                <w:szCs w:val="24"/>
                <w:highlight w:val="none"/>
              </w:rPr>
              <w:t xml:space="preserve">    电</w:t>
            </w:r>
            <w:r>
              <w:rPr>
                <w:rFonts w:hint="eastAsia" w:ascii="宋体" w:hAnsi="宋体" w:cs="宋体"/>
                <w:highlight w:val="none"/>
              </w:rPr>
              <w:t>话/传真：0574-83556096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714" w:type="dxa"/>
            <w:tcBorders>
              <w:top w:val="single" w:color="auto" w:sz="4" w:space="0"/>
              <w:bottom w:val="single" w:color="auto" w:sz="2" w:space="0"/>
            </w:tcBorders>
            <w:vAlign w:val="center"/>
          </w:tcPr>
          <w:p>
            <w:pPr>
              <w:spacing w:line="440" w:lineRule="exact"/>
              <w:contextualSpacing/>
              <w:jc w:val="center"/>
              <w:rPr>
                <w:szCs w:val="24"/>
                <w:highlight w:val="none"/>
              </w:rPr>
            </w:pPr>
            <w:r>
              <w:rPr>
                <w:rFonts w:hint="eastAsia"/>
                <w:szCs w:val="21"/>
                <w:highlight w:val="none"/>
              </w:rPr>
              <w:t>2</w:t>
            </w:r>
          </w:p>
        </w:tc>
        <w:tc>
          <w:tcPr>
            <w:tcW w:w="8358" w:type="dxa"/>
            <w:tcBorders>
              <w:top w:val="single" w:color="auto" w:sz="4" w:space="0"/>
              <w:bottom w:val="single" w:color="auto" w:sz="2" w:space="0"/>
            </w:tcBorders>
            <w:vAlign w:val="center"/>
          </w:tcPr>
          <w:p>
            <w:pPr>
              <w:spacing w:line="440" w:lineRule="exact"/>
              <w:contextualSpacing/>
              <w:rPr>
                <w:highlight w:val="none"/>
              </w:rPr>
            </w:pPr>
            <w:r>
              <w:rPr>
                <w:rFonts w:hint="eastAsia"/>
                <w:szCs w:val="24"/>
                <w:highlight w:val="none"/>
              </w:rPr>
              <w:t>经批准的本次采购方式：公开招标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9072" w:type="dxa"/>
            <w:gridSpan w:val="2"/>
            <w:tcBorders>
              <w:top w:val="single" w:color="auto" w:sz="4" w:space="0"/>
              <w:bottom w:val="single" w:color="auto" w:sz="2" w:space="0"/>
            </w:tcBorders>
            <w:vAlign w:val="center"/>
          </w:tcPr>
          <w:p>
            <w:pPr>
              <w:spacing w:line="440" w:lineRule="exact"/>
              <w:contextualSpacing/>
              <w:jc w:val="center"/>
              <w:rPr>
                <w:szCs w:val="24"/>
                <w:highlight w:val="none"/>
              </w:rPr>
            </w:pPr>
            <w:r>
              <w:rPr>
                <w:rFonts w:hint="eastAsia"/>
                <w:szCs w:val="24"/>
                <w:highlight w:val="none"/>
              </w:rPr>
              <w:t>商务条款资料部分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714" w:type="dxa"/>
            <w:vAlign w:val="center"/>
          </w:tcPr>
          <w:p>
            <w:pPr>
              <w:tabs>
                <w:tab w:val="left" w:pos="1580"/>
                <w:tab w:val="left" w:pos="3436"/>
                <w:tab w:val="left" w:pos="5512"/>
              </w:tabs>
              <w:spacing w:line="440" w:lineRule="exact"/>
              <w:ind w:left="21"/>
              <w:contextualSpacing/>
              <w:rPr>
                <w:szCs w:val="24"/>
                <w:highlight w:val="none"/>
              </w:rPr>
            </w:pPr>
            <w:r>
              <w:rPr>
                <w:rFonts w:hint="eastAsia"/>
                <w:szCs w:val="24"/>
                <w:highlight w:val="none"/>
              </w:rPr>
              <w:t>3</w:t>
            </w:r>
          </w:p>
        </w:tc>
        <w:tc>
          <w:tcPr>
            <w:tcW w:w="8358" w:type="dxa"/>
            <w:vAlign w:val="center"/>
          </w:tcPr>
          <w:p>
            <w:pPr>
              <w:tabs>
                <w:tab w:val="left" w:pos="426"/>
              </w:tabs>
              <w:spacing w:line="440" w:lineRule="exact"/>
              <w:contextualSpacing/>
              <w:rPr>
                <w:szCs w:val="24"/>
                <w:highlight w:val="none"/>
              </w:rPr>
            </w:pPr>
            <w:r>
              <w:rPr>
                <w:rFonts w:hint="eastAsia"/>
                <w:szCs w:val="24"/>
                <w:highlight w:val="none"/>
              </w:rPr>
              <w:t>本次采购对合格的投标人的专门规定与审查方法：</w:t>
            </w:r>
          </w:p>
          <w:p>
            <w:pPr>
              <w:tabs>
                <w:tab w:val="left" w:pos="426"/>
              </w:tabs>
              <w:spacing w:line="440" w:lineRule="exact"/>
              <w:contextualSpacing/>
              <w:rPr>
                <w:szCs w:val="24"/>
                <w:highlight w:val="none"/>
              </w:rPr>
            </w:pPr>
            <w:r>
              <w:rPr>
                <w:rFonts w:hint="eastAsia"/>
                <w:szCs w:val="24"/>
                <w:highlight w:val="none"/>
              </w:rPr>
              <w:t>投标人资格要求：详见本采购文件第一章。</w:t>
            </w:r>
          </w:p>
          <w:p>
            <w:pPr>
              <w:tabs>
                <w:tab w:val="left" w:pos="1580"/>
                <w:tab w:val="left" w:pos="3436"/>
                <w:tab w:val="left" w:pos="5512"/>
              </w:tabs>
              <w:spacing w:line="440" w:lineRule="exact"/>
              <w:contextualSpacing/>
              <w:rPr>
                <w:szCs w:val="24"/>
                <w:highlight w:val="none"/>
              </w:rPr>
            </w:pPr>
            <w:r>
              <w:rPr>
                <w:rFonts w:hint="eastAsia"/>
                <w:szCs w:val="24"/>
                <w:highlight w:val="none"/>
              </w:rPr>
              <w:t>资格审查：资格后审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07" w:hRule="atLeast"/>
          <w:jc w:val="center"/>
        </w:trPr>
        <w:tc>
          <w:tcPr>
            <w:tcW w:w="714" w:type="dxa"/>
            <w:tcBorders>
              <w:bottom w:val="single" w:color="auto" w:sz="4" w:space="0"/>
            </w:tcBorders>
            <w:vAlign w:val="center"/>
          </w:tcPr>
          <w:p>
            <w:pPr>
              <w:autoSpaceDE w:val="0"/>
              <w:autoSpaceDN w:val="0"/>
              <w:snapToGrid w:val="0"/>
              <w:spacing w:line="440" w:lineRule="exact"/>
              <w:ind w:left="-95" w:right="-129"/>
              <w:contextualSpacing/>
              <w:jc w:val="center"/>
              <w:rPr>
                <w:szCs w:val="21"/>
                <w:highlight w:val="none"/>
              </w:rPr>
            </w:pPr>
            <w:r>
              <w:rPr>
                <w:rFonts w:hint="eastAsia"/>
                <w:szCs w:val="21"/>
                <w:highlight w:val="none"/>
              </w:rPr>
              <w:t>★4</w:t>
            </w:r>
          </w:p>
        </w:tc>
        <w:tc>
          <w:tcPr>
            <w:tcW w:w="8358" w:type="dxa"/>
            <w:tcBorders>
              <w:bottom w:val="single" w:color="auto" w:sz="4" w:space="0"/>
            </w:tcBorders>
            <w:vAlign w:val="center"/>
          </w:tcPr>
          <w:p>
            <w:pPr>
              <w:spacing w:line="440" w:lineRule="exact"/>
              <w:rPr>
                <w:rFonts w:ascii="宋体" w:hAnsi="宋体" w:cs="Arial"/>
                <w:kern w:val="0"/>
                <w:szCs w:val="21"/>
                <w:highlight w:val="none"/>
              </w:rPr>
            </w:pPr>
            <w:r>
              <w:rPr>
                <w:rFonts w:ascii="宋体" w:hAnsi="宋体" w:cs="Arial"/>
                <w:kern w:val="0"/>
                <w:szCs w:val="21"/>
                <w:highlight w:val="none"/>
              </w:rPr>
              <w:t>付款条件</w:t>
            </w:r>
            <w:r>
              <w:rPr>
                <w:rFonts w:hint="eastAsia" w:ascii="宋体" w:hAnsi="宋体" w:cs="Arial"/>
                <w:kern w:val="0"/>
                <w:szCs w:val="21"/>
                <w:highlight w:val="none"/>
              </w:rPr>
              <w:t>与方法</w:t>
            </w:r>
            <w:r>
              <w:rPr>
                <w:rFonts w:ascii="宋体" w:hAnsi="宋体" w:cs="Arial"/>
                <w:kern w:val="0"/>
                <w:szCs w:val="21"/>
                <w:highlight w:val="none"/>
              </w:rPr>
              <w:t>：</w:t>
            </w:r>
          </w:p>
          <w:p>
            <w:pPr>
              <w:spacing w:line="440" w:lineRule="exact"/>
              <w:rPr>
                <w:rFonts w:ascii="宋体" w:hAnsi="宋体" w:cs="Arial"/>
                <w:kern w:val="0"/>
                <w:szCs w:val="21"/>
                <w:highlight w:val="none"/>
              </w:rPr>
            </w:pPr>
            <w:r>
              <w:rPr>
                <w:rFonts w:hint="eastAsia" w:ascii="宋体" w:hAnsi="宋体" w:cs="Arial"/>
                <w:kern w:val="0"/>
                <w:szCs w:val="21"/>
                <w:highlight w:val="none"/>
              </w:rPr>
              <w:t>如中标人为中小企业的，合同签订后7日内，支付签约合同价的40%作为预付款，余款待合同约定的所有服务事项完成</w:t>
            </w:r>
            <w:r>
              <w:rPr>
                <w:rFonts w:hint="eastAsia" w:ascii="宋体" w:hAnsi="宋体" w:cs="Arial"/>
                <w:kern w:val="0"/>
                <w:szCs w:val="21"/>
                <w:highlight w:val="none"/>
                <w:lang w:val="en-US" w:eastAsia="zh-CN"/>
              </w:rPr>
              <w:t>,且收到中标人提供的发票后7个工作日</w:t>
            </w:r>
            <w:r>
              <w:rPr>
                <w:rFonts w:hint="eastAsia" w:ascii="宋体" w:hAnsi="宋体" w:cs="Arial"/>
                <w:kern w:val="0"/>
                <w:szCs w:val="21"/>
                <w:highlight w:val="none"/>
              </w:rPr>
              <w:t>内支付。</w:t>
            </w:r>
          </w:p>
          <w:p>
            <w:pPr>
              <w:spacing w:line="440" w:lineRule="exact"/>
              <w:rPr>
                <w:szCs w:val="24"/>
                <w:highlight w:val="none"/>
              </w:rPr>
            </w:pPr>
            <w:r>
              <w:rPr>
                <w:rFonts w:hint="eastAsia" w:ascii="宋体" w:hAnsi="宋体" w:cs="Arial"/>
                <w:kern w:val="0"/>
                <w:szCs w:val="21"/>
                <w:highlight w:val="none"/>
              </w:rPr>
              <w:t>如中标人为非中小企业的，合同约定的所有服务事项完成</w:t>
            </w:r>
            <w:r>
              <w:rPr>
                <w:rFonts w:hint="eastAsia" w:ascii="宋体" w:hAnsi="宋体" w:cs="Arial"/>
                <w:kern w:val="0"/>
                <w:szCs w:val="21"/>
                <w:highlight w:val="none"/>
                <w:lang w:eastAsia="zh-CN"/>
              </w:rPr>
              <w:t>，</w:t>
            </w:r>
            <w:r>
              <w:rPr>
                <w:rFonts w:hint="eastAsia" w:ascii="宋体" w:hAnsi="宋体" w:cs="Arial"/>
                <w:kern w:val="0"/>
                <w:szCs w:val="21"/>
                <w:highlight w:val="none"/>
                <w:lang w:val="en-US" w:eastAsia="zh-CN"/>
              </w:rPr>
              <w:t>收到中标人提供的发票后7个工作日内</w:t>
            </w:r>
            <w:r>
              <w:rPr>
                <w:rFonts w:hint="eastAsia" w:ascii="宋体" w:hAnsi="宋体" w:cs="Arial"/>
                <w:kern w:val="0"/>
                <w:szCs w:val="21"/>
                <w:highlight w:val="none"/>
              </w:rPr>
              <w:t>一次性支付。</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14" w:type="dxa"/>
            <w:tcBorders>
              <w:top w:val="single" w:color="auto" w:sz="4" w:space="0"/>
            </w:tcBorders>
            <w:vAlign w:val="center"/>
          </w:tcPr>
          <w:p>
            <w:pPr>
              <w:autoSpaceDE w:val="0"/>
              <w:autoSpaceDN w:val="0"/>
              <w:snapToGrid w:val="0"/>
              <w:spacing w:line="440" w:lineRule="exact"/>
              <w:ind w:left="-95" w:right="-129"/>
              <w:contextualSpacing/>
              <w:jc w:val="center"/>
              <w:rPr>
                <w:szCs w:val="21"/>
                <w:highlight w:val="none"/>
              </w:rPr>
            </w:pPr>
            <w:r>
              <w:rPr>
                <w:rFonts w:hint="eastAsia"/>
                <w:szCs w:val="21"/>
                <w:highlight w:val="none"/>
              </w:rPr>
              <w:t>★5</w:t>
            </w:r>
          </w:p>
        </w:tc>
        <w:tc>
          <w:tcPr>
            <w:tcW w:w="8358" w:type="dxa"/>
            <w:tcBorders>
              <w:top w:val="single" w:color="auto" w:sz="4" w:space="0"/>
            </w:tcBorders>
            <w:vAlign w:val="center"/>
          </w:tcPr>
          <w:p>
            <w:pPr>
              <w:spacing w:line="440" w:lineRule="exact"/>
              <w:contextualSpacing/>
              <w:rPr>
                <w:szCs w:val="24"/>
                <w:highlight w:val="none"/>
              </w:rPr>
            </w:pPr>
            <w:r>
              <w:rPr>
                <w:rFonts w:hint="eastAsia"/>
                <w:szCs w:val="24"/>
                <w:highlight w:val="none"/>
              </w:rPr>
              <w:t>(1) 服务地点：业主指定的活动地点；</w:t>
            </w:r>
          </w:p>
          <w:p>
            <w:pPr>
              <w:spacing w:line="440" w:lineRule="exact"/>
              <w:contextualSpacing/>
              <w:rPr>
                <w:szCs w:val="24"/>
                <w:highlight w:val="none"/>
              </w:rPr>
            </w:pPr>
            <w:r>
              <w:rPr>
                <w:rFonts w:hint="eastAsia"/>
                <w:szCs w:val="24"/>
                <w:highlight w:val="none"/>
              </w:rPr>
              <w:t xml:space="preserve">(2) </w:t>
            </w:r>
            <w:r>
              <w:rPr>
                <w:szCs w:val="24"/>
                <w:highlight w:val="none"/>
              </w:rPr>
              <w:t>服务期限：</w:t>
            </w:r>
            <w:r>
              <w:rPr>
                <w:rFonts w:hint="eastAsia"/>
                <w:szCs w:val="24"/>
                <w:highlight w:val="none"/>
              </w:rPr>
              <w:t>合同签订之日起至202</w:t>
            </w:r>
            <w:r>
              <w:rPr>
                <w:rFonts w:hint="eastAsia"/>
                <w:szCs w:val="24"/>
                <w:highlight w:val="none"/>
                <w:lang w:val="en-US" w:eastAsia="zh-CN"/>
              </w:rPr>
              <w:t>4</w:t>
            </w:r>
            <w:r>
              <w:rPr>
                <w:rFonts w:hint="eastAsia"/>
                <w:szCs w:val="24"/>
                <w:highlight w:val="none"/>
              </w:rPr>
              <w:t>年5月相关服务完成止。</w:t>
            </w:r>
          </w:p>
          <w:p>
            <w:pPr>
              <w:spacing w:line="440" w:lineRule="exact"/>
              <w:contextualSpacing/>
              <w:rPr>
                <w:rFonts w:ascii="宋体" w:hAnsi="宋体" w:cs="Arial"/>
                <w:kern w:val="0"/>
                <w:szCs w:val="21"/>
                <w:highlight w:val="none"/>
              </w:rPr>
            </w:pPr>
            <w:r>
              <w:rPr>
                <w:rFonts w:hint="eastAsia"/>
                <w:szCs w:val="24"/>
                <w:highlight w:val="none"/>
              </w:rPr>
              <w:t>(3)</w:t>
            </w:r>
            <w:r>
              <w:rPr>
                <w:szCs w:val="24"/>
                <w:highlight w:val="none"/>
              </w:rPr>
              <w:t>因项目的特殊性</w:t>
            </w:r>
            <w:r>
              <w:rPr>
                <w:rFonts w:hint="eastAsia"/>
                <w:szCs w:val="24"/>
                <w:highlight w:val="none"/>
              </w:rPr>
              <w:t>，</w:t>
            </w:r>
            <w:r>
              <w:rPr>
                <w:szCs w:val="24"/>
                <w:highlight w:val="none"/>
              </w:rPr>
              <w:t>采购人有权随时对服务的内容和要求做出调整</w:t>
            </w:r>
            <w:r>
              <w:rPr>
                <w:rFonts w:hint="eastAsia"/>
                <w:szCs w:val="24"/>
                <w:highlight w:val="none"/>
              </w:rPr>
              <w:t>，</w:t>
            </w:r>
            <w:r>
              <w:rPr>
                <w:szCs w:val="24"/>
                <w:highlight w:val="none"/>
              </w:rPr>
              <w:t>供应商须无条件配合</w:t>
            </w:r>
            <w:r>
              <w:rPr>
                <w:rFonts w:hint="eastAsia"/>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9072" w:type="dxa"/>
            <w:gridSpan w:val="2"/>
            <w:tcBorders>
              <w:top w:val="single" w:color="auto" w:sz="4" w:space="0"/>
              <w:bottom w:val="single" w:color="auto" w:sz="2" w:space="0"/>
            </w:tcBorders>
            <w:vAlign w:val="center"/>
          </w:tcPr>
          <w:p>
            <w:pPr>
              <w:spacing w:line="440" w:lineRule="exact"/>
              <w:contextualSpacing/>
              <w:jc w:val="center"/>
              <w:rPr>
                <w:szCs w:val="24"/>
                <w:highlight w:val="none"/>
              </w:rPr>
            </w:pPr>
            <w:r>
              <w:rPr>
                <w:rFonts w:hint="eastAsia"/>
                <w:szCs w:val="24"/>
                <w:highlight w:val="none"/>
              </w:rPr>
              <w:t>投标书的编制和递交部分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6" w:hRule="atLeast"/>
          <w:jc w:val="center"/>
        </w:trPr>
        <w:tc>
          <w:tcPr>
            <w:tcW w:w="714" w:type="dxa"/>
            <w:vAlign w:val="center"/>
          </w:tcPr>
          <w:p>
            <w:pPr>
              <w:tabs>
                <w:tab w:val="left" w:pos="625"/>
              </w:tabs>
              <w:spacing w:line="440" w:lineRule="exact"/>
              <w:rPr>
                <w:szCs w:val="24"/>
                <w:highlight w:val="none"/>
              </w:rPr>
            </w:pPr>
            <w:r>
              <w:rPr>
                <w:rFonts w:hint="eastAsia"/>
                <w:szCs w:val="24"/>
                <w:highlight w:val="none"/>
              </w:rPr>
              <w:t>★6</w:t>
            </w:r>
          </w:p>
        </w:tc>
        <w:tc>
          <w:tcPr>
            <w:tcW w:w="8358" w:type="dxa"/>
            <w:vAlign w:val="center"/>
          </w:tcPr>
          <w:p>
            <w:pPr>
              <w:tabs>
                <w:tab w:val="left" w:pos="625"/>
                <w:tab w:val="left" w:pos="2160"/>
              </w:tabs>
              <w:spacing w:line="440" w:lineRule="exact"/>
              <w:rPr>
                <w:szCs w:val="24"/>
                <w:highlight w:val="none"/>
              </w:rPr>
            </w:pPr>
            <w:r>
              <w:rPr>
                <w:szCs w:val="24"/>
                <w:highlight w:val="none"/>
              </w:rPr>
              <w:t>投标价格：</w:t>
            </w:r>
          </w:p>
          <w:p>
            <w:pPr>
              <w:tabs>
                <w:tab w:val="left" w:pos="625"/>
              </w:tabs>
              <w:spacing w:line="440" w:lineRule="exact"/>
              <w:rPr>
                <w:szCs w:val="24"/>
                <w:highlight w:val="none"/>
              </w:rPr>
            </w:pPr>
            <w:r>
              <w:rPr>
                <w:rFonts w:hint="eastAsia"/>
                <w:szCs w:val="24"/>
                <w:highlight w:val="none"/>
              </w:rPr>
              <w:t>（1）报价方式：总价；完成招标内容及要求所提供的服务过程中涉及的所有费用，</w:t>
            </w:r>
            <w:r>
              <w:rPr>
                <w:rFonts w:hint="eastAsia" w:hAnsi="宋体"/>
                <w:szCs w:val="21"/>
                <w:highlight w:val="none"/>
                <w:lang w:val="zh-CN"/>
              </w:rPr>
              <w:t>包括但不仅限于</w:t>
            </w:r>
            <w:r>
              <w:rPr>
                <w:rFonts w:ascii="宋体" w:hAnsi="宋体" w:cs="Arial"/>
                <w:kern w:val="0"/>
                <w:szCs w:val="21"/>
                <w:highlight w:val="none"/>
              </w:rPr>
              <w:t>国家省市相关资源对接</w:t>
            </w:r>
            <w:r>
              <w:rPr>
                <w:rFonts w:hint="eastAsia" w:ascii="宋体" w:hAnsi="宋体" w:cs="Arial"/>
                <w:kern w:val="0"/>
                <w:szCs w:val="21"/>
                <w:highlight w:val="none"/>
              </w:rPr>
              <w:t>及</w:t>
            </w:r>
            <w:r>
              <w:rPr>
                <w:rFonts w:ascii="宋体" w:hAnsi="宋体" w:cs="Arial"/>
                <w:kern w:val="0"/>
                <w:szCs w:val="21"/>
                <w:highlight w:val="none"/>
              </w:rPr>
              <w:t>活动植入、策划执行、媒体宣传、场地搭建、物料准备、推广服务等与活动相关的一切服务和采购人要求的服务</w:t>
            </w:r>
            <w:r>
              <w:rPr>
                <w:rFonts w:hint="eastAsia" w:ascii="宋体" w:hAnsi="宋体" w:cs="Arial"/>
                <w:kern w:val="0"/>
                <w:szCs w:val="21"/>
                <w:highlight w:val="none"/>
              </w:rPr>
              <w:t>、</w:t>
            </w:r>
            <w:r>
              <w:rPr>
                <w:rFonts w:hint="eastAsia" w:hAnsi="宋体"/>
                <w:szCs w:val="21"/>
                <w:highlight w:val="none"/>
                <w:lang w:val="zh-CN"/>
              </w:rPr>
              <w:t>人员邀请、交通、住宿、餐饮、人员费、税金及利润等。</w:t>
            </w:r>
            <w:r>
              <w:rPr>
                <w:rFonts w:hint="eastAsia"/>
                <w:szCs w:val="24"/>
                <w:highlight w:val="none"/>
              </w:rPr>
              <w:t>；</w:t>
            </w:r>
          </w:p>
          <w:p>
            <w:pPr>
              <w:tabs>
                <w:tab w:val="left" w:pos="625"/>
              </w:tabs>
              <w:spacing w:line="440" w:lineRule="exact"/>
              <w:rPr>
                <w:szCs w:val="24"/>
                <w:highlight w:val="none"/>
              </w:rPr>
            </w:pPr>
            <w:r>
              <w:rPr>
                <w:rFonts w:hint="eastAsia"/>
                <w:szCs w:val="24"/>
                <w:highlight w:val="none"/>
              </w:rPr>
              <w:t>（2）报价内容：完成招标内容及要求所提供的服务过程中涉及的所有费用；</w:t>
            </w:r>
          </w:p>
          <w:p>
            <w:pPr>
              <w:tabs>
                <w:tab w:val="left" w:pos="625"/>
              </w:tabs>
              <w:spacing w:line="440" w:lineRule="exact"/>
              <w:rPr>
                <w:szCs w:val="24"/>
                <w:highlight w:val="none"/>
              </w:rPr>
            </w:pPr>
            <w:r>
              <w:rPr>
                <w:rFonts w:hint="eastAsia"/>
                <w:szCs w:val="24"/>
                <w:highlight w:val="none"/>
              </w:rPr>
              <w:t>（3）最高投标限价：1</w:t>
            </w:r>
            <w:r>
              <w:rPr>
                <w:rFonts w:hint="eastAsia"/>
                <w:szCs w:val="24"/>
                <w:highlight w:val="none"/>
                <w:lang w:val="en-US" w:eastAsia="zh-CN"/>
              </w:rPr>
              <w:t>25</w:t>
            </w:r>
            <w:r>
              <w:rPr>
                <w:rFonts w:hint="eastAsia"/>
                <w:szCs w:val="24"/>
                <w:highlight w:val="none"/>
              </w:rPr>
              <w:t>0000元</w:t>
            </w:r>
            <w:r>
              <w:rPr>
                <w:rFonts w:hint="eastAsia"/>
                <w:szCs w:val="24"/>
                <w:highlight w:val="none"/>
                <w:lang w:eastAsia="zh-CN"/>
              </w:rPr>
              <w:t>，</w:t>
            </w:r>
            <w:r>
              <w:rPr>
                <w:rFonts w:hint="eastAsia"/>
                <w:szCs w:val="24"/>
                <w:highlight w:val="none"/>
              </w:rPr>
              <w:t>投标报价超过</w:t>
            </w:r>
            <w:r>
              <w:rPr>
                <w:rFonts w:hint="eastAsia"/>
                <w:szCs w:val="24"/>
                <w:highlight w:val="none"/>
                <w:lang w:val="en-US" w:eastAsia="zh-CN"/>
              </w:rPr>
              <w:t>最高投标</w:t>
            </w:r>
            <w:r>
              <w:rPr>
                <w:rFonts w:hint="eastAsia"/>
                <w:szCs w:val="24"/>
                <w:highlight w:val="none"/>
              </w:rPr>
              <w:t>限价的，作无效标处理。</w:t>
            </w:r>
          </w:p>
          <w:p>
            <w:pPr>
              <w:tabs>
                <w:tab w:val="left" w:pos="625"/>
              </w:tabs>
              <w:spacing w:line="440" w:lineRule="exact"/>
              <w:rPr>
                <w:szCs w:val="24"/>
                <w:highlight w:val="none"/>
              </w:rPr>
            </w:pPr>
            <w:r>
              <w:rPr>
                <w:rFonts w:hint="eastAsia"/>
                <w:szCs w:val="24"/>
                <w:highlight w:val="none"/>
              </w:rPr>
              <w:t>（4）报价货币：一律以人民币计算。</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18" w:hRule="atLeast"/>
          <w:jc w:val="center"/>
        </w:trPr>
        <w:tc>
          <w:tcPr>
            <w:tcW w:w="714" w:type="dxa"/>
            <w:vAlign w:val="center"/>
          </w:tcPr>
          <w:p>
            <w:pPr>
              <w:autoSpaceDE w:val="0"/>
              <w:autoSpaceDN w:val="0"/>
              <w:snapToGrid w:val="0"/>
              <w:spacing w:line="440" w:lineRule="exact"/>
              <w:ind w:left="-95" w:right="-129"/>
              <w:contextualSpacing/>
              <w:jc w:val="center"/>
              <w:rPr>
                <w:szCs w:val="21"/>
                <w:highlight w:val="none"/>
              </w:rPr>
            </w:pPr>
            <w:r>
              <w:rPr>
                <w:rFonts w:hint="eastAsia"/>
                <w:szCs w:val="21"/>
                <w:highlight w:val="none"/>
              </w:rPr>
              <w:t>★7</w:t>
            </w:r>
          </w:p>
        </w:tc>
        <w:tc>
          <w:tcPr>
            <w:tcW w:w="8358" w:type="dxa"/>
            <w:vAlign w:val="center"/>
          </w:tcPr>
          <w:p>
            <w:pPr>
              <w:autoSpaceDE w:val="0"/>
              <w:autoSpaceDN w:val="0"/>
              <w:snapToGrid w:val="0"/>
              <w:spacing w:line="440" w:lineRule="exact"/>
              <w:contextualSpacing/>
              <w:rPr>
                <w:szCs w:val="24"/>
                <w:highlight w:val="none"/>
              </w:rPr>
            </w:pPr>
            <w:r>
              <w:rPr>
                <w:rFonts w:hint="eastAsia"/>
                <w:szCs w:val="24"/>
                <w:highlight w:val="none"/>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24" w:hRule="atLeast"/>
          <w:jc w:val="center"/>
        </w:trPr>
        <w:tc>
          <w:tcPr>
            <w:tcW w:w="714" w:type="dxa"/>
            <w:vAlign w:val="center"/>
          </w:tcPr>
          <w:p>
            <w:pPr>
              <w:autoSpaceDE w:val="0"/>
              <w:autoSpaceDN w:val="0"/>
              <w:snapToGrid w:val="0"/>
              <w:spacing w:line="440" w:lineRule="exact"/>
              <w:ind w:left="-95" w:right="-129"/>
              <w:contextualSpacing/>
              <w:jc w:val="center"/>
              <w:rPr>
                <w:szCs w:val="21"/>
                <w:highlight w:val="none"/>
              </w:rPr>
            </w:pPr>
            <w:r>
              <w:rPr>
                <w:rFonts w:hint="eastAsia"/>
                <w:szCs w:val="21"/>
                <w:highlight w:val="none"/>
              </w:rPr>
              <w:t>8</w:t>
            </w:r>
          </w:p>
        </w:tc>
        <w:tc>
          <w:tcPr>
            <w:tcW w:w="8358" w:type="dxa"/>
            <w:vAlign w:val="center"/>
          </w:tcPr>
          <w:p>
            <w:pPr>
              <w:spacing w:line="440" w:lineRule="exact"/>
              <w:rPr>
                <w:szCs w:val="24"/>
                <w:highlight w:val="none"/>
              </w:rPr>
            </w:pPr>
            <w:r>
              <w:rPr>
                <w:rFonts w:hint="eastAsia"/>
                <w:szCs w:val="24"/>
                <w:highlight w:val="none"/>
              </w:rPr>
              <w:t>本项目实行网上投标，供应商应准备以下投标文件：</w:t>
            </w:r>
          </w:p>
          <w:p>
            <w:pPr>
              <w:spacing w:line="440" w:lineRule="exact"/>
              <w:rPr>
                <w:szCs w:val="24"/>
                <w:highlight w:val="none"/>
              </w:rPr>
            </w:pPr>
            <w:r>
              <w:rPr>
                <w:rFonts w:hint="eastAsia"/>
                <w:szCs w:val="24"/>
                <w:highlight w:val="none"/>
              </w:rPr>
              <w:t>（1）上传到政府采购云平台的电子投标文件1份，</w:t>
            </w:r>
            <w:r>
              <w:rPr>
                <w:rFonts w:hint="eastAsia" w:ascii="宋体" w:hAnsi="宋体" w:cs="宋体"/>
                <w:szCs w:val="21"/>
                <w:highlight w:val="none"/>
              </w:rPr>
              <w:t>由</w:t>
            </w:r>
            <w:r>
              <w:rPr>
                <w:rFonts w:hint="eastAsia" w:ascii="宋体" w:hAnsi="宋体" w:cs="宋体"/>
                <w:b/>
                <w:szCs w:val="21"/>
                <w:highlight w:val="none"/>
                <w:u w:val="single"/>
              </w:rPr>
              <w:t>资格证明文件</w:t>
            </w:r>
            <w:r>
              <w:rPr>
                <w:rFonts w:hint="eastAsia" w:ascii="宋体" w:hAnsi="宋体" w:cs="宋体"/>
                <w:b/>
                <w:bCs/>
                <w:szCs w:val="21"/>
                <w:highlight w:val="none"/>
                <w:u w:val="single"/>
              </w:rPr>
              <w:t>、</w:t>
            </w:r>
            <w:r>
              <w:rPr>
                <w:rFonts w:hint="eastAsia" w:ascii="宋体" w:hAnsi="宋体" w:cs="宋体"/>
                <w:b/>
                <w:szCs w:val="21"/>
                <w:highlight w:val="none"/>
                <w:u w:val="single"/>
              </w:rPr>
              <w:t>报价文件、</w:t>
            </w:r>
            <w:r>
              <w:rPr>
                <w:rFonts w:hint="eastAsia" w:ascii="宋体" w:hAnsi="宋体" w:cs="宋体"/>
                <w:b/>
                <w:bCs/>
                <w:szCs w:val="21"/>
                <w:highlight w:val="none"/>
                <w:u w:val="single"/>
              </w:rPr>
              <w:t>技术商务文件</w:t>
            </w:r>
            <w:r>
              <w:rPr>
                <w:rFonts w:hint="eastAsia" w:ascii="宋体" w:hAnsi="宋体" w:cs="宋体"/>
                <w:szCs w:val="21"/>
                <w:highlight w:val="none"/>
              </w:rPr>
              <w:t>组成</w:t>
            </w:r>
            <w:r>
              <w:rPr>
                <w:rFonts w:hint="eastAsia"/>
                <w:szCs w:val="24"/>
                <w:highlight w:val="none"/>
              </w:rPr>
              <w:t>。</w:t>
            </w:r>
          </w:p>
          <w:p>
            <w:pPr>
              <w:spacing w:line="440" w:lineRule="exact"/>
              <w:rPr>
                <w:szCs w:val="24"/>
                <w:highlight w:val="none"/>
              </w:rPr>
            </w:pPr>
            <w:r>
              <w:rPr>
                <w:rFonts w:hint="eastAsia"/>
                <w:szCs w:val="24"/>
                <w:highlight w:val="none"/>
              </w:rPr>
              <w:t>（2）以U盘存储的电子备份投标文件1份，</w:t>
            </w:r>
            <w:r>
              <w:rPr>
                <w:rFonts w:hint="eastAsia" w:ascii="宋体" w:hAnsi="宋体" w:cs="宋体"/>
                <w:szCs w:val="21"/>
                <w:highlight w:val="none"/>
              </w:rPr>
              <w:t>由</w:t>
            </w:r>
            <w:r>
              <w:rPr>
                <w:rFonts w:hint="eastAsia" w:ascii="宋体" w:hAnsi="宋体" w:cs="宋体"/>
                <w:b/>
                <w:szCs w:val="21"/>
                <w:highlight w:val="none"/>
                <w:u w:val="single"/>
              </w:rPr>
              <w:t>资格证明文件</w:t>
            </w:r>
            <w:r>
              <w:rPr>
                <w:rFonts w:hint="eastAsia" w:ascii="宋体" w:hAnsi="宋体" w:cs="宋体"/>
                <w:b/>
                <w:bCs/>
                <w:szCs w:val="21"/>
                <w:highlight w:val="none"/>
                <w:u w:val="single"/>
              </w:rPr>
              <w:t>、</w:t>
            </w:r>
            <w:r>
              <w:rPr>
                <w:rFonts w:hint="eastAsia" w:ascii="宋体" w:hAnsi="宋体" w:cs="宋体"/>
                <w:b/>
                <w:szCs w:val="21"/>
                <w:highlight w:val="none"/>
                <w:u w:val="single"/>
              </w:rPr>
              <w:t>报价文件、</w:t>
            </w:r>
            <w:r>
              <w:rPr>
                <w:rFonts w:hint="eastAsia" w:ascii="宋体" w:hAnsi="宋体" w:cs="宋体"/>
                <w:b/>
                <w:bCs/>
                <w:szCs w:val="21"/>
                <w:highlight w:val="none"/>
                <w:u w:val="single"/>
              </w:rPr>
              <w:t>技术商务文件</w:t>
            </w:r>
            <w:r>
              <w:rPr>
                <w:rFonts w:hint="eastAsia" w:ascii="宋体" w:hAnsi="宋体" w:cs="宋体"/>
                <w:szCs w:val="21"/>
                <w:highlight w:val="none"/>
              </w:rPr>
              <w:t>组成</w:t>
            </w:r>
            <w:r>
              <w:rPr>
                <w:rFonts w:hint="eastAsia"/>
                <w:szCs w:val="24"/>
                <w:highlight w:val="none"/>
              </w:rPr>
              <w:t>。</w:t>
            </w:r>
          </w:p>
          <w:p>
            <w:pPr>
              <w:spacing w:line="360" w:lineRule="auto"/>
              <w:rPr>
                <w:rFonts w:ascii="宋体" w:hAnsi="宋体" w:cs="宋体"/>
                <w:highlight w:val="none"/>
              </w:rPr>
            </w:pPr>
            <w:r>
              <w:rPr>
                <w:rFonts w:hint="eastAsia"/>
                <w:szCs w:val="24"/>
                <w:highlight w:val="none"/>
              </w:rPr>
              <w:t>上传到政府采购云平台的电子投标文件、以U盘存储的电子备份投标文件投标文件内容须保持一致。上传到政府采购云平台的电子投标文件</w:t>
            </w:r>
            <w:r>
              <w:rPr>
                <w:rFonts w:hint="eastAsia" w:ascii="宋体" w:hAnsi="宋体" w:cs="宋体"/>
                <w:highlight w:val="none"/>
              </w:rPr>
              <w:t>供应商应根据“政采云供应商项目采购-电子招投标操作指南”及本采购文件规定的格式和顺序编制电子投标文件并进行关联定位。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6" w:hRule="atLeast"/>
          <w:jc w:val="center"/>
        </w:trPr>
        <w:tc>
          <w:tcPr>
            <w:tcW w:w="714" w:type="dxa"/>
            <w:vAlign w:val="center"/>
          </w:tcPr>
          <w:p>
            <w:pPr>
              <w:autoSpaceDE w:val="0"/>
              <w:autoSpaceDN w:val="0"/>
              <w:snapToGrid w:val="0"/>
              <w:spacing w:line="440" w:lineRule="exact"/>
              <w:ind w:left="-95" w:right="-129"/>
              <w:contextualSpacing/>
              <w:jc w:val="center"/>
              <w:rPr>
                <w:szCs w:val="21"/>
                <w:highlight w:val="none"/>
              </w:rPr>
            </w:pPr>
            <w:r>
              <w:rPr>
                <w:rFonts w:hint="eastAsia"/>
                <w:szCs w:val="21"/>
                <w:highlight w:val="none"/>
              </w:rPr>
              <w:t>9</w:t>
            </w:r>
          </w:p>
        </w:tc>
        <w:tc>
          <w:tcPr>
            <w:tcW w:w="8358" w:type="dxa"/>
            <w:vAlign w:val="center"/>
          </w:tcPr>
          <w:p>
            <w:pPr>
              <w:spacing w:line="360" w:lineRule="auto"/>
              <w:rPr>
                <w:highlight w:val="none"/>
              </w:rPr>
            </w:pPr>
            <w:r>
              <w:rPr>
                <w:rFonts w:hint="eastAsia"/>
                <w:szCs w:val="24"/>
                <w:highlight w:val="none"/>
              </w:rPr>
              <w:t>U盘存储的电子备份投标文件单独装袋按要求密封做好标记，不符合规定的为无效投标。中标人在领取中标通知书前需向招标代理机构提供纸质版投标文件一正三副。</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6" w:hRule="atLeast"/>
          <w:jc w:val="center"/>
        </w:trPr>
        <w:tc>
          <w:tcPr>
            <w:tcW w:w="714" w:type="dxa"/>
            <w:tcBorders>
              <w:top w:val="single" w:color="auto" w:sz="2" w:space="0"/>
              <w:bottom w:val="single" w:color="auto" w:sz="2" w:space="0"/>
            </w:tcBorders>
            <w:vAlign w:val="center"/>
          </w:tcPr>
          <w:p>
            <w:pPr>
              <w:autoSpaceDE w:val="0"/>
              <w:autoSpaceDN w:val="0"/>
              <w:snapToGrid w:val="0"/>
              <w:spacing w:line="440" w:lineRule="exact"/>
              <w:ind w:left="-95" w:right="-129"/>
              <w:contextualSpacing/>
              <w:jc w:val="center"/>
              <w:rPr>
                <w:rFonts w:hint="eastAsia" w:eastAsia="宋体"/>
                <w:szCs w:val="21"/>
                <w:highlight w:val="none"/>
                <w:lang w:eastAsia="zh-CN"/>
              </w:rPr>
            </w:pPr>
            <w:r>
              <w:rPr>
                <w:rFonts w:hint="eastAsia"/>
                <w:szCs w:val="21"/>
                <w:highlight w:val="none"/>
              </w:rPr>
              <w:t>1</w:t>
            </w:r>
            <w:r>
              <w:rPr>
                <w:rFonts w:hint="eastAsia"/>
                <w:szCs w:val="21"/>
                <w:highlight w:val="none"/>
                <w:lang w:val="en-US" w:eastAsia="zh-CN"/>
              </w:rPr>
              <w:t>0</w:t>
            </w:r>
          </w:p>
        </w:tc>
        <w:tc>
          <w:tcPr>
            <w:tcW w:w="8358" w:type="dxa"/>
            <w:tcBorders>
              <w:top w:val="single" w:color="auto" w:sz="2" w:space="0"/>
              <w:bottom w:val="single" w:color="auto" w:sz="2" w:space="0"/>
            </w:tcBorders>
            <w:vAlign w:val="center"/>
          </w:tcPr>
          <w:p>
            <w:pPr>
              <w:spacing w:line="440" w:lineRule="exact"/>
              <w:rPr>
                <w:szCs w:val="24"/>
                <w:highlight w:val="none"/>
              </w:rPr>
            </w:pPr>
            <w:r>
              <w:rPr>
                <w:rFonts w:hint="eastAsia"/>
                <w:szCs w:val="24"/>
                <w:highlight w:val="none"/>
              </w:rPr>
              <w:t>开标程序：</w:t>
            </w:r>
          </w:p>
          <w:p>
            <w:pPr>
              <w:spacing w:line="440" w:lineRule="exact"/>
              <w:rPr>
                <w:szCs w:val="24"/>
                <w:highlight w:val="none"/>
              </w:rPr>
            </w:pPr>
            <w:r>
              <w:rPr>
                <w:rFonts w:hint="eastAsia"/>
                <w:szCs w:val="24"/>
                <w:highlight w:val="none"/>
              </w:rPr>
              <w:t>1、电子招投标开标程序：</w:t>
            </w:r>
          </w:p>
          <w:p>
            <w:pPr>
              <w:spacing w:line="440" w:lineRule="exact"/>
              <w:rPr>
                <w:szCs w:val="24"/>
                <w:highlight w:val="none"/>
              </w:rPr>
            </w:pPr>
            <w:r>
              <w:rPr>
                <w:rFonts w:hint="eastAsia"/>
                <w:szCs w:val="24"/>
                <w:highlight w:val="none"/>
              </w:rPr>
              <w:t>第一阶段：</w:t>
            </w:r>
          </w:p>
          <w:p>
            <w:pPr>
              <w:spacing w:line="440" w:lineRule="exact"/>
              <w:rPr>
                <w:szCs w:val="24"/>
                <w:highlight w:val="none"/>
              </w:rPr>
            </w:pPr>
            <w:r>
              <w:rPr>
                <w:rFonts w:hint="eastAsia"/>
                <w:szCs w:val="24"/>
                <w:highlight w:val="none"/>
              </w:rPr>
              <w:t>投标截止时间后，供应商登录政府采购云平台，用“项目采购-开标评标”功能对电子投标文件进行在线解密，在线解密电子投标文件时间为开标时间后30分钟内。</w:t>
            </w:r>
          </w:p>
          <w:p>
            <w:pPr>
              <w:spacing w:line="440" w:lineRule="exact"/>
              <w:rPr>
                <w:szCs w:val="24"/>
                <w:highlight w:val="none"/>
              </w:rPr>
            </w:pPr>
            <w:r>
              <w:rPr>
                <w:rFonts w:hint="eastAsia"/>
                <w:szCs w:val="24"/>
                <w:highlight w:val="none"/>
              </w:rPr>
              <w:t>在政府采购云平台开启已解密供应商的“资格证明文件、技术商务文件”，并做开标记录；</w:t>
            </w:r>
          </w:p>
          <w:p>
            <w:pPr>
              <w:spacing w:line="440" w:lineRule="exact"/>
              <w:rPr>
                <w:szCs w:val="24"/>
                <w:highlight w:val="none"/>
              </w:rPr>
            </w:pPr>
            <w:r>
              <w:rPr>
                <w:rFonts w:hint="eastAsia"/>
                <w:szCs w:val="24"/>
                <w:highlight w:val="none"/>
              </w:rPr>
              <w:t>第二阶段：</w:t>
            </w:r>
          </w:p>
          <w:p>
            <w:pPr>
              <w:spacing w:line="440" w:lineRule="exact"/>
              <w:rPr>
                <w:szCs w:val="24"/>
                <w:highlight w:val="none"/>
              </w:rPr>
            </w:pPr>
            <w:r>
              <w:rPr>
                <w:rFonts w:hint="eastAsia"/>
                <w:szCs w:val="24"/>
                <w:highlight w:val="none"/>
              </w:rPr>
              <w:t>（</w:t>
            </w:r>
            <w:r>
              <w:rPr>
                <w:szCs w:val="24"/>
                <w:highlight w:val="none"/>
              </w:rPr>
              <w:t>1</w:t>
            </w:r>
            <w:r>
              <w:rPr>
                <w:rFonts w:hint="eastAsia"/>
                <w:szCs w:val="24"/>
                <w:highlight w:val="none"/>
              </w:rPr>
              <w:t>）在政府采购云平台宣告第一阶段评审无效供应商名单及理由；</w:t>
            </w:r>
          </w:p>
          <w:p>
            <w:pPr>
              <w:spacing w:line="440" w:lineRule="exact"/>
              <w:rPr>
                <w:szCs w:val="24"/>
                <w:highlight w:val="none"/>
              </w:rPr>
            </w:pPr>
            <w:r>
              <w:rPr>
                <w:rFonts w:hint="eastAsia"/>
                <w:szCs w:val="24"/>
                <w:highlight w:val="none"/>
              </w:rPr>
              <w:t>（</w:t>
            </w:r>
            <w:r>
              <w:rPr>
                <w:szCs w:val="24"/>
                <w:highlight w:val="none"/>
              </w:rPr>
              <w:t>2</w:t>
            </w:r>
            <w:r>
              <w:rPr>
                <w:rFonts w:hint="eastAsia"/>
                <w:szCs w:val="24"/>
                <w:highlight w:val="none"/>
              </w:rPr>
              <w:t>）公布经第一阶段评审符合采购文件要求的供应商的商务技术得分情况；</w:t>
            </w:r>
          </w:p>
          <w:p>
            <w:pPr>
              <w:spacing w:line="440" w:lineRule="exact"/>
              <w:rPr>
                <w:szCs w:val="24"/>
                <w:highlight w:val="none"/>
              </w:rPr>
            </w:pPr>
            <w:r>
              <w:rPr>
                <w:rFonts w:hint="eastAsia"/>
                <w:szCs w:val="24"/>
                <w:highlight w:val="none"/>
              </w:rPr>
              <w:t>（</w:t>
            </w:r>
            <w:r>
              <w:rPr>
                <w:szCs w:val="24"/>
                <w:highlight w:val="none"/>
              </w:rPr>
              <w:t>3</w:t>
            </w:r>
            <w:r>
              <w:rPr>
                <w:rFonts w:hint="eastAsia"/>
                <w:szCs w:val="24"/>
                <w:highlight w:val="none"/>
              </w:rPr>
              <w:t>）在政府采购云平台开启除第一阶段无效标外的供应商的“报价文件”，并做开标记录；</w:t>
            </w:r>
          </w:p>
          <w:p>
            <w:pPr>
              <w:spacing w:line="440" w:lineRule="exact"/>
              <w:rPr>
                <w:szCs w:val="24"/>
                <w:highlight w:val="none"/>
              </w:rPr>
            </w:pPr>
            <w:r>
              <w:rPr>
                <w:rFonts w:hint="eastAsia"/>
                <w:szCs w:val="24"/>
                <w:highlight w:val="none"/>
              </w:rPr>
              <w:t>（</w:t>
            </w:r>
            <w:r>
              <w:rPr>
                <w:szCs w:val="24"/>
                <w:highlight w:val="none"/>
              </w:rPr>
              <w:t>4</w:t>
            </w:r>
            <w:r>
              <w:rPr>
                <w:rFonts w:hint="eastAsia"/>
                <w:szCs w:val="24"/>
                <w:highlight w:val="none"/>
              </w:rPr>
              <w:t>）在政府采购云平台公布评审结果；</w:t>
            </w:r>
          </w:p>
          <w:p>
            <w:pPr>
              <w:spacing w:line="440" w:lineRule="exact"/>
              <w:rPr>
                <w:szCs w:val="24"/>
                <w:highlight w:val="none"/>
              </w:rPr>
            </w:pPr>
            <w:r>
              <w:rPr>
                <w:rFonts w:hint="eastAsia"/>
                <w:szCs w:val="24"/>
                <w:highlight w:val="none"/>
              </w:rPr>
              <w:t>（5）开标会议结束。</w:t>
            </w:r>
          </w:p>
          <w:p>
            <w:pPr>
              <w:spacing w:line="400" w:lineRule="exact"/>
              <w:jc w:val="left"/>
              <w:rPr>
                <w:rFonts w:ascii="宋体" w:hAnsi="宋体"/>
                <w:szCs w:val="21"/>
                <w:highlight w:val="none"/>
              </w:rPr>
            </w:pPr>
            <w:r>
              <w:rPr>
                <w:rFonts w:hint="eastAsia"/>
                <w:szCs w:val="24"/>
                <w:highlight w:val="none"/>
              </w:rPr>
              <w:t>2、</w:t>
            </w:r>
            <w:r>
              <w:rPr>
                <w:rFonts w:hint="eastAsia" w:ascii="宋体" w:hAnsi="宋体"/>
                <w:szCs w:val="21"/>
                <w:highlight w:val="none"/>
              </w:rPr>
              <w:t>特别说明：</w:t>
            </w:r>
            <w:r>
              <w:rPr>
                <w:rFonts w:hint="eastAsia" w:ascii="宋体" w:hAnsi="宋体" w:cs="宋体"/>
                <w:kern w:val="0"/>
                <w:szCs w:val="21"/>
                <w:highlight w:val="none"/>
              </w:rPr>
              <w:t>政府采购云平台</w:t>
            </w:r>
            <w:r>
              <w:rPr>
                <w:rFonts w:hint="eastAsia" w:ascii="宋体" w:hAnsi="宋体"/>
                <w:szCs w:val="21"/>
                <w:highlight w:val="none"/>
              </w:rPr>
              <w:t>如对电子化开标及评审程序有调整的，按调整后的程序操作。本项目原则上采用政采云</w:t>
            </w:r>
            <w:r>
              <w:rPr>
                <w:rFonts w:hint="eastAsia" w:ascii="宋体" w:hAnsi="宋体" w:cs="宋体"/>
                <w:bCs/>
                <w:szCs w:val="21"/>
                <w:highlight w:val="none"/>
              </w:rPr>
              <w:t>电子招投标开标程序</w:t>
            </w:r>
            <w:r>
              <w:rPr>
                <w:rFonts w:hint="eastAsia" w:ascii="宋体" w:hAnsi="宋体"/>
                <w:szCs w:val="21"/>
                <w:highlight w:val="none"/>
              </w:rPr>
              <w:t>，但有下情形之一的，按以下情况处理：</w:t>
            </w:r>
          </w:p>
          <w:p>
            <w:pPr>
              <w:spacing w:line="400" w:lineRule="exact"/>
              <w:jc w:val="left"/>
              <w:rPr>
                <w:rFonts w:ascii="宋体" w:hAnsi="宋体"/>
                <w:szCs w:val="21"/>
                <w:highlight w:val="none"/>
              </w:rPr>
            </w:pP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）若供应商在规定时间内无法解密或解密失败，代理机构将开启所有供应商递交的</w:t>
            </w:r>
            <w:r>
              <w:rPr>
                <w:rFonts w:hint="eastAsia" w:ascii="宋体" w:hAnsi="宋体" w:cs="宋体"/>
                <w:kern w:val="0"/>
                <w:szCs w:val="21"/>
                <w:highlight w:val="none"/>
              </w:rPr>
              <w:t>以U盘存储的电子备份投标文件</w:t>
            </w:r>
            <w:r>
              <w:rPr>
                <w:rFonts w:hint="eastAsia" w:ascii="宋体" w:hAnsi="宋体"/>
                <w:szCs w:val="21"/>
                <w:highlight w:val="none"/>
              </w:rPr>
              <w:t>，上传至政采云平台项目采购模块，以完成开标，电子投标文件自动失效。</w:t>
            </w:r>
          </w:p>
          <w:p>
            <w:pPr>
              <w:spacing w:line="400" w:lineRule="exact"/>
              <w:jc w:val="left"/>
              <w:rPr>
                <w:rFonts w:ascii="宋体" w:hAnsi="宋体"/>
                <w:szCs w:val="21"/>
                <w:highlight w:val="none"/>
              </w:rPr>
            </w:pPr>
            <w:r>
              <w:rPr>
                <w:rFonts w:hint="eastAsia" w:ascii="宋体" w:hAnsi="宋体"/>
                <w:szCs w:val="21"/>
                <w:highlight w:val="none"/>
              </w:rPr>
              <w:t>（2）采购过程中出现以下情形，导致电子交易平台无法正常运行，或者无法保证电子交易的公平、公正和安全时，采购人（或代理机构）可中止电子交易活动：</w:t>
            </w:r>
          </w:p>
          <w:p>
            <w:pPr>
              <w:spacing w:line="400" w:lineRule="exact"/>
              <w:jc w:val="left"/>
              <w:rPr>
                <w:rFonts w:ascii="宋体" w:hAnsi="宋体"/>
                <w:szCs w:val="21"/>
                <w:highlight w:val="none"/>
              </w:rPr>
            </w:pPr>
            <w:r>
              <w:rPr>
                <w:rFonts w:hint="eastAsia" w:ascii="宋体" w:hAnsi="宋体"/>
                <w:szCs w:val="21"/>
                <w:highlight w:val="none"/>
              </w:rPr>
              <w:t xml:space="preserve">①电子交易平台发生故障而无法登录访问的； </w:t>
            </w:r>
          </w:p>
          <w:p>
            <w:pPr>
              <w:spacing w:line="400" w:lineRule="exact"/>
              <w:jc w:val="left"/>
              <w:rPr>
                <w:rFonts w:ascii="宋体" w:hAnsi="宋体"/>
                <w:szCs w:val="21"/>
                <w:highlight w:val="none"/>
              </w:rPr>
            </w:pPr>
            <w:r>
              <w:rPr>
                <w:rFonts w:hint="eastAsia" w:ascii="宋体" w:hAnsi="宋体"/>
                <w:szCs w:val="21"/>
                <w:highlight w:val="none"/>
              </w:rPr>
              <w:t>②电子交易平台应用或数据库出现错误，不能进行正常操作的；</w:t>
            </w:r>
          </w:p>
          <w:p>
            <w:pPr>
              <w:spacing w:line="400" w:lineRule="exact"/>
              <w:jc w:val="left"/>
              <w:rPr>
                <w:rFonts w:ascii="宋体" w:hAnsi="宋体"/>
                <w:szCs w:val="21"/>
                <w:highlight w:val="none"/>
              </w:rPr>
            </w:pPr>
            <w:r>
              <w:rPr>
                <w:rFonts w:hint="eastAsia" w:ascii="宋体" w:hAnsi="宋体"/>
                <w:szCs w:val="21"/>
                <w:highlight w:val="none"/>
              </w:rPr>
              <w:t>③电子交易平台发现严重安全漏洞，有潜在泄密危险的；</w:t>
            </w:r>
          </w:p>
          <w:p>
            <w:pPr>
              <w:spacing w:line="400" w:lineRule="exact"/>
              <w:jc w:val="left"/>
              <w:rPr>
                <w:rFonts w:ascii="宋体" w:hAnsi="宋体"/>
                <w:szCs w:val="21"/>
                <w:highlight w:val="none"/>
              </w:rPr>
            </w:pPr>
            <w:r>
              <w:rPr>
                <w:rFonts w:hint="eastAsia" w:ascii="宋体" w:hAnsi="宋体"/>
                <w:szCs w:val="21"/>
                <w:highlight w:val="none"/>
              </w:rPr>
              <w:t xml:space="preserve">④病毒发作导致不能进行正常操作的； </w:t>
            </w:r>
          </w:p>
          <w:p>
            <w:pPr>
              <w:spacing w:line="400" w:lineRule="exact"/>
              <w:jc w:val="left"/>
              <w:rPr>
                <w:rFonts w:ascii="宋体" w:hAnsi="宋体"/>
                <w:szCs w:val="21"/>
                <w:highlight w:val="none"/>
              </w:rPr>
            </w:pPr>
            <w:r>
              <w:rPr>
                <w:rFonts w:hint="eastAsia" w:ascii="宋体" w:hAnsi="宋体"/>
                <w:szCs w:val="21"/>
                <w:highlight w:val="none"/>
              </w:rPr>
              <w:t>⑤其他无法保证电子交易的公平、公正和安全的情况。</w:t>
            </w:r>
          </w:p>
          <w:p>
            <w:pPr>
              <w:spacing w:line="400" w:lineRule="exact"/>
              <w:ind w:firstLine="420" w:firstLineChars="200"/>
              <w:jc w:val="left"/>
              <w:rPr>
                <w:rFonts w:ascii="宋体" w:hAnsi="宋体"/>
                <w:szCs w:val="21"/>
                <w:highlight w:val="none"/>
              </w:rPr>
            </w:pPr>
            <w:r>
              <w:rPr>
                <w:rFonts w:hint="eastAsia" w:ascii="宋体" w:hAnsi="宋体"/>
                <w:szCs w:val="21"/>
                <w:highlight w:val="none"/>
              </w:rPr>
              <w:t>出现前款规定情形，不影响采购公平、公正性的，采购人（或代理机构）可以待上述情形消除后继续组织电子交易活动。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30" w:hRule="atLeast"/>
          <w:jc w:val="center"/>
        </w:trPr>
        <w:tc>
          <w:tcPr>
            <w:tcW w:w="714" w:type="dxa"/>
            <w:tcBorders>
              <w:top w:val="single" w:color="auto" w:sz="2" w:space="0"/>
              <w:bottom w:val="single" w:color="auto" w:sz="4" w:space="0"/>
            </w:tcBorders>
            <w:vAlign w:val="center"/>
          </w:tcPr>
          <w:p>
            <w:pPr>
              <w:autoSpaceDE w:val="0"/>
              <w:autoSpaceDN w:val="0"/>
              <w:snapToGrid w:val="0"/>
              <w:spacing w:line="440" w:lineRule="exact"/>
              <w:ind w:left="-95" w:right="-129"/>
              <w:contextualSpacing/>
              <w:jc w:val="center"/>
              <w:rPr>
                <w:rFonts w:hint="eastAsia" w:eastAsia="宋体"/>
                <w:szCs w:val="21"/>
                <w:highlight w:val="none"/>
                <w:lang w:eastAsia="zh-CN"/>
              </w:rPr>
            </w:pPr>
            <w:r>
              <w:rPr>
                <w:rFonts w:hint="eastAsia"/>
                <w:szCs w:val="21"/>
                <w:highlight w:val="none"/>
              </w:rPr>
              <w:t>1</w:t>
            </w:r>
            <w:r>
              <w:rPr>
                <w:rFonts w:hint="eastAsia"/>
                <w:szCs w:val="21"/>
                <w:highlight w:val="none"/>
                <w:lang w:val="en-US" w:eastAsia="zh-CN"/>
              </w:rPr>
              <w:t>1</w:t>
            </w:r>
          </w:p>
        </w:tc>
        <w:tc>
          <w:tcPr>
            <w:tcW w:w="8358" w:type="dxa"/>
            <w:tcBorders>
              <w:top w:val="single" w:color="auto" w:sz="2" w:space="0"/>
              <w:bottom w:val="single" w:color="auto" w:sz="4" w:space="0"/>
            </w:tcBorders>
            <w:vAlign w:val="center"/>
          </w:tcPr>
          <w:p>
            <w:pPr>
              <w:autoSpaceDE w:val="0"/>
              <w:autoSpaceDN w:val="0"/>
              <w:snapToGrid w:val="0"/>
              <w:spacing w:line="440" w:lineRule="exact"/>
              <w:ind w:left="877" w:hanging="877"/>
              <w:contextualSpacing/>
              <w:rPr>
                <w:szCs w:val="24"/>
                <w:highlight w:val="none"/>
              </w:rPr>
            </w:pPr>
            <w:r>
              <w:rPr>
                <w:rFonts w:hint="eastAsia"/>
                <w:szCs w:val="24"/>
                <w:highlight w:val="none"/>
              </w:rPr>
              <w:t>开标顺序：</w:t>
            </w:r>
          </w:p>
          <w:p>
            <w:pPr>
              <w:tabs>
                <w:tab w:val="left" w:pos="2160"/>
              </w:tabs>
              <w:spacing w:line="0" w:lineRule="atLeast"/>
              <w:rPr>
                <w:szCs w:val="24"/>
                <w:highlight w:val="none"/>
              </w:rPr>
            </w:pPr>
            <w:r>
              <w:rPr>
                <w:szCs w:val="24"/>
                <w:highlight w:val="none"/>
              </w:rPr>
              <w:t>按照投标的顺序依次开标，按照招标内容分类分段依次唱标</w:t>
            </w:r>
            <w:r>
              <w:rPr>
                <w:rFonts w:hint="eastAsia"/>
                <w:szCs w:val="24"/>
                <w:highlight w:val="none"/>
              </w:rPr>
              <w:t>；</w:t>
            </w:r>
          </w:p>
          <w:p>
            <w:pPr>
              <w:autoSpaceDE w:val="0"/>
              <w:autoSpaceDN w:val="0"/>
              <w:snapToGrid w:val="0"/>
              <w:spacing w:line="440" w:lineRule="exact"/>
              <w:contextualSpacing/>
              <w:rPr>
                <w:szCs w:val="24"/>
                <w:highlight w:val="none"/>
              </w:rPr>
            </w:pPr>
            <w:r>
              <w:rPr>
                <w:szCs w:val="24"/>
                <w:highlight w:val="none"/>
              </w:rPr>
              <w:t>开标时，先开技术商务文件</w:t>
            </w:r>
            <w:r>
              <w:rPr>
                <w:rFonts w:hint="eastAsia"/>
                <w:szCs w:val="24"/>
                <w:highlight w:val="none"/>
              </w:rPr>
              <w:t>、</w:t>
            </w:r>
            <w:r>
              <w:rPr>
                <w:rFonts w:hint="eastAsia" w:ascii="宋体" w:hAnsi="宋体" w:cs="宋体"/>
                <w:szCs w:val="21"/>
                <w:highlight w:val="none"/>
              </w:rPr>
              <w:t>资格审查文件</w:t>
            </w:r>
            <w:r>
              <w:rPr>
                <w:szCs w:val="24"/>
                <w:highlight w:val="none"/>
              </w:rPr>
              <w:t>，待技术商务文件</w:t>
            </w:r>
            <w:r>
              <w:rPr>
                <w:rFonts w:hint="eastAsia"/>
                <w:szCs w:val="24"/>
                <w:highlight w:val="none"/>
              </w:rPr>
              <w:t>、</w:t>
            </w:r>
            <w:r>
              <w:rPr>
                <w:rFonts w:hint="eastAsia" w:ascii="宋体" w:hAnsi="宋体" w:cs="宋体"/>
                <w:szCs w:val="21"/>
                <w:highlight w:val="none"/>
              </w:rPr>
              <w:t>资格审查文件</w:t>
            </w:r>
            <w:r>
              <w:rPr>
                <w:szCs w:val="24"/>
                <w:highlight w:val="none"/>
              </w:rPr>
              <w:t>评审结束后开启投标报价文件。如技术商务文件</w:t>
            </w:r>
            <w:r>
              <w:rPr>
                <w:rFonts w:hint="eastAsia"/>
                <w:szCs w:val="24"/>
                <w:highlight w:val="none"/>
              </w:rPr>
              <w:t>、</w:t>
            </w:r>
            <w:r>
              <w:rPr>
                <w:rFonts w:hint="eastAsia" w:ascii="宋体" w:hAnsi="宋体" w:cs="宋体"/>
                <w:szCs w:val="21"/>
                <w:highlight w:val="none"/>
              </w:rPr>
              <w:t>资格审查文件</w:t>
            </w:r>
            <w:r>
              <w:rPr>
                <w:szCs w:val="24"/>
                <w:highlight w:val="none"/>
              </w:rPr>
              <w:t>经评审确定为无效</w:t>
            </w:r>
            <w:r>
              <w:rPr>
                <w:rFonts w:hint="eastAsia"/>
                <w:szCs w:val="24"/>
                <w:highlight w:val="none"/>
              </w:rPr>
              <w:t>标</w:t>
            </w:r>
            <w:r>
              <w:rPr>
                <w:szCs w:val="24"/>
                <w:highlight w:val="none"/>
              </w:rPr>
              <w:t>的投标单位则不能进行报价文件的评审，作为无效标处理</w:t>
            </w:r>
            <w:r>
              <w:rPr>
                <w:rFonts w:hint="eastAsia"/>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0" w:hRule="atLeast"/>
          <w:jc w:val="center"/>
        </w:trPr>
        <w:tc>
          <w:tcPr>
            <w:tcW w:w="714" w:type="dxa"/>
            <w:tcBorders>
              <w:top w:val="single" w:color="auto" w:sz="2" w:space="0"/>
            </w:tcBorders>
            <w:vAlign w:val="center"/>
          </w:tcPr>
          <w:p>
            <w:pPr>
              <w:autoSpaceDE w:val="0"/>
              <w:autoSpaceDN w:val="0"/>
              <w:snapToGrid w:val="0"/>
              <w:spacing w:line="440" w:lineRule="exact"/>
              <w:ind w:left="-95" w:right="-129"/>
              <w:contextualSpacing/>
              <w:jc w:val="center"/>
              <w:rPr>
                <w:rFonts w:hint="eastAsia" w:eastAsia="宋体"/>
                <w:szCs w:val="21"/>
                <w:highlight w:val="none"/>
                <w:lang w:eastAsia="zh-CN"/>
              </w:rPr>
            </w:pPr>
            <w:r>
              <w:rPr>
                <w:rFonts w:hint="eastAsia"/>
                <w:szCs w:val="21"/>
                <w:highlight w:val="none"/>
              </w:rPr>
              <w:t>1</w:t>
            </w:r>
            <w:r>
              <w:rPr>
                <w:rFonts w:hint="eastAsia"/>
                <w:szCs w:val="21"/>
                <w:highlight w:val="none"/>
                <w:lang w:val="en-US" w:eastAsia="zh-CN"/>
              </w:rPr>
              <w:t>2</w:t>
            </w:r>
          </w:p>
        </w:tc>
        <w:tc>
          <w:tcPr>
            <w:tcW w:w="8358" w:type="dxa"/>
            <w:tcBorders>
              <w:top w:val="single" w:color="auto" w:sz="2" w:space="0"/>
            </w:tcBorders>
            <w:vAlign w:val="center"/>
          </w:tcPr>
          <w:p>
            <w:pPr>
              <w:autoSpaceDE w:val="0"/>
              <w:autoSpaceDN w:val="0"/>
              <w:snapToGrid w:val="0"/>
              <w:spacing w:line="440" w:lineRule="exact"/>
              <w:contextualSpacing/>
              <w:rPr>
                <w:szCs w:val="24"/>
                <w:highlight w:val="none"/>
              </w:rPr>
            </w:pPr>
            <w:r>
              <w:rPr>
                <w:rFonts w:hint="eastAsia"/>
                <w:szCs w:val="24"/>
                <w:highlight w:val="none"/>
              </w:rPr>
              <w:t>其他：采购公告与中标公告发布网站：浙江省政府采购网（</w:t>
            </w:r>
            <w:r>
              <w:rPr>
                <w:szCs w:val="24"/>
                <w:highlight w:val="none"/>
              </w:rPr>
              <w:t>http://zfcg.czt.zj.gov.cn/</w:t>
            </w:r>
            <w:r>
              <w:rPr>
                <w:rFonts w:hint="eastAsia"/>
                <w:szCs w:val="24"/>
                <w:highlight w:val="none"/>
              </w:rPr>
              <w:t>）、</w:t>
            </w:r>
          </w:p>
          <w:p>
            <w:pPr>
              <w:widowControl/>
              <w:tabs>
                <w:tab w:val="left" w:pos="180"/>
                <w:tab w:val="left" w:pos="360"/>
              </w:tabs>
              <w:wordWrap w:val="0"/>
              <w:adjustRightInd w:val="0"/>
              <w:snapToGrid w:val="0"/>
              <w:spacing w:line="440" w:lineRule="exact"/>
              <w:jc w:val="left"/>
              <w:rPr>
                <w:szCs w:val="24"/>
                <w:highlight w:val="none"/>
              </w:rPr>
            </w:pPr>
            <w:r>
              <w:rPr>
                <w:rFonts w:hint="eastAsia"/>
                <w:szCs w:val="24"/>
                <w:highlight w:val="none"/>
              </w:rPr>
              <w:t>宁波</w:t>
            </w:r>
            <w:r>
              <w:rPr>
                <w:rFonts w:hint="eastAsia"/>
                <w:szCs w:val="24"/>
                <w:highlight w:val="none"/>
                <w:lang w:val="en-US" w:eastAsia="zh-CN"/>
              </w:rPr>
              <w:t>政务服务系统2.0</w:t>
            </w:r>
            <w:r>
              <w:rPr>
                <w:rFonts w:hint="eastAsia"/>
                <w:szCs w:val="24"/>
                <w:highlight w:val="none"/>
              </w:rPr>
              <w:t>（https://jyxt.zwb.ningbo.gov.cn:4011/website/login）。</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9072" w:type="dxa"/>
            <w:gridSpan w:val="2"/>
            <w:tcBorders>
              <w:top w:val="single" w:color="auto" w:sz="4" w:space="0"/>
              <w:bottom w:val="single" w:color="auto" w:sz="2" w:space="0"/>
            </w:tcBorders>
            <w:vAlign w:val="center"/>
          </w:tcPr>
          <w:p>
            <w:pPr>
              <w:spacing w:line="440" w:lineRule="exact"/>
              <w:contextualSpacing/>
              <w:jc w:val="center"/>
              <w:rPr>
                <w:szCs w:val="24"/>
                <w:highlight w:val="none"/>
              </w:rPr>
            </w:pPr>
            <w:r>
              <w:rPr>
                <w:rFonts w:hint="eastAsia"/>
                <w:szCs w:val="24"/>
                <w:highlight w:val="none"/>
              </w:rPr>
              <w:t>招标服务费部分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714" w:type="dxa"/>
            <w:vAlign w:val="center"/>
          </w:tcPr>
          <w:p>
            <w:pPr>
              <w:autoSpaceDE w:val="0"/>
              <w:autoSpaceDN w:val="0"/>
              <w:snapToGrid w:val="0"/>
              <w:spacing w:line="440" w:lineRule="exact"/>
              <w:ind w:left="-95" w:right="-129"/>
              <w:contextualSpacing/>
              <w:jc w:val="center"/>
              <w:rPr>
                <w:rFonts w:hint="eastAsia" w:eastAsia="宋体"/>
                <w:szCs w:val="21"/>
                <w:highlight w:val="none"/>
                <w:lang w:eastAsia="zh-CN"/>
              </w:rPr>
            </w:pPr>
            <w:r>
              <w:rPr>
                <w:rFonts w:hint="eastAsia"/>
                <w:szCs w:val="21"/>
                <w:highlight w:val="none"/>
              </w:rPr>
              <w:t>1</w:t>
            </w:r>
            <w:r>
              <w:rPr>
                <w:rFonts w:hint="eastAsia"/>
                <w:szCs w:val="21"/>
                <w:highlight w:val="none"/>
                <w:lang w:val="en-US" w:eastAsia="zh-CN"/>
              </w:rPr>
              <w:t>3</w:t>
            </w:r>
          </w:p>
        </w:tc>
        <w:tc>
          <w:tcPr>
            <w:tcW w:w="8358" w:type="dxa"/>
            <w:vAlign w:val="center"/>
          </w:tcPr>
          <w:p>
            <w:pPr>
              <w:spacing w:line="440" w:lineRule="exact"/>
              <w:contextualSpacing/>
              <w:rPr>
                <w:color w:val="auto"/>
                <w:szCs w:val="24"/>
                <w:highlight w:val="none"/>
              </w:rPr>
            </w:pPr>
            <w:r>
              <w:rPr>
                <w:rFonts w:hint="eastAsia"/>
                <w:szCs w:val="24"/>
                <w:highlight w:val="none"/>
              </w:rPr>
              <w:t>（1）</w:t>
            </w:r>
            <w:r>
              <w:rPr>
                <w:rFonts w:hint="eastAsia"/>
                <w:color w:val="auto"/>
                <w:szCs w:val="24"/>
                <w:highlight w:val="none"/>
              </w:rPr>
              <w:t>中标人与采购人签订合同后，本采购代理机构参照宁波市招标投标协会关于印发《宁波市招标（采购）代理服务收费指导意见》的通知规定的</w:t>
            </w:r>
            <w:r>
              <w:rPr>
                <w:rFonts w:hint="eastAsia"/>
                <w:color w:val="auto"/>
                <w:szCs w:val="24"/>
                <w:highlight w:val="none"/>
                <w:lang w:val="en-US" w:eastAsia="zh-CN"/>
              </w:rPr>
              <w:t>服务</w:t>
            </w:r>
            <w:r>
              <w:rPr>
                <w:rFonts w:hint="eastAsia"/>
                <w:color w:val="auto"/>
                <w:szCs w:val="24"/>
                <w:highlight w:val="none"/>
              </w:rPr>
              <w:t>招标费率标准，按照中标人三年中标的总金额，向中标人收取招标代理费；收费标准如下：</w:t>
            </w:r>
          </w:p>
          <w:tbl>
            <w:tblPr>
              <w:tblStyle w:val="46"/>
              <w:tblW w:w="7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753"/>
              <w:gridCol w:w="1241"/>
              <w:gridCol w:w="1241"/>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9" w:hRule="atLeast"/>
                <w:jc w:val="center"/>
              </w:trPr>
              <w:tc>
                <w:tcPr>
                  <w:tcW w:w="3753" w:type="dxa"/>
                  <w:tcBorders>
                    <w:tl2br w:val="single" w:color="auto" w:sz="4" w:space="0"/>
                  </w:tcBorders>
                  <w:tcMar>
                    <w:top w:w="30" w:type="dxa"/>
                    <w:left w:w="150" w:type="dxa"/>
                    <w:bottom w:w="30" w:type="dxa"/>
                    <w:right w:w="150" w:type="dxa"/>
                  </w:tcMar>
                  <w:vAlign w:val="center"/>
                </w:tcPr>
                <w:p>
                  <w:pPr>
                    <w:spacing w:line="312" w:lineRule="auto"/>
                    <w:jc w:val="right"/>
                    <w:rPr>
                      <w:rFonts w:ascii="宋体" w:hAnsi="宋体" w:cs="宋体"/>
                      <w:color w:val="auto"/>
                      <w:highlight w:val="none"/>
                    </w:rPr>
                  </w:pPr>
                </w:p>
                <w:p>
                  <w:pPr>
                    <w:snapToGrid w:val="0"/>
                    <w:rPr>
                      <w:rFonts w:ascii="宋体" w:hAnsi="宋体" w:cs="宋体"/>
                      <w:color w:val="auto"/>
                      <w:highlight w:val="none"/>
                    </w:rPr>
                  </w:pPr>
                  <w:r>
                    <w:rPr>
                      <w:rFonts w:hint="eastAsia" w:ascii="宋体" w:hAnsi="宋体" w:cs="宋体"/>
                      <w:color w:val="auto"/>
                      <w:highlight w:val="none"/>
                    </w:rPr>
                    <w:t>金额（万元）</w:t>
                  </w:r>
                </w:p>
                <w:p>
                  <w:pPr>
                    <w:snapToGrid w:val="0"/>
                    <w:rPr>
                      <w:rFonts w:ascii="宋体" w:hAnsi="宋体" w:cs="宋体"/>
                      <w:color w:val="auto"/>
                      <w:highlight w:val="none"/>
                    </w:rPr>
                  </w:pPr>
                  <w:r>
                    <w:rPr>
                      <w:rFonts w:hint="eastAsia" w:ascii="宋体" w:hAnsi="宋体" w:cs="宋体"/>
                      <w:color w:val="auto"/>
                      <w:highlight w:val="none"/>
                    </w:rPr>
                    <w:t>费率</w:t>
                  </w:r>
                </w:p>
                <w:p>
                  <w:pPr>
                    <w:spacing w:line="312" w:lineRule="auto"/>
                    <w:rPr>
                      <w:rFonts w:ascii="宋体" w:hAnsi="宋体" w:cs="宋体"/>
                      <w:color w:val="auto"/>
                      <w:highlight w:val="none"/>
                    </w:rPr>
                  </w:pPr>
                  <w:r>
                    <w:rPr>
                      <w:rFonts w:hint="eastAsia" w:ascii="宋体" w:hAnsi="宋体" w:cs="宋体"/>
                      <w:color w:val="auto"/>
                      <w:highlight w:val="none"/>
                    </w:rPr>
                    <w:t>服务类型</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货物招标</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服务招标</w:t>
                  </w:r>
                </w:p>
              </w:tc>
              <w:tc>
                <w:tcPr>
                  <w:tcW w:w="1243"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3" w:hRule="atLeast"/>
                <w:jc w:val="center"/>
              </w:trPr>
              <w:tc>
                <w:tcPr>
                  <w:tcW w:w="3753"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100以下</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6</w:t>
                  </w:r>
                  <w:r>
                    <w:rPr>
                      <w:rFonts w:hint="eastAsia" w:ascii="宋体" w:hAnsi="宋体" w:cs="宋体"/>
                      <w:color w:val="auto"/>
                      <w:highlight w:val="none"/>
                    </w:rPr>
                    <w:t>%</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6</w:t>
                  </w:r>
                  <w:r>
                    <w:rPr>
                      <w:rFonts w:hint="eastAsia" w:ascii="宋体" w:hAnsi="宋体" w:cs="宋体"/>
                      <w:color w:val="auto"/>
                      <w:highlight w:val="none"/>
                    </w:rPr>
                    <w:t>%</w:t>
                  </w:r>
                </w:p>
              </w:tc>
              <w:tc>
                <w:tcPr>
                  <w:tcW w:w="1243"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7" w:hRule="atLeast"/>
                <w:jc w:val="center"/>
              </w:trPr>
              <w:tc>
                <w:tcPr>
                  <w:tcW w:w="3753"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100-500</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2</w:t>
                  </w:r>
                  <w:r>
                    <w:rPr>
                      <w:rFonts w:hint="eastAsia" w:ascii="宋体" w:hAnsi="宋体" w:cs="宋体"/>
                      <w:color w:val="auto"/>
                      <w:highlight w:val="none"/>
                    </w:rPr>
                    <w:t>%</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w:t>
                  </w:r>
                  <w:r>
                    <w:rPr>
                      <w:rFonts w:hint="eastAsia" w:ascii="宋体" w:hAnsi="宋体" w:cs="宋体"/>
                      <w:color w:val="auto"/>
                      <w:highlight w:val="none"/>
                      <w:lang w:val="en-US" w:eastAsia="zh-CN"/>
                    </w:rPr>
                    <w:t>9</w:t>
                  </w:r>
                  <w:r>
                    <w:rPr>
                      <w:rFonts w:hint="eastAsia" w:ascii="宋体" w:hAnsi="宋体" w:cs="宋体"/>
                      <w:color w:val="auto"/>
                      <w:highlight w:val="none"/>
                    </w:rPr>
                    <w:t>%</w:t>
                  </w:r>
                </w:p>
              </w:tc>
              <w:tc>
                <w:tcPr>
                  <w:tcW w:w="1243"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7" w:hRule="atLeast"/>
                <w:jc w:val="center"/>
              </w:trPr>
              <w:tc>
                <w:tcPr>
                  <w:tcW w:w="3753"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500-1000</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w:t>
                  </w:r>
                  <w:r>
                    <w:rPr>
                      <w:rFonts w:hint="eastAsia" w:ascii="宋体" w:hAnsi="宋体" w:cs="宋体"/>
                      <w:color w:val="auto"/>
                      <w:highlight w:val="none"/>
                      <w:lang w:val="en-US" w:eastAsia="zh-CN"/>
                    </w:rPr>
                    <w:t>9</w:t>
                  </w:r>
                  <w:r>
                    <w:rPr>
                      <w:rFonts w:hint="eastAsia" w:ascii="宋体" w:hAnsi="宋体" w:cs="宋体"/>
                      <w:color w:val="auto"/>
                      <w:highlight w:val="none"/>
                    </w:rPr>
                    <w:t>%</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w:t>
                  </w:r>
                  <w:r>
                    <w:rPr>
                      <w:rFonts w:hint="eastAsia" w:ascii="宋体" w:hAnsi="宋体" w:cs="宋体"/>
                      <w:color w:val="auto"/>
                      <w:highlight w:val="none"/>
                      <w:lang w:val="en-US" w:eastAsia="zh-CN"/>
                    </w:rPr>
                    <w:t>50</w:t>
                  </w:r>
                  <w:r>
                    <w:rPr>
                      <w:rFonts w:hint="eastAsia" w:ascii="宋体" w:hAnsi="宋体" w:cs="宋体"/>
                      <w:color w:val="auto"/>
                      <w:highlight w:val="none"/>
                    </w:rPr>
                    <w:t>%</w:t>
                  </w:r>
                </w:p>
              </w:tc>
              <w:tc>
                <w:tcPr>
                  <w:tcW w:w="1243"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7" w:hRule="atLeast"/>
                <w:jc w:val="center"/>
              </w:trPr>
              <w:tc>
                <w:tcPr>
                  <w:tcW w:w="3753"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1000-5000</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w:t>
                  </w:r>
                  <w:r>
                    <w:rPr>
                      <w:rFonts w:hint="eastAsia" w:ascii="宋体" w:hAnsi="宋体" w:cs="宋体"/>
                      <w:color w:val="auto"/>
                      <w:highlight w:val="none"/>
                      <w:lang w:val="en-US" w:eastAsia="zh-CN"/>
                    </w:rPr>
                    <w:t>6</w:t>
                  </w:r>
                  <w:r>
                    <w:rPr>
                      <w:rFonts w:hint="eastAsia" w:ascii="宋体" w:hAnsi="宋体" w:cs="宋体"/>
                      <w:color w:val="auto"/>
                      <w:highlight w:val="none"/>
                    </w:rPr>
                    <w:t>%</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0.2</w:t>
                  </w:r>
                  <w:r>
                    <w:rPr>
                      <w:rFonts w:hint="eastAsia" w:ascii="宋体" w:hAnsi="宋体" w:cs="宋体"/>
                      <w:color w:val="auto"/>
                      <w:highlight w:val="none"/>
                      <w:lang w:val="en-US" w:eastAsia="zh-CN"/>
                    </w:rPr>
                    <w:t>0</w:t>
                  </w:r>
                  <w:r>
                    <w:rPr>
                      <w:rFonts w:hint="eastAsia" w:ascii="宋体" w:hAnsi="宋体" w:cs="宋体"/>
                      <w:color w:val="auto"/>
                      <w:highlight w:val="none"/>
                    </w:rPr>
                    <w:t>%</w:t>
                  </w:r>
                </w:p>
              </w:tc>
              <w:tc>
                <w:tcPr>
                  <w:tcW w:w="1243"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7" w:hRule="atLeast"/>
                <w:jc w:val="center"/>
              </w:trPr>
              <w:tc>
                <w:tcPr>
                  <w:tcW w:w="3753"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5000-10000</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0.2</w:t>
                  </w:r>
                  <w:r>
                    <w:rPr>
                      <w:rFonts w:hint="eastAsia" w:ascii="宋体" w:hAnsi="宋体" w:cs="宋体"/>
                      <w:color w:val="auto"/>
                      <w:highlight w:val="none"/>
                      <w:lang w:val="en-US" w:eastAsia="zh-CN"/>
                    </w:rPr>
                    <w:t>0</w:t>
                  </w:r>
                  <w:r>
                    <w:rPr>
                      <w:rFonts w:hint="eastAsia" w:ascii="宋体" w:hAnsi="宋体" w:cs="宋体"/>
                      <w:color w:val="auto"/>
                      <w:highlight w:val="none"/>
                    </w:rPr>
                    <w:t>%</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0.1</w:t>
                  </w:r>
                  <w:r>
                    <w:rPr>
                      <w:rFonts w:hint="eastAsia" w:ascii="宋体" w:hAnsi="宋体" w:cs="宋体"/>
                      <w:color w:val="auto"/>
                      <w:highlight w:val="none"/>
                      <w:lang w:val="en-US" w:eastAsia="zh-CN"/>
                    </w:rPr>
                    <w:t>0</w:t>
                  </w:r>
                  <w:r>
                    <w:rPr>
                      <w:rFonts w:hint="eastAsia" w:ascii="宋体" w:hAnsi="宋体" w:cs="宋体"/>
                      <w:color w:val="auto"/>
                      <w:highlight w:val="none"/>
                    </w:rPr>
                    <w:t>%</w:t>
                  </w:r>
                </w:p>
              </w:tc>
              <w:tc>
                <w:tcPr>
                  <w:tcW w:w="1243"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0.2</w:t>
                  </w:r>
                  <w:r>
                    <w:rPr>
                      <w:rFonts w:hint="eastAsia" w:ascii="宋体" w:hAnsi="宋体" w:cs="宋体"/>
                      <w:color w:val="auto"/>
                      <w:highlight w:val="none"/>
                      <w:lang w:val="en-US" w:eastAsia="zh-CN"/>
                    </w:rPr>
                    <w:t>0</w:t>
                  </w: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4" w:hRule="atLeast"/>
                <w:jc w:val="center"/>
              </w:trPr>
              <w:tc>
                <w:tcPr>
                  <w:tcW w:w="3753"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1亿～5亿</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0.05%</w:t>
                  </w:r>
                </w:p>
              </w:tc>
              <w:tc>
                <w:tcPr>
                  <w:tcW w:w="1241"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0.05%</w:t>
                  </w:r>
                </w:p>
              </w:tc>
              <w:tc>
                <w:tcPr>
                  <w:tcW w:w="1243" w:type="dxa"/>
                  <w:tcMar>
                    <w:top w:w="30" w:type="dxa"/>
                    <w:left w:w="150" w:type="dxa"/>
                    <w:bottom w:w="30" w:type="dxa"/>
                    <w:right w:w="150" w:type="dxa"/>
                  </w:tcMar>
                  <w:vAlign w:val="center"/>
                </w:tcPr>
                <w:p>
                  <w:pPr>
                    <w:spacing w:line="312" w:lineRule="auto"/>
                    <w:jc w:val="center"/>
                    <w:rPr>
                      <w:rFonts w:ascii="宋体" w:hAnsi="宋体" w:cs="宋体"/>
                      <w:color w:val="auto"/>
                      <w:highlight w:val="none"/>
                    </w:rPr>
                  </w:pPr>
                  <w:r>
                    <w:rPr>
                      <w:rFonts w:hint="eastAsia" w:ascii="宋体" w:hAnsi="宋体" w:cs="宋体"/>
                      <w:color w:val="auto"/>
                      <w:highlight w:val="none"/>
                    </w:rPr>
                    <w:t>0.05%</w:t>
                  </w:r>
                </w:p>
              </w:tc>
            </w:tr>
          </w:tbl>
          <w:p>
            <w:pPr>
              <w:spacing w:line="440" w:lineRule="exact"/>
              <w:contextualSpacing/>
              <w:rPr>
                <w:szCs w:val="24"/>
                <w:highlight w:val="none"/>
              </w:rPr>
            </w:pPr>
            <w:r>
              <w:rPr>
                <w:rFonts w:hint="eastAsia"/>
                <w:szCs w:val="24"/>
                <w:highlight w:val="none"/>
              </w:rPr>
              <w:t>（2）中标人在签订合同后5个工作日内向本招标代理机构支付招标服务费；招标服务费只收现金、银行票汇款、电汇款。</w:t>
            </w:r>
          </w:p>
        </w:tc>
      </w:tr>
    </w:tbl>
    <w:p>
      <w:pPr>
        <w:spacing w:line="440" w:lineRule="exact"/>
        <w:ind w:left="123" w:hanging="123" w:hangingChars="68"/>
        <w:rPr>
          <w:b/>
          <w:sz w:val="18"/>
          <w:szCs w:val="18"/>
          <w:highlight w:val="none"/>
        </w:rPr>
      </w:pPr>
      <w:r>
        <w:rPr>
          <w:rFonts w:hint="eastAsia"/>
          <w:b/>
          <w:sz w:val="18"/>
          <w:szCs w:val="18"/>
          <w:highlight w:val="none"/>
        </w:rPr>
        <w:t>本表内打有“★”的条款系实质性条款，任何偏离将导致投标被否决。</w:t>
      </w:r>
    </w:p>
    <w:p>
      <w:pPr>
        <w:pStyle w:val="42"/>
        <w:rPr>
          <w:rFonts w:ascii="Times New Roman" w:hAnsi="Times New Roman"/>
          <w:kern w:val="44"/>
          <w:highlight w:val="none"/>
        </w:rPr>
      </w:pPr>
      <w:r>
        <w:rPr>
          <w:rFonts w:ascii="Times New Roman" w:hAnsi="Times New Roman"/>
          <w:highlight w:val="none"/>
        </w:rPr>
        <w:br w:type="page"/>
      </w:r>
      <w:bookmarkStart w:id="5" w:name="_Toc435088064"/>
      <w:r>
        <w:rPr>
          <w:rFonts w:hint="eastAsia" w:ascii="Times New Roman" w:hAnsi="Times New Roman"/>
          <w:kern w:val="44"/>
          <w:highlight w:val="none"/>
        </w:rPr>
        <w:t>第三章 投标人须知</w:t>
      </w:r>
      <w:bookmarkEnd w:id="5"/>
    </w:p>
    <w:p>
      <w:pPr>
        <w:pStyle w:val="2"/>
        <w:contextualSpacing/>
        <w:rPr>
          <w:rFonts w:ascii="Times New Roman"/>
          <w:sz w:val="24"/>
          <w:szCs w:val="24"/>
          <w:highlight w:val="none"/>
        </w:rPr>
      </w:pPr>
      <w:bookmarkStart w:id="6" w:name="_Toc429407684"/>
      <w:bookmarkStart w:id="7" w:name="_Toc425780268"/>
      <w:bookmarkStart w:id="8" w:name="_Toc430790205"/>
      <w:bookmarkStart w:id="9" w:name="_Toc496003202"/>
      <w:bookmarkStart w:id="10" w:name="_Toc467683125"/>
      <w:bookmarkStart w:id="11" w:name="_Toc505353781"/>
      <w:bookmarkStart w:id="12" w:name="_Toc498429630"/>
      <w:bookmarkStart w:id="13" w:name="_Toc425151724"/>
      <w:bookmarkStart w:id="14" w:name="_Toc263083251"/>
      <w:bookmarkStart w:id="15" w:name="_Toc157022441"/>
      <w:bookmarkStart w:id="16" w:name="_Toc156754840"/>
      <w:bookmarkStart w:id="17" w:name="_Toc435088076"/>
      <w:r>
        <w:rPr>
          <w:rFonts w:hint="eastAsia" w:ascii="Times New Roman"/>
          <w:sz w:val="24"/>
          <w:szCs w:val="24"/>
          <w:highlight w:val="none"/>
        </w:rPr>
        <w:t>一、</w:t>
      </w:r>
      <w:r>
        <w:rPr>
          <w:rFonts w:ascii="Times New Roman"/>
          <w:sz w:val="24"/>
          <w:szCs w:val="24"/>
          <w:highlight w:val="none"/>
        </w:rPr>
        <w:t>说明</w:t>
      </w:r>
      <w:bookmarkEnd w:id="6"/>
      <w:bookmarkEnd w:id="7"/>
      <w:bookmarkEnd w:id="8"/>
      <w:bookmarkEnd w:id="9"/>
      <w:bookmarkEnd w:id="10"/>
      <w:bookmarkEnd w:id="11"/>
      <w:bookmarkEnd w:id="12"/>
      <w:bookmarkEnd w:id="13"/>
    </w:p>
    <w:p>
      <w:pPr>
        <w:pStyle w:val="4"/>
        <w:tabs>
          <w:tab w:val="left" w:pos="350"/>
        </w:tabs>
        <w:spacing w:before="0" w:after="0" w:line="380" w:lineRule="exact"/>
        <w:contextualSpacing/>
        <w:rPr>
          <w:b w:val="0"/>
          <w:sz w:val="21"/>
          <w:szCs w:val="21"/>
          <w:highlight w:val="none"/>
        </w:rPr>
      </w:pPr>
      <w:bookmarkStart w:id="18" w:name="_Toc429407685"/>
      <w:bookmarkStart w:id="19" w:name="_Toc430790206"/>
      <w:bookmarkStart w:id="20" w:name="_Toc425151725"/>
      <w:bookmarkStart w:id="21" w:name="_Toc162252738"/>
      <w:bookmarkStart w:id="22" w:name="_Toc425780269"/>
      <w:r>
        <w:rPr>
          <w:rFonts w:hint="eastAsia"/>
          <w:b w:val="0"/>
          <w:sz w:val="21"/>
          <w:szCs w:val="21"/>
          <w:highlight w:val="none"/>
        </w:rPr>
        <w:t>1、</w:t>
      </w:r>
      <w:r>
        <w:rPr>
          <w:b w:val="0"/>
          <w:sz w:val="21"/>
          <w:szCs w:val="21"/>
          <w:highlight w:val="none"/>
        </w:rPr>
        <w:t>项目概况</w:t>
      </w:r>
      <w:bookmarkEnd w:id="18"/>
      <w:bookmarkEnd w:id="19"/>
      <w:bookmarkEnd w:id="20"/>
      <w:bookmarkEnd w:id="21"/>
      <w:bookmarkEnd w:id="22"/>
    </w:p>
    <w:p>
      <w:pPr>
        <w:spacing w:line="380" w:lineRule="exact"/>
        <w:ind w:firstLine="420" w:firstLineChars="200"/>
        <w:contextualSpacing/>
        <w:rPr>
          <w:szCs w:val="21"/>
          <w:highlight w:val="none"/>
        </w:rPr>
      </w:pPr>
      <w:r>
        <w:rPr>
          <w:rFonts w:hint="eastAsia"/>
          <w:szCs w:val="21"/>
          <w:highlight w:val="none"/>
        </w:rPr>
        <w:t>1.1</w:t>
      </w:r>
      <w:r>
        <w:rPr>
          <w:szCs w:val="21"/>
          <w:highlight w:val="none"/>
        </w:rPr>
        <w:t>采购人的项目（载明在《投标资料表》中）已经政府采购行政管理部门批准。采购人委托中冠工程管理咨询有限公司代理本次招标采购工作。有关采购人、</w:t>
      </w:r>
      <w:r>
        <w:rPr>
          <w:rFonts w:hint="eastAsia"/>
          <w:szCs w:val="21"/>
          <w:highlight w:val="none"/>
        </w:rPr>
        <w:t>采购代理机构</w:t>
      </w:r>
      <w:r>
        <w:rPr>
          <w:szCs w:val="21"/>
          <w:highlight w:val="none"/>
        </w:rPr>
        <w:t>的名称、联系人、电话、传真等信息载明在《投标资料表》中。</w:t>
      </w:r>
    </w:p>
    <w:p>
      <w:pPr>
        <w:spacing w:line="380" w:lineRule="exact"/>
        <w:ind w:firstLine="420" w:firstLineChars="200"/>
        <w:contextualSpacing/>
        <w:rPr>
          <w:sz w:val="24"/>
          <w:szCs w:val="24"/>
          <w:highlight w:val="none"/>
        </w:rPr>
      </w:pPr>
      <w:r>
        <w:rPr>
          <w:rFonts w:hint="eastAsia"/>
          <w:szCs w:val="21"/>
          <w:highlight w:val="none"/>
        </w:rPr>
        <w:t>1.2</w:t>
      </w:r>
      <w:r>
        <w:rPr>
          <w:szCs w:val="21"/>
          <w:highlight w:val="none"/>
        </w:rPr>
        <w:t>经批准的本次采购方式载明在《投标资料表》中。</w:t>
      </w:r>
    </w:p>
    <w:p>
      <w:pPr>
        <w:pStyle w:val="2"/>
        <w:contextualSpacing/>
        <w:rPr>
          <w:rFonts w:ascii="Times New Roman"/>
          <w:sz w:val="24"/>
          <w:szCs w:val="24"/>
          <w:highlight w:val="none"/>
        </w:rPr>
      </w:pPr>
      <w:bookmarkStart w:id="23" w:name="_Toc429407686"/>
      <w:bookmarkStart w:id="24" w:name="_Toc425780270"/>
      <w:bookmarkStart w:id="25" w:name="_Toc467683126"/>
      <w:bookmarkStart w:id="26" w:name="_Toc496003203"/>
      <w:bookmarkStart w:id="27" w:name="_Toc430790207"/>
      <w:bookmarkStart w:id="28" w:name="_Toc498429631"/>
      <w:bookmarkStart w:id="29" w:name="_Toc425151726"/>
      <w:bookmarkStart w:id="30" w:name="_Toc505353782"/>
      <w:r>
        <w:rPr>
          <w:rFonts w:hint="eastAsia" w:ascii="Times New Roman"/>
          <w:sz w:val="24"/>
          <w:szCs w:val="24"/>
          <w:highlight w:val="none"/>
        </w:rPr>
        <w:t>二、</w:t>
      </w:r>
      <w:r>
        <w:rPr>
          <w:rFonts w:ascii="Times New Roman"/>
          <w:sz w:val="24"/>
          <w:szCs w:val="24"/>
          <w:highlight w:val="none"/>
        </w:rPr>
        <w:t>投标人</w:t>
      </w:r>
      <w:bookmarkEnd w:id="23"/>
      <w:bookmarkEnd w:id="24"/>
      <w:bookmarkEnd w:id="25"/>
      <w:bookmarkEnd w:id="26"/>
      <w:bookmarkEnd w:id="27"/>
      <w:bookmarkEnd w:id="28"/>
      <w:bookmarkEnd w:id="29"/>
      <w:bookmarkEnd w:id="30"/>
    </w:p>
    <w:p>
      <w:pPr>
        <w:pStyle w:val="4"/>
        <w:tabs>
          <w:tab w:val="left" w:pos="350"/>
        </w:tabs>
        <w:spacing w:before="0" w:after="0" w:line="380" w:lineRule="exact"/>
        <w:contextualSpacing/>
        <w:rPr>
          <w:b w:val="0"/>
          <w:sz w:val="21"/>
          <w:szCs w:val="21"/>
          <w:highlight w:val="none"/>
        </w:rPr>
      </w:pPr>
      <w:bookmarkStart w:id="31" w:name="_Toc429407687"/>
      <w:bookmarkStart w:id="32" w:name="_Toc425780271"/>
      <w:bookmarkStart w:id="33" w:name="_Toc430790208"/>
      <w:bookmarkStart w:id="34" w:name="_Toc425151727"/>
      <w:r>
        <w:rPr>
          <w:rFonts w:hint="eastAsia"/>
          <w:b w:val="0"/>
          <w:sz w:val="21"/>
          <w:szCs w:val="21"/>
          <w:highlight w:val="none"/>
        </w:rPr>
        <w:t>2、</w:t>
      </w:r>
      <w:r>
        <w:rPr>
          <w:b w:val="0"/>
          <w:sz w:val="21"/>
          <w:szCs w:val="21"/>
          <w:highlight w:val="none"/>
        </w:rPr>
        <w:t>合格的投标人</w:t>
      </w:r>
      <w:bookmarkEnd w:id="31"/>
      <w:bookmarkEnd w:id="32"/>
      <w:bookmarkEnd w:id="33"/>
      <w:bookmarkEnd w:id="34"/>
    </w:p>
    <w:p>
      <w:pPr>
        <w:spacing w:line="380" w:lineRule="exact"/>
        <w:ind w:firstLine="420" w:firstLineChars="200"/>
        <w:contextualSpacing/>
        <w:rPr>
          <w:szCs w:val="21"/>
          <w:highlight w:val="none"/>
        </w:rPr>
      </w:pPr>
      <w:r>
        <w:rPr>
          <w:rFonts w:hint="eastAsia"/>
          <w:szCs w:val="21"/>
          <w:highlight w:val="none"/>
        </w:rPr>
        <w:t>2.1</w:t>
      </w:r>
      <w:r>
        <w:rPr>
          <w:szCs w:val="21"/>
          <w:highlight w:val="none"/>
        </w:rPr>
        <w:t>投标人应该是符合《投标资料表》的报名条件</w:t>
      </w:r>
    </w:p>
    <w:p>
      <w:pPr>
        <w:spacing w:line="380" w:lineRule="exact"/>
        <w:ind w:firstLine="420" w:firstLineChars="200"/>
        <w:contextualSpacing/>
        <w:rPr>
          <w:szCs w:val="21"/>
          <w:highlight w:val="none"/>
        </w:rPr>
      </w:pPr>
      <w:r>
        <w:rPr>
          <w:rFonts w:hint="eastAsia"/>
          <w:szCs w:val="21"/>
          <w:highlight w:val="none"/>
        </w:rPr>
        <w:t>2.2</w:t>
      </w:r>
      <w:r>
        <w:rPr>
          <w:szCs w:val="21"/>
          <w:highlight w:val="none"/>
        </w:rPr>
        <w:t>参加本次投标活动的投标人应具备以下条件，并遵守国家有关的法律、法令和条例的规定：</w:t>
      </w:r>
    </w:p>
    <w:p>
      <w:pPr>
        <w:tabs>
          <w:tab w:val="left" w:pos="709"/>
        </w:tabs>
        <w:spacing w:line="380" w:lineRule="exact"/>
        <w:ind w:firstLine="420" w:firstLineChars="200"/>
        <w:contextualSpacing/>
        <w:rPr>
          <w:szCs w:val="21"/>
          <w:highlight w:val="none"/>
        </w:rPr>
      </w:pPr>
      <w:bookmarkStart w:id="35" w:name="_Toc429407688"/>
      <w:bookmarkStart w:id="36" w:name="_Toc425151728"/>
      <w:bookmarkStart w:id="37" w:name="_Toc430790209"/>
      <w:bookmarkStart w:id="38" w:name="_Toc425780272"/>
      <w:r>
        <w:rPr>
          <w:rFonts w:hint="eastAsia"/>
          <w:szCs w:val="21"/>
          <w:highlight w:val="none"/>
        </w:rPr>
        <w:t>（1）</w:t>
      </w:r>
      <w:r>
        <w:rPr>
          <w:szCs w:val="21"/>
          <w:highlight w:val="none"/>
        </w:rPr>
        <w:t>具有良好的商业信誉和健全的财务会计制度；</w:t>
      </w:r>
    </w:p>
    <w:p>
      <w:pPr>
        <w:tabs>
          <w:tab w:val="left" w:pos="709"/>
        </w:tabs>
        <w:spacing w:line="380" w:lineRule="exact"/>
        <w:ind w:firstLine="420" w:firstLineChars="200"/>
        <w:contextualSpacing/>
        <w:rPr>
          <w:szCs w:val="21"/>
          <w:highlight w:val="none"/>
        </w:rPr>
      </w:pPr>
      <w:r>
        <w:rPr>
          <w:rFonts w:hint="eastAsia"/>
          <w:szCs w:val="21"/>
          <w:highlight w:val="none"/>
        </w:rPr>
        <w:t>（2）</w:t>
      </w:r>
      <w:r>
        <w:rPr>
          <w:szCs w:val="21"/>
          <w:highlight w:val="none"/>
        </w:rPr>
        <w:t>具有履行合同要求提供服务所必须的设备、人员和专业技术能力；</w:t>
      </w:r>
    </w:p>
    <w:p>
      <w:pPr>
        <w:tabs>
          <w:tab w:val="left" w:pos="709"/>
        </w:tabs>
        <w:spacing w:line="380" w:lineRule="exact"/>
        <w:ind w:firstLine="420" w:firstLineChars="200"/>
        <w:contextualSpacing/>
        <w:rPr>
          <w:szCs w:val="21"/>
          <w:highlight w:val="none"/>
        </w:rPr>
      </w:pPr>
      <w:r>
        <w:rPr>
          <w:rFonts w:hint="eastAsia"/>
          <w:szCs w:val="21"/>
          <w:highlight w:val="none"/>
        </w:rPr>
        <w:t>（3）</w:t>
      </w:r>
      <w:r>
        <w:rPr>
          <w:szCs w:val="21"/>
          <w:highlight w:val="none"/>
        </w:rPr>
        <w:t>有依法缴纳税收和社会保障资金的良好纪录；</w:t>
      </w:r>
    </w:p>
    <w:p>
      <w:pPr>
        <w:tabs>
          <w:tab w:val="left" w:pos="709"/>
        </w:tabs>
        <w:spacing w:line="380" w:lineRule="exact"/>
        <w:ind w:firstLine="420" w:firstLineChars="200"/>
        <w:contextualSpacing/>
        <w:rPr>
          <w:szCs w:val="21"/>
          <w:highlight w:val="none"/>
        </w:rPr>
      </w:pPr>
      <w:r>
        <w:rPr>
          <w:rFonts w:hint="eastAsia"/>
          <w:szCs w:val="21"/>
          <w:highlight w:val="none"/>
        </w:rPr>
        <w:t>（4）</w:t>
      </w:r>
      <w:r>
        <w:rPr>
          <w:szCs w:val="21"/>
          <w:highlight w:val="none"/>
        </w:rPr>
        <w:t>参加本次</w:t>
      </w:r>
      <w:r>
        <w:rPr>
          <w:rFonts w:hint="eastAsia"/>
          <w:szCs w:val="21"/>
          <w:highlight w:val="none"/>
        </w:rPr>
        <w:t>投标</w:t>
      </w:r>
      <w:r>
        <w:rPr>
          <w:szCs w:val="21"/>
          <w:highlight w:val="none"/>
        </w:rPr>
        <w:t>活动之前三年内经营活动无重大违法纪录</w:t>
      </w:r>
      <w:r>
        <w:rPr>
          <w:rFonts w:hint="eastAsia"/>
          <w:szCs w:val="21"/>
          <w:highlight w:val="none"/>
        </w:rPr>
        <w:t>；</w:t>
      </w:r>
    </w:p>
    <w:p>
      <w:pPr>
        <w:tabs>
          <w:tab w:val="left" w:pos="709"/>
        </w:tabs>
        <w:spacing w:line="380" w:lineRule="exact"/>
        <w:ind w:firstLine="420" w:firstLineChars="200"/>
        <w:contextualSpacing/>
        <w:rPr>
          <w:szCs w:val="21"/>
          <w:highlight w:val="none"/>
        </w:rPr>
      </w:pPr>
      <w:r>
        <w:rPr>
          <w:rFonts w:hint="eastAsia"/>
          <w:szCs w:val="21"/>
          <w:highlight w:val="none"/>
        </w:rPr>
        <w:t>（5）满足采购人为获得满意服务供应而提出的其他要求。（见采购文件中资格要求）</w:t>
      </w:r>
    </w:p>
    <w:p>
      <w:pPr>
        <w:tabs>
          <w:tab w:val="left" w:pos="709"/>
        </w:tabs>
        <w:spacing w:line="380" w:lineRule="exact"/>
        <w:ind w:firstLine="420" w:firstLineChars="200"/>
        <w:contextualSpacing/>
        <w:rPr>
          <w:szCs w:val="21"/>
          <w:highlight w:val="none"/>
        </w:rPr>
      </w:pPr>
      <w:r>
        <w:rPr>
          <w:rFonts w:hint="eastAsia"/>
          <w:szCs w:val="21"/>
          <w:highlight w:val="none"/>
        </w:rPr>
        <w:t>（6）单位负责人为同一人或者存在直接控股、管理关系的不同供应商，不得参加同一合同项下的政府采购活动；</w:t>
      </w:r>
    </w:p>
    <w:p>
      <w:pPr>
        <w:tabs>
          <w:tab w:val="left" w:pos="709"/>
        </w:tabs>
        <w:spacing w:line="380" w:lineRule="exact"/>
        <w:ind w:firstLine="420" w:firstLineChars="200"/>
        <w:contextualSpacing/>
        <w:rPr>
          <w:szCs w:val="21"/>
          <w:highlight w:val="none"/>
        </w:rPr>
      </w:pPr>
      <w:r>
        <w:rPr>
          <w:rFonts w:hint="eastAsia"/>
          <w:szCs w:val="21"/>
          <w:highlight w:val="none"/>
        </w:rPr>
        <w:t>（7）</w:t>
      </w:r>
      <w:r>
        <w:rPr>
          <w:szCs w:val="21"/>
          <w:highlight w:val="none"/>
        </w:rPr>
        <w:t>除单一来源采购项目外，为采购项目提供整体设计、规范编制或者项目管理、监理、检测等服务的供应商，不得再参加该采购项目的其他采购活动。</w:t>
      </w:r>
    </w:p>
    <w:p>
      <w:pPr>
        <w:pStyle w:val="4"/>
        <w:tabs>
          <w:tab w:val="left" w:pos="350"/>
        </w:tabs>
        <w:spacing w:before="0" w:after="0" w:line="380" w:lineRule="exact"/>
        <w:contextualSpacing/>
        <w:rPr>
          <w:b w:val="0"/>
          <w:sz w:val="21"/>
          <w:szCs w:val="21"/>
          <w:highlight w:val="none"/>
        </w:rPr>
      </w:pPr>
      <w:r>
        <w:rPr>
          <w:rFonts w:hint="eastAsia"/>
          <w:b w:val="0"/>
          <w:sz w:val="21"/>
          <w:szCs w:val="21"/>
          <w:highlight w:val="none"/>
        </w:rPr>
        <w:t>3、投标人代表</w:t>
      </w:r>
      <w:bookmarkEnd w:id="35"/>
      <w:bookmarkEnd w:id="36"/>
      <w:bookmarkEnd w:id="37"/>
      <w:bookmarkEnd w:id="38"/>
    </w:p>
    <w:p>
      <w:pPr>
        <w:tabs>
          <w:tab w:val="left" w:pos="709"/>
        </w:tabs>
        <w:spacing w:line="380" w:lineRule="exact"/>
        <w:ind w:firstLine="420" w:firstLineChars="200"/>
        <w:contextualSpacing/>
        <w:rPr>
          <w:szCs w:val="21"/>
          <w:highlight w:val="none"/>
        </w:rPr>
      </w:pPr>
      <w:bookmarkStart w:id="39" w:name="_Toc425151729"/>
      <w:bookmarkStart w:id="40" w:name="_Toc430790210"/>
      <w:bookmarkStart w:id="41" w:name="_Toc429407689"/>
      <w:bookmarkStart w:id="42" w:name="_Toc425780273"/>
      <w:r>
        <w:rPr>
          <w:rFonts w:hint="eastAsia"/>
          <w:szCs w:val="21"/>
          <w:highlight w:val="none"/>
        </w:rPr>
        <w:t>若投标人为中国境内企业或组织必须为该企业或组织的人员，若投标人为自然人必须为中国合法公民。</w:t>
      </w:r>
    </w:p>
    <w:p>
      <w:pPr>
        <w:pStyle w:val="4"/>
        <w:tabs>
          <w:tab w:val="left" w:pos="350"/>
        </w:tabs>
        <w:spacing w:before="0" w:after="0" w:line="380" w:lineRule="exact"/>
        <w:contextualSpacing/>
        <w:rPr>
          <w:b w:val="0"/>
          <w:sz w:val="21"/>
          <w:szCs w:val="21"/>
          <w:highlight w:val="none"/>
        </w:rPr>
      </w:pPr>
      <w:r>
        <w:rPr>
          <w:rFonts w:hint="eastAsia"/>
          <w:b w:val="0"/>
          <w:sz w:val="21"/>
          <w:szCs w:val="21"/>
          <w:highlight w:val="none"/>
        </w:rPr>
        <w:t>4、</w:t>
      </w:r>
      <w:r>
        <w:rPr>
          <w:b w:val="0"/>
          <w:sz w:val="21"/>
          <w:szCs w:val="21"/>
          <w:highlight w:val="none"/>
        </w:rPr>
        <w:t>投标费用</w:t>
      </w:r>
      <w:bookmarkEnd w:id="39"/>
      <w:bookmarkEnd w:id="40"/>
      <w:bookmarkEnd w:id="41"/>
      <w:bookmarkEnd w:id="42"/>
    </w:p>
    <w:p>
      <w:pPr>
        <w:tabs>
          <w:tab w:val="left" w:pos="709"/>
        </w:tabs>
        <w:spacing w:line="380" w:lineRule="exact"/>
        <w:ind w:firstLine="420" w:firstLineChars="200"/>
        <w:contextualSpacing/>
        <w:rPr>
          <w:szCs w:val="21"/>
          <w:highlight w:val="none"/>
        </w:rPr>
      </w:pPr>
      <w:r>
        <w:rPr>
          <w:szCs w:val="21"/>
          <w:highlight w:val="none"/>
        </w:rPr>
        <w:t>不论招标的结果如何，投标人自行承担其参加本次投标有关的全部费用。</w:t>
      </w:r>
    </w:p>
    <w:p>
      <w:pPr>
        <w:pStyle w:val="4"/>
        <w:tabs>
          <w:tab w:val="left" w:pos="350"/>
        </w:tabs>
        <w:spacing w:before="0" w:after="0" w:line="380" w:lineRule="exact"/>
        <w:contextualSpacing/>
        <w:rPr>
          <w:b w:val="0"/>
          <w:sz w:val="21"/>
          <w:szCs w:val="21"/>
          <w:highlight w:val="none"/>
        </w:rPr>
      </w:pPr>
      <w:r>
        <w:rPr>
          <w:rFonts w:hint="eastAsia"/>
          <w:b w:val="0"/>
          <w:sz w:val="21"/>
          <w:szCs w:val="21"/>
          <w:highlight w:val="none"/>
        </w:rPr>
        <w:t>5、特别</w:t>
      </w:r>
      <w:r>
        <w:rPr>
          <w:b w:val="0"/>
          <w:sz w:val="21"/>
          <w:szCs w:val="21"/>
          <w:highlight w:val="none"/>
        </w:rPr>
        <w:t>说明</w:t>
      </w:r>
      <w:r>
        <w:rPr>
          <w:rFonts w:hint="eastAsia"/>
          <w:b w:val="0"/>
          <w:sz w:val="21"/>
          <w:szCs w:val="21"/>
          <w:highlight w:val="none"/>
        </w:rPr>
        <w:t>（针对</w:t>
      </w:r>
      <w:r>
        <w:rPr>
          <w:b w:val="0"/>
          <w:sz w:val="21"/>
          <w:szCs w:val="21"/>
          <w:highlight w:val="none"/>
        </w:rPr>
        <w:t>货物采购</w:t>
      </w:r>
      <w:r>
        <w:rPr>
          <w:rFonts w:hint="eastAsia"/>
          <w:b w:val="0"/>
          <w:sz w:val="21"/>
          <w:szCs w:val="21"/>
          <w:highlight w:val="none"/>
        </w:rPr>
        <w:t>）：不适用。</w:t>
      </w:r>
    </w:p>
    <w:p>
      <w:pPr>
        <w:pStyle w:val="2"/>
        <w:contextualSpacing/>
        <w:rPr>
          <w:rFonts w:ascii="Times New Roman"/>
          <w:sz w:val="24"/>
          <w:szCs w:val="24"/>
          <w:highlight w:val="none"/>
        </w:rPr>
      </w:pPr>
      <w:bookmarkStart w:id="43" w:name="_Toc496003204"/>
      <w:bookmarkStart w:id="44" w:name="_Toc498429632"/>
      <w:bookmarkStart w:id="45" w:name="_Toc505353783"/>
      <w:r>
        <w:rPr>
          <w:rFonts w:hint="eastAsia" w:ascii="Times New Roman"/>
          <w:sz w:val="24"/>
          <w:szCs w:val="24"/>
          <w:highlight w:val="none"/>
        </w:rPr>
        <w:t>三、</w:t>
      </w:r>
      <w:r>
        <w:rPr>
          <w:rFonts w:ascii="Times New Roman"/>
          <w:sz w:val="24"/>
          <w:szCs w:val="24"/>
          <w:highlight w:val="none"/>
        </w:rPr>
        <w:t>采购文件</w:t>
      </w:r>
      <w:bookmarkEnd w:id="43"/>
      <w:bookmarkEnd w:id="44"/>
      <w:bookmarkEnd w:id="45"/>
    </w:p>
    <w:p>
      <w:pPr>
        <w:spacing w:line="380" w:lineRule="exact"/>
        <w:contextualSpacing/>
        <w:rPr>
          <w:szCs w:val="21"/>
          <w:highlight w:val="none"/>
        </w:rPr>
      </w:pPr>
      <w:bookmarkStart w:id="46" w:name="_Toc430790212"/>
      <w:bookmarkStart w:id="47" w:name="_Toc425151731"/>
      <w:bookmarkStart w:id="48" w:name="_Toc425780275"/>
      <w:bookmarkStart w:id="49" w:name="_Toc429407691"/>
      <w:r>
        <w:rPr>
          <w:szCs w:val="21"/>
          <w:highlight w:val="none"/>
        </w:rPr>
        <w:t>6</w:t>
      </w:r>
      <w:r>
        <w:rPr>
          <w:rFonts w:hint="eastAsia"/>
          <w:szCs w:val="21"/>
          <w:highlight w:val="none"/>
        </w:rPr>
        <w:t>、</w:t>
      </w:r>
      <w:r>
        <w:rPr>
          <w:szCs w:val="21"/>
          <w:highlight w:val="none"/>
        </w:rPr>
        <w:t>采购文件的构成</w:t>
      </w:r>
      <w:bookmarkEnd w:id="46"/>
      <w:bookmarkEnd w:id="47"/>
      <w:bookmarkEnd w:id="48"/>
      <w:bookmarkEnd w:id="49"/>
    </w:p>
    <w:p>
      <w:pPr>
        <w:tabs>
          <w:tab w:val="left" w:pos="709"/>
        </w:tabs>
        <w:spacing w:line="380" w:lineRule="exact"/>
        <w:ind w:firstLine="420" w:firstLineChars="200"/>
        <w:contextualSpacing/>
        <w:rPr>
          <w:szCs w:val="21"/>
          <w:highlight w:val="none"/>
        </w:rPr>
      </w:pPr>
      <w:r>
        <w:rPr>
          <w:szCs w:val="21"/>
          <w:highlight w:val="none"/>
        </w:rPr>
        <w:t>采购文件</w:t>
      </w:r>
      <w:r>
        <w:rPr>
          <w:rFonts w:hint="eastAsia"/>
          <w:szCs w:val="21"/>
          <w:highlight w:val="none"/>
        </w:rPr>
        <w:t>含</w:t>
      </w:r>
      <w:r>
        <w:rPr>
          <w:szCs w:val="21"/>
          <w:highlight w:val="none"/>
        </w:rPr>
        <w:t>有</w:t>
      </w:r>
      <w:r>
        <w:rPr>
          <w:rFonts w:hint="eastAsia"/>
          <w:szCs w:val="21"/>
          <w:highlight w:val="none"/>
        </w:rPr>
        <w:t>以下</w:t>
      </w:r>
      <w:r>
        <w:rPr>
          <w:szCs w:val="21"/>
          <w:highlight w:val="none"/>
        </w:rPr>
        <w:t>部分，</w:t>
      </w:r>
      <w:r>
        <w:rPr>
          <w:rFonts w:hint="eastAsia"/>
          <w:szCs w:val="21"/>
          <w:highlight w:val="none"/>
        </w:rPr>
        <w:t>文本条款</w:t>
      </w:r>
      <w:r>
        <w:rPr>
          <w:szCs w:val="21"/>
          <w:highlight w:val="none"/>
        </w:rPr>
        <w:t>装订</w:t>
      </w:r>
      <w:r>
        <w:rPr>
          <w:rFonts w:hint="eastAsia"/>
          <w:szCs w:val="21"/>
          <w:highlight w:val="none"/>
        </w:rPr>
        <w:t>成册</w:t>
      </w:r>
      <w:r>
        <w:rPr>
          <w:szCs w:val="21"/>
          <w:highlight w:val="none"/>
        </w:rPr>
        <w:t>。内容如下：</w:t>
      </w:r>
    </w:p>
    <w:p>
      <w:pPr>
        <w:spacing w:line="380" w:lineRule="exact"/>
        <w:ind w:firstLine="420" w:firstLineChars="200"/>
        <w:contextualSpacing/>
        <w:rPr>
          <w:szCs w:val="21"/>
          <w:highlight w:val="none"/>
        </w:rPr>
      </w:pPr>
      <w:r>
        <w:rPr>
          <w:szCs w:val="21"/>
          <w:highlight w:val="none"/>
        </w:rPr>
        <w:t>第一部分</w:t>
      </w:r>
      <w:r>
        <w:rPr>
          <w:rFonts w:hint="eastAsia"/>
          <w:szCs w:val="21"/>
          <w:highlight w:val="none"/>
        </w:rPr>
        <w:t>采购公告</w:t>
      </w:r>
    </w:p>
    <w:p>
      <w:pPr>
        <w:spacing w:line="380" w:lineRule="exact"/>
        <w:ind w:firstLine="420" w:firstLineChars="200"/>
        <w:contextualSpacing/>
        <w:rPr>
          <w:szCs w:val="21"/>
          <w:highlight w:val="none"/>
        </w:rPr>
      </w:pPr>
      <w:r>
        <w:rPr>
          <w:rFonts w:hint="eastAsia"/>
          <w:szCs w:val="21"/>
          <w:highlight w:val="none"/>
        </w:rPr>
        <w:t>第二部分投标资料表</w:t>
      </w:r>
    </w:p>
    <w:p>
      <w:pPr>
        <w:spacing w:line="380" w:lineRule="exact"/>
        <w:ind w:firstLine="420" w:firstLineChars="200"/>
        <w:contextualSpacing/>
        <w:rPr>
          <w:szCs w:val="21"/>
          <w:highlight w:val="none"/>
        </w:rPr>
      </w:pPr>
      <w:r>
        <w:rPr>
          <w:szCs w:val="21"/>
          <w:highlight w:val="none"/>
        </w:rPr>
        <w:t>第</w:t>
      </w:r>
      <w:r>
        <w:rPr>
          <w:rFonts w:hint="eastAsia"/>
          <w:szCs w:val="21"/>
          <w:highlight w:val="none"/>
        </w:rPr>
        <w:t>三</w:t>
      </w:r>
      <w:r>
        <w:rPr>
          <w:szCs w:val="21"/>
          <w:highlight w:val="none"/>
        </w:rPr>
        <w:t>部分投标人须知</w:t>
      </w:r>
    </w:p>
    <w:p>
      <w:pPr>
        <w:spacing w:line="380" w:lineRule="exact"/>
        <w:ind w:firstLine="420" w:firstLineChars="200"/>
        <w:contextualSpacing/>
        <w:rPr>
          <w:szCs w:val="21"/>
          <w:highlight w:val="none"/>
        </w:rPr>
      </w:pPr>
      <w:r>
        <w:rPr>
          <w:szCs w:val="21"/>
          <w:highlight w:val="none"/>
        </w:rPr>
        <w:t>第</w:t>
      </w:r>
      <w:r>
        <w:rPr>
          <w:rFonts w:hint="eastAsia"/>
          <w:szCs w:val="21"/>
          <w:highlight w:val="none"/>
        </w:rPr>
        <w:t>四</w:t>
      </w:r>
      <w:r>
        <w:rPr>
          <w:szCs w:val="21"/>
          <w:highlight w:val="none"/>
        </w:rPr>
        <w:t>部分</w:t>
      </w:r>
      <w:r>
        <w:rPr>
          <w:rFonts w:hint="eastAsia"/>
          <w:szCs w:val="21"/>
          <w:highlight w:val="none"/>
        </w:rPr>
        <w:t>评标办法及</w:t>
      </w:r>
      <w:r>
        <w:rPr>
          <w:szCs w:val="21"/>
          <w:highlight w:val="none"/>
        </w:rPr>
        <w:t>标准</w:t>
      </w:r>
    </w:p>
    <w:p>
      <w:pPr>
        <w:spacing w:line="380" w:lineRule="exact"/>
        <w:ind w:firstLine="420" w:firstLineChars="200"/>
        <w:contextualSpacing/>
        <w:rPr>
          <w:szCs w:val="21"/>
          <w:highlight w:val="none"/>
        </w:rPr>
      </w:pPr>
      <w:r>
        <w:rPr>
          <w:szCs w:val="21"/>
          <w:highlight w:val="none"/>
        </w:rPr>
        <w:t>第</w:t>
      </w:r>
      <w:r>
        <w:rPr>
          <w:rFonts w:hint="eastAsia"/>
          <w:szCs w:val="21"/>
          <w:highlight w:val="none"/>
        </w:rPr>
        <w:t>五</w:t>
      </w:r>
      <w:r>
        <w:rPr>
          <w:szCs w:val="21"/>
          <w:highlight w:val="none"/>
        </w:rPr>
        <w:t>部分</w:t>
      </w:r>
      <w:r>
        <w:rPr>
          <w:rFonts w:hint="eastAsia"/>
          <w:szCs w:val="21"/>
          <w:highlight w:val="none"/>
        </w:rPr>
        <w:t>采购内容及要求</w:t>
      </w:r>
    </w:p>
    <w:p>
      <w:pPr>
        <w:spacing w:line="380" w:lineRule="exact"/>
        <w:ind w:firstLine="420" w:firstLineChars="200"/>
        <w:contextualSpacing/>
        <w:rPr>
          <w:szCs w:val="21"/>
          <w:highlight w:val="none"/>
        </w:rPr>
      </w:pPr>
      <w:r>
        <w:rPr>
          <w:szCs w:val="21"/>
          <w:highlight w:val="none"/>
        </w:rPr>
        <w:t>第</w:t>
      </w:r>
      <w:r>
        <w:rPr>
          <w:rFonts w:hint="eastAsia"/>
          <w:szCs w:val="21"/>
          <w:highlight w:val="none"/>
        </w:rPr>
        <w:t>六</w:t>
      </w:r>
      <w:r>
        <w:rPr>
          <w:szCs w:val="21"/>
          <w:highlight w:val="none"/>
        </w:rPr>
        <w:t>部分</w:t>
      </w:r>
      <w:r>
        <w:rPr>
          <w:rFonts w:hint="eastAsia"/>
          <w:szCs w:val="21"/>
          <w:highlight w:val="none"/>
        </w:rPr>
        <w:t>拟签订的合同文本</w:t>
      </w:r>
    </w:p>
    <w:p>
      <w:pPr>
        <w:spacing w:line="380" w:lineRule="exact"/>
        <w:ind w:firstLine="420" w:firstLineChars="200"/>
        <w:contextualSpacing/>
        <w:rPr>
          <w:szCs w:val="21"/>
          <w:highlight w:val="none"/>
        </w:rPr>
      </w:pPr>
      <w:r>
        <w:rPr>
          <w:szCs w:val="21"/>
          <w:highlight w:val="none"/>
        </w:rPr>
        <w:t>第七部分</w:t>
      </w:r>
      <w:r>
        <w:rPr>
          <w:rFonts w:hint="eastAsia"/>
          <w:szCs w:val="21"/>
          <w:highlight w:val="none"/>
        </w:rPr>
        <w:t>格式与表格</w:t>
      </w:r>
    </w:p>
    <w:p>
      <w:pPr>
        <w:tabs>
          <w:tab w:val="left" w:pos="709"/>
        </w:tabs>
        <w:spacing w:line="380" w:lineRule="exact"/>
        <w:ind w:firstLine="420" w:firstLineChars="200"/>
        <w:contextualSpacing/>
        <w:rPr>
          <w:szCs w:val="21"/>
          <w:highlight w:val="none"/>
        </w:rPr>
      </w:pPr>
      <w:r>
        <w:rPr>
          <w:szCs w:val="21"/>
          <w:highlight w:val="none"/>
        </w:rPr>
        <w:t>投标人应详细阅读采购文件的全部内容和要求，不按采购文件的要求递交投标文件和资料导致的风险由投标人承担。</w:t>
      </w:r>
    </w:p>
    <w:p>
      <w:pPr>
        <w:spacing w:line="380" w:lineRule="exact"/>
        <w:contextualSpacing/>
        <w:rPr>
          <w:szCs w:val="21"/>
          <w:highlight w:val="none"/>
        </w:rPr>
      </w:pPr>
      <w:r>
        <w:rPr>
          <w:szCs w:val="21"/>
          <w:highlight w:val="none"/>
        </w:rPr>
        <w:t>7</w:t>
      </w:r>
      <w:r>
        <w:rPr>
          <w:rFonts w:hint="eastAsia"/>
          <w:szCs w:val="21"/>
          <w:highlight w:val="none"/>
        </w:rPr>
        <w:t>、质疑与投诉</w:t>
      </w:r>
    </w:p>
    <w:p>
      <w:pPr>
        <w:tabs>
          <w:tab w:val="left" w:pos="709"/>
        </w:tabs>
        <w:spacing w:line="380" w:lineRule="exact"/>
        <w:ind w:firstLine="420" w:firstLineChars="200"/>
        <w:contextualSpacing/>
        <w:rPr>
          <w:szCs w:val="21"/>
          <w:highlight w:val="none"/>
        </w:rPr>
      </w:pPr>
      <w:r>
        <w:rPr>
          <w:szCs w:val="21"/>
          <w:highlight w:val="none"/>
        </w:rPr>
        <w:t>7</w:t>
      </w:r>
      <w:r>
        <w:rPr>
          <w:rFonts w:hint="eastAsia"/>
          <w:szCs w:val="21"/>
          <w:highlight w:val="none"/>
        </w:rPr>
        <w:t>.1</w:t>
      </w:r>
      <w:r>
        <w:rPr>
          <w:rFonts w:hint="eastAsia"/>
          <w:szCs w:val="21"/>
          <w:highlight w:val="none"/>
        </w:rPr>
        <w:tab/>
      </w:r>
      <w:r>
        <w:rPr>
          <w:rFonts w:hint="eastAsia"/>
          <w:szCs w:val="21"/>
          <w:highlight w:val="none"/>
        </w:rPr>
        <w:t>投标人认为采购文件、采购过程和中标、成交结果使自己的权益受到损害的，可以在知道或者应知其权益受到损害之日起七个工作日内，以书面形式向采购人、采购机构提出质疑</w:t>
      </w:r>
      <w:r>
        <w:rPr>
          <w:rFonts w:hint="eastAsia"/>
          <w:b/>
          <w:szCs w:val="21"/>
          <w:highlight w:val="none"/>
        </w:rPr>
        <w:t>（注</w:t>
      </w:r>
      <w:r>
        <w:rPr>
          <w:b/>
          <w:szCs w:val="21"/>
          <w:highlight w:val="none"/>
        </w:rPr>
        <w:t>：</w:t>
      </w:r>
      <w:r>
        <w:rPr>
          <w:rFonts w:hint="eastAsia"/>
          <w:b/>
          <w:szCs w:val="21"/>
          <w:highlight w:val="none"/>
        </w:rPr>
        <w:t>投标人须</w:t>
      </w:r>
      <w:r>
        <w:rPr>
          <w:b/>
          <w:szCs w:val="21"/>
          <w:highlight w:val="none"/>
        </w:rPr>
        <w:t>在法定质疑期内一次性提出针对同一采购程序环节的质疑</w:t>
      </w:r>
      <w:r>
        <w:rPr>
          <w:rFonts w:hint="eastAsia"/>
          <w:b/>
          <w:szCs w:val="21"/>
          <w:highlight w:val="none"/>
        </w:rPr>
        <w:t>）</w:t>
      </w:r>
      <w:r>
        <w:rPr>
          <w:rFonts w:hint="eastAsia"/>
          <w:szCs w:val="21"/>
          <w:highlight w:val="none"/>
        </w:rPr>
        <w:t>。潜在投标人的书面质疑或澄清要求均应加盖单位公章，署明日期。投标人未按规定要求提出的，则视同认可采购文件，但法律法规及规范性文件有明确规定的除外。供应商对采购机构的质疑答复不满意或者采购机构未在规定时间内作出答复的，可以在答复期满后十五个工作日内向同级政府采购监督管理部门投诉。</w:t>
      </w:r>
    </w:p>
    <w:p>
      <w:pPr>
        <w:tabs>
          <w:tab w:val="left" w:pos="709"/>
        </w:tabs>
        <w:spacing w:line="380" w:lineRule="exact"/>
        <w:ind w:firstLine="420" w:firstLineChars="200"/>
        <w:contextualSpacing/>
        <w:rPr>
          <w:szCs w:val="21"/>
          <w:highlight w:val="none"/>
        </w:rPr>
      </w:pPr>
      <w:r>
        <w:rPr>
          <w:szCs w:val="21"/>
          <w:highlight w:val="none"/>
        </w:rPr>
        <w:t>7</w:t>
      </w:r>
      <w:r>
        <w:rPr>
          <w:rFonts w:hint="eastAsia"/>
          <w:szCs w:val="21"/>
          <w:highlight w:val="none"/>
        </w:rPr>
        <w:t>.2</w:t>
      </w:r>
      <w:r>
        <w:rPr>
          <w:rFonts w:hint="eastAsia"/>
          <w:szCs w:val="21"/>
          <w:highlight w:val="none"/>
        </w:rPr>
        <w:tab/>
      </w:r>
      <w:r>
        <w:rPr>
          <w:rFonts w:hint="eastAsia"/>
          <w:szCs w:val="21"/>
          <w:highlight w:val="none"/>
        </w:rPr>
        <w:t>对于受理的质疑，采购代理机构将以书面形式或其他适当方式进行答疑，必要时将书面答复发送所有取得本采购文件的投标人。若采购代理机构所作的答疑不引起采购文件相应条款的实质性改变，则不应视作对采购文件的修正或更正。</w:t>
      </w:r>
    </w:p>
    <w:p>
      <w:pPr>
        <w:tabs>
          <w:tab w:val="left" w:pos="709"/>
        </w:tabs>
        <w:spacing w:line="380" w:lineRule="exact"/>
        <w:ind w:firstLine="420" w:firstLineChars="200"/>
        <w:contextualSpacing/>
        <w:rPr>
          <w:szCs w:val="21"/>
          <w:highlight w:val="none"/>
        </w:rPr>
      </w:pPr>
      <w:r>
        <w:rPr>
          <w:rFonts w:hint="eastAsia"/>
          <w:szCs w:val="21"/>
          <w:highlight w:val="none"/>
        </w:rPr>
        <w:t>7.3</w:t>
      </w:r>
      <w:r>
        <w:rPr>
          <w:rFonts w:hint="eastAsia"/>
          <w:szCs w:val="21"/>
          <w:highlight w:val="none"/>
        </w:rPr>
        <w:tab/>
      </w:r>
      <w:r>
        <w:rPr>
          <w:rFonts w:hint="eastAsia"/>
          <w:szCs w:val="21"/>
          <w:highlight w:val="none"/>
        </w:rPr>
        <w:t>采购代理机构发送的答疑文件是采购文件的组成部分，对投标人具有约束力。</w:t>
      </w:r>
    </w:p>
    <w:p>
      <w:pPr>
        <w:tabs>
          <w:tab w:val="left" w:pos="709"/>
        </w:tabs>
        <w:spacing w:line="380" w:lineRule="exact"/>
        <w:ind w:firstLine="420" w:firstLineChars="200"/>
        <w:contextualSpacing/>
        <w:rPr>
          <w:szCs w:val="21"/>
          <w:highlight w:val="none"/>
        </w:rPr>
      </w:pPr>
      <w:bookmarkStart w:id="50" w:name="_Hlk49407732"/>
      <w:r>
        <w:rPr>
          <w:rFonts w:hint="eastAsia"/>
          <w:szCs w:val="21"/>
          <w:highlight w:val="none"/>
        </w:rPr>
        <w:t>7.4未尽事宜，见《政府采购质疑和投诉办法》（中华人民共和国财政部令第94号）。</w:t>
      </w:r>
      <w:bookmarkEnd w:id="50"/>
    </w:p>
    <w:p>
      <w:pPr>
        <w:spacing w:line="380" w:lineRule="exact"/>
        <w:contextualSpacing/>
        <w:rPr>
          <w:szCs w:val="21"/>
          <w:highlight w:val="none"/>
        </w:rPr>
      </w:pPr>
      <w:r>
        <w:rPr>
          <w:szCs w:val="21"/>
          <w:highlight w:val="none"/>
        </w:rPr>
        <w:t>8</w:t>
      </w:r>
      <w:r>
        <w:rPr>
          <w:rFonts w:hint="eastAsia"/>
          <w:szCs w:val="21"/>
          <w:highlight w:val="none"/>
        </w:rPr>
        <w:t>、采购文件的澄清与修改</w:t>
      </w:r>
    </w:p>
    <w:p>
      <w:pPr>
        <w:tabs>
          <w:tab w:val="left" w:pos="709"/>
        </w:tabs>
        <w:spacing w:line="380" w:lineRule="exact"/>
        <w:ind w:firstLine="420" w:firstLineChars="200"/>
        <w:contextualSpacing/>
        <w:rPr>
          <w:szCs w:val="21"/>
          <w:highlight w:val="none"/>
        </w:rPr>
      </w:pPr>
      <w:bookmarkStart w:id="51" w:name="_Toc496003205"/>
      <w:bookmarkStart w:id="52" w:name="_Toc456853670"/>
      <w:bookmarkStart w:id="53" w:name="_Toc445193545"/>
      <w:r>
        <w:rPr>
          <w:szCs w:val="21"/>
          <w:highlight w:val="none"/>
        </w:rPr>
        <w:t>8</w:t>
      </w:r>
      <w:r>
        <w:rPr>
          <w:rFonts w:hint="eastAsia"/>
          <w:szCs w:val="21"/>
          <w:highlight w:val="none"/>
        </w:rPr>
        <w:t>.1采购人或者采购代理机构可以对已发出的采购文件进行必要的澄清或者修改，但不得改变采购标的和资格条件。澄清或者修改应当在原公告发布媒体上发布澄清公告。澄清或者修改的内容为采购文件的组成部分。</w:t>
      </w:r>
    </w:p>
    <w:p>
      <w:pPr>
        <w:tabs>
          <w:tab w:val="left" w:pos="709"/>
        </w:tabs>
        <w:spacing w:line="380" w:lineRule="exact"/>
        <w:ind w:firstLine="420" w:firstLineChars="200"/>
        <w:contextualSpacing/>
        <w:rPr>
          <w:szCs w:val="21"/>
          <w:highlight w:val="none"/>
        </w:rPr>
      </w:pPr>
      <w:r>
        <w:rPr>
          <w:rFonts w:hint="eastAsia"/>
          <w:szCs w:val="21"/>
          <w:highlight w:val="none"/>
        </w:rPr>
        <w:t>澄清或者修改的内容可能影响投标文件编制的，采购人或者采购代理机构应当在投标截止时间至少</w:t>
      </w:r>
      <w:r>
        <w:rPr>
          <w:szCs w:val="21"/>
          <w:highlight w:val="none"/>
        </w:rPr>
        <w:t>15</w:t>
      </w:r>
      <w:r>
        <w:rPr>
          <w:rFonts w:hint="eastAsia"/>
          <w:szCs w:val="21"/>
          <w:highlight w:val="none"/>
        </w:rPr>
        <w:t>日前，以书面形式通知所有获取采购文件的潜在投标人；不足</w:t>
      </w:r>
      <w:r>
        <w:rPr>
          <w:szCs w:val="21"/>
          <w:highlight w:val="none"/>
        </w:rPr>
        <w:t>15</w:t>
      </w:r>
      <w:r>
        <w:rPr>
          <w:rFonts w:hint="eastAsia"/>
          <w:szCs w:val="21"/>
          <w:highlight w:val="none"/>
        </w:rPr>
        <w:t>日的，采购人或者采购代理机构应当顺延提交投标文件的截止时间。</w:t>
      </w:r>
    </w:p>
    <w:p>
      <w:pPr>
        <w:tabs>
          <w:tab w:val="left" w:pos="709"/>
        </w:tabs>
        <w:spacing w:line="380" w:lineRule="exact"/>
        <w:ind w:firstLine="420" w:firstLineChars="200"/>
        <w:contextualSpacing/>
        <w:rPr>
          <w:szCs w:val="21"/>
          <w:highlight w:val="none"/>
        </w:rPr>
      </w:pPr>
      <w:r>
        <w:rPr>
          <w:szCs w:val="21"/>
          <w:highlight w:val="none"/>
        </w:rPr>
        <w:t>8</w:t>
      </w:r>
      <w:r>
        <w:rPr>
          <w:rFonts w:hint="eastAsia"/>
          <w:szCs w:val="21"/>
          <w:highlight w:val="none"/>
        </w:rPr>
        <w:t>.2</w:t>
      </w:r>
      <w:r>
        <w:rPr>
          <w:szCs w:val="21"/>
          <w:highlight w:val="none"/>
        </w:rPr>
        <w:t>采购代理机构必须以书面形式答复投标人要求澄清的问题，并将不包含问题来源的答复书面通知所有</w:t>
      </w:r>
      <w:r>
        <w:rPr>
          <w:rFonts w:hint="eastAsia"/>
          <w:szCs w:val="21"/>
          <w:highlight w:val="none"/>
        </w:rPr>
        <w:t>获取</w:t>
      </w:r>
      <w:r>
        <w:rPr>
          <w:szCs w:val="21"/>
          <w:highlight w:val="none"/>
        </w:rPr>
        <w:t>采购文件的投标人；除书面答复以外的其他澄清方式及澄清内容均无效。</w:t>
      </w:r>
    </w:p>
    <w:p>
      <w:pPr>
        <w:tabs>
          <w:tab w:val="left" w:pos="709"/>
        </w:tabs>
        <w:spacing w:line="380" w:lineRule="exact"/>
        <w:ind w:firstLine="420" w:firstLineChars="200"/>
        <w:contextualSpacing/>
        <w:rPr>
          <w:szCs w:val="21"/>
          <w:highlight w:val="none"/>
        </w:rPr>
      </w:pPr>
      <w:r>
        <w:rPr>
          <w:szCs w:val="21"/>
          <w:highlight w:val="none"/>
        </w:rPr>
        <w:t>8</w:t>
      </w:r>
      <w:r>
        <w:rPr>
          <w:rFonts w:hint="eastAsia"/>
          <w:szCs w:val="21"/>
          <w:highlight w:val="none"/>
        </w:rPr>
        <w:t>.3</w:t>
      </w:r>
      <w:r>
        <w:rPr>
          <w:szCs w:val="21"/>
          <w:highlight w:val="none"/>
        </w:rPr>
        <w:t>采购文件澄清、答复、修改、补充的内容为采购文件的组成部分。当采购文件与采购文件的答复、澄清、修改、补充通知就同一内容的表述不一致时，以最后发出的书面文件为准。</w:t>
      </w:r>
    </w:p>
    <w:p>
      <w:pPr>
        <w:tabs>
          <w:tab w:val="left" w:pos="709"/>
        </w:tabs>
        <w:spacing w:line="380" w:lineRule="exact"/>
        <w:ind w:firstLine="420" w:firstLineChars="200"/>
        <w:contextualSpacing/>
        <w:rPr>
          <w:szCs w:val="21"/>
          <w:highlight w:val="none"/>
        </w:rPr>
      </w:pPr>
      <w:r>
        <w:rPr>
          <w:szCs w:val="21"/>
          <w:highlight w:val="none"/>
        </w:rPr>
        <w:t>8</w:t>
      </w:r>
      <w:r>
        <w:rPr>
          <w:rFonts w:hint="eastAsia"/>
          <w:szCs w:val="21"/>
          <w:highlight w:val="none"/>
        </w:rPr>
        <w:t>.4</w:t>
      </w:r>
      <w:r>
        <w:rPr>
          <w:szCs w:val="21"/>
          <w:highlight w:val="none"/>
        </w:rPr>
        <w:t>采购文件的澄清、答复、修改或补充都应该通过本代理机构以法定形式发布，采购人非通过本机构，不得擅自澄清、答复、修改或补充采购文件。</w:t>
      </w:r>
    </w:p>
    <w:p>
      <w:pPr>
        <w:tabs>
          <w:tab w:val="left" w:pos="709"/>
        </w:tabs>
        <w:spacing w:line="380" w:lineRule="exact"/>
        <w:ind w:firstLine="420" w:firstLineChars="200"/>
        <w:contextualSpacing/>
        <w:rPr>
          <w:szCs w:val="21"/>
          <w:highlight w:val="none"/>
        </w:rPr>
      </w:pPr>
      <w:r>
        <w:rPr>
          <w:szCs w:val="21"/>
          <w:highlight w:val="none"/>
        </w:rPr>
        <w:t>9</w:t>
      </w:r>
      <w:r>
        <w:rPr>
          <w:rFonts w:hint="eastAsia"/>
          <w:szCs w:val="21"/>
          <w:highlight w:val="none"/>
        </w:rPr>
        <w:t>、关于分公司投标</w:t>
      </w:r>
    </w:p>
    <w:p>
      <w:pPr>
        <w:tabs>
          <w:tab w:val="left" w:pos="709"/>
        </w:tabs>
        <w:spacing w:line="380" w:lineRule="exact"/>
        <w:ind w:firstLine="420" w:firstLineChars="200"/>
        <w:contextualSpacing/>
        <w:rPr>
          <w:szCs w:val="21"/>
          <w:highlight w:val="none"/>
        </w:rPr>
      </w:pPr>
      <w:r>
        <w:rPr>
          <w:rFonts w:hint="eastAsia"/>
          <w:szCs w:val="21"/>
          <w:highlight w:val="none"/>
        </w:rPr>
        <w:t>除金融、保险、通讯等特定行业外，法人的分支机构由于不能独立承担民事责任，不能以分支机构的身份参加政府采购，只能法人身份参加。</w:t>
      </w:r>
    </w:p>
    <w:p>
      <w:pPr>
        <w:tabs>
          <w:tab w:val="left" w:pos="709"/>
        </w:tabs>
        <w:spacing w:line="380" w:lineRule="exact"/>
        <w:ind w:firstLine="420" w:firstLineChars="200"/>
        <w:contextualSpacing/>
        <w:rPr>
          <w:szCs w:val="21"/>
          <w:highlight w:val="none"/>
        </w:rPr>
      </w:pPr>
      <w:r>
        <w:rPr>
          <w:szCs w:val="21"/>
          <w:highlight w:val="none"/>
        </w:rPr>
        <w:t>10</w:t>
      </w:r>
      <w:r>
        <w:rPr>
          <w:rFonts w:hint="eastAsia"/>
          <w:szCs w:val="21"/>
          <w:highlight w:val="none"/>
        </w:rPr>
        <w:t>、关于知识产权</w:t>
      </w:r>
    </w:p>
    <w:p>
      <w:pPr>
        <w:tabs>
          <w:tab w:val="left" w:pos="709"/>
        </w:tabs>
        <w:spacing w:line="380" w:lineRule="exact"/>
        <w:ind w:firstLine="420" w:firstLineChars="200"/>
        <w:contextualSpacing/>
        <w:rPr>
          <w:szCs w:val="21"/>
          <w:highlight w:val="none"/>
        </w:rPr>
      </w:pPr>
      <w:r>
        <w:rPr>
          <w:szCs w:val="21"/>
          <w:highlight w:val="none"/>
        </w:rPr>
        <w:t>10</w:t>
      </w:r>
      <w:r>
        <w:rPr>
          <w:rFonts w:hint="eastAsia"/>
          <w:szCs w:val="21"/>
          <w:highlight w:val="none"/>
        </w:rPr>
        <w:t>.</w:t>
      </w:r>
      <w:r>
        <w:rPr>
          <w:szCs w:val="21"/>
          <w:highlight w:val="none"/>
        </w:rPr>
        <w:t>1</w:t>
      </w:r>
      <w:r>
        <w:rPr>
          <w:rFonts w:hint="eastAsia"/>
          <w:szCs w:val="21"/>
          <w:highlight w:val="none"/>
        </w:rPr>
        <w:t>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tabs>
          <w:tab w:val="left" w:pos="709"/>
        </w:tabs>
        <w:spacing w:line="380" w:lineRule="exact"/>
        <w:ind w:firstLine="420" w:firstLineChars="200"/>
        <w:contextualSpacing/>
        <w:rPr>
          <w:szCs w:val="21"/>
          <w:highlight w:val="none"/>
        </w:rPr>
      </w:pPr>
      <w:r>
        <w:rPr>
          <w:szCs w:val="21"/>
          <w:highlight w:val="none"/>
        </w:rPr>
        <w:t>10.2</w:t>
      </w:r>
      <w:r>
        <w:rPr>
          <w:rFonts w:hint="eastAsia"/>
          <w:szCs w:val="21"/>
          <w:highlight w:val="none"/>
        </w:rPr>
        <w:t>投标报价应包含所有应向所有权人支付的专利权、商标权或其它知识产权的一切相关费用。</w:t>
      </w:r>
    </w:p>
    <w:p>
      <w:pPr>
        <w:tabs>
          <w:tab w:val="left" w:pos="709"/>
        </w:tabs>
        <w:spacing w:line="380" w:lineRule="exact"/>
        <w:ind w:firstLine="420" w:firstLineChars="200"/>
        <w:contextualSpacing/>
        <w:rPr>
          <w:szCs w:val="21"/>
          <w:highlight w:val="none"/>
        </w:rPr>
      </w:pPr>
      <w:r>
        <w:rPr>
          <w:szCs w:val="21"/>
          <w:highlight w:val="none"/>
        </w:rPr>
        <w:t>10.3</w:t>
      </w:r>
      <w:r>
        <w:rPr>
          <w:rFonts w:hint="eastAsia"/>
          <w:szCs w:val="21"/>
          <w:highlight w:val="none"/>
        </w:rPr>
        <w:t>系统软件、通用软件必须是具有在中国境内的合法使用权或版权的正版软件，涉及到第三方提出侵权或知识产权的起诉及支付版税等费用由供应商承担所有责任及费用。</w:t>
      </w:r>
    </w:p>
    <w:p>
      <w:pPr>
        <w:pStyle w:val="2"/>
        <w:contextualSpacing/>
        <w:rPr>
          <w:rFonts w:ascii="Times New Roman"/>
          <w:sz w:val="24"/>
          <w:szCs w:val="24"/>
          <w:highlight w:val="none"/>
        </w:rPr>
      </w:pPr>
      <w:bookmarkStart w:id="54" w:name="_Toc505353784"/>
      <w:bookmarkStart w:id="55" w:name="_Toc498429633"/>
      <w:r>
        <w:rPr>
          <w:rFonts w:hint="eastAsia" w:ascii="Times New Roman"/>
          <w:sz w:val="24"/>
          <w:szCs w:val="24"/>
          <w:highlight w:val="none"/>
        </w:rPr>
        <w:t>四、投标文件</w:t>
      </w:r>
      <w:bookmarkEnd w:id="51"/>
      <w:bookmarkEnd w:id="52"/>
      <w:bookmarkEnd w:id="53"/>
      <w:bookmarkEnd w:id="54"/>
      <w:bookmarkEnd w:id="55"/>
    </w:p>
    <w:p>
      <w:pPr>
        <w:spacing w:line="380" w:lineRule="exact"/>
        <w:contextualSpacing/>
        <w:rPr>
          <w:szCs w:val="21"/>
          <w:highlight w:val="none"/>
        </w:rPr>
      </w:pPr>
      <w:bookmarkStart w:id="56" w:name="_Toc336528584"/>
      <w:r>
        <w:rPr>
          <w:szCs w:val="21"/>
          <w:highlight w:val="none"/>
        </w:rPr>
        <w:t>11</w:t>
      </w:r>
      <w:r>
        <w:rPr>
          <w:rFonts w:hint="eastAsia"/>
          <w:szCs w:val="21"/>
          <w:highlight w:val="none"/>
        </w:rPr>
        <w:t>、投标文件的组成</w:t>
      </w:r>
      <w:bookmarkEnd w:id="56"/>
    </w:p>
    <w:p>
      <w:pPr>
        <w:tabs>
          <w:tab w:val="left" w:pos="709"/>
        </w:tabs>
        <w:spacing w:line="360" w:lineRule="auto"/>
        <w:ind w:firstLine="420" w:firstLineChars="200"/>
        <w:contextualSpacing/>
        <w:rPr>
          <w:szCs w:val="21"/>
          <w:highlight w:val="none"/>
        </w:rPr>
      </w:pPr>
      <w:r>
        <w:rPr>
          <w:szCs w:val="21"/>
          <w:highlight w:val="none"/>
        </w:rPr>
        <w:t>11</w:t>
      </w:r>
      <w:r>
        <w:rPr>
          <w:rFonts w:hint="eastAsia"/>
          <w:szCs w:val="21"/>
          <w:highlight w:val="none"/>
        </w:rPr>
        <w:t>.1投标文件分为资格证明文件、报价文件、技术商务文件三部分；</w:t>
      </w:r>
    </w:p>
    <w:p>
      <w:pPr>
        <w:tabs>
          <w:tab w:val="left" w:pos="1418"/>
        </w:tabs>
        <w:spacing w:line="360" w:lineRule="auto"/>
        <w:ind w:firstLine="422" w:firstLineChars="200"/>
        <w:contextualSpacing/>
        <w:rPr>
          <w:rFonts w:hint="eastAsia"/>
          <w:b/>
          <w:i/>
          <w:szCs w:val="21"/>
          <w:highlight w:val="none"/>
        </w:rPr>
      </w:pPr>
      <w:bookmarkStart w:id="57" w:name="_Toc429407696"/>
      <w:bookmarkStart w:id="58" w:name="_Toc425151736"/>
      <w:bookmarkStart w:id="59" w:name="_Toc430790217"/>
      <w:bookmarkStart w:id="60" w:name="_Toc425780280"/>
      <w:bookmarkStart w:id="61" w:name="_Toc336528601"/>
      <w:r>
        <w:rPr>
          <w:rFonts w:hint="eastAsia"/>
          <w:b/>
          <w:i/>
          <w:szCs w:val="21"/>
          <w:highlight w:val="none"/>
        </w:rPr>
        <w:t>资格证明文件包含但不限于以下文件：</w:t>
      </w:r>
    </w:p>
    <w:p>
      <w:pPr>
        <w:tabs>
          <w:tab w:val="left" w:pos="1418"/>
        </w:tabs>
        <w:spacing w:line="360" w:lineRule="auto"/>
        <w:ind w:firstLine="413" w:firstLineChars="196"/>
        <w:contextualSpacing/>
        <w:rPr>
          <w:rFonts w:hint="eastAsia"/>
          <w:b/>
          <w:color w:val="000000"/>
          <w:szCs w:val="21"/>
          <w:highlight w:val="none"/>
        </w:rPr>
      </w:pPr>
      <w:bookmarkStart w:id="62" w:name="_Hlk534492801"/>
      <w:r>
        <w:rPr>
          <w:rFonts w:hint="eastAsia"/>
          <w:b/>
          <w:color w:val="000000"/>
          <w:szCs w:val="21"/>
          <w:highlight w:val="none"/>
        </w:rPr>
        <w:t>（1）资格审查自查表（</w:t>
      </w:r>
      <w:r>
        <w:rPr>
          <w:b/>
          <w:color w:val="000000"/>
          <w:szCs w:val="21"/>
          <w:highlight w:val="none"/>
        </w:rPr>
        <w:t>格式见附件</w:t>
      </w:r>
      <w:r>
        <w:rPr>
          <w:rFonts w:hint="eastAsia"/>
          <w:b/>
          <w:color w:val="000000"/>
          <w:szCs w:val="21"/>
          <w:highlight w:val="none"/>
        </w:rPr>
        <w:t>）；</w:t>
      </w:r>
    </w:p>
    <w:p>
      <w:pPr>
        <w:tabs>
          <w:tab w:val="left" w:pos="1418"/>
        </w:tabs>
        <w:spacing w:line="360" w:lineRule="auto"/>
        <w:ind w:firstLine="413" w:firstLineChars="196"/>
        <w:contextualSpacing/>
        <w:rPr>
          <w:rFonts w:hint="eastAsia"/>
          <w:b/>
          <w:color w:val="000000"/>
          <w:szCs w:val="21"/>
          <w:highlight w:val="none"/>
        </w:rPr>
      </w:pPr>
      <w:r>
        <w:rPr>
          <w:b/>
          <w:color w:val="000000"/>
          <w:szCs w:val="21"/>
          <w:highlight w:val="none"/>
        </w:rPr>
        <w:t>（</w:t>
      </w:r>
      <w:r>
        <w:rPr>
          <w:rFonts w:hint="eastAsia"/>
          <w:b/>
          <w:color w:val="000000"/>
          <w:szCs w:val="21"/>
          <w:highlight w:val="none"/>
        </w:rPr>
        <w:t>2</w:t>
      </w:r>
      <w:r>
        <w:rPr>
          <w:b/>
          <w:color w:val="000000"/>
          <w:szCs w:val="21"/>
          <w:highlight w:val="none"/>
        </w:rPr>
        <w:t>）</w:t>
      </w:r>
      <w:r>
        <w:rPr>
          <w:rFonts w:hint="eastAsia"/>
          <w:b/>
          <w:color w:val="000000"/>
          <w:szCs w:val="21"/>
          <w:highlight w:val="none"/>
        </w:rPr>
        <w:t>有效的企业法人营业执照、其他组织（个体工商户）的营业执照或者民办非企业单位登记证书复印件（投标人如果有名称变更的，应提供由行政主管部门出具的变更证明文件）</w:t>
      </w:r>
      <w:r>
        <w:rPr>
          <w:b/>
          <w:color w:val="000000"/>
          <w:szCs w:val="21"/>
          <w:highlight w:val="none"/>
        </w:rPr>
        <w:t>；</w:t>
      </w:r>
    </w:p>
    <w:p>
      <w:pPr>
        <w:tabs>
          <w:tab w:val="left" w:pos="1418"/>
        </w:tabs>
        <w:spacing w:line="360" w:lineRule="auto"/>
        <w:ind w:firstLine="413" w:firstLineChars="196"/>
        <w:contextualSpacing/>
        <w:rPr>
          <w:rFonts w:hint="eastAsia"/>
          <w:b/>
          <w:color w:val="000000"/>
          <w:szCs w:val="21"/>
          <w:highlight w:val="none"/>
        </w:rPr>
      </w:pPr>
      <w:r>
        <w:rPr>
          <w:b/>
          <w:color w:val="000000"/>
          <w:szCs w:val="21"/>
          <w:highlight w:val="none"/>
        </w:rPr>
        <w:t>（</w:t>
      </w:r>
      <w:r>
        <w:rPr>
          <w:rFonts w:hint="eastAsia"/>
          <w:b/>
          <w:color w:val="000000"/>
          <w:szCs w:val="21"/>
          <w:highlight w:val="none"/>
          <w:lang w:val="en-US" w:eastAsia="zh-CN"/>
        </w:rPr>
        <w:t>3</w:t>
      </w:r>
      <w:r>
        <w:rPr>
          <w:b/>
          <w:color w:val="000000"/>
          <w:szCs w:val="21"/>
          <w:highlight w:val="none"/>
        </w:rPr>
        <w:t>）合格投标人的承诺函（格式见附件）；</w:t>
      </w:r>
    </w:p>
    <w:p>
      <w:pPr>
        <w:tabs>
          <w:tab w:val="left" w:pos="518"/>
        </w:tabs>
        <w:spacing w:line="360" w:lineRule="auto"/>
        <w:ind w:firstLine="421"/>
        <w:rPr>
          <w:rFonts w:hint="eastAsia"/>
          <w:b/>
          <w:color w:val="000000"/>
          <w:szCs w:val="21"/>
          <w:highlight w:val="none"/>
        </w:rPr>
      </w:pPr>
      <w:r>
        <w:rPr>
          <w:rFonts w:hint="eastAsia"/>
          <w:b/>
          <w:color w:val="000000"/>
          <w:szCs w:val="21"/>
          <w:highlight w:val="none"/>
        </w:rPr>
        <w:t>落实政府采购政策需满足的资格要求所对应的证明材料：</w:t>
      </w:r>
    </w:p>
    <w:p>
      <w:pPr>
        <w:tabs>
          <w:tab w:val="left" w:pos="1418"/>
        </w:tabs>
        <w:spacing w:line="360" w:lineRule="auto"/>
        <w:ind w:firstLine="413" w:firstLineChars="196"/>
        <w:contextualSpacing/>
        <w:rPr>
          <w:rFonts w:hint="eastAsia"/>
          <w:b/>
          <w:color w:val="000000"/>
          <w:szCs w:val="21"/>
          <w:highlight w:val="none"/>
        </w:rPr>
      </w:pPr>
      <w:r>
        <w:rPr>
          <w:rFonts w:hint="eastAsia"/>
          <w:b/>
          <w:color w:val="000000"/>
          <w:szCs w:val="21"/>
          <w:highlight w:val="none"/>
        </w:rPr>
        <w:t>（</w:t>
      </w:r>
      <w:r>
        <w:rPr>
          <w:rFonts w:hint="eastAsia"/>
          <w:b/>
          <w:color w:val="000000"/>
          <w:szCs w:val="21"/>
          <w:highlight w:val="none"/>
          <w:lang w:val="en-US" w:eastAsia="zh-CN"/>
        </w:rPr>
        <w:t>4</w:t>
      </w:r>
      <w:r>
        <w:rPr>
          <w:rFonts w:hint="eastAsia"/>
          <w:b/>
          <w:color w:val="000000"/>
          <w:szCs w:val="21"/>
          <w:highlight w:val="none"/>
        </w:rPr>
        <w:t>）中小企业声明函（格式见第六章）</w:t>
      </w:r>
    </w:p>
    <w:p>
      <w:pPr>
        <w:tabs>
          <w:tab w:val="left" w:pos="1418"/>
        </w:tabs>
        <w:spacing w:line="360" w:lineRule="auto"/>
        <w:ind w:firstLine="413" w:firstLineChars="196"/>
        <w:contextualSpacing/>
        <w:rPr>
          <w:rFonts w:hint="eastAsia"/>
          <w:b/>
          <w:color w:val="000000"/>
          <w:szCs w:val="21"/>
          <w:highlight w:val="none"/>
        </w:rPr>
      </w:pPr>
      <w:r>
        <w:rPr>
          <w:rFonts w:hint="eastAsia"/>
          <w:b/>
          <w:color w:val="000000"/>
          <w:szCs w:val="21"/>
          <w:highlight w:val="none"/>
        </w:rPr>
        <w:t>（</w:t>
      </w:r>
      <w:r>
        <w:rPr>
          <w:rFonts w:hint="eastAsia"/>
          <w:b/>
          <w:color w:val="000000"/>
          <w:szCs w:val="21"/>
          <w:highlight w:val="none"/>
          <w:lang w:val="en-US" w:eastAsia="zh-CN"/>
        </w:rPr>
        <w:t>5</w:t>
      </w:r>
      <w:r>
        <w:rPr>
          <w:rFonts w:hint="eastAsia"/>
          <w:b/>
          <w:color w:val="000000"/>
          <w:szCs w:val="21"/>
          <w:highlight w:val="none"/>
        </w:rPr>
        <w:t>）供应商为监狱企业的证明文件：省级以上监狱管理局、戒毒管理局（含新疆生产建设兵团）出具（如是，请提供）</w:t>
      </w:r>
    </w:p>
    <w:p>
      <w:pPr>
        <w:tabs>
          <w:tab w:val="left" w:pos="1418"/>
        </w:tabs>
        <w:spacing w:line="360" w:lineRule="auto"/>
        <w:ind w:firstLine="413" w:firstLineChars="196"/>
        <w:contextualSpacing/>
        <w:rPr>
          <w:rFonts w:hint="eastAsia"/>
          <w:b/>
          <w:color w:val="000000"/>
          <w:szCs w:val="21"/>
          <w:highlight w:val="none"/>
        </w:rPr>
      </w:pPr>
      <w:r>
        <w:rPr>
          <w:rFonts w:hint="eastAsia"/>
          <w:b/>
          <w:color w:val="000000"/>
          <w:szCs w:val="21"/>
          <w:highlight w:val="none"/>
        </w:rPr>
        <w:t>（</w:t>
      </w:r>
      <w:r>
        <w:rPr>
          <w:rFonts w:hint="eastAsia"/>
          <w:b/>
          <w:color w:val="000000"/>
          <w:szCs w:val="21"/>
          <w:highlight w:val="none"/>
          <w:lang w:val="en-US" w:eastAsia="zh-CN"/>
        </w:rPr>
        <w:t>6</w:t>
      </w:r>
      <w:r>
        <w:rPr>
          <w:rFonts w:hint="eastAsia"/>
          <w:b/>
          <w:color w:val="000000"/>
          <w:szCs w:val="21"/>
          <w:highlight w:val="none"/>
        </w:rPr>
        <w:t>）残疾人福利性单位声明函（如是，请提供，格式见第六章）</w:t>
      </w:r>
    </w:p>
    <w:p>
      <w:pPr>
        <w:tabs>
          <w:tab w:val="left" w:pos="1418"/>
        </w:tabs>
        <w:spacing w:line="360" w:lineRule="auto"/>
        <w:ind w:firstLine="422" w:firstLineChars="200"/>
        <w:contextualSpacing/>
        <w:rPr>
          <w:b/>
          <w:color w:val="000000"/>
          <w:szCs w:val="21"/>
          <w:highlight w:val="none"/>
        </w:rPr>
      </w:pPr>
      <w:r>
        <w:rPr>
          <w:b/>
          <w:color w:val="000000"/>
          <w:szCs w:val="21"/>
          <w:highlight w:val="none"/>
        </w:rPr>
        <w:t>注：采购人或采购代理机构在资格审查时，通过“信用中国”网站(www.creditchina.gov.cn)、中国政府采购网(www.ccgp.gov.cn) 等渠道查询供应商的信用记录并保存。投标人若被列入失信被执行人或重大税收违法失信主体或政府采购严重违法失信行为记录名单的，则否决其投标。若开标当天因不可抗力事件导致无法查询且一时无法恢复的，可在中标通知书发出前对中标人进行查询，如如中标人被列入失信被执行人或重大税收违法失信主体或政府采购严重违法失信行为记录名单的。</w:t>
      </w:r>
      <w:bookmarkEnd w:id="62"/>
    </w:p>
    <w:p>
      <w:pPr>
        <w:tabs>
          <w:tab w:val="left" w:pos="1418"/>
        </w:tabs>
        <w:spacing w:line="360" w:lineRule="auto"/>
        <w:ind w:firstLine="422" w:firstLineChars="200"/>
        <w:contextualSpacing/>
        <w:rPr>
          <w:rFonts w:hint="eastAsia"/>
          <w:b/>
          <w:i/>
          <w:szCs w:val="21"/>
          <w:highlight w:val="none"/>
        </w:rPr>
      </w:pPr>
      <w:r>
        <w:rPr>
          <w:rFonts w:hint="eastAsia"/>
          <w:b/>
          <w:i/>
          <w:szCs w:val="21"/>
          <w:highlight w:val="none"/>
        </w:rPr>
        <w:t>报价文件包含但不限于以下文件：</w:t>
      </w:r>
    </w:p>
    <w:p>
      <w:pPr>
        <w:tabs>
          <w:tab w:val="left" w:pos="1418"/>
        </w:tabs>
        <w:spacing w:line="360" w:lineRule="auto"/>
        <w:ind w:firstLine="420" w:firstLineChars="200"/>
        <w:contextualSpacing/>
        <w:rPr>
          <w:szCs w:val="21"/>
          <w:highlight w:val="none"/>
        </w:rPr>
      </w:pPr>
      <w:r>
        <w:rPr>
          <w:rFonts w:hint="eastAsia"/>
          <w:szCs w:val="21"/>
          <w:highlight w:val="none"/>
        </w:rPr>
        <w:t>（1）投标函（格式见附件）；</w:t>
      </w:r>
    </w:p>
    <w:p>
      <w:pPr>
        <w:tabs>
          <w:tab w:val="left" w:pos="1418"/>
        </w:tabs>
        <w:spacing w:line="360" w:lineRule="auto"/>
        <w:ind w:firstLine="420" w:firstLineChars="200"/>
        <w:contextualSpacing/>
        <w:rPr>
          <w:szCs w:val="21"/>
          <w:highlight w:val="none"/>
        </w:rPr>
      </w:pPr>
      <w:r>
        <w:rPr>
          <w:rFonts w:hint="eastAsia"/>
          <w:szCs w:val="21"/>
          <w:highlight w:val="none"/>
        </w:rPr>
        <w:t>（2）开标一览表（格式见附件）；</w:t>
      </w:r>
    </w:p>
    <w:p>
      <w:pPr>
        <w:tabs>
          <w:tab w:val="left" w:pos="1418"/>
        </w:tabs>
        <w:spacing w:line="360" w:lineRule="auto"/>
        <w:ind w:firstLine="420" w:firstLineChars="200"/>
        <w:contextualSpacing/>
        <w:rPr>
          <w:szCs w:val="21"/>
          <w:highlight w:val="none"/>
        </w:rPr>
      </w:pPr>
      <w:r>
        <w:rPr>
          <w:rFonts w:hint="eastAsia"/>
          <w:szCs w:val="21"/>
          <w:highlight w:val="none"/>
        </w:rPr>
        <w:t>（3）投标人认为需提交的其他文件资料；</w:t>
      </w:r>
    </w:p>
    <w:p>
      <w:pPr>
        <w:tabs>
          <w:tab w:val="left" w:pos="1418"/>
        </w:tabs>
        <w:spacing w:line="380" w:lineRule="exact"/>
        <w:ind w:firstLine="422" w:firstLineChars="200"/>
        <w:contextualSpacing/>
        <w:rPr>
          <w:b/>
          <w:i/>
          <w:szCs w:val="21"/>
          <w:highlight w:val="none"/>
        </w:rPr>
      </w:pPr>
      <w:r>
        <w:rPr>
          <w:rFonts w:hint="eastAsia"/>
          <w:b/>
          <w:i/>
          <w:szCs w:val="21"/>
          <w:highlight w:val="none"/>
        </w:rPr>
        <w:t>技术商务文件包含但不限于以下文件：</w:t>
      </w:r>
    </w:p>
    <w:p>
      <w:pPr>
        <w:tabs>
          <w:tab w:val="left" w:pos="709"/>
        </w:tabs>
        <w:spacing w:line="380" w:lineRule="exact"/>
        <w:ind w:firstLine="420" w:firstLineChars="200"/>
        <w:contextualSpacing/>
        <w:rPr>
          <w:szCs w:val="21"/>
          <w:highlight w:val="none"/>
        </w:rPr>
      </w:pPr>
      <w:r>
        <w:rPr>
          <w:rFonts w:hint="eastAsia"/>
          <w:szCs w:val="21"/>
          <w:highlight w:val="none"/>
        </w:rPr>
        <w:t>（1）</w:t>
      </w:r>
      <w:r>
        <w:rPr>
          <w:rFonts w:hint="eastAsia" w:cs="宋体"/>
          <w:szCs w:val="21"/>
          <w:highlight w:val="none"/>
        </w:rPr>
        <w:t>符合性自查表（格式见附件）；</w:t>
      </w:r>
    </w:p>
    <w:p>
      <w:pPr>
        <w:tabs>
          <w:tab w:val="left" w:pos="1418"/>
        </w:tabs>
        <w:spacing w:line="380" w:lineRule="exact"/>
        <w:ind w:left="420"/>
        <w:contextualSpacing/>
        <w:rPr>
          <w:szCs w:val="21"/>
          <w:highlight w:val="none"/>
        </w:rPr>
      </w:pPr>
      <w:r>
        <w:rPr>
          <w:rFonts w:hint="eastAsia"/>
          <w:szCs w:val="21"/>
          <w:highlight w:val="none"/>
        </w:rPr>
        <w:t>（</w:t>
      </w:r>
      <w:r>
        <w:rPr>
          <w:szCs w:val="21"/>
          <w:highlight w:val="none"/>
        </w:rPr>
        <w:t>2</w:t>
      </w:r>
      <w:r>
        <w:rPr>
          <w:rFonts w:hint="eastAsia"/>
          <w:szCs w:val="21"/>
          <w:highlight w:val="none"/>
        </w:rPr>
        <w:t>）技术商务分自评表（格式见附件）；</w:t>
      </w:r>
    </w:p>
    <w:p>
      <w:pPr>
        <w:tabs>
          <w:tab w:val="left" w:pos="1418"/>
        </w:tabs>
        <w:spacing w:line="400" w:lineRule="exact"/>
        <w:ind w:left="420"/>
        <w:contextualSpacing/>
        <w:rPr>
          <w:szCs w:val="21"/>
          <w:highlight w:val="none"/>
        </w:rPr>
      </w:pPr>
      <w:bookmarkStart w:id="63" w:name="_Hlk534492850"/>
      <w:r>
        <w:rPr>
          <w:rFonts w:hint="eastAsia"/>
          <w:szCs w:val="21"/>
          <w:highlight w:val="none"/>
        </w:rPr>
        <w:t>（3）委托代理人的身份证、法定代表人身份证明及法定代表人授权委托书（或法定代表人身份证及法定代表人身份证明）；</w:t>
      </w:r>
      <w:bookmarkEnd w:id="63"/>
    </w:p>
    <w:p>
      <w:pPr>
        <w:tabs>
          <w:tab w:val="left" w:pos="1418"/>
        </w:tabs>
        <w:spacing w:line="380" w:lineRule="exact"/>
        <w:ind w:left="420"/>
        <w:contextualSpacing/>
        <w:rPr>
          <w:szCs w:val="21"/>
          <w:highlight w:val="none"/>
        </w:rPr>
      </w:pPr>
      <w:r>
        <w:rPr>
          <w:rFonts w:hint="eastAsia"/>
          <w:szCs w:val="21"/>
          <w:highlight w:val="none"/>
        </w:rPr>
        <w:t>（4）服务方案（根据评分标准要求）；</w:t>
      </w:r>
    </w:p>
    <w:p>
      <w:pPr>
        <w:tabs>
          <w:tab w:val="left" w:pos="1418"/>
        </w:tabs>
        <w:spacing w:line="380" w:lineRule="exact"/>
        <w:ind w:left="420"/>
        <w:contextualSpacing/>
        <w:rPr>
          <w:szCs w:val="21"/>
          <w:highlight w:val="none"/>
        </w:rPr>
      </w:pPr>
      <w:r>
        <w:rPr>
          <w:rFonts w:hint="eastAsia"/>
          <w:szCs w:val="21"/>
          <w:highlight w:val="none"/>
        </w:rPr>
        <w:t>（5）其他各项服务方案（根据评分标准要求）；</w:t>
      </w:r>
    </w:p>
    <w:p>
      <w:pPr>
        <w:tabs>
          <w:tab w:val="left" w:pos="1418"/>
        </w:tabs>
        <w:spacing w:line="380" w:lineRule="exact"/>
        <w:ind w:left="420"/>
        <w:contextualSpacing/>
        <w:rPr>
          <w:szCs w:val="21"/>
          <w:highlight w:val="none"/>
        </w:rPr>
      </w:pPr>
      <w:r>
        <w:rPr>
          <w:rFonts w:hint="eastAsia"/>
          <w:szCs w:val="21"/>
          <w:highlight w:val="none"/>
        </w:rPr>
        <w:t>（6）人员配备（附项目人员配备表，格式可自拟）；</w:t>
      </w:r>
    </w:p>
    <w:p>
      <w:pPr>
        <w:tabs>
          <w:tab w:val="left" w:pos="1418"/>
        </w:tabs>
        <w:spacing w:line="380" w:lineRule="exact"/>
        <w:ind w:left="420"/>
        <w:contextualSpacing/>
        <w:rPr>
          <w:szCs w:val="21"/>
          <w:highlight w:val="none"/>
        </w:rPr>
      </w:pPr>
      <w:r>
        <w:rPr>
          <w:rFonts w:hint="eastAsia"/>
          <w:szCs w:val="21"/>
          <w:highlight w:val="none"/>
        </w:rPr>
        <w:t>（7）技术、商务条款偏离表（格式见附件）；</w:t>
      </w:r>
    </w:p>
    <w:p>
      <w:pPr>
        <w:tabs>
          <w:tab w:val="left" w:pos="1418"/>
        </w:tabs>
        <w:spacing w:line="380" w:lineRule="exact"/>
        <w:ind w:left="420"/>
        <w:contextualSpacing/>
        <w:rPr>
          <w:szCs w:val="21"/>
          <w:highlight w:val="none"/>
        </w:rPr>
      </w:pPr>
      <w:r>
        <w:rPr>
          <w:rFonts w:hint="eastAsia"/>
          <w:szCs w:val="21"/>
          <w:highlight w:val="none"/>
        </w:rPr>
        <w:t>（8）评分标准或采购文件需要提供的其他技术商务材料；</w:t>
      </w:r>
    </w:p>
    <w:p>
      <w:pPr>
        <w:tabs>
          <w:tab w:val="left" w:pos="1418"/>
        </w:tabs>
        <w:spacing w:line="380" w:lineRule="exact"/>
        <w:ind w:left="420"/>
        <w:contextualSpacing/>
        <w:rPr>
          <w:szCs w:val="21"/>
          <w:highlight w:val="none"/>
        </w:rPr>
      </w:pPr>
      <w:r>
        <w:rPr>
          <w:rFonts w:hint="eastAsia"/>
          <w:szCs w:val="21"/>
          <w:highlight w:val="none"/>
        </w:rPr>
        <w:t>（9）投标人认为需提交的其他文件资料。</w:t>
      </w:r>
    </w:p>
    <w:p>
      <w:pPr>
        <w:tabs>
          <w:tab w:val="left" w:pos="1418"/>
        </w:tabs>
        <w:spacing w:line="380" w:lineRule="exact"/>
        <w:ind w:left="420"/>
        <w:contextualSpacing/>
        <w:rPr>
          <w:szCs w:val="21"/>
          <w:highlight w:val="none"/>
        </w:rPr>
      </w:pPr>
      <w:r>
        <w:rPr>
          <w:szCs w:val="21"/>
          <w:highlight w:val="none"/>
        </w:rPr>
        <w:t>11</w:t>
      </w:r>
      <w:r>
        <w:rPr>
          <w:rFonts w:hint="eastAsia"/>
          <w:szCs w:val="21"/>
          <w:highlight w:val="none"/>
        </w:rPr>
        <w:t>.2</w:t>
      </w:r>
      <w:r>
        <w:rPr>
          <w:szCs w:val="21"/>
          <w:highlight w:val="none"/>
        </w:rPr>
        <w:t>本次招标对投标文件组成</w:t>
      </w:r>
      <w:r>
        <w:rPr>
          <w:rFonts w:hint="eastAsia"/>
          <w:szCs w:val="21"/>
          <w:highlight w:val="none"/>
        </w:rPr>
        <w:t>要求</w:t>
      </w:r>
      <w:r>
        <w:rPr>
          <w:szCs w:val="21"/>
          <w:highlight w:val="none"/>
        </w:rPr>
        <w:t>，表述在《投标资料表》中。</w:t>
      </w:r>
    </w:p>
    <w:p>
      <w:pPr>
        <w:spacing w:line="380" w:lineRule="exact"/>
        <w:contextualSpacing/>
        <w:rPr>
          <w:szCs w:val="21"/>
          <w:highlight w:val="none"/>
        </w:rPr>
      </w:pPr>
      <w:r>
        <w:rPr>
          <w:szCs w:val="21"/>
          <w:highlight w:val="none"/>
        </w:rPr>
        <w:t>12</w:t>
      </w:r>
      <w:r>
        <w:rPr>
          <w:rFonts w:hint="eastAsia"/>
          <w:szCs w:val="21"/>
          <w:highlight w:val="none"/>
        </w:rPr>
        <w:t>、</w:t>
      </w:r>
      <w:r>
        <w:rPr>
          <w:szCs w:val="21"/>
          <w:highlight w:val="none"/>
        </w:rPr>
        <w:t>投标报价</w:t>
      </w:r>
      <w:bookmarkEnd w:id="57"/>
      <w:bookmarkEnd w:id="58"/>
      <w:bookmarkEnd w:id="59"/>
      <w:bookmarkEnd w:id="60"/>
    </w:p>
    <w:p>
      <w:pPr>
        <w:tabs>
          <w:tab w:val="left" w:pos="709"/>
        </w:tabs>
        <w:spacing w:line="380" w:lineRule="exact"/>
        <w:ind w:firstLine="420" w:firstLineChars="200"/>
        <w:contextualSpacing/>
        <w:rPr>
          <w:szCs w:val="21"/>
          <w:highlight w:val="none"/>
        </w:rPr>
      </w:pPr>
      <w:r>
        <w:rPr>
          <w:szCs w:val="21"/>
          <w:highlight w:val="none"/>
        </w:rPr>
        <w:t>12</w:t>
      </w:r>
      <w:r>
        <w:rPr>
          <w:rFonts w:hint="eastAsia"/>
          <w:szCs w:val="21"/>
          <w:highlight w:val="none"/>
        </w:rPr>
        <w:t>.1</w:t>
      </w:r>
      <w:r>
        <w:rPr>
          <w:szCs w:val="21"/>
          <w:highlight w:val="none"/>
        </w:rPr>
        <w:t>投标人应全面充分了解本招标项目的全部内容及要求以及服务现场的基本条件，按照《投标资料表》</w:t>
      </w:r>
      <w:r>
        <w:rPr>
          <w:rFonts w:hint="eastAsia"/>
          <w:szCs w:val="21"/>
          <w:highlight w:val="none"/>
        </w:rPr>
        <w:t>规定与</w:t>
      </w:r>
      <w:r>
        <w:rPr>
          <w:szCs w:val="21"/>
          <w:highlight w:val="none"/>
        </w:rPr>
        <w:t>要求报价，并包含服务过程中可能涉及的所有费用</w:t>
      </w:r>
      <w:r>
        <w:rPr>
          <w:rFonts w:hint="eastAsia"/>
          <w:szCs w:val="21"/>
          <w:highlight w:val="none"/>
        </w:rPr>
        <w:t>。</w:t>
      </w:r>
    </w:p>
    <w:p>
      <w:pPr>
        <w:tabs>
          <w:tab w:val="left" w:pos="709"/>
        </w:tabs>
        <w:spacing w:line="380" w:lineRule="exact"/>
        <w:ind w:firstLine="420" w:firstLineChars="200"/>
        <w:contextualSpacing/>
        <w:rPr>
          <w:szCs w:val="21"/>
          <w:highlight w:val="none"/>
        </w:rPr>
      </w:pPr>
      <w:r>
        <w:rPr>
          <w:szCs w:val="21"/>
          <w:highlight w:val="none"/>
        </w:rPr>
        <w:t>12</w:t>
      </w:r>
      <w:r>
        <w:rPr>
          <w:rFonts w:hint="eastAsia"/>
          <w:szCs w:val="21"/>
          <w:highlight w:val="none"/>
        </w:rPr>
        <w:t>.2</w:t>
      </w:r>
      <w:r>
        <w:rPr>
          <w:szCs w:val="21"/>
          <w:highlight w:val="none"/>
        </w:rPr>
        <w:t>所有投标报价必须以人民币报价，不接受外币报价。</w:t>
      </w:r>
    </w:p>
    <w:p>
      <w:pPr>
        <w:tabs>
          <w:tab w:val="left" w:pos="709"/>
        </w:tabs>
        <w:spacing w:line="380" w:lineRule="exact"/>
        <w:ind w:firstLine="420" w:firstLineChars="200"/>
        <w:contextualSpacing/>
        <w:rPr>
          <w:szCs w:val="21"/>
          <w:highlight w:val="none"/>
        </w:rPr>
      </w:pPr>
      <w:r>
        <w:rPr>
          <w:szCs w:val="21"/>
          <w:highlight w:val="none"/>
        </w:rPr>
        <w:t>12</w:t>
      </w:r>
      <w:r>
        <w:rPr>
          <w:rFonts w:hint="eastAsia"/>
          <w:szCs w:val="21"/>
          <w:highlight w:val="none"/>
        </w:rPr>
        <w:t>.3</w:t>
      </w:r>
      <w:r>
        <w:rPr>
          <w:szCs w:val="21"/>
          <w:highlight w:val="none"/>
        </w:rPr>
        <w:t>投标报价只有一个，而且一经开标，投标价不得变更。如果出现有两个及以上的报价又未声明以哪一报价方案为主，则</w:t>
      </w:r>
      <w:r>
        <w:rPr>
          <w:rFonts w:hint="eastAsia"/>
          <w:szCs w:val="21"/>
          <w:highlight w:val="none"/>
        </w:rPr>
        <w:t>投标将被拒绝</w:t>
      </w:r>
      <w:r>
        <w:rPr>
          <w:szCs w:val="21"/>
          <w:highlight w:val="none"/>
        </w:rPr>
        <w:t>。投标声明应载明在</w:t>
      </w:r>
      <w:r>
        <w:rPr>
          <w:rFonts w:hint="eastAsia"/>
          <w:szCs w:val="21"/>
          <w:highlight w:val="none"/>
        </w:rPr>
        <w:t>“</w:t>
      </w:r>
      <w:r>
        <w:rPr>
          <w:szCs w:val="21"/>
          <w:highlight w:val="none"/>
        </w:rPr>
        <w:t>开标一览表</w:t>
      </w:r>
      <w:r>
        <w:rPr>
          <w:rFonts w:hint="eastAsia"/>
          <w:szCs w:val="21"/>
          <w:highlight w:val="none"/>
        </w:rPr>
        <w:t>”</w:t>
      </w:r>
      <w:r>
        <w:rPr>
          <w:szCs w:val="21"/>
          <w:highlight w:val="none"/>
        </w:rPr>
        <w:t>中，供开标时唱出。未经唱出的投标声明在评标时不作考虑。</w:t>
      </w:r>
    </w:p>
    <w:p>
      <w:pPr>
        <w:tabs>
          <w:tab w:val="left" w:pos="709"/>
        </w:tabs>
        <w:spacing w:line="380" w:lineRule="exact"/>
        <w:ind w:firstLine="420" w:firstLineChars="200"/>
        <w:contextualSpacing/>
        <w:rPr>
          <w:szCs w:val="21"/>
          <w:highlight w:val="none"/>
        </w:rPr>
      </w:pPr>
      <w:r>
        <w:rPr>
          <w:szCs w:val="21"/>
          <w:highlight w:val="none"/>
        </w:rPr>
        <w:t>12</w:t>
      </w:r>
      <w:r>
        <w:rPr>
          <w:rFonts w:hint="eastAsia"/>
          <w:szCs w:val="21"/>
          <w:highlight w:val="none"/>
        </w:rPr>
        <w:t>.4</w:t>
      </w:r>
      <w:r>
        <w:rPr>
          <w:szCs w:val="21"/>
          <w:highlight w:val="none"/>
        </w:rPr>
        <w:t>投标报价</w:t>
      </w:r>
      <w:r>
        <w:rPr>
          <w:rFonts w:hint="eastAsia"/>
          <w:szCs w:val="21"/>
          <w:highlight w:val="none"/>
        </w:rPr>
        <w:t>中有关</w:t>
      </w:r>
      <w:r>
        <w:rPr>
          <w:szCs w:val="21"/>
          <w:highlight w:val="none"/>
        </w:rPr>
        <w:t>单价在中标后及合同执行过程中是固定不变的，投标人不得以任何理由予以变更。任何包含价格调整要求的投标，将被作无效投标处理。</w:t>
      </w:r>
    </w:p>
    <w:p>
      <w:pPr>
        <w:spacing w:line="380" w:lineRule="exact"/>
        <w:contextualSpacing/>
        <w:rPr>
          <w:szCs w:val="21"/>
          <w:highlight w:val="none"/>
        </w:rPr>
      </w:pPr>
      <w:bookmarkStart w:id="64" w:name="_Toc425780281"/>
      <w:bookmarkStart w:id="65" w:name="_Toc429407697"/>
      <w:bookmarkStart w:id="66" w:name="_Toc430790218"/>
      <w:bookmarkStart w:id="67" w:name="_Toc425151737"/>
      <w:r>
        <w:rPr>
          <w:szCs w:val="21"/>
          <w:highlight w:val="none"/>
        </w:rPr>
        <w:t>13</w:t>
      </w:r>
      <w:r>
        <w:rPr>
          <w:rFonts w:hint="eastAsia"/>
          <w:szCs w:val="21"/>
          <w:highlight w:val="none"/>
        </w:rPr>
        <w:t>、</w:t>
      </w:r>
      <w:r>
        <w:rPr>
          <w:szCs w:val="21"/>
          <w:highlight w:val="none"/>
        </w:rPr>
        <w:t>投标文件编写</w:t>
      </w:r>
      <w:bookmarkEnd w:id="64"/>
      <w:bookmarkEnd w:id="65"/>
      <w:bookmarkEnd w:id="66"/>
      <w:bookmarkEnd w:id="67"/>
    </w:p>
    <w:p>
      <w:pPr>
        <w:tabs>
          <w:tab w:val="left" w:pos="709"/>
        </w:tabs>
        <w:spacing w:line="380" w:lineRule="exact"/>
        <w:ind w:firstLine="420" w:firstLineChars="200"/>
        <w:contextualSpacing/>
        <w:rPr>
          <w:szCs w:val="21"/>
          <w:highlight w:val="none"/>
        </w:rPr>
      </w:pPr>
      <w:r>
        <w:rPr>
          <w:rFonts w:hint="eastAsia"/>
          <w:szCs w:val="21"/>
          <w:highlight w:val="none"/>
        </w:rPr>
        <w:t>1</w:t>
      </w:r>
      <w:r>
        <w:rPr>
          <w:szCs w:val="21"/>
          <w:highlight w:val="none"/>
        </w:rPr>
        <w:t>3</w:t>
      </w:r>
      <w:r>
        <w:rPr>
          <w:rFonts w:hint="eastAsia"/>
          <w:szCs w:val="21"/>
          <w:highlight w:val="none"/>
        </w:rPr>
        <w:t>.1</w:t>
      </w:r>
      <w:r>
        <w:rPr>
          <w:szCs w:val="21"/>
          <w:highlight w:val="none"/>
        </w:rPr>
        <w:t>投标文件应表述准确、完整、详细，并按统一格式填写。开标一览表系开标仪式上唱标的内容，应按格式完整填写。投标文件因表达不清楚所引起的后果由投标人负责。</w:t>
      </w:r>
    </w:p>
    <w:p>
      <w:pPr>
        <w:tabs>
          <w:tab w:val="left" w:pos="709"/>
        </w:tabs>
        <w:spacing w:line="380" w:lineRule="exact"/>
        <w:ind w:firstLine="420" w:firstLineChars="200"/>
        <w:contextualSpacing/>
        <w:rPr>
          <w:szCs w:val="21"/>
          <w:highlight w:val="none"/>
        </w:rPr>
      </w:pPr>
      <w:r>
        <w:rPr>
          <w:rFonts w:hint="eastAsia"/>
          <w:szCs w:val="21"/>
          <w:highlight w:val="none"/>
        </w:rPr>
        <w:t>1</w:t>
      </w:r>
      <w:r>
        <w:rPr>
          <w:szCs w:val="21"/>
          <w:highlight w:val="none"/>
        </w:rPr>
        <w:t>3</w:t>
      </w:r>
      <w:r>
        <w:rPr>
          <w:rFonts w:hint="eastAsia"/>
          <w:szCs w:val="21"/>
          <w:highlight w:val="none"/>
        </w:rPr>
        <w:t>.2</w:t>
      </w:r>
      <w:r>
        <w:rPr>
          <w:szCs w:val="21"/>
          <w:highlight w:val="none"/>
        </w:rPr>
        <w:t>投标语言：中文</w:t>
      </w:r>
      <w:r>
        <w:rPr>
          <w:rFonts w:hint="eastAsia"/>
          <w:szCs w:val="21"/>
          <w:highlight w:val="none"/>
        </w:rPr>
        <w:t>。除签名、盖章、专用名称等特殊情形外，以中文汉语以外的文字表述的投标文件视同未提供</w:t>
      </w:r>
      <w:r>
        <w:rPr>
          <w:szCs w:val="21"/>
          <w:highlight w:val="none"/>
        </w:rPr>
        <w:t>。</w:t>
      </w:r>
    </w:p>
    <w:p>
      <w:pPr>
        <w:tabs>
          <w:tab w:val="left" w:pos="709"/>
        </w:tabs>
        <w:spacing w:line="380" w:lineRule="exact"/>
        <w:ind w:firstLine="420" w:firstLineChars="200"/>
        <w:contextualSpacing/>
        <w:rPr>
          <w:szCs w:val="21"/>
          <w:highlight w:val="none"/>
        </w:rPr>
      </w:pPr>
      <w:r>
        <w:rPr>
          <w:rFonts w:hint="eastAsia"/>
          <w:szCs w:val="21"/>
          <w:highlight w:val="none"/>
        </w:rPr>
        <w:t>1</w:t>
      </w:r>
      <w:r>
        <w:rPr>
          <w:szCs w:val="21"/>
          <w:highlight w:val="none"/>
        </w:rPr>
        <w:t>3</w:t>
      </w:r>
      <w:r>
        <w:rPr>
          <w:rFonts w:hint="eastAsia"/>
          <w:szCs w:val="21"/>
          <w:highlight w:val="none"/>
        </w:rPr>
        <w:t>.3</w:t>
      </w:r>
      <w:r>
        <w:rPr>
          <w:szCs w:val="21"/>
          <w:highlight w:val="none"/>
        </w:rPr>
        <w:t>投标文件中所使用的计量单位，除非本采购文件</w:t>
      </w:r>
      <w:r>
        <w:rPr>
          <w:rFonts w:hint="eastAsia"/>
          <w:szCs w:val="21"/>
          <w:highlight w:val="none"/>
        </w:rPr>
        <w:t>“</w:t>
      </w:r>
      <w:r>
        <w:rPr>
          <w:szCs w:val="21"/>
          <w:highlight w:val="none"/>
        </w:rPr>
        <w:t>招标内容及要求</w:t>
      </w:r>
      <w:r>
        <w:rPr>
          <w:rFonts w:hint="eastAsia"/>
          <w:szCs w:val="21"/>
          <w:highlight w:val="none"/>
        </w:rPr>
        <w:t>”</w:t>
      </w:r>
      <w:r>
        <w:rPr>
          <w:szCs w:val="21"/>
          <w:highlight w:val="none"/>
        </w:rPr>
        <w:t>有特殊要求，应采用国家法定计量单位。</w:t>
      </w:r>
    </w:p>
    <w:p>
      <w:pPr>
        <w:spacing w:line="380" w:lineRule="exact"/>
        <w:contextualSpacing/>
        <w:rPr>
          <w:szCs w:val="21"/>
          <w:highlight w:val="none"/>
        </w:rPr>
      </w:pPr>
      <w:bookmarkStart w:id="68" w:name="_Toc429407698"/>
      <w:bookmarkStart w:id="69" w:name="_Toc425780282"/>
      <w:bookmarkStart w:id="70" w:name="_Toc425151738"/>
      <w:bookmarkStart w:id="71" w:name="_Toc430790219"/>
      <w:r>
        <w:rPr>
          <w:szCs w:val="21"/>
          <w:highlight w:val="none"/>
        </w:rPr>
        <w:t>14</w:t>
      </w:r>
      <w:r>
        <w:rPr>
          <w:rFonts w:hint="eastAsia"/>
          <w:szCs w:val="21"/>
          <w:highlight w:val="none"/>
        </w:rPr>
        <w:t>、</w:t>
      </w:r>
      <w:r>
        <w:rPr>
          <w:szCs w:val="21"/>
          <w:highlight w:val="none"/>
        </w:rPr>
        <w:t>投标文件的有效期</w:t>
      </w:r>
      <w:bookmarkEnd w:id="68"/>
      <w:bookmarkEnd w:id="69"/>
      <w:bookmarkEnd w:id="70"/>
      <w:bookmarkEnd w:id="71"/>
    </w:p>
    <w:p>
      <w:pPr>
        <w:tabs>
          <w:tab w:val="left" w:pos="709"/>
        </w:tabs>
        <w:spacing w:line="380" w:lineRule="exact"/>
        <w:ind w:firstLine="420" w:firstLineChars="200"/>
        <w:contextualSpacing/>
        <w:rPr>
          <w:szCs w:val="21"/>
          <w:highlight w:val="none"/>
        </w:rPr>
      </w:pPr>
      <w:r>
        <w:rPr>
          <w:rFonts w:hint="eastAsia"/>
          <w:szCs w:val="21"/>
          <w:highlight w:val="none"/>
        </w:rPr>
        <w:t>1</w:t>
      </w:r>
      <w:r>
        <w:rPr>
          <w:szCs w:val="21"/>
          <w:highlight w:val="none"/>
        </w:rPr>
        <w:t>4</w:t>
      </w:r>
      <w:r>
        <w:rPr>
          <w:rFonts w:hint="eastAsia"/>
          <w:szCs w:val="21"/>
          <w:highlight w:val="none"/>
        </w:rPr>
        <w:t>.1</w:t>
      </w:r>
      <w:r>
        <w:rPr>
          <w:szCs w:val="21"/>
          <w:highlight w:val="none"/>
        </w:rPr>
        <w:t>投标文件应在《投标资料表》规定的投标有效期内保持有效。有效期短于规定期限的，将导致投标无效</w:t>
      </w:r>
      <w:r>
        <w:rPr>
          <w:rFonts w:hint="eastAsia"/>
          <w:szCs w:val="21"/>
          <w:highlight w:val="none"/>
        </w:rPr>
        <w:t>而被拒绝</w:t>
      </w:r>
      <w:r>
        <w:rPr>
          <w:szCs w:val="21"/>
          <w:highlight w:val="none"/>
        </w:rPr>
        <w:t>。</w:t>
      </w:r>
    </w:p>
    <w:p>
      <w:pPr>
        <w:tabs>
          <w:tab w:val="left" w:pos="709"/>
        </w:tabs>
        <w:spacing w:line="380" w:lineRule="exact"/>
        <w:ind w:firstLine="420" w:firstLineChars="200"/>
        <w:contextualSpacing/>
        <w:rPr>
          <w:szCs w:val="21"/>
          <w:highlight w:val="none"/>
        </w:rPr>
      </w:pPr>
      <w:r>
        <w:rPr>
          <w:rFonts w:hint="eastAsia"/>
          <w:szCs w:val="21"/>
          <w:highlight w:val="none"/>
        </w:rPr>
        <w:t>1</w:t>
      </w:r>
      <w:r>
        <w:rPr>
          <w:szCs w:val="21"/>
          <w:highlight w:val="none"/>
        </w:rPr>
        <w:t>4</w:t>
      </w:r>
      <w:r>
        <w:rPr>
          <w:rFonts w:hint="eastAsia"/>
          <w:szCs w:val="21"/>
          <w:highlight w:val="none"/>
        </w:rPr>
        <w:t>.2</w:t>
      </w:r>
      <w:r>
        <w:rPr>
          <w:szCs w:val="21"/>
          <w:highlight w:val="none"/>
        </w:rPr>
        <w:t>在特殊情况下，在原投标有效期截止之前，应</w:t>
      </w:r>
      <w:r>
        <w:rPr>
          <w:rFonts w:hint="eastAsia"/>
          <w:szCs w:val="21"/>
          <w:highlight w:val="none"/>
        </w:rPr>
        <w:t>采购人</w:t>
      </w:r>
      <w:r>
        <w:rPr>
          <w:szCs w:val="21"/>
          <w:highlight w:val="none"/>
        </w:rPr>
        <w:t>的要求，采购代理机构可要求投标人延长投标文件的有效期，这种要求的提出和投标人的答复都应以书面（含传真）的形式进行。</w:t>
      </w:r>
    </w:p>
    <w:p>
      <w:pPr>
        <w:tabs>
          <w:tab w:val="left" w:pos="709"/>
        </w:tabs>
        <w:spacing w:line="380" w:lineRule="exact"/>
        <w:ind w:firstLine="420" w:firstLineChars="200"/>
        <w:contextualSpacing/>
        <w:rPr>
          <w:szCs w:val="21"/>
          <w:highlight w:val="none"/>
        </w:rPr>
      </w:pPr>
      <w:r>
        <w:rPr>
          <w:rFonts w:hint="eastAsia"/>
          <w:szCs w:val="21"/>
          <w:highlight w:val="none"/>
        </w:rPr>
        <w:t>1</w:t>
      </w:r>
      <w:r>
        <w:rPr>
          <w:szCs w:val="21"/>
          <w:highlight w:val="none"/>
        </w:rPr>
        <w:t>4.3</w:t>
      </w:r>
      <w:r>
        <w:rPr>
          <w:rFonts w:hint="eastAsia"/>
          <w:szCs w:val="21"/>
          <w:highlight w:val="none"/>
        </w:rPr>
        <w:t>中标人的投标文件自开标之日起至合同履行完毕止均应保持有效。</w:t>
      </w:r>
      <w:bookmarkStart w:id="72" w:name="_Toc496003206"/>
      <w:bookmarkStart w:id="73" w:name="_Toc429407700"/>
      <w:bookmarkStart w:id="74" w:name="_Toc498429634"/>
      <w:bookmarkStart w:id="75" w:name="_Toc445193546"/>
      <w:bookmarkStart w:id="76" w:name="_Toc425780284"/>
      <w:bookmarkStart w:id="77" w:name="_Toc505353785"/>
      <w:bookmarkStart w:id="78" w:name="_Toc456853671"/>
      <w:bookmarkStart w:id="79" w:name="_Toc425151740"/>
      <w:bookmarkStart w:id="80" w:name="_Toc430790221"/>
      <w:bookmarkStart w:id="81" w:name="_Toc429407701"/>
      <w:bookmarkStart w:id="82" w:name="_Toc430790222"/>
      <w:bookmarkStart w:id="83" w:name="_Toc425780285"/>
      <w:bookmarkStart w:id="84" w:name="_Toc425151741"/>
    </w:p>
    <w:p>
      <w:pPr>
        <w:pStyle w:val="2"/>
        <w:contextualSpacing/>
        <w:rPr>
          <w:rFonts w:ascii="Times New Roman"/>
          <w:sz w:val="24"/>
          <w:szCs w:val="24"/>
          <w:highlight w:val="none"/>
        </w:rPr>
      </w:pPr>
      <w:r>
        <w:rPr>
          <w:rFonts w:hint="eastAsia" w:ascii="Times New Roman"/>
          <w:sz w:val="24"/>
          <w:szCs w:val="24"/>
          <w:highlight w:val="none"/>
        </w:rPr>
        <w:t>五、</w:t>
      </w:r>
      <w:r>
        <w:rPr>
          <w:rFonts w:ascii="Times New Roman"/>
          <w:sz w:val="24"/>
          <w:szCs w:val="24"/>
          <w:highlight w:val="none"/>
        </w:rPr>
        <w:t>投标文件的递交</w:t>
      </w:r>
      <w:bookmarkEnd w:id="72"/>
      <w:bookmarkEnd w:id="73"/>
      <w:bookmarkEnd w:id="74"/>
      <w:bookmarkEnd w:id="75"/>
      <w:bookmarkEnd w:id="76"/>
      <w:bookmarkEnd w:id="77"/>
      <w:bookmarkEnd w:id="78"/>
      <w:bookmarkEnd w:id="79"/>
      <w:bookmarkEnd w:id="80"/>
    </w:p>
    <w:p>
      <w:pPr>
        <w:spacing w:line="380" w:lineRule="exact"/>
        <w:contextualSpacing/>
        <w:rPr>
          <w:szCs w:val="21"/>
          <w:highlight w:val="none"/>
        </w:rPr>
      </w:pPr>
      <w:r>
        <w:rPr>
          <w:rFonts w:hint="eastAsia"/>
          <w:szCs w:val="21"/>
          <w:highlight w:val="none"/>
        </w:rPr>
        <w:t>1</w:t>
      </w:r>
      <w:r>
        <w:rPr>
          <w:szCs w:val="21"/>
          <w:highlight w:val="none"/>
        </w:rPr>
        <w:t>5</w:t>
      </w:r>
      <w:r>
        <w:rPr>
          <w:rFonts w:hint="eastAsia"/>
          <w:szCs w:val="21"/>
          <w:highlight w:val="none"/>
        </w:rPr>
        <w:t>、</w:t>
      </w:r>
      <w:r>
        <w:rPr>
          <w:szCs w:val="21"/>
          <w:highlight w:val="none"/>
        </w:rPr>
        <w:t>投标文件的签署及装订</w:t>
      </w:r>
    </w:p>
    <w:p>
      <w:pPr>
        <w:tabs>
          <w:tab w:val="left" w:pos="709"/>
        </w:tabs>
        <w:spacing w:line="380" w:lineRule="exact"/>
        <w:ind w:firstLine="420" w:firstLineChars="200"/>
        <w:contextualSpacing/>
        <w:rPr>
          <w:szCs w:val="21"/>
          <w:highlight w:val="none"/>
        </w:rPr>
      </w:pPr>
      <w:r>
        <w:rPr>
          <w:rFonts w:hint="eastAsia"/>
          <w:szCs w:val="21"/>
          <w:highlight w:val="none"/>
        </w:rPr>
        <w:t>1</w:t>
      </w:r>
      <w:r>
        <w:rPr>
          <w:szCs w:val="21"/>
          <w:highlight w:val="none"/>
        </w:rPr>
        <w:t>5</w:t>
      </w:r>
      <w:r>
        <w:rPr>
          <w:rFonts w:hint="eastAsia"/>
          <w:szCs w:val="21"/>
          <w:highlight w:val="none"/>
        </w:rPr>
        <w:t>.1</w:t>
      </w:r>
      <w:r>
        <w:rPr>
          <w:szCs w:val="21"/>
          <w:highlight w:val="none"/>
        </w:rPr>
        <w:t>对本</w:t>
      </w:r>
      <w:r>
        <w:rPr>
          <w:rFonts w:hint="eastAsia"/>
          <w:szCs w:val="21"/>
          <w:highlight w:val="none"/>
        </w:rPr>
        <w:t>采购文件相关部分</w:t>
      </w:r>
      <w:r>
        <w:rPr>
          <w:szCs w:val="21"/>
          <w:highlight w:val="none"/>
        </w:rPr>
        <w:t>提供的各种文件</w:t>
      </w:r>
      <w:r>
        <w:rPr>
          <w:rFonts w:hint="eastAsia"/>
          <w:szCs w:val="21"/>
          <w:highlight w:val="none"/>
        </w:rPr>
        <w:t>、表格、格式</w:t>
      </w:r>
      <w:r>
        <w:rPr>
          <w:szCs w:val="21"/>
          <w:highlight w:val="none"/>
        </w:rPr>
        <w:t>，投标人应按</w:t>
      </w:r>
      <w:r>
        <w:rPr>
          <w:rFonts w:hint="eastAsia"/>
          <w:szCs w:val="21"/>
          <w:highlight w:val="none"/>
        </w:rPr>
        <w:t>采购文件</w:t>
      </w:r>
      <w:r>
        <w:rPr>
          <w:szCs w:val="21"/>
          <w:highlight w:val="none"/>
        </w:rPr>
        <w:t>要求填写、签署和加盖公章。</w:t>
      </w:r>
    </w:p>
    <w:p>
      <w:pPr>
        <w:tabs>
          <w:tab w:val="left" w:pos="709"/>
        </w:tabs>
        <w:spacing w:line="380" w:lineRule="exact"/>
        <w:ind w:firstLine="420" w:firstLineChars="200"/>
        <w:contextualSpacing/>
        <w:rPr>
          <w:szCs w:val="21"/>
          <w:highlight w:val="none"/>
        </w:rPr>
      </w:pPr>
      <w:r>
        <w:rPr>
          <w:rFonts w:hint="eastAsia"/>
          <w:szCs w:val="21"/>
          <w:highlight w:val="none"/>
        </w:rPr>
        <w:t>1</w:t>
      </w:r>
      <w:r>
        <w:rPr>
          <w:szCs w:val="21"/>
          <w:highlight w:val="none"/>
        </w:rPr>
        <w:t>5</w:t>
      </w:r>
      <w:r>
        <w:rPr>
          <w:rFonts w:hint="eastAsia"/>
          <w:szCs w:val="21"/>
          <w:highlight w:val="none"/>
        </w:rPr>
        <w:t>.2</w:t>
      </w:r>
      <w:r>
        <w:rPr>
          <w:szCs w:val="21"/>
          <w:highlight w:val="none"/>
        </w:rPr>
        <w:t>投标文件</w:t>
      </w:r>
      <w:r>
        <w:rPr>
          <w:rFonts w:hint="eastAsia"/>
          <w:szCs w:val="21"/>
          <w:highlight w:val="none"/>
        </w:rPr>
        <w:t>必须按采购文件规定的格式</w:t>
      </w:r>
      <w:r>
        <w:rPr>
          <w:szCs w:val="21"/>
          <w:highlight w:val="none"/>
        </w:rPr>
        <w:t>加盖公章、法定代表人签字</w:t>
      </w:r>
      <w:r>
        <w:rPr>
          <w:rFonts w:hint="eastAsia"/>
          <w:szCs w:val="21"/>
          <w:highlight w:val="none"/>
        </w:rPr>
        <w:t>（或盖章或电子章）</w:t>
      </w:r>
      <w:r>
        <w:rPr>
          <w:szCs w:val="21"/>
          <w:highlight w:val="none"/>
        </w:rPr>
        <w:t>、投标代表人签字</w:t>
      </w:r>
      <w:r>
        <w:rPr>
          <w:rFonts w:hint="eastAsia"/>
          <w:szCs w:val="21"/>
          <w:highlight w:val="none"/>
        </w:rPr>
        <w:t>（或盖章或电子章）</w:t>
      </w:r>
      <w:r>
        <w:rPr>
          <w:szCs w:val="21"/>
          <w:highlight w:val="none"/>
        </w:rPr>
        <w:t>。</w:t>
      </w:r>
    </w:p>
    <w:p>
      <w:pPr>
        <w:tabs>
          <w:tab w:val="left" w:pos="709"/>
        </w:tabs>
        <w:spacing w:line="380" w:lineRule="exact"/>
        <w:ind w:firstLine="420" w:firstLineChars="200"/>
        <w:contextualSpacing/>
        <w:rPr>
          <w:szCs w:val="21"/>
          <w:highlight w:val="none"/>
        </w:rPr>
      </w:pPr>
      <w:r>
        <w:rPr>
          <w:rFonts w:hint="eastAsia"/>
          <w:szCs w:val="21"/>
          <w:highlight w:val="none"/>
        </w:rPr>
        <w:t>15.3</w:t>
      </w:r>
      <w:r>
        <w:rPr>
          <w:szCs w:val="21"/>
          <w:highlight w:val="none"/>
        </w:rPr>
        <w:t>投标文件应按各组成部分内容进行整理、编排、立目、索引、注明页码，以有利阅读评审</w:t>
      </w:r>
      <w:r>
        <w:rPr>
          <w:rFonts w:hint="eastAsia"/>
          <w:szCs w:val="21"/>
          <w:highlight w:val="none"/>
        </w:rPr>
        <w:t>。</w:t>
      </w:r>
    </w:p>
    <w:p>
      <w:pPr>
        <w:tabs>
          <w:tab w:val="left" w:pos="709"/>
        </w:tabs>
        <w:spacing w:line="380" w:lineRule="exact"/>
        <w:ind w:firstLine="420" w:firstLineChars="200"/>
        <w:contextualSpacing/>
        <w:rPr>
          <w:szCs w:val="21"/>
          <w:highlight w:val="none"/>
        </w:rPr>
      </w:pPr>
      <w:r>
        <w:rPr>
          <w:rFonts w:hint="eastAsia"/>
          <w:szCs w:val="21"/>
          <w:highlight w:val="none"/>
        </w:rPr>
        <w:t>15</w:t>
      </w:r>
      <w:r>
        <w:rPr>
          <w:szCs w:val="21"/>
          <w:highlight w:val="none"/>
        </w:rPr>
        <w:t>.4</w:t>
      </w:r>
      <w:r>
        <w:rPr>
          <w:rFonts w:hint="eastAsia"/>
          <w:szCs w:val="21"/>
          <w:highlight w:val="none"/>
        </w:rPr>
        <w:t>投标文件的份数</w:t>
      </w:r>
    </w:p>
    <w:p>
      <w:pPr>
        <w:tabs>
          <w:tab w:val="left" w:pos="709"/>
        </w:tabs>
        <w:spacing w:line="380" w:lineRule="exact"/>
        <w:ind w:firstLine="420" w:firstLineChars="200"/>
        <w:contextualSpacing/>
        <w:rPr>
          <w:szCs w:val="21"/>
          <w:highlight w:val="none"/>
        </w:rPr>
      </w:pPr>
      <w:r>
        <w:rPr>
          <w:rFonts w:hint="eastAsia"/>
          <w:szCs w:val="21"/>
          <w:highlight w:val="none"/>
        </w:rPr>
        <w:t>本项目实行网上电子投标。</w:t>
      </w:r>
    </w:p>
    <w:p>
      <w:pPr>
        <w:tabs>
          <w:tab w:val="left" w:pos="709"/>
        </w:tabs>
        <w:spacing w:line="380" w:lineRule="exact"/>
        <w:ind w:firstLine="420" w:firstLineChars="200"/>
        <w:contextualSpacing/>
        <w:rPr>
          <w:szCs w:val="21"/>
          <w:highlight w:val="none"/>
        </w:rPr>
      </w:pPr>
      <w:r>
        <w:rPr>
          <w:rFonts w:hint="eastAsia"/>
          <w:szCs w:val="21"/>
          <w:highlight w:val="none"/>
        </w:rPr>
        <w:t>（</w:t>
      </w:r>
      <w:r>
        <w:rPr>
          <w:szCs w:val="21"/>
          <w:highlight w:val="none"/>
        </w:rPr>
        <w:t>1）上传到政府采购云平台的电子</w:t>
      </w:r>
      <w:r>
        <w:rPr>
          <w:rFonts w:hint="eastAsia"/>
          <w:szCs w:val="21"/>
          <w:highlight w:val="none"/>
        </w:rPr>
        <w:t>加密</w:t>
      </w:r>
      <w:r>
        <w:rPr>
          <w:szCs w:val="21"/>
          <w:highlight w:val="none"/>
        </w:rPr>
        <w:t>投标文件（含资格证明文件、技术商务文件、报价文件）1份。</w:t>
      </w:r>
    </w:p>
    <w:p>
      <w:pPr>
        <w:tabs>
          <w:tab w:val="left" w:pos="709"/>
        </w:tabs>
        <w:spacing w:line="380" w:lineRule="exact"/>
        <w:ind w:firstLine="420" w:firstLineChars="200"/>
        <w:contextualSpacing/>
        <w:rPr>
          <w:szCs w:val="21"/>
          <w:highlight w:val="none"/>
        </w:rPr>
      </w:pPr>
      <w:r>
        <w:rPr>
          <w:rFonts w:hint="eastAsia"/>
          <w:szCs w:val="21"/>
          <w:highlight w:val="none"/>
        </w:rPr>
        <w:t>（</w:t>
      </w:r>
      <w:r>
        <w:rPr>
          <w:szCs w:val="21"/>
          <w:highlight w:val="none"/>
        </w:rPr>
        <w:t>2）以U盘存储的电子备份投标文件（含资格证明文件、技术商务文件、报价文件）1份。</w:t>
      </w:r>
    </w:p>
    <w:p>
      <w:pPr>
        <w:tabs>
          <w:tab w:val="left" w:pos="709"/>
        </w:tabs>
        <w:spacing w:line="380" w:lineRule="exact"/>
        <w:ind w:firstLine="420" w:firstLineChars="200"/>
        <w:contextualSpacing/>
        <w:rPr>
          <w:szCs w:val="21"/>
          <w:highlight w:val="none"/>
        </w:rPr>
      </w:pPr>
      <w:r>
        <w:rPr>
          <w:rFonts w:hint="eastAsia"/>
          <w:szCs w:val="21"/>
          <w:highlight w:val="none"/>
        </w:rPr>
        <w:t>15</w:t>
      </w:r>
      <w:r>
        <w:rPr>
          <w:szCs w:val="21"/>
          <w:highlight w:val="none"/>
        </w:rPr>
        <w:t>.5</w:t>
      </w:r>
      <w:r>
        <w:rPr>
          <w:rFonts w:hint="eastAsia"/>
          <w:szCs w:val="21"/>
          <w:highlight w:val="none"/>
        </w:rPr>
        <w:t>电子投标文件应根据政府采购云平台的要求及本采购文件规定的格式和顺序编制电子投标文件并进行关联定位。</w:t>
      </w:r>
    </w:p>
    <w:p>
      <w:pPr>
        <w:tabs>
          <w:tab w:val="left" w:pos="709"/>
        </w:tabs>
        <w:spacing w:line="380" w:lineRule="exact"/>
        <w:ind w:firstLine="420" w:firstLineChars="200"/>
        <w:contextualSpacing/>
        <w:rPr>
          <w:szCs w:val="21"/>
          <w:highlight w:val="none"/>
        </w:rPr>
      </w:pPr>
      <w:r>
        <w:rPr>
          <w:szCs w:val="21"/>
          <w:highlight w:val="none"/>
        </w:rPr>
        <w:t>15.6</w:t>
      </w:r>
      <w:r>
        <w:rPr>
          <w:rFonts w:hint="eastAsia"/>
          <w:szCs w:val="21"/>
          <w:highlight w:val="none"/>
        </w:rPr>
        <w:t>电子备份投标文件应保证同上传至政府采购云平台的电子投标文件内容相一致。</w:t>
      </w:r>
    </w:p>
    <w:p>
      <w:pPr>
        <w:spacing w:line="380" w:lineRule="exact"/>
        <w:contextualSpacing/>
        <w:rPr>
          <w:szCs w:val="21"/>
          <w:highlight w:val="none"/>
        </w:rPr>
      </w:pPr>
      <w:bookmarkStart w:id="85" w:name="_Toc430790223"/>
      <w:bookmarkStart w:id="86" w:name="_Toc425151742"/>
      <w:bookmarkStart w:id="87" w:name="_Toc425780286"/>
      <w:bookmarkStart w:id="88" w:name="_Toc429407702"/>
      <w:r>
        <w:rPr>
          <w:rFonts w:hint="eastAsia"/>
          <w:szCs w:val="21"/>
          <w:highlight w:val="none"/>
        </w:rPr>
        <w:t>16、</w:t>
      </w:r>
      <w:r>
        <w:rPr>
          <w:szCs w:val="21"/>
          <w:highlight w:val="none"/>
        </w:rPr>
        <w:t>投标文件的密封、标记和递送</w:t>
      </w:r>
      <w:bookmarkEnd w:id="85"/>
      <w:bookmarkEnd w:id="86"/>
      <w:bookmarkEnd w:id="87"/>
      <w:bookmarkEnd w:id="88"/>
    </w:p>
    <w:p>
      <w:pPr>
        <w:tabs>
          <w:tab w:val="left" w:pos="709"/>
        </w:tabs>
        <w:spacing w:line="380" w:lineRule="exact"/>
        <w:ind w:firstLine="420" w:firstLineChars="200"/>
        <w:contextualSpacing/>
        <w:rPr>
          <w:szCs w:val="21"/>
          <w:highlight w:val="none"/>
        </w:rPr>
      </w:pPr>
      <w:r>
        <w:rPr>
          <w:rFonts w:hint="eastAsia"/>
          <w:szCs w:val="21"/>
          <w:highlight w:val="none"/>
        </w:rPr>
        <w:t>16.1以U盘存储的电子备份投标文件用分带密封后递交。</w:t>
      </w:r>
    </w:p>
    <w:p>
      <w:pPr>
        <w:snapToGrid w:val="0"/>
        <w:spacing w:line="380" w:lineRule="exact"/>
        <w:ind w:firstLine="420"/>
        <w:contextualSpacing/>
        <w:jc w:val="left"/>
        <w:rPr>
          <w:rFonts w:cs="宋体"/>
          <w:kern w:val="0"/>
          <w:szCs w:val="21"/>
          <w:highlight w:val="none"/>
        </w:rPr>
      </w:pPr>
      <w:r>
        <w:rPr>
          <w:rFonts w:hint="eastAsia" w:cs="宋体"/>
          <w:kern w:val="0"/>
          <w:szCs w:val="21"/>
          <w:highlight w:val="none"/>
        </w:rPr>
        <w:t>16</w:t>
      </w:r>
      <w:r>
        <w:rPr>
          <w:rFonts w:cs="宋体"/>
          <w:kern w:val="0"/>
          <w:szCs w:val="21"/>
          <w:highlight w:val="none"/>
        </w:rPr>
        <w:t>.2</w:t>
      </w:r>
      <w:r>
        <w:rPr>
          <w:rFonts w:hint="eastAsia" w:cs="宋体"/>
          <w:kern w:val="0"/>
          <w:szCs w:val="21"/>
          <w:highlight w:val="none"/>
        </w:rPr>
        <w:t>投标文件的包装封面上应注明投标人名称、投标人地址、投标文件名称</w:t>
      </w:r>
      <w:r>
        <w:rPr>
          <w:rFonts w:cs="宋体"/>
          <w:kern w:val="0"/>
          <w:szCs w:val="21"/>
          <w:highlight w:val="none"/>
        </w:rPr>
        <w:t>(</w:t>
      </w:r>
      <w:r>
        <w:rPr>
          <w:rFonts w:hint="eastAsia" w:cs="宋体"/>
          <w:kern w:val="0"/>
          <w:szCs w:val="21"/>
          <w:highlight w:val="none"/>
        </w:rPr>
        <w:t>电子备份投标文件</w:t>
      </w:r>
      <w:r>
        <w:rPr>
          <w:rFonts w:cs="宋体"/>
          <w:kern w:val="0"/>
          <w:szCs w:val="21"/>
          <w:highlight w:val="none"/>
        </w:rPr>
        <w:t>/</w:t>
      </w:r>
      <w:r>
        <w:rPr>
          <w:rFonts w:hint="eastAsia" w:cs="宋体"/>
          <w:kern w:val="0"/>
          <w:szCs w:val="21"/>
          <w:highlight w:val="none"/>
        </w:rPr>
        <w:t>资格证明文件</w:t>
      </w:r>
      <w:r>
        <w:rPr>
          <w:rFonts w:cs="宋体"/>
          <w:kern w:val="0"/>
          <w:szCs w:val="21"/>
          <w:highlight w:val="none"/>
        </w:rPr>
        <w:t>/</w:t>
      </w:r>
      <w:r>
        <w:rPr>
          <w:rFonts w:hint="eastAsia" w:cs="宋体"/>
          <w:kern w:val="0"/>
          <w:szCs w:val="21"/>
          <w:highlight w:val="none"/>
        </w:rPr>
        <w:t>技术商务文件</w:t>
      </w:r>
      <w:r>
        <w:rPr>
          <w:rFonts w:cs="宋体"/>
          <w:kern w:val="0"/>
          <w:szCs w:val="21"/>
          <w:highlight w:val="none"/>
        </w:rPr>
        <w:t>/</w:t>
      </w:r>
      <w:r>
        <w:rPr>
          <w:rFonts w:hint="eastAsia" w:cs="宋体"/>
          <w:kern w:val="0"/>
          <w:szCs w:val="21"/>
          <w:highlight w:val="none"/>
        </w:rPr>
        <w:t>报价文件</w:t>
      </w:r>
      <w:r>
        <w:rPr>
          <w:rFonts w:cs="宋体"/>
          <w:kern w:val="0"/>
          <w:szCs w:val="21"/>
          <w:highlight w:val="none"/>
        </w:rPr>
        <w:t>)</w:t>
      </w:r>
      <w:r>
        <w:rPr>
          <w:rFonts w:hint="eastAsia" w:cs="宋体"/>
          <w:kern w:val="0"/>
          <w:szCs w:val="21"/>
          <w:highlight w:val="none"/>
        </w:rPr>
        <w:t>、投标项目名称、项目编号，并加盖投标人公章。</w:t>
      </w:r>
    </w:p>
    <w:p>
      <w:pPr>
        <w:snapToGrid w:val="0"/>
        <w:spacing w:line="380" w:lineRule="exact"/>
        <w:ind w:firstLine="420"/>
        <w:contextualSpacing/>
        <w:jc w:val="left"/>
        <w:rPr>
          <w:rFonts w:cs="宋体"/>
          <w:szCs w:val="21"/>
          <w:highlight w:val="none"/>
        </w:rPr>
      </w:pPr>
      <w:r>
        <w:rPr>
          <w:rFonts w:cs="宋体"/>
          <w:szCs w:val="21"/>
          <w:highlight w:val="none"/>
        </w:rPr>
        <w:t>16.3</w:t>
      </w:r>
      <w:r>
        <w:rPr>
          <w:rFonts w:hint="eastAsia" w:cs="宋体"/>
          <w:szCs w:val="21"/>
          <w:highlight w:val="none"/>
        </w:rPr>
        <w:t>未按规定密封或标记的投标文件将被拒绝，由此造成投标文件被误投或提前拆封的风险由供应商承担。</w:t>
      </w:r>
    </w:p>
    <w:p>
      <w:pPr>
        <w:snapToGrid w:val="0"/>
        <w:spacing w:line="380" w:lineRule="exact"/>
        <w:ind w:firstLine="420"/>
        <w:contextualSpacing/>
        <w:jc w:val="left"/>
        <w:rPr>
          <w:rFonts w:cs="宋体"/>
          <w:szCs w:val="21"/>
          <w:highlight w:val="none"/>
        </w:rPr>
      </w:pPr>
      <w:r>
        <w:rPr>
          <w:rFonts w:cs="宋体"/>
          <w:szCs w:val="21"/>
          <w:highlight w:val="none"/>
        </w:rPr>
        <w:t>16.4</w:t>
      </w:r>
      <w:r>
        <w:rPr>
          <w:rFonts w:hint="eastAsia" w:cs="宋体"/>
          <w:szCs w:val="21"/>
          <w:highlight w:val="none"/>
        </w:rPr>
        <w:t>供应商在投标截止时间之前，可以对已提交的</w:t>
      </w:r>
      <w:r>
        <w:rPr>
          <w:rFonts w:hint="eastAsia" w:cs="宋体"/>
          <w:kern w:val="0"/>
          <w:szCs w:val="21"/>
          <w:highlight w:val="none"/>
        </w:rPr>
        <w:t>电子备份投标文件</w:t>
      </w:r>
      <w:r>
        <w:rPr>
          <w:rFonts w:hint="eastAsia" w:cs="宋体"/>
          <w:szCs w:val="21"/>
          <w:highlight w:val="none"/>
        </w:rPr>
        <w:t>进行修改或撤回，并书面通知招标采购单位；投标截止时间后，供应商不得撤销、修改投标文件。修改后重新递交的</w:t>
      </w:r>
      <w:r>
        <w:rPr>
          <w:rFonts w:hint="eastAsia" w:cs="宋体"/>
          <w:kern w:val="0"/>
          <w:szCs w:val="21"/>
          <w:highlight w:val="none"/>
        </w:rPr>
        <w:t>电子备份投标文件</w:t>
      </w:r>
      <w:r>
        <w:rPr>
          <w:rFonts w:hint="eastAsia" w:cs="宋体"/>
          <w:szCs w:val="21"/>
          <w:highlight w:val="none"/>
        </w:rPr>
        <w:t>应当按本采购文件的要求签署、盖章和密封。</w:t>
      </w:r>
    </w:p>
    <w:p>
      <w:pPr>
        <w:spacing w:line="380" w:lineRule="exact"/>
        <w:ind w:firstLine="420" w:firstLineChars="200"/>
        <w:contextualSpacing/>
        <w:rPr>
          <w:szCs w:val="21"/>
          <w:highlight w:val="none"/>
        </w:rPr>
      </w:pPr>
      <w:r>
        <w:rPr>
          <w:rFonts w:cs="宋体"/>
          <w:szCs w:val="21"/>
          <w:highlight w:val="none"/>
        </w:rPr>
        <w:t>16.5</w:t>
      </w:r>
      <w:r>
        <w:rPr>
          <w:rFonts w:hint="eastAsia" w:cs="宋体"/>
          <w:szCs w:val="21"/>
          <w:highlight w:val="none"/>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pacing w:line="380" w:lineRule="exact"/>
        <w:contextualSpacing/>
        <w:rPr>
          <w:szCs w:val="21"/>
          <w:highlight w:val="none"/>
        </w:rPr>
      </w:pPr>
      <w:bookmarkStart w:id="89" w:name="_Toc429407703"/>
      <w:bookmarkStart w:id="90" w:name="_Toc425151743"/>
      <w:bookmarkStart w:id="91" w:name="_Toc425780287"/>
      <w:bookmarkStart w:id="92" w:name="_Toc430790224"/>
      <w:r>
        <w:rPr>
          <w:rFonts w:hint="eastAsia"/>
          <w:szCs w:val="21"/>
          <w:highlight w:val="none"/>
        </w:rPr>
        <w:t>1</w:t>
      </w:r>
      <w:r>
        <w:rPr>
          <w:szCs w:val="21"/>
          <w:highlight w:val="none"/>
        </w:rPr>
        <w:t>7</w:t>
      </w:r>
      <w:r>
        <w:rPr>
          <w:rFonts w:hint="eastAsia"/>
          <w:szCs w:val="21"/>
          <w:highlight w:val="none"/>
        </w:rPr>
        <w:t>、</w:t>
      </w:r>
      <w:r>
        <w:rPr>
          <w:szCs w:val="21"/>
          <w:highlight w:val="none"/>
        </w:rPr>
        <w:t>投标</w:t>
      </w:r>
      <w:bookmarkEnd w:id="89"/>
      <w:bookmarkEnd w:id="90"/>
      <w:bookmarkEnd w:id="91"/>
      <w:bookmarkEnd w:id="92"/>
    </w:p>
    <w:p>
      <w:pPr>
        <w:tabs>
          <w:tab w:val="left" w:pos="709"/>
        </w:tabs>
        <w:spacing w:line="380" w:lineRule="exact"/>
        <w:ind w:firstLine="420" w:firstLineChars="200"/>
        <w:contextualSpacing/>
        <w:rPr>
          <w:szCs w:val="21"/>
          <w:highlight w:val="none"/>
        </w:rPr>
      </w:pPr>
      <w:r>
        <w:rPr>
          <w:szCs w:val="21"/>
          <w:highlight w:val="none"/>
        </w:rPr>
        <w:t>在采购文件《投标资料表》中规定的投标截止时间前，投标文件必须</w:t>
      </w:r>
      <w:r>
        <w:rPr>
          <w:rFonts w:hint="eastAsia"/>
          <w:szCs w:val="21"/>
          <w:highlight w:val="none"/>
        </w:rPr>
        <w:t>将电子投标文件上传至政府采购云平台</w:t>
      </w:r>
      <w:r>
        <w:rPr>
          <w:szCs w:val="21"/>
          <w:highlight w:val="none"/>
        </w:rPr>
        <w:t>www.zcygov.cn，未上传电子投标文件，视为</w:t>
      </w:r>
      <w:r>
        <w:rPr>
          <w:rFonts w:hint="eastAsia"/>
          <w:szCs w:val="21"/>
          <w:highlight w:val="none"/>
        </w:rPr>
        <w:t>投标人</w:t>
      </w:r>
      <w:r>
        <w:rPr>
          <w:szCs w:val="21"/>
          <w:highlight w:val="none"/>
        </w:rPr>
        <w:t>放弃投标</w:t>
      </w:r>
      <w:r>
        <w:rPr>
          <w:rFonts w:hint="eastAsia"/>
          <w:szCs w:val="21"/>
          <w:highlight w:val="none"/>
        </w:rPr>
        <w:t>。并在投标截止时间前将电子备份投标文件送至指定的投标地点。</w:t>
      </w:r>
      <w:r>
        <w:rPr>
          <w:szCs w:val="21"/>
          <w:highlight w:val="none"/>
        </w:rPr>
        <w:t>在投标截止时间以后送达的投标文件将被拒绝。</w:t>
      </w:r>
    </w:p>
    <w:p>
      <w:pPr>
        <w:spacing w:line="380" w:lineRule="exact"/>
        <w:contextualSpacing/>
        <w:rPr>
          <w:szCs w:val="21"/>
          <w:highlight w:val="none"/>
        </w:rPr>
      </w:pPr>
      <w:bookmarkStart w:id="93" w:name="_Toc425780288"/>
      <w:bookmarkStart w:id="94" w:name="_Toc425151744"/>
      <w:bookmarkStart w:id="95" w:name="_Toc430790225"/>
      <w:bookmarkStart w:id="96" w:name="_Toc429407704"/>
      <w:r>
        <w:rPr>
          <w:rFonts w:hint="eastAsia"/>
          <w:szCs w:val="21"/>
          <w:highlight w:val="none"/>
        </w:rPr>
        <w:t>1</w:t>
      </w:r>
      <w:r>
        <w:rPr>
          <w:szCs w:val="21"/>
          <w:highlight w:val="none"/>
        </w:rPr>
        <w:t>8</w:t>
      </w:r>
      <w:r>
        <w:rPr>
          <w:rFonts w:hint="eastAsia"/>
          <w:szCs w:val="21"/>
          <w:highlight w:val="none"/>
        </w:rPr>
        <w:t>、</w:t>
      </w:r>
      <w:r>
        <w:rPr>
          <w:szCs w:val="21"/>
          <w:highlight w:val="none"/>
        </w:rPr>
        <w:t>投标文件的修改和撤回</w:t>
      </w:r>
      <w:bookmarkEnd w:id="93"/>
      <w:bookmarkEnd w:id="94"/>
      <w:bookmarkEnd w:id="95"/>
      <w:bookmarkEnd w:id="96"/>
    </w:p>
    <w:p>
      <w:pPr>
        <w:tabs>
          <w:tab w:val="left" w:pos="709"/>
        </w:tabs>
        <w:spacing w:line="380" w:lineRule="exact"/>
        <w:ind w:firstLine="420" w:firstLineChars="200"/>
        <w:contextualSpacing/>
        <w:rPr>
          <w:szCs w:val="21"/>
          <w:highlight w:val="none"/>
        </w:rPr>
      </w:pPr>
      <w:r>
        <w:rPr>
          <w:rFonts w:hint="eastAsia"/>
          <w:szCs w:val="21"/>
          <w:highlight w:val="none"/>
        </w:rPr>
        <w:t>1</w:t>
      </w:r>
      <w:r>
        <w:rPr>
          <w:szCs w:val="21"/>
          <w:highlight w:val="none"/>
        </w:rPr>
        <w:t>8</w:t>
      </w:r>
      <w:r>
        <w:rPr>
          <w:rFonts w:hint="eastAsia"/>
          <w:szCs w:val="21"/>
          <w:highlight w:val="none"/>
        </w:rPr>
        <w:t>.1</w:t>
      </w:r>
      <w:r>
        <w:rPr>
          <w:szCs w:val="21"/>
          <w:highlight w:val="none"/>
        </w:rPr>
        <w:t>投标文件递交以后，在投标截止时间之前，投标人可以要求修改或</w:t>
      </w:r>
      <w:r>
        <w:rPr>
          <w:rFonts w:hint="eastAsia"/>
          <w:szCs w:val="21"/>
          <w:highlight w:val="none"/>
        </w:rPr>
        <w:t>撤回已上传的电子投标文件</w:t>
      </w:r>
      <w:r>
        <w:rPr>
          <w:szCs w:val="21"/>
          <w:highlight w:val="none"/>
        </w:rPr>
        <w:t>。</w:t>
      </w:r>
    </w:p>
    <w:p>
      <w:pPr>
        <w:tabs>
          <w:tab w:val="left" w:pos="709"/>
        </w:tabs>
        <w:spacing w:line="380" w:lineRule="exact"/>
        <w:ind w:firstLine="420" w:firstLineChars="200"/>
        <w:contextualSpacing/>
        <w:rPr>
          <w:szCs w:val="21"/>
          <w:highlight w:val="none"/>
        </w:rPr>
      </w:pPr>
      <w:r>
        <w:rPr>
          <w:rFonts w:hint="eastAsia"/>
          <w:szCs w:val="21"/>
          <w:highlight w:val="none"/>
        </w:rPr>
        <w:t>1</w:t>
      </w:r>
      <w:r>
        <w:rPr>
          <w:szCs w:val="21"/>
          <w:highlight w:val="none"/>
        </w:rPr>
        <w:t>8</w:t>
      </w:r>
      <w:r>
        <w:rPr>
          <w:rFonts w:hint="eastAsia"/>
          <w:szCs w:val="21"/>
          <w:highlight w:val="none"/>
        </w:rPr>
        <w:t>.2</w:t>
      </w:r>
      <w:r>
        <w:rPr>
          <w:szCs w:val="21"/>
          <w:highlight w:val="none"/>
        </w:rPr>
        <w:t>在投标截止时间之后，投标人不得对其投标文件进行修改。</w:t>
      </w:r>
      <w:bookmarkEnd w:id="81"/>
      <w:bookmarkEnd w:id="82"/>
      <w:bookmarkEnd w:id="83"/>
      <w:bookmarkEnd w:id="84"/>
    </w:p>
    <w:p>
      <w:pPr>
        <w:pStyle w:val="2"/>
        <w:contextualSpacing/>
        <w:rPr>
          <w:rFonts w:ascii="Times New Roman"/>
          <w:sz w:val="24"/>
          <w:szCs w:val="24"/>
          <w:highlight w:val="none"/>
        </w:rPr>
      </w:pPr>
      <w:bookmarkStart w:id="97" w:name="_Toc445193547"/>
      <w:bookmarkStart w:id="98" w:name="_Toc425780289"/>
      <w:bookmarkStart w:id="99" w:name="_Toc430790226"/>
      <w:bookmarkStart w:id="100" w:name="_Toc429407705"/>
      <w:bookmarkStart w:id="101" w:name="_Toc496003207"/>
      <w:bookmarkStart w:id="102" w:name="_Toc505353786"/>
      <w:bookmarkStart w:id="103" w:name="_Toc456853672"/>
      <w:bookmarkStart w:id="104" w:name="_Toc425151745"/>
      <w:bookmarkStart w:id="105" w:name="_Toc498429635"/>
      <w:r>
        <w:rPr>
          <w:rFonts w:hint="eastAsia" w:ascii="Times New Roman"/>
          <w:sz w:val="24"/>
          <w:szCs w:val="24"/>
          <w:highlight w:val="none"/>
        </w:rPr>
        <w:t>六、</w:t>
      </w:r>
      <w:r>
        <w:rPr>
          <w:rFonts w:ascii="Times New Roman"/>
          <w:sz w:val="24"/>
          <w:szCs w:val="24"/>
          <w:highlight w:val="none"/>
        </w:rPr>
        <w:t>开标</w:t>
      </w:r>
      <w:bookmarkEnd w:id="97"/>
      <w:bookmarkEnd w:id="98"/>
      <w:bookmarkEnd w:id="99"/>
      <w:bookmarkEnd w:id="100"/>
      <w:bookmarkEnd w:id="101"/>
      <w:bookmarkEnd w:id="102"/>
      <w:bookmarkEnd w:id="103"/>
      <w:bookmarkEnd w:id="104"/>
      <w:bookmarkEnd w:id="105"/>
    </w:p>
    <w:p>
      <w:pPr>
        <w:spacing w:line="380" w:lineRule="exact"/>
        <w:contextualSpacing/>
        <w:rPr>
          <w:szCs w:val="21"/>
          <w:highlight w:val="none"/>
        </w:rPr>
      </w:pPr>
      <w:bookmarkStart w:id="106" w:name="_Toc496003208"/>
      <w:bookmarkStart w:id="107" w:name="_Toc445193548"/>
      <w:bookmarkStart w:id="108" w:name="_Toc425151747"/>
      <w:bookmarkStart w:id="109" w:name="_Toc425780291"/>
      <w:bookmarkStart w:id="110" w:name="_Toc430790228"/>
      <w:bookmarkStart w:id="111" w:name="_Toc429407707"/>
      <w:bookmarkStart w:id="112" w:name="_Toc498429636"/>
      <w:bookmarkStart w:id="113" w:name="_Toc456853673"/>
      <w:bookmarkStart w:id="114" w:name="_Toc505353787"/>
      <w:r>
        <w:rPr>
          <w:szCs w:val="21"/>
          <w:highlight w:val="none"/>
        </w:rPr>
        <w:t>19</w:t>
      </w:r>
      <w:r>
        <w:rPr>
          <w:rFonts w:hint="eastAsia"/>
          <w:szCs w:val="21"/>
          <w:highlight w:val="none"/>
        </w:rPr>
        <w:t>、开标准备</w:t>
      </w:r>
    </w:p>
    <w:p>
      <w:pPr>
        <w:spacing w:line="380" w:lineRule="exact"/>
        <w:ind w:firstLine="420" w:firstLineChars="200"/>
        <w:contextualSpacing/>
        <w:rPr>
          <w:rFonts w:cs="宋体"/>
          <w:szCs w:val="21"/>
          <w:highlight w:val="none"/>
        </w:rPr>
      </w:pPr>
      <w:r>
        <w:rPr>
          <w:rFonts w:cs="宋体"/>
          <w:szCs w:val="21"/>
          <w:highlight w:val="none"/>
        </w:rPr>
        <w:t>19.1采购代理机构将组织各投标人法定代表人或其授权代表分别登记、签到，无关人员不得进入现场</w:t>
      </w:r>
      <w:r>
        <w:rPr>
          <w:rFonts w:hint="eastAsia"/>
          <w:szCs w:val="21"/>
          <w:highlight w:val="none"/>
        </w:rPr>
        <w:t>。</w:t>
      </w:r>
      <w:r>
        <w:rPr>
          <w:rFonts w:cs="宋体"/>
          <w:szCs w:val="21"/>
          <w:highlight w:val="none"/>
        </w:rPr>
        <w:t>投标人未参加开标的，视同认可开标结果。</w:t>
      </w:r>
    </w:p>
    <w:p>
      <w:pPr>
        <w:spacing w:line="380" w:lineRule="exact"/>
        <w:ind w:firstLine="420" w:firstLineChars="200"/>
        <w:contextualSpacing/>
        <w:rPr>
          <w:rFonts w:cs="宋体"/>
          <w:szCs w:val="21"/>
          <w:highlight w:val="none"/>
        </w:rPr>
      </w:pPr>
      <w:r>
        <w:rPr>
          <w:rFonts w:cs="宋体"/>
          <w:szCs w:val="21"/>
          <w:highlight w:val="none"/>
        </w:rPr>
        <w:t>19.2采购代理机构接收投标文件并登记，各投标人法定代表人或其授权代表对投标文件的递交记录情况进行签字确认。</w:t>
      </w:r>
    </w:p>
    <w:p>
      <w:pPr>
        <w:spacing w:line="380" w:lineRule="exact"/>
        <w:ind w:firstLine="420" w:firstLineChars="200"/>
        <w:contextualSpacing/>
        <w:rPr>
          <w:rFonts w:cs="宋体"/>
          <w:szCs w:val="21"/>
          <w:highlight w:val="none"/>
        </w:rPr>
      </w:pPr>
      <w:r>
        <w:rPr>
          <w:rFonts w:cs="宋体"/>
          <w:szCs w:val="21"/>
          <w:highlight w:val="none"/>
        </w:rPr>
        <w:t>19.3采购代理机构宣布开标，介绍开标现场的人员情况，宣读递交投标文件的投标人名单、开标纪律、应当回避的情形等注意事项，组织各投标人法定代表人或其授权代表签署不存在影响公平竞争的《</w:t>
      </w:r>
      <w:r>
        <w:rPr>
          <w:rFonts w:hint="eastAsia" w:cs="宋体"/>
          <w:szCs w:val="21"/>
          <w:highlight w:val="none"/>
        </w:rPr>
        <w:t>政府采购</w:t>
      </w:r>
      <w:r>
        <w:rPr>
          <w:rFonts w:cs="宋体"/>
          <w:szCs w:val="21"/>
          <w:highlight w:val="none"/>
        </w:rPr>
        <w:t>活动现场确认声明书》。</w:t>
      </w:r>
    </w:p>
    <w:p>
      <w:pPr>
        <w:spacing w:line="380" w:lineRule="exact"/>
        <w:contextualSpacing/>
        <w:rPr>
          <w:szCs w:val="21"/>
          <w:highlight w:val="none"/>
        </w:rPr>
      </w:pPr>
      <w:r>
        <w:rPr>
          <w:szCs w:val="21"/>
          <w:highlight w:val="none"/>
        </w:rPr>
        <w:t>20</w:t>
      </w:r>
      <w:r>
        <w:rPr>
          <w:rFonts w:hint="eastAsia"/>
          <w:szCs w:val="21"/>
          <w:highlight w:val="none"/>
        </w:rPr>
        <w:t>、开标程序：</w:t>
      </w:r>
    </w:p>
    <w:p>
      <w:pPr>
        <w:spacing w:line="380" w:lineRule="exact"/>
        <w:ind w:firstLine="420" w:firstLineChars="200"/>
        <w:contextualSpacing/>
        <w:rPr>
          <w:rFonts w:cs="宋体"/>
          <w:szCs w:val="21"/>
          <w:highlight w:val="none"/>
        </w:rPr>
      </w:pPr>
      <w:r>
        <w:rPr>
          <w:rFonts w:cs="宋体"/>
          <w:szCs w:val="21"/>
          <w:highlight w:val="none"/>
        </w:rPr>
        <w:t>20.1</w:t>
      </w:r>
      <w:r>
        <w:rPr>
          <w:rFonts w:hint="eastAsia" w:cs="宋体"/>
          <w:szCs w:val="21"/>
          <w:highlight w:val="none"/>
        </w:rPr>
        <w:t>电子招投标开标程序：</w:t>
      </w:r>
    </w:p>
    <w:p>
      <w:pPr>
        <w:spacing w:line="380" w:lineRule="exact"/>
        <w:ind w:firstLine="420" w:firstLineChars="200"/>
        <w:contextualSpacing/>
        <w:rPr>
          <w:rFonts w:cs="宋体"/>
          <w:szCs w:val="21"/>
          <w:highlight w:val="none"/>
        </w:rPr>
      </w:pPr>
      <w:r>
        <w:rPr>
          <w:rFonts w:hint="eastAsia" w:cs="宋体"/>
          <w:szCs w:val="21"/>
          <w:highlight w:val="none"/>
        </w:rPr>
        <w:t>（1）投标截止时间后，供应商登录政府采购云平台，用“项目采购</w:t>
      </w:r>
      <w:r>
        <w:rPr>
          <w:rFonts w:cs="宋体"/>
          <w:szCs w:val="21"/>
          <w:highlight w:val="none"/>
        </w:rPr>
        <w:t>-</w:t>
      </w:r>
      <w:r>
        <w:rPr>
          <w:rFonts w:hint="eastAsia" w:cs="宋体"/>
          <w:szCs w:val="21"/>
          <w:highlight w:val="none"/>
        </w:rPr>
        <w:t>开标评标”功能对电子投标文件进行在线解密，在线解密电子投标文件时间为开标时间后</w:t>
      </w:r>
      <w:r>
        <w:rPr>
          <w:rFonts w:cs="宋体"/>
          <w:szCs w:val="21"/>
          <w:highlight w:val="none"/>
        </w:rPr>
        <w:t>30分钟</w:t>
      </w:r>
      <w:r>
        <w:rPr>
          <w:rFonts w:hint="eastAsia" w:cs="宋体"/>
          <w:szCs w:val="21"/>
          <w:highlight w:val="none"/>
        </w:rPr>
        <w:t>内。</w:t>
      </w:r>
    </w:p>
    <w:p>
      <w:pPr>
        <w:spacing w:line="380" w:lineRule="exact"/>
        <w:ind w:firstLine="420" w:firstLineChars="200"/>
        <w:contextualSpacing/>
        <w:rPr>
          <w:rFonts w:cs="宋体"/>
          <w:szCs w:val="21"/>
          <w:highlight w:val="none"/>
        </w:rPr>
      </w:pPr>
      <w:r>
        <w:rPr>
          <w:rFonts w:hint="eastAsia" w:cs="宋体"/>
          <w:szCs w:val="21"/>
          <w:highlight w:val="none"/>
        </w:rPr>
        <w:t>（2）在政府采购云平台开启已解密投标人的“资格证明文件、技术商务文件”，待资格审查、技术商务评审结束并公布资格审查、技术商务评分结果后，再开启已解密投标人的“报价文件”并做开标记录；</w:t>
      </w:r>
    </w:p>
    <w:p>
      <w:pPr>
        <w:spacing w:line="380" w:lineRule="exact"/>
        <w:ind w:firstLine="420" w:firstLineChars="200"/>
        <w:contextualSpacing/>
        <w:rPr>
          <w:rFonts w:cs="宋体"/>
          <w:szCs w:val="21"/>
          <w:highlight w:val="none"/>
        </w:rPr>
      </w:pPr>
      <w:r>
        <w:rPr>
          <w:rFonts w:hint="eastAsia" w:cs="宋体"/>
          <w:szCs w:val="21"/>
          <w:highlight w:val="none"/>
        </w:rPr>
        <w:t>（</w:t>
      </w:r>
      <w:r>
        <w:rPr>
          <w:rFonts w:cs="宋体"/>
          <w:szCs w:val="21"/>
          <w:highlight w:val="none"/>
        </w:rPr>
        <w:t>3</w:t>
      </w:r>
      <w:r>
        <w:rPr>
          <w:rFonts w:hint="eastAsia" w:cs="宋体"/>
          <w:szCs w:val="21"/>
          <w:highlight w:val="none"/>
        </w:rPr>
        <w:t>）在政府采购云平台公布评审结果。</w:t>
      </w:r>
    </w:p>
    <w:p>
      <w:pPr>
        <w:spacing w:line="380" w:lineRule="exact"/>
        <w:ind w:firstLine="420" w:firstLineChars="200"/>
        <w:contextualSpacing/>
        <w:rPr>
          <w:rFonts w:cs="宋体"/>
          <w:szCs w:val="21"/>
          <w:highlight w:val="none"/>
        </w:rPr>
      </w:pPr>
      <w:r>
        <w:rPr>
          <w:rFonts w:hint="eastAsia" w:cs="宋体"/>
          <w:szCs w:val="21"/>
          <w:highlight w:val="none"/>
        </w:rPr>
        <w:t>（</w:t>
      </w:r>
      <w:r>
        <w:rPr>
          <w:rFonts w:cs="宋体"/>
          <w:szCs w:val="21"/>
          <w:highlight w:val="none"/>
        </w:rPr>
        <w:t>4</w:t>
      </w:r>
      <w:r>
        <w:rPr>
          <w:rFonts w:hint="eastAsia" w:cs="宋体"/>
          <w:szCs w:val="21"/>
          <w:highlight w:val="none"/>
        </w:rPr>
        <w:t>）开标会议结束。</w:t>
      </w:r>
    </w:p>
    <w:p>
      <w:pPr>
        <w:spacing w:line="380" w:lineRule="exact"/>
        <w:ind w:firstLine="420" w:firstLineChars="200"/>
        <w:contextualSpacing/>
        <w:rPr>
          <w:rFonts w:cs="宋体"/>
          <w:szCs w:val="21"/>
          <w:highlight w:val="none"/>
        </w:rPr>
      </w:pPr>
      <w:r>
        <w:rPr>
          <w:rFonts w:cs="宋体"/>
          <w:szCs w:val="21"/>
          <w:highlight w:val="none"/>
        </w:rPr>
        <w:t>20.2</w:t>
      </w:r>
      <w:r>
        <w:rPr>
          <w:rFonts w:hint="eastAsia" w:cs="宋体"/>
          <w:szCs w:val="21"/>
          <w:highlight w:val="none"/>
        </w:rPr>
        <w:t>特别说明：政府采购云平台如对电子化开标及评审程序有调整的，按调整后的程序操作。</w:t>
      </w:r>
    </w:p>
    <w:p>
      <w:pPr>
        <w:spacing w:line="380" w:lineRule="exact"/>
        <w:ind w:firstLine="420" w:firstLineChars="200"/>
        <w:contextualSpacing/>
        <w:rPr>
          <w:rFonts w:cs="宋体"/>
          <w:szCs w:val="21"/>
          <w:highlight w:val="none"/>
        </w:rPr>
      </w:pPr>
      <w:r>
        <w:rPr>
          <w:rFonts w:hint="eastAsia" w:cs="宋体"/>
          <w:szCs w:val="21"/>
          <w:highlight w:val="none"/>
        </w:rPr>
        <w:t>本项目原则上采用政采云电子招投标开标程序，但有以下情形之一的，按以下处理：</w:t>
      </w:r>
    </w:p>
    <w:p>
      <w:pPr>
        <w:spacing w:line="380" w:lineRule="exact"/>
        <w:ind w:firstLine="420" w:firstLineChars="200"/>
        <w:contextualSpacing/>
        <w:rPr>
          <w:rFonts w:cs="宋体"/>
          <w:szCs w:val="21"/>
          <w:highlight w:val="none"/>
        </w:rPr>
      </w:pPr>
      <w:r>
        <w:rPr>
          <w:rFonts w:hint="eastAsia" w:cs="宋体"/>
          <w:szCs w:val="21"/>
          <w:highlight w:val="none"/>
        </w:rPr>
        <w:t>（</w:t>
      </w:r>
      <w:r>
        <w:rPr>
          <w:rFonts w:cs="宋体"/>
          <w:szCs w:val="21"/>
          <w:highlight w:val="none"/>
        </w:rPr>
        <w:t>1</w:t>
      </w:r>
      <w:r>
        <w:rPr>
          <w:rFonts w:hint="eastAsia" w:cs="宋体"/>
          <w:szCs w:val="21"/>
          <w:highlight w:val="none"/>
        </w:rPr>
        <w:t>）若有供应商在规定时间内无法解密或解密失败，代理机构将开启该供应商递交的以</w:t>
      </w:r>
      <w:r>
        <w:rPr>
          <w:rFonts w:cs="宋体"/>
          <w:szCs w:val="21"/>
          <w:highlight w:val="none"/>
        </w:rPr>
        <w:t>U</w:t>
      </w:r>
      <w:r>
        <w:rPr>
          <w:rFonts w:hint="eastAsia" w:cs="宋体"/>
          <w:szCs w:val="21"/>
          <w:highlight w:val="none"/>
        </w:rPr>
        <w:t>盘存储的电子备份投标文件，上传至政采云平台项目采购模块，以完成开标，电子投标文件自动失效。</w:t>
      </w:r>
    </w:p>
    <w:p>
      <w:pPr>
        <w:spacing w:line="380" w:lineRule="exact"/>
        <w:ind w:firstLine="420" w:firstLineChars="200"/>
        <w:contextualSpacing/>
        <w:rPr>
          <w:rFonts w:cs="宋体"/>
          <w:szCs w:val="21"/>
          <w:highlight w:val="none"/>
        </w:rPr>
      </w:pPr>
      <w:r>
        <w:rPr>
          <w:rFonts w:hint="eastAsia" w:cs="宋体"/>
          <w:szCs w:val="21"/>
          <w:highlight w:val="none"/>
        </w:rPr>
        <w:t>（</w:t>
      </w:r>
      <w:r>
        <w:rPr>
          <w:rFonts w:cs="宋体"/>
          <w:szCs w:val="21"/>
          <w:highlight w:val="none"/>
        </w:rPr>
        <w:t>2</w:t>
      </w:r>
      <w:r>
        <w:rPr>
          <w:rFonts w:hint="eastAsia" w:cs="宋体"/>
          <w:szCs w:val="21"/>
          <w:highlight w:val="none"/>
        </w:rPr>
        <w:t>）采购过程中出现以下情形，导致电子交易平台无法正常运行，或者无法保证电子交易的公平、公正和安全时，采购人（或代理机构）可中止电子交易活动：</w:t>
      </w:r>
    </w:p>
    <w:p>
      <w:pPr>
        <w:spacing w:line="380" w:lineRule="exact"/>
        <w:ind w:firstLine="420" w:firstLineChars="200"/>
        <w:contextualSpacing/>
        <w:rPr>
          <w:rFonts w:cs="宋体"/>
          <w:szCs w:val="21"/>
          <w:highlight w:val="none"/>
        </w:rPr>
      </w:pPr>
      <w:r>
        <w:rPr>
          <w:rFonts w:hint="eastAsia" w:cs="宋体"/>
          <w:szCs w:val="21"/>
          <w:highlight w:val="none"/>
        </w:rPr>
        <w:t>①电子交易平台发生故障而无法登录访问的；</w:t>
      </w:r>
    </w:p>
    <w:p>
      <w:pPr>
        <w:spacing w:line="380" w:lineRule="exact"/>
        <w:ind w:firstLine="420" w:firstLineChars="200"/>
        <w:contextualSpacing/>
        <w:rPr>
          <w:rFonts w:cs="宋体"/>
          <w:szCs w:val="21"/>
          <w:highlight w:val="none"/>
        </w:rPr>
      </w:pPr>
      <w:r>
        <w:rPr>
          <w:rFonts w:hint="eastAsia" w:cs="宋体"/>
          <w:szCs w:val="21"/>
          <w:highlight w:val="none"/>
        </w:rPr>
        <w:t>②电子交易平台应用或数据库出现错误，不能进行正常操作的；</w:t>
      </w:r>
    </w:p>
    <w:p>
      <w:pPr>
        <w:spacing w:line="380" w:lineRule="exact"/>
        <w:ind w:firstLine="420" w:firstLineChars="200"/>
        <w:contextualSpacing/>
        <w:rPr>
          <w:rFonts w:cs="宋体"/>
          <w:szCs w:val="21"/>
          <w:highlight w:val="none"/>
        </w:rPr>
      </w:pPr>
      <w:r>
        <w:rPr>
          <w:rFonts w:hint="eastAsia" w:cs="宋体"/>
          <w:szCs w:val="21"/>
          <w:highlight w:val="none"/>
        </w:rPr>
        <w:t>③电子交易平台发现严重安全漏洞，有潜在泄密危险的；</w:t>
      </w:r>
    </w:p>
    <w:p>
      <w:pPr>
        <w:spacing w:line="380" w:lineRule="exact"/>
        <w:ind w:firstLine="420" w:firstLineChars="200"/>
        <w:contextualSpacing/>
        <w:rPr>
          <w:rFonts w:cs="宋体"/>
          <w:szCs w:val="21"/>
          <w:highlight w:val="none"/>
        </w:rPr>
      </w:pPr>
      <w:r>
        <w:rPr>
          <w:rFonts w:hint="eastAsia" w:cs="宋体"/>
          <w:szCs w:val="21"/>
          <w:highlight w:val="none"/>
        </w:rPr>
        <w:t>④病毒发作导致不能进行正常操作的；</w:t>
      </w:r>
    </w:p>
    <w:p>
      <w:pPr>
        <w:spacing w:line="380" w:lineRule="exact"/>
        <w:ind w:firstLine="420" w:firstLineChars="200"/>
        <w:contextualSpacing/>
        <w:rPr>
          <w:rFonts w:cs="宋体"/>
          <w:szCs w:val="21"/>
          <w:highlight w:val="none"/>
        </w:rPr>
      </w:pPr>
      <w:r>
        <w:rPr>
          <w:rFonts w:hint="eastAsia" w:cs="宋体"/>
          <w:szCs w:val="21"/>
          <w:highlight w:val="none"/>
        </w:rPr>
        <w:t>⑤其他无法保证电子交易的公平、公正和安全的情况。</w:t>
      </w:r>
    </w:p>
    <w:p>
      <w:pPr>
        <w:spacing w:line="380" w:lineRule="exact"/>
        <w:ind w:firstLine="420" w:firstLineChars="200"/>
        <w:contextualSpacing/>
        <w:rPr>
          <w:rFonts w:cs="宋体"/>
          <w:szCs w:val="21"/>
          <w:highlight w:val="none"/>
        </w:rPr>
      </w:pPr>
      <w:r>
        <w:rPr>
          <w:rFonts w:hint="eastAsia" w:cs="宋体"/>
          <w:szCs w:val="21"/>
          <w:highlight w:val="none"/>
        </w:rPr>
        <w:t>出现前款规定情形，不影响采购公平、公正性的，采购人（或代理机构）可以待上述情形消除后继续组织电子交易活动。</w:t>
      </w:r>
    </w:p>
    <w:p>
      <w:pPr>
        <w:spacing w:line="380" w:lineRule="exact"/>
        <w:ind w:firstLine="420" w:firstLineChars="200"/>
        <w:contextualSpacing/>
        <w:rPr>
          <w:rFonts w:cs="宋体"/>
          <w:szCs w:val="21"/>
          <w:highlight w:val="none"/>
        </w:rPr>
      </w:pPr>
      <w:r>
        <w:rPr>
          <w:rFonts w:hint="eastAsia" w:cs="宋体"/>
          <w:szCs w:val="21"/>
          <w:highlight w:val="none"/>
        </w:rPr>
        <w:t>（</w:t>
      </w:r>
      <w:r>
        <w:rPr>
          <w:rFonts w:cs="宋体"/>
          <w:szCs w:val="21"/>
          <w:highlight w:val="none"/>
        </w:rPr>
        <w:t>4</w:t>
      </w:r>
      <w:r>
        <w:rPr>
          <w:rFonts w:hint="eastAsia" w:cs="宋体"/>
          <w:szCs w:val="21"/>
          <w:highlight w:val="none"/>
        </w:rPr>
        <w:t>）未开启的备份投标文件现场不予以退还。</w:t>
      </w:r>
    </w:p>
    <w:p>
      <w:pPr>
        <w:pStyle w:val="2"/>
        <w:contextualSpacing/>
        <w:rPr>
          <w:rFonts w:ascii="Times New Roman"/>
          <w:sz w:val="24"/>
          <w:szCs w:val="24"/>
          <w:highlight w:val="none"/>
        </w:rPr>
      </w:pPr>
      <w:r>
        <w:rPr>
          <w:rFonts w:hint="eastAsia" w:ascii="Times New Roman"/>
          <w:sz w:val="24"/>
          <w:szCs w:val="24"/>
          <w:highlight w:val="none"/>
        </w:rPr>
        <w:t>七、</w:t>
      </w:r>
      <w:r>
        <w:rPr>
          <w:rFonts w:ascii="Times New Roman"/>
          <w:sz w:val="24"/>
          <w:szCs w:val="24"/>
          <w:highlight w:val="none"/>
        </w:rPr>
        <w:t>评标和定标</w:t>
      </w:r>
      <w:bookmarkEnd w:id="106"/>
      <w:bookmarkEnd w:id="107"/>
      <w:bookmarkEnd w:id="108"/>
      <w:bookmarkEnd w:id="109"/>
      <w:bookmarkEnd w:id="110"/>
      <w:bookmarkEnd w:id="111"/>
      <w:bookmarkEnd w:id="112"/>
      <w:bookmarkEnd w:id="113"/>
      <w:bookmarkEnd w:id="114"/>
    </w:p>
    <w:p>
      <w:pPr>
        <w:spacing w:line="380" w:lineRule="exact"/>
        <w:contextualSpacing/>
        <w:rPr>
          <w:szCs w:val="21"/>
          <w:highlight w:val="none"/>
        </w:rPr>
      </w:pPr>
      <w:bookmarkStart w:id="115" w:name="_Toc430790229"/>
      <w:bookmarkStart w:id="116" w:name="_Toc425780292"/>
      <w:bookmarkStart w:id="117" w:name="_Toc429407708"/>
      <w:bookmarkStart w:id="118" w:name="_Toc425151748"/>
      <w:r>
        <w:rPr>
          <w:szCs w:val="21"/>
          <w:highlight w:val="none"/>
        </w:rPr>
        <w:t>21</w:t>
      </w:r>
      <w:r>
        <w:rPr>
          <w:rFonts w:hint="eastAsia"/>
          <w:szCs w:val="21"/>
          <w:highlight w:val="none"/>
        </w:rPr>
        <w:t>、</w:t>
      </w:r>
      <w:r>
        <w:rPr>
          <w:szCs w:val="21"/>
          <w:highlight w:val="none"/>
        </w:rPr>
        <w:t>评标委员会</w:t>
      </w:r>
    </w:p>
    <w:p>
      <w:pPr>
        <w:spacing w:line="380" w:lineRule="exact"/>
        <w:ind w:firstLine="420" w:firstLineChars="200"/>
        <w:contextualSpacing/>
        <w:rPr>
          <w:szCs w:val="21"/>
          <w:highlight w:val="none"/>
        </w:rPr>
      </w:pPr>
      <w:r>
        <w:rPr>
          <w:szCs w:val="21"/>
          <w:highlight w:val="none"/>
        </w:rPr>
        <w:t>21</w:t>
      </w:r>
      <w:r>
        <w:rPr>
          <w:rFonts w:hint="eastAsia"/>
          <w:szCs w:val="21"/>
          <w:highlight w:val="none"/>
        </w:rPr>
        <w:t>.1</w:t>
      </w:r>
      <w:r>
        <w:rPr>
          <w:szCs w:val="21"/>
          <w:highlight w:val="none"/>
        </w:rPr>
        <w:t>受采购人的委托，采购代理机构根据《</w:t>
      </w:r>
      <w:r>
        <w:rPr>
          <w:rFonts w:hint="eastAsia"/>
          <w:szCs w:val="21"/>
          <w:highlight w:val="none"/>
        </w:rPr>
        <w:t>中华人民共和国</w:t>
      </w:r>
      <w:r>
        <w:rPr>
          <w:szCs w:val="21"/>
          <w:highlight w:val="none"/>
        </w:rPr>
        <w:t>政府采购法》、财政部第8</w:t>
      </w:r>
      <w:r>
        <w:rPr>
          <w:rFonts w:hint="eastAsia"/>
          <w:szCs w:val="21"/>
          <w:highlight w:val="none"/>
        </w:rPr>
        <w:t>7</w:t>
      </w:r>
      <w:r>
        <w:rPr>
          <w:szCs w:val="21"/>
          <w:highlight w:val="none"/>
        </w:rPr>
        <w:t>号令的规定和有关的</w:t>
      </w:r>
      <w:r>
        <w:rPr>
          <w:rFonts w:hint="eastAsia"/>
          <w:szCs w:val="21"/>
          <w:highlight w:val="none"/>
        </w:rPr>
        <w:t>法律</w:t>
      </w:r>
      <w:r>
        <w:rPr>
          <w:szCs w:val="21"/>
          <w:highlight w:val="none"/>
        </w:rPr>
        <w:t>法规组建评标委员会，评标委员会负责评标工作。评标委员会由</w:t>
      </w:r>
      <w:r>
        <w:rPr>
          <w:rFonts w:hint="eastAsia"/>
          <w:szCs w:val="21"/>
          <w:highlight w:val="none"/>
        </w:rPr>
        <w:t>采购人</w:t>
      </w:r>
      <w:r>
        <w:rPr>
          <w:szCs w:val="21"/>
          <w:highlight w:val="none"/>
        </w:rPr>
        <w:t>代表和</w:t>
      </w:r>
      <w:r>
        <w:rPr>
          <w:rFonts w:hint="eastAsia"/>
          <w:szCs w:val="21"/>
          <w:highlight w:val="none"/>
        </w:rPr>
        <w:t>评审</w:t>
      </w:r>
      <w:r>
        <w:rPr>
          <w:szCs w:val="21"/>
          <w:highlight w:val="none"/>
        </w:rPr>
        <w:t>专家组成</w:t>
      </w:r>
      <w:r>
        <w:rPr>
          <w:rFonts w:hint="eastAsia"/>
          <w:szCs w:val="21"/>
          <w:highlight w:val="none"/>
        </w:rPr>
        <w:t>，其中评审</w:t>
      </w:r>
      <w:r>
        <w:rPr>
          <w:szCs w:val="21"/>
          <w:highlight w:val="none"/>
        </w:rPr>
        <w:t>专家</w:t>
      </w:r>
      <w:r>
        <w:rPr>
          <w:rFonts w:hint="eastAsia"/>
          <w:szCs w:val="21"/>
          <w:highlight w:val="none"/>
        </w:rPr>
        <w:t>4人，采购人代表1人</w:t>
      </w:r>
      <w:r>
        <w:rPr>
          <w:szCs w:val="21"/>
          <w:highlight w:val="none"/>
        </w:rPr>
        <w:t>。</w:t>
      </w:r>
      <w:r>
        <w:rPr>
          <w:rFonts w:hint="eastAsia"/>
          <w:szCs w:val="21"/>
          <w:highlight w:val="none"/>
        </w:rPr>
        <w:t>评审</w:t>
      </w:r>
      <w:r>
        <w:rPr>
          <w:szCs w:val="21"/>
          <w:highlight w:val="none"/>
        </w:rPr>
        <w:t>专家将在开标日之前在管理部门的</w:t>
      </w:r>
      <w:r>
        <w:rPr>
          <w:rFonts w:hint="eastAsia"/>
          <w:szCs w:val="21"/>
          <w:highlight w:val="none"/>
        </w:rPr>
        <w:t>评审</w:t>
      </w:r>
      <w:r>
        <w:rPr>
          <w:szCs w:val="21"/>
          <w:highlight w:val="none"/>
        </w:rPr>
        <w:t>专家库中随机抽取。</w:t>
      </w:r>
      <w:r>
        <w:rPr>
          <w:rFonts w:hint="eastAsia"/>
          <w:szCs w:val="21"/>
          <w:highlight w:val="none"/>
        </w:rPr>
        <w:t>评标委员会成员名单在评标结果公告前应当保密。</w:t>
      </w:r>
    </w:p>
    <w:p>
      <w:pPr>
        <w:spacing w:line="380" w:lineRule="exact"/>
        <w:ind w:firstLine="420" w:firstLineChars="200"/>
        <w:contextualSpacing/>
        <w:rPr>
          <w:szCs w:val="21"/>
          <w:highlight w:val="none"/>
        </w:rPr>
      </w:pPr>
      <w:r>
        <w:rPr>
          <w:szCs w:val="21"/>
          <w:highlight w:val="none"/>
        </w:rPr>
        <w:t>21</w:t>
      </w:r>
      <w:r>
        <w:rPr>
          <w:rFonts w:hint="eastAsia"/>
          <w:szCs w:val="21"/>
          <w:highlight w:val="none"/>
        </w:rPr>
        <w:t>.2</w:t>
      </w:r>
      <w:r>
        <w:rPr>
          <w:szCs w:val="21"/>
          <w:highlight w:val="none"/>
        </w:rPr>
        <w:t>评标委员会将遵循公平、公正、科学、廉洁的原则和规定的程序进行评标，并且只依据投标文件本身对采购文件的响应情况进行评审，不考虑投标人在开标后提交的任何的补充声明、修正方案。</w:t>
      </w:r>
    </w:p>
    <w:p>
      <w:pPr>
        <w:spacing w:line="380" w:lineRule="exact"/>
        <w:ind w:firstLine="420" w:firstLineChars="200"/>
        <w:contextualSpacing/>
        <w:rPr>
          <w:szCs w:val="21"/>
          <w:highlight w:val="none"/>
        </w:rPr>
      </w:pPr>
      <w:r>
        <w:rPr>
          <w:szCs w:val="21"/>
          <w:highlight w:val="none"/>
        </w:rPr>
        <w:t>21</w:t>
      </w:r>
      <w:r>
        <w:rPr>
          <w:rFonts w:hint="eastAsia"/>
          <w:szCs w:val="21"/>
          <w:highlight w:val="none"/>
        </w:rPr>
        <w:t>.3</w:t>
      </w:r>
      <w:r>
        <w:rPr>
          <w:szCs w:val="21"/>
          <w:highlight w:val="none"/>
        </w:rPr>
        <w:t>评标委员会将核对投标价格和</w:t>
      </w:r>
      <w:r>
        <w:rPr>
          <w:rFonts w:hint="eastAsia"/>
          <w:szCs w:val="21"/>
          <w:highlight w:val="none"/>
        </w:rPr>
        <w:t>服务内容</w:t>
      </w:r>
      <w:r>
        <w:rPr>
          <w:szCs w:val="21"/>
          <w:highlight w:val="none"/>
        </w:rPr>
        <w:t>，对发现的价格计算错误按下述原则处理：</w:t>
      </w:r>
    </w:p>
    <w:p>
      <w:pPr>
        <w:spacing w:line="380" w:lineRule="exact"/>
        <w:ind w:firstLine="420" w:firstLineChars="200"/>
        <w:contextualSpacing/>
        <w:rPr>
          <w:szCs w:val="21"/>
          <w:highlight w:val="none"/>
        </w:rPr>
      </w:pPr>
      <w:r>
        <w:rPr>
          <w:rFonts w:hint="eastAsia"/>
          <w:szCs w:val="21"/>
          <w:highlight w:val="none"/>
        </w:rPr>
        <w:t>（1）投标文件中开标一览表内容与投标文件中相应内容不一致的，以开标一览表为准；</w:t>
      </w:r>
    </w:p>
    <w:p>
      <w:pPr>
        <w:spacing w:line="380" w:lineRule="exact"/>
        <w:ind w:firstLine="420" w:firstLineChars="200"/>
        <w:contextualSpacing/>
        <w:rPr>
          <w:szCs w:val="21"/>
          <w:highlight w:val="none"/>
        </w:rPr>
      </w:pPr>
      <w:r>
        <w:rPr>
          <w:rFonts w:hint="eastAsia"/>
          <w:szCs w:val="21"/>
          <w:highlight w:val="none"/>
        </w:rPr>
        <w:t>（2）投标文件的大写金额和小写金额不一致的，以大写金额为准；</w:t>
      </w:r>
    </w:p>
    <w:p>
      <w:pPr>
        <w:spacing w:line="380" w:lineRule="exact"/>
        <w:ind w:firstLine="420" w:firstLineChars="200"/>
        <w:contextualSpacing/>
        <w:rPr>
          <w:szCs w:val="21"/>
          <w:highlight w:val="none"/>
        </w:rPr>
      </w:pPr>
      <w:r>
        <w:rPr>
          <w:rFonts w:hint="eastAsia"/>
          <w:szCs w:val="21"/>
          <w:highlight w:val="none"/>
        </w:rPr>
        <w:t>（3）单价金额小数点或者百分比有明显错位的，以开标一览表的总价为准，并修改单价；</w:t>
      </w:r>
    </w:p>
    <w:p>
      <w:pPr>
        <w:spacing w:line="380" w:lineRule="exact"/>
        <w:ind w:firstLine="420" w:firstLineChars="200"/>
        <w:contextualSpacing/>
        <w:rPr>
          <w:szCs w:val="21"/>
          <w:highlight w:val="none"/>
        </w:rPr>
      </w:pPr>
      <w:r>
        <w:rPr>
          <w:rFonts w:hint="eastAsia"/>
          <w:szCs w:val="21"/>
          <w:highlight w:val="none"/>
        </w:rPr>
        <w:t>（4）总价金额与按单价汇总金额不一致，以单价金额计算结果为准。</w:t>
      </w:r>
    </w:p>
    <w:p>
      <w:pPr>
        <w:spacing w:line="380" w:lineRule="exact"/>
        <w:ind w:firstLine="420" w:firstLineChars="200"/>
        <w:contextualSpacing/>
        <w:rPr>
          <w:szCs w:val="21"/>
          <w:highlight w:val="none"/>
        </w:rPr>
      </w:pPr>
      <w:r>
        <w:rPr>
          <w:rFonts w:hint="eastAsia"/>
          <w:szCs w:val="21"/>
          <w:highlight w:val="none"/>
        </w:rPr>
        <w:t>（5）政采云客户端填写的报价与以pdf格式上传文件中的报价不一致的，应以pdf格式上传文件中的报价为准。</w:t>
      </w:r>
    </w:p>
    <w:p>
      <w:pPr>
        <w:spacing w:line="380" w:lineRule="exact"/>
        <w:ind w:firstLine="420" w:firstLineChars="200"/>
        <w:contextualSpacing/>
        <w:rPr>
          <w:szCs w:val="21"/>
          <w:highlight w:val="none"/>
        </w:rPr>
      </w:pPr>
      <w:r>
        <w:rPr>
          <w:rFonts w:hint="eastAsia"/>
          <w:szCs w:val="21"/>
          <w:highlight w:val="none"/>
        </w:rPr>
        <w:t>同时出现两种以上不一致的，按照前款规定的顺序修正。修正后的报价按照本须知的规定经投标人确认后产生约束力，投标人不确认的，其投标无效。</w:t>
      </w:r>
    </w:p>
    <w:p>
      <w:pPr>
        <w:spacing w:line="380" w:lineRule="exact"/>
        <w:ind w:firstLine="420" w:firstLineChars="200"/>
        <w:contextualSpacing/>
        <w:rPr>
          <w:szCs w:val="21"/>
          <w:highlight w:val="none"/>
        </w:rPr>
      </w:pPr>
      <w:r>
        <w:rPr>
          <w:szCs w:val="21"/>
          <w:highlight w:val="none"/>
        </w:rPr>
        <w:t>21</w:t>
      </w:r>
      <w:r>
        <w:rPr>
          <w:rFonts w:hint="eastAsia"/>
          <w:szCs w:val="21"/>
          <w:highlight w:val="none"/>
        </w:rPr>
        <w:t>.4</w:t>
      </w:r>
      <w:r>
        <w:rPr>
          <w:szCs w:val="21"/>
          <w:highlight w:val="none"/>
        </w:rPr>
        <w:t>评标委员会根据采购文件的《评标办法》及在《投标资料表》和《招标内容和要求》中所列的具体标准，对投标文件进行评审和比较。</w:t>
      </w:r>
    </w:p>
    <w:p>
      <w:pPr>
        <w:spacing w:line="380" w:lineRule="exact"/>
        <w:contextualSpacing/>
        <w:rPr>
          <w:szCs w:val="21"/>
          <w:highlight w:val="none"/>
        </w:rPr>
      </w:pPr>
      <w:r>
        <w:rPr>
          <w:szCs w:val="21"/>
          <w:highlight w:val="none"/>
        </w:rPr>
        <w:t>22</w:t>
      </w:r>
      <w:r>
        <w:rPr>
          <w:rFonts w:hint="eastAsia"/>
          <w:szCs w:val="21"/>
          <w:highlight w:val="none"/>
        </w:rPr>
        <w:t>、澄清问题的形式</w:t>
      </w:r>
    </w:p>
    <w:p>
      <w:pPr>
        <w:spacing w:line="380" w:lineRule="exact"/>
        <w:ind w:firstLine="420" w:firstLineChars="200"/>
        <w:contextualSpacing/>
        <w:rPr>
          <w:szCs w:val="21"/>
          <w:highlight w:val="none"/>
        </w:rPr>
      </w:pPr>
      <w:r>
        <w:rPr>
          <w:rFonts w:hint="eastAsia"/>
          <w:szCs w:val="21"/>
          <w:highlight w:val="none"/>
        </w:rPr>
        <w:t>对于投标文件中含义不明确、同类问题表述不一致或者有明显文字和计算错误的内容，评标委员会应当以书面形式要求投标人作出必要的澄清、说明或者补正。</w:t>
      </w:r>
    </w:p>
    <w:p>
      <w:pPr>
        <w:spacing w:line="380" w:lineRule="exact"/>
        <w:ind w:firstLine="420" w:firstLineChars="200"/>
        <w:contextualSpacing/>
        <w:rPr>
          <w:szCs w:val="21"/>
          <w:highlight w:val="none"/>
        </w:rPr>
      </w:pPr>
      <w:r>
        <w:rPr>
          <w:rFonts w:hint="eastAsia"/>
          <w:szCs w:val="21"/>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spacing w:line="380" w:lineRule="exact"/>
        <w:contextualSpacing/>
        <w:rPr>
          <w:szCs w:val="21"/>
          <w:highlight w:val="none"/>
        </w:rPr>
      </w:pPr>
      <w:r>
        <w:rPr>
          <w:szCs w:val="21"/>
          <w:highlight w:val="none"/>
        </w:rPr>
        <w:t>23</w:t>
      </w:r>
      <w:r>
        <w:rPr>
          <w:rFonts w:hint="eastAsia"/>
          <w:szCs w:val="21"/>
          <w:highlight w:val="none"/>
        </w:rPr>
        <w:t>、</w:t>
      </w:r>
      <w:r>
        <w:rPr>
          <w:szCs w:val="21"/>
          <w:highlight w:val="none"/>
        </w:rPr>
        <w:t>评标办法</w:t>
      </w:r>
    </w:p>
    <w:p>
      <w:pPr>
        <w:spacing w:line="380" w:lineRule="exact"/>
        <w:ind w:firstLine="420" w:firstLineChars="200"/>
        <w:contextualSpacing/>
        <w:rPr>
          <w:szCs w:val="21"/>
          <w:highlight w:val="none"/>
        </w:rPr>
      </w:pPr>
      <w:r>
        <w:rPr>
          <w:szCs w:val="21"/>
          <w:highlight w:val="none"/>
        </w:rPr>
        <w:t>23</w:t>
      </w:r>
      <w:r>
        <w:rPr>
          <w:rFonts w:hint="eastAsia"/>
          <w:szCs w:val="21"/>
          <w:highlight w:val="none"/>
        </w:rPr>
        <w:t>.1本项目</w:t>
      </w:r>
      <w:r>
        <w:rPr>
          <w:szCs w:val="21"/>
          <w:highlight w:val="none"/>
        </w:rPr>
        <w:t>采用综合评分法。本次招标采用的评标方法</w:t>
      </w:r>
      <w:r>
        <w:rPr>
          <w:rFonts w:hint="eastAsia"/>
          <w:szCs w:val="21"/>
          <w:highlight w:val="none"/>
        </w:rPr>
        <w:t>具体说明</w:t>
      </w:r>
      <w:r>
        <w:rPr>
          <w:szCs w:val="21"/>
          <w:highlight w:val="none"/>
        </w:rPr>
        <w:t>载明在采购文件</w:t>
      </w:r>
      <w:r>
        <w:rPr>
          <w:rFonts w:hint="eastAsia"/>
          <w:szCs w:val="21"/>
          <w:highlight w:val="none"/>
        </w:rPr>
        <w:t>“</w:t>
      </w:r>
      <w:r>
        <w:rPr>
          <w:szCs w:val="21"/>
          <w:highlight w:val="none"/>
        </w:rPr>
        <w:t>评标</w:t>
      </w:r>
      <w:r>
        <w:rPr>
          <w:rFonts w:hint="eastAsia"/>
          <w:szCs w:val="21"/>
          <w:highlight w:val="none"/>
        </w:rPr>
        <w:t>办法”</w:t>
      </w:r>
      <w:r>
        <w:rPr>
          <w:szCs w:val="21"/>
          <w:highlight w:val="none"/>
        </w:rPr>
        <w:t>部分中。</w:t>
      </w:r>
    </w:p>
    <w:p>
      <w:pPr>
        <w:spacing w:line="380" w:lineRule="exact"/>
        <w:ind w:firstLine="420" w:firstLineChars="200"/>
        <w:contextualSpacing/>
        <w:rPr>
          <w:szCs w:val="21"/>
          <w:highlight w:val="none"/>
        </w:rPr>
      </w:pPr>
      <w:r>
        <w:rPr>
          <w:szCs w:val="21"/>
          <w:highlight w:val="none"/>
        </w:rPr>
        <w:t>23</w:t>
      </w:r>
      <w:r>
        <w:rPr>
          <w:rFonts w:hint="eastAsia"/>
          <w:szCs w:val="21"/>
          <w:highlight w:val="none"/>
        </w:rPr>
        <w:t>.2</w:t>
      </w:r>
      <w:r>
        <w:rPr>
          <w:szCs w:val="21"/>
          <w:highlight w:val="none"/>
        </w:rPr>
        <w:t>综合评分法：</w:t>
      </w:r>
    </w:p>
    <w:p>
      <w:pPr>
        <w:spacing w:line="380" w:lineRule="exact"/>
        <w:ind w:firstLine="420" w:firstLineChars="200"/>
        <w:contextualSpacing/>
        <w:rPr>
          <w:szCs w:val="21"/>
          <w:highlight w:val="none"/>
        </w:rPr>
      </w:pPr>
      <w:r>
        <w:rPr>
          <w:rFonts w:hint="eastAsia"/>
          <w:szCs w:val="21"/>
          <w:highlight w:val="none"/>
        </w:rPr>
        <w:t>投标文件满足采购文件全部实质性要求，且按照评审因素的量化指标评审得分最高的投标人为中标候选人的评标方法。</w:t>
      </w:r>
    </w:p>
    <w:p>
      <w:pPr>
        <w:spacing w:line="380" w:lineRule="exact"/>
        <w:contextualSpacing/>
        <w:rPr>
          <w:szCs w:val="21"/>
          <w:highlight w:val="none"/>
        </w:rPr>
      </w:pPr>
      <w:r>
        <w:rPr>
          <w:szCs w:val="21"/>
          <w:highlight w:val="none"/>
        </w:rPr>
        <w:t>24</w:t>
      </w:r>
      <w:r>
        <w:rPr>
          <w:rFonts w:hint="eastAsia"/>
          <w:szCs w:val="21"/>
          <w:highlight w:val="none"/>
        </w:rPr>
        <w:t>、</w:t>
      </w:r>
      <w:r>
        <w:rPr>
          <w:szCs w:val="21"/>
          <w:highlight w:val="none"/>
        </w:rPr>
        <w:t>评标程序和原则</w:t>
      </w:r>
    </w:p>
    <w:p>
      <w:pPr>
        <w:spacing w:line="380" w:lineRule="exact"/>
        <w:ind w:firstLine="420" w:firstLineChars="200"/>
        <w:contextualSpacing/>
        <w:rPr>
          <w:szCs w:val="21"/>
          <w:highlight w:val="none"/>
        </w:rPr>
      </w:pPr>
      <w:r>
        <w:rPr>
          <w:szCs w:val="21"/>
          <w:highlight w:val="none"/>
        </w:rPr>
        <w:t>24</w:t>
      </w:r>
      <w:r>
        <w:rPr>
          <w:rFonts w:hint="eastAsia"/>
          <w:szCs w:val="21"/>
          <w:highlight w:val="none"/>
        </w:rPr>
        <w:t>.1</w:t>
      </w:r>
      <w:r>
        <w:rPr>
          <w:szCs w:val="21"/>
          <w:highlight w:val="none"/>
        </w:rPr>
        <w:t>评标程序：遵循初步审查、澄清有关问题、比较与评价、推荐中标候选人的程序依次进行。</w:t>
      </w:r>
    </w:p>
    <w:p>
      <w:pPr>
        <w:spacing w:line="380" w:lineRule="exact"/>
        <w:ind w:firstLine="420" w:firstLineChars="200"/>
        <w:contextualSpacing/>
        <w:rPr>
          <w:szCs w:val="21"/>
          <w:highlight w:val="none"/>
        </w:rPr>
      </w:pPr>
      <w:r>
        <w:rPr>
          <w:szCs w:val="21"/>
          <w:highlight w:val="none"/>
        </w:rPr>
        <w:t>24</w:t>
      </w:r>
      <w:r>
        <w:rPr>
          <w:rFonts w:hint="eastAsia"/>
          <w:szCs w:val="21"/>
          <w:highlight w:val="none"/>
        </w:rPr>
        <w:t>.2</w:t>
      </w:r>
      <w:r>
        <w:rPr>
          <w:szCs w:val="21"/>
          <w:highlight w:val="none"/>
        </w:rPr>
        <w:t>初步审查</w:t>
      </w:r>
      <w:r>
        <w:rPr>
          <w:rFonts w:hint="eastAsia"/>
          <w:szCs w:val="21"/>
          <w:highlight w:val="none"/>
        </w:rPr>
        <w:t>：</w:t>
      </w:r>
      <w:r>
        <w:rPr>
          <w:szCs w:val="21"/>
          <w:highlight w:val="none"/>
        </w:rPr>
        <w:t>包含资格性审查和符合性审查。初步审查不合格者不进入澄清有关问题及后续的评标程序。</w:t>
      </w:r>
    </w:p>
    <w:p>
      <w:pPr>
        <w:spacing w:line="380" w:lineRule="exact"/>
        <w:ind w:firstLine="315" w:firstLineChars="150"/>
        <w:contextualSpacing/>
        <w:rPr>
          <w:szCs w:val="21"/>
          <w:highlight w:val="none"/>
        </w:rPr>
      </w:pPr>
      <w:r>
        <w:rPr>
          <w:rFonts w:hint="eastAsia"/>
          <w:szCs w:val="21"/>
          <w:highlight w:val="none"/>
        </w:rPr>
        <w:t>（1</w:t>
      </w:r>
      <w:r>
        <w:rPr>
          <w:szCs w:val="21"/>
          <w:highlight w:val="none"/>
        </w:rPr>
        <w:t>）资格性审查：</w:t>
      </w:r>
    </w:p>
    <w:p>
      <w:pPr>
        <w:spacing w:line="380" w:lineRule="exact"/>
        <w:ind w:firstLine="420" w:firstLineChars="200"/>
        <w:contextualSpacing/>
        <w:rPr>
          <w:szCs w:val="21"/>
          <w:highlight w:val="none"/>
        </w:rPr>
      </w:pPr>
      <w:r>
        <w:rPr>
          <w:szCs w:val="21"/>
          <w:highlight w:val="none"/>
        </w:rPr>
        <w:t>依据法律法规和采购文件的规定，</w:t>
      </w:r>
      <w:r>
        <w:rPr>
          <w:rFonts w:hint="eastAsia"/>
          <w:szCs w:val="21"/>
          <w:highlight w:val="none"/>
        </w:rPr>
        <w:t>采购人或采购代理机构</w:t>
      </w:r>
      <w:r>
        <w:rPr>
          <w:szCs w:val="21"/>
          <w:highlight w:val="none"/>
        </w:rPr>
        <w:t>对其资格证明文件齐全性和有效性等方面进行审查，以确定投标人是否具备投标资格。</w:t>
      </w:r>
    </w:p>
    <w:p>
      <w:pPr>
        <w:spacing w:line="380" w:lineRule="exact"/>
        <w:ind w:firstLine="420" w:firstLineChars="200"/>
        <w:contextualSpacing/>
        <w:rPr>
          <w:szCs w:val="21"/>
          <w:highlight w:val="none"/>
        </w:rPr>
      </w:pPr>
      <w:r>
        <w:rPr>
          <w:rFonts w:hint="eastAsia"/>
          <w:szCs w:val="21"/>
          <w:highlight w:val="none"/>
        </w:rPr>
        <w:t>（2）</w:t>
      </w:r>
      <w:r>
        <w:rPr>
          <w:szCs w:val="21"/>
          <w:highlight w:val="none"/>
        </w:rPr>
        <w:t>符合性检查：</w:t>
      </w:r>
    </w:p>
    <w:p>
      <w:pPr>
        <w:spacing w:line="380" w:lineRule="exact"/>
        <w:ind w:firstLine="420" w:firstLineChars="200"/>
        <w:contextualSpacing/>
        <w:rPr>
          <w:szCs w:val="21"/>
          <w:highlight w:val="none"/>
        </w:rPr>
      </w:pPr>
      <w:r>
        <w:rPr>
          <w:szCs w:val="21"/>
          <w:highlight w:val="none"/>
        </w:rPr>
        <w:t>依据采购文件的规定，</w:t>
      </w:r>
      <w:r>
        <w:rPr>
          <w:rFonts w:hint="eastAsia"/>
          <w:szCs w:val="21"/>
          <w:highlight w:val="none"/>
        </w:rPr>
        <w:t>评标委员会</w:t>
      </w:r>
      <w:r>
        <w:rPr>
          <w:szCs w:val="21"/>
          <w:highlight w:val="none"/>
        </w:rPr>
        <w:t>从投标文件的有效性、完整性和对采购文件的响应程度进行审查，以确定是否对采购文件的要求作出实质性响应。</w:t>
      </w:r>
    </w:p>
    <w:p>
      <w:pPr>
        <w:spacing w:line="380" w:lineRule="exact"/>
        <w:ind w:firstLine="420" w:firstLineChars="200"/>
        <w:contextualSpacing/>
        <w:rPr>
          <w:szCs w:val="21"/>
          <w:highlight w:val="none"/>
        </w:rPr>
      </w:pPr>
      <w:r>
        <w:rPr>
          <w:szCs w:val="21"/>
          <w:highlight w:val="none"/>
        </w:rPr>
        <w:t>24</w:t>
      </w:r>
      <w:r>
        <w:rPr>
          <w:rFonts w:hint="eastAsia"/>
          <w:szCs w:val="21"/>
          <w:highlight w:val="none"/>
        </w:rPr>
        <w:t>.3</w:t>
      </w:r>
      <w:r>
        <w:rPr>
          <w:szCs w:val="21"/>
          <w:highlight w:val="none"/>
        </w:rPr>
        <w:t>澄清有关问题：按第22条规定进行。</w:t>
      </w:r>
    </w:p>
    <w:p>
      <w:pPr>
        <w:spacing w:line="380" w:lineRule="exact"/>
        <w:ind w:firstLine="420" w:firstLineChars="200"/>
        <w:contextualSpacing/>
        <w:rPr>
          <w:szCs w:val="21"/>
          <w:highlight w:val="none"/>
        </w:rPr>
      </w:pPr>
      <w:r>
        <w:rPr>
          <w:szCs w:val="21"/>
          <w:highlight w:val="none"/>
        </w:rPr>
        <w:t>24</w:t>
      </w:r>
      <w:r>
        <w:rPr>
          <w:rFonts w:hint="eastAsia"/>
          <w:szCs w:val="21"/>
          <w:highlight w:val="none"/>
        </w:rPr>
        <w:t>.4</w:t>
      </w:r>
      <w:r>
        <w:rPr>
          <w:szCs w:val="21"/>
          <w:highlight w:val="none"/>
        </w:rPr>
        <w:t>比较与评价：</w:t>
      </w:r>
    </w:p>
    <w:p>
      <w:pPr>
        <w:spacing w:line="380" w:lineRule="exact"/>
        <w:ind w:firstLine="420" w:firstLineChars="200"/>
        <w:contextualSpacing/>
        <w:rPr>
          <w:szCs w:val="21"/>
          <w:highlight w:val="none"/>
        </w:rPr>
      </w:pPr>
      <w:r>
        <w:rPr>
          <w:szCs w:val="21"/>
          <w:highlight w:val="none"/>
        </w:rPr>
        <w:t>24</w:t>
      </w:r>
      <w:r>
        <w:rPr>
          <w:rFonts w:hint="eastAsia"/>
          <w:szCs w:val="21"/>
          <w:highlight w:val="none"/>
        </w:rPr>
        <w:t>.4.1</w:t>
      </w:r>
      <w:r>
        <w:rPr>
          <w:szCs w:val="21"/>
          <w:highlight w:val="none"/>
        </w:rPr>
        <w:t>技术</w:t>
      </w:r>
      <w:r>
        <w:rPr>
          <w:rFonts w:hint="eastAsia"/>
          <w:szCs w:val="21"/>
          <w:highlight w:val="none"/>
        </w:rPr>
        <w:t>商务</w:t>
      </w:r>
      <w:r>
        <w:rPr>
          <w:szCs w:val="21"/>
          <w:highlight w:val="none"/>
        </w:rPr>
        <w:t>评价：按照采购文件的要求和</w:t>
      </w:r>
      <w:r>
        <w:rPr>
          <w:rFonts w:hint="eastAsia"/>
          <w:szCs w:val="21"/>
          <w:highlight w:val="none"/>
        </w:rPr>
        <w:t>《</w:t>
      </w:r>
      <w:r>
        <w:rPr>
          <w:szCs w:val="21"/>
          <w:highlight w:val="none"/>
        </w:rPr>
        <w:t>评标</w:t>
      </w:r>
      <w:r>
        <w:rPr>
          <w:rFonts w:hint="eastAsia"/>
          <w:szCs w:val="21"/>
          <w:highlight w:val="none"/>
        </w:rPr>
        <w:t>标准》</w:t>
      </w:r>
      <w:r>
        <w:rPr>
          <w:szCs w:val="21"/>
          <w:highlight w:val="none"/>
        </w:rPr>
        <w:t>对照投标文件的响应进行</w:t>
      </w:r>
      <w:r>
        <w:rPr>
          <w:rFonts w:hint="eastAsia"/>
          <w:szCs w:val="21"/>
          <w:highlight w:val="none"/>
        </w:rPr>
        <w:t>技术商务</w:t>
      </w:r>
      <w:r>
        <w:rPr>
          <w:szCs w:val="21"/>
          <w:highlight w:val="none"/>
        </w:rPr>
        <w:t>评价，评定其偏差程度，并计算其相应的</w:t>
      </w:r>
      <w:r>
        <w:rPr>
          <w:rFonts w:hint="eastAsia"/>
          <w:szCs w:val="21"/>
          <w:highlight w:val="none"/>
        </w:rPr>
        <w:t>技术商务评分</w:t>
      </w:r>
      <w:r>
        <w:rPr>
          <w:szCs w:val="21"/>
          <w:highlight w:val="none"/>
        </w:rPr>
        <w:t>分值。</w:t>
      </w:r>
    </w:p>
    <w:p>
      <w:pPr>
        <w:spacing w:line="380" w:lineRule="exact"/>
        <w:ind w:firstLine="420" w:firstLineChars="200"/>
        <w:contextualSpacing/>
        <w:rPr>
          <w:szCs w:val="21"/>
          <w:highlight w:val="none"/>
        </w:rPr>
      </w:pPr>
      <w:r>
        <w:rPr>
          <w:szCs w:val="21"/>
          <w:highlight w:val="none"/>
        </w:rPr>
        <w:t>24</w:t>
      </w:r>
      <w:r>
        <w:rPr>
          <w:rFonts w:hint="eastAsia"/>
          <w:szCs w:val="21"/>
          <w:highlight w:val="none"/>
        </w:rPr>
        <w:t>.4.2</w:t>
      </w:r>
      <w:r>
        <w:rPr>
          <w:szCs w:val="21"/>
          <w:highlight w:val="none"/>
        </w:rPr>
        <w:t>综合评价：对经过技术</w:t>
      </w:r>
      <w:r>
        <w:rPr>
          <w:rFonts w:hint="eastAsia"/>
          <w:szCs w:val="21"/>
          <w:highlight w:val="none"/>
        </w:rPr>
        <w:t>商务</w:t>
      </w:r>
      <w:r>
        <w:rPr>
          <w:szCs w:val="21"/>
          <w:highlight w:val="none"/>
        </w:rPr>
        <w:t>评价的投标，按</w:t>
      </w:r>
      <w:r>
        <w:rPr>
          <w:rFonts w:hint="eastAsia"/>
          <w:szCs w:val="21"/>
          <w:highlight w:val="none"/>
        </w:rPr>
        <w:t>《</w:t>
      </w:r>
      <w:r>
        <w:rPr>
          <w:szCs w:val="21"/>
          <w:highlight w:val="none"/>
        </w:rPr>
        <w:t>评标标准</w:t>
      </w:r>
      <w:r>
        <w:rPr>
          <w:rFonts w:hint="eastAsia"/>
          <w:szCs w:val="21"/>
          <w:highlight w:val="none"/>
        </w:rPr>
        <w:t>》</w:t>
      </w:r>
      <w:r>
        <w:rPr>
          <w:szCs w:val="21"/>
          <w:highlight w:val="none"/>
        </w:rPr>
        <w:t>规定的评价办法进行综合评价，并按以下原则进行评审计算：</w:t>
      </w:r>
    </w:p>
    <w:p>
      <w:pPr>
        <w:spacing w:line="380" w:lineRule="exact"/>
        <w:ind w:firstLine="420" w:firstLineChars="200"/>
        <w:contextualSpacing/>
        <w:rPr>
          <w:szCs w:val="21"/>
          <w:highlight w:val="none"/>
        </w:rPr>
      </w:pPr>
      <w:r>
        <w:rPr>
          <w:szCs w:val="21"/>
          <w:highlight w:val="none"/>
        </w:rPr>
        <w:t>综合评分法的</w:t>
      </w:r>
      <w:r>
        <w:rPr>
          <w:rFonts w:hint="eastAsia"/>
          <w:szCs w:val="21"/>
          <w:highlight w:val="none"/>
        </w:rPr>
        <w:t>最终</w:t>
      </w:r>
      <w:r>
        <w:rPr>
          <w:szCs w:val="21"/>
          <w:highlight w:val="none"/>
        </w:rPr>
        <w:t>得分计算：综合得分=</w:t>
      </w:r>
      <w:r>
        <w:rPr>
          <w:rFonts w:hint="eastAsia"/>
          <w:szCs w:val="21"/>
          <w:highlight w:val="none"/>
        </w:rPr>
        <w:t>报价</w:t>
      </w:r>
      <w:r>
        <w:rPr>
          <w:szCs w:val="21"/>
          <w:highlight w:val="none"/>
        </w:rPr>
        <w:t>得分+技术</w:t>
      </w:r>
      <w:r>
        <w:rPr>
          <w:rFonts w:hint="eastAsia"/>
          <w:szCs w:val="21"/>
          <w:highlight w:val="none"/>
        </w:rPr>
        <w:t>商务</w:t>
      </w:r>
      <w:r>
        <w:rPr>
          <w:szCs w:val="21"/>
          <w:highlight w:val="none"/>
        </w:rPr>
        <w:t>评审得分</w:t>
      </w:r>
    </w:p>
    <w:p>
      <w:pPr>
        <w:spacing w:line="380" w:lineRule="exact"/>
        <w:ind w:firstLine="420" w:firstLineChars="200"/>
        <w:contextualSpacing/>
        <w:rPr>
          <w:szCs w:val="21"/>
          <w:highlight w:val="none"/>
        </w:rPr>
      </w:pPr>
      <w:r>
        <w:rPr>
          <w:szCs w:val="21"/>
          <w:highlight w:val="none"/>
        </w:rPr>
        <w:t>综合评价结束，按照上述第23条规定，列出进入最终评审各投标</w:t>
      </w:r>
      <w:r>
        <w:rPr>
          <w:rFonts w:hint="eastAsia"/>
          <w:szCs w:val="21"/>
          <w:highlight w:val="none"/>
        </w:rPr>
        <w:t>人</w:t>
      </w:r>
      <w:r>
        <w:rPr>
          <w:szCs w:val="21"/>
          <w:highlight w:val="none"/>
        </w:rPr>
        <w:t>排序次序。</w:t>
      </w:r>
    </w:p>
    <w:p>
      <w:pPr>
        <w:spacing w:line="380" w:lineRule="exact"/>
        <w:ind w:firstLine="420" w:firstLineChars="200"/>
        <w:contextualSpacing/>
        <w:rPr>
          <w:szCs w:val="21"/>
          <w:highlight w:val="none"/>
        </w:rPr>
      </w:pPr>
      <w:r>
        <w:rPr>
          <w:szCs w:val="21"/>
          <w:highlight w:val="none"/>
        </w:rPr>
        <w:t>24</w:t>
      </w:r>
      <w:r>
        <w:rPr>
          <w:rFonts w:hint="eastAsia"/>
          <w:szCs w:val="21"/>
          <w:highlight w:val="none"/>
        </w:rPr>
        <w:t>.5</w:t>
      </w:r>
      <w:r>
        <w:rPr>
          <w:szCs w:val="21"/>
          <w:highlight w:val="none"/>
        </w:rPr>
        <w:t>推荐中标</w:t>
      </w:r>
      <w:r>
        <w:rPr>
          <w:rFonts w:hint="eastAsia"/>
          <w:szCs w:val="21"/>
          <w:highlight w:val="none"/>
        </w:rPr>
        <w:t>候选人</w:t>
      </w:r>
      <w:r>
        <w:rPr>
          <w:szCs w:val="21"/>
          <w:highlight w:val="none"/>
        </w:rPr>
        <w:t>：按25条规定推荐中标</w:t>
      </w:r>
      <w:r>
        <w:rPr>
          <w:rFonts w:hint="eastAsia"/>
          <w:szCs w:val="21"/>
          <w:highlight w:val="none"/>
        </w:rPr>
        <w:t>候选人</w:t>
      </w:r>
      <w:r>
        <w:rPr>
          <w:szCs w:val="21"/>
          <w:highlight w:val="none"/>
        </w:rPr>
        <w:t>。</w:t>
      </w:r>
    </w:p>
    <w:p>
      <w:pPr>
        <w:spacing w:line="380" w:lineRule="exact"/>
        <w:contextualSpacing/>
        <w:rPr>
          <w:szCs w:val="21"/>
          <w:highlight w:val="none"/>
        </w:rPr>
      </w:pPr>
      <w:r>
        <w:rPr>
          <w:szCs w:val="21"/>
          <w:highlight w:val="none"/>
        </w:rPr>
        <w:t>25</w:t>
      </w:r>
      <w:r>
        <w:rPr>
          <w:rFonts w:hint="eastAsia"/>
          <w:szCs w:val="21"/>
          <w:highlight w:val="none"/>
        </w:rPr>
        <w:t>、</w:t>
      </w:r>
      <w:r>
        <w:rPr>
          <w:szCs w:val="21"/>
          <w:highlight w:val="none"/>
        </w:rPr>
        <w:t>推荐中标</w:t>
      </w:r>
      <w:r>
        <w:rPr>
          <w:rFonts w:hint="eastAsia"/>
          <w:szCs w:val="21"/>
          <w:highlight w:val="none"/>
        </w:rPr>
        <w:t>候选人</w:t>
      </w:r>
    </w:p>
    <w:p>
      <w:pPr>
        <w:spacing w:line="380" w:lineRule="exact"/>
        <w:ind w:firstLine="420" w:firstLineChars="200"/>
        <w:contextualSpacing/>
        <w:rPr>
          <w:szCs w:val="21"/>
          <w:highlight w:val="none"/>
        </w:rPr>
      </w:pPr>
      <w:r>
        <w:rPr>
          <w:rFonts w:hint="eastAsia"/>
          <w:szCs w:val="21"/>
          <w:highlight w:val="none"/>
        </w:rPr>
        <w:t>评标委员会根据各有效投标人的综合得分由高到低排定顺序，推荐本项目的中标候选人。</w:t>
      </w:r>
    </w:p>
    <w:p>
      <w:pPr>
        <w:spacing w:line="380" w:lineRule="exact"/>
        <w:contextualSpacing/>
        <w:rPr>
          <w:szCs w:val="21"/>
          <w:highlight w:val="none"/>
        </w:rPr>
      </w:pPr>
      <w:r>
        <w:rPr>
          <w:szCs w:val="21"/>
          <w:highlight w:val="none"/>
        </w:rPr>
        <w:t>26</w:t>
      </w:r>
      <w:r>
        <w:rPr>
          <w:rFonts w:hint="eastAsia"/>
          <w:szCs w:val="21"/>
          <w:highlight w:val="none"/>
        </w:rPr>
        <w:t>、</w:t>
      </w:r>
      <w:r>
        <w:rPr>
          <w:szCs w:val="21"/>
          <w:highlight w:val="none"/>
        </w:rPr>
        <w:t>招标方式</w:t>
      </w:r>
      <w:r>
        <w:rPr>
          <w:rFonts w:hint="eastAsia"/>
          <w:szCs w:val="21"/>
          <w:highlight w:val="none"/>
        </w:rPr>
        <w:t>转换</w:t>
      </w:r>
    </w:p>
    <w:p>
      <w:pPr>
        <w:spacing w:line="380" w:lineRule="exact"/>
        <w:ind w:firstLine="420" w:firstLineChars="200"/>
        <w:contextualSpacing/>
        <w:rPr>
          <w:szCs w:val="21"/>
          <w:highlight w:val="none"/>
        </w:rPr>
      </w:pPr>
      <w:r>
        <w:rPr>
          <w:rFonts w:hint="eastAsia"/>
          <w:szCs w:val="21"/>
          <w:highlight w:val="none"/>
        </w:rPr>
        <w:t>公开招标数额标准以上的招标项目，投标截止后投标人不足3家或者通过资格审查或符合性审查的投标人不足3家的，除招标任务取消情形外，按照以下方式处理： </w:t>
      </w:r>
    </w:p>
    <w:p>
      <w:pPr>
        <w:spacing w:line="380" w:lineRule="exact"/>
        <w:ind w:firstLine="420" w:firstLineChars="200"/>
        <w:contextualSpacing/>
        <w:rPr>
          <w:szCs w:val="21"/>
          <w:highlight w:val="none"/>
        </w:rPr>
      </w:pPr>
      <w:r>
        <w:rPr>
          <w:szCs w:val="21"/>
          <w:highlight w:val="none"/>
        </w:rPr>
        <w:t>26</w:t>
      </w:r>
      <w:r>
        <w:rPr>
          <w:rFonts w:hint="eastAsia"/>
          <w:szCs w:val="21"/>
          <w:highlight w:val="none"/>
        </w:rPr>
        <w:t>.1采购文件存在不合理条款或者招标程序不符合规定的，采购人、采购代理机构改正后依法重新招标; </w:t>
      </w:r>
    </w:p>
    <w:p>
      <w:pPr>
        <w:spacing w:line="380" w:lineRule="exact"/>
        <w:ind w:firstLine="420" w:firstLineChars="200"/>
        <w:contextualSpacing/>
        <w:rPr>
          <w:szCs w:val="21"/>
          <w:highlight w:val="none"/>
        </w:rPr>
      </w:pPr>
      <w:r>
        <w:rPr>
          <w:szCs w:val="21"/>
          <w:highlight w:val="none"/>
        </w:rPr>
        <w:t>26</w:t>
      </w:r>
      <w:r>
        <w:rPr>
          <w:rFonts w:hint="eastAsia"/>
          <w:szCs w:val="21"/>
          <w:highlight w:val="none"/>
        </w:rPr>
        <w:t>.2采购文件没有不合理条款、招标程序符合规定，需要采用其他招标方式招标的，采购人依法报监管部门批准。 </w:t>
      </w:r>
    </w:p>
    <w:p>
      <w:pPr>
        <w:spacing w:line="380" w:lineRule="exact"/>
        <w:contextualSpacing/>
        <w:rPr>
          <w:szCs w:val="21"/>
          <w:highlight w:val="none"/>
        </w:rPr>
      </w:pPr>
      <w:r>
        <w:rPr>
          <w:szCs w:val="21"/>
          <w:highlight w:val="none"/>
        </w:rPr>
        <w:t>27</w:t>
      </w:r>
      <w:r>
        <w:rPr>
          <w:rFonts w:hint="eastAsia"/>
          <w:szCs w:val="21"/>
          <w:highlight w:val="none"/>
        </w:rPr>
        <w:t>、评标过程的监控与保密</w:t>
      </w:r>
    </w:p>
    <w:p>
      <w:pPr>
        <w:spacing w:line="380" w:lineRule="exact"/>
        <w:ind w:firstLine="420" w:firstLineChars="200"/>
        <w:contextualSpacing/>
        <w:rPr>
          <w:szCs w:val="21"/>
          <w:highlight w:val="none"/>
        </w:rPr>
      </w:pPr>
      <w:r>
        <w:rPr>
          <w:szCs w:val="21"/>
          <w:highlight w:val="none"/>
        </w:rPr>
        <w:t>27</w:t>
      </w:r>
      <w:r>
        <w:rPr>
          <w:rFonts w:hint="eastAsia"/>
          <w:szCs w:val="21"/>
          <w:highlight w:val="none"/>
        </w:rPr>
        <w:t>.1本项目评标过程实行全程录音、录像监控，投标人在评标过程中所进行的试图影响评标结果的不公正活动，可能导致其投标被拒绝。</w:t>
      </w:r>
    </w:p>
    <w:p>
      <w:pPr>
        <w:spacing w:line="380" w:lineRule="exact"/>
        <w:ind w:firstLine="420" w:firstLineChars="200"/>
        <w:contextualSpacing/>
        <w:rPr>
          <w:szCs w:val="21"/>
          <w:highlight w:val="none"/>
        </w:rPr>
      </w:pPr>
      <w:r>
        <w:rPr>
          <w:szCs w:val="21"/>
          <w:highlight w:val="none"/>
        </w:rPr>
        <w:t>27</w:t>
      </w:r>
      <w:r>
        <w:rPr>
          <w:rFonts w:hint="eastAsia"/>
          <w:szCs w:val="21"/>
          <w:highlight w:val="none"/>
        </w:rPr>
        <w:t>.2开标后到中标通知书发出之前，所有涉及评标委员会名单以及对投标文件的澄清、评价、比较等情况，评标委员会成员、采购人和采购代理机构的有关人员均不得向投标人或其他无关人员透露。</w:t>
      </w:r>
    </w:p>
    <w:p>
      <w:pPr>
        <w:spacing w:line="380" w:lineRule="exact"/>
        <w:contextualSpacing/>
        <w:rPr>
          <w:szCs w:val="21"/>
          <w:highlight w:val="none"/>
        </w:rPr>
      </w:pPr>
      <w:r>
        <w:rPr>
          <w:szCs w:val="21"/>
          <w:highlight w:val="none"/>
        </w:rPr>
        <w:t>28</w:t>
      </w:r>
      <w:r>
        <w:rPr>
          <w:rFonts w:hint="eastAsia"/>
          <w:szCs w:val="21"/>
          <w:highlight w:val="none"/>
        </w:rPr>
        <w:t>、确定中标人、评标结果公示与质疑</w:t>
      </w:r>
    </w:p>
    <w:p>
      <w:pPr>
        <w:spacing w:line="380" w:lineRule="exact"/>
        <w:ind w:firstLine="420" w:firstLineChars="200"/>
        <w:contextualSpacing/>
        <w:rPr>
          <w:szCs w:val="21"/>
          <w:highlight w:val="none"/>
        </w:rPr>
      </w:pPr>
      <w:r>
        <w:rPr>
          <w:szCs w:val="21"/>
          <w:highlight w:val="none"/>
        </w:rPr>
        <w:t>28</w:t>
      </w:r>
      <w:r>
        <w:rPr>
          <w:rFonts w:hint="eastAsia"/>
          <w:szCs w:val="21"/>
          <w:highlight w:val="none"/>
        </w:rPr>
        <w:t>.1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380" w:lineRule="exact"/>
        <w:ind w:firstLine="420" w:firstLineChars="200"/>
        <w:contextualSpacing/>
        <w:rPr>
          <w:szCs w:val="21"/>
          <w:highlight w:val="none"/>
        </w:rPr>
      </w:pPr>
      <w:r>
        <w:rPr>
          <w:szCs w:val="21"/>
          <w:highlight w:val="none"/>
        </w:rPr>
        <w:t>28</w:t>
      </w:r>
      <w:r>
        <w:rPr>
          <w:rFonts w:hint="eastAsia"/>
          <w:szCs w:val="21"/>
          <w:highlight w:val="none"/>
        </w:rPr>
        <w:t>.2代理机构自中标人确定之日起2个工作日内，在发布招标公告的网站上对中标结果进行公示，中标结果公告期限为1个工作日。</w:t>
      </w:r>
    </w:p>
    <w:p>
      <w:pPr>
        <w:spacing w:line="380" w:lineRule="exact"/>
        <w:ind w:firstLine="420" w:firstLineChars="200"/>
        <w:contextualSpacing/>
        <w:rPr>
          <w:szCs w:val="21"/>
          <w:highlight w:val="none"/>
        </w:rPr>
      </w:pPr>
      <w:r>
        <w:rPr>
          <w:szCs w:val="21"/>
          <w:highlight w:val="none"/>
        </w:rPr>
        <w:t>28</w:t>
      </w:r>
      <w:r>
        <w:rPr>
          <w:rFonts w:hint="eastAsia"/>
          <w:szCs w:val="21"/>
          <w:highlight w:val="none"/>
        </w:rPr>
        <w:t>.3投标人若对评标结果有异议，可在中标公告期限届满之日起按相关规定向采购人提出书面质疑，质疑书应该有质疑人名称、地址、公章、法定代表人签名盖章、联系人姓名、联系电话、传真以及被质疑人名称及联系方式，被质疑招标项目名称、编号及招标内容，具体的质疑事项及事实依据，认为自己合法权益受到损害或可能受到损害的相关证据材料，提出质疑的日期，否则视为无效质疑。本采购代理机构将受采购人委托在收到质疑文件之日起7个工作日内书面答复。不受理无效的任何质疑。</w:t>
      </w:r>
      <w:bookmarkEnd w:id="115"/>
      <w:bookmarkEnd w:id="116"/>
      <w:bookmarkEnd w:id="117"/>
      <w:bookmarkEnd w:id="118"/>
    </w:p>
    <w:p>
      <w:pPr>
        <w:pStyle w:val="2"/>
        <w:contextualSpacing/>
        <w:rPr>
          <w:rFonts w:ascii="Times New Roman"/>
          <w:sz w:val="24"/>
          <w:szCs w:val="24"/>
          <w:highlight w:val="none"/>
        </w:rPr>
      </w:pPr>
      <w:bookmarkStart w:id="119" w:name="_Toc422996750"/>
      <w:bookmarkEnd w:id="119"/>
      <w:bookmarkStart w:id="120" w:name="_Toc422996818"/>
      <w:bookmarkEnd w:id="120"/>
      <w:bookmarkStart w:id="121" w:name="_Toc422996749"/>
      <w:bookmarkEnd w:id="121"/>
      <w:bookmarkStart w:id="122" w:name="_Toc422996819"/>
      <w:bookmarkEnd w:id="122"/>
      <w:bookmarkStart w:id="123" w:name="_Toc429407716"/>
      <w:bookmarkStart w:id="124" w:name="_Toc498429637"/>
      <w:bookmarkStart w:id="125" w:name="_Toc456853674"/>
      <w:bookmarkStart w:id="126" w:name="_Toc445193549"/>
      <w:bookmarkStart w:id="127" w:name="_Toc430790237"/>
      <w:bookmarkStart w:id="128" w:name="_Toc505353788"/>
      <w:bookmarkStart w:id="129" w:name="_Toc425151756"/>
      <w:bookmarkStart w:id="130" w:name="_Toc425780300"/>
      <w:bookmarkStart w:id="131" w:name="_Toc496003209"/>
      <w:r>
        <w:rPr>
          <w:rFonts w:hint="eastAsia" w:ascii="Times New Roman"/>
          <w:sz w:val="24"/>
          <w:szCs w:val="24"/>
          <w:highlight w:val="none"/>
        </w:rPr>
        <w:t>八、</w:t>
      </w:r>
      <w:r>
        <w:rPr>
          <w:rFonts w:ascii="Times New Roman"/>
          <w:sz w:val="24"/>
          <w:szCs w:val="24"/>
          <w:highlight w:val="none"/>
        </w:rPr>
        <w:t>无效投标认定</w:t>
      </w:r>
      <w:bookmarkEnd w:id="123"/>
      <w:bookmarkEnd w:id="124"/>
      <w:bookmarkEnd w:id="125"/>
      <w:bookmarkEnd w:id="126"/>
      <w:bookmarkEnd w:id="127"/>
      <w:bookmarkEnd w:id="128"/>
      <w:bookmarkEnd w:id="129"/>
      <w:bookmarkEnd w:id="130"/>
      <w:bookmarkEnd w:id="131"/>
    </w:p>
    <w:p>
      <w:pPr>
        <w:spacing w:line="380" w:lineRule="exact"/>
        <w:contextualSpacing/>
        <w:rPr>
          <w:szCs w:val="21"/>
          <w:highlight w:val="none"/>
        </w:rPr>
      </w:pPr>
      <w:bookmarkStart w:id="132" w:name="_Toc425151757"/>
      <w:bookmarkStart w:id="133" w:name="_Toc425780301"/>
      <w:bookmarkStart w:id="134" w:name="_Toc429407717"/>
      <w:bookmarkStart w:id="135" w:name="_Toc430790238"/>
      <w:r>
        <w:rPr>
          <w:szCs w:val="21"/>
          <w:highlight w:val="none"/>
        </w:rPr>
        <w:t>29</w:t>
      </w:r>
      <w:r>
        <w:rPr>
          <w:rFonts w:hint="eastAsia"/>
          <w:szCs w:val="21"/>
          <w:highlight w:val="none"/>
        </w:rPr>
        <w:t>、实质上没有响应采购文件要求的投标将被视为无效投标。</w:t>
      </w:r>
    </w:p>
    <w:p>
      <w:pPr>
        <w:spacing w:line="380" w:lineRule="exact"/>
        <w:ind w:firstLine="420" w:firstLineChars="200"/>
        <w:contextualSpacing/>
        <w:rPr>
          <w:szCs w:val="21"/>
          <w:highlight w:val="none"/>
        </w:rPr>
      </w:pPr>
      <w:r>
        <w:rPr>
          <w:szCs w:val="21"/>
          <w:highlight w:val="none"/>
        </w:rPr>
        <w:t>29</w:t>
      </w:r>
      <w:r>
        <w:rPr>
          <w:rFonts w:hint="eastAsia"/>
          <w:szCs w:val="21"/>
          <w:highlight w:val="none"/>
        </w:rPr>
        <w:t>.1在资格审查时，不具备采购文件中规定的资格要求的，或者资格证明文件不全的，投标文件将被视为无效。</w:t>
      </w:r>
    </w:p>
    <w:p>
      <w:pPr>
        <w:spacing w:line="380" w:lineRule="exact"/>
        <w:ind w:firstLine="420" w:firstLineChars="200"/>
        <w:contextualSpacing/>
        <w:rPr>
          <w:szCs w:val="21"/>
          <w:highlight w:val="none"/>
        </w:rPr>
      </w:pPr>
      <w:r>
        <w:rPr>
          <w:szCs w:val="21"/>
          <w:highlight w:val="none"/>
        </w:rPr>
        <w:t>29</w:t>
      </w:r>
      <w:r>
        <w:rPr>
          <w:rFonts w:hint="eastAsia"/>
          <w:szCs w:val="21"/>
          <w:highlight w:val="none"/>
        </w:rPr>
        <w:t>.2</w:t>
      </w:r>
      <w:r>
        <w:rPr>
          <w:szCs w:val="21"/>
          <w:highlight w:val="none"/>
        </w:rPr>
        <w:t>在符合性审查时，如发现下列情形之一的，投标文件将被视为无效：</w:t>
      </w:r>
    </w:p>
    <w:p>
      <w:pPr>
        <w:pStyle w:val="9"/>
        <w:ind w:right="-252" w:firstLine="411" w:firstLineChars="196"/>
        <w:contextualSpacing/>
        <w:rPr>
          <w:rFonts w:eastAsia="宋体"/>
          <w:sz w:val="21"/>
          <w:szCs w:val="21"/>
          <w:highlight w:val="none"/>
        </w:rPr>
      </w:pPr>
      <w:r>
        <w:rPr>
          <w:rFonts w:hint="eastAsia" w:eastAsia="宋体"/>
          <w:sz w:val="21"/>
          <w:szCs w:val="21"/>
          <w:highlight w:val="none"/>
        </w:rPr>
        <w:t>（1）投标文件未按采购文件要求签署、签章的（不影响投标文件法律效力的除外）；</w:t>
      </w:r>
    </w:p>
    <w:p>
      <w:pPr>
        <w:pStyle w:val="9"/>
        <w:ind w:right="-252" w:firstLine="411" w:firstLineChars="196"/>
        <w:contextualSpacing/>
        <w:rPr>
          <w:rFonts w:eastAsia="宋体"/>
          <w:sz w:val="21"/>
          <w:szCs w:val="21"/>
          <w:highlight w:val="none"/>
        </w:rPr>
      </w:pPr>
      <w:r>
        <w:rPr>
          <w:rFonts w:hint="eastAsia" w:eastAsia="宋体"/>
          <w:sz w:val="21"/>
          <w:szCs w:val="21"/>
          <w:highlight w:val="none"/>
        </w:rPr>
        <w:t>（2）投标有效期不满足采购文件要求的；</w:t>
      </w:r>
    </w:p>
    <w:p>
      <w:pPr>
        <w:pStyle w:val="9"/>
        <w:ind w:right="-252" w:firstLine="411" w:firstLineChars="196"/>
        <w:contextualSpacing/>
        <w:rPr>
          <w:rFonts w:eastAsia="宋体"/>
          <w:sz w:val="21"/>
          <w:szCs w:val="21"/>
          <w:highlight w:val="none"/>
        </w:rPr>
      </w:pPr>
      <w:r>
        <w:rPr>
          <w:rFonts w:hint="eastAsia" w:eastAsia="宋体"/>
          <w:sz w:val="21"/>
          <w:szCs w:val="21"/>
          <w:highlight w:val="none"/>
        </w:rPr>
        <w:t>（3）明显不符合采购文件要求的，或者与采购文件中标注“★”的条款发生实质性偏离的；</w:t>
      </w:r>
    </w:p>
    <w:p>
      <w:pPr>
        <w:pStyle w:val="9"/>
        <w:ind w:right="-252" w:firstLine="411" w:firstLineChars="196"/>
        <w:contextualSpacing/>
        <w:rPr>
          <w:rFonts w:eastAsia="宋体"/>
          <w:sz w:val="21"/>
          <w:szCs w:val="21"/>
          <w:highlight w:val="none"/>
        </w:rPr>
      </w:pPr>
      <w:r>
        <w:rPr>
          <w:rFonts w:hint="eastAsia" w:eastAsia="宋体"/>
          <w:sz w:val="21"/>
          <w:szCs w:val="21"/>
          <w:highlight w:val="none"/>
        </w:rPr>
        <w:t>（4）投标文件中含有采购人不能接受的附加条件的；</w:t>
      </w:r>
    </w:p>
    <w:p>
      <w:pPr>
        <w:pStyle w:val="9"/>
        <w:ind w:right="-252" w:firstLine="411" w:firstLineChars="196"/>
        <w:contextualSpacing/>
        <w:rPr>
          <w:rFonts w:eastAsia="宋体"/>
          <w:sz w:val="21"/>
          <w:szCs w:val="21"/>
          <w:highlight w:val="none"/>
        </w:rPr>
      </w:pPr>
      <w:r>
        <w:rPr>
          <w:rFonts w:hint="eastAsia" w:eastAsia="宋体"/>
          <w:sz w:val="21"/>
          <w:szCs w:val="21"/>
          <w:highlight w:val="none"/>
        </w:rPr>
        <w:t>（5）委托人未提供法定代表人授权委托书、填写项目不齐全的；</w:t>
      </w:r>
    </w:p>
    <w:p>
      <w:pPr>
        <w:pStyle w:val="9"/>
        <w:ind w:right="-252" w:firstLine="411" w:firstLineChars="196"/>
        <w:contextualSpacing/>
        <w:rPr>
          <w:rFonts w:eastAsia="宋体"/>
          <w:sz w:val="21"/>
          <w:szCs w:val="21"/>
          <w:highlight w:val="none"/>
        </w:rPr>
      </w:pPr>
      <w:r>
        <w:rPr>
          <w:rFonts w:hint="eastAsia" w:eastAsia="宋体"/>
          <w:sz w:val="21"/>
          <w:szCs w:val="21"/>
          <w:highlight w:val="none"/>
        </w:rPr>
        <w:t>（6）投标文件格式不规范、提供资料不齐全或者内容虚假的；</w:t>
      </w:r>
    </w:p>
    <w:p>
      <w:pPr>
        <w:pStyle w:val="9"/>
        <w:ind w:right="-252" w:firstLine="411" w:firstLineChars="196"/>
        <w:contextualSpacing/>
        <w:rPr>
          <w:rFonts w:eastAsia="宋体"/>
          <w:sz w:val="21"/>
          <w:szCs w:val="21"/>
          <w:highlight w:val="none"/>
        </w:rPr>
      </w:pPr>
      <w:r>
        <w:rPr>
          <w:rFonts w:hint="eastAsia" w:eastAsia="宋体"/>
          <w:sz w:val="21"/>
          <w:szCs w:val="21"/>
          <w:highlight w:val="none"/>
        </w:rPr>
        <w:t>（7）投标文件的实质性内容未使用中文表述、表述不明确、前后矛盾或者使用计量单位不符合采购文件要求的（经评标委员会认定并允许其当场更正的笔误除外）；</w:t>
      </w:r>
    </w:p>
    <w:p>
      <w:pPr>
        <w:pStyle w:val="9"/>
        <w:ind w:right="-252" w:firstLine="411" w:firstLineChars="196"/>
        <w:contextualSpacing/>
        <w:rPr>
          <w:rFonts w:eastAsia="宋体"/>
          <w:sz w:val="21"/>
          <w:szCs w:val="21"/>
          <w:highlight w:val="none"/>
        </w:rPr>
      </w:pPr>
      <w:r>
        <w:rPr>
          <w:rFonts w:hint="eastAsia" w:eastAsia="宋体"/>
          <w:sz w:val="21"/>
          <w:szCs w:val="21"/>
          <w:highlight w:val="none"/>
        </w:rPr>
        <w:t>（8）投标文件的关键内容字迹模糊、无法辨认的，或者投标文件中经修正的内容字迹模糊难以辨认或者修改处未按规定签署、盖章的；</w:t>
      </w:r>
    </w:p>
    <w:p>
      <w:pPr>
        <w:pStyle w:val="9"/>
        <w:ind w:right="-252" w:firstLine="411" w:firstLineChars="196"/>
        <w:contextualSpacing/>
        <w:rPr>
          <w:rFonts w:eastAsia="宋体"/>
          <w:sz w:val="21"/>
          <w:szCs w:val="21"/>
          <w:highlight w:val="none"/>
        </w:rPr>
      </w:pPr>
      <w:r>
        <w:rPr>
          <w:rFonts w:hint="eastAsia" w:eastAsia="宋体"/>
          <w:sz w:val="21"/>
          <w:szCs w:val="21"/>
          <w:highlight w:val="none"/>
        </w:rPr>
        <w:t>（9）法律、法规和采购文件规定的其他无效情形。</w:t>
      </w:r>
    </w:p>
    <w:p>
      <w:pPr>
        <w:spacing w:line="380" w:lineRule="exact"/>
        <w:ind w:firstLine="420" w:firstLineChars="200"/>
        <w:contextualSpacing/>
        <w:rPr>
          <w:szCs w:val="21"/>
          <w:highlight w:val="none"/>
        </w:rPr>
      </w:pPr>
      <w:r>
        <w:rPr>
          <w:szCs w:val="21"/>
          <w:highlight w:val="none"/>
        </w:rPr>
        <w:t>29</w:t>
      </w:r>
      <w:r>
        <w:rPr>
          <w:rFonts w:hint="eastAsia"/>
          <w:szCs w:val="21"/>
          <w:highlight w:val="none"/>
        </w:rPr>
        <w:t>.3在技术商务评审时，如发现下列情形之一的，</w:t>
      </w:r>
      <w:r>
        <w:rPr>
          <w:szCs w:val="21"/>
          <w:highlight w:val="none"/>
        </w:rPr>
        <w:t>投标文件将被视为无效：</w:t>
      </w:r>
    </w:p>
    <w:p>
      <w:pPr>
        <w:pStyle w:val="9"/>
        <w:ind w:right="-252" w:firstLine="411" w:firstLineChars="196"/>
        <w:contextualSpacing/>
        <w:rPr>
          <w:rFonts w:eastAsia="宋体"/>
          <w:sz w:val="21"/>
          <w:szCs w:val="21"/>
          <w:highlight w:val="none"/>
        </w:rPr>
      </w:pPr>
      <w:r>
        <w:rPr>
          <w:rFonts w:eastAsia="宋体"/>
          <w:sz w:val="21"/>
          <w:szCs w:val="21"/>
          <w:highlight w:val="none"/>
        </w:rPr>
        <w:t>（1）</w:t>
      </w:r>
      <w:r>
        <w:rPr>
          <w:rFonts w:hint="eastAsia" w:eastAsia="宋体"/>
          <w:sz w:val="21"/>
          <w:szCs w:val="21"/>
          <w:highlight w:val="none"/>
        </w:rPr>
        <w:t>未提供或未如实提供投标货物的技术参数，或者投标文件标明的响应或偏离与事实不符或虚假投标的</w:t>
      </w:r>
      <w:r>
        <w:rPr>
          <w:rFonts w:eastAsia="宋体"/>
          <w:sz w:val="21"/>
          <w:szCs w:val="21"/>
          <w:highlight w:val="none"/>
        </w:rPr>
        <w:t>；</w:t>
      </w:r>
    </w:p>
    <w:p>
      <w:pPr>
        <w:pStyle w:val="9"/>
        <w:ind w:right="-252" w:firstLine="411" w:firstLineChars="196"/>
        <w:contextualSpacing/>
        <w:rPr>
          <w:rFonts w:eastAsia="宋体"/>
          <w:sz w:val="21"/>
          <w:szCs w:val="21"/>
          <w:highlight w:val="none"/>
        </w:rPr>
      </w:pPr>
      <w:r>
        <w:rPr>
          <w:rFonts w:eastAsia="宋体"/>
          <w:sz w:val="21"/>
          <w:szCs w:val="21"/>
          <w:highlight w:val="none"/>
        </w:rPr>
        <w:t>（</w:t>
      </w:r>
      <w:r>
        <w:rPr>
          <w:rFonts w:hint="eastAsia" w:eastAsia="宋体"/>
          <w:sz w:val="21"/>
          <w:szCs w:val="21"/>
          <w:highlight w:val="none"/>
        </w:rPr>
        <w:t>2</w:t>
      </w:r>
      <w:r>
        <w:rPr>
          <w:rFonts w:eastAsia="宋体"/>
          <w:sz w:val="21"/>
          <w:szCs w:val="21"/>
          <w:highlight w:val="none"/>
        </w:rPr>
        <w:t>）</w:t>
      </w:r>
      <w:r>
        <w:rPr>
          <w:rFonts w:hint="eastAsia" w:eastAsia="宋体"/>
          <w:sz w:val="21"/>
          <w:szCs w:val="21"/>
          <w:highlight w:val="none"/>
        </w:rPr>
        <w:t>明显不符合采购文件要求的规格型号、质量标准，或者与采购文件中标“★”的技术指标、主要功能项目发生实质性偏离的</w:t>
      </w:r>
      <w:r>
        <w:rPr>
          <w:rFonts w:eastAsia="宋体"/>
          <w:sz w:val="21"/>
          <w:szCs w:val="21"/>
          <w:highlight w:val="none"/>
        </w:rPr>
        <w:t>；</w:t>
      </w:r>
    </w:p>
    <w:p>
      <w:pPr>
        <w:pStyle w:val="9"/>
        <w:ind w:right="-252" w:firstLine="420" w:firstLineChars="200"/>
        <w:contextualSpacing/>
        <w:rPr>
          <w:rFonts w:eastAsia="宋体"/>
          <w:sz w:val="21"/>
          <w:szCs w:val="21"/>
          <w:highlight w:val="none"/>
        </w:rPr>
      </w:pPr>
      <w:r>
        <w:rPr>
          <w:rFonts w:hint="eastAsia" w:eastAsia="宋体"/>
          <w:sz w:val="21"/>
          <w:szCs w:val="21"/>
          <w:highlight w:val="none"/>
        </w:rPr>
        <w:t>（3）投标技术方案不明确，存在一个或一个以上备选（替代）投标方案的。</w:t>
      </w:r>
    </w:p>
    <w:p>
      <w:pPr>
        <w:spacing w:line="380" w:lineRule="exact"/>
        <w:ind w:firstLine="420" w:firstLineChars="200"/>
        <w:contextualSpacing/>
        <w:rPr>
          <w:szCs w:val="21"/>
          <w:highlight w:val="none"/>
        </w:rPr>
      </w:pPr>
      <w:r>
        <w:rPr>
          <w:szCs w:val="21"/>
          <w:highlight w:val="none"/>
        </w:rPr>
        <w:t>29</w:t>
      </w:r>
      <w:r>
        <w:rPr>
          <w:rFonts w:hint="eastAsia"/>
          <w:szCs w:val="21"/>
          <w:highlight w:val="none"/>
        </w:rPr>
        <w:t>.4</w:t>
      </w:r>
      <w:r>
        <w:rPr>
          <w:szCs w:val="21"/>
          <w:highlight w:val="none"/>
        </w:rPr>
        <w:t>在报价评审时，如发现下列情形之一的，投标文件将被视为无效：</w:t>
      </w:r>
    </w:p>
    <w:p>
      <w:pPr>
        <w:pStyle w:val="9"/>
        <w:ind w:right="-252" w:firstLine="411" w:firstLineChars="196"/>
        <w:contextualSpacing/>
        <w:rPr>
          <w:rFonts w:eastAsia="宋体"/>
          <w:sz w:val="21"/>
          <w:szCs w:val="21"/>
          <w:highlight w:val="none"/>
        </w:rPr>
      </w:pPr>
      <w:r>
        <w:rPr>
          <w:rFonts w:eastAsia="宋体"/>
          <w:sz w:val="21"/>
          <w:szCs w:val="21"/>
          <w:highlight w:val="none"/>
        </w:rPr>
        <w:t>（1）</w:t>
      </w:r>
      <w:r>
        <w:rPr>
          <w:rFonts w:hint="eastAsia" w:eastAsia="宋体"/>
          <w:bCs/>
          <w:sz w:val="21"/>
          <w:szCs w:val="21"/>
          <w:highlight w:val="none"/>
        </w:rPr>
        <w:t>报价超过采购文件中规定的预算金额或者最高限价的</w:t>
      </w:r>
      <w:r>
        <w:rPr>
          <w:rFonts w:eastAsia="宋体"/>
          <w:sz w:val="21"/>
          <w:szCs w:val="21"/>
          <w:highlight w:val="none"/>
        </w:rPr>
        <w:t>；</w:t>
      </w:r>
    </w:p>
    <w:p>
      <w:pPr>
        <w:pStyle w:val="9"/>
        <w:ind w:right="-252" w:firstLine="411" w:firstLineChars="196"/>
        <w:contextualSpacing/>
        <w:rPr>
          <w:rFonts w:eastAsia="宋体"/>
          <w:sz w:val="21"/>
          <w:szCs w:val="21"/>
          <w:highlight w:val="none"/>
        </w:rPr>
      </w:pPr>
      <w:r>
        <w:rPr>
          <w:rFonts w:eastAsia="宋体"/>
          <w:sz w:val="21"/>
          <w:szCs w:val="21"/>
          <w:highlight w:val="none"/>
        </w:rPr>
        <w:t>（2）</w:t>
      </w:r>
      <w:r>
        <w:rPr>
          <w:rFonts w:hint="eastAsia" w:eastAsia="宋体"/>
          <w:bCs/>
          <w:sz w:val="21"/>
          <w:szCs w:val="21"/>
          <w:highlight w:val="none"/>
        </w:rPr>
        <w:t>未采用采购文件要求的报价形式报价的</w:t>
      </w:r>
      <w:r>
        <w:rPr>
          <w:rFonts w:hint="eastAsia" w:eastAsia="宋体"/>
          <w:sz w:val="21"/>
          <w:szCs w:val="21"/>
          <w:highlight w:val="none"/>
        </w:rPr>
        <w:t>；</w:t>
      </w:r>
    </w:p>
    <w:p>
      <w:pPr>
        <w:pStyle w:val="9"/>
        <w:ind w:right="-252" w:firstLine="420" w:firstLineChars="200"/>
        <w:contextualSpacing/>
        <w:rPr>
          <w:rFonts w:eastAsia="宋体"/>
          <w:sz w:val="21"/>
          <w:szCs w:val="21"/>
          <w:highlight w:val="none"/>
        </w:rPr>
      </w:pPr>
      <w:r>
        <w:rPr>
          <w:rFonts w:hint="eastAsia" w:eastAsia="宋体"/>
          <w:sz w:val="21"/>
          <w:szCs w:val="21"/>
          <w:highlight w:val="none"/>
        </w:rPr>
        <w:t>（3）投标报价具有选择性的；</w:t>
      </w:r>
    </w:p>
    <w:p>
      <w:pPr>
        <w:pStyle w:val="9"/>
        <w:ind w:right="-252" w:firstLine="420" w:firstLineChars="200"/>
        <w:contextualSpacing/>
        <w:rPr>
          <w:rFonts w:eastAsia="宋体"/>
          <w:bCs/>
          <w:sz w:val="21"/>
          <w:szCs w:val="21"/>
          <w:highlight w:val="none"/>
        </w:rPr>
      </w:pPr>
      <w:r>
        <w:rPr>
          <w:rFonts w:hint="eastAsia" w:eastAsia="宋体"/>
          <w:bCs/>
          <w:sz w:val="21"/>
          <w:szCs w:val="21"/>
          <w:highlight w:val="none"/>
        </w:rPr>
        <w:t>（4）投标人的报价低于</w:t>
      </w:r>
      <w:r>
        <w:rPr>
          <w:rFonts w:hint="eastAsia" w:eastAsia="宋体"/>
          <w:sz w:val="21"/>
          <w:szCs w:val="21"/>
          <w:highlight w:val="none"/>
        </w:rPr>
        <w:t>其他通过符合性审查投标人的报价</w:t>
      </w:r>
      <w:r>
        <w:rPr>
          <w:rFonts w:hint="eastAsia" w:eastAsia="宋体"/>
          <w:bCs/>
          <w:sz w:val="21"/>
          <w:szCs w:val="21"/>
          <w:highlight w:val="none"/>
        </w:rPr>
        <w:t>，评标委员会认为有可能影响产品质量或者不能诚信履约，要求其在评标现场合理的时间内提供书面说明，必要时提交相关证明材料，投标人不能证明其报价合理性的；</w:t>
      </w:r>
    </w:p>
    <w:p>
      <w:pPr>
        <w:pStyle w:val="9"/>
        <w:ind w:right="-252" w:firstLine="420" w:firstLineChars="200"/>
        <w:contextualSpacing/>
        <w:rPr>
          <w:rFonts w:eastAsia="宋体"/>
          <w:sz w:val="21"/>
          <w:szCs w:val="21"/>
          <w:highlight w:val="none"/>
        </w:rPr>
      </w:pPr>
      <w:r>
        <w:rPr>
          <w:rFonts w:hint="eastAsia" w:eastAsia="宋体"/>
          <w:sz w:val="21"/>
          <w:szCs w:val="21"/>
          <w:highlight w:val="none"/>
        </w:rPr>
        <w:t>（</w:t>
      </w:r>
      <w:r>
        <w:rPr>
          <w:rFonts w:eastAsia="宋体"/>
          <w:sz w:val="21"/>
          <w:szCs w:val="21"/>
          <w:highlight w:val="none"/>
        </w:rPr>
        <w:t>5</w:t>
      </w:r>
      <w:r>
        <w:rPr>
          <w:rFonts w:hint="eastAsia" w:eastAsia="宋体"/>
          <w:sz w:val="21"/>
          <w:szCs w:val="21"/>
          <w:highlight w:val="none"/>
        </w:rPr>
        <w:t>）</w:t>
      </w:r>
      <w:r>
        <w:rPr>
          <w:rFonts w:hint="eastAsia" w:eastAsia="宋体"/>
          <w:bCs/>
          <w:sz w:val="21"/>
          <w:szCs w:val="21"/>
          <w:highlight w:val="none"/>
        </w:rPr>
        <w:t>采购文件规定的其他无效情形。</w:t>
      </w:r>
    </w:p>
    <w:p>
      <w:pPr>
        <w:spacing w:line="380" w:lineRule="exact"/>
        <w:ind w:firstLine="420" w:firstLineChars="200"/>
        <w:contextualSpacing/>
        <w:rPr>
          <w:szCs w:val="21"/>
          <w:highlight w:val="none"/>
        </w:rPr>
      </w:pPr>
      <w:r>
        <w:rPr>
          <w:szCs w:val="21"/>
          <w:highlight w:val="none"/>
        </w:rPr>
        <w:t>29</w:t>
      </w:r>
      <w:r>
        <w:rPr>
          <w:rFonts w:hint="eastAsia"/>
          <w:szCs w:val="21"/>
          <w:highlight w:val="none"/>
        </w:rPr>
        <w:t>.5</w:t>
      </w:r>
      <w:r>
        <w:rPr>
          <w:szCs w:val="21"/>
          <w:highlight w:val="none"/>
        </w:rPr>
        <w:t>被拒绝的投标文件为无效。</w:t>
      </w:r>
      <w:bookmarkEnd w:id="132"/>
      <w:bookmarkEnd w:id="133"/>
      <w:bookmarkEnd w:id="134"/>
      <w:bookmarkEnd w:id="135"/>
    </w:p>
    <w:p>
      <w:pPr>
        <w:pStyle w:val="2"/>
        <w:contextualSpacing/>
        <w:rPr>
          <w:rFonts w:ascii="Times New Roman"/>
          <w:sz w:val="24"/>
          <w:szCs w:val="24"/>
          <w:highlight w:val="none"/>
        </w:rPr>
      </w:pPr>
      <w:bookmarkStart w:id="136" w:name="_Toc429407718"/>
      <w:bookmarkStart w:id="137" w:name="_Toc505353789"/>
      <w:bookmarkStart w:id="138" w:name="_Toc430790239"/>
      <w:bookmarkStart w:id="139" w:name="_Toc425151758"/>
      <w:bookmarkStart w:id="140" w:name="_Toc425780302"/>
      <w:bookmarkStart w:id="141" w:name="_Toc496003210"/>
      <w:bookmarkStart w:id="142" w:name="_Toc498429638"/>
      <w:bookmarkStart w:id="143" w:name="_Toc456853675"/>
      <w:bookmarkStart w:id="144" w:name="_Toc445193550"/>
      <w:r>
        <w:rPr>
          <w:rFonts w:hint="eastAsia" w:ascii="Times New Roman"/>
          <w:sz w:val="24"/>
          <w:szCs w:val="24"/>
          <w:highlight w:val="none"/>
        </w:rPr>
        <w:t>九、</w:t>
      </w:r>
      <w:r>
        <w:rPr>
          <w:rFonts w:ascii="Times New Roman"/>
          <w:sz w:val="24"/>
          <w:szCs w:val="24"/>
          <w:highlight w:val="none"/>
        </w:rPr>
        <w:t>授予合同</w:t>
      </w:r>
      <w:bookmarkEnd w:id="136"/>
      <w:bookmarkEnd w:id="137"/>
      <w:bookmarkEnd w:id="138"/>
      <w:bookmarkEnd w:id="139"/>
      <w:bookmarkEnd w:id="140"/>
      <w:bookmarkEnd w:id="141"/>
      <w:bookmarkEnd w:id="142"/>
      <w:bookmarkEnd w:id="143"/>
      <w:bookmarkEnd w:id="144"/>
    </w:p>
    <w:p>
      <w:pPr>
        <w:spacing w:line="380" w:lineRule="exact"/>
        <w:contextualSpacing/>
        <w:rPr>
          <w:szCs w:val="21"/>
          <w:highlight w:val="none"/>
        </w:rPr>
      </w:pPr>
      <w:bookmarkStart w:id="145" w:name="_Toc430790240"/>
      <w:bookmarkStart w:id="146" w:name="_Toc429407719"/>
      <w:bookmarkStart w:id="147" w:name="_Toc425780303"/>
      <w:bookmarkStart w:id="148" w:name="_Toc425151759"/>
      <w:r>
        <w:rPr>
          <w:szCs w:val="21"/>
          <w:highlight w:val="none"/>
        </w:rPr>
        <w:t>30</w:t>
      </w:r>
      <w:r>
        <w:rPr>
          <w:rFonts w:hint="eastAsia"/>
          <w:szCs w:val="21"/>
          <w:highlight w:val="none"/>
        </w:rPr>
        <w:t>、</w:t>
      </w:r>
      <w:r>
        <w:rPr>
          <w:szCs w:val="21"/>
          <w:highlight w:val="none"/>
        </w:rPr>
        <w:t>数量变更</w:t>
      </w:r>
    </w:p>
    <w:p>
      <w:pPr>
        <w:spacing w:line="380" w:lineRule="exact"/>
        <w:ind w:firstLine="420" w:firstLineChars="200"/>
        <w:contextualSpacing/>
        <w:rPr>
          <w:szCs w:val="21"/>
          <w:highlight w:val="none"/>
        </w:rPr>
      </w:pPr>
      <w:r>
        <w:rPr>
          <w:szCs w:val="21"/>
          <w:highlight w:val="none"/>
        </w:rPr>
        <w:t>采购人在授予合同时不能对单价或其他</w:t>
      </w:r>
      <w:r>
        <w:rPr>
          <w:rFonts w:hint="eastAsia"/>
          <w:szCs w:val="21"/>
          <w:highlight w:val="none"/>
        </w:rPr>
        <w:t>实质性</w:t>
      </w:r>
      <w:r>
        <w:rPr>
          <w:szCs w:val="21"/>
          <w:highlight w:val="none"/>
        </w:rPr>
        <w:t>条款和条件作任何改变。</w:t>
      </w:r>
    </w:p>
    <w:p>
      <w:pPr>
        <w:spacing w:line="380" w:lineRule="exact"/>
        <w:contextualSpacing/>
        <w:rPr>
          <w:szCs w:val="21"/>
          <w:highlight w:val="none"/>
        </w:rPr>
      </w:pPr>
      <w:r>
        <w:rPr>
          <w:szCs w:val="21"/>
          <w:highlight w:val="none"/>
        </w:rPr>
        <w:t>31</w:t>
      </w:r>
      <w:r>
        <w:rPr>
          <w:rFonts w:hint="eastAsia"/>
          <w:szCs w:val="21"/>
          <w:highlight w:val="none"/>
        </w:rPr>
        <w:t>、</w:t>
      </w:r>
      <w:r>
        <w:rPr>
          <w:szCs w:val="21"/>
          <w:highlight w:val="none"/>
        </w:rPr>
        <w:t>中标通知</w:t>
      </w:r>
    </w:p>
    <w:p>
      <w:pPr>
        <w:spacing w:line="380" w:lineRule="exact"/>
        <w:ind w:firstLine="420" w:firstLineChars="200"/>
        <w:contextualSpacing/>
        <w:rPr>
          <w:szCs w:val="21"/>
          <w:highlight w:val="none"/>
        </w:rPr>
      </w:pPr>
      <w:r>
        <w:rPr>
          <w:szCs w:val="21"/>
          <w:highlight w:val="none"/>
        </w:rPr>
        <w:t>31</w:t>
      </w:r>
      <w:r>
        <w:rPr>
          <w:rFonts w:hint="eastAsia"/>
          <w:szCs w:val="21"/>
          <w:highlight w:val="none"/>
        </w:rPr>
        <w:t>.</w:t>
      </w:r>
      <w:r>
        <w:rPr>
          <w:szCs w:val="21"/>
          <w:highlight w:val="none"/>
        </w:rPr>
        <w:t>1在发布中标公告</w:t>
      </w:r>
      <w:r>
        <w:rPr>
          <w:rFonts w:hint="eastAsia"/>
          <w:szCs w:val="21"/>
          <w:highlight w:val="none"/>
        </w:rPr>
        <w:t>的同时</w:t>
      </w:r>
      <w:r>
        <w:rPr>
          <w:szCs w:val="21"/>
          <w:highlight w:val="none"/>
        </w:rPr>
        <w:t>本采购代理机构向中标</w:t>
      </w:r>
      <w:r>
        <w:rPr>
          <w:rFonts w:hint="eastAsia"/>
          <w:szCs w:val="21"/>
          <w:highlight w:val="none"/>
        </w:rPr>
        <w:t>人</w:t>
      </w:r>
      <w:r>
        <w:rPr>
          <w:szCs w:val="21"/>
          <w:highlight w:val="none"/>
        </w:rPr>
        <w:t>发出中标通知</w:t>
      </w:r>
      <w:r>
        <w:rPr>
          <w:rFonts w:hint="eastAsia"/>
          <w:szCs w:val="21"/>
          <w:highlight w:val="none"/>
        </w:rPr>
        <w:t>书</w:t>
      </w:r>
      <w:r>
        <w:rPr>
          <w:szCs w:val="21"/>
          <w:highlight w:val="none"/>
        </w:rPr>
        <w:t>，向其他投标人发出招标结果通知书，中标通知书对采购人和中标</w:t>
      </w:r>
      <w:r>
        <w:rPr>
          <w:rFonts w:hint="eastAsia"/>
          <w:szCs w:val="21"/>
          <w:highlight w:val="none"/>
        </w:rPr>
        <w:t>人</w:t>
      </w:r>
      <w:r>
        <w:rPr>
          <w:szCs w:val="21"/>
          <w:highlight w:val="none"/>
        </w:rPr>
        <w:t>具有同等法律效力。</w:t>
      </w:r>
    </w:p>
    <w:p>
      <w:pPr>
        <w:spacing w:line="380" w:lineRule="exact"/>
        <w:ind w:firstLine="420" w:firstLineChars="200"/>
        <w:contextualSpacing/>
        <w:rPr>
          <w:szCs w:val="21"/>
          <w:highlight w:val="none"/>
        </w:rPr>
      </w:pPr>
      <w:r>
        <w:rPr>
          <w:szCs w:val="21"/>
          <w:highlight w:val="none"/>
        </w:rPr>
        <w:t>31</w:t>
      </w:r>
      <w:r>
        <w:rPr>
          <w:rFonts w:hint="eastAsia"/>
          <w:szCs w:val="21"/>
          <w:highlight w:val="none"/>
        </w:rPr>
        <w:t>.2</w:t>
      </w:r>
      <w:r>
        <w:rPr>
          <w:szCs w:val="21"/>
          <w:highlight w:val="none"/>
        </w:rPr>
        <w:t>中标</w:t>
      </w:r>
      <w:r>
        <w:rPr>
          <w:rFonts w:hint="eastAsia"/>
          <w:szCs w:val="21"/>
          <w:highlight w:val="none"/>
        </w:rPr>
        <w:t>人</w:t>
      </w:r>
      <w:r>
        <w:rPr>
          <w:szCs w:val="21"/>
          <w:highlight w:val="none"/>
        </w:rPr>
        <w:t>按下述第3</w:t>
      </w:r>
      <w:r>
        <w:rPr>
          <w:rFonts w:hint="eastAsia"/>
          <w:szCs w:val="21"/>
          <w:highlight w:val="none"/>
        </w:rPr>
        <w:t>2</w:t>
      </w:r>
      <w:r>
        <w:rPr>
          <w:szCs w:val="21"/>
          <w:highlight w:val="none"/>
        </w:rPr>
        <w:t>条规定与采购人签订合同，中标通知书是合同的组成部分。</w:t>
      </w:r>
    </w:p>
    <w:p>
      <w:pPr>
        <w:spacing w:line="380" w:lineRule="exact"/>
        <w:contextualSpacing/>
        <w:rPr>
          <w:szCs w:val="21"/>
          <w:highlight w:val="none"/>
        </w:rPr>
      </w:pPr>
      <w:r>
        <w:rPr>
          <w:szCs w:val="21"/>
          <w:highlight w:val="none"/>
        </w:rPr>
        <w:t>32</w:t>
      </w:r>
      <w:r>
        <w:rPr>
          <w:rFonts w:hint="eastAsia"/>
          <w:szCs w:val="21"/>
          <w:highlight w:val="none"/>
        </w:rPr>
        <w:t>、</w:t>
      </w:r>
      <w:r>
        <w:rPr>
          <w:szCs w:val="21"/>
          <w:highlight w:val="none"/>
        </w:rPr>
        <w:t>签订合同</w:t>
      </w:r>
    </w:p>
    <w:p>
      <w:pPr>
        <w:spacing w:line="380" w:lineRule="exact"/>
        <w:ind w:firstLine="420" w:firstLineChars="200"/>
        <w:contextualSpacing/>
        <w:rPr>
          <w:szCs w:val="21"/>
          <w:highlight w:val="none"/>
        </w:rPr>
      </w:pPr>
      <w:r>
        <w:rPr>
          <w:szCs w:val="21"/>
          <w:highlight w:val="none"/>
        </w:rPr>
        <w:t>32</w:t>
      </w:r>
      <w:r>
        <w:rPr>
          <w:rFonts w:hint="eastAsia"/>
          <w:szCs w:val="21"/>
          <w:highlight w:val="none"/>
        </w:rPr>
        <w:t>.1</w:t>
      </w:r>
      <w:r>
        <w:rPr>
          <w:szCs w:val="21"/>
          <w:highlight w:val="none"/>
        </w:rPr>
        <w:t>中标</w:t>
      </w:r>
      <w:r>
        <w:rPr>
          <w:rFonts w:hint="eastAsia"/>
          <w:szCs w:val="21"/>
          <w:highlight w:val="none"/>
        </w:rPr>
        <w:t>人</w:t>
      </w:r>
      <w:r>
        <w:rPr>
          <w:szCs w:val="21"/>
          <w:highlight w:val="none"/>
        </w:rPr>
        <w:t>在本采购代理机构发出中标通知书的</w:t>
      </w:r>
      <w:r>
        <w:rPr>
          <w:rFonts w:hint="eastAsia"/>
          <w:szCs w:val="21"/>
          <w:highlight w:val="none"/>
        </w:rPr>
        <w:t>30</w:t>
      </w:r>
      <w:r>
        <w:rPr>
          <w:szCs w:val="21"/>
          <w:highlight w:val="none"/>
        </w:rPr>
        <w:t>日内，应与采购人按照采购文件和中标</w:t>
      </w:r>
      <w:r>
        <w:rPr>
          <w:rFonts w:hint="eastAsia"/>
          <w:szCs w:val="21"/>
          <w:highlight w:val="none"/>
        </w:rPr>
        <w:t>人</w:t>
      </w:r>
      <w:r>
        <w:rPr>
          <w:szCs w:val="21"/>
          <w:highlight w:val="none"/>
        </w:rPr>
        <w:t>的投标文件的约定内容签订书面合同。否则，采购人可按本须知第25条的规定处理，撤销其中标资格并按本须知规定另选中标</w:t>
      </w:r>
      <w:r>
        <w:rPr>
          <w:rFonts w:hint="eastAsia"/>
          <w:szCs w:val="21"/>
          <w:highlight w:val="none"/>
        </w:rPr>
        <w:t>人</w:t>
      </w:r>
      <w:r>
        <w:rPr>
          <w:szCs w:val="21"/>
          <w:highlight w:val="none"/>
        </w:rPr>
        <w:t>或重新招标。</w:t>
      </w:r>
    </w:p>
    <w:p>
      <w:pPr>
        <w:spacing w:line="380" w:lineRule="exact"/>
        <w:ind w:firstLine="420" w:firstLineChars="200"/>
        <w:contextualSpacing/>
        <w:rPr>
          <w:szCs w:val="21"/>
          <w:highlight w:val="none"/>
        </w:rPr>
      </w:pPr>
      <w:r>
        <w:rPr>
          <w:szCs w:val="21"/>
          <w:highlight w:val="none"/>
        </w:rPr>
        <w:t>32</w:t>
      </w:r>
      <w:r>
        <w:rPr>
          <w:rFonts w:hint="eastAsia"/>
          <w:szCs w:val="21"/>
          <w:highlight w:val="none"/>
        </w:rPr>
        <w:t>.2</w:t>
      </w:r>
      <w:r>
        <w:rPr>
          <w:szCs w:val="21"/>
          <w:highlight w:val="none"/>
        </w:rPr>
        <w:t>采购文件、中标</w:t>
      </w:r>
      <w:r>
        <w:rPr>
          <w:rFonts w:hint="eastAsia"/>
          <w:szCs w:val="21"/>
          <w:highlight w:val="none"/>
        </w:rPr>
        <w:t>人</w:t>
      </w:r>
      <w:r>
        <w:rPr>
          <w:szCs w:val="21"/>
          <w:highlight w:val="none"/>
        </w:rPr>
        <w:t>的投标文件及在评标过程中提交的澄清文件均应作为合同附件。</w:t>
      </w:r>
    </w:p>
    <w:p>
      <w:pPr>
        <w:spacing w:line="380" w:lineRule="exact"/>
        <w:contextualSpacing/>
        <w:rPr>
          <w:szCs w:val="21"/>
          <w:highlight w:val="none"/>
        </w:rPr>
      </w:pPr>
      <w:r>
        <w:rPr>
          <w:szCs w:val="21"/>
          <w:highlight w:val="none"/>
        </w:rPr>
        <w:t>33</w:t>
      </w:r>
      <w:r>
        <w:rPr>
          <w:rFonts w:hint="eastAsia"/>
          <w:szCs w:val="21"/>
          <w:highlight w:val="none"/>
        </w:rPr>
        <w:t>、</w:t>
      </w:r>
      <w:r>
        <w:rPr>
          <w:szCs w:val="21"/>
          <w:highlight w:val="none"/>
        </w:rPr>
        <w:t>履约保证金</w:t>
      </w:r>
      <w:r>
        <w:rPr>
          <w:rFonts w:hint="eastAsia"/>
          <w:szCs w:val="21"/>
          <w:highlight w:val="none"/>
        </w:rPr>
        <w:t>：</w:t>
      </w:r>
    </w:p>
    <w:p>
      <w:pPr>
        <w:spacing w:line="380" w:lineRule="exact"/>
        <w:ind w:firstLine="420" w:firstLineChars="200"/>
        <w:contextualSpacing/>
        <w:rPr>
          <w:szCs w:val="21"/>
          <w:highlight w:val="none"/>
        </w:rPr>
      </w:pPr>
      <w:r>
        <w:rPr>
          <w:rFonts w:hint="eastAsia"/>
          <w:szCs w:val="21"/>
          <w:highlight w:val="none"/>
        </w:rPr>
        <w:t>33.1</w:t>
      </w:r>
      <w:r>
        <w:rPr>
          <w:szCs w:val="21"/>
          <w:highlight w:val="none"/>
        </w:rPr>
        <w:t>签订合同</w:t>
      </w:r>
      <w:r>
        <w:rPr>
          <w:rFonts w:hint="eastAsia"/>
          <w:szCs w:val="21"/>
          <w:highlight w:val="none"/>
        </w:rPr>
        <w:t>后</w:t>
      </w:r>
      <w:r>
        <w:rPr>
          <w:szCs w:val="21"/>
          <w:highlight w:val="none"/>
        </w:rPr>
        <w:t>，中标人应根据采购文件确定的履约保证金的金额交纳履约保证金。</w:t>
      </w:r>
    </w:p>
    <w:p>
      <w:pPr>
        <w:spacing w:line="380" w:lineRule="exact"/>
        <w:ind w:firstLine="420" w:firstLineChars="200"/>
        <w:contextualSpacing/>
        <w:rPr>
          <w:szCs w:val="21"/>
          <w:highlight w:val="none"/>
        </w:rPr>
      </w:pPr>
      <w:r>
        <w:rPr>
          <w:rFonts w:hint="eastAsia"/>
          <w:szCs w:val="21"/>
          <w:highlight w:val="none"/>
        </w:rPr>
        <w:t>33.2</w:t>
      </w:r>
      <w:r>
        <w:rPr>
          <w:szCs w:val="21"/>
          <w:highlight w:val="none"/>
        </w:rPr>
        <w:t>签订合同后，如中标人不按双方合同约定履约，则没收其全部履约保证金，履约保证金不足以赔偿损失的，按实际损失赔偿。</w:t>
      </w:r>
      <w:bookmarkEnd w:id="145"/>
      <w:bookmarkEnd w:id="146"/>
      <w:bookmarkEnd w:id="147"/>
      <w:bookmarkEnd w:id="148"/>
    </w:p>
    <w:p>
      <w:pPr>
        <w:spacing w:line="380" w:lineRule="exact"/>
        <w:contextualSpacing/>
        <w:rPr>
          <w:szCs w:val="21"/>
          <w:highlight w:val="none"/>
        </w:rPr>
      </w:pPr>
    </w:p>
    <w:p>
      <w:pPr>
        <w:pStyle w:val="2"/>
        <w:contextualSpacing/>
        <w:rPr>
          <w:rFonts w:ascii="Times New Roman"/>
          <w:sz w:val="24"/>
          <w:szCs w:val="24"/>
          <w:highlight w:val="none"/>
        </w:rPr>
      </w:pPr>
      <w:bookmarkStart w:id="149" w:name="_Hlk49412371"/>
      <w:r>
        <w:rPr>
          <w:rFonts w:hint="eastAsia" w:ascii="Times New Roman"/>
          <w:sz w:val="24"/>
          <w:szCs w:val="24"/>
          <w:highlight w:val="none"/>
        </w:rPr>
        <w:t>十、履约验收</w:t>
      </w:r>
    </w:p>
    <w:p>
      <w:pPr>
        <w:pStyle w:val="18"/>
        <w:spacing w:after="0" w:line="360" w:lineRule="auto"/>
        <w:contextualSpacing/>
        <w:rPr>
          <w:rFonts w:cs="宋体"/>
          <w:bCs/>
          <w:szCs w:val="21"/>
          <w:highlight w:val="none"/>
        </w:rPr>
      </w:pPr>
      <w:r>
        <w:rPr>
          <w:rFonts w:hint="eastAsia" w:cs="宋体"/>
          <w:bCs/>
          <w:szCs w:val="21"/>
          <w:highlight w:val="none"/>
        </w:rPr>
        <w:t>3</w:t>
      </w:r>
      <w:r>
        <w:rPr>
          <w:rFonts w:cs="宋体"/>
          <w:bCs/>
          <w:szCs w:val="21"/>
          <w:highlight w:val="none"/>
        </w:rPr>
        <w:t>4</w:t>
      </w:r>
      <w:r>
        <w:rPr>
          <w:rFonts w:hint="eastAsia" w:cs="宋体"/>
          <w:bCs/>
          <w:szCs w:val="21"/>
          <w:highlight w:val="none"/>
        </w:rPr>
        <w:t>、采购人负责对中标人的履约行为进行验收，</w:t>
      </w:r>
      <w:r>
        <w:rPr>
          <w:rFonts w:hint="eastAsia"/>
          <w:szCs w:val="21"/>
          <w:highlight w:val="none"/>
        </w:rPr>
        <w:t>验收标准为本项目的采购文件以及中标人的投标文件，要求验收必须符合相关政策法规和地方标准。</w:t>
      </w:r>
    </w:p>
    <w:p>
      <w:pPr>
        <w:pStyle w:val="18"/>
        <w:spacing w:after="0" w:line="360" w:lineRule="auto"/>
        <w:contextualSpacing/>
        <w:rPr>
          <w:rFonts w:cs="宋体"/>
          <w:bCs/>
          <w:szCs w:val="21"/>
          <w:highlight w:val="none"/>
        </w:rPr>
      </w:pPr>
      <w:r>
        <w:rPr>
          <w:rFonts w:hint="eastAsia" w:cs="宋体"/>
          <w:bCs/>
          <w:szCs w:val="21"/>
          <w:highlight w:val="none"/>
        </w:rPr>
        <w:t>35、采购人可以邀请参加本项目的其他投标人或者第三方机构参与验收。参与验收的投标人或者第三方机构的意见作为验收书的参考资料一并存档。政府向社会公众提供的公共服务项目，验收时应当邀请服务对象参与并出具意见。</w:t>
      </w:r>
    </w:p>
    <w:p>
      <w:pPr>
        <w:pStyle w:val="2"/>
        <w:contextualSpacing/>
        <w:rPr>
          <w:rFonts w:ascii="Times New Roman"/>
          <w:sz w:val="24"/>
          <w:szCs w:val="24"/>
          <w:highlight w:val="none"/>
        </w:rPr>
      </w:pPr>
      <w:r>
        <w:rPr>
          <w:rFonts w:hint="eastAsia" w:ascii="Times New Roman"/>
          <w:sz w:val="24"/>
          <w:szCs w:val="24"/>
          <w:highlight w:val="none"/>
        </w:rPr>
        <w:t>十一、招标服务费用</w:t>
      </w:r>
    </w:p>
    <w:p>
      <w:pPr>
        <w:spacing w:line="380" w:lineRule="exact"/>
        <w:contextualSpacing/>
        <w:rPr>
          <w:szCs w:val="21"/>
          <w:highlight w:val="none"/>
        </w:rPr>
      </w:pPr>
      <w:r>
        <w:rPr>
          <w:szCs w:val="21"/>
          <w:highlight w:val="none"/>
        </w:rPr>
        <w:t>3</w:t>
      </w:r>
      <w:r>
        <w:rPr>
          <w:rFonts w:hint="eastAsia"/>
          <w:szCs w:val="21"/>
          <w:highlight w:val="none"/>
        </w:rPr>
        <w:t>6、</w:t>
      </w:r>
      <w:r>
        <w:rPr>
          <w:szCs w:val="21"/>
          <w:highlight w:val="none"/>
        </w:rPr>
        <w:t>招标服务费</w:t>
      </w:r>
    </w:p>
    <w:p>
      <w:pPr>
        <w:spacing w:line="380" w:lineRule="exact"/>
        <w:ind w:firstLine="420" w:firstLineChars="200"/>
        <w:contextualSpacing/>
        <w:rPr>
          <w:szCs w:val="21"/>
          <w:highlight w:val="none"/>
        </w:rPr>
      </w:pPr>
      <w:r>
        <w:rPr>
          <w:rFonts w:hint="eastAsia"/>
          <w:szCs w:val="21"/>
          <w:highlight w:val="none"/>
        </w:rPr>
        <w:t>中标人</w:t>
      </w:r>
      <w:r>
        <w:rPr>
          <w:szCs w:val="21"/>
          <w:highlight w:val="none"/>
        </w:rPr>
        <w:t>应向本采购代理机构支付招标服务费。招标服务费的收费依据及相关规定载明在采购文件《投标资料表》中。</w:t>
      </w:r>
      <w:bookmarkEnd w:id="149"/>
    </w:p>
    <w:p>
      <w:pPr>
        <w:spacing w:line="380" w:lineRule="exact"/>
        <w:ind w:firstLine="420" w:firstLineChars="200"/>
        <w:contextualSpacing/>
        <w:rPr>
          <w:szCs w:val="21"/>
          <w:highlight w:val="none"/>
        </w:rPr>
      </w:pPr>
    </w:p>
    <w:p>
      <w:pPr>
        <w:pStyle w:val="2"/>
        <w:contextualSpacing/>
        <w:rPr>
          <w:rFonts w:ascii="Times New Roman"/>
          <w:sz w:val="24"/>
          <w:szCs w:val="24"/>
          <w:highlight w:val="none"/>
        </w:rPr>
      </w:pPr>
      <w:bookmarkStart w:id="150" w:name="_Toc429407725"/>
      <w:bookmarkStart w:id="151" w:name="_Toc425151765"/>
      <w:bookmarkStart w:id="152" w:name="_Toc498429640"/>
      <w:bookmarkStart w:id="153" w:name="_Toc445193552"/>
      <w:bookmarkStart w:id="154" w:name="_Toc456853677"/>
      <w:bookmarkStart w:id="155" w:name="_Toc505353791"/>
      <w:bookmarkStart w:id="156" w:name="_Toc496003211"/>
      <w:bookmarkStart w:id="157" w:name="_Toc430790246"/>
      <w:bookmarkStart w:id="158" w:name="_Hlk49412452"/>
      <w:bookmarkStart w:id="159" w:name="_Toc425780309"/>
      <w:r>
        <w:rPr>
          <w:rFonts w:hint="eastAsia" w:ascii="Times New Roman"/>
          <w:sz w:val="24"/>
          <w:szCs w:val="24"/>
          <w:highlight w:val="none"/>
        </w:rPr>
        <w:t>十二、</w:t>
      </w:r>
      <w:r>
        <w:rPr>
          <w:rFonts w:ascii="Times New Roman"/>
          <w:sz w:val="24"/>
          <w:szCs w:val="24"/>
          <w:highlight w:val="none"/>
        </w:rPr>
        <w:t>政府采购活动中有关中小企业的相关规定（采购进口产品的项目不适用）</w:t>
      </w:r>
      <w:bookmarkEnd w:id="61"/>
      <w:bookmarkEnd w:id="150"/>
      <w:bookmarkEnd w:id="151"/>
      <w:bookmarkEnd w:id="152"/>
      <w:bookmarkEnd w:id="153"/>
      <w:bookmarkEnd w:id="154"/>
      <w:bookmarkEnd w:id="155"/>
      <w:bookmarkEnd w:id="156"/>
      <w:bookmarkEnd w:id="157"/>
      <w:bookmarkEnd w:id="158"/>
      <w:bookmarkEnd w:id="159"/>
    </w:p>
    <w:p>
      <w:pPr>
        <w:spacing w:line="380" w:lineRule="exact"/>
        <w:contextualSpacing/>
        <w:rPr>
          <w:szCs w:val="21"/>
          <w:highlight w:val="none"/>
        </w:rPr>
      </w:pPr>
      <w:r>
        <w:rPr>
          <w:rFonts w:hint="eastAsia"/>
          <w:szCs w:val="21"/>
          <w:highlight w:val="none"/>
        </w:rPr>
        <w:t>37、本项目</w:t>
      </w:r>
      <w:r>
        <w:rPr>
          <w:rFonts w:hint="eastAsia"/>
          <w:szCs w:val="21"/>
          <w:highlight w:val="none"/>
          <w:u w:val="single"/>
          <w:lang w:val="en-US" w:eastAsia="zh-CN"/>
        </w:rPr>
        <w:t>是</w:t>
      </w:r>
      <w:r>
        <w:rPr>
          <w:rFonts w:hint="eastAsia"/>
          <w:szCs w:val="21"/>
          <w:highlight w:val="none"/>
        </w:rPr>
        <w:t>专门面向中小企业采购。</w:t>
      </w:r>
    </w:p>
    <w:p>
      <w:pPr>
        <w:spacing w:line="380" w:lineRule="exact"/>
        <w:contextualSpacing/>
        <w:rPr>
          <w:szCs w:val="21"/>
          <w:highlight w:val="none"/>
        </w:rPr>
      </w:pPr>
      <w:r>
        <w:rPr>
          <w:rFonts w:hint="eastAsia"/>
          <w:szCs w:val="21"/>
          <w:highlight w:val="none"/>
        </w:rPr>
        <w:t>38、本项目对应的中小企业划型标准所属行业：</w:t>
      </w:r>
      <w:r>
        <w:rPr>
          <w:rFonts w:hint="eastAsia"/>
          <w:b/>
          <w:highlight w:val="none"/>
          <w:u w:val="single"/>
        </w:rPr>
        <w:t>租赁和商务服务业</w:t>
      </w:r>
      <w:r>
        <w:rPr>
          <w:rFonts w:hint="eastAsia"/>
          <w:b/>
          <w:szCs w:val="21"/>
          <w:highlight w:val="none"/>
        </w:rPr>
        <w:t>。</w:t>
      </w:r>
    </w:p>
    <w:p>
      <w:pPr>
        <w:pStyle w:val="18"/>
        <w:spacing w:after="0" w:line="360" w:lineRule="auto"/>
        <w:contextualSpacing/>
        <w:rPr>
          <w:szCs w:val="21"/>
          <w:highlight w:val="none"/>
        </w:rPr>
      </w:pPr>
      <w:r>
        <w:rPr>
          <w:szCs w:val="21"/>
          <w:highlight w:val="none"/>
        </w:rPr>
        <w:t>3</w:t>
      </w:r>
      <w:r>
        <w:rPr>
          <w:rFonts w:hint="eastAsia"/>
          <w:szCs w:val="21"/>
          <w:highlight w:val="none"/>
        </w:rPr>
        <w:t>9、小微企业是指中华人民共和国境内依法设立，依据国务院批准的中小企业划分标准确定的小型企业和微型企业，但与大企业的负责人为同一人，或者与大企业存在直接控股、管理关系的除外。</w:t>
      </w:r>
    </w:p>
    <w:p>
      <w:pPr>
        <w:pStyle w:val="18"/>
        <w:spacing w:after="0" w:line="360" w:lineRule="auto"/>
        <w:ind w:firstLine="420" w:firstLineChars="200"/>
        <w:contextualSpacing/>
        <w:rPr>
          <w:szCs w:val="21"/>
          <w:highlight w:val="none"/>
        </w:rPr>
      </w:pPr>
      <w:r>
        <w:rPr>
          <w:rFonts w:hint="eastAsia"/>
          <w:szCs w:val="21"/>
          <w:highlight w:val="none"/>
        </w:rPr>
        <w:t>符合中小企业划分标准的个体工商户，在政府采购活动中视同中小企业。</w:t>
      </w:r>
    </w:p>
    <w:p>
      <w:pPr>
        <w:pStyle w:val="18"/>
        <w:spacing w:after="0" w:line="360" w:lineRule="auto"/>
        <w:ind w:firstLine="420" w:firstLineChars="200"/>
        <w:contextualSpacing/>
        <w:rPr>
          <w:szCs w:val="21"/>
          <w:highlight w:val="none"/>
        </w:rPr>
      </w:pPr>
      <w:r>
        <w:rPr>
          <w:rFonts w:hint="eastAsia"/>
          <w:szCs w:val="21"/>
          <w:highlight w:val="none"/>
        </w:rPr>
        <w:t>国务院批准的中小企业划分标准：具体见工信部联企业[2011]300号。</w:t>
      </w:r>
    </w:p>
    <w:p>
      <w:pPr>
        <w:pStyle w:val="18"/>
        <w:spacing w:after="0" w:line="360" w:lineRule="auto"/>
        <w:contextualSpacing/>
        <w:rPr>
          <w:szCs w:val="21"/>
          <w:highlight w:val="none"/>
        </w:rPr>
      </w:pPr>
      <w:r>
        <w:rPr>
          <w:rFonts w:hint="eastAsia"/>
          <w:szCs w:val="21"/>
          <w:highlight w:val="none"/>
        </w:rPr>
        <w:t>40、在政府采购活动中，供应商提供的货物、工程或者服务符合下列情形的，可享受小型、微型企业（以下简称小微企业）的价格扣除：</w:t>
      </w:r>
    </w:p>
    <w:p>
      <w:pPr>
        <w:pStyle w:val="18"/>
        <w:spacing w:after="0" w:line="360" w:lineRule="auto"/>
        <w:contextualSpacing/>
        <w:rPr>
          <w:szCs w:val="21"/>
          <w:highlight w:val="none"/>
        </w:rPr>
      </w:pPr>
      <w:r>
        <w:rPr>
          <w:rFonts w:hint="eastAsia"/>
          <w:szCs w:val="21"/>
          <w:highlight w:val="none"/>
        </w:rPr>
        <w:t>（1）在货物采购项目中，货物由小微企业制造，即货物由小微企业生产且使用该小微企业商号或者注册商标；</w:t>
      </w:r>
    </w:p>
    <w:p>
      <w:pPr>
        <w:pStyle w:val="18"/>
        <w:spacing w:after="0" w:line="360" w:lineRule="auto"/>
        <w:contextualSpacing/>
        <w:rPr>
          <w:szCs w:val="21"/>
          <w:highlight w:val="none"/>
        </w:rPr>
      </w:pPr>
      <w:r>
        <w:rPr>
          <w:rFonts w:hint="eastAsia"/>
          <w:szCs w:val="21"/>
          <w:highlight w:val="none"/>
        </w:rPr>
        <w:t>（2）在工程采购项目中，工程由小微企业承建，即工程施工单位为小微企业；</w:t>
      </w:r>
    </w:p>
    <w:p>
      <w:pPr>
        <w:pStyle w:val="18"/>
        <w:spacing w:after="0" w:line="360" w:lineRule="auto"/>
        <w:contextualSpacing/>
        <w:rPr>
          <w:szCs w:val="21"/>
          <w:highlight w:val="none"/>
        </w:rPr>
      </w:pPr>
      <w:r>
        <w:rPr>
          <w:rFonts w:hint="eastAsia"/>
          <w:szCs w:val="21"/>
          <w:highlight w:val="none"/>
        </w:rPr>
        <w:t>（3）在服务采购项目中，服务由小微企业承接，即提供服务的人员为小微企业依照《中华人民共和国劳动合同法》订立劳动合同的从业人员。</w:t>
      </w:r>
    </w:p>
    <w:p>
      <w:pPr>
        <w:pStyle w:val="18"/>
        <w:spacing w:after="0" w:line="360" w:lineRule="auto"/>
        <w:contextualSpacing/>
        <w:rPr>
          <w:szCs w:val="21"/>
          <w:highlight w:val="none"/>
        </w:rPr>
      </w:pPr>
      <w:r>
        <w:rPr>
          <w:rFonts w:hint="eastAsia"/>
          <w:szCs w:val="21"/>
          <w:highlight w:val="none"/>
        </w:rPr>
        <w:t>以联合体形式参加政府采购活动，联合体各方均为小微企业的，联合体视同小微企业。</w:t>
      </w:r>
    </w:p>
    <w:p>
      <w:pPr>
        <w:pStyle w:val="18"/>
        <w:spacing w:after="0" w:line="360" w:lineRule="auto"/>
        <w:contextualSpacing/>
        <w:rPr>
          <w:szCs w:val="21"/>
          <w:highlight w:val="none"/>
        </w:rPr>
      </w:pPr>
      <w:r>
        <w:rPr>
          <w:rFonts w:hint="eastAsia"/>
          <w:szCs w:val="21"/>
          <w:highlight w:val="none"/>
        </w:rPr>
        <w:t>41、在货物采购项目中，供应商提供的货物既有中小企业制造货物，也有大型企业制造货物的，不享受的小微企业价格扣除。</w:t>
      </w:r>
    </w:p>
    <w:p>
      <w:pPr>
        <w:pStyle w:val="18"/>
        <w:spacing w:after="0" w:line="360" w:lineRule="auto"/>
        <w:contextualSpacing/>
        <w:rPr>
          <w:szCs w:val="21"/>
          <w:highlight w:val="none"/>
        </w:rPr>
      </w:pPr>
      <w:r>
        <w:rPr>
          <w:rFonts w:hint="eastAsia"/>
          <w:szCs w:val="21"/>
          <w:highlight w:val="none"/>
        </w:rPr>
        <w:t>4</w:t>
      </w:r>
      <w:r>
        <w:rPr>
          <w:rFonts w:hint="eastAsia"/>
          <w:szCs w:val="21"/>
          <w:highlight w:val="none"/>
          <w:lang w:val="en-US" w:eastAsia="zh-CN"/>
        </w:rPr>
        <w:t>2</w:t>
      </w:r>
      <w:r>
        <w:rPr>
          <w:rFonts w:hint="eastAsia"/>
          <w:szCs w:val="21"/>
          <w:highlight w:val="none"/>
        </w:rPr>
        <w:t>、小微企业应按照磋商文件格式要求提供《中小企业声明函》。</w:t>
      </w:r>
    </w:p>
    <w:p>
      <w:pPr>
        <w:pStyle w:val="8"/>
        <w:spacing w:line="360" w:lineRule="auto"/>
        <w:ind w:firstLine="0"/>
        <w:rPr>
          <w:rFonts w:hint="eastAsia" w:hAnsi="宋体" w:cs="宋体"/>
          <w:color w:val="000000"/>
          <w:highlight w:val="none"/>
        </w:rPr>
      </w:pPr>
      <w:r>
        <w:rPr>
          <w:rFonts w:hint="eastAsia" w:hAnsi="宋体" w:cs="宋体"/>
          <w:color w:val="000000"/>
          <w:highlight w:val="none"/>
          <w:lang w:eastAsia="zh-CN"/>
        </w:rPr>
        <w:t>4</w:t>
      </w:r>
      <w:r>
        <w:rPr>
          <w:rFonts w:hint="eastAsia" w:hAnsi="宋体" w:cs="宋体"/>
          <w:color w:val="000000"/>
          <w:highlight w:val="none"/>
          <w:lang w:val="en-US" w:eastAsia="zh-CN"/>
        </w:rPr>
        <w:t>3</w:t>
      </w:r>
      <w:r>
        <w:rPr>
          <w:rFonts w:hint="eastAsia" w:hAnsi="宋体" w:cs="宋体"/>
          <w:color w:val="000000"/>
          <w:highlight w:val="none"/>
          <w:lang w:eastAsia="zh-CN"/>
        </w:rPr>
        <w:t>、</w:t>
      </w:r>
      <w:r>
        <w:rPr>
          <w:rFonts w:hint="eastAsia" w:hAnsi="宋体" w:cs="宋体"/>
          <w:color w:val="000000"/>
          <w:highlight w:val="none"/>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8"/>
        <w:spacing w:line="360" w:lineRule="auto"/>
        <w:ind w:firstLine="0"/>
        <w:rPr>
          <w:rFonts w:hint="eastAsia" w:hAnsi="宋体" w:cs="宋体"/>
          <w:color w:val="000000"/>
          <w:highlight w:val="none"/>
        </w:rPr>
      </w:pPr>
      <w:r>
        <w:rPr>
          <w:rFonts w:hint="eastAsia" w:hAnsi="宋体" w:cs="宋体"/>
          <w:color w:val="000000"/>
          <w:highlight w:val="none"/>
          <w:lang w:eastAsia="zh-CN"/>
        </w:rPr>
        <w:t>4</w:t>
      </w:r>
      <w:r>
        <w:rPr>
          <w:rFonts w:hint="eastAsia" w:hAnsi="宋体" w:cs="宋体"/>
          <w:color w:val="000000"/>
          <w:highlight w:val="none"/>
          <w:lang w:val="en-US" w:eastAsia="zh-CN"/>
        </w:rPr>
        <w:t>4</w:t>
      </w:r>
      <w:r>
        <w:rPr>
          <w:rFonts w:hint="eastAsia" w:hAnsi="宋体" w:cs="宋体"/>
          <w:color w:val="000000"/>
          <w:highlight w:val="none"/>
          <w:lang w:eastAsia="zh-CN"/>
        </w:rPr>
        <w:t>、</w:t>
      </w:r>
      <w:r>
        <w:rPr>
          <w:rFonts w:hint="eastAsia" w:hAnsi="宋体" w:cs="宋体"/>
          <w:color w:val="000000"/>
          <w:highlight w:val="none"/>
        </w:rPr>
        <w:t>根据《关于促进残疾人就业政府采购政策的通知》（财库[2017]141号）规定，在政府采购活动中，残疾人福利性单位视同小型、微型企业。残疾人福利性单位参加政府采购活动时，提供《残疾人福利性单位声明函》。</w:t>
      </w:r>
    </w:p>
    <w:p>
      <w:pPr>
        <w:pStyle w:val="8"/>
        <w:spacing w:line="360" w:lineRule="auto"/>
        <w:ind w:firstLine="0"/>
        <w:rPr>
          <w:rFonts w:hint="eastAsia" w:hAnsi="宋体" w:cs="宋体"/>
          <w:color w:val="000000"/>
          <w:highlight w:val="none"/>
        </w:rPr>
      </w:pPr>
      <w:r>
        <w:rPr>
          <w:rFonts w:hint="eastAsia" w:hAnsi="宋体" w:cs="宋体"/>
          <w:color w:val="000000"/>
          <w:highlight w:val="none"/>
          <w:lang w:eastAsia="zh-CN"/>
        </w:rPr>
        <w:t>4</w:t>
      </w:r>
      <w:r>
        <w:rPr>
          <w:rFonts w:hint="eastAsia" w:hAnsi="宋体" w:cs="宋体"/>
          <w:color w:val="000000"/>
          <w:highlight w:val="none"/>
          <w:lang w:val="en-US" w:eastAsia="zh-CN"/>
        </w:rPr>
        <w:t>5</w:t>
      </w:r>
      <w:r>
        <w:rPr>
          <w:rFonts w:hint="eastAsia" w:hAnsi="宋体" w:cs="宋体"/>
          <w:color w:val="000000"/>
          <w:highlight w:val="none"/>
          <w:lang w:eastAsia="zh-CN"/>
        </w:rPr>
        <w:t>、</w:t>
      </w:r>
      <w:r>
        <w:rPr>
          <w:rFonts w:hint="eastAsia" w:hAnsi="宋体" w:cs="宋体"/>
          <w:color w:val="000000"/>
          <w:highlight w:val="none"/>
        </w:rPr>
        <w:t>按规定享受扶持政策获得政府采购合同的，小微企业不得将合同分包给大中型企业，中型企业不得将合同分包给大型企业。</w:t>
      </w:r>
    </w:p>
    <w:p>
      <w:pPr>
        <w:pStyle w:val="8"/>
        <w:spacing w:line="360" w:lineRule="auto"/>
        <w:ind w:firstLine="0"/>
        <w:rPr>
          <w:rFonts w:hint="eastAsia" w:hAnsi="宋体" w:cs="宋体"/>
          <w:color w:val="000000"/>
          <w:highlight w:val="none"/>
        </w:rPr>
      </w:pPr>
      <w:r>
        <w:rPr>
          <w:rFonts w:hint="eastAsia" w:hAnsi="宋体" w:cs="宋体"/>
          <w:color w:val="000000"/>
          <w:highlight w:val="none"/>
          <w:lang w:eastAsia="zh-CN"/>
        </w:rPr>
        <w:t>4</w:t>
      </w:r>
      <w:r>
        <w:rPr>
          <w:rFonts w:hint="eastAsia" w:hAnsi="宋体" w:cs="宋体"/>
          <w:color w:val="000000"/>
          <w:highlight w:val="none"/>
          <w:lang w:val="en-US" w:eastAsia="zh-CN"/>
        </w:rPr>
        <w:t>6</w:t>
      </w:r>
      <w:r>
        <w:rPr>
          <w:rFonts w:hint="eastAsia" w:hAnsi="宋体" w:cs="宋体"/>
          <w:color w:val="000000"/>
          <w:highlight w:val="none"/>
          <w:lang w:eastAsia="zh-CN"/>
        </w:rPr>
        <w:t>、</w:t>
      </w:r>
      <w:r>
        <w:rPr>
          <w:rFonts w:hint="eastAsia" w:hAnsi="宋体" w:cs="宋体"/>
          <w:color w:val="000000"/>
          <w:highlight w:val="none"/>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供应商按照《政府采购促进中小企业发展管理办法》（财库﹝2020﹞46号）规定提供声明函内容不实的，供应商需承担相应的法律责任。</w:t>
      </w:r>
    </w:p>
    <w:p>
      <w:pPr>
        <w:pStyle w:val="8"/>
        <w:spacing w:line="360" w:lineRule="auto"/>
        <w:ind w:firstLine="0"/>
        <w:rPr>
          <w:rFonts w:hint="eastAsia" w:hAnsi="宋体"/>
          <w:color w:val="000000"/>
          <w:szCs w:val="21"/>
          <w:highlight w:val="none"/>
        </w:rPr>
      </w:pPr>
      <w:r>
        <w:rPr>
          <w:rFonts w:hint="eastAsia" w:hAnsi="宋体" w:cs="宋体"/>
          <w:color w:val="000000"/>
          <w:highlight w:val="none"/>
          <w:lang w:eastAsia="zh-CN"/>
        </w:rPr>
        <w:t>4</w:t>
      </w:r>
      <w:r>
        <w:rPr>
          <w:rFonts w:hint="eastAsia" w:hAnsi="宋体" w:cs="宋体"/>
          <w:color w:val="000000"/>
          <w:highlight w:val="none"/>
          <w:lang w:val="en-US" w:eastAsia="zh-CN"/>
        </w:rPr>
        <w:t>7</w:t>
      </w:r>
      <w:r>
        <w:rPr>
          <w:rFonts w:hint="eastAsia" w:hAnsi="宋体" w:cs="宋体"/>
          <w:color w:val="000000"/>
          <w:highlight w:val="none"/>
          <w:lang w:eastAsia="zh-CN"/>
        </w:rPr>
        <w:t>、</w:t>
      </w:r>
      <w:r>
        <w:rPr>
          <w:rFonts w:hint="eastAsia" w:hAnsi="宋体" w:cs="宋体"/>
          <w:color w:val="000000"/>
          <w:highlight w:val="none"/>
        </w:rPr>
        <w:t>《中小企业声明函》由参加投标的供应商提交，如供应商为代理商，须自行采集制造商的中小企业划分类型信息填入相应栏目并对其真实性负责。</w:t>
      </w:r>
    </w:p>
    <w:p>
      <w:pPr>
        <w:spacing w:line="380" w:lineRule="exact"/>
        <w:contextualSpacing/>
        <w:rPr>
          <w:szCs w:val="21"/>
          <w:highlight w:val="none"/>
        </w:rPr>
      </w:pPr>
      <w:r>
        <w:rPr>
          <w:rFonts w:hint="eastAsia"/>
          <w:szCs w:val="21"/>
          <w:highlight w:val="none"/>
        </w:rPr>
        <w:t xml:space="preserve"> </w:t>
      </w: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42"/>
        <w:rPr>
          <w:rFonts w:ascii="Times New Roman" w:hAnsi="Times New Roman"/>
          <w:kern w:val="44"/>
          <w:highlight w:val="none"/>
        </w:rPr>
      </w:pPr>
      <w:r>
        <w:rPr>
          <w:rFonts w:hint="eastAsia" w:ascii="Times New Roman" w:hAnsi="Times New Roman"/>
          <w:kern w:val="44"/>
          <w:highlight w:val="none"/>
        </w:rPr>
        <w:t>第四章 评标</w:t>
      </w:r>
      <w:bookmarkEnd w:id="14"/>
      <w:bookmarkEnd w:id="15"/>
      <w:bookmarkEnd w:id="16"/>
      <w:r>
        <w:rPr>
          <w:rFonts w:hint="eastAsia" w:ascii="Times New Roman" w:hAnsi="Times New Roman"/>
          <w:kern w:val="44"/>
          <w:highlight w:val="none"/>
        </w:rPr>
        <w:t>办法及标准</w:t>
      </w:r>
      <w:bookmarkEnd w:id="17"/>
    </w:p>
    <w:p>
      <w:pPr>
        <w:spacing w:line="360" w:lineRule="auto"/>
        <w:ind w:firstLine="420" w:firstLineChars="200"/>
        <w:contextualSpacing/>
        <w:rPr>
          <w:rFonts w:ascii="宋体" w:hAnsi="宋体" w:cs="宋体"/>
          <w:szCs w:val="21"/>
          <w:highlight w:val="none"/>
        </w:rPr>
      </w:pPr>
      <w:bookmarkStart w:id="160" w:name="_Toc157022442"/>
      <w:bookmarkStart w:id="161" w:name="_Toc146800983"/>
      <w:bookmarkStart w:id="162" w:name="_Toc263083257"/>
      <w:r>
        <w:rPr>
          <w:rFonts w:hint="eastAsia" w:ascii="宋体" w:hAnsi="宋体" w:cs="宋体"/>
          <w:szCs w:val="21"/>
          <w:highlight w:val="none"/>
        </w:rPr>
        <w:t>本评标办法是对《投标人须知》中的七、评标和定标的具体补充，如有不一致，以本办法为准。</w:t>
      </w:r>
    </w:p>
    <w:p>
      <w:pPr>
        <w:spacing w:line="360" w:lineRule="auto"/>
        <w:ind w:firstLine="420" w:firstLineChars="200"/>
        <w:contextualSpacing/>
        <w:rPr>
          <w:rFonts w:ascii="宋体" w:hAnsi="宋体" w:cs="宋体"/>
          <w:szCs w:val="21"/>
          <w:highlight w:val="none"/>
        </w:rPr>
      </w:pPr>
      <w:r>
        <w:rPr>
          <w:rFonts w:hint="eastAsia" w:ascii="宋体" w:hAnsi="宋体" w:cs="宋体"/>
          <w:szCs w:val="21"/>
          <w:highlight w:val="none"/>
        </w:rPr>
        <w:t>评标委员会按照招标文件“投标人须知”中关于评标委员会、评标办法、评标程序和原则、推荐中标候选人、定标等规定和本标准开展评标工作。</w:t>
      </w:r>
    </w:p>
    <w:p>
      <w:pPr>
        <w:pStyle w:val="3"/>
        <w:spacing w:before="0" w:after="0" w:line="360" w:lineRule="auto"/>
        <w:ind w:firstLine="200"/>
        <w:contextualSpacing/>
        <w:rPr>
          <w:rFonts w:ascii="宋体" w:hAnsi="宋体" w:eastAsia="宋体" w:cs="宋体"/>
          <w:b w:val="0"/>
          <w:sz w:val="21"/>
          <w:szCs w:val="21"/>
          <w:highlight w:val="none"/>
        </w:rPr>
      </w:pPr>
      <w:r>
        <w:rPr>
          <w:rFonts w:hint="eastAsia" w:ascii="宋体" w:hAnsi="宋体" w:eastAsia="宋体" w:cs="宋体"/>
          <w:b w:val="0"/>
          <w:sz w:val="21"/>
          <w:szCs w:val="21"/>
          <w:highlight w:val="none"/>
        </w:rPr>
        <w:t>●评标办法</w:t>
      </w:r>
    </w:p>
    <w:p>
      <w:pPr>
        <w:spacing w:line="360" w:lineRule="auto"/>
        <w:ind w:firstLine="411" w:firstLineChars="196"/>
        <w:contextualSpacing/>
        <w:rPr>
          <w:rFonts w:ascii="宋体" w:hAnsi="宋体" w:cs="宋体"/>
          <w:szCs w:val="21"/>
          <w:highlight w:val="none"/>
        </w:rPr>
      </w:pPr>
      <w:r>
        <w:rPr>
          <w:rFonts w:hint="eastAsia" w:ascii="宋体" w:hAnsi="宋体" w:cs="宋体"/>
          <w:szCs w:val="21"/>
          <w:highlight w:val="none"/>
        </w:rPr>
        <w:t>本次采购招标项目选用：综合评分法</w:t>
      </w:r>
    </w:p>
    <w:p>
      <w:pPr>
        <w:pStyle w:val="3"/>
        <w:spacing w:before="0" w:after="0" w:line="360" w:lineRule="auto"/>
        <w:ind w:firstLine="200"/>
        <w:contextualSpacing/>
        <w:rPr>
          <w:rFonts w:ascii="宋体" w:hAnsi="宋体" w:eastAsia="宋体" w:cs="宋体"/>
          <w:b w:val="0"/>
          <w:sz w:val="21"/>
          <w:szCs w:val="21"/>
          <w:highlight w:val="none"/>
        </w:rPr>
      </w:pPr>
      <w:r>
        <w:rPr>
          <w:rFonts w:hint="eastAsia" w:ascii="宋体" w:hAnsi="宋体" w:eastAsia="宋体" w:cs="宋体"/>
          <w:b w:val="0"/>
          <w:sz w:val="21"/>
          <w:szCs w:val="21"/>
          <w:highlight w:val="none"/>
        </w:rPr>
        <w:t>●开标程序：按第三部分“投标人须知”</w:t>
      </w:r>
      <w:r>
        <w:rPr>
          <w:rFonts w:hint="eastAsia" w:ascii="宋体" w:hAnsi="宋体" w:eastAsia="宋体" w:cs="宋体"/>
          <w:b w:val="0"/>
          <w:bCs w:val="0"/>
          <w:sz w:val="21"/>
          <w:szCs w:val="21"/>
          <w:highlight w:val="none"/>
        </w:rPr>
        <w:t>规定的程序开标。</w:t>
      </w:r>
    </w:p>
    <w:p>
      <w:pPr>
        <w:pStyle w:val="3"/>
        <w:spacing w:before="0" w:after="0" w:line="360" w:lineRule="auto"/>
        <w:ind w:firstLine="200"/>
        <w:contextualSpacing/>
        <w:rPr>
          <w:rFonts w:ascii="宋体" w:hAnsi="宋体" w:eastAsia="宋体" w:cs="宋体"/>
          <w:b w:val="0"/>
          <w:sz w:val="21"/>
          <w:szCs w:val="21"/>
          <w:highlight w:val="none"/>
        </w:rPr>
      </w:pPr>
      <w:r>
        <w:rPr>
          <w:rFonts w:hint="eastAsia" w:ascii="宋体" w:hAnsi="宋体" w:eastAsia="宋体" w:cs="宋体"/>
          <w:b w:val="0"/>
          <w:sz w:val="21"/>
          <w:szCs w:val="21"/>
          <w:highlight w:val="none"/>
        </w:rPr>
        <w:t>●评标细则</w:t>
      </w:r>
    </w:p>
    <w:p>
      <w:pPr>
        <w:spacing w:line="360" w:lineRule="auto"/>
        <w:ind w:firstLine="420" w:firstLineChars="200"/>
        <w:contextualSpacing/>
        <w:rPr>
          <w:rFonts w:ascii="宋体" w:hAnsi="宋体" w:cs="宋体"/>
          <w:szCs w:val="21"/>
          <w:highlight w:val="none"/>
        </w:rPr>
      </w:pPr>
      <w:r>
        <w:rPr>
          <w:rFonts w:hint="eastAsia" w:ascii="宋体" w:hAnsi="宋体" w:cs="宋体"/>
          <w:szCs w:val="21"/>
          <w:highlight w:val="none"/>
        </w:rPr>
        <w:t>1、对初步审查（含资格审查、符合性审查）合格者进行评分。</w:t>
      </w:r>
    </w:p>
    <w:p>
      <w:pPr>
        <w:spacing w:line="360" w:lineRule="auto"/>
        <w:ind w:firstLine="420" w:firstLineChars="200"/>
        <w:contextualSpacing/>
        <w:rPr>
          <w:rFonts w:ascii="宋体" w:hAnsi="宋体" w:cs="宋体"/>
          <w:szCs w:val="21"/>
          <w:highlight w:val="none"/>
        </w:rPr>
      </w:pPr>
      <w:r>
        <w:rPr>
          <w:rFonts w:hint="eastAsia" w:ascii="宋体" w:hAnsi="宋体" w:cs="宋体"/>
          <w:szCs w:val="21"/>
          <w:highlight w:val="none"/>
        </w:rPr>
        <w:t>2、每位评委根据《评分标准》独立逐栏打分，每栏分值不得超出规定的分值范围；各评分因素分值保留小数点后二位。</w:t>
      </w:r>
    </w:p>
    <w:p>
      <w:pPr>
        <w:spacing w:line="360" w:lineRule="auto"/>
        <w:ind w:firstLine="420" w:firstLineChars="200"/>
        <w:contextualSpacing/>
        <w:rPr>
          <w:rFonts w:ascii="宋体" w:hAnsi="宋体" w:cs="宋体"/>
          <w:szCs w:val="21"/>
          <w:highlight w:val="none"/>
        </w:rPr>
      </w:pPr>
      <w:r>
        <w:rPr>
          <w:rFonts w:hint="eastAsia" w:ascii="宋体" w:hAnsi="宋体" w:cs="宋体"/>
          <w:szCs w:val="21"/>
          <w:highlight w:val="none"/>
        </w:rPr>
        <w:t>3、价格评审基准价格与价格评审：有效投标中的最低评审价为基准价格，其投标价格分得满分。其余投标价格分得分计算按照“评分标准”中评审得分公式计算，以四舍五入方法整合到小数点后二位。</w:t>
      </w:r>
    </w:p>
    <w:p>
      <w:pPr>
        <w:spacing w:line="360" w:lineRule="auto"/>
        <w:ind w:firstLine="420" w:firstLineChars="200"/>
        <w:contextualSpacing/>
        <w:rPr>
          <w:rFonts w:ascii="宋体" w:hAnsi="宋体" w:cs="宋体"/>
          <w:szCs w:val="21"/>
          <w:highlight w:val="none"/>
        </w:rPr>
      </w:pPr>
      <w:r>
        <w:rPr>
          <w:rFonts w:hint="eastAsia" w:ascii="宋体" w:hAnsi="宋体" w:cs="宋体"/>
          <w:szCs w:val="21"/>
          <w:highlight w:val="none"/>
        </w:rPr>
        <w:t>4、最终得分：各评委技术商务分的算术平均值+投标价格分=最终得分，以四舍五入法整合到小数点后二位。</w:t>
      </w:r>
    </w:p>
    <w:p>
      <w:pPr>
        <w:spacing w:line="360" w:lineRule="auto"/>
        <w:ind w:firstLine="420" w:firstLineChars="200"/>
        <w:contextualSpacing/>
        <w:rPr>
          <w:rFonts w:ascii="宋体" w:hAnsi="宋体" w:cs="宋体"/>
          <w:szCs w:val="21"/>
          <w:highlight w:val="none"/>
        </w:rPr>
      </w:pPr>
      <w:r>
        <w:rPr>
          <w:rFonts w:hint="eastAsia" w:ascii="宋体" w:hAnsi="宋体" w:cs="宋体"/>
          <w:szCs w:val="21"/>
          <w:highlight w:val="none"/>
        </w:rPr>
        <w:t>5、评价排序：按评审后得分由高到低顺序排列。得分相同的，按投标报价由低到高顺序排列。得分且投标报价相同的并列，抽签决定中标候选人。</w:t>
      </w:r>
    </w:p>
    <w:p>
      <w:pPr>
        <w:pStyle w:val="3"/>
        <w:spacing w:before="0" w:after="0" w:line="360" w:lineRule="auto"/>
        <w:ind w:firstLine="200"/>
        <w:contextualSpacing/>
        <w:rPr>
          <w:rFonts w:ascii="宋体" w:hAnsi="宋体" w:eastAsia="宋体" w:cs="宋体"/>
          <w:b w:val="0"/>
          <w:sz w:val="21"/>
          <w:szCs w:val="21"/>
          <w:highlight w:val="none"/>
        </w:rPr>
      </w:pPr>
      <w:r>
        <w:rPr>
          <w:rFonts w:hint="eastAsia" w:ascii="宋体" w:hAnsi="宋体" w:eastAsia="宋体" w:cs="宋体"/>
          <w:b w:val="0"/>
          <w:sz w:val="21"/>
          <w:szCs w:val="21"/>
          <w:highlight w:val="none"/>
        </w:rPr>
        <w:t>●其他说明</w:t>
      </w:r>
    </w:p>
    <w:p>
      <w:pPr>
        <w:spacing w:line="360" w:lineRule="auto"/>
        <w:ind w:firstLine="420" w:firstLineChars="200"/>
        <w:contextualSpacing/>
        <w:rPr>
          <w:rFonts w:ascii="宋体" w:hAnsi="宋体" w:cs="宋体"/>
          <w:szCs w:val="21"/>
          <w:highlight w:val="none"/>
        </w:rPr>
      </w:pPr>
      <w:r>
        <w:rPr>
          <w:rFonts w:hint="eastAsia" w:ascii="宋体" w:hAnsi="宋体" w:cs="宋体"/>
          <w:szCs w:val="21"/>
          <w:highlight w:val="none"/>
        </w:rPr>
        <w:t>有效投标：通过初步审查且投标报价符合评审范围。</w:t>
      </w:r>
    </w:p>
    <w:p>
      <w:pPr>
        <w:spacing w:line="360" w:lineRule="auto"/>
        <w:ind w:firstLine="422" w:firstLineChars="200"/>
        <w:contextualSpacing/>
        <w:rPr>
          <w:szCs w:val="21"/>
          <w:highlight w:val="none"/>
        </w:rPr>
      </w:pPr>
      <w:r>
        <w:rPr>
          <w:rFonts w:hint="eastAsia"/>
          <w:b/>
          <w:szCs w:val="21"/>
          <w:highlight w:val="none"/>
        </w:rPr>
        <w:t>本项目是专门面向中小企业/小微企业采购，满足要求的供应商不再享受价格扣除优惠</w:t>
      </w:r>
      <w:r>
        <w:rPr>
          <w:szCs w:val="21"/>
          <w:highlight w:val="none"/>
        </w:rPr>
        <w:t>。</w:t>
      </w:r>
    </w:p>
    <w:p>
      <w:pPr>
        <w:spacing w:line="360" w:lineRule="auto"/>
        <w:ind w:firstLine="210" w:firstLineChars="100"/>
        <w:contextualSpacing/>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●评分标准</w:t>
      </w:r>
    </w:p>
    <w:p>
      <w:pPr>
        <w:widowControl/>
        <w:jc w:val="center"/>
        <w:rPr>
          <w:rFonts w:ascii="宋体"/>
          <w:b/>
          <w:sz w:val="24"/>
          <w:highlight w:val="none"/>
        </w:rPr>
      </w:pPr>
      <w:r>
        <w:rPr>
          <w:rFonts w:hint="eastAsia" w:ascii="宋体"/>
          <w:b/>
          <w:sz w:val="24"/>
          <w:highlight w:val="none"/>
        </w:rPr>
        <w:t>评分标准（兼评委打分表）</w:t>
      </w:r>
    </w:p>
    <w:tbl>
      <w:tblPr>
        <w:tblStyle w:val="46"/>
        <w:tblW w:w="10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292"/>
        <w:gridCol w:w="7047"/>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095" w:type="dxa"/>
            <w:gridSpan w:val="2"/>
            <w:vAlign w:val="center"/>
          </w:tcPr>
          <w:p>
            <w:pPr>
              <w:pStyle w:val="18"/>
              <w:spacing w:line="380" w:lineRule="exact"/>
              <w:jc w:val="center"/>
              <w:rPr>
                <w:rFonts w:ascii="宋体" w:hAnsi="宋体" w:cs="宋体"/>
                <w:b/>
                <w:bCs/>
                <w:szCs w:val="24"/>
                <w:highlight w:val="none"/>
              </w:rPr>
            </w:pPr>
            <w:bookmarkStart w:id="163" w:name="_Toc435088077"/>
            <w:r>
              <w:rPr>
                <w:rFonts w:hint="eastAsia" w:ascii="宋体" w:hAnsi="宋体" w:cs="宋体"/>
                <w:b/>
                <w:bCs/>
                <w:szCs w:val="24"/>
                <w:highlight w:val="none"/>
              </w:rPr>
              <w:t>评分项目</w:t>
            </w:r>
          </w:p>
        </w:tc>
        <w:tc>
          <w:tcPr>
            <w:tcW w:w="7047" w:type="dxa"/>
            <w:vAlign w:val="center"/>
          </w:tcPr>
          <w:p>
            <w:pPr>
              <w:pStyle w:val="18"/>
              <w:spacing w:line="380" w:lineRule="exact"/>
              <w:jc w:val="center"/>
              <w:rPr>
                <w:rFonts w:ascii="宋体" w:hAnsi="宋体" w:cs="宋体"/>
                <w:b/>
                <w:bCs/>
                <w:szCs w:val="24"/>
                <w:highlight w:val="none"/>
              </w:rPr>
            </w:pPr>
            <w:r>
              <w:rPr>
                <w:rFonts w:hint="eastAsia" w:ascii="宋体" w:hAnsi="宋体" w:cs="宋体"/>
                <w:b/>
                <w:bCs/>
                <w:szCs w:val="24"/>
                <w:highlight w:val="none"/>
              </w:rPr>
              <w:t>评分内容</w:t>
            </w:r>
          </w:p>
        </w:tc>
        <w:tc>
          <w:tcPr>
            <w:tcW w:w="1098" w:type="dxa"/>
            <w:vAlign w:val="center"/>
          </w:tcPr>
          <w:p>
            <w:pPr>
              <w:pStyle w:val="18"/>
              <w:spacing w:line="380" w:lineRule="exact"/>
              <w:jc w:val="center"/>
              <w:rPr>
                <w:rFonts w:ascii="宋体" w:hAnsi="宋体" w:cs="宋体"/>
                <w:b/>
                <w:bCs/>
                <w:szCs w:val="24"/>
                <w:highlight w:val="none"/>
              </w:rPr>
            </w:pPr>
            <w:r>
              <w:rPr>
                <w:rFonts w:hint="eastAsia" w:ascii="宋体" w:hAnsi="宋体" w:cs="宋体"/>
                <w:b/>
                <w:bCs/>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03" w:type="dxa"/>
            <w:vMerge w:val="restart"/>
            <w:shd w:val="clear" w:color="auto" w:fill="auto"/>
            <w:vAlign w:val="center"/>
          </w:tcPr>
          <w:p>
            <w:pPr>
              <w:keepNext w:val="0"/>
              <w:keepLines w:val="0"/>
              <w:pageBreakBefore w:val="0"/>
              <w:widowControl/>
              <w:kinsoku/>
              <w:wordWrap/>
              <w:overflowPunct/>
              <w:topLinePunct w:val="0"/>
              <w:bidi w:val="0"/>
              <w:adjustRightInd/>
              <w:snapToGrid/>
              <w:spacing w:line="400" w:lineRule="exact"/>
              <w:jc w:val="center"/>
              <w:textAlignment w:val="auto"/>
              <w:rPr>
                <w:rFonts w:ascii="宋体" w:hAnsi="宋体" w:cs="宋体"/>
                <w:bCs/>
                <w:kern w:val="44"/>
                <w:szCs w:val="24"/>
                <w:highlight w:val="none"/>
              </w:rPr>
            </w:pPr>
            <w:r>
              <w:rPr>
                <w:rFonts w:hint="eastAsia" w:ascii="宋体" w:hAnsi="宋体" w:cs="宋体"/>
                <w:szCs w:val="21"/>
                <w:highlight w:val="none"/>
              </w:rPr>
              <w:t>技术商务资信分（</w:t>
            </w:r>
            <w:r>
              <w:rPr>
                <w:rFonts w:hint="eastAsia" w:ascii="宋体" w:hAnsi="宋体" w:cs="宋体"/>
                <w:szCs w:val="21"/>
                <w:highlight w:val="none"/>
                <w:lang w:val="en-US" w:eastAsia="zh-CN"/>
              </w:rPr>
              <w:t>8</w:t>
            </w:r>
            <w:r>
              <w:rPr>
                <w:rFonts w:ascii="宋体" w:hAnsi="宋体" w:cs="宋体"/>
                <w:szCs w:val="21"/>
                <w:highlight w:val="none"/>
              </w:rPr>
              <w:t>0</w:t>
            </w:r>
            <w:r>
              <w:rPr>
                <w:rFonts w:hint="eastAsia" w:ascii="宋体" w:hAnsi="宋体" w:cs="宋体"/>
                <w:szCs w:val="21"/>
                <w:highlight w:val="none"/>
              </w:rPr>
              <w:t>分）</w:t>
            </w:r>
          </w:p>
        </w:tc>
        <w:tc>
          <w:tcPr>
            <w:tcW w:w="1292" w:type="dxa"/>
            <w:vAlign w:val="center"/>
          </w:tcPr>
          <w:p>
            <w:pPr>
              <w:pStyle w:val="18"/>
              <w:keepNext w:val="0"/>
              <w:keepLines w:val="0"/>
              <w:pageBreakBefore w:val="0"/>
              <w:kinsoku/>
              <w:wordWrap/>
              <w:overflowPunct/>
              <w:topLinePunct w:val="0"/>
              <w:bidi w:val="0"/>
              <w:adjustRightInd/>
              <w:snapToGrid/>
              <w:spacing w:after="0" w:line="400" w:lineRule="exact"/>
              <w:jc w:val="center"/>
              <w:textAlignment w:val="auto"/>
              <w:rPr>
                <w:rFonts w:ascii="宋体" w:hAnsi="宋体" w:cs="宋体"/>
                <w:szCs w:val="21"/>
                <w:highlight w:val="none"/>
              </w:rPr>
            </w:pPr>
            <w:r>
              <w:rPr>
                <w:rFonts w:hint="eastAsia" w:ascii="宋体" w:hAnsi="宋体" w:cs="宋体"/>
                <w:szCs w:val="21"/>
                <w:highlight w:val="none"/>
              </w:rPr>
              <w:t>供应商实力</w:t>
            </w:r>
          </w:p>
        </w:tc>
        <w:tc>
          <w:tcPr>
            <w:tcW w:w="7047" w:type="dxa"/>
            <w:vAlign w:val="center"/>
          </w:tcPr>
          <w:p>
            <w:pPr>
              <w:keepNext w:val="0"/>
              <w:keepLines w:val="0"/>
              <w:pageBreakBefore w:val="0"/>
              <w:numPr>
                <w:ilvl w:val="0"/>
                <w:numId w:val="1"/>
              </w:numPr>
              <w:tabs>
                <w:tab w:val="left" w:pos="459"/>
                <w:tab w:val="left" w:pos="601"/>
              </w:tabs>
              <w:kinsoku/>
              <w:wordWrap/>
              <w:overflowPunct/>
              <w:topLinePunct w:val="0"/>
              <w:bidi w:val="0"/>
              <w:adjustRightInd/>
              <w:snapToGrid/>
              <w:spacing w:line="400" w:lineRule="exact"/>
              <w:ind w:left="34" w:hanging="176"/>
              <w:jc w:val="left"/>
              <w:textAlignment w:val="auto"/>
              <w:rPr>
                <w:rFonts w:ascii="宋体" w:hAnsi="宋体" w:cs="宋体"/>
                <w:szCs w:val="21"/>
                <w:highlight w:val="none"/>
              </w:rPr>
            </w:pPr>
            <w:r>
              <w:rPr>
                <w:rFonts w:hint="eastAsia" w:ascii="宋体" w:hAnsi="宋体" w:cs="宋体"/>
                <w:szCs w:val="21"/>
                <w:highlight w:val="none"/>
              </w:rPr>
              <w:t>供应商具有有效期内国家级文旅行业报广告发布或代理资格的得3分，具有省级文旅行业报广告发布或代理资格的得1.5分，本项最高得3分。</w:t>
            </w:r>
          </w:p>
          <w:p>
            <w:pPr>
              <w:keepNext w:val="0"/>
              <w:keepLines w:val="0"/>
              <w:pageBreakBefore w:val="0"/>
              <w:numPr>
                <w:ilvl w:val="0"/>
                <w:numId w:val="1"/>
              </w:numPr>
              <w:tabs>
                <w:tab w:val="left" w:pos="459"/>
                <w:tab w:val="left" w:pos="601"/>
              </w:tabs>
              <w:kinsoku/>
              <w:wordWrap/>
              <w:overflowPunct/>
              <w:topLinePunct w:val="0"/>
              <w:bidi w:val="0"/>
              <w:adjustRightInd/>
              <w:snapToGrid/>
              <w:spacing w:line="400" w:lineRule="exact"/>
              <w:ind w:left="34" w:hanging="176"/>
              <w:jc w:val="left"/>
              <w:textAlignment w:val="auto"/>
              <w:rPr>
                <w:rFonts w:ascii="宋体" w:hAnsi="宋体" w:cs="宋体"/>
                <w:szCs w:val="21"/>
                <w:highlight w:val="none"/>
              </w:rPr>
            </w:pPr>
            <w:r>
              <w:rPr>
                <w:rFonts w:hint="eastAsia" w:ascii="宋体" w:hAnsi="宋体" w:cs="宋体"/>
                <w:szCs w:val="21"/>
                <w:highlight w:val="none"/>
              </w:rPr>
              <w:t>供应商具有有效期内国家级文旅行业新媒体授权或代理资格的得3分，具有省级文旅行业新媒体授权或代理资格的得1.5分，本项最高得3分。</w:t>
            </w:r>
          </w:p>
          <w:p>
            <w:pPr>
              <w:keepNext w:val="0"/>
              <w:keepLines w:val="0"/>
              <w:pageBreakBefore w:val="0"/>
              <w:numPr>
                <w:ilvl w:val="0"/>
                <w:numId w:val="1"/>
              </w:numPr>
              <w:tabs>
                <w:tab w:val="left" w:pos="459"/>
                <w:tab w:val="left" w:pos="601"/>
              </w:tabs>
              <w:kinsoku/>
              <w:wordWrap/>
              <w:overflowPunct/>
              <w:topLinePunct w:val="0"/>
              <w:bidi w:val="0"/>
              <w:adjustRightInd/>
              <w:snapToGrid/>
              <w:spacing w:line="400" w:lineRule="exact"/>
              <w:ind w:left="34" w:hanging="176"/>
              <w:jc w:val="left"/>
              <w:textAlignment w:val="auto"/>
              <w:rPr>
                <w:rFonts w:ascii="宋体" w:hAnsi="宋体" w:cs="宋体"/>
                <w:szCs w:val="21"/>
                <w:highlight w:val="none"/>
              </w:rPr>
            </w:pPr>
            <w:r>
              <w:rPr>
                <w:rFonts w:hint="eastAsia" w:ascii="宋体" w:hAnsi="宋体" w:cs="宋体"/>
                <w:szCs w:val="21"/>
                <w:highlight w:val="none"/>
              </w:rPr>
              <w:t>供应商具有有效期内省级及以上文旅行业公共服务平台运行及管理资格的得3分。</w:t>
            </w:r>
          </w:p>
        </w:tc>
        <w:tc>
          <w:tcPr>
            <w:tcW w:w="1098" w:type="dxa"/>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3" w:type="dxa"/>
            <w:vMerge w:val="continue"/>
            <w:shd w:val="clear" w:color="auto" w:fill="auto"/>
          </w:tcPr>
          <w:p>
            <w:pPr>
              <w:pStyle w:val="18"/>
              <w:keepNext w:val="0"/>
              <w:keepLines w:val="0"/>
              <w:pageBreakBefore w:val="0"/>
              <w:kinsoku/>
              <w:wordWrap/>
              <w:overflowPunct/>
              <w:topLinePunct w:val="0"/>
              <w:bidi w:val="0"/>
              <w:adjustRightInd/>
              <w:snapToGrid/>
              <w:spacing w:after="0" w:line="400" w:lineRule="exact"/>
              <w:jc w:val="center"/>
              <w:textAlignment w:val="auto"/>
              <w:rPr>
                <w:rFonts w:ascii="宋体" w:hAnsi="宋体" w:cs="宋体"/>
                <w:szCs w:val="24"/>
                <w:highlight w:val="none"/>
              </w:rPr>
            </w:pPr>
          </w:p>
        </w:tc>
        <w:tc>
          <w:tcPr>
            <w:tcW w:w="1292" w:type="dxa"/>
            <w:vAlign w:val="center"/>
          </w:tcPr>
          <w:p>
            <w:pPr>
              <w:pStyle w:val="18"/>
              <w:keepNext w:val="0"/>
              <w:keepLines w:val="0"/>
              <w:pageBreakBefore w:val="0"/>
              <w:kinsoku/>
              <w:wordWrap/>
              <w:overflowPunct/>
              <w:topLinePunct w:val="0"/>
              <w:bidi w:val="0"/>
              <w:adjustRightInd/>
              <w:snapToGrid/>
              <w:spacing w:after="0" w:line="400" w:lineRule="exact"/>
              <w:jc w:val="center"/>
              <w:textAlignment w:val="auto"/>
              <w:rPr>
                <w:rFonts w:ascii="宋体" w:hAnsi="宋体" w:cs="宋体"/>
                <w:szCs w:val="21"/>
                <w:highlight w:val="none"/>
              </w:rPr>
            </w:pPr>
            <w:r>
              <w:rPr>
                <w:rFonts w:hint="eastAsia" w:ascii="宋体" w:hAnsi="宋体" w:cs="宋体"/>
                <w:szCs w:val="21"/>
                <w:highlight w:val="none"/>
              </w:rPr>
              <w:t>业绩</w:t>
            </w:r>
          </w:p>
        </w:tc>
        <w:tc>
          <w:tcPr>
            <w:tcW w:w="7047" w:type="dxa"/>
          </w:tcPr>
          <w:p>
            <w:pPr>
              <w:keepNext w:val="0"/>
              <w:keepLines w:val="0"/>
              <w:pageBreakBefore w:val="0"/>
              <w:kinsoku/>
              <w:wordWrap/>
              <w:overflowPunct/>
              <w:topLinePunct w:val="0"/>
              <w:bidi w:val="0"/>
              <w:adjustRightInd/>
              <w:snapToGrid/>
              <w:spacing w:line="400" w:lineRule="exact"/>
              <w:textAlignment w:val="auto"/>
              <w:rPr>
                <w:rFonts w:ascii="宋体" w:hAnsi="宋体" w:cs="宋体"/>
                <w:szCs w:val="21"/>
                <w:highlight w:val="none"/>
              </w:rPr>
            </w:pPr>
            <w:r>
              <w:rPr>
                <w:rFonts w:hint="eastAsia" w:ascii="宋体" w:hAnsi="宋体" w:cs="宋体"/>
                <w:szCs w:val="21"/>
                <w:highlight w:val="none"/>
              </w:rPr>
              <w:t>供应商自202</w:t>
            </w:r>
            <w:r>
              <w:rPr>
                <w:rFonts w:hint="eastAsia" w:ascii="宋体" w:hAnsi="宋体" w:cs="宋体"/>
                <w:szCs w:val="21"/>
                <w:highlight w:val="none"/>
                <w:lang w:val="en-US" w:eastAsia="zh-CN"/>
              </w:rPr>
              <w:t>1</w:t>
            </w:r>
            <w:r>
              <w:rPr>
                <w:rFonts w:hint="eastAsia" w:ascii="宋体" w:hAnsi="宋体" w:cs="宋体"/>
                <w:szCs w:val="21"/>
                <w:highlight w:val="none"/>
              </w:rPr>
              <w:t>年1月1日以来（以合同或中标通知书落款日期为准）类似项目业绩：每提供一个得0.5分，最高得1分。</w:t>
            </w:r>
          </w:p>
          <w:p>
            <w:pPr>
              <w:keepNext w:val="0"/>
              <w:keepLines w:val="0"/>
              <w:pageBreakBefore w:val="0"/>
              <w:kinsoku/>
              <w:wordWrap/>
              <w:overflowPunct/>
              <w:topLinePunct w:val="0"/>
              <w:bidi w:val="0"/>
              <w:adjustRightInd/>
              <w:snapToGrid/>
              <w:spacing w:line="400" w:lineRule="exact"/>
              <w:textAlignment w:val="auto"/>
              <w:rPr>
                <w:rFonts w:ascii="宋体" w:hAnsi="宋体" w:cs="宋体"/>
                <w:szCs w:val="21"/>
                <w:highlight w:val="none"/>
              </w:rPr>
            </w:pPr>
            <w:r>
              <w:rPr>
                <w:rFonts w:hint="eastAsia" w:ascii="宋体" w:hAnsi="宋体" w:cs="宋体"/>
                <w:szCs w:val="21"/>
                <w:highlight w:val="none"/>
              </w:rPr>
              <w:t>注：提供合同或中标（成交）通知书复印件并加盖公章，否则不得分。</w:t>
            </w:r>
          </w:p>
        </w:tc>
        <w:tc>
          <w:tcPr>
            <w:tcW w:w="1098" w:type="dxa"/>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03" w:type="dxa"/>
            <w:vMerge w:val="continue"/>
            <w:shd w:val="clear" w:color="auto" w:fill="auto"/>
          </w:tcPr>
          <w:p>
            <w:pPr>
              <w:pStyle w:val="236"/>
              <w:keepNext w:val="0"/>
              <w:keepLines w:val="0"/>
              <w:pageBreakBefore w:val="0"/>
              <w:kinsoku/>
              <w:wordWrap/>
              <w:overflowPunct/>
              <w:topLinePunct w:val="0"/>
              <w:bidi w:val="0"/>
              <w:adjustRightInd/>
              <w:snapToGrid/>
              <w:spacing w:before="22" w:line="400" w:lineRule="exact"/>
              <w:ind w:left="108"/>
              <w:jc w:val="center"/>
              <w:textAlignment w:val="auto"/>
              <w:rPr>
                <w:sz w:val="24"/>
                <w:highlight w:val="none"/>
              </w:rPr>
            </w:pPr>
          </w:p>
        </w:tc>
        <w:tc>
          <w:tcPr>
            <w:tcW w:w="1292" w:type="dxa"/>
            <w:vMerge w:val="restart"/>
            <w:vAlign w:val="center"/>
          </w:tcPr>
          <w:p>
            <w:pPr>
              <w:pStyle w:val="236"/>
              <w:keepNext w:val="0"/>
              <w:keepLines w:val="0"/>
              <w:pageBreakBefore w:val="0"/>
              <w:kinsoku/>
              <w:wordWrap/>
              <w:overflowPunct/>
              <w:topLinePunct w:val="0"/>
              <w:bidi w:val="0"/>
              <w:adjustRightInd/>
              <w:snapToGrid/>
              <w:spacing w:before="22" w:line="400" w:lineRule="exact"/>
              <w:ind w:left="108"/>
              <w:jc w:val="center"/>
              <w:textAlignment w:val="auto"/>
              <w:rPr>
                <w:szCs w:val="21"/>
                <w:highlight w:val="none"/>
                <w:lang w:val="en-US" w:bidi="ar-SA"/>
              </w:rPr>
            </w:pPr>
            <w:r>
              <w:rPr>
                <w:rFonts w:hint="eastAsia"/>
                <w:szCs w:val="21"/>
                <w:highlight w:val="none"/>
                <w:lang w:val="en-US" w:bidi="ar-SA"/>
              </w:rPr>
              <w:t>项目团队</w:t>
            </w:r>
          </w:p>
        </w:tc>
        <w:tc>
          <w:tcPr>
            <w:tcW w:w="7047" w:type="dxa"/>
            <w:vAlign w:val="center"/>
          </w:tcPr>
          <w:p>
            <w:pPr>
              <w:pStyle w:val="8"/>
              <w:keepNext w:val="0"/>
              <w:keepLines w:val="0"/>
              <w:pageBreakBefore w:val="0"/>
              <w:kinsoku/>
              <w:wordWrap/>
              <w:overflowPunct/>
              <w:topLinePunct w:val="0"/>
              <w:bidi w:val="0"/>
              <w:adjustRightInd/>
              <w:snapToGrid/>
              <w:spacing w:line="400" w:lineRule="exact"/>
              <w:ind w:firstLine="0"/>
              <w:textAlignment w:val="auto"/>
              <w:rPr>
                <w:rFonts w:hAnsi="宋体" w:cs="宋体"/>
                <w:kern w:val="2"/>
                <w:szCs w:val="21"/>
                <w:highlight w:val="none"/>
              </w:rPr>
            </w:pPr>
            <w:r>
              <w:rPr>
                <w:rFonts w:hint="eastAsia" w:hAnsi="宋体" w:cs="宋体"/>
                <w:kern w:val="2"/>
                <w:szCs w:val="21"/>
                <w:highlight w:val="none"/>
              </w:rPr>
              <w:t>根据供应商拟派项目负责人的专业能力、服务经验、组织协调能力等进行评分。（0-3分）</w:t>
            </w:r>
          </w:p>
          <w:p>
            <w:pPr>
              <w:pStyle w:val="8"/>
              <w:keepNext w:val="0"/>
              <w:keepLines w:val="0"/>
              <w:pageBreakBefore w:val="0"/>
              <w:kinsoku/>
              <w:wordWrap/>
              <w:overflowPunct/>
              <w:topLinePunct w:val="0"/>
              <w:bidi w:val="0"/>
              <w:adjustRightInd/>
              <w:snapToGrid/>
              <w:spacing w:line="400" w:lineRule="exact"/>
              <w:ind w:firstLine="0"/>
              <w:textAlignment w:val="auto"/>
              <w:rPr>
                <w:rFonts w:hAnsi="宋体" w:cs="宋体"/>
                <w:kern w:val="2"/>
                <w:szCs w:val="21"/>
                <w:highlight w:val="none"/>
              </w:rPr>
            </w:pPr>
            <w:r>
              <w:rPr>
                <w:rFonts w:hint="eastAsia" w:hAnsi="宋体" w:cs="宋体"/>
                <w:kern w:val="2"/>
                <w:szCs w:val="21"/>
                <w:highlight w:val="none"/>
              </w:rPr>
              <w:t>注：需提供投标截止期前三个月内任意一个月供应商为其缴纳的社保证明材料(社保部门盖章的参保证明，或者经由社保系统自助拉取的参保证明）复印件并加盖公章，否则不得分。</w:t>
            </w:r>
          </w:p>
        </w:tc>
        <w:tc>
          <w:tcPr>
            <w:tcW w:w="1098" w:type="dxa"/>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03" w:type="dxa"/>
            <w:vMerge w:val="continue"/>
            <w:shd w:val="clear" w:color="auto" w:fill="auto"/>
          </w:tcPr>
          <w:p>
            <w:pPr>
              <w:pStyle w:val="236"/>
              <w:keepNext w:val="0"/>
              <w:keepLines w:val="0"/>
              <w:pageBreakBefore w:val="0"/>
              <w:kinsoku/>
              <w:wordWrap/>
              <w:overflowPunct/>
              <w:topLinePunct w:val="0"/>
              <w:bidi w:val="0"/>
              <w:adjustRightInd/>
              <w:snapToGrid/>
              <w:spacing w:before="22" w:line="400" w:lineRule="exact"/>
              <w:jc w:val="center"/>
              <w:textAlignment w:val="auto"/>
              <w:rPr>
                <w:sz w:val="24"/>
                <w:highlight w:val="none"/>
              </w:rPr>
            </w:pPr>
          </w:p>
        </w:tc>
        <w:tc>
          <w:tcPr>
            <w:tcW w:w="1292" w:type="dxa"/>
            <w:vMerge w:val="continue"/>
            <w:vAlign w:val="center"/>
          </w:tcPr>
          <w:p>
            <w:pPr>
              <w:pStyle w:val="236"/>
              <w:keepNext w:val="0"/>
              <w:keepLines w:val="0"/>
              <w:pageBreakBefore w:val="0"/>
              <w:kinsoku/>
              <w:wordWrap/>
              <w:overflowPunct/>
              <w:topLinePunct w:val="0"/>
              <w:bidi w:val="0"/>
              <w:adjustRightInd/>
              <w:snapToGrid/>
              <w:spacing w:before="22" w:line="400" w:lineRule="exact"/>
              <w:jc w:val="center"/>
              <w:textAlignment w:val="auto"/>
              <w:rPr>
                <w:szCs w:val="21"/>
                <w:highlight w:val="none"/>
                <w:lang w:val="en-US" w:bidi="ar-SA"/>
              </w:rPr>
            </w:pPr>
          </w:p>
        </w:tc>
        <w:tc>
          <w:tcPr>
            <w:tcW w:w="7047" w:type="dxa"/>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ascii="宋体" w:hAnsi="宋体" w:eastAsia="宋体" w:cs="宋体"/>
                <w:sz w:val="21"/>
                <w:szCs w:val="21"/>
                <w:highlight w:val="none"/>
              </w:rPr>
            </w:pPr>
            <w:r>
              <w:rPr>
                <w:rFonts w:ascii="宋体" w:hAnsi="宋体" w:eastAsia="宋体" w:cs="宋体"/>
                <w:sz w:val="21"/>
                <w:szCs w:val="21"/>
                <w:highlight w:val="none"/>
              </w:rPr>
              <w:t>供应商拟派项目团队</w:t>
            </w:r>
            <w:r>
              <w:rPr>
                <w:rFonts w:hint="eastAsia" w:ascii="宋体" w:hAnsi="宋体" w:eastAsia="宋体" w:cs="宋体"/>
                <w:sz w:val="21"/>
                <w:szCs w:val="21"/>
                <w:highlight w:val="none"/>
              </w:rPr>
              <w:t>人员</w:t>
            </w:r>
            <w:r>
              <w:rPr>
                <w:rFonts w:ascii="宋体" w:hAnsi="宋体" w:eastAsia="宋体" w:cs="宋体"/>
                <w:sz w:val="21"/>
                <w:szCs w:val="21"/>
                <w:highlight w:val="none"/>
              </w:rPr>
              <w:t>配备及职责划分是否全（</w:t>
            </w:r>
            <w:r>
              <w:rPr>
                <w:rFonts w:hint="eastAsia" w:ascii="宋体" w:hAnsi="宋体" w:eastAsia="宋体" w:cs="宋体"/>
                <w:sz w:val="21"/>
                <w:szCs w:val="21"/>
                <w:highlight w:val="none"/>
              </w:rPr>
              <w:t>包</w:t>
            </w:r>
            <w:r>
              <w:rPr>
                <w:rFonts w:ascii="宋体" w:hAnsi="宋体" w:eastAsia="宋体" w:cs="宋体"/>
                <w:sz w:val="21"/>
                <w:szCs w:val="21"/>
                <w:highlight w:val="none"/>
              </w:rPr>
              <w:t>括项目组人员的</w:t>
            </w:r>
            <w:r>
              <w:rPr>
                <w:rFonts w:hint="eastAsia" w:ascii="宋体" w:hAnsi="宋体" w:eastAsia="宋体" w:cs="宋体"/>
                <w:sz w:val="21"/>
                <w:szCs w:val="21"/>
                <w:highlight w:val="none"/>
              </w:rPr>
              <w:t>经验</w:t>
            </w:r>
            <w:r>
              <w:rPr>
                <w:rFonts w:ascii="宋体" w:hAnsi="宋体" w:eastAsia="宋体" w:cs="宋体"/>
                <w:sz w:val="21"/>
                <w:szCs w:val="21"/>
                <w:highlight w:val="none"/>
              </w:rPr>
              <w:t>、技术能力、职责分工等）</w:t>
            </w:r>
            <w:r>
              <w:rPr>
                <w:rFonts w:hint="eastAsia" w:ascii="宋体" w:hAnsi="宋体" w:eastAsia="宋体" w:cs="宋体"/>
                <w:sz w:val="21"/>
                <w:szCs w:val="21"/>
                <w:highlight w:val="none"/>
              </w:rPr>
              <w:t>进行评分。（0-3分）</w:t>
            </w:r>
          </w:p>
          <w:p>
            <w:pPr>
              <w:pStyle w:val="8"/>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Ansi="宋体" w:cs="宋体"/>
                <w:kern w:val="2"/>
                <w:szCs w:val="21"/>
                <w:highlight w:val="none"/>
              </w:rPr>
            </w:pPr>
            <w:r>
              <w:rPr>
                <w:rFonts w:hint="eastAsia" w:hAnsi="宋体" w:cs="宋体"/>
                <w:kern w:val="2"/>
                <w:szCs w:val="21"/>
                <w:highlight w:val="none"/>
              </w:rPr>
              <w:t>注：需提供投标截止期前三个月内任意一个月供应商为其缴纳的社保证明材料(社保部门盖章的参保证明，或者经由社保系统自助拉取的参保证明）复印件并加盖公章，否则不得分。</w:t>
            </w:r>
          </w:p>
        </w:tc>
        <w:tc>
          <w:tcPr>
            <w:tcW w:w="1098" w:type="dxa"/>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03" w:type="dxa"/>
            <w:vMerge w:val="continue"/>
            <w:shd w:val="clear" w:color="auto" w:fill="auto"/>
          </w:tcPr>
          <w:p>
            <w:pPr>
              <w:pStyle w:val="18"/>
              <w:keepNext w:val="0"/>
              <w:keepLines w:val="0"/>
              <w:pageBreakBefore w:val="0"/>
              <w:kinsoku/>
              <w:wordWrap/>
              <w:overflowPunct/>
              <w:topLinePunct w:val="0"/>
              <w:bidi w:val="0"/>
              <w:adjustRightInd/>
              <w:snapToGrid/>
              <w:spacing w:after="0" w:line="400" w:lineRule="exact"/>
              <w:jc w:val="center"/>
              <w:textAlignment w:val="auto"/>
              <w:rPr>
                <w:rFonts w:ascii="宋体" w:hAnsi="宋体" w:cs="宋体"/>
                <w:kern w:val="0"/>
                <w:highlight w:val="none"/>
              </w:rPr>
            </w:pPr>
          </w:p>
        </w:tc>
        <w:tc>
          <w:tcPr>
            <w:tcW w:w="1292" w:type="dxa"/>
            <w:vMerge w:val="restart"/>
            <w:vAlign w:val="center"/>
          </w:tcPr>
          <w:p>
            <w:pPr>
              <w:pStyle w:val="18"/>
              <w:keepNext w:val="0"/>
              <w:keepLines w:val="0"/>
              <w:pageBreakBefore w:val="0"/>
              <w:kinsoku/>
              <w:wordWrap/>
              <w:overflowPunct/>
              <w:topLinePunct w:val="0"/>
              <w:bidi w:val="0"/>
              <w:adjustRightInd/>
              <w:snapToGrid/>
              <w:spacing w:after="0" w:line="400" w:lineRule="exact"/>
              <w:jc w:val="center"/>
              <w:textAlignment w:val="auto"/>
              <w:rPr>
                <w:rFonts w:ascii="宋体" w:hAnsi="宋体" w:cs="宋体"/>
                <w:szCs w:val="21"/>
                <w:highlight w:val="none"/>
              </w:rPr>
            </w:pPr>
            <w:r>
              <w:rPr>
                <w:rFonts w:hint="eastAsia" w:ascii="宋体" w:hAnsi="宋体" w:cs="宋体"/>
                <w:szCs w:val="21"/>
                <w:highlight w:val="none"/>
              </w:rPr>
              <w:t>实施方案</w:t>
            </w:r>
          </w:p>
        </w:tc>
        <w:tc>
          <w:tcPr>
            <w:tcW w:w="704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Cs w:val="21"/>
                <w:highlight w:val="none"/>
                <w:lang w:val="en-US" w:eastAsia="zh-CN"/>
              </w:rPr>
            </w:pPr>
            <w:r>
              <w:rPr>
                <w:rFonts w:hint="eastAsia" w:ascii="宋体" w:hAnsi="宋体" w:cs="宋体"/>
                <w:szCs w:val="21"/>
                <w:highlight w:val="none"/>
              </w:rPr>
              <w:t>根据供应商提供的活动策划执行及方案，内容包含供应商对本活动需求理解，对活动涉及的举办内容、举办流程等理解分析进行综合评分</w:t>
            </w:r>
            <w:r>
              <w:rPr>
                <w:rFonts w:hint="eastAsia" w:ascii="宋体" w:hAnsi="宋体" w:cs="宋体"/>
                <w:szCs w:val="21"/>
                <w:highlight w:val="none"/>
                <w:lang w:eastAsia="zh-CN"/>
              </w:rPr>
              <w:t>。</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宋体" w:hAnsi="宋体" w:eastAsia="宋体" w:cs="宋体"/>
                <w:sz w:val="21"/>
                <w:szCs w:val="21"/>
                <w:highlight w:val="none"/>
                <w:lang w:eastAsia="zh-CN"/>
              </w:rPr>
            </w:pPr>
            <w:r>
              <w:rPr>
                <w:rFonts w:hint="eastAsia" w:ascii="宋体" w:hAnsi="宋体" w:eastAsia="宋体" w:cs="宋体"/>
                <w:kern w:val="0"/>
                <w:sz w:val="21"/>
                <w:szCs w:val="21"/>
                <w:highlight w:val="none"/>
                <w:lang w:val="en-US" w:eastAsia="zh-CN"/>
              </w:rPr>
              <w:t>①</w:t>
            </w:r>
            <w:r>
              <w:rPr>
                <w:rFonts w:hint="eastAsia" w:ascii="宋体" w:hAnsi="宋体" w:eastAsia="宋体" w:cs="宋体"/>
                <w:kern w:val="2"/>
                <w:sz w:val="21"/>
                <w:szCs w:val="21"/>
                <w:highlight w:val="none"/>
                <w:lang w:val="en-US" w:eastAsia="zh-CN" w:bidi="ar-SA"/>
              </w:rPr>
              <w:t>根据供应商对项目的理解进行打分</w:t>
            </w:r>
            <w:r>
              <w:rPr>
                <w:rFonts w:hint="eastAsia" w:ascii="宋体" w:hAnsi="宋体" w:eastAsia="宋体" w:cs="宋体"/>
                <w:sz w:val="21"/>
                <w:szCs w:val="21"/>
                <w:highlight w:val="none"/>
              </w:rPr>
              <w:t>（0-</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p>
          <w:p>
            <w:pPr>
              <w:pStyle w:val="56"/>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lang w:eastAsia="zh-CN"/>
              </w:rPr>
            </w:pPr>
            <w:r>
              <w:rPr>
                <w:rFonts w:hint="eastAsia" w:ascii="宋体" w:hAnsi="宋体" w:eastAsia="宋体" w:cs="宋体"/>
                <w:kern w:val="0"/>
                <w:sz w:val="21"/>
                <w:szCs w:val="21"/>
                <w:highlight w:val="none"/>
                <w:lang w:val="en-US" w:eastAsia="zh-CN" w:bidi="ar-SA"/>
              </w:rPr>
              <w:t>②</w:t>
            </w:r>
            <w:r>
              <w:rPr>
                <w:rFonts w:hint="eastAsia" w:ascii="宋体" w:hAnsi="宋体" w:eastAsia="宋体" w:cs="宋体"/>
                <w:kern w:val="2"/>
                <w:sz w:val="21"/>
                <w:szCs w:val="21"/>
                <w:highlight w:val="none"/>
                <w:lang w:val="en-US" w:eastAsia="zh-CN" w:bidi="ar-SA"/>
              </w:rPr>
              <w:t>根据供应商场地选择方案进行打分</w:t>
            </w:r>
            <w:r>
              <w:rPr>
                <w:rFonts w:hint="eastAsia" w:ascii="宋体" w:hAnsi="宋体" w:eastAsia="宋体" w:cs="宋体"/>
                <w:sz w:val="21"/>
                <w:szCs w:val="21"/>
                <w:highlight w:val="none"/>
              </w:rPr>
              <w:t>（0-</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p>
          <w:p>
            <w:pPr>
              <w:pStyle w:val="56"/>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③根据供应商流程设置方案进行打分（0-3分）；</w:t>
            </w:r>
          </w:p>
          <w:p>
            <w:pPr>
              <w:pStyle w:val="56"/>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lang w:eastAsia="zh-CN"/>
              </w:rPr>
            </w:pPr>
            <w:r>
              <w:rPr>
                <w:rFonts w:hint="eastAsia" w:ascii="宋体" w:hAnsi="宋体" w:eastAsia="宋体" w:cs="宋体"/>
                <w:kern w:val="2"/>
                <w:sz w:val="21"/>
                <w:szCs w:val="21"/>
                <w:highlight w:val="none"/>
                <w:lang w:val="en-US" w:eastAsia="zh-CN" w:bidi="ar-SA"/>
              </w:rPr>
              <w:t>④根据供应商人员邀请方案进行打分</w:t>
            </w:r>
            <w:r>
              <w:rPr>
                <w:rFonts w:hint="eastAsia" w:ascii="宋体" w:hAnsi="宋体" w:eastAsia="宋体" w:cs="宋体"/>
                <w:sz w:val="21"/>
                <w:szCs w:val="21"/>
                <w:highlight w:val="none"/>
              </w:rPr>
              <w:t>（0-</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p>
        </w:tc>
        <w:tc>
          <w:tcPr>
            <w:tcW w:w="1098" w:type="dxa"/>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lang w:val="en-US" w:eastAsia="zh-CN"/>
              </w:rPr>
              <w:t>12</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03" w:type="dxa"/>
            <w:vMerge w:val="continue"/>
            <w:shd w:val="clear" w:color="auto" w:fill="auto"/>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kern w:val="0"/>
                <w:sz w:val="24"/>
                <w:highlight w:val="none"/>
              </w:rPr>
            </w:pPr>
          </w:p>
        </w:tc>
        <w:tc>
          <w:tcPr>
            <w:tcW w:w="1292" w:type="dxa"/>
            <w:vMerge w:val="continue"/>
            <w:vAlign w:val="center"/>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szCs w:val="21"/>
                <w:highlight w:val="none"/>
              </w:rPr>
            </w:pPr>
          </w:p>
        </w:tc>
        <w:tc>
          <w:tcPr>
            <w:tcW w:w="7047" w:type="dxa"/>
            <w:vAlign w:val="center"/>
          </w:tcPr>
          <w:p>
            <w:pPr>
              <w:keepNext w:val="0"/>
              <w:keepLines w:val="0"/>
              <w:pageBreakBefore w:val="0"/>
              <w:kinsoku/>
              <w:wordWrap/>
              <w:overflowPunct/>
              <w:topLinePunct w:val="0"/>
              <w:bidi w:val="0"/>
              <w:adjustRightInd/>
              <w:snapToGrid/>
              <w:spacing w:line="400" w:lineRule="exact"/>
              <w:textAlignment w:val="auto"/>
              <w:rPr>
                <w:rFonts w:ascii="宋体" w:hAnsi="宋体" w:cs="宋体"/>
                <w:szCs w:val="21"/>
                <w:highlight w:val="none"/>
              </w:rPr>
            </w:pPr>
            <w:r>
              <w:rPr>
                <w:rFonts w:hint="eastAsia" w:ascii="宋体" w:hAnsi="宋体" w:cs="宋体"/>
                <w:szCs w:val="21"/>
                <w:highlight w:val="none"/>
              </w:rPr>
              <w:t>开幕式现场活动布置方案。</w:t>
            </w:r>
          </w:p>
          <w:p>
            <w:pPr>
              <w:keepNext w:val="0"/>
              <w:keepLines w:val="0"/>
              <w:pageBreakBefore w:val="0"/>
              <w:kinsoku/>
              <w:wordWrap/>
              <w:overflowPunct/>
              <w:topLinePunct w:val="0"/>
              <w:bidi w:val="0"/>
              <w:adjustRightInd/>
              <w:snapToGrid/>
              <w:spacing w:line="400" w:lineRule="exact"/>
              <w:textAlignment w:val="auto"/>
              <w:rPr>
                <w:rFonts w:ascii="宋体" w:hAnsi="宋体" w:cs="宋体"/>
                <w:szCs w:val="21"/>
                <w:highlight w:val="none"/>
              </w:rPr>
            </w:pPr>
            <w:r>
              <w:rPr>
                <w:rFonts w:hint="eastAsia" w:ascii="宋体" w:hAnsi="宋体" w:cs="宋体"/>
                <w:szCs w:val="21"/>
                <w:highlight w:val="none"/>
              </w:rPr>
              <w:t>①</w:t>
            </w:r>
            <w:r>
              <w:rPr>
                <w:rFonts w:hint="eastAsia" w:ascii="宋体" w:hAnsi="宋体" w:cs="宋体"/>
                <w:szCs w:val="21"/>
                <w:highlight w:val="none"/>
                <w:lang w:val="en-US" w:eastAsia="zh-CN"/>
              </w:rPr>
              <w:t>主</w:t>
            </w:r>
            <w:r>
              <w:rPr>
                <w:rFonts w:hint="eastAsia" w:ascii="宋体" w:hAnsi="宋体" w:cs="宋体"/>
                <w:szCs w:val="21"/>
                <w:highlight w:val="none"/>
              </w:rPr>
              <w:t>视觉设计（0-</w:t>
            </w:r>
            <w:r>
              <w:rPr>
                <w:rFonts w:hint="eastAsia" w:ascii="宋体" w:hAnsi="宋体" w:cs="宋体"/>
                <w:szCs w:val="21"/>
                <w:highlight w:val="none"/>
                <w:lang w:val="en-US" w:eastAsia="zh-CN"/>
              </w:rPr>
              <w:t>2</w:t>
            </w:r>
            <w:r>
              <w:rPr>
                <w:rFonts w:hint="eastAsia" w:ascii="宋体" w:hAnsi="宋体" w:cs="宋体"/>
                <w:szCs w:val="21"/>
                <w:highlight w:val="none"/>
              </w:rPr>
              <w:t>分）；</w:t>
            </w:r>
          </w:p>
          <w:p>
            <w:pPr>
              <w:keepNext w:val="0"/>
              <w:keepLines w:val="0"/>
              <w:pageBreakBefore w:val="0"/>
              <w:kinsoku/>
              <w:wordWrap/>
              <w:overflowPunct/>
              <w:topLinePunct w:val="0"/>
              <w:bidi w:val="0"/>
              <w:adjustRightInd/>
              <w:snapToGrid/>
              <w:spacing w:line="400" w:lineRule="exact"/>
              <w:textAlignment w:val="auto"/>
              <w:rPr>
                <w:rFonts w:ascii="宋体" w:hAnsi="宋体" w:cs="宋体"/>
                <w:szCs w:val="21"/>
                <w:highlight w:val="none"/>
              </w:rPr>
            </w:pPr>
            <w:r>
              <w:rPr>
                <w:rFonts w:hint="eastAsia" w:ascii="宋体" w:hAnsi="宋体" w:cs="宋体"/>
                <w:szCs w:val="21"/>
                <w:highlight w:val="none"/>
              </w:rPr>
              <w:t>②现场</w:t>
            </w:r>
            <w:r>
              <w:rPr>
                <w:rFonts w:hint="eastAsia" w:ascii="宋体" w:hAnsi="宋体" w:cs="宋体"/>
                <w:szCs w:val="21"/>
                <w:highlight w:val="none"/>
                <w:lang w:val="en-US" w:eastAsia="zh-CN"/>
              </w:rPr>
              <w:t>舞台</w:t>
            </w:r>
            <w:r>
              <w:rPr>
                <w:rFonts w:hint="eastAsia" w:ascii="宋体" w:hAnsi="宋体" w:cs="宋体"/>
                <w:szCs w:val="21"/>
                <w:highlight w:val="none"/>
              </w:rPr>
              <w:t>搭建与氛围营造（0-</w:t>
            </w:r>
            <w:r>
              <w:rPr>
                <w:rFonts w:hint="eastAsia" w:ascii="宋体" w:hAnsi="宋体" w:cs="宋体"/>
                <w:szCs w:val="21"/>
                <w:highlight w:val="none"/>
                <w:lang w:val="en-US" w:eastAsia="zh-CN"/>
              </w:rPr>
              <w:t>2</w:t>
            </w:r>
            <w:r>
              <w:rPr>
                <w:rFonts w:hint="eastAsia" w:ascii="宋体" w:hAnsi="宋体" w:cs="宋体"/>
                <w:szCs w:val="21"/>
                <w:highlight w:val="none"/>
              </w:rPr>
              <w:t>分）；</w:t>
            </w:r>
          </w:p>
          <w:p>
            <w:pPr>
              <w:keepNext w:val="0"/>
              <w:keepLines w:val="0"/>
              <w:pageBreakBefore w:val="0"/>
              <w:kinsoku/>
              <w:wordWrap/>
              <w:overflowPunct/>
              <w:topLinePunct w:val="0"/>
              <w:bidi w:val="0"/>
              <w:adjustRightInd/>
              <w:snapToGrid/>
              <w:spacing w:line="400" w:lineRule="exact"/>
              <w:textAlignment w:val="auto"/>
              <w:rPr>
                <w:rFonts w:hint="eastAsia" w:ascii="宋体" w:hAnsi="宋体" w:eastAsia="宋体" w:cs="宋体"/>
                <w:szCs w:val="21"/>
                <w:highlight w:val="none"/>
                <w:lang w:eastAsia="zh-CN"/>
              </w:rPr>
            </w:pPr>
            <w:r>
              <w:rPr>
                <w:rFonts w:hint="eastAsia" w:ascii="宋体" w:hAnsi="宋体" w:cs="宋体"/>
                <w:szCs w:val="21"/>
                <w:highlight w:val="none"/>
              </w:rPr>
              <w:t>③</w:t>
            </w:r>
            <w:r>
              <w:rPr>
                <w:rFonts w:hint="eastAsia" w:ascii="宋体" w:hAnsi="宋体" w:cs="宋体"/>
                <w:szCs w:val="21"/>
                <w:highlight w:val="none"/>
                <w:lang w:val="en-US" w:eastAsia="zh-CN"/>
              </w:rPr>
              <w:t>开幕启动</w:t>
            </w:r>
            <w:r>
              <w:rPr>
                <w:rFonts w:hint="eastAsia" w:ascii="宋体" w:hAnsi="宋体" w:cs="宋体"/>
                <w:szCs w:val="21"/>
                <w:highlight w:val="none"/>
              </w:rPr>
              <w:t>环节</w:t>
            </w:r>
            <w:r>
              <w:rPr>
                <w:rFonts w:hint="eastAsia" w:ascii="宋体" w:hAnsi="宋体" w:cs="宋体"/>
                <w:szCs w:val="21"/>
                <w:highlight w:val="none"/>
                <w:lang w:val="en-US" w:eastAsia="zh-CN"/>
              </w:rPr>
              <w:t>设置</w:t>
            </w:r>
            <w:r>
              <w:rPr>
                <w:rFonts w:hint="eastAsia" w:ascii="宋体" w:hAnsi="宋体" w:cs="宋体"/>
                <w:szCs w:val="21"/>
                <w:highlight w:val="none"/>
              </w:rPr>
              <w:t>（0-</w:t>
            </w:r>
            <w:r>
              <w:rPr>
                <w:rFonts w:hint="eastAsia" w:ascii="宋体" w:hAnsi="宋体" w:cs="宋体"/>
                <w:szCs w:val="21"/>
                <w:highlight w:val="none"/>
                <w:lang w:val="en-US" w:eastAsia="zh-CN"/>
              </w:rPr>
              <w:t>2</w:t>
            </w:r>
            <w:r>
              <w:rPr>
                <w:rFonts w:hint="eastAsia" w:ascii="宋体" w:hAnsi="宋体" w:cs="宋体"/>
                <w:szCs w:val="21"/>
                <w:highlight w:val="none"/>
              </w:rPr>
              <w:t>分）</w:t>
            </w:r>
            <w:r>
              <w:rPr>
                <w:rFonts w:hint="eastAsia" w:ascii="宋体" w:hAnsi="宋体" w:cs="宋体"/>
                <w:szCs w:val="21"/>
                <w:highlight w:val="none"/>
                <w:lang w:eastAsia="zh-CN"/>
              </w:rPr>
              <w:t>。</w:t>
            </w:r>
          </w:p>
        </w:tc>
        <w:tc>
          <w:tcPr>
            <w:tcW w:w="1098" w:type="dxa"/>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803" w:type="dxa"/>
            <w:vMerge w:val="continue"/>
            <w:shd w:val="clear" w:color="auto" w:fill="auto"/>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kern w:val="0"/>
                <w:sz w:val="24"/>
                <w:highlight w:val="none"/>
              </w:rPr>
            </w:pPr>
          </w:p>
        </w:tc>
        <w:tc>
          <w:tcPr>
            <w:tcW w:w="1292" w:type="dxa"/>
            <w:vMerge w:val="continue"/>
            <w:vAlign w:val="center"/>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szCs w:val="21"/>
                <w:highlight w:val="none"/>
              </w:rPr>
            </w:pPr>
          </w:p>
        </w:tc>
        <w:tc>
          <w:tcPr>
            <w:tcW w:w="7047" w:type="dxa"/>
            <w:vAlign w:val="center"/>
          </w:tcPr>
          <w:p>
            <w:pPr>
              <w:keepNext w:val="0"/>
              <w:keepLines w:val="0"/>
              <w:pageBreakBefore w:val="0"/>
              <w:kinsoku/>
              <w:wordWrap/>
              <w:overflowPunct/>
              <w:topLinePunct w:val="0"/>
              <w:bidi w:val="0"/>
              <w:adjustRightInd/>
              <w:snapToGrid/>
              <w:spacing w:line="400" w:lineRule="exact"/>
              <w:textAlignment w:val="auto"/>
              <w:rPr>
                <w:rFonts w:ascii="宋体" w:hAnsi="宋体" w:cs="宋体"/>
                <w:szCs w:val="21"/>
                <w:highlight w:val="none"/>
              </w:rPr>
            </w:pPr>
            <w:r>
              <w:rPr>
                <w:rFonts w:hint="eastAsia" w:ascii="宋体" w:hAnsi="宋体" w:cs="宋体"/>
                <w:szCs w:val="21"/>
                <w:highlight w:val="none"/>
              </w:rPr>
              <w:t>根据供应商提供的数据</w:t>
            </w:r>
            <w:r>
              <w:rPr>
                <w:rFonts w:hint="eastAsia" w:ascii="宋体" w:hAnsi="宋体" w:cs="宋体"/>
                <w:szCs w:val="21"/>
                <w:highlight w:val="none"/>
                <w:lang w:val="en-US" w:eastAsia="zh-CN"/>
              </w:rPr>
              <w:t>报告</w:t>
            </w:r>
            <w:r>
              <w:rPr>
                <w:rFonts w:hint="eastAsia" w:ascii="宋体" w:hAnsi="宋体" w:cs="宋体"/>
                <w:szCs w:val="21"/>
                <w:highlight w:val="none"/>
              </w:rPr>
              <w:t>中数据</w:t>
            </w:r>
            <w:r>
              <w:rPr>
                <w:rFonts w:hint="eastAsia" w:ascii="宋体" w:hAnsi="宋体" w:cs="宋体"/>
                <w:szCs w:val="21"/>
                <w:highlight w:val="none"/>
                <w:lang w:val="en-US" w:eastAsia="zh-CN"/>
              </w:rPr>
              <w:t>来源</w:t>
            </w:r>
            <w:r>
              <w:rPr>
                <w:rFonts w:hint="eastAsia" w:ascii="宋体" w:hAnsi="宋体" w:cs="宋体"/>
                <w:szCs w:val="21"/>
                <w:highlight w:val="none"/>
              </w:rPr>
              <w:t>平台</w:t>
            </w:r>
            <w:r>
              <w:rPr>
                <w:rFonts w:hint="eastAsia" w:ascii="宋体" w:hAnsi="宋体" w:cs="宋体"/>
                <w:szCs w:val="21"/>
                <w:highlight w:val="none"/>
                <w:lang w:val="en-US" w:eastAsia="zh-CN"/>
              </w:rPr>
              <w:t>权威性</w:t>
            </w:r>
            <w:r>
              <w:rPr>
                <w:rFonts w:hint="eastAsia" w:ascii="宋体" w:hAnsi="宋体" w:cs="宋体"/>
                <w:szCs w:val="21"/>
                <w:highlight w:val="none"/>
              </w:rPr>
              <w:t>、数据分析内容</w:t>
            </w:r>
            <w:r>
              <w:rPr>
                <w:rFonts w:hint="eastAsia" w:ascii="宋体" w:hAnsi="宋体" w:cs="宋体"/>
                <w:szCs w:val="21"/>
                <w:highlight w:val="none"/>
                <w:lang w:val="en-US" w:eastAsia="zh-CN"/>
              </w:rPr>
              <w:t>全面性</w:t>
            </w:r>
            <w:r>
              <w:rPr>
                <w:rFonts w:hint="eastAsia" w:ascii="宋体" w:hAnsi="宋体" w:cs="宋体"/>
                <w:szCs w:val="21"/>
                <w:highlight w:val="none"/>
              </w:rPr>
              <w:t>进行综合评分。（0-</w:t>
            </w:r>
            <w:r>
              <w:rPr>
                <w:rFonts w:hint="eastAsia" w:ascii="宋体" w:hAnsi="宋体" w:cs="宋体"/>
                <w:szCs w:val="21"/>
                <w:highlight w:val="none"/>
                <w:lang w:val="en-US" w:eastAsia="zh-CN"/>
              </w:rPr>
              <w:t>8</w:t>
            </w:r>
            <w:r>
              <w:rPr>
                <w:rFonts w:hint="eastAsia" w:ascii="宋体" w:hAnsi="宋体" w:cs="宋体"/>
                <w:szCs w:val="21"/>
                <w:highlight w:val="none"/>
              </w:rPr>
              <w:t>分）</w:t>
            </w:r>
          </w:p>
        </w:tc>
        <w:tc>
          <w:tcPr>
            <w:tcW w:w="1098" w:type="dxa"/>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lang w:val="en-US" w:eastAsia="zh-CN"/>
              </w:rPr>
              <w:t>8</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03" w:type="dxa"/>
            <w:vMerge w:val="continue"/>
            <w:shd w:val="clear" w:color="auto" w:fill="auto"/>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sz w:val="24"/>
                <w:highlight w:val="none"/>
              </w:rPr>
            </w:pPr>
          </w:p>
        </w:tc>
        <w:tc>
          <w:tcPr>
            <w:tcW w:w="1292" w:type="dxa"/>
            <w:vMerge w:val="restart"/>
            <w:vAlign w:val="center"/>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szCs w:val="21"/>
                <w:highlight w:val="none"/>
              </w:rPr>
            </w:pPr>
            <w:r>
              <w:rPr>
                <w:rFonts w:hint="eastAsia" w:ascii="宋体" w:hAnsi="宋体" w:cs="宋体"/>
                <w:szCs w:val="21"/>
                <w:highlight w:val="none"/>
              </w:rPr>
              <w:t>宣传方案</w:t>
            </w:r>
          </w:p>
        </w:tc>
        <w:tc>
          <w:tcPr>
            <w:tcW w:w="704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highlight w:val="none"/>
              </w:rPr>
            </w:pPr>
            <w:r>
              <w:rPr>
                <w:rFonts w:hint="eastAsia" w:ascii="宋体" w:hAnsi="宋体" w:cs="宋体"/>
                <w:szCs w:val="21"/>
                <w:highlight w:val="none"/>
              </w:rPr>
              <w:t>（1）根据供应商提供的宣传方案进行综合评分。</w:t>
            </w:r>
          </w:p>
        </w:tc>
        <w:tc>
          <w:tcPr>
            <w:tcW w:w="1098" w:type="dxa"/>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03" w:type="dxa"/>
            <w:vMerge w:val="continue"/>
            <w:shd w:val="clear" w:color="auto" w:fill="auto"/>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sz w:val="24"/>
                <w:highlight w:val="none"/>
              </w:rPr>
            </w:pPr>
          </w:p>
        </w:tc>
        <w:tc>
          <w:tcPr>
            <w:tcW w:w="1292" w:type="dxa"/>
            <w:vMerge w:val="continue"/>
            <w:vAlign w:val="center"/>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szCs w:val="21"/>
                <w:highlight w:val="none"/>
              </w:rPr>
            </w:pPr>
          </w:p>
        </w:tc>
        <w:tc>
          <w:tcPr>
            <w:tcW w:w="704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Cs w:val="21"/>
                <w:highlight w:val="none"/>
              </w:rPr>
            </w:pPr>
            <w:r>
              <w:rPr>
                <w:rFonts w:hint="eastAsia" w:ascii="宋体" w:hAnsi="宋体" w:cs="宋体"/>
                <w:szCs w:val="21"/>
                <w:highlight w:val="none"/>
              </w:rPr>
              <w:t>（2）供应商承诺完成以下需求，评委根据平台权威性及供应商可实施性进行打分。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Cs w:val="21"/>
                <w:highlight w:val="none"/>
              </w:rPr>
            </w:pPr>
            <w:r>
              <w:rPr>
                <w:rFonts w:hint="eastAsia" w:ascii="宋体" w:hAnsi="宋体" w:cs="宋体"/>
                <w:szCs w:val="21"/>
                <w:highlight w:val="none"/>
              </w:rPr>
              <w:t>①在国家级文旅行业报刊内发布专题版面一个（0-3分）；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Cs w:val="21"/>
                <w:highlight w:val="none"/>
              </w:rPr>
            </w:pPr>
            <w:r>
              <w:rPr>
                <w:rFonts w:hint="eastAsia" w:ascii="宋体" w:hAnsi="宋体" w:cs="宋体"/>
                <w:szCs w:val="21"/>
                <w:highlight w:val="none"/>
              </w:rPr>
              <w:t>②在国家级文旅行业新媒体信息发布</w:t>
            </w:r>
            <w:r>
              <w:rPr>
                <w:rFonts w:hint="eastAsia" w:ascii="宋体" w:hAnsi="宋体" w:cs="宋体"/>
                <w:szCs w:val="21"/>
                <w:highlight w:val="none"/>
                <w:lang w:val="en-US" w:eastAsia="zh-CN"/>
              </w:rPr>
              <w:t>不少于3条</w:t>
            </w:r>
            <w:r>
              <w:rPr>
                <w:rFonts w:hint="eastAsia" w:ascii="宋体" w:hAnsi="宋体" w:cs="宋体"/>
                <w:szCs w:val="21"/>
                <w:highlight w:val="none"/>
              </w:rPr>
              <w:t>（0-3分）；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Cs w:val="21"/>
                <w:highlight w:val="none"/>
              </w:rPr>
            </w:pPr>
            <w:r>
              <w:rPr>
                <w:rFonts w:hint="eastAsia" w:ascii="宋体" w:hAnsi="宋体" w:cs="宋体"/>
                <w:szCs w:val="21"/>
                <w:highlight w:val="none"/>
              </w:rPr>
              <w:t>③省级文旅行业公共服务平台</w:t>
            </w:r>
            <w:r>
              <w:rPr>
                <w:rFonts w:hint="eastAsia" w:ascii="宋体" w:hAnsi="宋体" w:cs="宋体"/>
                <w:szCs w:val="21"/>
                <w:highlight w:val="none"/>
                <w:lang w:val="en-US" w:eastAsia="zh-CN"/>
              </w:rPr>
              <w:t>活动直播</w:t>
            </w:r>
            <w:r>
              <w:rPr>
                <w:rFonts w:hint="eastAsia" w:ascii="宋体" w:hAnsi="宋体" w:cs="宋体"/>
                <w:szCs w:val="21"/>
                <w:highlight w:val="none"/>
              </w:rPr>
              <w:t>（0-3分）；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Cs w:val="21"/>
                <w:highlight w:val="none"/>
              </w:rPr>
            </w:pPr>
            <w:r>
              <w:rPr>
                <w:rFonts w:hint="eastAsia" w:ascii="宋体" w:hAnsi="宋体" w:cs="宋体"/>
                <w:szCs w:val="21"/>
                <w:highlight w:val="none"/>
              </w:rPr>
              <w:t>④全网媒体平台信息发布，不少于20家（0-3分）。</w:t>
            </w:r>
          </w:p>
        </w:tc>
        <w:tc>
          <w:tcPr>
            <w:tcW w:w="1098" w:type="dxa"/>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lang w:val="en-US" w:eastAsia="zh-CN"/>
              </w:rPr>
              <w:t>12</w:t>
            </w:r>
            <w:r>
              <w:rPr>
                <w:rFonts w:hint="eastAsia" w:ascii="宋体" w:hAnsi="宋体" w:cs="宋体"/>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803" w:type="dxa"/>
            <w:vMerge w:val="continue"/>
            <w:shd w:val="clear" w:color="auto" w:fill="auto"/>
          </w:tcPr>
          <w:p>
            <w:pPr>
              <w:pStyle w:val="9"/>
              <w:keepNext w:val="0"/>
              <w:keepLines w:val="0"/>
              <w:pageBreakBefore w:val="0"/>
              <w:kinsoku/>
              <w:wordWrap/>
              <w:overflowPunct/>
              <w:topLinePunct w:val="0"/>
              <w:bidi w:val="0"/>
              <w:adjustRightInd/>
              <w:snapToGrid/>
              <w:spacing w:line="400" w:lineRule="exact"/>
              <w:jc w:val="center"/>
              <w:textAlignment w:val="auto"/>
              <w:rPr>
                <w:rFonts w:ascii="宋体" w:hAnsi="宋体" w:cs="宋体"/>
                <w:highlight w:val="none"/>
              </w:rPr>
            </w:pPr>
          </w:p>
        </w:tc>
        <w:tc>
          <w:tcPr>
            <w:tcW w:w="1292" w:type="dxa"/>
            <w:vAlign w:val="center"/>
          </w:tcPr>
          <w:p>
            <w:pPr>
              <w:pStyle w:val="9"/>
              <w:keepNext w:val="0"/>
              <w:keepLines w:val="0"/>
              <w:pageBreakBefore w:val="0"/>
              <w:kinsoku/>
              <w:wordWrap/>
              <w:overflowPunct/>
              <w:topLinePunct w:val="0"/>
              <w:bidi w:val="0"/>
              <w:adjustRightInd/>
              <w:snapToGrid/>
              <w:spacing w:line="400" w:lineRule="exact"/>
              <w:ind w:left="0" w:leftChars="0"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活动应急</w:t>
            </w:r>
          </w:p>
          <w:p>
            <w:pPr>
              <w:pStyle w:val="9"/>
              <w:keepNext w:val="0"/>
              <w:keepLines w:val="0"/>
              <w:pageBreakBefore w:val="0"/>
              <w:kinsoku/>
              <w:wordWrap/>
              <w:overflowPunct/>
              <w:topLinePunct w:val="0"/>
              <w:bidi w:val="0"/>
              <w:adjustRightInd/>
              <w:snapToGrid/>
              <w:spacing w:line="400" w:lineRule="exact"/>
              <w:ind w:left="0" w:leftChars="0" w:firstLine="0" w:firstLineChars="0"/>
              <w:jc w:val="center"/>
              <w:textAlignment w:val="auto"/>
              <w:rPr>
                <w:rFonts w:ascii="宋体" w:hAnsi="宋体" w:eastAsia="宋体" w:cs="宋体"/>
                <w:sz w:val="21"/>
                <w:szCs w:val="21"/>
                <w:highlight w:val="none"/>
              </w:rPr>
            </w:pPr>
            <w:r>
              <w:rPr>
                <w:rFonts w:hint="eastAsia" w:ascii="宋体" w:hAnsi="宋体" w:eastAsia="宋体" w:cs="宋体"/>
                <w:sz w:val="21"/>
                <w:szCs w:val="21"/>
                <w:highlight w:val="none"/>
              </w:rPr>
              <w:t>保障措施</w:t>
            </w:r>
          </w:p>
        </w:tc>
        <w:tc>
          <w:tcPr>
            <w:tcW w:w="7047" w:type="dxa"/>
            <w:vAlign w:val="center"/>
          </w:tcPr>
          <w:p>
            <w:pPr>
              <w:pStyle w:val="9"/>
              <w:keepNext w:val="0"/>
              <w:keepLines w:val="0"/>
              <w:pageBreakBefore w:val="0"/>
              <w:kinsoku/>
              <w:wordWrap/>
              <w:overflowPunct/>
              <w:topLinePunct w:val="0"/>
              <w:bidi w:val="0"/>
              <w:adjustRightInd/>
              <w:snapToGrid/>
              <w:spacing w:line="400" w:lineRule="exact"/>
              <w:ind w:left="0" w:leftChars="0" w:firstLine="0" w:firstLineChars="0"/>
              <w:jc w:val="left"/>
              <w:textAlignment w:val="auto"/>
              <w:rPr>
                <w:rFonts w:ascii="宋体" w:hAnsi="宋体" w:eastAsia="宋体" w:cs="宋体"/>
                <w:sz w:val="21"/>
                <w:szCs w:val="21"/>
                <w:highlight w:val="none"/>
              </w:rPr>
            </w:pPr>
            <w:r>
              <w:rPr>
                <w:rFonts w:hint="eastAsia" w:ascii="宋体" w:hAnsi="宋体" w:eastAsia="宋体" w:cs="宋体"/>
                <w:sz w:val="21"/>
                <w:szCs w:val="21"/>
                <w:highlight w:val="none"/>
              </w:rPr>
              <w:t>根据供应商提供的应急保障措施进行评分：有制定相应的活动应急保障措施，对活动落地过程有具体安全保障措施的得3.01-6分，保障措施较为简单，对活动落地过程提出基本的保障措施的得0-3分。</w:t>
            </w:r>
          </w:p>
        </w:tc>
        <w:tc>
          <w:tcPr>
            <w:tcW w:w="1098" w:type="dxa"/>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803" w:type="dxa"/>
            <w:vMerge w:val="continue"/>
            <w:shd w:val="clear" w:color="auto" w:fill="auto"/>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sz w:val="24"/>
                <w:highlight w:val="none"/>
              </w:rPr>
            </w:pPr>
          </w:p>
        </w:tc>
        <w:tc>
          <w:tcPr>
            <w:tcW w:w="1292" w:type="dxa"/>
            <w:vAlign w:val="center"/>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szCs w:val="21"/>
                <w:highlight w:val="none"/>
              </w:rPr>
            </w:pPr>
            <w:r>
              <w:rPr>
                <w:rFonts w:hint="eastAsia" w:ascii="宋体" w:hAnsi="宋体" w:cs="宋体"/>
                <w:szCs w:val="21"/>
                <w:highlight w:val="none"/>
              </w:rPr>
              <w:t>工作进度安排</w:t>
            </w:r>
          </w:p>
        </w:tc>
        <w:tc>
          <w:tcPr>
            <w:tcW w:w="7047" w:type="dxa"/>
            <w:vAlign w:val="center"/>
          </w:tcPr>
          <w:p>
            <w:pPr>
              <w:pStyle w:val="23"/>
              <w:keepNext w:val="0"/>
              <w:keepLines w:val="0"/>
              <w:pageBreakBefore w:val="0"/>
              <w:kinsoku/>
              <w:wordWrap/>
              <w:overflowPunct/>
              <w:topLinePunct w:val="0"/>
              <w:bidi w:val="0"/>
              <w:adjustRightInd/>
              <w:snapToGrid/>
              <w:spacing w:line="400" w:lineRule="exact"/>
              <w:textAlignment w:val="auto"/>
              <w:rPr>
                <w:rFonts w:hAnsi="宋体" w:cs="宋体"/>
                <w:kern w:val="2"/>
                <w:sz w:val="21"/>
                <w:szCs w:val="21"/>
                <w:highlight w:val="none"/>
              </w:rPr>
            </w:pPr>
            <w:r>
              <w:rPr>
                <w:rFonts w:hint="eastAsia" w:hAnsi="宋体" w:cs="宋体"/>
                <w:kern w:val="2"/>
                <w:sz w:val="21"/>
                <w:szCs w:val="21"/>
                <w:highlight w:val="none"/>
              </w:rPr>
              <w:t>根据供应商对项目工作进度安排是否科学、合理、可操作性等进行综合评分。（0-6分）</w:t>
            </w:r>
          </w:p>
        </w:tc>
        <w:tc>
          <w:tcPr>
            <w:tcW w:w="1098" w:type="dxa"/>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03" w:type="dxa"/>
            <w:vMerge w:val="continue"/>
            <w:shd w:val="clear" w:color="auto" w:fill="auto"/>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sz w:val="24"/>
                <w:highlight w:val="none"/>
              </w:rPr>
            </w:pPr>
          </w:p>
        </w:tc>
        <w:tc>
          <w:tcPr>
            <w:tcW w:w="1292" w:type="dxa"/>
            <w:vAlign w:val="center"/>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szCs w:val="21"/>
                <w:highlight w:val="none"/>
              </w:rPr>
            </w:pPr>
            <w:r>
              <w:rPr>
                <w:rFonts w:hint="eastAsia" w:ascii="宋体" w:hAnsi="宋体" w:cs="宋体"/>
                <w:szCs w:val="21"/>
                <w:highlight w:val="none"/>
              </w:rPr>
              <w:t>服务情况与承诺</w:t>
            </w:r>
          </w:p>
        </w:tc>
        <w:tc>
          <w:tcPr>
            <w:tcW w:w="7047" w:type="dxa"/>
            <w:vAlign w:val="center"/>
          </w:tcPr>
          <w:p>
            <w:pPr>
              <w:keepNext w:val="0"/>
              <w:keepLines w:val="0"/>
              <w:pageBreakBefore w:val="0"/>
              <w:kinsoku/>
              <w:wordWrap/>
              <w:overflowPunct/>
              <w:topLinePunct w:val="0"/>
              <w:bidi w:val="0"/>
              <w:adjustRightInd/>
              <w:snapToGrid/>
              <w:spacing w:line="400" w:lineRule="exact"/>
              <w:textAlignment w:val="auto"/>
              <w:rPr>
                <w:rFonts w:ascii="宋体" w:hAnsi="宋体" w:cs="宋体"/>
                <w:szCs w:val="21"/>
                <w:highlight w:val="none"/>
              </w:rPr>
            </w:pPr>
            <w:r>
              <w:rPr>
                <w:rFonts w:hint="eastAsia" w:ascii="宋体" w:hAnsi="宋体" w:cs="宋体"/>
                <w:szCs w:val="21"/>
                <w:highlight w:val="none"/>
              </w:rPr>
              <w:t>服务特点及保证服务质量的措施，供应商是否具备完善的服务管理体系，在服务过程中确保服务质量。（0-6分）</w:t>
            </w:r>
          </w:p>
        </w:tc>
        <w:tc>
          <w:tcPr>
            <w:tcW w:w="1098" w:type="dxa"/>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803" w:type="dxa"/>
            <w:vMerge w:val="continue"/>
            <w:shd w:val="clear" w:color="auto" w:fill="auto"/>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kern w:val="0"/>
                <w:sz w:val="24"/>
                <w:highlight w:val="none"/>
              </w:rPr>
            </w:pPr>
          </w:p>
        </w:tc>
        <w:tc>
          <w:tcPr>
            <w:tcW w:w="1292" w:type="dxa"/>
            <w:vAlign w:val="center"/>
          </w:tcPr>
          <w:p>
            <w:pPr>
              <w:keepNext w:val="0"/>
              <w:keepLines w:val="0"/>
              <w:pageBreakBefore w:val="0"/>
              <w:kinsoku/>
              <w:wordWrap/>
              <w:overflowPunct/>
              <w:topLinePunct w:val="0"/>
              <w:bidi w:val="0"/>
              <w:adjustRightInd/>
              <w:snapToGrid/>
              <w:spacing w:line="400" w:lineRule="exact"/>
              <w:jc w:val="center"/>
              <w:textAlignment w:val="auto"/>
              <w:rPr>
                <w:rFonts w:ascii="宋体" w:hAnsi="宋体" w:cs="宋体"/>
                <w:szCs w:val="21"/>
                <w:highlight w:val="none"/>
              </w:rPr>
            </w:pPr>
            <w:r>
              <w:rPr>
                <w:rFonts w:hint="eastAsia" w:ascii="宋体" w:hAnsi="宋体" w:cs="宋体"/>
                <w:szCs w:val="21"/>
                <w:highlight w:val="none"/>
              </w:rPr>
              <w:t>合理化建议</w:t>
            </w:r>
          </w:p>
        </w:tc>
        <w:tc>
          <w:tcPr>
            <w:tcW w:w="7047" w:type="dxa"/>
            <w:vAlign w:val="center"/>
          </w:tcPr>
          <w:p>
            <w:pPr>
              <w:keepNext w:val="0"/>
              <w:keepLines w:val="0"/>
              <w:pageBreakBefore w:val="0"/>
              <w:kinsoku/>
              <w:wordWrap/>
              <w:overflowPunct/>
              <w:topLinePunct w:val="0"/>
              <w:bidi w:val="0"/>
              <w:adjustRightInd/>
              <w:snapToGrid/>
              <w:spacing w:line="400" w:lineRule="exact"/>
              <w:jc w:val="left"/>
              <w:textAlignment w:val="auto"/>
              <w:rPr>
                <w:rFonts w:ascii="宋体" w:hAnsi="宋体" w:cs="宋体"/>
                <w:szCs w:val="21"/>
                <w:highlight w:val="none"/>
              </w:rPr>
            </w:pPr>
            <w:bookmarkStart w:id="191" w:name="_GoBack"/>
            <w:r>
              <w:rPr>
                <w:rFonts w:hint="eastAsia" w:ascii="宋体" w:hAnsi="宋体" w:cs="宋体"/>
                <w:szCs w:val="21"/>
                <w:highlight w:val="none"/>
              </w:rPr>
              <w:t>根据供应商提出的合理化建议的合理性、科学性以及针对性等情况进行综合评分。（0-4分）</w:t>
            </w:r>
            <w:bookmarkEnd w:id="191"/>
          </w:p>
        </w:tc>
        <w:tc>
          <w:tcPr>
            <w:tcW w:w="1098" w:type="dxa"/>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03" w:type="dxa"/>
            <w:shd w:val="clear" w:color="auto" w:fill="auto"/>
          </w:tcPr>
          <w:p>
            <w:pPr>
              <w:keepNext w:val="0"/>
              <w:keepLines w:val="0"/>
              <w:pageBreakBefore w:val="0"/>
              <w:kinsoku/>
              <w:wordWrap/>
              <w:overflowPunct/>
              <w:topLinePunct w:val="0"/>
              <w:bidi w:val="0"/>
              <w:adjustRightInd/>
              <w:snapToGrid/>
              <w:spacing w:line="400" w:lineRule="exact"/>
              <w:textAlignment w:val="auto"/>
              <w:rPr>
                <w:rFonts w:ascii="宋体" w:hAnsi="宋体" w:cs="宋体"/>
                <w:sz w:val="24"/>
                <w:highlight w:val="none"/>
              </w:rPr>
            </w:pPr>
            <w:r>
              <w:rPr>
                <w:rFonts w:ascii="宋体" w:hAnsi="宋体" w:cs="宋体" w:eastAsiaTheme="minorEastAsia"/>
                <w:szCs w:val="22"/>
                <w:highlight w:val="none"/>
              </w:rPr>
              <w:t>价格分</w:t>
            </w:r>
            <w:r>
              <w:rPr>
                <w:rFonts w:hint="eastAsia" w:ascii="宋体" w:hAnsi="宋体" w:cs="宋体" w:eastAsiaTheme="minorEastAsia"/>
                <w:szCs w:val="22"/>
                <w:highlight w:val="none"/>
                <w:lang w:val="en-US" w:eastAsia="zh-CN"/>
              </w:rPr>
              <w:t>2</w:t>
            </w:r>
            <w:r>
              <w:rPr>
                <w:rFonts w:hint="eastAsia" w:ascii="宋体" w:hAnsi="宋体" w:cs="宋体" w:eastAsiaTheme="minorEastAsia"/>
                <w:szCs w:val="22"/>
                <w:highlight w:val="none"/>
              </w:rPr>
              <w:t>0</w:t>
            </w:r>
            <w:r>
              <w:rPr>
                <w:rFonts w:ascii="宋体" w:hAnsi="宋体" w:cs="宋体" w:eastAsiaTheme="minorEastAsia"/>
                <w:szCs w:val="22"/>
                <w:highlight w:val="none"/>
              </w:rPr>
              <w:t>分</w:t>
            </w:r>
          </w:p>
        </w:tc>
        <w:tc>
          <w:tcPr>
            <w:tcW w:w="8339" w:type="dxa"/>
            <w:gridSpan w:val="2"/>
            <w:shd w:val="clear" w:color="auto" w:fill="auto"/>
            <w:vAlign w:val="center"/>
          </w:tcPr>
          <w:p>
            <w:pPr>
              <w:keepNext w:val="0"/>
              <w:keepLines w:val="0"/>
              <w:pageBreakBefore w:val="0"/>
              <w:widowControl/>
              <w:kinsoku/>
              <w:wordWrap/>
              <w:overflowPunct/>
              <w:topLinePunct w:val="0"/>
              <w:bidi w:val="0"/>
              <w:adjustRightInd/>
              <w:snapToGrid/>
              <w:spacing w:line="400" w:lineRule="exact"/>
              <w:textAlignment w:val="auto"/>
              <w:rPr>
                <w:rFonts w:cs="宋体"/>
                <w:highlight w:val="none"/>
              </w:rPr>
            </w:pPr>
            <w:r>
              <w:rPr>
                <w:rFonts w:hint="eastAsia" w:cs="宋体"/>
                <w:highlight w:val="none"/>
              </w:rPr>
              <w:t>参与评审的价格＝</w:t>
            </w:r>
            <w:r>
              <w:rPr>
                <w:rFonts w:hint="eastAsia" w:cs="宋体"/>
                <w:szCs w:val="21"/>
                <w:highlight w:val="none"/>
                <w:lang w:val="zh-TW" w:eastAsia="zh-TW"/>
              </w:rPr>
              <w:t>最终报价</w:t>
            </w:r>
          </w:p>
          <w:p>
            <w:pPr>
              <w:keepNext w:val="0"/>
              <w:keepLines w:val="0"/>
              <w:pageBreakBefore w:val="0"/>
              <w:kinsoku/>
              <w:wordWrap/>
              <w:overflowPunct/>
              <w:topLinePunct w:val="0"/>
              <w:bidi w:val="0"/>
              <w:adjustRightInd/>
              <w:snapToGrid/>
              <w:spacing w:line="400" w:lineRule="exact"/>
              <w:textAlignment w:val="auto"/>
              <w:rPr>
                <w:rFonts w:cs="宋体"/>
                <w:highlight w:val="none"/>
              </w:rPr>
            </w:pPr>
            <w:r>
              <w:rPr>
                <w:rFonts w:hint="eastAsia" w:cs="宋体"/>
                <w:highlight w:val="none"/>
              </w:rPr>
              <w:t>参与评审的价格最低的为评标基准价，基准价得分为满分</w:t>
            </w:r>
            <w:r>
              <w:rPr>
                <w:rFonts w:hint="eastAsia" w:cs="宋体"/>
                <w:highlight w:val="none"/>
                <w:lang w:val="en-US" w:eastAsia="zh-CN"/>
              </w:rPr>
              <w:t>2</w:t>
            </w:r>
            <w:r>
              <w:rPr>
                <w:rFonts w:hint="eastAsia" w:cs="宋体"/>
                <w:highlight w:val="none"/>
              </w:rPr>
              <w:t>0分；</w:t>
            </w:r>
          </w:p>
          <w:p>
            <w:pPr>
              <w:keepNext w:val="0"/>
              <w:keepLines w:val="0"/>
              <w:pageBreakBefore w:val="0"/>
              <w:kinsoku/>
              <w:wordWrap/>
              <w:overflowPunct/>
              <w:topLinePunct w:val="0"/>
              <w:bidi w:val="0"/>
              <w:adjustRightInd/>
              <w:snapToGrid/>
              <w:spacing w:line="400" w:lineRule="exact"/>
              <w:textAlignment w:val="auto"/>
              <w:rPr>
                <w:rFonts w:cs="宋体"/>
                <w:highlight w:val="none"/>
              </w:rPr>
            </w:pPr>
            <w:r>
              <w:rPr>
                <w:rFonts w:hint="eastAsia" w:cs="宋体"/>
                <w:highlight w:val="none"/>
              </w:rPr>
              <w:t>其他供应商的价格分按照下列公式计算：</w:t>
            </w:r>
          </w:p>
          <w:p>
            <w:pPr>
              <w:pStyle w:val="18"/>
              <w:keepNext w:val="0"/>
              <w:keepLines w:val="0"/>
              <w:pageBreakBefore w:val="0"/>
              <w:kinsoku/>
              <w:wordWrap/>
              <w:overflowPunct/>
              <w:topLinePunct w:val="0"/>
              <w:bidi w:val="0"/>
              <w:adjustRightInd/>
              <w:snapToGrid/>
              <w:spacing w:after="0" w:line="400" w:lineRule="exact"/>
              <w:textAlignment w:val="auto"/>
              <w:rPr>
                <w:rFonts w:ascii="宋体" w:hAnsi="宋体" w:cs="宋体"/>
                <w:szCs w:val="21"/>
                <w:highlight w:val="none"/>
              </w:rPr>
            </w:pPr>
            <w:r>
              <w:rPr>
                <w:rFonts w:hint="eastAsia" w:cs="宋体"/>
                <w:highlight w:val="none"/>
              </w:rPr>
              <w:t>各供应商的价格得分＝（评标基准价/参与评审的价格）×</w:t>
            </w:r>
            <w:r>
              <w:rPr>
                <w:rFonts w:hint="eastAsia" w:cs="宋体"/>
                <w:highlight w:val="none"/>
                <w:lang w:val="en-US" w:eastAsia="zh-CN"/>
              </w:rPr>
              <w:t>2</w:t>
            </w:r>
            <w:r>
              <w:rPr>
                <w:rFonts w:hint="eastAsia" w:cs="宋体"/>
                <w:highlight w:val="none"/>
              </w:rPr>
              <w:t>0×100％</w:t>
            </w:r>
          </w:p>
        </w:tc>
        <w:tc>
          <w:tcPr>
            <w:tcW w:w="1098" w:type="dxa"/>
            <w:shd w:val="clear" w:color="auto" w:fill="auto"/>
            <w:vAlign w:val="center"/>
          </w:tcPr>
          <w:p>
            <w:pPr>
              <w:pStyle w:val="18"/>
              <w:spacing w:line="380" w:lineRule="exact"/>
              <w:jc w:val="center"/>
              <w:rPr>
                <w:rFonts w:ascii="宋体" w:hAnsi="宋体" w:cs="宋体"/>
                <w:szCs w:val="21"/>
                <w:highlight w:val="none"/>
              </w:rPr>
            </w:pPr>
            <w:r>
              <w:rPr>
                <w:rFonts w:hint="eastAsia" w:ascii="宋体" w:hAnsi="宋体" w:cs="宋体"/>
                <w:szCs w:val="21"/>
                <w:highlight w:val="none"/>
                <w:lang w:val="en-US" w:eastAsia="zh-CN"/>
              </w:rPr>
              <w:t>2</w:t>
            </w:r>
            <w:r>
              <w:rPr>
                <w:rFonts w:hint="eastAsia" w:ascii="宋体" w:hAnsi="宋体" w:cs="宋体"/>
                <w:szCs w:val="21"/>
                <w:highlight w:val="none"/>
              </w:rPr>
              <w:t>0</w:t>
            </w:r>
            <w:r>
              <w:rPr>
                <w:rFonts w:ascii="宋体" w:hAnsi="宋体" w:cs="宋体"/>
                <w:szCs w:val="21"/>
                <w:highlight w:val="none"/>
              </w:rPr>
              <w:t>分</w:t>
            </w:r>
          </w:p>
        </w:tc>
      </w:tr>
    </w:tbl>
    <w:p>
      <w:pPr>
        <w:pStyle w:val="56"/>
        <w:rPr>
          <w:highlight w:val="none"/>
        </w:rPr>
        <w:sectPr>
          <w:pgSz w:w="11907" w:h="16840"/>
          <w:pgMar w:top="1247" w:right="1531" w:bottom="1304" w:left="1531" w:header="426" w:footer="708" w:gutter="0"/>
          <w:cols w:space="720" w:num="1"/>
          <w:docGrid w:linePitch="285" w:charSpace="0"/>
        </w:sectPr>
      </w:pPr>
    </w:p>
    <w:p>
      <w:pPr>
        <w:pStyle w:val="56"/>
        <w:rPr>
          <w:highlight w:val="none"/>
        </w:rPr>
      </w:pPr>
    </w:p>
    <w:p>
      <w:pPr>
        <w:pStyle w:val="42"/>
        <w:rPr>
          <w:rFonts w:ascii="Times New Roman" w:hAnsi="Times New Roman"/>
          <w:kern w:val="44"/>
          <w:highlight w:val="none"/>
        </w:rPr>
      </w:pPr>
      <w:r>
        <w:rPr>
          <w:rFonts w:hint="eastAsia" w:ascii="Times New Roman" w:hAnsi="Times New Roman"/>
          <w:kern w:val="44"/>
          <w:highlight w:val="none"/>
        </w:rPr>
        <w:t>第五章 采购内容及</w:t>
      </w:r>
      <w:bookmarkEnd w:id="160"/>
      <w:bookmarkEnd w:id="161"/>
      <w:r>
        <w:rPr>
          <w:rFonts w:hint="eastAsia" w:ascii="Times New Roman" w:hAnsi="Times New Roman"/>
          <w:kern w:val="44"/>
          <w:highlight w:val="none"/>
        </w:rPr>
        <w:t>要求</w:t>
      </w:r>
      <w:bookmarkEnd w:id="162"/>
      <w:bookmarkEnd w:id="163"/>
    </w:p>
    <w:p>
      <w:pPr>
        <w:spacing w:line="440" w:lineRule="exact"/>
        <w:ind w:firstLine="480" w:firstLineChars="200"/>
        <w:rPr>
          <w:rFonts w:ascii="宋体" w:hAnsi="宋体" w:cs="Arial"/>
          <w:kern w:val="0"/>
          <w:sz w:val="24"/>
          <w:szCs w:val="21"/>
          <w:highlight w:val="none"/>
        </w:rPr>
      </w:pPr>
      <w:bookmarkStart w:id="164" w:name="_Toc97372533"/>
      <w:bookmarkStart w:id="165" w:name="_Toc263083265"/>
      <w:bookmarkStart w:id="166" w:name="_Toc435088080"/>
      <w:bookmarkStart w:id="167" w:name="_Toc29158565"/>
      <w:r>
        <w:rPr>
          <w:rFonts w:ascii="宋体" w:hAnsi="宋体" w:cs="Arial"/>
          <w:kern w:val="0"/>
          <w:sz w:val="24"/>
          <w:szCs w:val="21"/>
          <w:highlight w:val="none"/>
        </w:rPr>
        <w:t>一</w:t>
      </w:r>
      <w:r>
        <w:rPr>
          <w:rFonts w:hint="eastAsia" w:ascii="宋体" w:hAnsi="宋体" w:cs="Arial"/>
          <w:kern w:val="0"/>
          <w:sz w:val="24"/>
          <w:szCs w:val="21"/>
          <w:highlight w:val="none"/>
        </w:rPr>
        <w:t>、</w:t>
      </w:r>
      <w:r>
        <w:rPr>
          <w:rFonts w:ascii="宋体" w:hAnsi="宋体" w:cs="Arial"/>
          <w:kern w:val="0"/>
          <w:sz w:val="24"/>
          <w:szCs w:val="21"/>
          <w:highlight w:val="none"/>
        </w:rPr>
        <w:t>项目概况</w:t>
      </w:r>
      <w:r>
        <w:rPr>
          <w:rFonts w:hint="eastAsia" w:ascii="宋体" w:hAnsi="宋体" w:cs="Arial"/>
          <w:kern w:val="0"/>
          <w:sz w:val="24"/>
          <w:szCs w:val="21"/>
          <w:highlight w:val="none"/>
        </w:rPr>
        <w:t>：</w:t>
      </w:r>
    </w:p>
    <w:p>
      <w:pPr>
        <w:shd w:val="clear" w:color="auto" w:fill="FFFFFF"/>
        <w:spacing w:line="402" w:lineRule="atLeast"/>
        <w:ind w:firstLine="480"/>
        <w:rPr>
          <w:rFonts w:hint="eastAsia" w:ascii="宋体" w:hAnsi="宋体" w:cs="Arial"/>
          <w:kern w:val="0"/>
          <w:sz w:val="24"/>
          <w:szCs w:val="21"/>
          <w:highlight w:val="none"/>
        </w:rPr>
      </w:pPr>
      <w:r>
        <w:rPr>
          <w:rFonts w:hint="eastAsia" w:ascii="宋体" w:hAnsi="宋体" w:cs="Arial"/>
          <w:kern w:val="0"/>
          <w:sz w:val="24"/>
          <w:szCs w:val="21"/>
          <w:highlight w:val="none"/>
        </w:rPr>
        <w:t>第二十</w:t>
      </w:r>
      <w:r>
        <w:rPr>
          <w:rFonts w:hint="eastAsia" w:ascii="宋体" w:hAnsi="宋体" w:cs="Arial"/>
          <w:kern w:val="0"/>
          <w:sz w:val="24"/>
          <w:szCs w:val="21"/>
          <w:highlight w:val="none"/>
          <w:lang w:val="en-US" w:eastAsia="zh-CN"/>
        </w:rPr>
        <w:t>二</w:t>
      </w:r>
      <w:r>
        <w:rPr>
          <w:rFonts w:hint="eastAsia" w:ascii="宋体" w:hAnsi="宋体" w:cs="Arial"/>
          <w:kern w:val="0"/>
          <w:sz w:val="24"/>
          <w:szCs w:val="21"/>
          <w:highlight w:val="none"/>
        </w:rPr>
        <w:t>届徐霞客开游节系列活动相关服务，包含开幕式现场布置搭建与氛围营造、视觉设计服务、启动环节等相关物料制作、节日宣传、策划执行等与活动相关的一切服务和采购人要求的服务。</w:t>
      </w:r>
    </w:p>
    <w:p>
      <w:pPr>
        <w:shd w:val="clear" w:color="auto" w:fill="FFFFFF"/>
        <w:spacing w:line="402" w:lineRule="atLeast"/>
        <w:ind w:firstLine="480"/>
        <w:rPr>
          <w:highlight w:val="none"/>
        </w:rPr>
      </w:pPr>
      <w:r>
        <w:rPr>
          <w:rFonts w:hint="eastAsia" w:ascii="宋体" w:hAnsi="宋体" w:cs="Arial"/>
          <w:kern w:val="0"/>
          <w:sz w:val="24"/>
          <w:szCs w:val="21"/>
          <w:highlight w:val="none"/>
        </w:rPr>
        <w:t>二、服务内容和要求：</w:t>
      </w:r>
    </w:p>
    <w:p>
      <w:pPr>
        <w:shd w:val="clear" w:color="auto" w:fill="FFFFFF"/>
        <w:spacing w:line="402" w:lineRule="atLeast"/>
        <w:ind w:firstLine="480"/>
        <w:rPr>
          <w:rFonts w:hint="eastAsia" w:ascii="宋体" w:hAnsi="宋体" w:cs="Arial"/>
          <w:kern w:val="0"/>
          <w:sz w:val="24"/>
          <w:szCs w:val="21"/>
          <w:highlight w:val="none"/>
        </w:rPr>
      </w:pPr>
      <w:bookmarkStart w:id="168" w:name="_Toc95998789"/>
      <w:r>
        <w:rPr>
          <w:rFonts w:hint="eastAsia" w:ascii="宋体" w:hAnsi="宋体" w:cs="Arial"/>
          <w:kern w:val="0"/>
          <w:sz w:val="24"/>
          <w:szCs w:val="21"/>
          <w:highlight w:val="none"/>
        </w:rPr>
        <w:t>1、</w:t>
      </w:r>
      <w:bookmarkEnd w:id="168"/>
      <w:r>
        <w:rPr>
          <w:rFonts w:hint="eastAsia" w:ascii="宋体" w:hAnsi="宋体" w:cs="Arial"/>
          <w:kern w:val="0"/>
          <w:sz w:val="24"/>
          <w:szCs w:val="21"/>
          <w:highlight w:val="none"/>
        </w:rPr>
        <w:t>开幕式现场布置搭建与氛围营造、视觉设计服务、</w:t>
      </w:r>
      <w:r>
        <w:rPr>
          <w:rFonts w:hint="eastAsia" w:ascii="宋体" w:hAnsi="宋体" w:cs="Arial"/>
          <w:kern w:val="0"/>
          <w:sz w:val="24"/>
          <w:szCs w:val="21"/>
          <w:highlight w:val="none"/>
          <w:lang w:val="en-US" w:eastAsia="zh-CN"/>
        </w:rPr>
        <w:t>流程安排、</w:t>
      </w:r>
      <w:r>
        <w:rPr>
          <w:rFonts w:hint="eastAsia" w:ascii="宋体" w:hAnsi="宋体" w:cs="Arial"/>
          <w:kern w:val="0"/>
          <w:sz w:val="24"/>
          <w:szCs w:val="21"/>
          <w:highlight w:val="none"/>
        </w:rPr>
        <w:t>启动环节等相关物料制作、开幕环节等内容。</w:t>
      </w:r>
    </w:p>
    <w:p>
      <w:pPr>
        <w:shd w:val="clear" w:color="auto" w:fill="FFFFFF"/>
        <w:spacing w:line="402" w:lineRule="atLeast"/>
        <w:ind w:firstLine="480" w:firstLineChars="200"/>
        <w:rPr>
          <w:rFonts w:ascii="宋体" w:hAnsi="宋体" w:cs="Arial"/>
          <w:kern w:val="0"/>
          <w:sz w:val="24"/>
          <w:szCs w:val="21"/>
          <w:highlight w:val="none"/>
        </w:rPr>
      </w:pPr>
      <w:r>
        <w:rPr>
          <w:rFonts w:ascii="宋体" w:hAnsi="宋体" w:cs="Arial"/>
          <w:kern w:val="0"/>
          <w:sz w:val="24"/>
          <w:szCs w:val="21"/>
          <w:highlight w:val="none"/>
        </w:rPr>
        <w:t>2</w:t>
      </w:r>
      <w:r>
        <w:rPr>
          <w:rFonts w:hint="eastAsia" w:ascii="宋体" w:hAnsi="宋体" w:cs="Arial"/>
          <w:kern w:val="0"/>
          <w:sz w:val="24"/>
          <w:szCs w:val="21"/>
          <w:highlight w:val="none"/>
        </w:rPr>
        <w:t>、整体宣传方案：</w:t>
      </w:r>
    </w:p>
    <w:p>
      <w:pPr>
        <w:shd w:val="clear" w:color="auto" w:fill="FFFFFF"/>
        <w:spacing w:line="402" w:lineRule="atLeast"/>
        <w:ind w:firstLine="480"/>
        <w:rPr>
          <w:rFonts w:ascii="宋体" w:hAnsi="宋体" w:cs="Arial"/>
          <w:kern w:val="0"/>
          <w:sz w:val="24"/>
          <w:szCs w:val="21"/>
          <w:highlight w:val="none"/>
        </w:rPr>
      </w:pPr>
      <w:r>
        <w:rPr>
          <w:rFonts w:hint="eastAsia" w:ascii="宋体" w:hAnsi="宋体" w:cs="Arial"/>
          <w:kern w:val="0"/>
          <w:sz w:val="24"/>
          <w:szCs w:val="21"/>
          <w:highlight w:val="none"/>
        </w:rPr>
        <w:t>制定完整宣传方案，包括不限于以下方面：</w:t>
      </w:r>
    </w:p>
    <w:p>
      <w:pPr>
        <w:shd w:val="clear" w:color="auto" w:fill="FFFFFF"/>
        <w:spacing w:line="402" w:lineRule="atLeast"/>
        <w:ind w:firstLine="480"/>
        <w:rPr>
          <w:rFonts w:ascii="宋体" w:hAnsi="宋体" w:cs="Arial"/>
          <w:kern w:val="0"/>
          <w:sz w:val="24"/>
          <w:szCs w:val="21"/>
          <w:highlight w:val="none"/>
        </w:rPr>
      </w:pPr>
      <w:r>
        <w:rPr>
          <w:rFonts w:hint="eastAsia" w:ascii="宋体" w:hAnsi="宋体" w:cs="Arial"/>
          <w:kern w:val="0"/>
          <w:sz w:val="24"/>
          <w:szCs w:val="21"/>
          <w:highlight w:val="none"/>
        </w:rPr>
        <w:t>①在国家级文旅行业报刊内发布专题版面一个；</w:t>
      </w:r>
    </w:p>
    <w:p>
      <w:pPr>
        <w:shd w:val="clear" w:color="auto" w:fill="FFFFFF"/>
        <w:spacing w:line="402" w:lineRule="atLeast"/>
        <w:ind w:firstLine="480"/>
        <w:rPr>
          <w:rFonts w:ascii="宋体" w:hAnsi="宋体" w:cs="Arial"/>
          <w:kern w:val="0"/>
          <w:sz w:val="24"/>
          <w:szCs w:val="21"/>
          <w:highlight w:val="none"/>
        </w:rPr>
      </w:pPr>
      <w:r>
        <w:rPr>
          <w:rFonts w:hint="eastAsia" w:ascii="宋体" w:hAnsi="宋体" w:cs="Arial"/>
          <w:kern w:val="0"/>
          <w:sz w:val="24"/>
          <w:szCs w:val="21"/>
          <w:highlight w:val="none"/>
        </w:rPr>
        <w:t>②省级文旅行业新媒体信息发布；</w:t>
      </w:r>
    </w:p>
    <w:p>
      <w:pPr>
        <w:shd w:val="clear" w:color="auto" w:fill="FFFFFF"/>
        <w:spacing w:line="402" w:lineRule="atLeast"/>
        <w:ind w:firstLine="480"/>
        <w:rPr>
          <w:rFonts w:ascii="宋体" w:hAnsi="宋体" w:cs="Arial"/>
          <w:kern w:val="0"/>
          <w:sz w:val="24"/>
          <w:szCs w:val="21"/>
          <w:highlight w:val="none"/>
        </w:rPr>
      </w:pPr>
      <w:r>
        <w:rPr>
          <w:rFonts w:hint="eastAsia" w:ascii="宋体" w:hAnsi="宋体" w:cs="Arial"/>
          <w:kern w:val="0"/>
          <w:sz w:val="24"/>
          <w:szCs w:val="21"/>
          <w:highlight w:val="none"/>
        </w:rPr>
        <w:t>③省级文旅行业公共服务平台信息发布。</w:t>
      </w:r>
    </w:p>
    <w:p>
      <w:pPr>
        <w:shd w:val="clear" w:color="auto" w:fill="FFFFFF"/>
        <w:spacing w:line="402" w:lineRule="atLeast"/>
        <w:ind w:firstLine="480" w:firstLineChars="200"/>
        <w:rPr>
          <w:rFonts w:ascii="宋体" w:hAnsi="宋体" w:cs="Arial"/>
          <w:kern w:val="0"/>
          <w:sz w:val="24"/>
          <w:szCs w:val="21"/>
          <w:highlight w:val="none"/>
        </w:rPr>
      </w:pPr>
      <w:r>
        <w:rPr>
          <w:rFonts w:hint="eastAsia" w:ascii="宋体" w:hAnsi="宋体" w:cs="Arial"/>
          <w:kern w:val="0"/>
          <w:sz w:val="24"/>
          <w:szCs w:val="21"/>
          <w:highlight w:val="none"/>
          <w:lang w:val="en-US" w:eastAsia="zh-CN"/>
        </w:rPr>
        <w:t>3</w:t>
      </w:r>
      <w:r>
        <w:rPr>
          <w:rFonts w:hint="eastAsia" w:ascii="宋体" w:hAnsi="宋体" w:cs="Arial"/>
          <w:kern w:val="0"/>
          <w:sz w:val="24"/>
          <w:szCs w:val="21"/>
          <w:highlight w:val="none"/>
        </w:rPr>
        <w:t>、数据分析</w:t>
      </w:r>
    </w:p>
    <w:p>
      <w:pPr>
        <w:shd w:val="clear" w:color="auto" w:fill="FFFFFF"/>
        <w:spacing w:line="402" w:lineRule="atLeast"/>
        <w:ind w:firstLine="480"/>
        <w:rPr>
          <w:rFonts w:ascii="宋体" w:hAnsi="宋体" w:cs="Arial"/>
          <w:kern w:val="0"/>
          <w:sz w:val="24"/>
          <w:szCs w:val="21"/>
          <w:highlight w:val="none"/>
        </w:rPr>
      </w:pPr>
      <w:r>
        <w:rPr>
          <w:rFonts w:hint="eastAsia" w:ascii="宋体" w:hAnsi="宋体" w:cs="Arial"/>
          <w:kern w:val="0"/>
          <w:sz w:val="24"/>
          <w:szCs w:val="21"/>
          <w:highlight w:val="none"/>
        </w:rPr>
        <w:t>为了更好地让徐霞客开游节接轨市场，需提供宁海县第一季度旅游接待报告，报告内容包括：重点景区接待人次、住宿接待人次、高速卡口车流量等数据内容。</w:t>
      </w:r>
    </w:p>
    <w:p>
      <w:pPr>
        <w:shd w:val="clear" w:color="auto" w:fill="FFFFFF"/>
        <w:spacing w:line="402" w:lineRule="atLeast"/>
        <w:ind w:firstLine="480" w:firstLineChars="200"/>
        <w:rPr>
          <w:rFonts w:ascii="宋体" w:hAnsi="宋体" w:cs="Arial"/>
          <w:kern w:val="0"/>
          <w:sz w:val="24"/>
          <w:szCs w:val="21"/>
          <w:highlight w:val="none"/>
        </w:rPr>
      </w:pPr>
      <w:r>
        <w:rPr>
          <w:rFonts w:ascii="宋体" w:hAnsi="宋体" w:cs="Arial"/>
          <w:kern w:val="0"/>
          <w:sz w:val="24"/>
          <w:szCs w:val="21"/>
          <w:highlight w:val="none"/>
        </w:rPr>
        <w:t>三</w:t>
      </w:r>
      <w:r>
        <w:rPr>
          <w:rFonts w:hint="eastAsia" w:ascii="宋体" w:hAnsi="宋体" w:cs="Arial"/>
          <w:kern w:val="0"/>
          <w:sz w:val="24"/>
          <w:szCs w:val="21"/>
          <w:highlight w:val="none"/>
        </w:rPr>
        <w:t>、</w:t>
      </w:r>
      <w:r>
        <w:rPr>
          <w:rFonts w:ascii="宋体" w:hAnsi="宋体" w:cs="Arial"/>
          <w:kern w:val="0"/>
          <w:sz w:val="24"/>
          <w:szCs w:val="21"/>
          <w:highlight w:val="none"/>
        </w:rPr>
        <w:t>投标报价要求</w:t>
      </w:r>
      <w:r>
        <w:rPr>
          <w:rFonts w:hint="eastAsia" w:ascii="宋体" w:hAnsi="宋体" w:cs="Arial"/>
          <w:kern w:val="0"/>
          <w:sz w:val="24"/>
          <w:szCs w:val="21"/>
          <w:highlight w:val="none"/>
        </w:rPr>
        <w:t>：本项目最高投标限价</w:t>
      </w:r>
      <w:r>
        <w:rPr>
          <w:rFonts w:hint="eastAsia"/>
          <w:sz w:val="24"/>
          <w:szCs w:val="24"/>
          <w:highlight w:val="none"/>
        </w:rPr>
        <w:t>为1</w:t>
      </w:r>
      <w:r>
        <w:rPr>
          <w:rFonts w:hint="eastAsia"/>
          <w:sz w:val="24"/>
          <w:szCs w:val="24"/>
          <w:highlight w:val="none"/>
          <w:lang w:val="en-US" w:eastAsia="zh-CN"/>
        </w:rPr>
        <w:t>25</w:t>
      </w:r>
      <w:r>
        <w:rPr>
          <w:rFonts w:hint="eastAsia"/>
          <w:sz w:val="24"/>
          <w:szCs w:val="24"/>
          <w:highlight w:val="none"/>
        </w:rPr>
        <w:t>0000元。</w:t>
      </w:r>
      <w:r>
        <w:rPr>
          <w:rFonts w:ascii="宋体" w:hAnsi="宋体" w:cs="Arial"/>
          <w:kern w:val="0"/>
          <w:sz w:val="24"/>
          <w:szCs w:val="21"/>
          <w:highlight w:val="none"/>
        </w:rPr>
        <w:t>因项目的特殊性</w:t>
      </w:r>
      <w:r>
        <w:rPr>
          <w:rFonts w:hint="eastAsia" w:ascii="宋体" w:hAnsi="宋体" w:cs="Arial"/>
          <w:kern w:val="0"/>
          <w:sz w:val="24"/>
          <w:szCs w:val="21"/>
          <w:highlight w:val="none"/>
        </w:rPr>
        <w:t>，</w:t>
      </w:r>
      <w:r>
        <w:rPr>
          <w:rFonts w:ascii="宋体" w:hAnsi="宋体" w:cs="Arial"/>
          <w:kern w:val="0"/>
          <w:sz w:val="24"/>
          <w:szCs w:val="21"/>
          <w:highlight w:val="none"/>
        </w:rPr>
        <w:t>采购人有权随时对服务的内容和要求做出调整</w:t>
      </w:r>
      <w:r>
        <w:rPr>
          <w:rFonts w:hint="eastAsia" w:ascii="宋体" w:hAnsi="宋体" w:cs="Arial"/>
          <w:kern w:val="0"/>
          <w:sz w:val="24"/>
          <w:szCs w:val="21"/>
          <w:highlight w:val="none"/>
        </w:rPr>
        <w:t>，</w:t>
      </w:r>
      <w:r>
        <w:rPr>
          <w:rFonts w:ascii="宋体" w:hAnsi="宋体" w:cs="Arial"/>
          <w:kern w:val="0"/>
          <w:sz w:val="24"/>
          <w:szCs w:val="21"/>
          <w:highlight w:val="none"/>
        </w:rPr>
        <w:t>供应商须无条件配合</w:t>
      </w:r>
      <w:r>
        <w:rPr>
          <w:rFonts w:hint="eastAsia" w:ascii="宋体" w:hAnsi="宋体" w:cs="Arial"/>
          <w:kern w:val="0"/>
          <w:sz w:val="24"/>
          <w:szCs w:val="21"/>
          <w:highlight w:val="none"/>
        </w:rPr>
        <w:t>。供应商在投标报价时除了填报总价外，还须根据招标文件提供的格式填报各分项活动的价格，未按要求报价或报价超过最高限价的作无效标处理。具体分项、内容和限价如下表所示：</w:t>
      </w:r>
    </w:p>
    <w:tbl>
      <w:tblPr>
        <w:tblStyle w:val="46"/>
        <w:tblW w:w="8521" w:type="dxa"/>
        <w:tblInd w:w="92" w:type="dxa"/>
        <w:tblLayout w:type="autofit"/>
        <w:tblCellMar>
          <w:top w:w="0" w:type="dxa"/>
          <w:left w:w="108" w:type="dxa"/>
          <w:bottom w:w="0" w:type="dxa"/>
          <w:right w:w="108" w:type="dxa"/>
        </w:tblCellMar>
      </w:tblPr>
      <w:tblGrid>
        <w:gridCol w:w="660"/>
        <w:gridCol w:w="2680"/>
        <w:gridCol w:w="4047"/>
        <w:gridCol w:w="1134"/>
      </w:tblGrid>
      <w:tr>
        <w:tblPrEx>
          <w:tblCellMar>
            <w:top w:w="0" w:type="dxa"/>
            <w:left w:w="108" w:type="dxa"/>
            <w:bottom w:w="0" w:type="dxa"/>
            <w:right w:w="108" w:type="dxa"/>
          </w:tblCellMar>
        </w:tblPrEx>
        <w:trPr>
          <w:trHeight w:val="870" w:hRule="atLeast"/>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1"/>
                <w:highlight w:val="none"/>
              </w:rPr>
            </w:pPr>
          </w:p>
        </w:tc>
        <w:tc>
          <w:tcPr>
            <w:tcW w:w="26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1"/>
                <w:highlight w:val="none"/>
              </w:rPr>
            </w:pPr>
            <w:r>
              <w:rPr>
                <w:rFonts w:hint="eastAsia" w:ascii="宋体" w:hAnsi="宋体" w:cs="Arial"/>
                <w:kern w:val="0"/>
                <w:sz w:val="24"/>
                <w:szCs w:val="21"/>
                <w:highlight w:val="none"/>
              </w:rPr>
              <w:t>项目</w:t>
            </w:r>
          </w:p>
        </w:tc>
        <w:tc>
          <w:tcPr>
            <w:tcW w:w="40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1"/>
                <w:highlight w:val="none"/>
              </w:rPr>
            </w:pPr>
            <w:r>
              <w:rPr>
                <w:rFonts w:hint="eastAsia" w:ascii="宋体" w:hAnsi="宋体" w:cs="Arial"/>
                <w:kern w:val="0"/>
                <w:sz w:val="24"/>
                <w:szCs w:val="21"/>
                <w:highlight w:val="none"/>
              </w:rPr>
              <w:t>具体内容</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1"/>
                <w:highlight w:val="none"/>
              </w:rPr>
            </w:pPr>
            <w:r>
              <w:rPr>
                <w:rFonts w:hint="eastAsia" w:ascii="宋体" w:hAnsi="宋体" w:cs="Arial"/>
                <w:kern w:val="0"/>
                <w:sz w:val="24"/>
                <w:szCs w:val="21"/>
                <w:highlight w:val="none"/>
              </w:rPr>
              <w:t>最高限价（万元）</w:t>
            </w:r>
          </w:p>
        </w:tc>
      </w:tr>
      <w:tr>
        <w:tblPrEx>
          <w:tblCellMar>
            <w:top w:w="0" w:type="dxa"/>
            <w:left w:w="108" w:type="dxa"/>
            <w:bottom w:w="0" w:type="dxa"/>
            <w:right w:w="108" w:type="dxa"/>
          </w:tblCellMar>
        </w:tblPrEx>
        <w:trPr>
          <w:trHeight w:val="627" w:hRule="atLeast"/>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1"/>
                <w:highlight w:val="none"/>
              </w:rPr>
            </w:pPr>
            <w:r>
              <w:rPr>
                <w:rFonts w:ascii="宋体" w:hAnsi="宋体" w:cs="Arial"/>
                <w:kern w:val="0"/>
                <w:sz w:val="24"/>
                <w:szCs w:val="21"/>
                <w:highlight w:val="none"/>
              </w:rPr>
              <w:t>1</w:t>
            </w:r>
          </w:p>
        </w:tc>
        <w:tc>
          <w:tcPr>
            <w:tcW w:w="2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1"/>
                <w:highlight w:val="none"/>
              </w:rPr>
            </w:pPr>
            <w:r>
              <w:rPr>
                <w:rFonts w:hint="eastAsia" w:ascii="宋体" w:hAnsi="宋体" w:cs="Arial"/>
                <w:kern w:val="0"/>
                <w:sz w:val="24"/>
                <w:szCs w:val="21"/>
                <w:highlight w:val="none"/>
              </w:rPr>
              <w:t>第二十一届徐霞客开游节开幕式活动</w:t>
            </w:r>
          </w:p>
        </w:tc>
        <w:tc>
          <w:tcPr>
            <w:tcW w:w="4047" w:type="dxa"/>
            <w:tcBorders>
              <w:top w:val="nil"/>
              <w:left w:val="nil"/>
              <w:bottom w:val="single" w:color="auto" w:sz="4" w:space="0"/>
              <w:right w:val="single" w:color="auto" w:sz="4" w:space="0"/>
            </w:tcBorders>
            <w:shd w:val="clear" w:color="auto" w:fill="auto"/>
            <w:noWrap/>
            <w:vAlign w:val="center"/>
          </w:tcPr>
          <w:p>
            <w:pPr>
              <w:widowControl/>
              <w:rPr>
                <w:rFonts w:ascii="宋体" w:hAnsi="宋体" w:cs="Arial"/>
                <w:kern w:val="0"/>
                <w:sz w:val="24"/>
                <w:szCs w:val="21"/>
                <w:highlight w:val="none"/>
              </w:rPr>
            </w:pPr>
            <w:r>
              <w:rPr>
                <w:rFonts w:hint="eastAsia" w:ascii="宋体" w:hAnsi="宋体" w:cs="Arial"/>
                <w:kern w:val="0"/>
                <w:sz w:val="24"/>
                <w:szCs w:val="21"/>
                <w:highlight w:val="none"/>
              </w:rPr>
              <w:t>开幕式现场布置搭建与氛围营造、视觉设计服务、</w:t>
            </w:r>
            <w:r>
              <w:rPr>
                <w:rFonts w:hint="eastAsia" w:ascii="宋体" w:hAnsi="宋体" w:cs="Arial"/>
                <w:kern w:val="0"/>
                <w:sz w:val="24"/>
                <w:szCs w:val="21"/>
                <w:highlight w:val="none"/>
                <w:lang w:val="en-US" w:eastAsia="zh-CN"/>
              </w:rPr>
              <w:t>流程安排、</w:t>
            </w:r>
            <w:r>
              <w:rPr>
                <w:rFonts w:hint="eastAsia" w:ascii="宋体" w:hAnsi="宋体" w:cs="Arial"/>
                <w:kern w:val="0"/>
                <w:sz w:val="24"/>
                <w:szCs w:val="21"/>
                <w:highlight w:val="none"/>
              </w:rPr>
              <w:t>启动环节等相关物料制作、开幕环节等内容。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kern w:val="0"/>
                <w:sz w:val="24"/>
                <w:szCs w:val="21"/>
                <w:highlight w:val="none"/>
                <w:lang w:val="en-US" w:eastAsia="zh-CN"/>
              </w:rPr>
            </w:pPr>
            <w:r>
              <w:rPr>
                <w:rFonts w:ascii="宋体" w:hAnsi="宋体" w:cs="Arial"/>
                <w:kern w:val="0"/>
                <w:sz w:val="24"/>
                <w:szCs w:val="21"/>
                <w:highlight w:val="none"/>
              </w:rPr>
              <w:t>1</w:t>
            </w:r>
            <w:r>
              <w:rPr>
                <w:rFonts w:hint="eastAsia" w:ascii="宋体" w:hAnsi="宋体" w:cs="Arial"/>
                <w:kern w:val="0"/>
                <w:sz w:val="24"/>
                <w:szCs w:val="21"/>
                <w:highlight w:val="none"/>
                <w:lang w:val="en-US" w:eastAsia="zh-CN"/>
              </w:rPr>
              <w:t>25</w:t>
            </w:r>
          </w:p>
        </w:tc>
      </w:tr>
      <w:tr>
        <w:tblPrEx>
          <w:tblCellMar>
            <w:top w:w="0" w:type="dxa"/>
            <w:left w:w="108" w:type="dxa"/>
            <w:bottom w:w="0" w:type="dxa"/>
            <w:right w:w="108" w:type="dxa"/>
          </w:tblCellMar>
        </w:tblPrEx>
        <w:trPr>
          <w:trHeight w:val="930" w:hRule="atLeast"/>
        </w:trPr>
        <w:tc>
          <w:tcPr>
            <w:tcW w:w="738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1"/>
                <w:highlight w:val="none"/>
              </w:rPr>
            </w:pPr>
            <w:r>
              <w:rPr>
                <w:rFonts w:hint="eastAsia" w:ascii="宋体" w:hAnsi="宋体" w:cs="Arial"/>
                <w:kern w:val="0"/>
                <w:sz w:val="24"/>
                <w:szCs w:val="21"/>
                <w:highlight w:val="none"/>
              </w:rPr>
              <w:t>总计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kern w:val="0"/>
                <w:sz w:val="24"/>
                <w:szCs w:val="21"/>
                <w:highlight w:val="none"/>
                <w:lang w:val="en-US" w:eastAsia="zh-CN"/>
              </w:rPr>
            </w:pPr>
            <w:r>
              <w:rPr>
                <w:rFonts w:ascii="宋体" w:hAnsi="宋体" w:cs="Arial"/>
                <w:kern w:val="0"/>
                <w:sz w:val="24"/>
                <w:szCs w:val="21"/>
                <w:highlight w:val="none"/>
              </w:rPr>
              <w:t>1</w:t>
            </w:r>
            <w:r>
              <w:rPr>
                <w:rFonts w:hint="eastAsia" w:ascii="宋体" w:hAnsi="宋体" w:cs="Arial"/>
                <w:kern w:val="0"/>
                <w:sz w:val="24"/>
                <w:szCs w:val="21"/>
                <w:highlight w:val="none"/>
                <w:lang w:val="en-US" w:eastAsia="zh-CN"/>
              </w:rPr>
              <w:t>25</w:t>
            </w:r>
          </w:p>
        </w:tc>
      </w:tr>
    </w:tbl>
    <w:p>
      <w:pPr>
        <w:pStyle w:val="42"/>
        <w:spacing w:after="240"/>
        <w:jc w:val="both"/>
        <w:rPr>
          <w:rFonts w:ascii="Times New Roman" w:hAnsi="Times New Roman"/>
          <w:kern w:val="44"/>
          <w:highlight w:val="none"/>
        </w:rPr>
        <w:sectPr>
          <w:headerReference r:id="rId17" w:type="default"/>
          <w:pgSz w:w="11907" w:h="16840"/>
          <w:pgMar w:top="1247" w:right="1531" w:bottom="1304" w:left="1531" w:header="426" w:footer="708" w:gutter="0"/>
          <w:cols w:space="720" w:num="1"/>
          <w:docGrid w:linePitch="285" w:charSpace="0"/>
        </w:sectPr>
      </w:pPr>
    </w:p>
    <w:p>
      <w:pPr>
        <w:pStyle w:val="42"/>
        <w:spacing w:after="240"/>
        <w:jc w:val="both"/>
        <w:rPr>
          <w:rFonts w:ascii="Times New Roman" w:hAnsi="Times New Roman"/>
          <w:kern w:val="44"/>
          <w:highlight w:val="none"/>
        </w:rPr>
      </w:pPr>
    </w:p>
    <w:p>
      <w:pPr>
        <w:pStyle w:val="42"/>
        <w:spacing w:after="240"/>
        <w:rPr>
          <w:rFonts w:ascii="Times New Roman" w:hAnsi="Times New Roman"/>
          <w:kern w:val="44"/>
          <w:highlight w:val="none"/>
        </w:rPr>
      </w:pPr>
      <w:r>
        <w:rPr>
          <w:rFonts w:ascii="Times New Roman" w:hAnsi="Times New Roman"/>
          <w:kern w:val="44"/>
          <w:highlight w:val="none"/>
        </w:rPr>
        <w:t>第</w:t>
      </w:r>
      <w:r>
        <w:rPr>
          <w:rFonts w:hint="eastAsia" w:ascii="Times New Roman" w:hAnsi="Times New Roman"/>
          <w:kern w:val="44"/>
          <w:highlight w:val="none"/>
        </w:rPr>
        <w:t>六章</w:t>
      </w:r>
      <w:r>
        <w:rPr>
          <w:rFonts w:ascii="Times New Roman" w:hAnsi="Times New Roman"/>
          <w:kern w:val="44"/>
          <w:highlight w:val="none"/>
        </w:rPr>
        <w:t xml:space="preserve"> </w:t>
      </w:r>
      <w:bookmarkEnd w:id="164"/>
      <w:bookmarkEnd w:id="165"/>
      <w:bookmarkEnd w:id="166"/>
      <w:bookmarkEnd w:id="167"/>
      <w:r>
        <w:rPr>
          <w:rFonts w:hint="eastAsia" w:ascii="Times New Roman" w:hAnsi="Times New Roman"/>
          <w:kern w:val="44"/>
          <w:highlight w:val="none"/>
        </w:rPr>
        <w:t>拟签订的合同文本</w:t>
      </w:r>
    </w:p>
    <w:p>
      <w:pPr>
        <w:ind w:firstLine="336" w:firstLineChars="200"/>
        <w:jc w:val="left"/>
        <w:rPr>
          <w:rFonts w:asciiTheme="minorEastAsia" w:hAnsiTheme="minorEastAsia" w:eastAsiaTheme="minorEastAsia" w:cstheme="minorEastAsia"/>
          <w:w w:val="80"/>
          <w:szCs w:val="21"/>
          <w:highlight w:val="none"/>
        </w:rPr>
      </w:pPr>
      <w:bookmarkStart w:id="169" w:name="_Toc435088081"/>
    </w:p>
    <w:p>
      <w:pPr>
        <w:spacing w:beforeLines="350" w:line="360" w:lineRule="auto"/>
        <w:jc w:val="center"/>
        <w:rPr>
          <w:rFonts w:ascii="宋体" w:hAnsi="宋体" w:cs="Arial"/>
          <w:b/>
          <w:sz w:val="28"/>
          <w:szCs w:val="28"/>
          <w:highlight w:val="none"/>
        </w:rPr>
      </w:pPr>
      <w:r>
        <w:rPr>
          <w:rFonts w:hint="eastAsia" w:ascii="宋体" w:hAnsi="宋体" w:cs="Arial"/>
          <w:b/>
          <w:sz w:val="28"/>
          <w:szCs w:val="28"/>
          <w:highlight w:val="none"/>
          <w:u w:val="single"/>
        </w:rPr>
        <w:t xml:space="preserve"> </w:t>
      </w:r>
      <w:r>
        <w:rPr>
          <w:rFonts w:ascii="宋体" w:hAnsi="宋体" w:cs="Arial"/>
          <w:b/>
          <w:sz w:val="28"/>
          <w:szCs w:val="28"/>
          <w:highlight w:val="none"/>
          <w:u w:val="single"/>
        </w:rPr>
        <w:t xml:space="preserve">                                 </w:t>
      </w:r>
      <w:r>
        <w:rPr>
          <w:rFonts w:hint="eastAsia" w:ascii="宋体" w:hAnsi="宋体" w:cs="Arial"/>
          <w:b/>
          <w:sz w:val="28"/>
          <w:szCs w:val="28"/>
          <w:highlight w:val="none"/>
        </w:rPr>
        <w:t>项目合同</w:t>
      </w:r>
    </w:p>
    <w:p>
      <w:pPr>
        <w:spacing w:line="360" w:lineRule="auto"/>
        <w:rPr>
          <w:rFonts w:ascii="宋体" w:hAnsi="宋体" w:cs="Arial"/>
          <w:b/>
          <w:bCs/>
          <w:sz w:val="28"/>
          <w:szCs w:val="28"/>
          <w:highlight w:val="none"/>
        </w:rPr>
      </w:pPr>
    </w:p>
    <w:p>
      <w:pPr>
        <w:pStyle w:val="3"/>
        <w:rPr>
          <w:highlight w:val="none"/>
        </w:rPr>
      </w:pPr>
    </w:p>
    <w:p>
      <w:pPr>
        <w:pStyle w:val="8"/>
        <w:ind w:firstLine="0"/>
        <w:rPr>
          <w:highlight w:val="none"/>
        </w:rPr>
      </w:pPr>
    </w:p>
    <w:p>
      <w:pPr>
        <w:spacing w:line="360" w:lineRule="auto"/>
        <w:rPr>
          <w:rFonts w:ascii="宋体" w:hAnsi="宋体" w:cs="Arial"/>
          <w:b/>
          <w:bCs/>
          <w:sz w:val="28"/>
          <w:szCs w:val="28"/>
          <w:highlight w:val="none"/>
        </w:rPr>
      </w:pPr>
    </w:p>
    <w:p>
      <w:pPr>
        <w:spacing w:line="360" w:lineRule="auto"/>
        <w:ind w:firstLine="1124" w:firstLineChars="400"/>
        <w:rPr>
          <w:rFonts w:ascii="宋体" w:hAnsi="宋体" w:cs="Arial"/>
          <w:b/>
          <w:sz w:val="28"/>
          <w:szCs w:val="28"/>
          <w:highlight w:val="none"/>
        </w:rPr>
      </w:pPr>
    </w:p>
    <w:p>
      <w:pPr>
        <w:spacing w:line="360" w:lineRule="auto"/>
        <w:ind w:firstLine="1124" w:firstLineChars="400"/>
        <w:rPr>
          <w:rFonts w:ascii="宋体" w:hAnsi="宋体" w:cs="Arial"/>
          <w:b/>
          <w:sz w:val="28"/>
          <w:szCs w:val="28"/>
          <w:highlight w:val="none"/>
        </w:rPr>
      </w:pPr>
      <w:r>
        <w:rPr>
          <w:rFonts w:hint="eastAsia" w:ascii="宋体" w:hAnsi="宋体" w:cs="Arial"/>
          <w:b/>
          <w:sz w:val="28"/>
          <w:szCs w:val="28"/>
          <w:highlight w:val="none"/>
        </w:rPr>
        <w:t>委托方（甲方）：</w:t>
      </w:r>
    </w:p>
    <w:p>
      <w:pPr>
        <w:spacing w:line="360" w:lineRule="auto"/>
        <w:ind w:firstLine="1124" w:firstLineChars="400"/>
        <w:rPr>
          <w:rFonts w:ascii="宋体" w:hAnsi="宋体" w:cs="Arial"/>
          <w:b/>
          <w:sz w:val="28"/>
          <w:szCs w:val="28"/>
          <w:highlight w:val="none"/>
        </w:rPr>
      </w:pPr>
    </w:p>
    <w:p>
      <w:pPr>
        <w:spacing w:line="360" w:lineRule="auto"/>
        <w:ind w:firstLine="1124" w:firstLineChars="400"/>
        <w:rPr>
          <w:rFonts w:ascii="宋体" w:hAnsi="宋体" w:cs="Arial"/>
          <w:b/>
          <w:sz w:val="28"/>
          <w:szCs w:val="28"/>
          <w:highlight w:val="none"/>
        </w:rPr>
      </w:pPr>
    </w:p>
    <w:p>
      <w:pPr>
        <w:spacing w:line="360" w:lineRule="auto"/>
        <w:ind w:firstLine="1124" w:firstLineChars="400"/>
        <w:rPr>
          <w:rFonts w:ascii="宋体" w:hAnsi="宋体" w:cs="Arial"/>
          <w:b/>
          <w:sz w:val="28"/>
          <w:szCs w:val="28"/>
          <w:highlight w:val="none"/>
        </w:rPr>
      </w:pPr>
      <w:r>
        <w:rPr>
          <w:rFonts w:hint="eastAsia" w:ascii="宋体" w:hAnsi="宋体" w:cs="Arial"/>
          <w:b/>
          <w:sz w:val="28"/>
          <w:szCs w:val="28"/>
          <w:highlight w:val="none"/>
        </w:rPr>
        <w:t>受托方（乙方）：</w:t>
      </w:r>
    </w:p>
    <w:p>
      <w:pPr>
        <w:spacing w:line="360" w:lineRule="auto"/>
        <w:ind w:firstLine="1124" w:firstLineChars="400"/>
        <w:rPr>
          <w:rFonts w:ascii="宋体" w:hAnsi="宋体" w:cs="Arial"/>
          <w:b/>
          <w:sz w:val="28"/>
          <w:szCs w:val="28"/>
          <w:highlight w:val="none"/>
        </w:rPr>
      </w:pPr>
      <w:r>
        <w:rPr>
          <w:rFonts w:hint="eastAsia" w:ascii="宋体" w:hAnsi="宋体" w:cs="Arial"/>
          <w:b/>
          <w:sz w:val="28"/>
          <w:szCs w:val="28"/>
          <w:highlight w:val="none"/>
        </w:rPr>
        <w:t>本合同于</w:t>
      </w:r>
      <w:r>
        <w:rPr>
          <w:rFonts w:ascii="宋体" w:hAnsi="宋体" w:cs="Arial"/>
          <w:b/>
          <w:sz w:val="28"/>
          <w:szCs w:val="28"/>
          <w:highlight w:val="none"/>
          <w:u w:val="single"/>
        </w:rPr>
        <w:t xml:space="preserve">       </w:t>
      </w:r>
      <w:r>
        <w:rPr>
          <w:rFonts w:hint="eastAsia" w:ascii="宋体" w:hAnsi="宋体" w:cs="Arial"/>
          <w:b/>
          <w:sz w:val="28"/>
          <w:szCs w:val="28"/>
          <w:highlight w:val="none"/>
        </w:rPr>
        <w:t>年</w:t>
      </w:r>
      <w:r>
        <w:rPr>
          <w:rFonts w:ascii="宋体" w:hAnsi="宋体" w:cs="Arial"/>
          <w:b/>
          <w:sz w:val="28"/>
          <w:szCs w:val="28"/>
          <w:highlight w:val="none"/>
          <w:u w:val="single"/>
        </w:rPr>
        <w:t xml:space="preserve">  </w:t>
      </w:r>
      <w:r>
        <w:rPr>
          <w:rFonts w:hint="eastAsia" w:ascii="宋体" w:hAnsi="宋体" w:cs="Arial"/>
          <w:b/>
          <w:sz w:val="28"/>
          <w:szCs w:val="28"/>
          <w:highlight w:val="none"/>
          <w:u w:val="single"/>
        </w:rPr>
        <w:t xml:space="preserve"> </w:t>
      </w:r>
      <w:r>
        <w:rPr>
          <w:rFonts w:ascii="宋体" w:hAnsi="宋体" w:cs="Arial"/>
          <w:b/>
          <w:sz w:val="28"/>
          <w:szCs w:val="28"/>
          <w:highlight w:val="none"/>
          <w:u w:val="single"/>
        </w:rPr>
        <w:t xml:space="preserve">  </w:t>
      </w:r>
      <w:r>
        <w:rPr>
          <w:rFonts w:hint="eastAsia" w:ascii="宋体" w:hAnsi="宋体" w:cs="Arial"/>
          <w:b/>
          <w:sz w:val="28"/>
          <w:szCs w:val="28"/>
          <w:highlight w:val="none"/>
        </w:rPr>
        <w:t>月</w:t>
      </w:r>
      <w:r>
        <w:rPr>
          <w:rFonts w:ascii="宋体" w:hAnsi="宋体" w:cs="Arial"/>
          <w:b/>
          <w:sz w:val="28"/>
          <w:szCs w:val="28"/>
          <w:highlight w:val="none"/>
          <w:u w:val="single"/>
        </w:rPr>
        <w:t xml:space="preserve">     </w:t>
      </w:r>
      <w:r>
        <w:rPr>
          <w:rFonts w:hint="eastAsia" w:ascii="宋体" w:hAnsi="宋体" w:cs="Arial"/>
          <w:b/>
          <w:sz w:val="28"/>
          <w:szCs w:val="28"/>
          <w:highlight w:val="none"/>
        </w:rPr>
        <w:t>日签订</w:t>
      </w:r>
    </w:p>
    <w:p>
      <w:pPr>
        <w:widowControl/>
        <w:shd w:val="clear" w:color="auto" w:fill="FFFFFF"/>
        <w:spacing w:before="100" w:beforeAutospacing="1" w:after="100" w:afterAutospacing="1" w:line="360" w:lineRule="auto"/>
        <w:jc w:val="left"/>
        <w:outlineLvl w:val="0"/>
        <w:rPr>
          <w:rFonts w:ascii="宋体" w:hAnsi="宋体" w:cs="宋体"/>
          <w:b/>
          <w:szCs w:val="21"/>
          <w:highlight w:val="none"/>
        </w:rPr>
      </w:pPr>
    </w:p>
    <w:p>
      <w:pPr>
        <w:widowControl/>
        <w:shd w:val="clear" w:color="auto" w:fill="FFFFFF"/>
        <w:spacing w:before="100" w:beforeAutospacing="1" w:after="100" w:afterAutospacing="1" w:line="360" w:lineRule="auto"/>
        <w:jc w:val="left"/>
        <w:outlineLvl w:val="0"/>
        <w:rPr>
          <w:rFonts w:ascii="宋体" w:hAnsi="宋体" w:cs="宋体"/>
          <w:b/>
          <w:szCs w:val="21"/>
          <w:highlight w:val="none"/>
        </w:rPr>
      </w:pPr>
    </w:p>
    <w:p>
      <w:pPr>
        <w:widowControl/>
        <w:shd w:val="clear" w:color="auto" w:fill="FFFFFF"/>
        <w:spacing w:before="100" w:beforeAutospacing="1" w:after="100" w:afterAutospacing="1" w:line="360" w:lineRule="auto"/>
        <w:jc w:val="left"/>
        <w:outlineLvl w:val="0"/>
        <w:rPr>
          <w:rFonts w:ascii="宋体" w:hAnsi="宋体" w:cs="宋体"/>
          <w:b/>
          <w:szCs w:val="21"/>
          <w:highlight w:val="none"/>
        </w:rPr>
      </w:pPr>
    </w:p>
    <w:p>
      <w:pPr>
        <w:widowControl/>
        <w:shd w:val="clear" w:color="auto" w:fill="FFFFFF"/>
        <w:spacing w:before="100" w:beforeAutospacing="1" w:after="100" w:afterAutospacing="1" w:line="360" w:lineRule="auto"/>
        <w:jc w:val="left"/>
        <w:outlineLvl w:val="0"/>
        <w:rPr>
          <w:rFonts w:ascii="宋体" w:hAnsi="宋体" w:cs="宋体"/>
          <w:b/>
          <w:szCs w:val="21"/>
          <w:highlight w:val="none"/>
        </w:rPr>
      </w:pPr>
    </w:p>
    <w:p>
      <w:pPr>
        <w:widowControl/>
        <w:shd w:val="clear" w:color="auto" w:fill="FFFFFF"/>
        <w:spacing w:before="100" w:beforeAutospacing="1" w:after="100" w:afterAutospacing="1" w:line="360" w:lineRule="auto"/>
        <w:jc w:val="left"/>
        <w:outlineLvl w:val="0"/>
        <w:rPr>
          <w:rFonts w:ascii="宋体" w:hAnsi="宋体" w:cs="宋体"/>
          <w:b/>
          <w:szCs w:val="21"/>
          <w:highlight w:val="none"/>
        </w:rPr>
      </w:pPr>
    </w:p>
    <w:p>
      <w:pPr>
        <w:widowControl/>
        <w:shd w:val="clear" w:color="auto" w:fill="FFFFFF"/>
        <w:spacing w:before="100" w:beforeAutospacing="1" w:after="100" w:afterAutospacing="1" w:line="360" w:lineRule="auto"/>
        <w:jc w:val="left"/>
        <w:outlineLvl w:val="0"/>
        <w:rPr>
          <w:rFonts w:ascii="宋体" w:hAnsi="宋体" w:cs="宋体"/>
          <w:b/>
          <w:szCs w:val="21"/>
          <w:highlight w:val="none"/>
        </w:rPr>
      </w:pPr>
    </w:p>
    <w:p>
      <w:pPr>
        <w:widowControl/>
        <w:shd w:val="clear" w:color="auto" w:fill="FFFFFF"/>
        <w:spacing w:before="100" w:beforeAutospacing="1" w:after="100" w:afterAutospacing="1" w:line="360" w:lineRule="auto"/>
        <w:jc w:val="left"/>
        <w:outlineLvl w:val="0"/>
        <w:rPr>
          <w:rFonts w:ascii="宋体" w:hAnsi="宋体" w:cs="宋体"/>
          <w:b/>
          <w:szCs w:val="21"/>
          <w:highlight w:val="none"/>
        </w:rPr>
      </w:pPr>
    </w:p>
    <w:p>
      <w:pPr>
        <w:widowControl/>
        <w:shd w:val="clear" w:color="auto" w:fill="FFFFFF"/>
        <w:spacing w:before="100" w:beforeAutospacing="1" w:after="100" w:afterAutospacing="1" w:line="360" w:lineRule="auto"/>
        <w:ind w:firstLine="632" w:firstLineChars="300"/>
        <w:jc w:val="left"/>
        <w:outlineLvl w:val="0"/>
        <w:rPr>
          <w:rFonts w:ascii="宋体" w:hAnsi="宋体" w:cs="宋体"/>
          <w:b/>
          <w:szCs w:val="21"/>
          <w:highlight w:val="none"/>
        </w:rPr>
      </w:pPr>
      <w:bookmarkStart w:id="170" w:name="_Toc55566331"/>
      <w:r>
        <w:rPr>
          <w:rFonts w:hint="eastAsia" w:ascii="宋体" w:hAnsi="宋体" w:cs="宋体"/>
          <w:b/>
          <w:szCs w:val="21"/>
          <w:highlight w:val="none"/>
        </w:rPr>
        <w:t xml:space="preserve">因工作需要，甲方委托乙方提供 </w:t>
      </w:r>
      <w:r>
        <w:rPr>
          <w:rFonts w:hint="eastAsia" w:ascii="宋体" w:hAnsi="宋体" w:cs="宋体"/>
          <w:b/>
          <w:szCs w:val="21"/>
          <w:highlight w:val="none"/>
          <w:u w:val="single"/>
        </w:rPr>
        <w:t xml:space="preserve"> </w:t>
      </w:r>
      <w:r>
        <w:rPr>
          <w:rFonts w:ascii="宋体" w:hAnsi="宋体" w:cs="宋体"/>
          <w:b/>
          <w:szCs w:val="21"/>
          <w:highlight w:val="none"/>
          <w:u w:val="single"/>
        </w:rPr>
        <w:t xml:space="preserve">                     </w:t>
      </w:r>
      <w:r>
        <w:rPr>
          <w:rFonts w:hint="eastAsia" w:ascii="宋体" w:hAnsi="宋体" w:cs="宋体"/>
          <w:b/>
          <w:szCs w:val="21"/>
          <w:highlight w:val="none"/>
        </w:rPr>
        <w:t>服务项目 （以下简称“项目”）服务。甲乙双方在平等自愿的基础上，根据法律规定并经充分协商，在宁波市宁海县订立本合同，以遵照履行：</w:t>
      </w:r>
      <w:bookmarkEnd w:id="170"/>
    </w:p>
    <w:p>
      <w:pPr>
        <w:spacing w:beforeLines="50" w:line="360" w:lineRule="auto"/>
        <w:rPr>
          <w:rFonts w:ascii="宋体" w:hAnsi="宋体" w:cs="宋体"/>
          <w:b/>
          <w:kern w:val="0"/>
          <w:szCs w:val="21"/>
          <w:highlight w:val="none"/>
        </w:rPr>
      </w:pPr>
      <w:r>
        <w:rPr>
          <w:rFonts w:hint="eastAsia" w:ascii="宋体" w:hAnsi="宋体" w:cs="宋体"/>
          <w:b/>
          <w:kern w:val="0"/>
          <w:szCs w:val="21"/>
          <w:highlight w:val="none"/>
        </w:rPr>
        <w:t>一、主要服务内容</w:t>
      </w:r>
    </w:p>
    <w:p>
      <w:pPr>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乙方在深入了解项目性质、所处阶段及其他各种因素前提下，提供</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rPr>
        <w:t>项目</w:t>
      </w:r>
      <w:r>
        <w:rPr>
          <w:rFonts w:hint="eastAsia" w:ascii="宋体" w:hAnsi="宋体" w:cs="宋体"/>
          <w:kern w:val="0"/>
          <w:szCs w:val="21"/>
          <w:highlight w:val="none"/>
        </w:rPr>
        <w:t>服务，内容主要包括</w:t>
      </w:r>
      <w:r>
        <w:rPr>
          <w:rFonts w:hint="eastAsia" w:ascii="宋体" w:hAnsi="宋体" w:cs="宋体"/>
          <w:kern w:val="0"/>
          <w:szCs w:val="21"/>
          <w:highlight w:val="none"/>
          <w:u w:val="single"/>
        </w:rPr>
        <w:t xml:space="preserve">  </w:t>
      </w:r>
      <w:r>
        <w:rPr>
          <w:rFonts w:ascii="宋体" w:hAnsi="宋体" w:cs="宋体"/>
          <w:kern w:val="0"/>
          <w:szCs w:val="21"/>
          <w:highlight w:val="none"/>
          <w:u w:val="single"/>
        </w:rPr>
        <w:t xml:space="preserve">                    </w:t>
      </w:r>
      <w:r>
        <w:rPr>
          <w:rFonts w:hint="eastAsia" w:ascii="宋体" w:hAnsi="宋体" w:cs="宋体"/>
          <w:kern w:val="0"/>
          <w:szCs w:val="21"/>
          <w:highlight w:val="none"/>
          <w:u w:val="single"/>
        </w:rPr>
        <w:t>工作</w:t>
      </w:r>
      <w:r>
        <w:rPr>
          <w:rFonts w:hint="eastAsia" w:ascii="宋体" w:hAnsi="宋体"/>
          <w:kern w:val="0"/>
          <w:szCs w:val="21"/>
          <w:highlight w:val="none"/>
        </w:rPr>
        <w:t>；</w:t>
      </w:r>
      <w:r>
        <w:rPr>
          <w:rFonts w:hint="eastAsia" w:ascii="宋体" w:hAnsi="宋体" w:cs="宋体"/>
          <w:kern w:val="0"/>
          <w:szCs w:val="21"/>
          <w:highlight w:val="none"/>
        </w:rPr>
        <w:t>具体工作框架详见附件一。</w:t>
      </w:r>
      <w:r>
        <w:rPr>
          <w:rFonts w:ascii="宋体" w:hAnsi="宋体" w:cs="宋体"/>
          <w:kern w:val="0"/>
          <w:szCs w:val="21"/>
          <w:highlight w:val="none"/>
        </w:rPr>
        <w:t xml:space="preserve"> </w:t>
      </w:r>
    </w:p>
    <w:p>
      <w:pPr>
        <w:spacing w:beforeLines="50" w:line="360" w:lineRule="auto"/>
        <w:rPr>
          <w:rFonts w:ascii="宋体" w:hAnsi="宋体" w:cs="宋体"/>
          <w:b/>
          <w:kern w:val="0"/>
          <w:szCs w:val="21"/>
          <w:highlight w:val="none"/>
        </w:rPr>
      </w:pPr>
      <w:r>
        <w:rPr>
          <w:rFonts w:hint="eastAsia" w:ascii="宋体" w:hAnsi="宋体" w:cs="宋体"/>
          <w:b/>
          <w:kern w:val="0"/>
          <w:szCs w:val="21"/>
          <w:highlight w:val="none"/>
        </w:rPr>
        <w:t>二、工作成果与服务周期</w:t>
      </w:r>
    </w:p>
    <w:tbl>
      <w:tblPr>
        <w:tblStyle w:val="46"/>
        <w:tblW w:w="8948"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74"/>
        <w:gridCol w:w="2871"/>
        <w:gridCol w:w="2585"/>
        <w:gridCol w:w="138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974" w:type="dxa"/>
            <w:vAlign w:val="center"/>
          </w:tcPr>
          <w:p>
            <w:pPr>
              <w:pStyle w:val="236"/>
              <w:autoSpaceDE w:val="0"/>
              <w:autoSpaceDN w:val="0"/>
              <w:spacing w:after="120"/>
              <w:ind w:left="262" w:right="250"/>
              <w:jc w:val="center"/>
              <w:rPr>
                <w:b/>
                <w:szCs w:val="21"/>
                <w:highlight w:val="none"/>
              </w:rPr>
            </w:pPr>
            <w:r>
              <w:rPr>
                <w:rFonts w:hint="eastAsia"/>
                <w:b/>
                <w:szCs w:val="21"/>
                <w:highlight w:val="none"/>
              </w:rPr>
              <w:t>序号</w:t>
            </w:r>
          </w:p>
        </w:tc>
        <w:tc>
          <w:tcPr>
            <w:tcW w:w="2871" w:type="dxa"/>
            <w:tcBorders>
              <w:bottom w:val="single" w:color="000000" w:sz="4" w:space="0"/>
            </w:tcBorders>
            <w:vAlign w:val="center"/>
          </w:tcPr>
          <w:p>
            <w:pPr>
              <w:pStyle w:val="236"/>
              <w:autoSpaceDE w:val="0"/>
              <w:autoSpaceDN w:val="0"/>
              <w:spacing w:after="120"/>
              <w:ind w:left="185" w:right="176"/>
              <w:jc w:val="center"/>
              <w:rPr>
                <w:b/>
                <w:szCs w:val="21"/>
                <w:highlight w:val="none"/>
              </w:rPr>
            </w:pPr>
            <w:r>
              <w:rPr>
                <w:rFonts w:hint="eastAsia"/>
                <w:b/>
                <w:szCs w:val="21"/>
                <w:highlight w:val="none"/>
              </w:rPr>
              <w:t>名称</w:t>
            </w:r>
          </w:p>
        </w:tc>
        <w:tc>
          <w:tcPr>
            <w:tcW w:w="2585" w:type="dxa"/>
            <w:tcBorders>
              <w:bottom w:val="single" w:color="000000" w:sz="4" w:space="0"/>
            </w:tcBorders>
            <w:vAlign w:val="center"/>
          </w:tcPr>
          <w:p>
            <w:pPr>
              <w:pStyle w:val="236"/>
              <w:autoSpaceDE w:val="0"/>
              <w:autoSpaceDN w:val="0"/>
              <w:spacing w:after="120"/>
              <w:ind w:left="185" w:right="176"/>
              <w:jc w:val="center"/>
              <w:rPr>
                <w:b/>
                <w:szCs w:val="21"/>
                <w:highlight w:val="none"/>
              </w:rPr>
            </w:pPr>
            <w:r>
              <w:rPr>
                <w:rFonts w:hint="eastAsia"/>
                <w:b/>
                <w:szCs w:val="21"/>
                <w:highlight w:val="none"/>
              </w:rPr>
              <w:t>内容和要求</w:t>
            </w:r>
          </w:p>
        </w:tc>
        <w:tc>
          <w:tcPr>
            <w:tcW w:w="1384" w:type="dxa"/>
            <w:tcBorders>
              <w:bottom w:val="single" w:color="000000" w:sz="4" w:space="0"/>
            </w:tcBorders>
            <w:vAlign w:val="center"/>
          </w:tcPr>
          <w:p>
            <w:pPr>
              <w:pStyle w:val="236"/>
              <w:autoSpaceDE w:val="0"/>
              <w:autoSpaceDN w:val="0"/>
              <w:spacing w:after="120"/>
              <w:ind w:left="185" w:right="176"/>
              <w:jc w:val="center"/>
              <w:rPr>
                <w:b/>
                <w:szCs w:val="21"/>
                <w:highlight w:val="none"/>
              </w:rPr>
            </w:pPr>
            <w:r>
              <w:rPr>
                <w:rFonts w:hint="eastAsia"/>
                <w:b/>
                <w:szCs w:val="21"/>
                <w:highlight w:val="none"/>
              </w:rPr>
              <w:t>服务</w:t>
            </w:r>
            <w:r>
              <w:rPr>
                <w:b/>
                <w:szCs w:val="21"/>
                <w:highlight w:val="none"/>
              </w:rPr>
              <w:t>周期</w:t>
            </w:r>
          </w:p>
        </w:tc>
        <w:tc>
          <w:tcPr>
            <w:tcW w:w="1134" w:type="dxa"/>
            <w:tcBorders>
              <w:bottom w:val="single" w:color="000000" w:sz="4" w:space="0"/>
            </w:tcBorders>
            <w:vAlign w:val="center"/>
          </w:tcPr>
          <w:p>
            <w:pPr>
              <w:pStyle w:val="236"/>
              <w:autoSpaceDE w:val="0"/>
              <w:autoSpaceDN w:val="0"/>
              <w:spacing w:after="120"/>
              <w:ind w:left="185" w:right="176"/>
              <w:jc w:val="center"/>
              <w:rPr>
                <w:b/>
                <w:szCs w:val="21"/>
                <w:highlight w:val="none"/>
              </w:rPr>
            </w:pPr>
            <w:r>
              <w:rPr>
                <w:rFonts w:hint="eastAsia"/>
                <w:b/>
                <w:szCs w:val="21"/>
                <w:highlight w:val="none"/>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74" w:type="dxa"/>
            <w:vAlign w:val="center"/>
          </w:tcPr>
          <w:p>
            <w:pPr>
              <w:pStyle w:val="236"/>
              <w:autoSpaceDE w:val="0"/>
              <w:autoSpaceDN w:val="0"/>
              <w:spacing w:after="120"/>
              <w:jc w:val="center"/>
              <w:rPr>
                <w:szCs w:val="21"/>
                <w:highlight w:val="none"/>
              </w:rPr>
            </w:pPr>
            <w:r>
              <w:rPr>
                <w:rFonts w:hint="eastAsia"/>
                <w:szCs w:val="21"/>
                <w:highlight w:val="none"/>
              </w:rPr>
              <w:t>1</w:t>
            </w:r>
          </w:p>
        </w:tc>
        <w:tc>
          <w:tcPr>
            <w:tcW w:w="2871" w:type="dxa"/>
          </w:tcPr>
          <w:p>
            <w:pPr>
              <w:pStyle w:val="236"/>
              <w:tabs>
                <w:tab w:val="left" w:pos="527"/>
              </w:tabs>
              <w:autoSpaceDE w:val="0"/>
              <w:autoSpaceDN w:val="0"/>
              <w:spacing w:before="87" w:after="120"/>
              <w:ind w:left="107"/>
              <w:rPr>
                <w:szCs w:val="21"/>
                <w:highlight w:val="none"/>
              </w:rPr>
            </w:pPr>
          </w:p>
        </w:tc>
        <w:tc>
          <w:tcPr>
            <w:tcW w:w="2585" w:type="dxa"/>
            <w:vAlign w:val="center"/>
          </w:tcPr>
          <w:p>
            <w:pPr>
              <w:pStyle w:val="236"/>
              <w:autoSpaceDE w:val="0"/>
              <w:autoSpaceDN w:val="0"/>
              <w:spacing w:after="120"/>
              <w:rPr>
                <w:szCs w:val="21"/>
                <w:highlight w:val="none"/>
              </w:rPr>
            </w:pPr>
          </w:p>
        </w:tc>
        <w:tc>
          <w:tcPr>
            <w:tcW w:w="1384" w:type="dxa"/>
            <w:vAlign w:val="center"/>
          </w:tcPr>
          <w:p>
            <w:pPr>
              <w:pStyle w:val="236"/>
              <w:autoSpaceDE w:val="0"/>
              <w:autoSpaceDN w:val="0"/>
              <w:spacing w:before="23" w:after="120"/>
              <w:ind w:left="185" w:right="176"/>
              <w:jc w:val="center"/>
              <w:rPr>
                <w:szCs w:val="21"/>
                <w:highlight w:val="none"/>
              </w:rPr>
            </w:pPr>
          </w:p>
        </w:tc>
        <w:tc>
          <w:tcPr>
            <w:tcW w:w="1134" w:type="dxa"/>
          </w:tcPr>
          <w:p>
            <w:pPr>
              <w:pStyle w:val="236"/>
              <w:autoSpaceDE w:val="0"/>
              <w:autoSpaceDN w:val="0"/>
              <w:spacing w:before="23" w:after="120"/>
              <w:ind w:left="185" w:right="176"/>
              <w:jc w:val="center"/>
              <w:rPr>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74" w:type="dxa"/>
            <w:vAlign w:val="center"/>
          </w:tcPr>
          <w:p>
            <w:pPr>
              <w:pStyle w:val="236"/>
              <w:autoSpaceDE w:val="0"/>
              <w:autoSpaceDN w:val="0"/>
              <w:spacing w:after="120"/>
              <w:jc w:val="center"/>
              <w:rPr>
                <w:szCs w:val="21"/>
                <w:highlight w:val="none"/>
              </w:rPr>
            </w:pPr>
            <w:r>
              <w:rPr>
                <w:rFonts w:hint="eastAsia"/>
                <w:szCs w:val="21"/>
                <w:highlight w:val="none"/>
              </w:rPr>
              <w:t>2</w:t>
            </w:r>
          </w:p>
        </w:tc>
        <w:tc>
          <w:tcPr>
            <w:tcW w:w="2871" w:type="dxa"/>
          </w:tcPr>
          <w:p>
            <w:pPr>
              <w:pStyle w:val="236"/>
              <w:tabs>
                <w:tab w:val="left" w:pos="527"/>
              </w:tabs>
              <w:autoSpaceDE w:val="0"/>
              <w:autoSpaceDN w:val="0"/>
              <w:spacing w:before="87" w:after="120"/>
              <w:ind w:left="107"/>
              <w:jc w:val="left"/>
              <w:rPr>
                <w:szCs w:val="21"/>
                <w:highlight w:val="none"/>
              </w:rPr>
            </w:pPr>
          </w:p>
        </w:tc>
        <w:tc>
          <w:tcPr>
            <w:tcW w:w="2585" w:type="dxa"/>
            <w:vAlign w:val="center"/>
          </w:tcPr>
          <w:p>
            <w:pPr>
              <w:pStyle w:val="236"/>
              <w:autoSpaceDE w:val="0"/>
              <w:autoSpaceDN w:val="0"/>
              <w:spacing w:after="120"/>
              <w:rPr>
                <w:szCs w:val="21"/>
                <w:highlight w:val="none"/>
              </w:rPr>
            </w:pPr>
          </w:p>
        </w:tc>
        <w:tc>
          <w:tcPr>
            <w:tcW w:w="1384" w:type="dxa"/>
            <w:vAlign w:val="center"/>
          </w:tcPr>
          <w:p>
            <w:pPr>
              <w:pStyle w:val="236"/>
              <w:autoSpaceDE w:val="0"/>
              <w:autoSpaceDN w:val="0"/>
              <w:spacing w:before="23" w:after="120"/>
              <w:ind w:left="185" w:right="176"/>
              <w:jc w:val="center"/>
              <w:rPr>
                <w:szCs w:val="21"/>
                <w:highlight w:val="none"/>
              </w:rPr>
            </w:pPr>
          </w:p>
        </w:tc>
        <w:tc>
          <w:tcPr>
            <w:tcW w:w="1134" w:type="dxa"/>
          </w:tcPr>
          <w:p>
            <w:pPr>
              <w:pStyle w:val="236"/>
              <w:autoSpaceDE w:val="0"/>
              <w:autoSpaceDN w:val="0"/>
              <w:spacing w:before="23" w:after="120"/>
              <w:ind w:left="185" w:right="176"/>
              <w:jc w:val="center"/>
              <w:rPr>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74" w:type="dxa"/>
            <w:vAlign w:val="center"/>
          </w:tcPr>
          <w:p>
            <w:pPr>
              <w:pStyle w:val="236"/>
              <w:autoSpaceDE w:val="0"/>
              <w:autoSpaceDN w:val="0"/>
              <w:spacing w:after="120"/>
              <w:jc w:val="center"/>
              <w:rPr>
                <w:szCs w:val="21"/>
                <w:highlight w:val="none"/>
              </w:rPr>
            </w:pPr>
            <w:r>
              <w:rPr>
                <w:rFonts w:hint="eastAsia"/>
                <w:szCs w:val="21"/>
                <w:highlight w:val="none"/>
              </w:rPr>
              <w:t>3</w:t>
            </w:r>
          </w:p>
        </w:tc>
        <w:tc>
          <w:tcPr>
            <w:tcW w:w="2871" w:type="dxa"/>
          </w:tcPr>
          <w:p>
            <w:pPr>
              <w:pStyle w:val="236"/>
              <w:tabs>
                <w:tab w:val="left" w:pos="767"/>
              </w:tabs>
              <w:autoSpaceDE w:val="0"/>
              <w:autoSpaceDN w:val="0"/>
              <w:spacing w:before="87" w:after="120"/>
              <w:ind w:left="107"/>
              <w:jc w:val="left"/>
              <w:rPr>
                <w:szCs w:val="21"/>
                <w:highlight w:val="none"/>
              </w:rPr>
            </w:pPr>
          </w:p>
        </w:tc>
        <w:tc>
          <w:tcPr>
            <w:tcW w:w="2585" w:type="dxa"/>
            <w:vAlign w:val="center"/>
          </w:tcPr>
          <w:p>
            <w:pPr>
              <w:pStyle w:val="236"/>
              <w:autoSpaceDE w:val="0"/>
              <w:autoSpaceDN w:val="0"/>
              <w:spacing w:after="120"/>
              <w:rPr>
                <w:szCs w:val="21"/>
                <w:highlight w:val="none"/>
              </w:rPr>
            </w:pPr>
          </w:p>
        </w:tc>
        <w:tc>
          <w:tcPr>
            <w:tcW w:w="1384" w:type="dxa"/>
            <w:vAlign w:val="center"/>
          </w:tcPr>
          <w:p>
            <w:pPr>
              <w:pStyle w:val="236"/>
              <w:autoSpaceDE w:val="0"/>
              <w:autoSpaceDN w:val="0"/>
              <w:spacing w:before="23" w:after="120"/>
              <w:ind w:left="185" w:right="176"/>
              <w:jc w:val="center"/>
              <w:rPr>
                <w:szCs w:val="21"/>
                <w:highlight w:val="none"/>
              </w:rPr>
            </w:pPr>
          </w:p>
        </w:tc>
        <w:tc>
          <w:tcPr>
            <w:tcW w:w="1134" w:type="dxa"/>
          </w:tcPr>
          <w:p>
            <w:pPr>
              <w:pStyle w:val="236"/>
              <w:autoSpaceDE w:val="0"/>
              <w:autoSpaceDN w:val="0"/>
              <w:spacing w:before="23" w:after="120"/>
              <w:ind w:left="185" w:right="176"/>
              <w:jc w:val="center"/>
              <w:rPr>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74" w:type="dxa"/>
            <w:vAlign w:val="center"/>
          </w:tcPr>
          <w:p>
            <w:pPr>
              <w:pStyle w:val="236"/>
              <w:autoSpaceDE w:val="0"/>
              <w:autoSpaceDN w:val="0"/>
              <w:spacing w:after="120"/>
              <w:jc w:val="center"/>
              <w:rPr>
                <w:szCs w:val="21"/>
                <w:highlight w:val="none"/>
              </w:rPr>
            </w:pPr>
            <w:r>
              <w:rPr>
                <w:rFonts w:hint="eastAsia"/>
                <w:szCs w:val="21"/>
                <w:highlight w:val="none"/>
              </w:rPr>
              <w:t>4</w:t>
            </w:r>
          </w:p>
        </w:tc>
        <w:tc>
          <w:tcPr>
            <w:tcW w:w="2871" w:type="dxa"/>
          </w:tcPr>
          <w:p>
            <w:pPr>
              <w:pStyle w:val="236"/>
              <w:tabs>
                <w:tab w:val="left" w:pos="527"/>
              </w:tabs>
              <w:autoSpaceDE w:val="0"/>
              <w:autoSpaceDN w:val="0"/>
              <w:spacing w:before="87" w:after="120"/>
              <w:ind w:left="107"/>
              <w:jc w:val="left"/>
              <w:rPr>
                <w:szCs w:val="21"/>
                <w:highlight w:val="none"/>
              </w:rPr>
            </w:pPr>
          </w:p>
        </w:tc>
        <w:tc>
          <w:tcPr>
            <w:tcW w:w="2585" w:type="dxa"/>
            <w:vAlign w:val="center"/>
          </w:tcPr>
          <w:p>
            <w:pPr>
              <w:pStyle w:val="236"/>
              <w:autoSpaceDE w:val="0"/>
              <w:autoSpaceDN w:val="0"/>
              <w:spacing w:after="120"/>
              <w:rPr>
                <w:szCs w:val="21"/>
                <w:highlight w:val="none"/>
              </w:rPr>
            </w:pPr>
          </w:p>
        </w:tc>
        <w:tc>
          <w:tcPr>
            <w:tcW w:w="1384" w:type="dxa"/>
            <w:vAlign w:val="center"/>
          </w:tcPr>
          <w:p>
            <w:pPr>
              <w:pStyle w:val="236"/>
              <w:autoSpaceDE w:val="0"/>
              <w:autoSpaceDN w:val="0"/>
              <w:spacing w:before="23" w:after="120"/>
              <w:ind w:left="185" w:right="176"/>
              <w:jc w:val="center"/>
              <w:rPr>
                <w:szCs w:val="21"/>
                <w:highlight w:val="none"/>
              </w:rPr>
            </w:pPr>
          </w:p>
        </w:tc>
        <w:tc>
          <w:tcPr>
            <w:tcW w:w="1134" w:type="dxa"/>
          </w:tcPr>
          <w:p>
            <w:pPr>
              <w:pStyle w:val="236"/>
              <w:autoSpaceDE w:val="0"/>
              <w:autoSpaceDN w:val="0"/>
              <w:spacing w:before="23" w:after="120"/>
              <w:ind w:left="185" w:right="176"/>
              <w:jc w:val="center"/>
              <w:rPr>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74" w:type="dxa"/>
            <w:vAlign w:val="center"/>
          </w:tcPr>
          <w:p>
            <w:pPr>
              <w:pStyle w:val="236"/>
              <w:autoSpaceDE w:val="0"/>
              <w:autoSpaceDN w:val="0"/>
              <w:spacing w:after="120"/>
              <w:jc w:val="center"/>
              <w:rPr>
                <w:szCs w:val="21"/>
                <w:highlight w:val="none"/>
              </w:rPr>
            </w:pPr>
            <w:r>
              <w:rPr>
                <w:rFonts w:hint="eastAsia"/>
                <w:szCs w:val="21"/>
                <w:highlight w:val="none"/>
              </w:rPr>
              <w:t>5</w:t>
            </w:r>
          </w:p>
        </w:tc>
        <w:tc>
          <w:tcPr>
            <w:tcW w:w="2871" w:type="dxa"/>
          </w:tcPr>
          <w:p>
            <w:pPr>
              <w:pStyle w:val="236"/>
              <w:tabs>
                <w:tab w:val="left" w:pos="527"/>
              </w:tabs>
              <w:autoSpaceDE w:val="0"/>
              <w:autoSpaceDN w:val="0"/>
              <w:spacing w:before="87" w:after="120"/>
              <w:ind w:left="107"/>
              <w:jc w:val="left"/>
              <w:rPr>
                <w:szCs w:val="21"/>
                <w:highlight w:val="none"/>
              </w:rPr>
            </w:pPr>
          </w:p>
        </w:tc>
        <w:tc>
          <w:tcPr>
            <w:tcW w:w="2585" w:type="dxa"/>
            <w:vAlign w:val="center"/>
          </w:tcPr>
          <w:p>
            <w:pPr>
              <w:pStyle w:val="236"/>
              <w:autoSpaceDE w:val="0"/>
              <w:autoSpaceDN w:val="0"/>
              <w:spacing w:after="120"/>
              <w:rPr>
                <w:szCs w:val="21"/>
                <w:highlight w:val="none"/>
              </w:rPr>
            </w:pPr>
          </w:p>
        </w:tc>
        <w:tc>
          <w:tcPr>
            <w:tcW w:w="1384" w:type="dxa"/>
            <w:vAlign w:val="center"/>
          </w:tcPr>
          <w:p>
            <w:pPr>
              <w:pStyle w:val="236"/>
              <w:autoSpaceDE w:val="0"/>
              <w:autoSpaceDN w:val="0"/>
              <w:spacing w:before="23" w:after="120"/>
              <w:ind w:left="185" w:right="176"/>
              <w:jc w:val="center"/>
              <w:rPr>
                <w:szCs w:val="21"/>
                <w:highlight w:val="none"/>
              </w:rPr>
            </w:pPr>
          </w:p>
        </w:tc>
        <w:tc>
          <w:tcPr>
            <w:tcW w:w="1134" w:type="dxa"/>
          </w:tcPr>
          <w:p>
            <w:pPr>
              <w:pStyle w:val="236"/>
              <w:autoSpaceDE w:val="0"/>
              <w:autoSpaceDN w:val="0"/>
              <w:spacing w:before="23" w:after="120"/>
              <w:ind w:left="185" w:right="176"/>
              <w:jc w:val="center"/>
              <w:rPr>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74" w:type="dxa"/>
            <w:tcBorders>
              <w:bottom w:val="single" w:color="000000" w:sz="4" w:space="0"/>
            </w:tcBorders>
            <w:vAlign w:val="center"/>
          </w:tcPr>
          <w:p>
            <w:pPr>
              <w:pStyle w:val="236"/>
              <w:autoSpaceDE w:val="0"/>
              <w:autoSpaceDN w:val="0"/>
              <w:spacing w:after="120"/>
              <w:jc w:val="center"/>
              <w:rPr>
                <w:szCs w:val="21"/>
                <w:highlight w:val="none"/>
              </w:rPr>
            </w:pPr>
            <w:r>
              <w:rPr>
                <w:rFonts w:hint="eastAsia"/>
                <w:szCs w:val="21"/>
                <w:highlight w:val="none"/>
              </w:rPr>
              <w:t>6</w:t>
            </w:r>
          </w:p>
        </w:tc>
        <w:tc>
          <w:tcPr>
            <w:tcW w:w="2871" w:type="dxa"/>
            <w:tcBorders>
              <w:bottom w:val="single" w:color="000000" w:sz="4" w:space="0"/>
            </w:tcBorders>
          </w:tcPr>
          <w:p>
            <w:pPr>
              <w:pStyle w:val="236"/>
              <w:tabs>
                <w:tab w:val="left" w:pos="527"/>
              </w:tabs>
              <w:autoSpaceDE w:val="0"/>
              <w:autoSpaceDN w:val="0"/>
              <w:spacing w:before="87" w:after="120"/>
              <w:ind w:left="107"/>
              <w:jc w:val="left"/>
              <w:rPr>
                <w:szCs w:val="21"/>
                <w:highlight w:val="none"/>
              </w:rPr>
            </w:pPr>
          </w:p>
        </w:tc>
        <w:tc>
          <w:tcPr>
            <w:tcW w:w="2585" w:type="dxa"/>
            <w:vAlign w:val="center"/>
          </w:tcPr>
          <w:p>
            <w:pPr>
              <w:pStyle w:val="236"/>
              <w:autoSpaceDE w:val="0"/>
              <w:autoSpaceDN w:val="0"/>
              <w:spacing w:after="120"/>
              <w:rPr>
                <w:szCs w:val="21"/>
                <w:highlight w:val="none"/>
              </w:rPr>
            </w:pPr>
          </w:p>
        </w:tc>
        <w:tc>
          <w:tcPr>
            <w:tcW w:w="1384" w:type="dxa"/>
            <w:tcBorders>
              <w:bottom w:val="single" w:color="000000" w:sz="4" w:space="0"/>
            </w:tcBorders>
            <w:vAlign w:val="center"/>
          </w:tcPr>
          <w:p>
            <w:pPr>
              <w:pStyle w:val="236"/>
              <w:autoSpaceDE w:val="0"/>
              <w:autoSpaceDN w:val="0"/>
              <w:spacing w:before="23" w:after="120"/>
              <w:ind w:left="185" w:right="176"/>
              <w:jc w:val="center"/>
              <w:rPr>
                <w:szCs w:val="21"/>
                <w:highlight w:val="none"/>
              </w:rPr>
            </w:pPr>
          </w:p>
        </w:tc>
        <w:tc>
          <w:tcPr>
            <w:tcW w:w="1134" w:type="dxa"/>
            <w:tcBorders>
              <w:bottom w:val="single" w:color="000000" w:sz="4" w:space="0"/>
            </w:tcBorders>
          </w:tcPr>
          <w:p>
            <w:pPr>
              <w:pStyle w:val="236"/>
              <w:autoSpaceDE w:val="0"/>
              <w:autoSpaceDN w:val="0"/>
              <w:spacing w:before="23" w:after="120"/>
              <w:ind w:left="185" w:right="176"/>
              <w:jc w:val="center"/>
              <w:rPr>
                <w:szCs w:val="21"/>
                <w:highlight w:val="none"/>
              </w:rPr>
            </w:pPr>
          </w:p>
        </w:tc>
      </w:tr>
    </w:tbl>
    <w:p>
      <w:pPr>
        <w:spacing w:beforeLines="50" w:line="360" w:lineRule="auto"/>
        <w:rPr>
          <w:rFonts w:ascii="宋体" w:hAnsi="宋体"/>
          <w:szCs w:val="21"/>
          <w:highlight w:val="none"/>
        </w:rPr>
      </w:pPr>
      <w:r>
        <w:rPr>
          <w:rFonts w:hint="eastAsia" w:ascii="宋体" w:hAnsi="宋体" w:cs="宋体"/>
          <w:b/>
          <w:kern w:val="0"/>
          <w:szCs w:val="21"/>
          <w:highlight w:val="none"/>
        </w:rPr>
        <w:t>三</w:t>
      </w:r>
      <w:r>
        <w:rPr>
          <w:rFonts w:ascii="宋体" w:hAnsi="宋体" w:cs="宋体"/>
          <w:b/>
          <w:kern w:val="0"/>
          <w:szCs w:val="21"/>
          <w:highlight w:val="none"/>
        </w:rPr>
        <w:t xml:space="preserve">、服务费用及支付方式 </w:t>
      </w:r>
    </w:p>
    <w:p>
      <w:pPr>
        <w:autoSpaceDE w:val="0"/>
        <w:autoSpaceDN w:val="0"/>
        <w:adjustRightInd w:val="0"/>
        <w:spacing w:beforeLines="50" w:line="360" w:lineRule="auto"/>
        <w:ind w:firstLine="315" w:firstLineChars="150"/>
        <w:rPr>
          <w:rFonts w:ascii="宋体" w:hAnsi="宋体" w:cs="宋体"/>
          <w:kern w:val="0"/>
          <w:szCs w:val="21"/>
          <w:highlight w:val="none"/>
        </w:rPr>
      </w:pPr>
      <w:r>
        <w:rPr>
          <w:rFonts w:ascii="宋体" w:hAnsi="宋体" w:cs="宋体"/>
          <w:kern w:val="0"/>
          <w:szCs w:val="21"/>
          <w:highlight w:val="none"/>
        </w:rPr>
        <w:t>1</w:t>
      </w:r>
      <w:r>
        <w:rPr>
          <w:rFonts w:hint="eastAsia" w:ascii="宋体" w:hAnsi="宋体" w:cs="宋体"/>
          <w:kern w:val="0"/>
          <w:szCs w:val="21"/>
          <w:highlight w:val="none"/>
        </w:rPr>
        <w:t>、服务费用：</w:t>
      </w:r>
    </w:p>
    <w:p>
      <w:pPr>
        <w:pStyle w:val="8"/>
        <w:rPr>
          <w:highlight w:val="none"/>
        </w:rPr>
      </w:pPr>
    </w:p>
    <w:p>
      <w:pPr>
        <w:autoSpaceDE w:val="0"/>
        <w:autoSpaceDN w:val="0"/>
        <w:adjustRightInd w:val="0"/>
        <w:spacing w:beforeLines="50" w:line="360" w:lineRule="auto"/>
        <w:ind w:firstLine="315" w:firstLineChars="150"/>
        <w:rPr>
          <w:rFonts w:ascii="宋体" w:hAnsi="宋体" w:cs="宋体"/>
          <w:kern w:val="0"/>
          <w:szCs w:val="21"/>
          <w:highlight w:val="none"/>
        </w:rPr>
      </w:pPr>
      <w:r>
        <w:rPr>
          <w:rFonts w:ascii="宋体" w:hAnsi="宋体" w:cs="宋体"/>
          <w:kern w:val="0"/>
          <w:szCs w:val="21"/>
          <w:highlight w:val="none"/>
        </w:rPr>
        <w:t>2</w:t>
      </w:r>
      <w:r>
        <w:rPr>
          <w:rFonts w:hint="eastAsia" w:ascii="宋体" w:hAnsi="宋体" w:cs="宋体"/>
          <w:kern w:val="0"/>
          <w:szCs w:val="21"/>
          <w:highlight w:val="none"/>
        </w:rPr>
        <w:t>、付款进度：</w:t>
      </w:r>
    </w:p>
    <w:tbl>
      <w:tblPr>
        <w:tblStyle w:val="4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6064"/>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94" w:type="pct"/>
          </w:tcPr>
          <w:p>
            <w:pPr>
              <w:jc w:val="center"/>
              <w:rPr>
                <w:rFonts w:ascii="宋体" w:hAnsi="宋体"/>
                <w:highlight w:val="none"/>
              </w:rPr>
            </w:pPr>
            <w:r>
              <w:rPr>
                <w:rFonts w:hint="eastAsia" w:ascii="宋体" w:hAnsi="宋体"/>
                <w:highlight w:val="none"/>
              </w:rPr>
              <w:t>付款进度</w:t>
            </w:r>
          </w:p>
        </w:tc>
        <w:tc>
          <w:tcPr>
            <w:tcW w:w="3346" w:type="pct"/>
          </w:tcPr>
          <w:p>
            <w:pPr>
              <w:jc w:val="center"/>
              <w:rPr>
                <w:rFonts w:ascii="宋体" w:hAnsi="宋体"/>
                <w:highlight w:val="none"/>
              </w:rPr>
            </w:pPr>
            <w:r>
              <w:rPr>
                <w:rFonts w:hint="eastAsia" w:ascii="宋体" w:hAnsi="宋体"/>
                <w:highlight w:val="none"/>
              </w:rPr>
              <w:t>付款阶段界定及支付比例</w:t>
            </w:r>
          </w:p>
        </w:tc>
        <w:tc>
          <w:tcPr>
            <w:tcW w:w="860" w:type="pct"/>
          </w:tcPr>
          <w:p>
            <w:pPr>
              <w:jc w:val="center"/>
              <w:rPr>
                <w:rFonts w:ascii="宋体" w:hAnsi="宋体"/>
                <w:highlight w:val="none"/>
              </w:rPr>
            </w:pPr>
            <w:r>
              <w:rPr>
                <w:rFonts w:hint="eastAsia" w:ascii="宋体" w:hAnsi="宋体"/>
                <w:highlight w:val="none"/>
              </w:rPr>
              <w:t>含税金额</w:t>
            </w:r>
          </w:p>
          <w:p>
            <w:pPr>
              <w:jc w:val="center"/>
              <w:rPr>
                <w:rFonts w:ascii="宋体" w:hAnsi="宋体"/>
                <w:highlight w:val="none"/>
              </w:rPr>
            </w:pPr>
            <w:r>
              <w:rPr>
                <w:rFonts w:hint="eastAsia" w:ascii="宋体" w:hAnsi="宋体"/>
                <w:highlight w:val="none"/>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94" w:type="pct"/>
          </w:tcPr>
          <w:p>
            <w:pPr>
              <w:rPr>
                <w:rFonts w:ascii="宋体" w:hAnsi="宋体"/>
                <w:highlight w:val="none"/>
              </w:rPr>
            </w:pPr>
            <w:r>
              <w:rPr>
                <w:rFonts w:hint="eastAsia" w:ascii="宋体" w:hAnsi="宋体"/>
                <w:highlight w:val="none"/>
              </w:rPr>
              <w:t>第一笔付款</w:t>
            </w:r>
          </w:p>
        </w:tc>
        <w:tc>
          <w:tcPr>
            <w:tcW w:w="3346" w:type="pct"/>
          </w:tcPr>
          <w:p>
            <w:pPr>
              <w:rPr>
                <w:rFonts w:ascii="宋体" w:hAnsi="宋体"/>
                <w:highlight w:val="none"/>
              </w:rPr>
            </w:pPr>
          </w:p>
        </w:tc>
        <w:tc>
          <w:tcPr>
            <w:tcW w:w="860" w:type="pct"/>
            <w:vAlign w:val="center"/>
          </w:tcPr>
          <w:p>
            <w:pPr>
              <w:jc w:val="center"/>
              <w:rPr>
                <w:rFonts w:ascii="宋体" w:hAnsi="宋体"/>
                <w:highlight w:val="none"/>
              </w:rPr>
            </w:pPr>
            <w:r>
              <w:rPr>
                <w:rFonts w:ascii="宋体" w:hAnsi="宋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94" w:type="pct"/>
          </w:tcPr>
          <w:p>
            <w:pPr>
              <w:rPr>
                <w:rFonts w:ascii="宋体" w:hAnsi="宋体"/>
                <w:highlight w:val="none"/>
              </w:rPr>
            </w:pPr>
            <w:r>
              <w:rPr>
                <w:rFonts w:hint="eastAsia" w:ascii="宋体" w:hAnsi="宋体"/>
                <w:highlight w:val="none"/>
              </w:rPr>
              <w:t>第二笔付款</w:t>
            </w:r>
          </w:p>
        </w:tc>
        <w:tc>
          <w:tcPr>
            <w:tcW w:w="3346" w:type="pct"/>
          </w:tcPr>
          <w:p>
            <w:pPr>
              <w:rPr>
                <w:rFonts w:ascii="宋体" w:hAnsi="宋体"/>
                <w:highlight w:val="none"/>
              </w:rPr>
            </w:pPr>
          </w:p>
        </w:tc>
        <w:tc>
          <w:tcPr>
            <w:tcW w:w="860" w:type="pct"/>
            <w:vAlign w:val="center"/>
          </w:tcPr>
          <w:p>
            <w:pPr>
              <w:jc w:val="center"/>
              <w:rPr>
                <w:rFonts w:ascii="宋体" w:hAnsi="宋体"/>
                <w:highlight w:val="none"/>
              </w:rPr>
            </w:pPr>
            <w:r>
              <w:rPr>
                <w:rFonts w:ascii="宋体" w:hAnsi="宋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3"/>
          </w:tcPr>
          <w:p>
            <w:pPr>
              <w:jc w:val="center"/>
              <w:rPr>
                <w:rFonts w:ascii="宋体" w:hAnsi="宋体"/>
                <w:highlight w:val="none"/>
              </w:rPr>
            </w:pPr>
            <w:r>
              <w:rPr>
                <w:rFonts w:hint="eastAsia" w:ascii="宋体" w:hAnsi="宋体"/>
                <w:highlight w:val="none"/>
              </w:rPr>
              <w:t>总计(人民币)：</w:t>
            </w:r>
            <w:r>
              <w:rPr>
                <w:rFonts w:ascii="宋体" w:hAnsi="宋体"/>
                <w:highlight w:val="none"/>
              </w:rPr>
              <w:t xml:space="preserve"> </w:t>
            </w:r>
            <w:r>
              <w:rPr>
                <w:rFonts w:hint="eastAsia" w:ascii="宋体" w:hAnsi="宋体"/>
                <w:highlight w:val="none"/>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3"/>
          </w:tcPr>
          <w:p>
            <w:pPr>
              <w:rPr>
                <w:rFonts w:ascii="宋体" w:hAnsi="宋体"/>
                <w:highlight w:val="none"/>
              </w:rPr>
            </w:pPr>
            <w:r>
              <w:rPr>
                <w:rFonts w:hint="eastAsia" w:ascii="宋体" w:hAnsi="宋体"/>
                <w:highlight w:val="none"/>
              </w:rPr>
              <w:t>*注</w:t>
            </w:r>
          </w:p>
          <w:p>
            <w:pPr>
              <w:ind w:firstLine="420" w:firstLineChars="200"/>
              <w:rPr>
                <w:rFonts w:ascii="宋体" w:hAnsi="宋体"/>
                <w:highlight w:val="none"/>
              </w:rPr>
            </w:pPr>
            <w:r>
              <w:rPr>
                <w:rFonts w:hint="eastAsia" w:ascii="宋体" w:hAnsi="宋体"/>
                <w:highlight w:val="none"/>
              </w:rPr>
              <w:t>1、乙方应于每一阶段收款前，向甲方提供符合甲方财务要求的发票。否则，</w:t>
            </w:r>
            <w:r>
              <w:rPr>
                <w:rFonts w:ascii="宋体" w:hAnsi="宋体"/>
                <w:highlight w:val="none"/>
              </w:rPr>
              <w:t>甲方有权</w:t>
            </w:r>
            <w:r>
              <w:rPr>
                <w:rFonts w:hint="eastAsia" w:ascii="宋体" w:hAnsi="宋体"/>
                <w:highlight w:val="none"/>
              </w:rPr>
              <w:t>延迟付款</w:t>
            </w:r>
            <w:r>
              <w:rPr>
                <w:rFonts w:ascii="宋体" w:hAnsi="宋体"/>
                <w:highlight w:val="none"/>
              </w:rPr>
              <w:t>且不承担逾期付款的违约责任。</w:t>
            </w:r>
          </w:p>
          <w:p>
            <w:pPr>
              <w:ind w:firstLine="420" w:firstLineChars="200"/>
              <w:rPr>
                <w:highlight w:val="none"/>
              </w:rPr>
            </w:pPr>
            <w:r>
              <w:rPr>
                <w:rFonts w:hint="eastAsia" w:ascii="宋体" w:hAnsi="宋体"/>
                <w:highlight w:val="none"/>
              </w:rPr>
              <w:t>2、本次费用包含乙方前往甲方项目所在地踩线（踩线时间不少于甲方规定时间），汇报交流等的交通、住宿等相关落地费用。</w:t>
            </w:r>
          </w:p>
        </w:tc>
      </w:tr>
    </w:tbl>
    <w:p>
      <w:pPr>
        <w:tabs>
          <w:tab w:val="left" w:pos="7485"/>
        </w:tabs>
        <w:spacing w:beforeLines="50" w:afterLines="50" w:line="360" w:lineRule="auto"/>
        <w:ind w:firstLine="315" w:firstLineChars="150"/>
        <w:rPr>
          <w:rFonts w:ascii="宋体" w:hAnsi="宋体" w:cs="ËÎÌå"/>
          <w:kern w:val="0"/>
          <w:szCs w:val="21"/>
          <w:highlight w:val="none"/>
        </w:rPr>
      </w:pPr>
      <w:r>
        <w:rPr>
          <w:rFonts w:ascii="宋体" w:hAnsi="宋体" w:cs="ËÎÌå"/>
          <w:kern w:val="0"/>
          <w:szCs w:val="21"/>
          <w:highlight w:val="none"/>
        </w:rPr>
        <w:t>3、支付方式：</w:t>
      </w:r>
    </w:p>
    <w:p>
      <w:pPr>
        <w:spacing w:line="360" w:lineRule="auto"/>
        <w:ind w:left="420" w:leftChars="200"/>
        <w:rPr>
          <w:rFonts w:ascii="宋体" w:hAnsi="宋体" w:cs="宋体"/>
          <w:szCs w:val="21"/>
          <w:highlight w:val="none"/>
        </w:rPr>
      </w:pPr>
      <w:r>
        <w:rPr>
          <w:rFonts w:hint="eastAsia" w:ascii="宋体" w:hAnsi="宋体" w:cs="宋体"/>
          <w:szCs w:val="21"/>
          <w:highlight w:val="none"/>
        </w:rPr>
        <w:t>1）甲方以电汇方式按付款进度向乙方指定账户支付上述费用，过程中产生的手续费（如有）由甲方自行承担。</w:t>
      </w:r>
    </w:p>
    <w:p>
      <w:pPr>
        <w:spacing w:line="360" w:lineRule="auto"/>
        <w:ind w:left="420" w:leftChars="200"/>
        <w:rPr>
          <w:rFonts w:ascii="宋体" w:hAnsi="宋体" w:cs="宋体"/>
          <w:szCs w:val="21"/>
          <w:highlight w:val="none"/>
        </w:rPr>
      </w:pPr>
      <w:r>
        <w:rPr>
          <w:rFonts w:hint="eastAsia" w:ascii="宋体" w:hAnsi="宋体" w:cs="宋体"/>
          <w:szCs w:val="21"/>
          <w:highlight w:val="none"/>
        </w:rPr>
        <w:t xml:space="preserve">2）收款人名称： </w:t>
      </w:r>
    </w:p>
    <w:p>
      <w:pPr>
        <w:spacing w:line="360" w:lineRule="auto"/>
        <w:ind w:left="420" w:leftChars="200" w:firstLine="315" w:firstLineChars="150"/>
        <w:rPr>
          <w:rFonts w:ascii="宋体" w:hAnsi="宋体" w:cs="宋体"/>
          <w:szCs w:val="21"/>
          <w:highlight w:val="none"/>
        </w:rPr>
      </w:pPr>
      <w:r>
        <w:rPr>
          <w:rFonts w:hint="eastAsia" w:ascii="宋体" w:hAnsi="宋体" w:cs="宋体"/>
          <w:szCs w:val="21"/>
          <w:highlight w:val="none"/>
        </w:rPr>
        <w:t>开户银行：</w:t>
      </w:r>
      <w:r>
        <w:rPr>
          <w:rFonts w:hint="eastAsia" w:ascii="宋体" w:hAnsi="宋体" w:cs="Arial"/>
          <w:bCs/>
          <w:szCs w:val="21"/>
          <w:highlight w:val="none"/>
        </w:rPr>
        <w:t xml:space="preserve"> </w:t>
      </w:r>
    </w:p>
    <w:p>
      <w:pPr>
        <w:spacing w:line="360" w:lineRule="auto"/>
        <w:ind w:left="420" w:leftChars="200" w:firstLine="315" w:firstLineChars="150"/>
        <w:rPr>
          <w:rFonts w:ascii="宋体" w:hAnsi="宋体" w:cs="宋体"/>
          <w:szCs w:val="21"/>
          <w:highlight w:val="none"/>
        </w:rPr>
      </w:pPr>
      <w:r>
        <w:rPr>
          <w:rFonts w:hint="eastAsia" w:ascii="宋体" w:hAnsi="宋体" w:cs="宋体"/>
          <w:szCs w:val="21"/>
          <w:highlight w:val="none"/>
        </w:rPr>
        <w:t>银行帐号：</w:t>
      </w:r>
      <w:r>
        <w:rPr>
          <w:rFonts w:ascii="宋体" w:hAnsi="宋体" w:cs="宋体"/>
          <w:szCs w:val="21"/>
          <w:highlight w:val="none"/>
        </w:rPr>
        <w:t xml:space="preserve"> </w:t>
      </w:r>
    </w:p>
    <w:p>
      <w:pPr>
        <w:shd w:val="clear" w:color="auto" w:fill="FFFFFF"/>
        <w:spacing w:line="402" w:lineRule="atLeast"/>
        <w:ind w:firstLine="315" w:firstLineChars="150"/>
        <w:rPr>
          <w:rFonts w:ascii="宋体" w:hAnsi="宋体" w:cs="ËÎÌå"/>
          <w:color w:val="00B0F0"/>
          <w:kern w:val="0"/>
          <w:szCs w:val="21"/>
          <w:highlight w:val="none"/>
        </w:rPr>
      </w:pPr>
      <w:r>
        <w:rPr>
          <w:rFonts w:hint="eastAsia" w:ascii="宋体" w:hAnsi="宋体" w:cs="ËÎÌå"/>
          <w:kern w:val="0"/>
          <w:szCs w:val="21"/>
          <w:highlight w:val="none"/>
        </w:rPr>
        <w:t>4、</w:t>
      </w:r>
      <w:r>
        <w:rPr>
          <w:rFonts w:ascii="宋体" w:hAnsi="宋体" w:cs="ËÎÌå"/>
          <w:kern w:val="0"/>
          <w:szCs w:val="21"/>
          <w:highlight w:val="none"/>
        </w:rPr>
        <w:t>因项目的特殊性</w:t>
      </w:r>
      <w:r>
        <w:rPr>
          <w:rFonts w:hint="eastAsia" w:ascii="宋体" w:hAnsi="宋体" w:cs="ËÎÌå"/>
          <w:kern w:val="0"/>
          <w:szCs w:val="21"/>
          <w:highlight w:val="none"/>
        </w:rPr>
        <w:t>，</w:t>
      </w:r>
      <w:r>
        <w:rPr>
          <w:rFonts w:ascii="宋体" w:hAnsi="宋体" w:cs="ËÎÌå"/>
          <w:kern w:val="0"/>
          <w:szCs w:val="21"/>
          <w:highlight w:val="none"/>
        </w:rPr>
        <w:t>甲方有权随时对服务的内容和要求做出调整</w:t>
      </w:r>
      <w:r>
        <w:rPr>
          <w:rFonts w:hint="eastAsia" w:ascii="宋体" w:hAnsi="宋体" w:cs="ËÎÌå"/>
          <w:kern w:val="0"/>
          <w:szCs w:val="21"/>
          <w:highlight w:val="none"/>
        </w:rPr>
        <w:t>，</w:t>
      </w:r>
      <w:r>
        <w:rPr>
          <w:rFonts w:ascii="宋体" w:hAnsi="宋体" w:cs="ËÎÌå"/>
          <w:kern w:val="0"/>
          <w:szCs w:val="21"/>
          <w:highlight w:val="none"/>
        </w:rPr>
        <w:t>乙方须无条件配合</w:t>
      </w:r>
      <w:r>
        <w:rPr>
          <w:rFonts w:hint="eastAsia" w:ascii="宋体" w:hAnsi="宋体" w:cs="ËÎÌå"/>
          <w:kern w:val="0"/>
          <w:szCs w:val="21"/>
          <w:highlight w:val="none"/>
        </w:rPr>
        <w:t>。如因疫情原因履约过程中有本合同第二条表格内部分活动未执行的，则按该表格上列明的金额扣除该部分费用。延期举办的，按照甲乙双方协商决定。</w:t>
      </w:r>
    </w:p>
    <w:p>
      <w:pPr>
        <w:spacing w:beforeLines="50" w:line="360" w:lineRule="auto"/>
        <w:outlineLvl w:val="0"/>
        <w:rPr>
          <w:rFonts w:ascii="宋体" w:hAnsi="宋体" w:cs="宋体"/>
          <w:b/>
          <w:kern w:val="0"/>
          <w:szCs w:val="21"/>
          <w:highlight w:val="none"/>
        </w:rPr>
      </w:pPr>
      <w:bookmarkStart w:id="171" w:name="_Toc55566332"/>
      <w:r>
        <w:rPr>
          <w:rFonts w:hint="eastAsia" w:ascii="宋体" w:hAnsi="宋体" w:cs="宋体"/>
          <w:b/>
          <w:kern w:val="0"/>
          <w:szCs w:val="21"/>
          <w:highlight w:val="none"/>
        </w:rPr>
        <w:t>四、工作要求：</w:t>
      </w:r>
      <w:bookmarkEnd w:id="171"/>
    </w:p>
    <w:p>
      <w:pPr>
        <w:autoSpaceDE w:val="0"/>
        <w:autoSpaceDN w:val="0"/>
        <w:adjustRightInd w:val="0"/>
        <w:spacing w:beforeLines="50"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1、项目启动：乙方在本合同签订并收到第一笔合同款之日起五个工作日内全面启动项目，乙方应于</w:t>
      </w:r>
      <w:r>
        <w:rPr>
          <w:rFonts w:ascii="宋体" w:hAnsi="宋体" w:cs="宋体"/>
          <w:kern w:val="0"/>
          <w:szCs w:val="21"/>
          <w:highlight w:val="none"/>
        </w:rPr>
        <w:t>项目启动</w:t>
      </w:r>
      <w:r>
        <w:rPr>
          <w:rFonts w:hint="eastAsia" w:ascii="宋体" w:hAnsi="宋体" w:cs="宋体"/>
          <w:kern w:val="0"/>
          <w:szCs w:val="21"/>
          <w:highlight w:val="none"/>
        </w:rPr>
        <w:t>前向甲方提供《项目推进时间总表》并经甲方确认，同时该《项目推进时间总表》中的时间，不包含甲方确认的时间及打款的时间。双方成立联合工作组，负责就项目内容的策划及技术文件的交流、修改及调整等工作及时沟通。经双方达成一致共识之后，</w:t>
      </w:r>
      <w:r>
        <w:rPr>
          <w:rFonts w:hint="eastAsia" w:hAnsi="宋体"/>
          <w:highlight w:val="none"/>
        </w:rPr>
        <w:t>甲方指定</w:t>
      </w:r>
      <w:r>
        <w:rPr>
          <w:rFonts w:hint="eastAsia" w:hAnsi="宋体"/>
          <w:highlight w:val="none"/>
          <w:u w:val="single"/>
        </w:rPr>
        <w:t>汪丽亚</w:t>
      </w:r>
      <w:r>
        <w:rPr>
          <w:rFonts w:hint="eastAsia" w:hAnsi="宋体"/>
          <w:highlight w:val="none"/>
        </w:rPr>
        <w:t>；乙方指定</w:t>
      </w:r>
      <w:r>
        <w:rPr>
          <w:rFonts w:hint="eastAsia" w:hAnsi="宋体"/>
          <w:highlight w:val="none"/>
          <w:u w:val="single"/>
        </w:rPr>
        <w:t xml:space="preserve"> </w:t>
      </w:r>
      <w:r>
        <w:rPr>
          <w:rFonts w:hAnsi="宋体"/>
          <w:highlight w:val="none"/>
          <w:u w:val="single"/>
        </w:rPr>
        <w:t xml:space="preserve">      </w:t>
      </w:r>
      <w:r>
        <w:rPr>
          <w:rFonts w:hint="eastAsia" w:hAnsi="宋体"/>
          <w:highlight w:val="none"/>
        </w:rPr>
        <w:t>为</w:t>
      </w:r>
      <w:r>
        <w:rPr>
          <w:rFonts w:hint="eastAsia" w:ascii="宋体" w:hAnsi="宋体" w:cs="宋体"/>
          <w:kern w:val="0"/>
          <w:szCs w:val="21"/>
          <w:highlight w:val="none"/>
        </w:rPr>
        <w:t>固定联络人</w:t>
      </w:r>
      <w:r>
        <w:rPr>
          <w:rFonts w:hint="eastAsia" w:hAnsi="宋体"/>
          <w:highlight w:val="none"/>
        </w:rPr>
        <w:t>，</w:t>
      </w:r>
      <w:r>
        <w:rPr>
          <w:rFonts w:hint="eastAsia" w:ascii="宋体" w:hAnsi="宋体"/>
          <w:szCs w:val="21"/>
          <w:highlight w:val="none"/>
        </w:rPr>
        <w:t>负责提供制作素材及书面建议，</w:t>
      </w:r>
      <w:r>
        <w:rPr>
          <w:rFonts w:hint="eastAsia" w:ascii="宋体" w:hAnsi="宋体" w:cs="宋体"/>
          <w:kern w:val="0"/>
          <w:szCs w:val="21"/>
          <w:highlight w:val="none"/>
        </w:rPr>
        <w:t>配合乙方组织相关部门的研讨会并向乙方提供所需的相关资料，</w:t>
      </w:r>
      <w:r>
        <w:rPr>
          <w:rFonts w:hint="eastAsia" w:ascii="宋体" w:hAnsi="宋体"/>
          <w:szCs w:val="21"/>
          <w:highlight w:val="none"/>
        </w:rPr>
        <w:t>并负责跟进项目进度、项目质量、项目验收等工作，</w:t>
      </w:r>
      <w:r>
        <w:rPr>
          <w:rFonts w:hint="eastAsia" w:hAnsi="宋体"/>
          <w:highlight w:val="none"/>
        </w:rPr>
        <w:t>双方</w:t>
      </w:r>
      <w:r>
        <w:rPr>
          <w:rFonts w:hint="eastAsia" w:ascii="宋体" w:hAnsi="宋体" w:cs="宋体"/>
          <w:kern w:val="0"/>
          <w:szCs w:val="21"/>
          <w:highlight w:val="none"/>
        </w:rPr>
        <w:t>形成定期沟通制度，严格遵照项目进程步骤执行。</w:t>
      </w:r>
    </w:p>
    <w:p>
      <w:pPr>
        <w:autoSpaceDE w:val="0"/>
        <w:autoSpaceDN w:val="0"/>
        <w:adjustRightInd w:val="0"/>
        <w:spacing w:beforeLines="50"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2、授权代表：为了便于合同履行，双方指派以下人员为本合同的授权代表人，授权代表人代表公司发出指令，确认合同履行中的相关事宜，签收往来函件，变更、调整合同条款，解除、终止本合同及其它相关事宜。合同履行过程中所有的通知、要求、请求、文件发送与交接、事务联络等通过传真、电子邮件、邮政邮件联系方式到达对方传真地址、电子邮箱、通讯地址即视为送达（如甲方有两个授权代表人则任一授权代表人收到即为送达），如果授权代表人或者联系方式有变更，需书面通知对方，如果未及时通知，由未及时履行通知义务一方承担由此造成的损失及相应的法律后果。</w:t>
      </w:r>
    </w:p>
    <w:p>
      <w:pPr>
        <w:autoSpaceDE w:val="0"/>
        <w:autoSpaceDN w:val="0"/>
        <w:adjustRightInd w:val="0"/>
        <w:spacing w:beforeLines="50"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联系人信息：</w:t>
      </w:r>
    </w:p>
    <w:tbl>
      <w:tblPr>
        <w:tblStyle w:val="4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3"/>
        <w:gridCol w:w="1255"/>
        <w:gridCol w:w="1738"/>
        <w:gridCol w:w="1736"/>
        <w:gridCol w:w="2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95" w:type="pct"/>
            <w:vAlign w:val="center"/>
          </w:tcPr>
          <w:p>
            <w:pPr>
              <w:jc w:val="center"/>
              <w:rPr>
                <w:b/>
                <w:highlight w:val="none"/>
              </w:rPr>
            </w:pPr>
            <w:r>
              <w:rPr>
                <w:rFonts w:hint="eastAsia"/>
                <w:b/>
                <w:highlight w:val="none"/>
              </w:rPr>
              <w:t>联系人</w:t>
            </w:r>
          </w:p>
        </w:tc>
        <w:tc>
          <w:tcPr>
            <w:tcW w:w="692" w:type="pct"/>
            <w:vAlign w:val="center"/>
          </w:tcPr>
          <w:p>
            <w:pPr>
              <w:jc w:val="center"/>
              <w:rPr>
                <w:b/>
                <w:highlight w:val="none"/>
              </w:rPr>
            </w:pPr>
            <w:r>
              <w:rPr>
                <w:rFonts w:hint="eastAsia"/>
                <w:b/>
                <w:highlight w:val="none"/>
              </w:rPr>
              <w:t>姓名</w:t>
            </w:r>
          </w:p>
        </w:tc>
        <w:tc>
          <w:tcPr>
            <w:tcW w:w="959" w:type="pct"/>
            <w:vAlign w:val="center"/>
          </w:tcPr>
          <w:p>
            <w:pPr>
              <w:jc w:val="center"/>
              <w:rPr>
                <w:b/>
                <w:highlight w:val="none"/>
              </w:rPr>
            </w:pPr>
            <w:r>
              <w:rPr>
                <w:rFonts w:hint="eastAsia"/>
                <w:b/>
                <w:highlight w:val="none"/>
              </w:rPr>
              <w:t>手机号码</w:t>
            </w:r>
          </w:p>
        </w:tc>
        <w:tc>
          <w:tcPr>
            <w:tcW w:w="958" w:type="pct"/>
            <w:vAlign w:val="center"/>
          </w:tcPr>
          <w:p>
            <w:pPr>
              <w:jc w:val="center"/>
              <w:rPr>
                <w:b/>
                <w:highlight w:val="none"/>
              </w:rPr>
            </w:pPr>
            <w:r>
              <w:rPr>
                <w:rFonts w:hint="eastAsia"/>
                <w:b/>
                <w:highlight w:val="none"/>
              </w:rPr>
              <w:t>传真号码</w:t>
            </w:r>
          </w:p>
        </w:tc>
        <w:tc>
          <w:tcPr>
            <w:tcW w:w="1495" w:type="pct"/>
            <w:vAlign w:val="center"/>
          </w:tcPr>
          <w:p>
            <w:pPr>
              <w:jc w:val="center"/>
              <w:rPr>
                <w:b/>
                <w:highlight w:val="none"/>
              </w:rPr>
            </w:pPr>
            <w:r>
              <w:rPr>
                <w:rFonts w:hint="eastAsia"/>
                <w:b/>
                <w:highlight w:val="none"/>
              </w:rPr>
              <w:t>电子信箱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95" w:type="pct"/>
            <w:vAlign w:val="center"/>
          </w:tcPr>
          <w:p>
            <w:pPr>
              <w:rPr>
                <w:highlight w:val="none"/>
              </w:rPr>
            </w:pPr>
            <w:r>
              <w:rPr>
                <w:rFonts w:hint="eastAsia"/>
                <w:highlight w:val="none"/>
              </w:rPr>
              <w:t>甲方联系人一</w:t>
            </w:r>
          </w:p>
        </w:tc>
        <w:tc>
          <w:tcPr>
            <w:tcW w:w="692" w:type="pct"/>
            <w:vAlign w:val="center"/>
          </w:tcPr>
          <w:p>
            <w:pPr>
              <w:jc w:val="center"/>
              <w:rPr>
                <w:highlight w:val="none"/>
              </w:rPr>
            </w:pPr>
          </w:p>
        </w:tc>
        <w:tc>
          <w:tcPr>
            <w:tcW w:w="959" w:type="pct"/>
            <w:vAlign w:val="center"/>
          </w:tcPr>
          <w:p>
            <w:pPr>
              <w:jc w:val="center"/>
              <w:rPr>
                <w:highlight w:val="none"/>
              </w:rPr>
            </w:pPr>
          </w:p>
        </w:tc>
        <w:tc>
          <w:tcPr>
            <w:tcW w:w="958" w:type="pct"/>
            <w:vAlign w:val="center"/>
          </w:tcPr>
          <w:p>
            <w:pPr>
              <w:jc w:val="center"/>
              <w:rPr>
                <w:highlight w:val="none"/>
              </w:rPr>
            </w:pPr>
            <w:r>
              <w:rPr>
                <w:rFonts w:hint="eastAsia"/>
                <w:highlight w:val="none"/>
              </w:rPr>
              <w:t>/</w:t>
            </w:r>
          </w:p>
        </w:tc>
        <w:tc>
          <w:tcPr>
            <w:tcW w:w="1495" w:type="pct"/>
            <w:vAlign w:val="center"/>
          </w:tcPr>
          <w:p>
            <w:pPr>
              <w:jc w:val="center"/>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95" w:type="pct"/>
            <w:vAlign w:val="center"/>
          </w:tcPr>
          <w:p>
            <w:pPr>
              <w:rPr>
                <w:highlight w:val="none"/>
              </w:rPr>
            </w:pPr>
            <w:r>
              <w:rPr>
                <w:rFonts w:hint="eastAsia"/>
                <w:highlight w:val="none"/>
              </w:rPr>
              <w:t>甲方联系人二</w:t>
            </w:r>
          </w:p>
        </w:tc>
        <w:tc>
          <w:tcPr>
            <w:tcW w:w="692" w:type="pct"/>
            <w:vAlign w:val="center"/>
          </w:tcPr>
          <w:p>
            <w:pPr>
              <w:jc w:val="center"/>
              <w:rPr>
                <w:highlight w:val="none"/>
              </w:rPr>
            </w:pPr>
          </w:p>
        </w:tc>
        <w:tc>
          <w:tcPr>
            <w:tcW w:w="959" w:type="pct"/>
            <w:vAlign w:val="center"/>
          </w:tcPr>
          <w:p>
            <w:pPr>
              <w:jc w:val="center"/>
              <w:rPr>
                <w:highlight w:val="none"/>
              </w:rPr>
            </w:pPr>
          </w:p>
        </w:tc>
        <w:tc>
          <w:tcPr>
            <w:tcW w:w="958" w:type="pct"/>
            <w:vAlign w:val="center"/>
          </w:tcPr>
          <w:p>
            <w:pPr>
              <w:jc w:val="center"/>
              <w:rPr>
                <w:highlight w:val="none"/>
              </w:rPr>
            </w:pPr>
            <w:r>
              <w:rPr>
                <w:rFonts w:hint="eastAsia"/>
                <w:highlight w:val="none"/>
              </w:rPr>
              <w:t>/</w:t>
            </w:r>
          </w:p>
        </w:tc>
        <w:tc>
          <w:tcPr>
            <w:tcW w:w="1495" w:type="pct"/>
            <w:vAlign w:val="center"/>
          </w:tcPr>
          <w:p>
            <w:pPr>
              <w:jc w:val="center"/>
              <w:rPr>
                <w:highlight w:val="none"/>
              </w:rPr>
            </w:pPr>
            <w:r>
              <w:rPr>
                <w:rFonts w:hint="eastAsia" w:ascii="Verdana" w:hAnsi="Verdana"/>
                <w:sz w:val="18"/>
                <w:szCs w:val="18"/>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95" w:type="pct"/>
            <w:vAlign w:val="center"/>
          </w:tcPr>
          <w:p>
            <w:pPr>
              <w:rPr>
                <w:highlight w:val="none"/>
              </w:rPr>
            </w:pPr>
            <w:r>
              <w:rPr>
                <w:rFonts w:hint="eastAsia"/>
                <w:highlight w:val="none"/>
              </w:rPr>
              <w:t>乙方联系人一</w:t>
            </w:r>
          </w:p>
        </w:tc>
        <w:tc>
          <w:tcPr>
            <w:tcW w:w="692" w:type="pct"/>
            <w:vAlign w:val="center"/>
          </w:tcPr>
          <w:p>
            <w:pPr>
              <w:rPr>
                <w:highlight w:val="none"/>
              </w:rPr>
            </w:pPr>
          </w:p>
        </w:tc>
        <w:tc>
          <w:tcPr>
            <w:tcW w:w="959" w:type="pct"/>
            <w:vAlign w:val="center"/>
          </w:tcPr>
          <w:p>
            <w:pPr>
              <w:jc w:val="center"/>
              <w:rPr>
                <w:highlight w:val="none"/>
              </w:rPr>
            </w:pPr>
          </w:p>
        </w:tc>
        <w:tc>
          <w:tcPr>
            <w:tcW w:w="958" w:type="pct"/>
            <w:vAlign w:val="center"/>
          </w:tcPr>
          <w:p>
            <w:pPr>
              <w:jc w:val="center"/>
              <w:rPr>
                <w:highlight w:val="none"/>
              </w:rPr>
            </w:pPr>
            <w:r>
              <w:rPr>
                <w:rFonts w:hint="eastAsia"/>
                <w:highlight w:val="none"/>
              </w:rPr>
              <w:t>/</w:t>
            </w:r>
          </w:p>
        </w:tc>
        <w:tc>
          <w:tcPr>
            <w:tcW w:w="1495" w:type="pct"/>
            <w:vAlign w:val="center"/>
          </w:tcPr>
          <w:p>
            <w:pPr>
              <w:jc w:val="center"/>
              <w:rPr>
                <w:highlight w:val="none"/>
              </w:rPr>
            </w:pPr>
            <w:r>
              <w:rPr>
                <w:rFonts w:hint="eastAsia"/>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895" w:type="pct"/>
            <w:vAlign w:val="center"/>
          </w:tcPr>
          <w:p>
            <w:pPr>
              <w:rPr>
                <w:highlight w:val="none"/>
              </w:rPr>
            </w:pPr>
            <w:r>
              <w:rPr>
                <w:rFonts w:hint="eastAsia"/>
                <w:highlight w:val="none"/>
              </w:rPr>
              <w:t>乙方联系人二</w:t>
            </w:r>
          </w:p>
        </w:tc>
        <w:tc>
          <w:tcPr>
            <w:tcW w:w="692" w:type="pct"/>
            <w:vAlign w:val="center"/>
          </w:tcPr>
          <w:p>
            <w:pPr>
              <w:jc w:val="center"/>
              <w:rPr>
                <w:highlight w:val="none"/>
              </w:rPr>
            </w:pPr>
          </w:p>
        </w:tc>
        <w:tc>
          <w:tcPr>
            <w:tcW w:w="959" w:type="pct"/>
            <w:vAlign w:val="center"/>
          </w:tcPr>
          <w:p>
            <w:pPr>
              <w:jc w:val="center"/>
              <w:rPr>
                <w:highlight w:val="none"/>
              </w:rPr>
            </w:pPr>
          </w:p>
        </w:tc>
        <w:tc>
          <w:tcPr>
            <w:tcW w:w="958" w:type="pct"/>
            <w:vAlign w:val="center"/>
          </w:tcPr>
          <w:p>
            <w:pPr>
              <w:jc w:val="center"/>
              <w:rPr>
                <w:highlight w:val="none"/>
              </w:rPr>
            </w:pPr>
            <w:r>
              <w:rPr>
                <w:rFonts w:hint="eastAsia"/>
                <w:highlight w:val="none"/>
              </w:rPr>
              <w:t>/</w:t>
            </w:r>
          </w:p>
        </w:tc>
        <w:tc>
          <w:tcPr>
            <w:tcW w:w="1495" w:type="pct"/>
            <w:vAlign w:val="center"/>
          </w:tcPr>
          <w:p>
            <w:pPr>
              <w:jc w:val="center"/>
              <w:rPr>
                <w:highlight w:val="none"/>
              </w:rPr>
            </w:pPr>
            <w:r>
              <w:rPr>
                <w:rFonts w:hint="eastAsia"/>
                <w:highlight w:val="none"/>
              </w:rPr>
              <w:t xml:space="preserve"> </w:t>
            </w:r>
          </w:p>
        </w:tc>
      </w:tr>
    </w:tbl>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3、双方合作期间，甲方应积极配合乙方工作。在乙方提出要求后5个工作日内及时提供乙方所需的各类图片、视频及文字资料（如相关文件、统计数据、场地平面图等），并对上述资料的真实性、合法性、准确性、完整性负责</w:t>
      </w:r>
      <w:r>
        <w:rPr>
          <w:rFonts w:hint="eastAsia" w:ascii="宋体" w:hAnsi="宋体"/>
          <w:szCs w:val="21"/>
          <w:highlight w:val="none"/>
        </w:rPr>
        <w:t>。</w:t>
      </w:r>
      <w:r>
        <w:rPr>
          <w:rFonts w:hint="eastAsia" w:ascii="宋体" w:hAnsi="宋体" w:cs="宋体"/>
          <w:kern w:val="0"/>
          <w:szCs w:val="21"/>
          <w:highlight w:val="none"/>
        </w:rPr>
        <w:t>如因甲方提供资料原因（包括但不限于延迟、有误、虚假等）而引起的各类法律、经济纠纷，由甲方依法承担责任。乙方应根据《项目推进时间总表》主动向甲方索取为执行该项目所需的各项资料，乙方不承担因甲方延迟交付各项必需</w:t>
      </w:r>
      <w:r>
        <w:rPr>
          <w:rFonts w:ascii="宋体" w:hAnsi="宋体" w:cs="宋体"/>
          <w:kern w:val="0"/>
          <w:szCs w:val="21"/>
          <w:highlight w:val="none"/>
        </w:rPr>
        <w:t>的</w:t>
      </w:r>
      <w:r>
        <w:rPr>
          <w:rFonts w:hint="eastAsia" w:ascii="宋体" w:hAnsi="宋体" w:cs="宋体"/>
          <w:kern w:val="0"/>
          <w:szCs w:val="21"/>
          <w:highlight w:val="none"/>
        </w:rPr>
        <w:t>资料造成项目无法推进而产生的相关责任。</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4、甲方有权及时对乙方所提交的策划思路、策划方案、脚本创意、设计稿和其它书面文件以书面形式提出合理的修改意见和建议，乙方据此进行修改、调整、直至甲方签字确认方可定稿。但甲方应尊重乙方的专业经验和知识，并应考虑工作周期等因素，在乙方提交有关文件后5个工作日内及时、完整地提出明确的书面意见或会议纪要形式确认的现场沟通意见，以便乙方有足够时间保质保量的完成工作任务。双方确认，若在乙方提交有关文件后5个工作日内，甲方无书面的意见提出或未告知乙方其存有意见但书面意见仍在准备过程中(准备时间不多于5个工作日)，则视为甲方已同意确认乙方提交的方案或者内容，乙方可自行根据约定的工作进度进行执行操作。双方同意，在甲方未完全取得乙方交付成果的著作权前，未经乙方同意，甲方不得将乙方的工作成果委托给第三方执行（合同</w:t>
      </w:r>
      <w:r>
        <w:rPr>
          <w:rFonts w:ascii="宋体" w:hAnsi="宋体" w:cs="宋体"/>
          <w:kern w:val="0"/>
          <w:szCs w:val="21"/>
          <w:highlight w:val="none"/>
        </w:rPr>
        <w:t>已解除</w:t>
      </w:r>
      <w:r>
        <w:rPr>
          <w:rFonts w:hint="eastAsia" w:ascii="宋体" w:hAnsi="宋体" w:cs="宋体"/>
          <w:kern w:val="0"/>
          <w:szCs w:val="21"/>
          <w:highlight w:val="none"/>
        </w:rPr>
        <w:t>且双方协商已交付成果的著作权归属甲方</w:t>
      </w:r>
      <w:r>
        <w:rPr>
          <w:rFonts w:ascii="宋体" w:hAnsi="宋体" w:cs="宋体"/>
          <w:kern w:val="0"/>
          <w:szCs w:val="21"/>
          <w:highlight w:val="none"/>
        </w:rPr>
        <w:t>的情况除外</w:t>
      </w:r>
      <w:r>
        <w:rPr>
          <w:rFonts w:hint="eastAsia" w:ascii="宋体" w:hAnsi="宋体" w:cs="宋体"/>
          <w:kern w:val="0"/>
          <w:szCs w:val="21"/>
          <w:highlight w:val="none"/>
        </w:rPr>
        <w:t>）。</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5、各阶段工作成果经甲方确认签字定稿后，若甲方再次提出修改，或甲方虽未签字定稿，但修改内容超出双方确认的工作大纲内容的，乙方应在3个工作日内书面告知甲方修改所可能造成的费用增加及工作延误(如有)，如果甲方在5个工作日内书面确认需要修改并接受费用的增加及新的工作完成时间，由此而产生的一切必要费用应由甲方承担，否则，视为甲方未修改，乙方仍应按照定稿的方案执行。若因甲方资料提供、定稿、审稿后再次修改等方面因素而造成的工作延误，乙方不承担相关责任与损失，双方应另行协商签订补充合同（或另订合同），重新明确有关条款。</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6、甲方应按照合同约定时间支付各阶段款项，</w:t>
      </w:r>
      <w:r>
        <w:rPr>
          <w:rFonts w:ascii="宋体" w:hAnsi="宋体" w:cs="宋体"/>
          <w:kern w:val="0"/>
          <w:szCs w:val="21"/>
          <w:highlight w:val="none"/>
        </w:rPr>
        <w:t>如</w:t>
      </w:r>
      <w:r>
        <w:rPr>
          <w:rFonts w:hint="eastAsia" w:ascii="宋体" w:hAnsi="宋体" w:cs="宋体"/>
          <w:kern w:val="0"/>
          <w:szCs w:val="21"/>
          <w:highlight w:val="none"/>
        </w:rPr>
        <w:t>非因</w:t>
      </w:r>
      <w:r>
        <w:rPr>
          <w:rFonts w:ascii="宋体" w:hAnsi="宋体" w:cs="宋体"/>
          <w:kern w:val="0"/>
          <w:szCs w:val="21"/>
          <w:highlight w:val="none"/>
        </w:rPr>
        <w:t>乙方原因导致的迟延付款</w:t>
      </w:r>
      <w:r>
        <w:rPr>
          <w:rFonts w:hint="eastAsia" w:ascii="宋体" w:hAnsi="宋体" w:cs="宋体"/>
          <w:kern w:val="0"/>
          <w:szCs w:val="21"/>
          <w:highlight w:val="none"/>
        </w:rPr>
        <w:t>，</w:t>
      </w:r>
      <w:r>
        <w:rPr>
          <w:rFonts w:ascii="宋体" w:hAnsi="宋体" w:cs="宋体"/>
          <w:kern w:val="0"/>
          <w:szCs w:val="21"/>
          <w:highlight w:val="none"/>
        </w:rPr>
        <w:t>每逾期一日，应承担应付未付金额万分之一的违约责任</w:t>
      </w:r>
      <w:r>
        <w:rPr>
          <w:rFonts w:hint="eastAsia" w:ascii="宋体" w:hAnsi="宋体" w:cs="宋体"/>
          <w:kern w:val="0"/>
          <w:szCs w:val="21"/>
          <w:highlight w:val="none"/>
        </w:rPr>
        <w:t>。乙方应按照合同约定时间进行各阶段的工作推进，每逾期</w:t>
      </w:r>
      <w:r>
        <w:rPr>
          <w:rFonts w:ascii="宋体" w:hAnsi="宋体" w:cs="宋体"/>
          <w:kern w:val="0"/>
          <w:szCs w:val="21"/>
          <w:highlight w:val="none"/>
        </w:rPr>
        <w:t>一日，应承担对应阶段甲方应付金额</w:t>
      </w:r>
      <w:r>
        <w:rPr>
          <w:rFonts w:hint="eastAsia" w:ascii="宋体" w:hAnsi="宋体" w:cs="宋体"/>
          <w:kern w:val="0"/>
          <w:szCs w:val="21"/>
          <w:highlight w:val="none"/>
        </w:rPr>
        <w:t>万分之一的</w:t>
      </w:r>
      <w:r>
        <w:rPr>
          <w:rFonts w:ascii="宋体" w:hAnsi="宋体" w:cs="宋体"/>
          <w:kern w:val="0"/>
          <w:szCs w:val="21"/>
          <w:highlight w:val="none"/>
        </w:rPr>
        <w:t>违约责任</w:t>
      </w:r>
      <w:r>
        <w:rPr>
          <w:rFonts w:hint="eastAsia" w:ascii="宋体" w:hAnsi="宋体" w:cs="宋体"/>
          <w:kern w:val="0"/>
          <w:szCs w:val="21"/>
          <w:highlight w:val="none"/>
        </w:rPr>
        <w:t>。如甲方反馈意见出现反复，导致乙方需要重新修改或返工，并造成进度延缓的，整个工作期限将相应顺延，顺延时间双方可协商确认，相应损失由甲方承担。甲方怠于履行付款、反馈等合同义务时，乙方可选择履行合同或书面通知甲方解除合同。</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7、如因甲方变更委托项目、要求、规模、技术指标、各项条件或因甲方提交的乙方资料错误、遗漏或所提供资料作较大修改等导致乙方需增加工作时间及期限的，本合同约定的工作进度时间顺延，顺延时间双方可协商，且甲方及乙方双方应当协商确定因此增加的服务费金额，并另行协商签订补充合同（或另订合同）。如双方未能就增加的服务金额达成一致并签订补充合同的，则视为乙方已经提交工作成果并经甲方成果确认合格。</w:t>
      </w:r>
    </w:p>
    <w:p>
      <w:pPr>
        <w:spacing w:beforeLines="50" w:line="360" w:lineRule="auto"/>
        <w:rPr>
          <w:rFonts w:ascii="宋体" w:hAnsi="宋体" w:cs="宋体"/>
          <w:b/>
          <w:kern w:val="0"/>
          <w:szCs w:val="21"/>
          <w:highlight w:val="none"/>
        </w:rPr>
      </w:pPr>
      <w:r>
        <w:rPr>
          <w:rFonts w:hint="eastAsia" w:ascii="宋体" w:hAnsi="宋体" w:cs="宋体"/>
          <w:b/>
          <w:kern w:val="0"/>
          <w:szCs w:val="21"/>
          <w:highlight w:val="none"/>
        </w:rPr>
        <w:t>五、双方责任</w:t>
      </w:r>
    </w:p>
    <w:p>
      <w:pPr>
        <w:autoSpaceDE w:val="0"/>
        <w:autoSpaceDN w:val="0"/>
        <w:adjustRightInd w:val="0"/>
        <w:spacing w:beforeLines="50" w:line="360" w:lineRule="auto"/>
        <w:rPr>
          <w:rFonts w:ascii="宋体" w:hAnsi="宋体" w:cs="宋体"/>
          <w:kern w:val="0"/>
          <w:szCs w:val="21"/>
          <w:highlight w:val="none"/>
        </w:rPr>
      </w:pPr>
      <w:r>
        <w:rPr>
          <w:rFonts w:hint="eastAsia" w:ascii="宋体" w:hAnsi="宋体" w:cs="宋体"/>
          <w:kern w:val="0"/>
          <w:szCs w:val="21"/>
          <w:highlight w:val="none"/>
        </w:rPr>
        <w:t>甲方责任：</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 xml:space="preserve"> 1、甲方有义务向乙方提供相关的研究资料及设计文件，并对其提供的研究资料及设计文件的合法性和真实性负责，乙方将在合同签订并收全第一笔合同款后3个工作日内以书面形式向甲方提交所需资料和文件目录；</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2、甲方提交上述资料及文件超过规定期限在10个工作日以内的，乙方按本合同第五条规定交付咨询成果时间顺延；超过规定期限10工作日以上时，乙方有权重新确定提交咨询成果的时间或暂缓履行合同；</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3、各阶段甲方均应在收到该阶段成果内容后5工作日内提出书面反馈意见，逾期未提出书面反馈意见的视为甲方对该阶段成果的认可；</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4、甲方提出修改的内容超出本合同约定，或提出在已经确认的阶段成果基础上进行主体内容重大变更的，双方应就上述具体工作内容、工作时间及费用进行友好协商，另行签订补充协议，且视为乙方提交工作成果合格并完成该阶段工作成果；</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5、在合同生效后，如甲方要求终止或解除或变更合同的（需以书面形式通知乙方），已支付给乙方的款项不予退还。如果乙方已开始项目相关工作，实际工作产生的费用超过甲方已支付款项的，甲方应根据乙方已进行的实际工作量进行支付以补齐实际工作产生的费用；</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6、甲方应保护乙方的知识产权，不得向第三方披露、转让乙方提交的资料文件和项目成果等，否则造成乙方损失的，由甲方承担赔偿责任。甲方使用项目成果中的任何内容都将被视为对项目成果的确认；</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7、甲方负责办理活动相关的政府报批手续，在此情况下，如甲方报批手续未被批准所导致的合同无法履行时，已支付给乙方的款项不予退还。如果乙方已开始项目相关工作，实际工作产生的费用超过甲方已支付款项的，甲方应根据乙方已进行的实际工作量进行支付；</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8、甲方应全力配合并及时提供项目主要资料、图件（如相关文件、统计数据、场地平面图等）。各阶段甲方反馈及确认须在5工作日内提交；</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9、因甲方的付款、反馈意见环节拖延而造成的进度延缓，整个工作期限将相应顺延。甲方怠于履行付款、反馈等合同义务时，乙方可选择继续履行合同，或者书面通知甲方解除合同；</w:t>
      </w:r>
    </w:p>
    <w:p>
      <w:pPr>
        <w:spacing w:line="360" w:lineRule="auto"/>
        <w:ind w:firstLine="480"/>
        <w:rPr>
          <w:rFonts w:ascii="宋体" w:hAnsi="宋体"/>
          <w:szCs w:val="21"/>
          <w:highlight w:val="none"/>
        </w:rPr>
      </w:pPr>
      <w:r>
        <w:rPr>
          <w:rFonts w:hint="eastAsia" w:ascii="宋体" w:hAnsi="宋体" w:cs="宋体"/>
          <w:kern w:val="0"/>
          <w:szCs w:val="21"/>
          <w:highlight w:val="none"/>
        </w:rPr>
        <w:t>10、甲方有义务按照本合同的相关规定向乙方按时支付相关费用。如因甲方未按时支付费用造成乙方对其他第三方违约时，甲方须承担由此产生的经济赔偿及相关法律责任。</w:t>
      </w:r>
    </w:p>
    <w:p>
      <w:pPr>
        <w:autoSpaceDE w:val="0"/>
        <w:autoSpaceDN w:val="0"/>
        <w:adjustRightInd w:val="0"/>
        <w:spacing w:beforeLines="50" w:line="360" w:lineRule="auto"/>
        <w:rPr>
          <w:rFonts w:ascii="宋体" w:hAnsi="宋体" w:cs="宋体"/>
          <w:kern w:val="0"/>
          <w:szCs w:val="21"/>
          <w:highlight w:val="none"/>
        </w:rPr>
      </w:pPr>
      <w:r>
        <w:rPr>
          <w:rFonts w:hint="eastAsia" w:ascii="宋体" w:hAnsi="宋体" w:cs="宋体"/>
          <w:kern w:val="0"/>
          <w:szCs w:val="21"/>
          <w:highlight w:val="none"/>
        </w:rPr>
        <w:t>乙方责任：</w:t>
      </w:r>
    </w:p>
    <w:p>
      <w:pPr>
        <w:numPr>
          <w:ilvl w:val="0"/>
          <w:numId w:val="2"/>
        </w:numPr>
        <w:spacing w:line="360" w:lineRule="auto"/>
        <w:ind w:firstLine="480"/>
        <w:rPr>
          <w:rFonts w:ascii="宋体" w:hAnsi="宋体" w:cs="宋体"/>
          <w:kern w:val="0"/>
          <w:szCs w:val="21"/>
          <w:highlight w:val="none"/>
        </w:rPr>
      </w:pPr>
      <w:r>
        <w:rPr>
          <w:rFonts w:hint="eastAsia" w:ascii="宋体" w:hAnsi="宋体" w:cs="宋体"/>
          <w:kern w:val="0"/>
          <w:szCs w:val="21"/>
          <w:highlight w:val="none"/>
        </w:rPr>
        <w:t>乙方按本合同规定的时间组织精干团队完成项目的考察、调研、策划、编制、汇报等相关工作；</w:t>
      </w:r>
    </w:p>
    <w:p>
      <w:pPr>
        <w:numPr>
          <w:ilvl w:val="0"/>
          <w:numId w:val="2"/>
        </w:numPr>
        <w:spacing w:line="360" w:lineRule="auto"/>
        <w:ind w:firstLine="480"/>
        <w:rPr>
          <w:rFonts w:ascii="宋体" w:hAnsi="宋体" w:cs="宋体"/>
          <w:kern w:val="0"/>
          <w:szCs w:val="21"/>
          <w:highlight w:val="none"/>
        </w:rPr>
      </w:pPr>
      <w:r>
        <w:rPr>
          <w:rFonts w:hint="eastAsia" w:ascii="宋体" w:hAnsi="宋体" w:cs="宋体"/>
          <w:kern w:val="0"/>
          <w:szCs w:val="21"/>
          <w:highlight w:val="none"/>
        </w:rPr>
        <w:t>乙方应依据本合同履行乙方对甲方的权利和义务。同时，甲方与第三方签署的合同不得影响甲方向乙方履行相关义务；</w:t>
      </w:r>
    </w:p>
    <w:p>
      <w:pPr>
        <w:numPr>
          <w:ilvl w:val="0"/>
          <w:numId w:val="2"/>
        </w:numPr>
        <w:spacing w:line="360" w:lineRule="auto"/>
        <w:ind w:firstLine="480"/>
        <w:rPr>
          <w:rFonts w:ascii="宋体" w:hAnsi="宋体" w:cs="宋体"/>
          <w:kern w:val="0"/>
          <w:szCs w:val="21"/>
          <w:highlight w:val="none"/>
        </w:rPr>
      </w:pPr>
      <w:r>
        <w:rPr>
          <w:rFonts w:hint="eastAsia" w:ascii="宋体" w:hAnsi="宋体" w:cs="宋体"/>
          <w:kern w:val="0"/>
          <w:szCs w:val="21"/>
          <w:highlight w:val="none"/>
        </w:rPr>
        <w:t>乙方应保护甲方的知识产权，不得向第三方披露、转让甲方提交的资料文件和图件等，否则造成甲方损失的，由乙方承担赔偿责任。但以下情况除外：法律法规允许披露；根据法律法规的要求，为法律诉讼、仲裁准备文件或提供证据，以及向监管机构报告发现的违法行为；在法律法规允许的情况下，在法律诉讼、仲裁中维护自己的合法权益。但由甲方披露给第三人或第三方的，则乙方无需承担责任；</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4、乙方应对所提交成果文件的合法性、真实性负责。如乙方提交的成果文件未能达到合同约定的标准，甲方有权要求乙方在合理期限内修改，但甲方要求的修改内容不得超过合同约定的范围；</w:t>
      </w:r>
    </w:p>
    <w:p>
      <w:pPr>
        <w:spacing w:line="360" w:lineRule="auto"/>
        <w:ind w:firstLine="480"/>
        <w:rPr>
          <w:rFonts w:ascii="宋体" w:hAnsi="宋体" w:cs="宋体"/>
          <w:kern w:val="0"/>
          <w:szCs w:val="21"/>
          <w:highlight w:val="none"/>
        </w:rPr>
      </w:pPr>
      <w:r>
        <w:rPr>
          <w:rFonts w:hint="eastAsia" w:ascii="宋体" w:hAnsi="宋体" w:cs="宋体"/>
          <w:kern w:val="0"/>
          <w:szCs w:val="21"/>
          <w:highlight w:val="none"/>
        </w:rPr>
        <w:t>5、乙方应按合同约定的时间完成各个项目的策划工作，甲方应提供一切便利条件并全力配合。甲方变更委托项目、规模、条件或因提交的资料错误、或所提供资料作较大修改，以致造成乙方工作需返工时，双方另行协商签订补充合同（或另订合同）重新明确有关条款。</w:t>
      </w:r>
    </w:p>
    <w:p>
      <w:pPr>
        <w:pStyle w:val="175"/>
        <w:numPr>
          <w:ilvl w:val="0"/>
          <w:numId w:val="3"/>
        </w:numPr>
        <w:spacing w:beforeLines="50" w:line="360" w:lineRule="auto"/>
        <w:ind w:firstLineChars="0"/>
        <w:rPr>
          <w:rFonts w:ascii="宋体" w:hAnsi="宋体" w:cs="宋体"/>
          <w:b/>
          <w:kern w:val="0"/>
          <w:szCs w:val="21"/>
          <w:highlight w:val="none"/>
        </w:rPr>
      </w:pPr>
      <w:r>
        <w:rPr>
          <w:rFonts w:hint="eastAsia" w:ascii="宋体" w:hAnsi="宋体" w:cs="宋体"/>
          <w:b/>
          <w:kern w:val="0"/>
          <w:szCs w:val="21"/>
          <w:highlight w:val="none"/>
        </w:rPr>
        <w:t>成果知识产权归属</w:t>
      </w:r>
    </w:p>
    <w:p>
      <w:pPr>
        <w:pStyle w:val="175"/>
        <w:spacing w:line="360" w:lineRule="auto"/>
        <w:ind w:left="105" w:leftChars="50"/>
        <w:rPr>
          <w:rFonts w:ascii="宋体" w:hAnsi="宋体" w:cs="宋体"/>
          <w:kern w:val="0"/>
          <w:szCs w:val="21"/>
          <w:highlight w:val="none"/>
        </w:rPr>
      </w:pPr>
      <w:r>
        <w:rPr>
          <w:rFonts w:hint="eastAsia" w:ascii="宋体" w:hAnsi="宋体" w:cs="宋体"/>
          <w:kern w:val="0"/>
          <w:szCs w:val="21"/>
          <w:highlight w:val="none"/>
        </w:rPr>
        <w:t>1、甲方随着服务费用的支付，拥有本项目咨询设计成果（包括所有图纸、模型、电子文本和文字资料等）部分的知识产权及相关权益，在甲方签字定案结算，付清本合同价款后，即成果归属甲方所有，甲方有权根据实际情况，调整或修改策划方案、设计内容及执行方案。</w:t>
      </w:r>
    </w:p>
    <w:p>
      <w:pPr>
        <w:spacing w:line="360" w:lineRule="auto"/>
        <w:ind w:left="480"/>
        <w:rPr>
          <w:rFonts w:ascii="宋体" w:hAnsi="宋体" w:cs="宋体"/>
          <w:kern w:val="0"/>
          <w:szCs w:val="21"/>
          <w:highlight w:val="none"/>
        </w:rPr>
      </w:pPr>
      <w:r>
        <w:rPr>
          <w:rFonts w:hint="eastAsia" w:ascii="宋体" w:hAnsi="宋体" w:cs="宋体"/>
          <w:kern w:val="0"/>
          <w:szCs w:val="21"/>
          <w:highlight w:val="none"/>
        </w:rPr>
        <w:t>2、本项目咨询设计成果（包括所有图纸、模型、电子文本和文字资料等）著作权依照上述</w:t>
      </w:r>
    </w:p>
    <w:p>
      <w:pPr>
        <w:spacing w:line="360" w:lineRule="auto"/>
        <w:rPr>
          <w:rFonts w:ascii="宋体" w:hAnsi="宋体" w:cs="宋体"/>
          <w:kern w:val="0"/>
          <w:szCs w:val="21"/>
          <w:highlight w:val="none"/>
        </w:rPr>
      </w:pPr>
      <w:r>
        <w:rPr>
          <w:rFonts w:hint="eastAsia" w:ascii="宋体" w:hAnsi="宋体" w:cs="宋体"/>
          <w:kern w:val="0"/>
          <w:szCs w:val="21"/>
          <w:highlight w:val="none"/>
        </w:rPr>
        <w:t>规定归属甲方后，乙方仍享有署名权, 且乙方有权在其他商务合作中在不涉及本项目和甲方任何信息的情况下作为经典案例引用的权利。</w:t>
      </w:r>
    </w:p>
    <w:p>
      <w:pPr>
        <w:spacing w:beforeLines="50" w:line="360" w:lineRule="auto"/>
        <w:rPr>
          <w:rFonts w:ascii="宋体" w:hAnsi="宋体" w:cs="宋体"/>
          <w:b/>
          <w:kern w:val="0"/>
          <w:szCs w:val="21"/>
          <w:highlight w:val="none"/>
        </w:rPr>
      </w:pPr>
      <w:r>
        <w:rPr>
          <w:rFonts w:hint="eastAsia" w:ascii="宋体" w:hAnsi="宋体" w:cs="宋体"/>
          <w:b/>
          <w:kern w:val="0"/>
          <w:szCs w:val="21"/>
          <w:highlight w:val="none"/>
        </w:rPr>
        <w:t>七、违约责任</w:t>
      </w:r>
    </w:p>
    <w:p>
      <w:pPr>
        <w:spacing w:beforeLines="50" w:line="360" w:lineRule="auto"/>
        <w:ind w:firstLine="420" w:firstLineChars="200"/>
        <w:rPr>
          <w:rFonts w:ascii="宋体" w:hAnsi="宋体"/>
          <w:szCs w:val="21"/>
          <w:highlight w:val="none"/>
        </w:rPr>
      </w:pPr>
      <w:r>
        <w:rPr>
          <w:rFonts w:hint="eastAsia" w:ascii="宋体" w:hAnsi="宋体" w:cs="ËÎÌå"/>
          <w:kern w:val="0"/>
          <w:szCs w:val="21"/>
          <w:highlight w:val="none"/>
        </w:rPr>
        <w:t xml:space="preserve"> </w:t>
      </w:r>
      <w:r>
        <w:rPr>
          <w:rFonts w:hint="eastAsia" w:ascii="宋体" w:hAnsi="宋体"/>
          <w:szCs w:val="21"/>
          <w:highlight w:val="none"/>
        </w:rPr>
        <w:t xml:space="preserve"> 1、本合同生效后，合同双方应积极履行有关义务，任何违反本合同约定的行为均构成违约，除本合同另有约定外，违约方应当承担合同价15%的违约金并赔偿守约方因之造成的损失及因此产生的合理费用，包括但不限于公证费、鉴定费、评估费、律师费、 诉讼费、保全费、差旅费、住宿费等，损失的赔偿及违约金的支付不影响违约方按照本合同的约定继续履行本合同。</w:t>
      </w:r>
    </w:p>
    <w:p>
      <w:pPr>
        <w:spacing w:beforeLines="50" w:line="360" w:lineRule="auto"/>
        <w:ind w:firstLine="420" w:firstLineChars="200"/>
        <w:rPr>
          <w:rFonts w:ascii="宋体" w:hAnsi="宋体"/>
          <w:szCs w:val="21"/>
          <w:highlight w:val="none"/>
        </w:rPr>
      </w:pPr>
      <w:r>
        <w:rPr>
          <w:rFonts w:hint="eastAsia" w:ascii="宋体" w:hAnsi="宋体"/>
          <w:szCs w:val="21"/>
          <w:highlight w:val="none"/>
        </w:rPr>
        <w:t>2、甲方应按照合同约定时间支付各阶段款项，如非因乙方原因导致的迟延付款，乙方应按照合同约定时间进行各阶段的工作推进。如甲方反馈意见出现反复，导致乙方需要重新修改或返工，并造成进度延缓的，整个工作期限将相应顺延，顺延时间双方可协商确认，如甲方未按照本合同约定时间支付款项，每逾期一日，应承担应付未付金额万分之一的违约金，违约金总额不超合同总价的百分之一，此情况下甲方负责举证责任。</w:t>
      </w:r>
    </w:p>
    <w:p>
      <w:pPr>
        <w:spacing w:beforeLines="50" w:line="360" w:lineRule="auto"/>
        <w:ind w:firstLine="420" w:firstLineChars="200"/>
        <w:rPr>
          <w:rFonts w:ascii="宋体" w:hAnsi="宋体"/>
          <w:szCs w:val="21"/>
          <w:highlight w:val="none"/>
        </w:rPr>
      </w:pPr>
      <w:r>
        <w:rPr>
          <w:rFonts w:hint="eastAsia" w:ascii="宋体" w:hAnsi="宋体"/>
          <w:szCs w:val="21"/>
          <w:highlight w:val="none"/>
        </w:rPr>
        <w:t>3、乙方未按照本合同约定时间提交咨询成果的，每逾期一日，应承担合同金额万分之一的违约金，违约金总额不超过合同总价的百分之一。</w:t>
      </w:r>
    </w:p>
    <w:p>
      <w:pPr>
        <w:spacing w:beforeLines="50" w:line="360" w:lineRule="auto"/>
        <w:ind w:firstLine="420" w:firstLineChars="200"/>
        <w:rPr>
          <w:rFonts w:ascii="宋体" w:hAnsi="宋体"/>
          <w:szCs w:val="21"/>
          <w:highlight w:val="none"/>
        </w:rPr>
      </w:pPr>
      <w:r>
        <w:rPr>
          <w:rFonts w:hint="eastAsia" w:ascii="宋体" w:hAnsi="宋体"/>
          <w:szCs w:val="21"/>
          <w:highlight w:val="none"/>
        </w:rPr>
        <w:t>4、甲方对其提供资料的正确性、时效性负责，对其委托乙方的事项合法性负责， 保证上述资料及内容不会侵犯任何第三方之合法权利，包括但不限于侵犯第三方知识产权、不会引起政府、行政部门处罚、第三方索赔及民事诉讼，如甲方违反本条约定而给第三方或乙方造成损失的，甲方承担相应责任；</w:t>
      </w:r>
    </w:p>
    <w:p>
      <w:pPr>
        <w:spacing w:beforeLines="50" w:line="360" w:lineRule="auto"/>
        <w:ind w:firstLine="420" w:firstLineChars="200"/>
        <w:rPr>
          <w:rFonts w:ascii="宋体" w:hAnsi="宋体"/>
          <w:szCs w:val="21"/>
          <w:highlight w:val="none"/>
        </w:rPr>
      </w:pPr>
      <w:r>
        <w:rPr>
          <w:rFonts w:hint="eastAsia" w:ascii="宋体" w:hAnsi="宋体"/>
          <w:szCs w:val="21"/>
          <w:highlight w:val="none"/>
        </w:rPr>
        <w:t xml:space="preserve"> 5、乙方对其提交的工作成果完整性、正确性、时效性负责，对其合法性负责，保证上述成果不会侵犯任何第三方之合法权利，包括但不限于侵犯第三方知识产权、不会引起政府、行政部门处罚、第三方索赔及民事诉讼，如乙方违反本条约定而给第三方或甲方造成损失的，乙方承担违约责任。</w:t>
      </w:r>
    </w:p>
    <w:p>
      <w:pPr>
        <w:spacing w:beforeLines="50" w:line="360" w:lineRule="auto"/>
        <w:rPr>
          <w:rFonts w:ascii="宋体" w:hAnsi="宋体" w:cs="宋体"/>
          <w:b/>
          <w:kern w:val="0"/>
          <w:szCs w:val="21"/>
          <w:highlight w:val="none"/>
        </w:rPr>
      </w:pPr>
      <w:r>
        <w:rPr>
          <w:rFonts w:hint="eastAsia" w:ascii="宋体" w:hAnsi="宋体" w:cs="宋体"/>
          <w:b/>
          <w:kern w:val="0"/>
          <w:szCs w:val="21"/>
          <w:highlight w:val="none"/>
        </w:rPr>
        <w:t>八、不可抗力</w:t>
      </w:r>
    </w:p>
    <w:p>
      <w:pPr>
        <w:autoSpaceDE w:val="0"/>
        <w:autoSpaceDN w:val="0"/>
        <w:adjustRightInd w:val="0"/>
        <w:spacing w:beforeLines="50" w:line="360" w:lineRule="auto"/>
        <w:ind w:firstLine="420" w:firstLineChars="200"/>
        <w:rPr>
          <w:rFonts w:ascii="宋体" w:hAnsi="宋体" w:cs="宋体"/>
          <w:kern w:val="0"/>
          <w:szCs w:val="21"/>
          <w:highlight w:val="none"/>
        </w:rPr>
      </w:pPr>
      <w:r>
        <w:rPr>
          <w:rFonts w:ascii="宋体" w:hAnsi="宋体" w:cs="ËÎÌå"/>
          <w:kern w:val="0"/>
          <w:szCs w:val="21"/>
          <w:highlight w:val="none"/>
        </w:rPr>
        <w:t>1</w:t>
      </w:r>
      <w:r>
        <w:rPr>
          <w:rFonts w:hint="eastAsia" w:ascii="宋体" w:hAnsi="宋体" w:cs="宋体"/>
          <w:kern w:val="0"/>
          <w:szCs w:val="21"/>
          <w:highlight w:val="none"/>
        </w:rPr>
        <w:t>、不可抗力是指战争、台风、水灾、火灾、地震等自然灾害和其它不可预见政府因素的，对其发生和后果不能防止或避免的事件，且该事件妨碍、影响或延误任何一方根据本合同履行其全部或部分义务。</w:t>
      </w:r>
    </w:p>
    <w:p>
      <w:pPr>
        <w:autoSpaceDE w:val="0"/>
        <w:autoSpaceDN w:val="0"/>
        <w:adjustRightInd w:val="0"/>
        <w:spacing w:beforeLines="50" w:line="360" w:lineRule="auto"/>
        <w:ind w:firstLine="420" w:firstLineChars="200"/>
        <w:rPr>
          <w:rFonts w:ascii="宋体" w:hAnsi="宋体" w:cs="宋体"/>
          <w:kern w:val="0"/>
          <w:szCs w:val="21"/>
          <w:highlight w:val="none"/>
        </w:rPr>
      </w:pPr>
      <w:r>
        <w:rPr>
          <w:rFonts w:ascii="宋体" w:hAnsi="宋体" w:cs="ËÎÌå"/>
          <w:kern w:val="0"/>
          <w:szCs w:val="21"/>
          <w:highlight w:val="none"/>
        </w:rPr>
        <w:t>2</w:t>
      </w:r>
      <w:r>
        <w:rPr>
          <w:rFonts w:hint="eastAsia" w:ascii="宋体" w:hAnsi="宋体" w:cs="宋体"/>
          <w:kern w:val="0"/>
          <w:szCs w:val="21"/>
          <w:highlight w:val="none"/>
        </w:rPr>
        <w:t>、如果有一方认为不可抗力发生影响履行本合同义务履行的，</w:t>
      </w:r>
      <w:r>
        <w:rPr>
          <w:rFonts w:hint="eastAsia" w:ascii="宋体" w:hAnsi="宋体"/>
          <w:szCs w:val="21"/>
          <w:highlight w:val="none"/>
        </w:rPr>
        <w:t>应于不可抗力情形发生之日起3日内书面通知另一方，并提供有效的证明文件。</w:t>
      </w:r>
      <w:r>
        <w:rPr>
          <w:rFonts w:hint="eastAsia" w:ascii="宋体" w:hAnsi="宋体" w:cs="宋体"/>
          <w:kern w:val="0"/>
          <w:szCs w:val="21"/>
          <w:highlight w:val="none"/>
        </w:rPr>
        <w:t>按事件对履约影响的程度，由双方协商决定是否终止合同或部分免除履约的责任，或者延期履约。</w:t>
      </w:r>
    </w:p>
    <w:p>
      <w:pPr>
        <w:autoSpaceDE w:val="0"/>
        <w:autoSpaceDN w:val="0"/>
        <w:adjustRightInd w:val="0"/>
        <w:spacing w:beforeLines="50" w:line="360" w:lineRule="auto"/>
        <w:ind w:firstLine="420" w:firstLineChars="200"/>
        <w:rPr>
          <w:rFonts w:ascii="宋体" w:hAnsi="宋体" w:cs="宋体"/>
          <w:kern w:val="0"/>
          <w:szCs w:val="21"/>
          <w:highlight w:val="none"/>
        </w:rPr>
      </w:pPr>
      <w:r>
        <w:rPr>
          <w:rFonts w:ascii="宋体" w:hAnsi="宋体" w:cs="ËÎÌå"/>
          <w:kern w:val="0"/>
          <w:szCs w:val="21"/>
          <w:highlight w:val="none"/>
        </w:rPr>
        <w:t>3</w:t>
      </w:r>
      <w:r>
        <w:rPr>
          <w:rFonts w:hint="eastAsia" w:ascii="宋体" w:hAnsi="宋体" w:cs="宋体"/>
          <w:kern w:val="0"/>
          <w:szCs w:val="21"/>
          <w:highlight w:val="none"/>
        </w:rPr>
        <w:t>、当不可抗力发生时，任何一方都不能被视作违约或不履行本合同义务。在不可抗力事件前存在的合同上的责任，不应受到影响，乙方应完成相应设计工作，甲方应对乙方已完成工作做出支付。</w:t>
      </w:r>
    </w:p>
    <w:p>
      <w:pPr>
        <w:spacing w:line="360" w:lineRule="auto"/>
        <w:jc w:val="left"/>
        <w:rPr>
          <w:rFonts w:ascii="宋体" w:hAnsi="宋体"/>
          <w:b/>
          <w:bCs/>
          <w:szCs w:val="21"/>
          <w:highlight w:val="none"/>
        </w:rPr>
      </w:pPr>
      <w:r>
        <w:rPr>
          <w:rFonts w:hint="eastAsia" w:ascii="宋体" w:hAnsi="宋体" w:cs="宋体"/>
          <w:b/>
          <w:kern w:val="0"/>
          <w:szCs w:val="21"/>
          <w:highlight w:val="none"/>
        </w:rPr>
        <w:t>九、</w:t>
      </w:r>
      <w:r>
        <w:rPr>
          <w:rFonts w:ascii="宋体" w:hAnsi="宋体"/>
          <w:b/>
          <w:bCs/>
          <w:szCs w:val="21"/>
          <w:highlight w:val="none"/>
        </w:rPr>
        <w:t xml:space="preserve">保密条款 </w:t>
      </w:r>
    </w:p>
    <w:p>
      <w:pPr>
        <w:spacing w:line="360" w:lineRule="auto"/>
        <w:ind w:firstLine="420" w:firstLineChars="200"/>
        <w:jc w:val="left"/>
        <w:rPr>
          <w:rFonts w:ascii="宋体" w:hAnsi="宋体"/>
          <w:szCs w:val="21"/>
          <w:highlight w:val="none"/>
        </w:rPr>
      </w:pPr>
      <w:r>
        <w:rPr>
          <w:rFonts w:ascii="宋体" w:hAnsi="宋体"/>
          <w:szCs w:val="21"/>
          <w:highlight w:val="none"/>
        </w:rPr>
        <w:t>双方各自向对方承诺：未经对方书面同意，甲乙双方均不得将所取得的材料、文件、信息 向任何第三方披露或泄漏。</w:t>
      </w:r>
    </w:p>
    <w:p>
      <w:pPr>
        <w:spacing w:line="360" w:lineRule="auto"/>
        <w:ind w:firstLine="420" w:firstLineChars="200"/>
        <w:jc w:val="left"/>
        <w:rPr>
          <w:rFonts w:ascii="宋体" w:hAnsi="宋体"/>
          <w:szCs w:val="21"/>
          <w:highlight w:val="none"/>
        </w:rPr>
      </w:pPr>
      <w:r>
        <w:rPr>
          <w:rFonts w:ascii="宋体" w:hAnsi="宋体"/>
          <w:szCs w:val="21"/>
          <w:highlight w:val="none"/>
        </w:rPr>
        <w:t>甲乙双方应对其在本合同签订/履行过程中所知悉的对方及相关方 的任何保密信息承担严格的保密义务，除非有证据证明该等信息属于公知信息或者事先得到对 方的书面授权。该等保密义务在本合同终止后仍然继续有效。</w:t>
      </w:r>
    </w:p>
    <w:p>
      <w:pPr>
        <w:autoSpaceDE w:val="0"/>
        <w:autoSpaceDN w:val="0"/>
        <w:adjustRightInd w:val="0"/>
        <w:spacing w:beforeLines="50" w:line="360" w:lineRule="auto"/>
        <w:rPr>
          <w:rFonts w:ascii="宋体" w:hAnsi="宋体" w:cs="宋体"/>
          <w:b/>
          <w:kern w:val="0"/>
          <w:szCs w:val="21"/>
          <w:highlight w:val="none"/>
        </w:rPr>
      </w:pPr>
      <w:r>
        <w:rPr>
          <w:rFonts w:hint="eastAsia" w:ascii="宋体" w:hAnsi="宋体" w:cs="宋体"/>
          <w:b/>
          <w:kern w:val="0"/>
          <w:szCs w:val="21"/>
          <w:highlight w:val="none"/>
        </w:rPr>
        <w:t>十、争议解决</w:t>
      </w:r>
    </w:p>
    <w:p>
      <w:pPr>
        <w:autoSpaceDE w:val="0"/>
        <w:autoSpaceDN w:val="0"/>
        <w:adjustRightInd w:val="0"/>
        <w:spacing w:beforeLines="50"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 xml:space="preserve">凡因执行本合同所发生的一切争议，双方应首先通过友好协商解决。协商不成，均应提交上原告所在地人民法院诉讼解决。  </w:t>
      </w:r>
    </w:p>
    <w:p>
      <w:pPr>
        <w:spacing w:beforeLines="50" w:line="360" w:lineRule="auto"/>
        <w:rPr>
          <w:rFonts w:ascii="宋体" w:hAnsi="宋体" w:cs="宋体"/>
          <w:b/>
          <w:kern w:val="0"/>
          <w:szCs w:val="21"/>
          <w:highlight w:val="none"/>
        </w:rPr>
      </w:pPr>
      <w:r>
        <w:rPr>
          <w:rFonts w:hint="eastAsia" w:ascii="宋体" w:hAnsi="宋体" w:cs="宋体"/>
          <w:b/>
          <w:kern w:val="0"/>
          <w:szCs w:val="21"/>
          <w:highlight w:val="none"/>
        </w:rPr>
        <w:t>十一、合同效力</w:t>
      </w:r>
    </w:p>
    <w:p>
      <w:pPr>
        <w:autoSpaceDE w:val="0"/>
        <w:autoSpaceDN w:val="0"/>
        <w:adjustRightInd w:val="0"/>
        <w:spacing w:beforeLines="50" w:line="360" w:lineRule="auto"/>
        <w:ind w:firstLine="424" w:firstLineChars="202"/>
        <w:rPr>
          <w:rFonts w:ascii="宋体" w:hAnsi="宋体" w:cs="宋体"/>
          <w:kern w:val="0"/>
          <w:szCs w:val="21"/>
          <w:highlight w:val="none"/>
        </w:rPr>
      </w:pPr>
      <w:r>
        <w:rPr>
          <w:rFonts w:ascii="宋体" w:hAnsi="宋体" w:cs="ËÎÌå"/>
          <w:kern w:val="0"/>
          <w:szCs w:val="21"/>
          <w:highlight w:val="none"/>
        </w:rPr>
        <w:t>1</w:t>
      </w:r>
      <w:r>
        <w:rPr>
          <w:rFonts w:hint="eastAsia" w:ascii="宋体" w:hAnsi="宋体" w:cs="宋体"/>
          <w:kern w:val="0"/>
          <w:szCs w:val="21"/>
          <w:highlight w:val="none"/>
        </w:rPr>
        <w:t>、下列合同附件为本合同的组成部分，与本合同具有同等法律效力：</w:t>
      </w:r>
    </w:p>
    <w:p>
      <w:pPr>
        <w:autoSpaceDE w:val="0"/>
        <w:autoSpaceDN w:val="0"/>
        <w:adjustRightInd w:val="0"/>
        <w:spacing w:beforeLines="50" w:line="360" w:lineRule="auto"/>
        <w:ind w:firstLine="424" w:firstLineChars="202"/>
        <w:rPr>
          <w:rFonts w:ascii="宋体" w:hAnsi="宋体" w:cs="宋体"/>
          <w:kern w:val="0"/>
          <w:szCs w:val="21"/>
          <w:highlight w:val="none"/>
        </w:rPr>
      </w:pPr>
      <w:r>
        <w:rPr>
          <w:rFonts w:ascii="宋体" w:hAnsi="宋体" w:cs="ËÎÌå"/>
          <w:kern w:val="0"/>
          <w:szCs w:val="21"/>
          <w:highlight w:val="none"/>
        </w:rPr>
        <w:t>2</w:t>
      </w:r>
      <w:r>
        <w:rPr>
          <w:rFonts w:hint="eastAsia" w:ascii="宋体" w:hAnsi="宋体" w:cs="宋体"/>
          <w:kern w:val="0"/>
          <w:szCs w:val="21"/>
          <w:highlight w:val="none"/>
        </w:rPr>
        <w:t>、本合同之未尽事宜，可经甲乙双方协商，另行签订补充协议。补充协议与本合同具有同等法律效力。如补充协议的内容与本合同相关内容不一致时，以补充协议的内容为准；</w:t>
      </w:r>
    </w:p>
    <w:p>
      <w:pPr>
        <w:spacing w:line="360" w:lineRule="auto"/>
        <w:ind w:firstLine="424" w:firstLineChars="202"/>
        <w:jc w:val="left"/>
        <w:rPr>
          <w:rFonts w:ascii="宋体" w:hAnsi="宋体"/>
          <w:szCs w:val="21"/>
          <w:highlight w:val="none"/>
        </w:rPr>
      </w:pPr>
      <w:r>
        <w:rPr>
          <w:rFonts w:ascii="宋体" w:hAnsi="宋体" w:cs="ËÎÌå"/>
          <w:kern w:val="0"/>
          <w:szCs w:val="21"/>
          <w:highlight w:val="none"/>
        </w:rPr>
        <w:t>3</w:t>
      </w:r>
      <w:r>
        <w:rPr>
          <w:rFonts w:hint="eastAsia" w:ascii="宋体" w:hAnsi="宋体" w:cs="宋体"/>
          <w:kern w:val="0"/>
          <w:szCs w:val="21"/>
          <w:highlight w:val="none"/>
        </w:rPr>
        <w:t>、本合同壹式肆份，经甲方、乙方盖章后生效，甲乙双方各执贰份，</w:t>
      </w:r>
      <w:r>
        <w:rPr>
          <w:rFonts w:ascii="宋体" w:hAnsi="宋体"/>
          <w:szCs w:val="21"/>
          <w:highlight w:val="none"/>
        </w:rPr>
        <w:t>具有同等法律效力</w:t>
      </w:r>
      <w:r>
        <w:rPr>
          <w:rFonts w:hint="eastAsia" w:ascii="宋体" w:hAnsi="宋体"/>
          <w:szCs w:val="21"/>
          <w:highlight w:val="none"/>
        </w:rPr>
        <w:t>；</w:t>
      </w:r>
    </w:p>
    <w:p>
      <w:pPr>
        <w:spacing w:line="360" w:lineRule="auto"/>
        <w:ind w:firstLine="420" w:firstLineChars="200"/>
        <w:jc w:val="left"/>
        <w:rPr>
          <w:rFonts w:ascii="宋体" w:hAnsi="宋体"/>
          <w:szCs w:val="21"/>
          <w:highlight w:val="none"/>
        </w:rPr>
      </w:pPr>
      <w:r>
        <w:rPr>
          <w:rFonts w:hint="eastAsia" w:ascii="宋体" w:hAnsi="宋体"/>
          <w:szCs w:val="21"/>
          <w:highlight w:val="none"/>
        </w:rPr>
        <w:t>4</w:t>
      </w:r>
      <w:r>
        <w:rPr>
          <w:rFonts w:ascii="宋体" w:hAnsi="宋体"/>
          <w:szCs w:val="21"/>
          <w:highlight w:val="none"/>
        </w:rPr>
        <w:t>、本合同项下“之日”包含行为日当日，本合同项下约定期间应自行为日当日开始计算；</w:t>
      </w:r>
    </w:p>
    <w:p>
      <w:pPr>
        <w:spacing w:line="360" w:lineRule="auto"/>
        <w:ind w:firstLine="420" w:firstLineChars="200"/>
        <w:rPr>
          <w:rFonts w:ascii="宋体" w:hAnsi="宋体" w:cs="宋体"/>
          <w:szCs w:val="21"/>
          <w:highlight w:val="none"/>
        </w:rPr>
      </w:pPr>
      <w:r>
        <w:rPr>
          <w:rFonts w:hint="eastAsia" w:ascii="宋体" w:hAnsi="宋体"/>
          <w:szCs w:val="21"/>
          <w:highlight w:val="none"/>
        </w:rPr>
        <w:t>5</w:t>
      </w:r>
      <w:r>
        <w:rPr>
          <w:rFonts w:ascii="宋体" w:hAnsi="宋体"/>
          <w:szCs w:val="21"/>
          <w:highlight w:val="none"/>
        </w:rPr>
        <w:t>、本合同有效期自双方盖章之日起至本合同项下约定义务全部履行完毕之日止。</w:t>
      </w:r>
    </w:p>
    <w:p>
      <w:pPr>
        <w:rPr>
          <w:rFonts w:ascii="宋体" w:hAnsi="宋体"/>
          <w:b/>
          <w:bCs/>
          <w:szCs w:val="21"/>
          <w:highlight w:val="none"/>
        </w:rPr>
      </w:pPr>
      <w:r>
        <w:rPr>
          <w:rFonts w:hint="eastAsia" w:ascii="宋体" w:hAnsi="宋体"/>
          <w:b/>
          <w:bCs/>
          <w:szCs w:val="21"/>
          <w:highlight w:val="none"/>
        </w:rPr>
        <w:t>十二、合同的变更和解除、终止</w:t>
      </w:r>
    </w:p>
    <w:p>
      <w:pPr>
        <w:spacing w:beforeLines="50" w:line="360" w:lineRule="auto"/>
        <w:ind w:firstLine="420" w:firstLineChars="200"/>
        <w:rPr>
          <w:rFonts w:ascii="宋体" w:hAnsi="宋体"/>
          <w:szCs w:val="21"/>
          <w:highlight w:val="none"/>
        </w:rPr>
      </w:pPr>
      <w:r>
        <w:rPr>
          <w:rFonts w:hint="eastAsia" w:ascii="宋体" w:hAnsi="宋体"/>
          <w:szCs w:val="21"/>
          <w:highlight w:val="none"/>
        </w:rPr>
        <w:t>1、在本合同有效期内，经双方协商一致，本合同可以变更或者解除、终止；</w:t>
      </w:r>
    </w:p>
    <w:p>
      <w:pPr>
        <w:spacing w:beforeLines="50" w:line="360" w:lineRule="auto"/>
        <w:ind w:firstLine="420" w:firstLineChars="200"/>
        <w:rPr>
          <w:rFonts w:ascii="宋体" w:hAnsi="宋体"/>
          <w:szCs w:val="21"/>
          <w:highlight w:val="none"/>
        </w:rPr>
      </w:pPr>
      <w:r>
        <w:rPr>
          <w:rFonts w:hint="eastAsia" w:ascii="宋体" w:hAnsi="宋体"/>
          <w:szCs w:val="21"/>
          <w:highlight w:val="none"/>
        </w:rPr>
        <w:t>2、本合同的变更与解除、终止，除依据中华人民共和国法律法规之规定及本合同另有约定外，必须由签约双方协商一致，订立书面合同，并经双方履行必要的盖章程序。</w:t>
      </w:r>
    </w:p>
    <w:p>
      <w:pPr>
        <w:widowControl/>
        <w:shd w:val="clear" w:color="auto" w:fill="FFFFFF"/>
        <w:spacing w:line="360" w:lineRule="auto"/>
        <w:jc w:val="left"/>
        <w:rPr>
          <w:rFonts w:ascii="宋体" w:hAnsi="宋体"/>
          <w:szCs w:val="21"/>
          <w:highlight w:val="none"/>
        </w:rPr>
      </w:pPr>
      <w:r>
        <w:rPr>
          <w:rFonts w:hint="eastAsia" w:ascii="宋体" w:hAnsi="宋体" w:cs="宋体"/>
          <w:b/>
          <w:kern w:val="0"/>
          <w:szCs w:val="21"/>
          <w:highlight w:val="none"/>
        </w:rPr>
        <w:t>（以下无正文）</w:t>
      </w:r>
    </w:p>
    <w:p>
      <w:pPr>
        <w:autoSpaceDE w:val="0"/>
        <w:autoSpaceDN w:val="0"/>
        <w:adjustRightInd w:val="0"/>
        <w:spacing w:beforeLines="50" w:line="360" w:lineRule="auto"/>
        <w:rPr>
          <w:rFonts w:ascii="宋体" w:hAnsi="宋体" w:cs="宋体"/>
          <w:b/>
          <w:kern w:val="0"/>
          <w:szCs w:val="21"/>
          <w:highlight w:val="none"/>
        </w:rPr>
      </w:pPr>
    </w:p>
    <w:p>
      <w:pPr>
        <w:spacing w:beforeLines="50" w:line="360" w:lineRule="auto"/>
        <w:rPr>
          <w:rFonts w:ascii="宋体" w:hAnsi="宋体" w:cs="宋体"/>
          <w:b/>
          <w:kern w:val="0"/>
          <w:szCs w:val="21"/>
          <w:highlight w:val="none"/>
        </w:rPr>
      </w:pPr>
      <w:r>
        <w:rPr>
          <w:rFonts w:hint="eastAsia" w:ascii="宋体" w:hAnsi="宋体" w:cs="宋体"/>
          <w:b/>
          <w:kern w:val="0"/>
          <w:szCs w:val="21"/>
          <w:highlight w:val="none"/>
        </w:rPr>
        <w:t>甲方：                                          乙方：</w:t>
      </w:r>
      <w:r>
        <w:rPr>
          <w:rFonts w:ascii="宋体" w:hAnsi="宋体" w:cs="宋体"/>
          <w:b/>
          <w:kern w:val="0"/>
          <w:szCs w:val="21"/>
          <w:highlight w:val="none"/>
        </w:rPr>
        <w:t xml:space="preserve"> </w:t>
      </w:r>
    </w:p>
    <w:p>
      <w:pPr>
        <w:autoSpaceDE w:val="0"/>
        <w:autoSpaceDN w:val="0"/>
        <w:adjustRightInd w:val="0"/>
        <w:spacing w:beforeLines="50" w:line="360" w:lineRule="auto"/>
        <w:rPr>
          <w:rFonts w:ascii="宋体" w:hAnsi="宋体" w:cs="ËÎÌå"/>
          <w:b/>
          <w:kern w:val="0"/>
          <w:szCs w:val="21"/>
          <w:highlight w:val="none"/>
        </w:rPr>
      </w:pPr>
      <w:r>
        <w:rPr>
          <w:rFonts w:hint="eastAsia" w:ascii="宋体" w:hAnsi="宋体" w:cs="宋体"/>
          <w:b/>
          <w:kern w:val="0"/>
          <w:szCs w:val="21"/>
          <w:highlight w:val="none"/>
        </w:rPr>
        <w:t>法定代表人</w:t>
      </w:r>
      <w:r>
        <w:rPr>
          <w:rFonts w:ascii="宋体" w:hAnsi="宋体" w:cs="ËÎÌå"/>
          <w:b/>
          <w:kern w:val="0"/>
          <w:szCs w:val="21"/>
          <w:highlight w:val="none"/>
        </w:rPr>
        <w:t>(</w:t>
      </w:r>
      <w:r>
        <w:rPr>
          <w:rFonts w:hint="eastAsia" w:ascii="宋体" w:hAnsi="宋体" w:cs="宋体"/>
          <w:b/>
          <w:kern w:val="0"/>
          <w:szCs w:val="21"/>
          <w:highlight w:val="none"/>
        </w:rPr>
        <w:t>或其授权代表</w:t>
      </w:r>
      <w:r>
        <w:rPr>
          <w:rFonts w:ascii="宋体" w:hAnsi="宋体" w:cs="ËÎÌå"/>
          <w:b/>
          <w:kern w:val="0"/>
          <w:szCs w:val="21"/>
          <w:highlight w:val="none"/>
        </w:rPr>
        <w:t>)</w:t>
      </w:r>
      <w:r>
        <w:rPr>
          <w:rFonts w:hint="eastAsia" w:ascii="宋体" w:hAnsi="宋体" w:cs="宋体"/>
          <w:b/>
          <w:kern w:val="0"/>
          <w:szCs w:val="21"/>
          <w:highlight w:val="none"/>
        </w:rPr>
        <w:t xml:space="preserve"> 签字：</w:t>
      </w:r>
      <w:r>
        <w:rPr>
          <w:rFonts w:hint="eastAsia" w:ascii="宋体" w:hAnsi="宋体" w:cs="宋体"/>
          <w:b/>
          <w:kern w:val="0"/>
          <w:szCs w:val="21"/>
          <w:highlight w:val="none"/>
        </w:rPr>
        <w:tab/>
      </w:r>
      <w:r>
        <w:rPr>
          <w:rFonts w:hint="eastAsia" w:ascii="宋体" w:hAnsi="宋体" w:cs="宋体"/>
          <w:b/>
          <w:kern w:val="0"/>
          <w:szCs w:val="21"/>
          <w:highlight w:val="none"/>
        </w:rPr>
        <w:tab/>
      </w:r>
      <w:r>
        <w:rPr>
          <w:rFonts w:ascii="宋体" w:hAnsi="宋体" w:cs="宋体"/>
          <w:b/>
          <w:kern w:val="0"/>
          <w:szCs w:val="21"/>
          <w:highlight w:val="none"/>
        </w:rPr>
        <w:t xml:space="preserve">   </w:t>
      </w:r>
      <w:r>
        <w:rPr>
          <w:rFonts w:hint="eastAsia" w:ascii="宋体" w:hAnsi="宋体" w:cs="宋体"/>
          <w:b/>
          <w:kern w:val="0"/>
          <w:szCs w:val="21"/>
          <w:highlight w:val="none"/>
        </w:rPr>
        <w:t>法定代表人</w:t>
      </w:r>
      <w:r>
        <w:rPr>
          <w:rFonts w:ascii="宋体" w:hAnsi="宋体" w:cs="ËÎÌå"/>
          <w:b/>
          <w:kern w:val="0"/>
          <w:szCs w:val="21"/>
          <w:highlight w:val="none"/>
        </w:rPr>
        <w:t>(</w:t>
      </w:r>
      <w:r>
        <w:rPr>
          <w:rFonts w:hint="eastAsia" w:ascii="宋体" w:hAnsi="宋体" w:cs="宋体"/>
          <w:b/>
          <w:kern w:val="0"/>
          <w:szCs w:val="21"/>
          <w:highlight w:val="none"/>
        </w:rPr>
        <w:t>或其授权代表</w:t>
      </w:r>
      <w:r>
        <w:rPr>
          <w:rFonts w:ascii="宋体" w:hAnsi="宋体" w:cs="ËÎÌå"/>
          <w:b/>
          <w:kern w:val="0"/>
          <w:szCs w:val="21"/>
          <w:highlight w:val="none"/>
        </w:rPr>
        <w:t>)</w:t>
      </w:r>
      <w:r>
        <w:rPr>
          <w:rFonts w:hint="eastAsia" w:ascii="宋体" w:hAnsi="宋体" w:cs="宋体"/>
          <w:b/>
          <w:kern w:val="0"/>
          <w:szCs w:val="21"/>
          <w:highlight w:val="none"/>
        </w:rPr>
        <w:t xml:space="preserve"> 签字：</w:t>
      </w:r>
    </w:p>
    <w:p>
      <w:pPr>
        <w:autoSpaceDE w:val="0"/>
        <w:autoSpaceDN w:val="0"/>
        <w:adjustRightInd w:val="0"/>
        <w:spacing w:beforeLines="50" w:line="360" w:lineRule="auto"/>
        <w:rPr>
          <w:rFonts w:ascii="宋体" w:hAnsi="宋体" w:cs="ËÎÌå"/>
          <w:b/>
          <w:kern w:val="0"/>
          <w:szCs w:val="21"/>
          <w:highlight w:val="none"/>
        </w:rPr>
      </w:pPr>
      <w:r>
        <w:rPr>
          <w:rFonts w:hint="eastAsia" w:ascii="宋体" w:hAnsi="宋体" w:cs="ËÎÌå"/>
          <w:b/>
          <w:kern w:val="0"/>
          <w:szCs w:val="21"/>
          <w:highlight w:val="none"/>
        </w:rPr>
        <w:t>日期：</w:t>
      </w:r>
      <w:r>
        <w:rPr>
          <w:rFonts w:hint="eastAsia" w:ascii="宋体" w:hAnsi="宋体" w:cs="ËÎÌå"/>
          <w:b/>
          <w:kern w:val="0"/>
          <w:szCs w:val="21"/>
          <w:highlight w:val="none"/>
        </w:rPr>
        <w:tab/>
      </w:r>
      <w:r>
        <w:rPr>
          <w:rFonts w:hint="eastAsia" w:ascii="宋体" w:hAnsi="宋体" w:cs="ËÎÌå"/>
          <w:b/>
          <w:kern w:val="0"/>
          <w:szCs w:val="21"/>
          <w:highlight w:val="none"/>
        </w:rPr>
        <w:tab/>
      </w:r>
      <w:r>
        <w:rPr>
          <w:rFonts w:hint="eastAsia" w:ascii="宋体" w:hAnsi="宋体" w:cs="ËÎÌå"/>
          <w:b/>
          <w:kern w:val="0"/>
          <w:szCs w:val="21"/>
          <w:highlight w:val="none"/>
        </w:rPr>
        <w:tab/>
      </w:r>
      <w:r>
        <w:rPr>
          <w:rFonts w:hint="eastAsia" w:ascii="宋体" w:hAnsi="宋体" w:cs="ËÎÌå"/>
          <w:b/>
          <w:kern w:val="0"/>
          <w:szCs w:val="21"/>
          <w:highlight w:val="none"/>
        </w:rPr>
        <w:tab/>
      </w:r>
      <w:r>
        <w:rPr>
          <w:rFonts w:hint="eastAsia" w:ascii="宋体" w:hAnsi="宋体" w:cs="ËÎÌå"/>
          <w:b/>
          <w:kern w:val="0"/>
          <w:szCs w:val="21"/>
          <w:highlight w:val="none"/>
        </w:rPr>
        <w:tab/>
      </w:r>
      <w:r>
        <w:rPr>
          <w:rFonts w:hint="eastAsia" w:ascii="宋体" w:hAnsi="宋体" w:cs="ËÎÌå"/>
          <w:b/>
          <w:kern w:val="0"/>
          <w:szCs w:val="21"/>
          <w:highlight w:val="none"/>
        </w:rPr>
        <w:t xml:space="preserve">                        日期：</w:t>
      </w:r>
    </w:p>
    <w:p>
      <w:pPr>
        <w:spacing w:line="360" w:lineRule="auto"/>
        <w:rPr>
          <w:rFonts w:ascii="宋体" w:hAnsi="宋体" w:cs="ËÎÌå"/>
          <w:b/>
          <w:kern w:val="0"/>
          <w:sz w:val="24"/>
          <w:highlight w:val="none"/>
        </w:rPr>
      </w:pPr>
    </w:p>
    <w:p>
      <w:pPr>
        <w:spacing w:line="360" w:lineRule="auto"/>
        <w:rPr>
          <w:rFonts w:ascii="宋体" w:hAnsi="宋体"/>
          <w:b/>
          <w:sz w:val="24"/>
          <w:highlight w:val="none"/>
        </w:rPr>
      </w:pPr>
      <w:r>
        <w:rPr>
          <w:rFonts w:hint="eastAsia" w:ascii="宋体" w:hAnsi="宋体" w:cs="ËÎÌå"/>
          <w:b/>
          <w:kern w:val="0"/>
          <w:sz w:val="24"/>
          <w:highlight w:val="none"/>
        </w:rPr>
        <w:t>附件</w:t>
      </w:r>
      <w:r>
        <w:rPr>
          <w:rFonts w:ascii="宋体" w:hAnsi="宋体" w:cs="ËÎÌå"/>
          <w:b/>
          <w:kern w:val="0"/>
          <w:sz w:val="24"/>
          <w:highlight w:val="none"/>
        </w:rPr>
        <w:t>一：</w:t>
      </w:r>
      <w:r>
        <w:rPr>
          <w:rFonts w:hint="eastAsia" w:ascii="宋体" w:hAnsi="宋体"/>
          <w:b/>
          <w:sz w:val="24"/>
          <w:highlight w:val="none"/>
        </w:rPr>
        <w:t>工作</w:t>
      </w:r>
      <w:r>
        <w:rPr>
          <w:rFonts w:ascii="宋体" w:hAnsi="宋体"/>
          <w:b/>
          <w:sz w:val="24"/>
          <w:highlight w:val="none"/>
        </w:rPr>
        <w:t>内容</w:t>
      </w:r>
    </w:p>
    <w:p>
      <w:pPr>
        <w:pStyle w:val="56"/>
        <w:rPr>
          <w:highlight w:val="none"/>
        </w:rPr>
        <w:sectPr>
          <w:pgSz w:w="11907" w:h="16840"/>
          <w:pgMar w:top="1247" w:right="1531" w:bottom="1304" w:left="1531" w:header="426" w:footer="708" w:gutter="0"/>
          <w:cols w:space="720" w:num="1"/>
          <w:docGrid w:linePitch="285" w:charSpace="0"/>
        </w:sectPr>
      </w:pPr>
    </w:p>
    <w:p>
      <w:pPr>
        <w:jc w:val="center"/>
        <w:rPr>
          <w:kern w:val="44"/>
          <w:highlight w:val="none"/>
        </w:rPr>
      </w:pPr>
      <w:r>
        <w:rPr>
          <w:rFonts w:hint="eastAsia"/>
          <w:b/>
          <w:bCs/>
          <w:kern w:val="44"/>
          <w:sz w:val="32"/>
          <w:szCs w:val="32"/>
          <w:highlight w:val="none"/>
        </w:rPr>
        <w:t>第七部分 格式与表格</w:t>
      </w:r>
      <w:bookmarkEnd w:id="0"/>
      <w:bookmarkEnd w:id="169"/>
    </w:p>
    <w:p>
      <w:pPr>
        <w:snapToGrid w:val="0"/>
        <w:spacing w:line="400" w:lineRule="exact"/>
        <w:jc w:val="center"/>
        <w:outlineLvl w:val="1"/>
        <w:rPr>
          <w:rFonts w:ascii="宋体" w:hAnsi="宋体" w:cs="宋体"/>
          <w:b/>
          <w:bCs/>
          <w:szCs w:val="21"/>
          <w:highlight w:val="none"/>
        </w:rPr>
      </w:pPr>
      <w:bookmarkStart w:id="172" w:name="_Toc97372566"/>
    </w:p>
    <w:p>
      <w:pPr>
        <w:snapToGrid w:val="0"/>
        <w:spacing w:line="400" w:lineRule="exact"/>
        <w:jc w:val="center"/>
        <w:outlineLvl w:val="1"/>
        <w:rPr>
          <w:rFonts w:ascii="宋体" w:hAnsi="宋体" w:cs="宋体"/>
          <w:b/>
          <w:bCs/>
          <w:szCs w:val="21"/>
          <w:highlight w:val="none"/>
        </w:rPr>
      </w:pPr>
      <w:r>
        <w:rPr>
          <w:rFonts w:hint="eastAsia" w:ascii="宋体" w:hAnsi="宋体" w:cs="宋体"/>
          <w:b/>
          <w:bCs/>
          <w:szCs w:val="21"/>
          <w:highlight w:val="none"/>
        </w:rPr>
        <w:t>一、投标文件外层包装封面格式</w:t>
      </w:r>
    </w:p>
    <w:p>
      <w:pPr>
        <w:snapToGrid w:val="0"/>
        <w:spacing w:line="400" w:lineRule="exact"/>
        <w:rPr>
          <w:rFonts w:ascii="宋体" w:hAnsi="宋体" w:cs="宋体"/>
          <w:szCs w:val="21"/>
          <w:highlight w:val="none"/>
        </w:rPr>
      </w:pPr>
      <w:r>
        <w:rPr>
          <w:rFonts w:hint="eastAsia" w:ascii="宋体" w:hAnsi="宋体" w:cs="宋体"/>
          <w:szCs w:val="21"/>
          <w:highlight w:val="none"/>
        </w:rPr>
        <w:t>所有投标文件的外包装封面格式：(可选用)</w:t>
      </w:r>
    </w:p>
    <w:p>
      <w:pPr>
        <w:snapToGrid w:val="0"/>
        <w:spacing w:line="400" w:lineRule="exact"/>
        <w:rPr>
          <w:rFonts w:ascii="宋体" w:hAnsi="宋体" w:cs="宋体"/>
          <w:bCs/>
          <w:szCs w:val="21"/>
          <w:highlight w:val="none"/>
        </w:rPr>
      </w:pPr>
    </w:p>
    <w:p>
      <w:pPr>
        <w:snapToGrid w:val="0"/>
        <w:spacing w:beforeLines="50" w:after="50"/>
        <w:jc w:val="center"/>
        <w:rPr>
          <w:rFonts w:ascii="宋体" w:hAnsi="宋体"/>
          <w:szCs w:val="21"/>
          <w:highlight w:val="none"/>
        </w:rPr>
      </w:pPr>
      <w:r>
        <w:rPr>
          <w:rFonts w:hint="eastAsia" w:ascii="宋体" w:hAnsi="宋体"/>
          <w:szCs w:val="21"/>
          <w:highlight w:val="none"/>
        </w:rPr>
        <w:t>资格审查文件/技术商务文件/报价文件</w:t>
      </w:r>
    </w:p>
    <w:p>
      <w:pPr>
        <w:snapToGrid w:val="0"/>
        <w:spacing w:line="400" w:lineRule="exact"/>
        <w:jc w:val="center"/>
        <w:rPr>
          <w:rFonts w:ascii="宋体" w:hAnsi="宋体" w:cs="宋体"/>
          <w:b/>
          <w:szCs w:val="21"/>
          <w:highlight w:val="none"/>
        </w:rPr>
      </w:pPr>
    </w:p>
    <w:p>
      <w:pPr>
        <w:snapToGrid w:val="0"/>
        <w:spacing w:line="400" w:lineRule="exact"/>
        <w:rPr>
          <w:rFonts w:ascii="宋体" w:hAnsi="宋体" w:cs="宋体"/>
          <w:bCs/>
          <w:szCs w:val="21"/>
          <w:highlight w:val="none"/>
        </w:rPr>
      </w:pPr>
    </w:p>
    <w:p>
      <w:pPr>
        <w:snapToGrid w:val="0"/>
        <w:spacing w:line="400" w:lineRule="exact"/>
        <w:rPr>
          <w:rFonts w:ascii="宋体" w:hAnsi="宋体" w:cs="宋体"/>
          <w:bCs/>
          <w:szCs w:val="21"/>
          <w:highlight w:val="none"/>
        </w:rPr>
      </w:pPr>
    </w:p>
    <w:p>
      <w:pPr>
        <w:snapToGrid w:val="0"/>
        <w:spacing w:line="400" w:lineRule="exact"/>
        <w:ind w:firstLine="1050" w:firstLineChars="500"/>
        <w:rPr>
          <w:rFonts w:ascii="宋体" w:hAnsi="宋体" w:cs="宋体"/>
          <w:bCs/>
          <w:szCs w:val="21"/>
          <w:highlight w:val="none"/>
        </w:rPr>
      </w:pPr>
      <w:r>
        <w:rPr>
          <w:rFonts w:hint="eastAsia" w:ascii="宋体" w:hAnsi="宋体" w:cs="宋体"/>
          <w:bCs/>
          <w:szCs w:val="21"/>
          <w:highlight w:val="none"/>
        </w:rPr>
        <w:t>项目名称：</w:t>
      </w:r>
    </w:p>
    <w:p>
      <w:pPr>
        <w:snapToGrid w:val="0"/>
        <w:spacing w:line="400" w:lineRule="exact"/>
        <w:ind w:firstLine="1050" w:firstLineChars="500"/>
        <w:rPr>
          <w:rFonts w:ascii="宋体" w:hAnsi="宋体" w:cs="宋体"/>
          <w:bCs/>
          <w:szCs w:val="21"/>
          <w:highlight w:val="none"/>
        </w:rPr>
      </w:pPr>
      <w:r>
        <w:rPr>
          <w:rFonts w:hint="eastAsia" w:ascii="宋体" w:hAnsi="宋体" w:cs="宋体"/>
          <w:bCs/>
          <w:szCs w:val="21"/>
          <w:highlight w:val="none"/>
        </w:rPr>
        <w:t>项目编号：</w:t>
      </w:r>
    </w:p>
    <w:p>
      <w:pPr>
        <w:snapToGrid w:val="0"/>
        <w:spacing w:line="400" w:lineRule="exact"/>
        <w:ind w:firstLine="1050" w:firstLineChars="500"/>
        <w:rPr>
          <w:rFonts w:ascii="宋体" w:hAnsi="宋体" w:cs="宋体"/>
          <w:bCs/>
          <w:szCs w:val="21"/>
          <w:highlight w:val="none"/>
        </w:rPr>
      </w:pPr>
      <w:r>
        <w:rPr>
          <w:rFonts w:hint="eastAsia" w:ascii="宋体" w:hAnsi="宋体" w:cs="宋体"/>
          <w:bCs/>
          <w:szCs w:val="21"/>
          <w:highlight w:val="none"/>
        </w:rPr>
        <w:t>投标文件名称：投标文件</w:t>
      </w:r>
    </w:p>
    <w:p>
      <w:pPr>
        <w:snapToGrid w:val="0"/>
        <w:spacing w:line="400" w:lineRule="exact"/>
        <w:ind w:firstLine="1050" w:firstLineChars="500"/>
        <w:rPr>
          <w:rFonts w:ascii="宋体" w:hAnsi="宋体" w:cs="宋体"/>
          <w:bCs/>
          <w:szCs w:val="21"/>
          <w:highlight w:val="none"/>
        </w:rPr>
      </w:pPr>
      <w:r>
        <w:rPr>
          <w:rFonts w:hint="eastAsia" w:ascii="宋体" w:hAnsi="宋体" w:cs="宋体"/>
          <w:bCs/>
          <w:szCs w:val="21"/>
          <w:highlight w:val="none"/>
        </w:rPr>
        <w:t>投标人名称：</w:t>
      </w:r>
    </w:p>
    <w:p>
      <w:pPr>
        <w:snapToGrid w:val="0"/>
        <w:spacing w:line="400" w:lineRule="exact"/>
        <w:ind w:firstLine="1050" w:firstLineChars="500"/>
        <w:rPr>
          <w:rFonts w:ascii="宋体" w:hAnsi="宋体" w:cs="宋体"/>
          <w:bCs/>
          <w:szCs w:val="21"/>
          <w:highlight w:val="none"/>
        </w:rPr>
      </w:pPr>
      <w:r>
        <w:rPr>
          <w:rFonts w:hint="eastAsia" w:ascii="宋体" w:hAnsi="宋体" w:cs="宋体"/>
          <w:bCs/>
          <w:szCs w:val="21"/>
          <w:highlight w:val="none"/>
        </w:rPr>
        <w:t>投标人地址：</w:t>
      </w:r>
    </w:p>
    <w:p>
      <w:pPr>
        <w:snapToGrid w:val="0"/>
        <w:spacing w:line="400" w:lineRule="exact"/>
        <w:ind w:firstLine="1050" w:firstLineChars="500"/>
        <w:rPr>
          <w:rFonts w:ascii="宋体" w:hAnsi="宋体" w:cs="宋体"/>
          <w:bCs/>
          <w:szCs w:val="21"/>
          <w:highlight w:val="none"/>
        </w:rPr>
      </w:pPr>
      <w:r>
        <w:rPr>
          <w:rFonts w:hint="eastAsia" w:ascii="宋体" w:hAnsi="宋体" w:cs="宋体"/>
          <w:bCs/>
          <w:szCs w:val="21"/>
          <w:highlight w:val="none"/>
        </w:rPr>
        <w:t>在  年  月  日  时  分之前不得启封</w:t>
      </w:r>
    </w:p>
    <w:p>
      <w:pPr>
        <w:snapToGrid w:val="0"/>
        <w:spacing w:line="400" w:lineRule="exact"/>
        <w:ind w:firstLine="3570" w:firstLineChars="1700"/>
        <w:rPr>
          <w:rFonts w:ascii="宋体" w:hAnsi="宋体" w:cs="宋体"/>
          <w:bCs/>
          <w:szCs w:val="21"/>
          <w:highlight w:val="none"/>
        </w:rPr>
      </w:pPr>
    </w:p>
    <w:p>
      <w:pPr>
        <w:snapToGrid w:val="0"/>
        <w:spacing w:line="400" w:lineRule="exact"/>
        <w:ind w:firstLine="645"/>
        <w:jc w:val="center"/>
        <w:rPr>
          <w:rFonts w:ascii="宋体" w:hAnsi="宋体" w:cs="宋体"/>
          <w:bCs/>
          <w:szCs w:val="21"/>
          <w:highlight w:val="none"/>
        </w:rPr>
      </w:pPr>
      <w:r>
        <w:rPr>
          <w:rFonts w:hint="eastAsia" w:ascii="宋体" w:hAnsi="宋体" w:cs="宋体"/>
          <w:bCs/>
          <w:szCs w:val="21"/>
          <w:highlight w:val="none"/>
        </w:rPr>
        <w:t xml:space="preserve">                                          年  月  日</w:t>
      </w:r>
    </w:p>
    <w:p>
      <w:pPr>
        <w:snapToGrid w:val="0"/>
        <w:spacing w:line="400" w:lineRule="exact"/>
        <w:rPr>
          <w:rFonts w:ascii="宋体" w:hAnsi="宋体" w:cs="宋体"/>
          <w:b/>
          <w:bCs/>
          <w:szCs w:val="21"/>
          <w:highlight w:val="none"/>
        </w:rPr>
      </w:pPr>
    </w:p>
    <w:p>
      <w:pPr>
        <w:snapToGrid w:val="0"/>
        <w:spacing w:line="400" w:lineRule="exact"/>
        <w:jc w:val="center"/>
        <w:rPr>
          <w:rFonts w:ascii="宋体" w:hAnsi="宋体" w:cs="宋体"/>
          <w:b/>
          <w:bCs/>
          <w:szCs w:val="21"/>
          <w:highlight w:val="none"/>
        </w:rPr>
      </w:pPr>
      <w:r>
        <w:rPr>
          <w:rFonts w:hint="eastAsia" w:ascii="宋体" w:hAnsi="宋体" w:cs="宋体"/>
          <w:b/>
          <w:bCs/>
          <w:szCs w:val="21"/>
          <w:highlight w:val="none"/>
        </w:rPr>
        <w:t>二、投标文件封面格式</w:t>
      </w:r>
    </w:p>
    <w:p>
      <w:pPr>
        <w:snapToGrid w:val="0"/>
        <w:spacing w:line="400" w:lineRule="exact"/>
        <w:rPr>
          <w:rFonts w:ascii="宋体" w:hAnsi="宋体" w:cs="宋体"/>
          <w:szCs w:val="21"/>
          <w:highlight w:val="none"/>
        </w:rPr>
      </w:pPr>
      <w:r>
        <w:rPr>
          <w:rFonts w:hint="eastAsia" w:ascii="宋体" w:hAnsi="宋体" w:cs="宋体"/>
          <w:szCs w:val="21"/>
          <w:highlight w:val="none"/>
        </w:rPr>
        <w:t xml:space="preserve">投标文件封面格式： </w:t>
      </w:r>
    </w:p>
    <w:p>
      <w:pPr>
        <w:snapToGrid w:val="0"/>
        <w:spacing w:line="400" w:lineRule="exact"/>
        <w:jc w:val="right"/>
        <w:rPr>
          <w:rFonts w:ascii="宋体" w:hAnsi="宋体" w:cs="宋体"/>
          <w:b/>
          <w:bCs/>
          <w:szCs w:val="21"/>
          <w:highlight w:val="none"/>
        </w:rPr>
      </w:pPr>
      <w:r>
        <w:rPr>
          <w:rFonts w:hint="eastAsia" w:ascii="宋体" w:hAnsi="宋体" w:cs="宋体"/>
          <w:b/>
          <w:bCs/>
          <w:szCs w:val="21"/>
          <w:highlight w:val="none"/>
        </w:rPr>
        <w:t>正本/或副本</w:t>
      </w:r>
    </w:p>
    <w:p>
      <w:pPr>
        <w:snapToGrid w:val="0"/>
        <w:spacing w:line="400" w:lineRule="exact"/>
        <w:rPr>
          <w:rFonts w:ascii="宋体" w:hAnsi="宋体" w:cs="宋体"/>
          <w:bCs/>
          <w:szCs w:val="21"/>
          <w:highlight w:val="none"/>
        </w:rPr>
      </w:pPr>
    </w:p>
    <w:p>
      <w:pPr>
        <w:snapToGrid w:val="0"/>
        <w:spacing w:line="400" w:lineRule="exact"/>
        <w:jc w:val="center"/>
        <w:rPr>
          <w:rFonts w:ascii="宋体" w:hAnsi="宋体" w:cs="宋体"/>
          <w:bCs/>
          <w:szCs w:val="21"/>
          <w:highlight w:val="none"/>
        </w:rPr>
      </w:pPr>
    </w:p>
    <w:p>
      <w:pPr>
        <w:snapToGrid w:val="0"/>
        <w:spacing w:beforeLines="50" w:after="50"/>
        <w:jc w:val="center"/>
        <w:rPr>
          <w:rFonts w:ascii="宋体" w:hAnsi="宋体"/>
          <w:szCs w:val="21"/>
          <w:highlight w:val="none"/>
        </w:rPr>
      </w:pPr>
      <w:r>
        <w:rPr>
          <w:rFonts w:hint="eastAsia" w:ascii="宋体" w:hAnsi="宋体"/>
          <w:szCs w:val="21"/>
          <w:highlight w:val="none"/>
        </w:rPr>
        <w:t>资格审查文件/技术商务文件/报价文件</w:t>
      </w:r>
    </w:p>
    <w:p>
      <w:pPr>
        <w:snapToGrid w:val="0"/>
        <w:spacing w:line="400" w:lineRule="exact"/>
        <w:rPr>
          <w:rFonts w:ascii="宋体" w:hAnsi="宋体" w:cs="宋体"/>
          <w:bCs/>
          <w:szCs w:val="21"/>
          <w:highlight w:val="none"/>
        </w:rPr>
      </w:pPr>
    </w:p>
    <w:p>
      <w:pPr>
        <w:snapToGrid w:val="0"/>
        <w:spacing w:line="400" w:lineRule="exact"/>
        <w:ind w:left="1470" w:leftChars="400" w:hanging="630" w:hangingChars="300"/>
        <w:rPr>
          <w:rFonts w:ascii="宋体" w:hAnsi="宋体" w:cs="宋体"/>
          <w:b/>
          <w:szCs w:val="21"/>
          <w:highlight w:val="none"/>
          <w:u w:val="single"/>
          <w:lang w:val="zh-CN"/>
        </w:rPr>
      </w:pPr>
      <w:r>
        <w:rPr>
          <w:rFonts w:hint="eastAsia" w:ascii="宋体" w:hAnsi="宋体" w:cs="宋体"/>
          <w:bCs/>
          <w:szCs w:val="21"/>
          <w:highlight w:val="none"/>
        </w:rPr>
        <w:t>项目名称：</w:t>
      </w:r>
    </w:p>
    <w:p>
      <w:pPr>
        <w:snapToGrid w:val="0"/>
        <w:spacing w:line="400" w:lineRule="exact"/>
        <w:ind w:firstLine="840" w:firstLineChars="400"/>
        <w:rPr>
          <w:rFonts w:ascii="宋体" w:hAnsi="宋体" w:cs="宋体"/>
          <w:bCs/>
          <w:szCs w:val="21"/>
          <w:highlight w:val="none"/>
        </w:rPr>
      </w:pPr>
      <w:r>
        <w:rPr>
          <w:rFonts w:hint="eastAsia" w:ascii="宋体" w:hAnsi="宋体" w:cs="宋体"/>
          <w:bCs/>
          <w:szCs w:val="21"/>
          <w:highlight w:val="none"/>
        </w:rPr>
        <w:t>项目编号：</w:t>
      </w:r>
    </w:p>
    <w:p>
      <w:pPr>
        <w:snapToGrid w:val="0"/>
        <w:spacing w:line="400" w:lineRule="exact"/>
        <w:ind w:firstLine="840" w:firstLineChars="400"/>
        <w:rPr>
          <w:rFonts w:ascii="宋体" w:hAnsi="宋体" w:cs="宋体"/>
          <w:bCs/>
          <w:szCs w:val="21"/>
          <w:highlight w:val="none"/>
        </w:rPr>
      </w:pPr>
      <w:r>
        <w:rPr>
          <w:rFonts w:hint="eastAsia" w:ascii="宋体" w:hAnsi="宋体" w:cs="宋体"/>
          <w:bCs/>
          <w:szCs w:val="21"/>
          <w:highlight w:val="none"/>
        </w:rPr>
        <w:t>投标人名称：</w:t>
      </w:r>
    </w:p>
    <w:p>
      <w:pPr>
        <w:pStyle w:val="8"/>
        <w:snapToGrid w:val="0"/>
        <w:spacing w:line="400" w:lineRule="exact"/>
        <w:ind w:firstLine="840" w:firstLineChars="400"/>
        <w:rPr>
          <w:rFonts w:hAnsi="宋体" w:cs="宋体"/>
          <w:bCs/>
          <w:szCs w:val="21"/>
          <w:highlight w:val="none"/>
        </w:rPr>
      </w:pPr>
      <w:r>
        <w:rPr>
          <w:rFonts w:hint="eastAsia" w:hAnsi="宋体" w:cs="宋体"/>
          <w:bCs/>
          <w:szCs w:val="21"/>
          <w:highlight w:val="none"/>
        </w:rPr>
        <w:t>投标人地址：</w:t>
      </w:r>
    </w:p>
    <w:p>
      <w:pPr>
        <w:pStyle w:val="8"/>
        <w:snapToGrid w:val="0"/>
        <w:spacing w:line="400" w:lineRule="exact"/>
        <w:ind w:firstLine="0"/>
        <w:rPr>
          <w:rFonts w:hAnsi="宋体" w:cs="宋体"/>
          <w:bCs/>
          <w:szCs w:val="21"/>
          <w:highlight w:val="none"/>
        </w:rPr>
      </w:pPr>
    </w:p>
    <w:p>
      <w:pPr>
        <w:snapToGrid w:val="0"/>
        <w:spacing w:line="400" w:lineRule="exact"/>
        <w:rPr>
          <w:rFonts w:ascii="宋体" w:hAnsi="宋体" w:cs="宋体"/>
          <w:szCs w:val="21"/>
          <w:highlight w:val="none"/>
        </w:rPr>
      </w:pPr>
    </w:p>
    <w:p>
      <w:pPr>
        <w:snapToGrid w:val="0"/>
        <w:spacing w:line="400" w:lineRule="exact"/>
        <w:ind w:firstLine="645"/>
        <w:jc w:val="center"/>
        <w:rPr>
          <w:rFonts w:ascii="宋体" w:hAnsi="宋体" w:cs="宋体"/>
          <w:szCs w:val="21"/>
          <w:highlight w:val="none"/>
        </w:rPr>
      </w:pPr>
      <w:r>
        <w:rPr>
          <w:rFonts w:hint="eastAsia" w:ascii="宋体" w:hAnsi="宋体" w:cs="宋体"/>
          <w:szCs w:val="21"/>
          <w:highlight w:val="none"/>
        </w:rPr>
        <w:t xml:space="preserve">                                            年  月  日</w:t>
      </w:r>
    </w:p>
    <w:p>
      <w:pPr>
        <w:snapToGrid w:val="0"/>
        <w:spacing w:beforeLines="50" w:after="60"/>
        <w:jc w:val="center"/>
        <w:rPr>
          <w:rFonts w:ascii="宋体" w:hAnsi="宋体"/>
          <w:b/>
          <w:w w:val="80"/>
          <w:sz w:val="44"/>
          <w:szCs w:val="44"/>
          <w:highlight w:val="none"/>
        </w:rPr>
      </w:pPr>
    </w:p>
    <w:p>
      <w:pPr>
        <w:pStyle w:val="3"/>
        <w:spacing w:before="0" w:after="0" w:line="240" w:lineRule="auto"/>
        <w:ind w:right="-567"/>
        <w:jc w:val="left"/>
        <w:rPr>
          <w:rFonts w:ascii="宋体" w:hAnsi="宋体" w:eastAsia="宋体" w:cs="宋体"/>
          <w:b w:val="0"/>
          <w:sz w:val="21"/>
          <w:szCs w:val="21"/>
          <w:highlight w:val="none"/>
        </w:rPr>
      </w:pPr>
      <w:bookmarkStart w:id="173" w:name="_Toc97372565"/>
      <w:r>
        <w:rPr>
          <w:rFonts w:hint="eastAsia" w:ascii="宋体" w:hAnsi="宋体" w:eastAsia="宋体" w:cs="宋体"/>
          <w:b w:val="0"/>
          <w:sz w:val="21"/>
          <w:szCs w:val="21"/>
          <w:highlight w:val="none"/>
        </w:rPr>
        <w:t>格式一 投标函</w:t>
      </w:r>
      <w:bookmarkEnd w:id="173"/>
    </w:p>
    <w:p>
      <w:pPr>
        <w:pStyle w:val="2"/>
        <w:spacing w:line="360" w:lineRule="exact"/>
        <w:rPr>
          <w:rFonts w:hAnsi="宋体" w:cs="宋体"/>
          <w:sz w:val="21"/>
          <w:szCs w:val="21"/>
          <w:highlight w:val="none"/>
        </w:rPr>
      </w:pPr>
      <w:bookmarkStart w:id="174" w:name="_Toc498429649"/>
      <w:bookmarkStart w:id="175" w:name="_Toc496003216"/>
      <w:r>
        <w:rPr>
          <w:rFonts w:hint="eastAsia" w:hAnsi="宋体" w:cs="宋体"/>
          <w:sz w:val="21"/>
          <w:szCs w:val="21"/>
          <w:highlight w:val="none"/>
        </w:rPr>
        <w:t>投标函</w:t>
      </w:r>
      <w:bookmarkEnd w:id="174"/>
      <w:bookmarkEnd w:id="175"/>
    </w:p>
    <w:p>
      <w:pPr>
        <w:spacing w:line="360" w:lineRule="exact"/>
        <w:rPr>
          <w:rFonts w:ascii="宋体" w:hAnsi="宋体" w:cs="宋体"/>
          <w:w w:val="80"/>
          <w:szCs w:val="21"/>
          <w:highlight w:val="none"/>
        </w:rPr>
      </w:pPr>
    </w:p>
    <w:p>
      <w:pPr>
        <w:spacing w:line="360" w:lineRule="exact"/>
        <w:rPr>
          <w:highlight w:val="none"/>
        </w:rPr>
      </w:pPr>
    </w:p>
    <w:p>
      <w:pPr>
        <w:pStyle w:val="9"/>
        <w:spacing w:line="360" w:lineRule="auto"/>
        <w:ind w:firstLine="0"/>
        <w:contextualSpacing/>
        <w:rPr>
          <w:rFonts w:eastAsia="宋体"/>
          <w:sz w:val="21"/>
          <w:szCs w:val="21"/>
          <w:highlight w:val="none"/>
        </w:rPr>
      </w:pPr>
      <w:r>
        <w:rPr>
          <w:rFonts w:hint="eastAsia" w:eastAsia="宋体"/>
          <w:sz w:val="21"/>
          <w:szCs w:val="21"/>
          <w:highlight w:val="none"/>
        </w:rPr>
        <w:t>致：中冠工程管理咨询有限公司</w:t>
      </w:r>
    </w:p>
    <w:p>
      <w:pPr>
        <w:pStyle w:val="9"/>
        <w:spacing w:line="360" w:lineRule="auto"/>
        <w:ind w:firstLine="490"/>
        <w:contextualSpacing/>
        <w:rPr>
          <w:rFonts w:eastAsia="宋体"/>
          <w:sz w:val="21"/>
          <w:szCs w:val="21"/>
          <w:highlight w:val="none"/>
          <w:u w:val="single"/>
        </w:rPr>
      </w:pPr>
      <w:r>
        <w:rPr>
          <w:rFonts w:hint="eastAsia" w:eastAsia="宋体"/>
          <w:sz w:val="21"/>
          <w:szCs w:val="21"/>
          <w:highlight w:val="none"/>
          <w:u w:val="single"/>
        </w:rPr>
        <w:t>（投标人全称）</w:t>
      </w:r>
      <w:r>
        <w:rPr>
          <w:rFonts w:hint="eastAsia" w:eastAsia="宋体"/>
          <w:sz w:val="21"/>
          <w:szCs w:val="21"/>
          <w:highlight w:val="none"/>
        </w:rPr>
        <w:t>授权</w:t>
      </w:r>
      <w:r>
        <w:rPr>
          <w:rFonts w:hint="eastAsia" w:eastAsia="宋体"/>
          <w:sz w:val="21"/>
          <w:szCs w:val="21"/>
          <w:highlight w:val="none"/>
          <w:u w:val="single"/>
        </w:rPr>
        <w:t>（全权代表姓名、职务）</w:t>
      </w:r>
      <w:r>
        <w:rPr>
          <w:rFonts w:hint="eastAsia" w:eastAsia="宋体"/>
          <w:sz w:val="21"/>
          <w:szCs w:val="21"/>
          <w:highlight w:val="none"/>
        </w:rPr>
        <w:t>为本公司合法代理人，参加贵方组织的</w:t>
      </w:r>
      <w:r>
        <w:rPr>
          <w:rFonts w:hint="eastAsia" w:eastAsia="宋体"/>
          <w:sz w:val="21"/>
          <w:szCs w:val="21"/>
          <w:highlight w:val="none"/>
          <w:u w:val="single"/>
        </w:rPr>
        <w:t>（项目编号、项目名称）</w:t>
      </w:r>
      <w:r>
        <w:rPr>
          <w:rFonts w:hint="eastAsia" w:eastAsia="宋体"/>
          <w:sz w:val="21"/>
          <w:szCs w:val="21"/>
          <w:highlight w:val="none"/>
        </w:rPr>
        <w:t>招投标活动，代表本公司处理招投标活动中的一切事宜。在此：</w:t>
      </w:r>
    </w:p>
    <w:p>
      <w:pPr>
        <w:pStyle w:val="9"/>
        <w:tabs>
          <w:tab w:val="left" w:pos="426"/>
        </w:tabs>
        <w:spacing w:line="360" w:lineRule="auto"/>
        <w:ind w:firstLine="0"/>
        <w:contextualSpacing/>
        <w:rPr>
          <w:rFonts w:eastAsia="宋体"/>
          <w:sz w:val="21"/>
          <w:szCs w:val="21"/>
          <w:highlight w:val="none"/>
        </w:rPr>
      </w:pPr>
      <w:r>
        <w:rPr>
          <w:rFonts w:hint="eastAsia" w:eastAsia="宋体"/>
          <w:sz w:val="21"/>
          <w:szCs w:val="21"/>
          <w:highlight w:val="none"/>
        </w:rPr>
        <w:t>1、提供采购文件中“投标须知”规定的全部投标文件资料。</w:t>
      </w:r>
    </w:p>
    <w:p>
      <w:pPr>
        <w:pStyle w:val="9"/>
        <w:tabs>
          <w:tab w:val="left" w:pos="426"/>
        </w:tabs>
        <w:spacing w:line="360" w:lineRule="auto"/>
        <w:ind w:firstLine="0"/>
        <w:contextualSpacing/>
        <w:rPr>
          <w:rFonts w:eastAsia="宋体"/>
          <w:sz w:val="21"/>
          <w:szCs w:val="21"/>
          <w:highlight w:val="none"/>
        </w:rPr>
      </w:pPr>
      <w:r>
        <w:rPr>
          <w:rFonts w:hint="eastAsia" w:eastAsia="宋体"/>
          <w:sz w:val="21"/>
          <w:szCs w:val="21"/>
          <w:highlight w:val="none"/>
        </w:rPr>
        <w:t>2、据此函，签字代表宣布并承诺如下：</w:t>
      </w:r>
    </w:p>
    <w:p>
      <w:pPr>
        <w:pStyle w:val="9"/>
        <w:spacing w:line="360" w:lineRule="auto"/>
        <w:ind w:firstLine="420" w:firstLineChars="200"/>
        <w:contextualSpacing/>
        <w:rPr>
          <w:rFonts w:eastAsia="宋体"/>
          <w:sz w:val="21"/>
          <w:szCs w:val="21"/>
          <w:highlight w:val="none"/>
        </w:rPr>
      </w:pPr>
      <w:r>
        <w:rPr>
          <w:rFonts w:hint="eastAsia" w:eastAsia="宋体"/>
          <w:sz w:val="21"/>
          <w:szCs w:val="21"/>
          <w:highlight w:val="none"/>
        </w:rPr>
        <w:t>（1）我们已详细审查全部“采购文件”，包括修改文件（如有）以及全部参考资料和有关附件，我们完全理解并同意放弃对这方面提出任何异议的权利。已经了解对于采购文件、采购过程、采购结果有依法进行询问、质疑、投诉的权利及相关渠道和要求。</w:t>
      </w:r>
    </w:p>
    <w:p>
      <w:pPr>
        <w:pStyle w:val="9"/>
        <w:spacing w:line="360" w:lineRule="auto"/>
        <w:ind w:firstLine="420" w:firstLineChars="200"/>
        <w:contextualSpacing/>
        <w:rPr>
          <w:rFonts w:eastAsia="宋体"/>
          <w:sz w:val="21"/>
          <w:szCs w:val="21"/>
          <w:highlight w:val="none"/>
        </w:rPr>
      </w:pPr>
      <w:r>
        <w:rPr>
          <w:rFonts w:hint="eastAsia" w:eastAsia="宋体"/>
          <w:sz w:val="21"/>
          <w:szCs w:val="21"/>
          <w:highlight w:val="none"/>
        </w:rPr>
        <w:t>（2）本投标自开标之日起</w:t>
      </w:r>
      <w:r>
        <w:rPr>
          <w:rFonts w:hint="eastAsia" w:eastAsia="宋体"/>
          <w:sz w:val="21"/>
          <w:szCs w:val="21"/>
          <w:highlight w:val="none"/>
          <w:u w:val="single"/>
        </w:rPr>
        <w:t xml:space="preserve">     </w:t>
      </w:r>
      <w:r>
        <w:rPr>
          <w:rFonts w:hint="eastAsia" w:eastAsia="宋体"/>
          <w:sz w:val="21"/>
          <w:szCs w:val="21"/>
          <w:highlight w:val="none"/>
        </w:rPr>
        <w:t>天内有效。</w:t>
      </w:r>
    </w:p>
    <w:p>
      <w:pPr>
        <w:pStyle w:val="9"/>
        <w:spacing w:line="360" w:lineRule="auto"/>
        <w:ind w:firstLine="420" w:firstLineChars="200"/>
        <w:contextualSpacing/>
        <w:rPr>
          <w:rFonts w:eastAsia="宋体"/>
          <w:sz w:val="21"/>
          <w:szCs w:val="21"/>
          <w:highlight w:val="none"/>
        </w:rPr>
      </w:pPr>
      <w:r>
        <w:rPr>
          <w:rFonts w:hint="eastAsia" w:eastAsia="宋体"/>
          <w:sz w:val="21"/>
          <w:szCs w:val="21"/>
          <w:highlight w:val="none"/>
        </w:rPr>
        <w:t>（3）保证遵守采购文件有关条款规定。</w:t>
      </w:r>
    </w:p>
    <w:p>
      <w:pPr>
        <w:pStyle w:val="9"/>
        <w:spacing w:line="360" w:lineRule="auto"/>
        <w:ind w:firstLine="420" w:firstLineChars="200"/>
        <w:contextualSpacing/>
        <w:rPr>
          <w:rFonts w:eastAsia="宋体"/>
          <w:sz w:val="21"/>
          <w:szCs w:val="21"/>
          <w:highlight w:val="none"/>
        </w:rPr>
      </w:pPr>
      <w:r>
        <w:rPr>
          <w:rFonts w:hint="eastAsia" w:eastAsia="宋体"/>
          <w:sz w:val="21"/>
          <w:szCs w:val="21"/>
          <w:highlight w:val="none"/>
        </w:rPr>
        <w:t>（4）保证在中标后忠实地执行与采购人所签署的合同，并承担合同规定的责任义务。保证在中标后按照采购文件的规定支付招标代理服务费。</w:t>
      </w:r>
    </w:p>
    <w:p>
      <w:pPr>
        <w:pStyle w:val="9"/>
        <w:spacing w:line="360" w:lineRule="auto"/>
        <w:ind w:firstLine="420" w:firstLineChars="200"/>
        <w:contextualSpacing/>
        <w:rPr>
          <w:rFonts w:eastAsia="宋体"/>
          <w:sz w:val="21"/>
          <w:szCs w:val="21"/>
          <w:highlight w:val="none"/>
        </w:rPr>
      </w:pPr>
      <w:r>
        <w:rPr>
          <w:rFonts w:hint="eastAsia" w:eastAsia="宋体"/>
          <w:sz w:val="21"/>
          <w:szCs w:val="21"/>
          <w:highlight w:val="none"/>
        </w:rPr>
        <w:t>（5）承诺应贵方要求提供任何与该项目投标有关的数据、情况和技术资料。</w:t>
      </w:r>
    </w:p>
    <w:p>
      <w:pPr>
        <w:pStyle w:val="9"/>
        <w:tabs>
          <w:tab w:val="left" w:pos="426"/>
        </w:tabs>
        <w:spacing w:line="360" w:lineRule="auto"/>
        <w:ind w:firstLine="0"/>
        <w:contextualSpacing/>
        <w:rPr>
          <w:rFonts w:eastAsia="宋体"/>
          <w:sz w:val="21"/>
          <w:szCs w:val="21"/>
          <w:highlight w:val="none"/>
        </w:rPr>
      </w:pPr>
      <w:r>
        <w:rPr>
          <w:rFonts w:hint="eastAsia" w:eastAsia="宋体"/>
          <w:sz w:val="21"/>
          <w:szCs w:val="21"/>
          <w:highlight w:val="none"/>
        </w:rPr>
        <w:t>3、与本项目有关的澄清、补充文件请发送至：</w:t>
      </w:r>
    </w:p>
    <w:p>
      <w:pPr>
        <w:pStyle w:val="9"/>
        <w:spacing w:line="360" w:lineRule="auto"/>
        <w:ind w:firstLine="420" w:firstLineChars="200"/>
        <w:rPr>
          <w:rFonts w:eastAsia="宋体" w:cs="宋体"/>
          <w:sz w:val="21"/>
          <w:szCs w:val="21"/>
          <w:highlight w:val="none"/>
        </w:rPr>
      </w:pPr>
      <w:r>
        <w:rPr>
          <w:rFonts w:hint="eastAsia" w:eastAsia="宋体" w:cs="宋体"/>
          <w:sz w:val="21"/>
          <w:szCs w:val="21"/>
          <w:highlight w:val="none"/>
        </w:rPr>
        <w:t>电子邮箱：</w:t>
      </w:r>
      <w:r>
        <w:rPr>
          <w:rFonts w:hint="eastAsia" w:eastAsia="宋体" w:cs="宋体"/>
          <w:sz w:val="21"/>
          <w:szCs w:val="21"/>
          <w:highlight w:val="none"/>
          <w:u w:val="single"/>
        </w:rPr>
        <w:t xml:space="preserve">                 </w:t>
      </w:r>
      <w:r>
        <w:rPr>
          <w:rFonts w:hint="eastAsia" w:eastAsia="宋体" w:cs="宋体"/>
          <w:sz w:val="21"/>
          <w:szCs w:val="21"/>
          <w:highlight w:val="none"/>
        </w:rPr>
        <w:t xml:space="preserve">  传真号码：</w:t>
      </w:r>
      <w:r>
        <w:rPr>
          <w:rFonts w:hint="eastAsia" w:eastAsia="宋体" w:cs="宋体"/>
          <w:sz w:val="21"/>
          <w:szCs w:val="21"/>
          <w:highlight w:val="none"/>
          <w:u w:val="single"/>
        </w:rPr>
        <w:t xml:space="preserve">                </w:t>
      </w:r>
    </w:p>
    <w:p>
      <w:pPr>
        <w:pStyle w:val="9"/>
        <w:tabs>
          <w:tab w:val="left" w:pos="426"/>
        </w:tabs>
        <w:spacing w:line="360" w:lineRule="auto"/>
        <w:ind w:firstLine="0"/>
        <w:contextualSpacing/>
        <w:rPr>
          <w:rFonts w:eastAsia="宋体"/>
          <w:sz w:val="21"/>
          <w:szCs w:val="21"/>
          <w:highlight w:val="none"/>
        </w:rPr>
      </w:pPr>
      <w:r>
        <w:rPr>
          <w:rFonts w:hint="eastAsia" w:eastAsia="宋体"/>
          <w:sz w:val="21"/>
          <w:szCs w:val="21"/>
          <w:highlight w:val="none"/>
        </w:rPr>
        <w:t>4、与本投标有关的一切往来通讯请寄：</w:t>
      </w:r>
    </w:p>
    <w:p>
      <w:pPr>
        <w:pStyle w:val="9"/>
        <w:spacing w:line="360" w:lineRule="auto"/>
        <w:ind w:left="480" w:firstLine="0"/>
        <w:contextualSpacing/>
        <w:rPr>
          <w:rFonts w:eastAsia="宋体"/>
          <w:sz w:val="21"/>
          <w:szCs w:val="21"/>
          <w:highlight w:val="none"/>
          <w:u w:val="single"/>
        </w:rPr>
      </w:pPr>
      <w:r>
        <w:rPr>
          <w:rFonts w:hint="eastAsia" w:eastAsia="宋体"/>
          <w:sz w:val="21"/>
          <w:szCs w:val="21"/>
          <w:highlight w:val="none"/>
        </w:rPr>
        <w:t>地址：</w:t>
      </w:r>
      <w:r>
        <w:rPr>
          <w:rFonts w:hint="eastAsia" w:eastAsia="宋体"/>
          <w:sz w:val="21"/>
          <w:szCs w:val="21"/>
          <w:highlight w:val="none"/>
          <w:u w:val="single"/>
        </w:rPr>
        <w:t xml:space="preserve">                  </w:t>
      </w:r>
    </w:p>
    <w:p>
      <w:pPr>
        <w:pStyle w:val="9"/>
        <w:spacing w:line="360" w:lineRule="auto"/>
        <w:ind w:left="480" w:firstLine="0"/>
        <w:contextualSpacing/>
        <w:rPr>
          <w:rFonts w:eastAsia="宋体"/>
          <w:sz w:val="21"/>
          <w:szCs w:val="21"/>
          <w:highlight w:val="none"/>
          <w:u w:val="single"/>
        </w:rPr>
      </w:pPr>
      <w:r>
        <w:rPr>
          <w:rFonts w:hint="eastAsia" w:eastAsia="宋体"/>
          <w:sz w:val="21"/>
          <w:szCs w:val="21"/>
          <w:highlight w:val="none"/>
        </w:rPr>
        <w:t>邮编：</w:t>
      </w:r>
      <w:r>
        <w:rPr>
          <w:rFonts w:hint="eastAsia" w:eastAsia="宋体"/>
          <w:sz w:val="21"/>
          <w:szCs w:val="21"/>
          <w:highlight w:val="none"/>
          <w:u w:val="single"/>
        </w:rPr>
        <w:t xml:space="preserve">           </w:t>
      </w:r>
      <w:r>
        <w:rPr>
          <w:rFonts w:hint="eastAsia" w:eastAsia="宋体"/>
          <w:sz w:val="21"/>
          <w:szCs w:val="21"/>
          <w:highlight w:val="none"/>
        </w:rPr>
        <w:t>电话：</w:t>
      </w:r>
      <w:r>
        <w:rPr>
          <w:rFonts w:hint="eastAsia" w:eastAsia="宋体"/>
          <w:sz w:val="21"/>
          <w:szCs w:val="21"/>
          <w:highlight w:val="none"/>
          <w:u w:val="single"/>
        </w:rPr>
        <w:t xml:space="preserve">           </w:t>
      </w:r>
      <w:r>
        <w:rPr>
          <w:rFonts w:hint="eastAsia" w:eastAsia="宋体"/>
          <w:sz w:val="21"/>
          <w:szCs w:val="21"/>
          <w:highlight w:val="none"/>
        </w:rPr>
        <w:t>传真：</w:t>
      </w:r>
      <w:r>
        <w:rPr>
          <w:rFonts w:hint="eastAsia" w:eastAsia="宋体"/>
          <w:sz w:val="21"/>
          <w:szCs w:val="21"/>
          <w:highlight w:val="none"/>
          <w:u w:val="single"/>
        </w:rPr>
        <w:t xml:space="preserve">             </w:t>
      </w:r>
    </w:p>
    <w:p>
      <w:pPr>
        <w:pStyle w:val="9"/>
        <w:spacing w:line="360" w:lineRule="auto"/>
        <w:ind w:firstLine="0"/>
        <w:contextualSpacing/>
        <w:rPr>
          <w:rFonts w:eastAsia="宋体"/>
          <w:sz w:val="21"/>
          <w:szCs w:val="21"/>
          <w:highlight w:val="none"/>
        </w:rPr>
      </w:pPr>
    </w:p>
    <w:p>
      <w:pPr>
        <w:pStyle w:val="9"/>
        <w:tabs>
          <w:tab w:val="left" w:pos="4185"/>
        </w:tabs>
        <w:spacing w:line="360" w:lineRule="auto"/>
        <w:ind w:firstLine="0"/>
        <w:contextualSpacing/>
        <w:rPr>
          <w:rFonts w:eastAsia="宋体"/>
          <w:sz w:val="21"/>
          <w:szCs w:val="21"/>
          <w:highlight w:val="none"/>
        </w:rPr>
      </w:pPr>
      <w:r>
        <w:rPr>
          <w:rFonts w:hint="eastAsia" w:eastAsia="宋体"/>
          <w:sz w:val="21"/>
          <w:szCs w:val="21"/>
          <w:highlight w:val="none"/>
        </w:rPr>
        <w:t>投标人（盖章）：</w:t>
      </w:r>
    </w:p>
    <w:p>
      <w:pPr>
        <w:pStyle w:val="9"/>
        <w:tabs>
          <w:tab w:val="left" w:pos="4185"/>
        </w:tabs>
        <w:spacing w:line="360" w:lineRule="auto"/>
        <w:ind w:firstLine="0"/>
        <w:contextualSpacing/>
        <w:rPr>
          <w:rFonts w:eastAsia="宋体"/>
          <w:sz w:val="21"/>
          <w:szCs w:val="21"/>
          <w:highlight w:val="none"/>
        </w:rPr>
      </w:pPr>
      <w:r>
        <w:rPr>
          <w:rFonts w:hint="eastAsia" w:eastAsia="宋体"/>
          <w:sz w:val="21"/>
          <w:szCs w:val="21"/>
          <w:highlight w:val="none"/>
        </w:rPr>
        <w:t>法定代表人或授权代表人（签字或盖章）：</w:t>
      </w:r>
    </w:p>
    <w:p>
      <w:pPr>
        <w:pStyle w:val="9"/>
        <w:tabs>
          <w:tab w:val="left" w:pos="4841"/>
        </w:tabs>
        <w:spacing w:line="360" w:lineRule="auto"/>
        <w:ind w:firstLine="0"/>
        <w:contextualSpacing/>
        <w:rPr>
          <w:rFonts w:eastAsia="宋体"/>
          <w:sz w:val="21"/>
          <w:szCs w:val="21"/>
          <w:highlight w:val="none"/>
        </w:rPr>
      </w:pPr>
      <w:r>
        <w:rPr>
          <w:rFonts w:hint="eastAsia" w:eastAsia="宋体"/>
          <w:sz w:val="21"/>
          <w:szCs w:val="21"/>
          <w:highlight w:val="none"/>
        </w:rPr>
        <w:t>日期：</w:t>
      </w:r>
    </w:p>
    <w:p>
      <w:pPr>
        <w:widowControl/>
        <w:snapToGrid w:val="0"/>
        <w:spacing w:line="360" w:lineRule="auto"/>
        <w:rPr>
          <w:b/>
          <w:bCs/>
          <w:szCs w:val="21"/>
          <w:highlight w:val="none"/>
        </w:rPr>
      </w:pPr>
      <w:r>
        <w:rPr>
          <w:szCs w:val="24"/>
          <w:highlight w:val="none"/>
        </w:rPr>
        <w:br w:type="page"/>
      </w:r>
      <w:r>
        <w:rPr>
          <w:rFonts w:hint="eastAsia"/>
          <w:b/>
          <w:bCs/>
          <w:szCs w:val="21"/>
          <w:highlight w:val="none"/>
        </w:rPr>
        <w:t>附：招标服务费支付承诺书</w:t>
      </w:r>
    </w:p>
    <w:p>
      <w:pPr>
        <w:widowControl/>
        <w:snapToGrid w:val="0"/>
        <w:spacing w:line="360" w:lineRule="auto"/>
        <w:jc w:val="center"/>
        <w:rPr>
          <w:b/>
          <w:sz w:val="24"/>
          <w:szCs w:val="21"/>
          <w:highlight w:val="none"/>
        </w:rPr>
      </w:pPr>
      <w:r>
        <w:rPr>
          <w:rFonts w:hint="eastAsia"/>
          <w:b/>
          <w:sz w:val="24"/>
          <w:szCs w:val="21"/>
          <w:highlight w:val="none"/>
        </w:rPr>
        <w:t>招标服务费支付承诺书</w:t>
      </w:r>
    </w:p>
    <w:p>
      <w:pPr>
        <w:widowControl/>
        <w:snapToGrid w:val="0"/>
        <w:spacing w:line="360" w:lineRule="auto"/>
        <w:jc w:val="center"/>
        <w:rPr>
          <w:b/>
          <w:sz w:val="28"/>
          <w:szCs w:val="28"/>
          <w:highlight w:val="none"/>
        </w:rPr>
      </w:pPr>
    </w:p>
    <w:p>
      <w:pPr>
        <w:widowControl/>
        <w:snapToGrid w:val="0"/>
        <w:spacing w:line="360" w:lineRule="auto"/>
        <w:rPr>
          <w:b/>
          <w:szCs w:val="24"/>
          <w:highlight w:val="none"/>
          <w:u w:val="single"/>
        </w:rPr>
      </w:pPr>
      <w:r>
        <w:rPr>
          <w:rFonts w:hint="eastAsia"/>
          <w:b/>
          <w:szCs w:val="24"/>
          <w:highlight w:val="none"/>
          <w:u w:val="single"/>
        </w:rPr>
        <w:t>致：中冠工程管理</w:t>
      </w:r>
      <w:r>
        <w:rPr>
          <w:b/>
          <w:szCs w:val="24"/>
          <w:highlight w:val="none"/>
          <w:u w:val="single"/>
        </w:rPr>
        <w:t>咨询有限公司</w:t>
      </w:r>
    </w:p>
    <w:p>
      <w:pPr>
        <w:widowControl/>
        <w:snapToGrid w:val="0"/>
        <w:spacing w:line="360" w:lineRule="auto"/>
        <w:ind w:firstLine="420" w:firstLineChars="200"/>
        <w:rPr>
          <w:highlight w:val="none"/>
        </w:rPr>
      </w:pPr>
      <w:r>
        <w:rPr>
          <w:highlight w:val="none"/>
        </w:rPr>
        <w:t>我公司已认真阅读了</w:t>
      </w:r>
      <w:r>
        <w:rPr>
          <w:rFonts w:hint="eastAsia"/>
          <w:highlight w:val="none"/>
          <w:u w:val="single"/>
        </w:rPr>
        <w:t xml:space="preserve">                       </w:t>
      </w:r>
      <w:r>
        <w:rPr>
          <w:rFonts w:hint="eastAsia"/>
          <w:highlight w:val="none"/>
        </w:rPr>
        <w:t>项目</w:t>
      </w:r>
      <w:r>
        <w:rPr>
          <w:highlight w:val="none"/>
        </w:rPr>
        <w:t>招标文件并在此承诺：</w:t>
      </w:r>
    </w:p>
    <w:p>
      <w:pPr>
        <w:widowControl/>
        <w:snapToGrid w:val="0"/>
        <w:spacing w:line="360" w:lineRule="auto"/>
        <w:ind w:firstLine="420" w:firstLineChars="200"/>
        <w:rPr>
          <w:bCs/>
          <w:highlight w:val="none"/>
        </w:rPr>
      </w:pPr>
      <w:r>
        <w:rPr>
          <w:rFonts w:hint="eastAsia"/>
          <w:bCs/>
          <w:highlight w:val="none"/>
        </w:rPr>
        <w:t>如在本项目中标，我公司将在</w:t>
      </w:r>
      <w:r>
        <w:rPr>
          <w:rFonts w:hint="eastAsia"/>
          <w:highlight w:val="none"/>
        </w:rPr>
        <w:t>结果公示</w:t>
      </w:r>
      <w:r>
        <w:rPr>
          <w:highlight w:val="none"/>
        </w:rPr>
        <w:t>发布之日起</w:t>
      </w:r>
      <w:r>
        <w:rPr>
          <w:rFonts w:hint="eastAsia"/>
          <w:bCs/>
          <w:highlight w:val="none"/>
        </w:rPr>
        <w:t>5个工作日之内</w:t>
      </w:r>
      <w:r>
        <w:rPr>
          <w:highlight w:val="none"/>
        </w:rPr>
        <w:t>按招标文件规定的标准（金额）一次性向</w:t>
      </w:r>
      <w:r>
        <w:rPr>
          <w:rFonts w:hint="eastAsia"/>
          <w:highlight w:val="none"/>
        </w:rPr>
        <w:t>贵公司</w:t>
      </w:r>
      <w:r>
        <w:rPr>
          <w:rFonts w:hint="eastAsia"/>
          <w:bCs/>
          <w:highlight w:val="none"/>
        </w:rPr>
        <w:t>支付招标服务费。</w:t>
      </w:r>
    </w:p>
    <w:p>
      <w:pPr>
        <w:widowControl/>
        <w:snapToGrid w:val="0"/>
        <w:spacing w:line="360" w:lineRule="auto"/>
        <w:ind w:firstLine="420" w:firstLineChars="200"/>
        <w:rPr>
          <w:szCs w:val="21"/>
          <w:highlight w:val="none"/>
        </w:rPr>
      </w:pPr>
      <w:r>
        <w:rPr>
          <w:rFonts w:hint="eastAsia"/>
          <w:bCs/>
          <w:highlight w:val="none"/>
        </w:rPr>
        <w:t>若我司未按上述承诺内容执行，我司自愿承担本项目招标服务费200%的违约金，且在中标通知书领取后5个工作日内支付上述违约金，否则由此引起的一切法律责任和经济责任由我公司承担。</w:t>
      </w:r>
    </w:p>
    <w:p>
      <w:pPr>
        <w:widowControl/>
        <w:snapToGrid w:val="0"/>
        <w:spacing w:line="360" w:lineRule="auto"/>
        <w:rPr>
          <w:b/>
          <w:szCs w:val="24"/>
          <w:highlight w:val="none"/>
        </w:rPr>
      </w:pPr>
    </w:p>
    <w:p>
      <w:pPr>
        <w:widowControl/>
        <w:snapToGrid w:val="0"/>
        <w:spacing w:line="360" w:lineRule="auto"/>
        <w:rPr>
          <w:highlight w:val="none"/>
        </w:rPr>
      </w:pPr>
    </w:p>
    <w:p>
      <w:pPr>
        <w:widowControl/>
        <w:snapToGrid w:val="0"/>
        <w:spacing w:line="360" w:lineRule="auto"/>
        <w:rPr>
          <w:highlight w:val="none"/>
        </w:rPr>
      </w:pPr>
    </w:p>
    <w:p>
      <w:pPr>
        <w:widowControl/>
        <w:snapToGrid w:val="0"/>
        <w:spacing w:line="360" w:lineRule="auto"/>
        <w:rPr>
          <w:highlight w:val="none"/>
        </w:rPr>
      </w:pPr>
    </w:p>
    <w:p>
      <w:pPr>
        <w:spacing w:line="360" w:lineRule="auto"/>
        <w:rPr>
          <w:szCs w:val="21"/>
          <w:highlight w:val="none"/>
        </w:rPr>
      </w:pPr>
      <w:r>
        <w:rPr>
          <w:rFonts w:hint="eastAsia"/>
          <w:szCs w:val="21"/>
          <w:highlight w:val="none"/>
        </w:rPr>
        <w:t>投标人（盖章）：</w:t>
      </w:r>
    </w:p>
    <w:p>
      <w:pPr>
        <w:spacing w:line="360" w:lineRule="auto"/>
        <w:rPr>
          <w:szCs w:val="21"/>
          <w:highlight w:val="none"/>
        </w:rPr>
      </w:pPr>
      <w:r>
        <w:rPr>
          <w:rFonts w:hint="eastAsia"/>
          <w:szCs w:val="21"/>
          <w:highlight w:val="none"/>
        </w:rPr>
        <w:t>法定代表人或授权代表人（签字或盖章）：</w:t>
      </w:r>
    </w:p>
    <w:p>
      <w:pPr>
        <w:widowControl/>
        <w:snapToGrid w:val="0"/>
        <w:spacing w:line="360" w:lineRule="auto"/>
        <w:ind w:right="375"/>
        <w:rPr>
          <w:szCs w:val="21"/>
          <w:highlight w:val="none"/>
        </w:rPr>
        <w:sectPr>
          <w:headerReference r:id="rId18" w:type="default"/>
          <w:footerReference r:id="rId19" w:type="default"/>
          <w:footerReference r:id="rId20" w:type="even"/>
          <w:pgSz w:w="11907" w:h="16840"/>
          <w:pgMar w:top="1134" w:right="1531" w:bottom="1134" w:left="1531" w:header="425" w:footer="709" w:gutter="0"/>
          <w:cols w:space="720" w:num="1"/>
          <w:docGrid w:linePitch="285" w:charSpace="0"/>
        </w:sectPr>
      </w:pPr>
      <w:r>
        <w:rPr>
          <w:rFonts w:hint="eastAsia"/>
          <w:szCs w:val="21"/>
          <w:highlight w:val="none"/>
        </w:rPr>
        <w:t>日期：</w:t>
      </w:r>
    </w:p>
    <w:p>
      <w:pPr>
        <w:widowControl/>
        <w:snapToGrid w:val="0"/>
        <w:spacing w:line="360" w:lineRule="auto"/>
        <w:ind w:right="375"/>
        <w:rPr>
          <w:highlight w:val="none"/>
        </w:rPr>
      </w:pPr>
    </w:p>
    <w:p>
      <w:pPr>
        <w:pStyle w:val="3"/>
        <w:spacing w:before="0" w:after="0" w:line="240" w:lineRule="auto"/>
        <w:ind w:right="-567"/>
        <w:jc w:val="left"/>
        <w:rPr>
          <w:rFonts w:ascii="Times New Roman" w:hAnsi="Times New Roman" w:eastAsia="宋体"/>
          <w:b w:val="0"/>
          <w:sz w:val="18"/>
          <w:szCs w:val="18"/>
          <w:highlight w:val="none"/>
        </w:rPr>
      </w:pPr>
      <w:r>
        <w:rPr>
          <w:rFonts w:hint="eastAsia" w:ascii="Times New Roman" w:hAnsi="Times New Roman" w:eastAsia="宋体"/>
          <w:b w:val="0"/>
          <w:sz w:val="18"/>
          <w:szCs w:val="18"/>
          <w:highlight w:val="none"/>
        </w:rPr>
        <w:t>格式二</w:t>
      </w:r>
    </w:p>
    <w:p>
      <w:pPr>
        <w:pStyle w:val="2"/>
        <w:spacing w:line="360" w:lineRule="exact"/>
        <w:rPr>
          <w:rFonts w:hAnsi="宋体" w:cs="宋体"/>
          <w:sz w:val="21"/>
          <w:szCs w:val="21"/>
          <w:highlight w:val="none"/>
        </w:rPr>
      </w:pPr>
      <w:bookmarkStart w:id="176" w:name="_Toc355341194"/>
      <w:bookmarkStart w:id="177" w:name="_Toc435202002"/>
      <w:r>
        <w:rPr>
          <w:rFonts w:hAnsi="宋体" w:cs="宋体"/>
          <w:sz w:val="21"/>
          <w:szCs w:val="21"/>
          <w:highlight w:val="none"/>
        </w:rPr>
        <w:t>法定代表人授权书</w:t>
      </w:r>
      <w:bookmarkEnd w:id="176"/>
      <w:bookmarkEnd w:id="177"/>
    </w:p>
    <w:p>
      <w:pPr>
        <w:tabs>
          <w:tab w:val="left" w:pos="630"/>
        </w:tabs>
        <w:spacing w:line="440" w:lineRule="exact"/>
        <w:rPr>
          <w:szCs w:val="24"/>
          <w:highlight w:val="none"/>
        </w:rPr>
      </w:pPr>
      <w:r>
        <w:rPr>
          <w:szCs w:val="24"/>
          <w:highlight w:val="none"/>
        </w:rPr>
        <w:t>中冠工程管理咨询有限公司：</w:t>
      </w:r>
    </w:p>
    <w:p>
      <w:pPr>
        <w:spacing w:line="440" w:lineRule="exact"/>
        <w:ind w:firstLine="420" w:firstLineChars="200"/>
        <w:rPr>
          <w:szCs w:val="24"/>
          <w:highlight w:val="none"/>
        </w:rPr>
      </w:pPr>
      <w:r>
        <w:rPr>
          <w:szCs w:val="24"/>
          <w:highlight w:val="none"/>
        </w:rPr>
        <w:t xml:space="preserve"> (供应商全称)法定代表人</w:t>
      </w:r>
      <w:r>
        <w:rPr>
          <w:rFonts w:hint="eastAsia"/>
          <w:szCs w:val="24"/>
          <w:highlight w:val="none"/>
          <w:u w:val="single"/>
        </w:rPr>
        <w:t xml:space="preserve">        </w:t>
      </w:r>
      <w:r>
        <w:rPr>
          <w:szCs w:val="24"/>
          <w:highlight w:val="none"/>
        </w:rPr>
        <w:t>授权</w:t>
      </w:r>
      <w:r>
        <w:rPr>
          <w:szCs w:val="24"/>
          <w:highlight w:val="none"/>
          <w:u w:val="single"/>
        </w:rPr>
        <w:t xml:space="preserve">            </w:t>
      </w:r>
      <w:r>
        <w:rPr>
          <w:szCs w:val="24"/>
          <w:highlight w:val="none"/>
        </w:rPr>
        <w:t>(</w:t>
      </w:r>
      <w:r>
        <w:rPr>
          <w:rFonts w:hint="eastAsia"/>
          <w:szCs w:val="24"/>
          <w:highlight w:val="none"/>
        </w:rPr>
        <w:t>授权</w:t>
      </w:r>
      <w:r>
        <w:rPr>
          <w:szCs w:val="24"/>
          <w:highlight w:val="none"/>
        </w:rPr>
        <w:t>代表人姓名)为</w:t>
      </w:r>
      <w:r>
        <w:rPr>
          <w:rFonts w:hint="eastAsia"/>
          <w:szCs w:val="24"/>
          <w:highlight w:val="none"/>
        </w:rPr>
        <w:t>授权</w:t>
      </w:r>
      <w:r>
        <w:rPr>
          <w:szCs w:val="24"/>
          <w:highlight w:val="none"/>
        </w:rPr>
        <w:t>代表人，参加贵</w:t>
      </w:r>
      <w:r>
        <w:rPr>
          <w:rFonts w:hint="eastAsia"/>
          <w:szCs w:val="24"/>
          <w:highlight w:val="none"/>
        </w:rPr>
        <w:t>公司</w:t>
      </w:r>
      <w:r>
        <w:rPr>
          <w:szCs w:val="24"/>
          <w:highlight w:val="none"/>
        </w:rPr>
        <w:t>组织的</w:t>
      </w:r>
      <w:r>
        <w:rPr>
          <w:szCs w:val="24"/>
          <w:highlight w:val="none"/>
          <w:u w:val="single"/>
        </w:rPr>
        <w:t xml:space="preserve">    </w:t>
      </w:r>
      <w:r>
        <w:rPr>
          <w:szCs w:val="24"/>
          <w:highlight w:val="none"/>
        </w:rPr>
        <w:t>年</w:t>
      </w:r>
      <w:r>
        <w:rPr>
          <w:rFonts w:hint="eastAsia"/>
          <w:szCs w:val="24"/>
          <w:highlight w:val="none"/>
        </w:rPr>
        <w:t xml:space="preserve"> </w:t>
      </w:r>
      <w:r>
        <w:rPr>
          <w:szCs w:val="24"/>
          <w:highlight w:val="none"/>
          <w:u w:val="single"/>
        </w:rPr>
        <w:t xml:space="preserve">   </w:t>
      </w:r>
      <w:r>
        <w:rPr>
          <w:szCs w:val="24"/>
          <w:highlight w:val="none"/>
        </w:rPr>
        <w:t>月</w:t>
      </w:r>
      <w:r>
        <w:rPr>
          <w:szCs w:val="24"/>
          <w:highlight w:val="none"/>
          <w:u w:val="single"/>
        </w:rPr>
        <w:t xml:space="preserve">    </w:t>
      </w:r>
      <w:r>
        <w:rPr>
          <w:szCs w:val="24"/>
          <w:highlight w:val="none"/>
        </w:rPr>
        <w:t>日</w:t>
      </w:r>
      <w:r>
        <w:rPr>
          <w:rFonts w:hint="eastAsia"/>
          <w:szCs w:val="24"/>
          <w:highlight w:val="none"/>
          <w:u w:val="single"/>
        </w:rPr>
        <w:t xml:space="preserve">        </w:t>
      </w:r>
      <w:r>
        <w:rPr>
          <w:szCs w:val="24"/>
          <w:highlight w:val="none"/>
        </w:rPr>
        <w:t>项目(编号</w:t>
      </w:r>
      <w:r>
        <w:rPr>
          <w:rFonts w:hint="eastAsia"/>
          <w:szCs w:val="24"/>
          <w:highlight w:val="none"/>
          <w:u w:val="single"/>
        </w:rPr>
        <w:t xml:space="preserve">       </w:t>
      </w:r>
      <w:r>
        <w:rPr>
          <w:szCs w:val="24"/>
          <w:highlight w:val="none"/>
        </w:rPr>
        <w:t xml:space="preserve"> )采购活动，全权处理采购活动中的一切事宜。</w:t>
      </w:r>
    </w:p>
    <w:p>
      <w:pPr>
        <w:spacing w:line="440" w:lineRule="exact"/>
        <w:ind w:firstLine="422" w:firstLineChars="200"/>
        <w:rPr>
          <w:b/>
          <w:bCs/>
          <w:szCs w:val="24"/>
          <w:highlight w:val="none"/>
        </w:rPr>
      </w:pPr>
      <w:r>
        <w:rPr>
          <w:rFonts w:hint="eastAsia"/>
          <w:b/>
          <w:bCs/>
          <w:szCs w:val="24"/>
          <w:highlight w:val="none"/>
        </w:rPr>
        <w:t>后附被授权人身份证正反页复印件，加盖公章</w:t>
      </w:r>
    </w:p>
    <w:p>
      <w:pPr>
        <w:spacing w:line="440" w:lineRule="exact"/>
        <w:ind w:firstLine="420" w:firstLineChars="200"/>
        <w:rPr>
          <w:szCs w:val="24"/>
          <w:highlight w:val="none"/>
        </w:rPr>
      </w:pPr>
      <w:r>
        <w:rPr>
          <w:szCs w:val="24"/>
          <w:highlight w:val="none"/>
        </w:rPr>
        <w:t>法定代表人(签字)：</w:t>
      </w:r>
    </w:p>
    <w:p>
      <w:pPr>
        <w:spacing w:line="440" w:lineRule="exact"/>
        <w:ind w:firstLine="420" w:firstLineChars="200"/>
        <w:rPr>
          <w:szCs w:val="24"/>
          <w:highlight w:val="none"/>
        </w:rPr>
      </w:pPr>
    </w:p>
    <w:p>
      <w:pPr>
        <w:spacing w:line="440" w:lineRule="exact"/>
        <w:ind w:firstLine="420" w:firstLineChars="200"/>
        <w:rPr>
          <w:szCs w:val="24"/>
          <w:highlight w:val="none"/>
        </w:rPr>
      </w:pPr>
      <w:r>
        <w:rPr>
          <w:szCs w:val="24"/>
          <w:highlight w:val="none"/>
        </w:rPr>
        <w:t>供应商全称(公章)：</w:t>
      </w:r>
    </w:p>
    <w:p>
      <w:pPr>
        <w:spacing w:line="440" w:lineRule="exact"/>
        <w:ind w:firstLine="420" w:firstLineChars="200"/>
        <w:rPr>
          <w:szCs w:val="24"/>
          <w:highlight w:val="none"/>
        </w:rPr>
      </w:pPr>
    </w:p>
    <w:p>
      <w:pPr>
        <w:wordWrap w:val="0"/>
        <w:spacing w:line="440" w:lineRule="exact"/>
        <w:ind w:firstLine="420" w:firstLineChars="200"/>
        <w:jc w:val="right"/>
        <w:rPr>
          <w:szCs w:val="24"/>
          <w:highlight w:val="none"/>
        </w:rPr>
      </w:pPr>
      <w:r>
        <w:rPr>
          <w:szCs w:val="24"/>
          <w:highlight w:val="none"/>
        </w:rPr>
        <w:t>日</w:t>
      </w:r>
      <w:r>
        <w:rPr>
          <w:rFonts w:hint="eastAsia"/>
          <w:szCs w:val="24"/>
          <w:highlight w:val="none"/>
        </w:rPr>
        <w:t xml:space="preserve">   </w:t>
      </w:r>
      <w:r>
        <w:rPr>
          <w:szCs w:val="24"/>
          <w:highlight w:val="none"/>
        </w:rPr>
        <w:t>期：</w:t>
      </w:r>
      <w:r>
        <w:rPr>
          <w:rFonts w:hint="eastAsia"/>
          <w:szCs w:val="24"/>
          <w:highlight w:val="none"/>
        </w:rPr>
        <w:t xml:space="preserve">         </w:t>
      </w:r>
    </w:p>
    <w:p>
      <w:pPr>
        <w:spacing w:line="440" w:lineRule="exact"/>
        <w:ind w:firstLine="420" w:firstLineChars="200"/>
        <w:jc w:val="center"/>
        <w:rPr>
          <w:szCs w:val="24"/>
          <w:highlight w:val="none"/>
        </w:rPr>
      </w:pPr>
    </w:p>
    <w:p>
      <w:pPr>
        <w:spacing w:line="440" w:lineRule="exact"/>
        <w:ind w:firstLine="420" w:firstLineChars="200"/>
        <w:rPr>
          <w:szCs w:val="24"/>
          <w:highlight w:val="none"/>
        </w:rPr>
      </w:pPr>
      <w:r>
        <w:rPr>
          <w:szCs w:val="24"/>
          <w:highlight w:val="none"/>
        </w:rPr>
        <w:t>附：</w:t>
      </w:r>
    </w:p>
    <w:p>
      <w:pPr>
        <w:spacing w:line="440" w:lineRule="exact"/>
        <w:ind w:firstLine="420" w:firstLineChars="200"/>
        <w:rPr>
          <w:szCs w:val="24"/>
          <w:highlight w:val="none"/>
        </w:rPr>
      </w:pPr>
      <w:r>
        <w:rPr>
          <w:rFonts w:hint="eastAsia"/>
          <w:szCs w:val="24"/>
          <w:highlight w:val="none"/>
        </w:rPr>
        <w:t>授权</w:t>
      </w:r>
      <w:r>
        <w:rPr>
          <w:szCs w:val="24"/>
          <w:highlight w:val="none"/>
        </w:rPr>
        <w:t>代表人：</w:t>
      </w:r>
    </w:p>
    <w:p>
      <w:pPr>
        <w:spacing w:line="440" w:lineRule="exact"/>
        <w:ind w:firstLine="420" w:firstLineChars="200"/>
        <w:rPr>
          <w:szCs w:val="24"/>
          <w:highlight w:val="none"/>
        </w:rPr>
      </w:pPr>
      <w:r>
        <w:rPr>
          <w:szCs w:val="24"/>
          <w:highlight w:val="none"/>
        </w:rPr>
        <w:t>身份证号码：</w:t>
      </w:r>
    </w:p>
    <w:p>
      <w:pPr>
        <w:spacing w:line="440" w:lineRule="exact"/>
        <w:ind w:firstLine="420" w:firstLineChars="200"/>
        <w:rPr>
          <w:szCs w:val="24"/>
          <w:highlight w:val="none"/>
        </w:rPr>
      </w:pPr>
      <w:r>
        <w:rPr>
          <w:szCs w:val="24"/>
          <w:highlight w:val="none"/>
        </w:rPr>
        <w:t>职务：</w:t>
      </w:r>
    </w:p>
    <w:p>
      <w:pPr>
        <w:spacing w:line="440" w:lineRule="exact"/>
        <w:ind w:firstLine="420" w:firstLineChars="200"/>
        <w:rPr>
          <w:szCs w:val="24"/>
          <w:highlight w:val="none"/>
        </w:rPr>
      </w:pPr>
      <w:r>
        <w:rPr>
          <w:szCs w:val="24"/>
          <w:highlight w:val="none"/>
        </w:rPr>
        <w:t>手机号码：</w:t>
      </w:r>
    </w:p>
    <w:p>
      <w:pPr>
        <w:spacing w:line="440" w:lineRule="exact"/>
        <w:ind w:firstLine="420" w:firstLineChars="200"/>
        <w:rPr>
          <w:szCs w:val="24"/>
          <w:highlight w:val="none"/>
        </w:rPr>
      </w:pPr>
      <w:r>
        <w:rPr>
          <w:szCs w:val="24"/>
          <w:highlight w:val="none"/>
        </w:rPr>
        <w:t>通讯地址：</w:t>
      </w:r>
    </w:p>
    <w:p>
      <w:pPr>
        <w:spacing w:line="440" w:lineRule="exact"/>
        <w:ind w:firstLine="420" w:firstLineChars="200"/>
        <w:rPr>
          <w:szCs w:val="24"/>
          <w:highlight w:val="none"/>
        </w:rPr>
      </w:pPr>
      <w:r>
        <w:rPr>
          <w:szCs w:val="24"/>
          <w:highlight w:val="none"/>
        </w:rPr>
        <w:t>邮政编码：</w:t>
      </w:r>
    </w:p>
    <w:p>
      <w:pPr>
        <w:spacing w:line="440" w:lineRule="exact"/>
        <w:ind w:firstLine="420" w:firstLineChars="200"/>
        <w:rPr>
          <w:szCs w:val="24"/>
          <w:highlight w:val="none"/>
        </w:rPr>
      </w:pPr>
      <w:r>
        <w:rPr>
          <w:szCs w:val="24"/>
          <w:highlight w:val="none"/>
        </w:rPr>
        <w:t>电话：</w:t>
      </w:r>
    </w:p>
    <w:p>
      <w:pPr>
        <w:spacing w:line="440" w:lineRule="exact"/>
        <w:ind w:firstLine="420" w:firstLineChars="200"/>
        <w:rPr>
          <w:szCs w:val="24"/>
          <w:highlight w:val="none"/>
        </w:rPr>
      </w:pPr>
      <w:r>
        <w:rPr>
          <w:szCs w:val="24"/>
          <w:highlight w:val="none"/>
        </w:rPr>
        <w:t>传真：</w:t>
      </w:r>
    </w:p>
    <w:p>
      <w:pPr>
        <w:pStyle w:val="2"/>
        <w:spacing w:afterLines="50" w:line="360" w:lineRule="exact"/>
        <w:rPr>
          <w:rFonts w:ascii="Times New Roman"/>
          <w:b w:val="0"/>
          <w:sz w:val="24"/>
          <w:highlight w:val="none"/>
        </w:rPr>
      </w:pPr>
      <w:r>
        <w:rPr>
          <w:szCs w:val="24"/>
          <w:highlight w:val="none"/>
        </w:rPr>
        <w:br w:type="page"/>
      </w:r>
      <w:bookmarkStart w:id="178" w:name="_Toc498429656"/>
      <w:bookmarkStart w:id="179" w:name="_Toc514758504"/>
      <w:bookmarkStart w:id="180" w:name="_Toc517699375"/>
      <w:r>
        <w:rPr>
          <w:rFonts w:hint="eastAsia" w:hAnsi="宋体" w:cs="宋体"/>
          <w:sz w:val="21"/>
          <w:szCs w:val="21"/>
          <w:highlight w:val="none"/>
        </w:rPr>
        <w:t>法定代表人身份证明书</w:t>
      </w:r>
      <w:bookmarkEnd w:id="178"/>
      <w:bookmarkEnd w:id="179"/>
      <w:bookmarkEnd w:id="180"/>
    </w:p>
    <w:p>
      <w:pPr>
        <w:spacing w:line="360" w:lineRule="auto"/>
        <w:rPr>
          <w:bCs/>
          <w:szCs w:val="21"/>
          <w:highlight w:val="none"/>
        </w:rPr>
      </w:pPr>
    </w:p>
    <w:p>
      <w:pPr>
        <w:spacing w:line="360" w:lineRule="auto"/>
        <w:contextualSpacing/>
        <w:rPr>
          <w:bCs/>
          <w:szCs w:val="21"/>
          <w:highlight w:val="none"/>
          <w:u w:val="single"/>
        </w:rPr>
      </w:pPr>
      <w:r>
        <w:rPr>
          <w:rFonts w:hint="eastAsia"/>
          <w:bCs/>
          <w:szCs w:val="21"/>
          <w:highlight w:val="none"/>
        </w:rPr>
        <w:t>单位名称：</w:t>
      </w:r>
      <w:r>
        <w:rPr>
          <w:rFonts w:hint="eastAsia"/>
          <w:bCs/>
          <w:szCs w:val="21"/>
          <w:highlight w:val="none"/>
          <w:u w:val="single"/>
        </w:rPr>
        <w:t xml:space="preserve">                                                                    </w:t>
      </w:r>
    </w:p>
    <w:p>
      <w:pPr>
        <w:spacing w:line="360" w:lineRule="auto"/>
        <w:contextualSpacing/>
        <w:rPr>
          <w:bCs/>
          <w:szCs w:val="21"/>
          <w:highlight w:val="none"/>
        </w:rPr>
      </w:pPr>
      <w:r>
        <w:rPr>
          <w:rFonts w:hint="eastAsia"/>
          <w:bCs/>
          <w:szCs w:val="21"/>
          <w:highlight w:val="none"/>
        </w:rPr>
        <w:t>地    址：</w:t>
      </w:r>
      <w:r>
        <w:rPr>
          <w:rFonts w:hint="eastAsia"/>
          <w:bCs/>
          <w:szCs w:val="21"/>
          <w:highlight w:val="none"/>
          <w:u w:val="single"/>
        </w:rPr>
        <w:t xml:space="preserve">                                                                    </w:t>
      </w:r>
    </w:p>
    <w:p>
      <w:pPr>
        <w:spacing w:line="360" w:lineRule="auto"/>
        <w:contextualSpacing/>
        <w:rPr>
          <w:bCs/>
          <w:szCs w:val="21"/>
          <w:highlight w:val="none"/>
        </w:rPr>
      </w:pPr>
      <w:r>
        <w:rPr>
          <w:rFonts w:hint="eastAsia"/>
          <w:bCs/>
          <w:szCs w:val="21"/>
          <w:highlight w:val="none"/>
        </w:rPr>
        <w:t>姓    名：</w:t>
      </w:r>
      <w:r>
        <w:rPr>
          <w:rFonts w:hint="eastAsia"/>
          <w:bCs/>
          <w:szCs w:val="21"/>
          <w:highlight w:val="none"/>
          <w:u w:val="single"/>
        </w:rPr>
        <w:t xml:space="preserve">                          </w:t>
      </w:r>
      <w:r>
        <w:rPr>
          <w:rFonts w:hint="eastAsia"/>
          <w:bCs/>
          <w:szCs w:val="21"/>
          <w:highlight w:val="none"/>
        </w:rPr>
        <w:t xml:space="preserve">  性    别：</w:t>
      </w:r>
      <w:r>
        <w:rPr>
          <w:rFonts w:hint="eastAsia"/>
          <w:bCs/>
          <w:szCs w:val="21"/>
          <w:highlight w:val="none"/>
          <w:u w:val="single"/>
        </w:rPr>
        <w:t xml:space="preserve">                              </w:t>
      </w:r>
    </w:p>
    <w:p>
      <w:pPr>
        <w:spacing w:line="360" w:lineRule="auto"/>
        <w:contextualSpacing/>
        <w:rPr>
          <w:bCs/>
          <w:szCs w:val="21"/>
          <w:highlight w:val="none"/>
        </w:rPr>
      </w:pPr>
      <w:r>
        <w:rPr>
          <w:rFonts w:hint="eastAsia"/>
          <w:bCs/>
          <w:szCs w:val="21"/>
          <w:highlight w:val="none"/>
        </w:rPr>
        <w:t>年    龄：</w:t>
      </w:r>
      <w:r>
        <w:rPr>
          <w:rFonts w:hint="eastAsia"/>
          <w:bCs/>
          <w:szCs w:val="21"/>
          <w:highlight w:val="none"/>
          <w:u w:val="single"/>
        </w:rPr>
        <w:t xml:space="preserve">                          </w:t>
      </w:r>
      <w:r>
        <w:rPr>
          <w:rFonts w:hint="eastAsia"/>
          <w:bCs/>
          <w:szCs w:val="21"/>
          <w:highlight w:val="none"/>
        </w:rPr>
        <w:t xml:space="preserve">  职    务：</w:t>
      </w:r>
      <w:r>
        <w:rPr>
          <w:rFonts w:hint="eastAsia"/>
          <w:bCs/>
          <w:szCs w:val="21"/>
          <w:highlight w:val="none"/>
          <w:u w:val="single"/>
        </w:rPr>
        <w:t xml:space="preserve">                              </w:t>
      </w:r>
    </w:p>
    <w:p>
      <w:pPr>
        <w:spacing w:line="360" w:lineRule="auto"/>
        <w:contextualSpacing/>
        <w:rPr>
          <w:bCs/>
          <w:szCs w:val="21"/>
          <w:highlight w:val="none"/>
        </w:rPr>
      </w:pPr>
      <w:r>
        <w:rPr>
          <w:rFonts w:hint="eastAsia"/>
          <w:bCs/>
          <w:szCs w:val="21"/>
          <w:highlight w:val="none"/>
        </w:rPr>
        <w:t>身份证号码：</w:t>
      </w:r>
      <w:r>
        <w:rPr>
          <w:rFonts w:hint="eastAsia"/>
          <w:bCs/>
          <w:szCs w:val="21"/>
          <w:highlight w:val="none"/>
          <w:u w:val="single"/>
        </w:rPr>
        <w:t xml:space="preserve">                     </w:t>
      </w:r>
      <w:r>
        <w:rPr>
          <w:rFonts w:hint="eastAsia"/>
          <w:bCs/>
          <w:szCs w:val="21"/>
          <w:highlight w:val="none"/>
        </w:rPr>
        <w:t>系</w:t>
      </w:r>
      <w:r>
        <w:rPr>
          <w:rFonts w:hint="eastAsia"/>
          <w:bCs/>
          <w:szCs w:val="21"/>
          <w:highlight w:val="none"/>
          <w:u w:val="single"/>
        </w:rPr>
        <w:t xml:space="preserve">               </w:t>
      </w:r>
      <w:r>
        <w:rPr>
          <w:rFonts w:hint="eastAsia"/>
          <w:bCs/>
          <w:szCs w:val="21"/>
          <w:highlight w:val="none"/>
        </w:rPr>
        <w:t>（投标人单位全称）的法定代表人（或负责人）。</w:t>
      </w:r>
    </w:p>
    <w:p>
      <w:pPr>
        <w:spacing w:line="360" w:lineRule="auto"/>
        <w:contextualSpacing/>
        <w:rPr>
          <w:bCs/>
          <w:szCs w:val="21"/>
          <w:highlight w:val="none"/>
        </w:rPr>
      </w:pPr>
      <w:r>
        <w:rPr>
          <w:rFonts w:hint="eastAsia"/>
          <w:bCs/>
          <w:szCs w:val="21"/>
          <w:highlight w:val="none"/>
        </w:rPr>
        <w:t xml:space="preserve">    特此证明。</w:t>
      </w:r>
    </w:p>
    <w:p>
      <w:pPr>
        <w:spacing w:line="360" w:lineRule="auto"/>
        <w:contextualSpacing/>
        <w:rPr>
          <w:bCs/>
          <w:szCs w:val="21"/>
          <w:highlight w:val="none"/>
        </w:rPr>
      </w:pPr>
    </w:p>
    <w:p>
      <w:pPr>
        <w:spacing w:line="360" w:lineRule="auto"/>
        <w:contextualSpacing/>
        <w:rPr>
          <w:bCs/>
          <w:szCs w:val="21"/>
          <w:highlight w:val="none"/>
        </w:rPr>
      </w:pPr>
      <w:r>
        <w:rPr>
          <w:rFonts w:hint="eastAsia"/>
          <w:bCs/>
          <w:szCs w:val="21"/>
          <w:highlight w:val="none"/>
        </w:rPr>
        <w:t>（后附法定代表人身份证正反面复印件，加盖公章。）</w:t>
      </w:r>
    </w:p>
    <w:p>
      <w:pPr>
        <w:spacing w:line="360" w:lineRule="auto"/>
        <w:contextualSpacing/>
        <w:rPr>
          <w:bCs/>
          <w:szCs w:val="21"/>
          <w:highlight w:val="none"/>
        </w:rPr>
      </w:pPr>
    </w:p>
    <w:p>
      <w:pPr>
        <w:spacing w:line="360" w:lineRule="auto"/>
        <w:contextualSpacing/>
        <w:rPr>
          <w:bCs/>
          <w:szCs w:val="21"/>
          <w:highlight w:val="none"/>
        </w:rPr>
      </w:pPr>
    </w:p>
    <w:p>
      <w:pPr>
        <w:spacing w:line="360" w:lineRule="auto"/>
        <w:contextualSpacing/>
        <w:rPr>
          <w:bCs/>
          <w:szCs w:val="21"/>
          <w:highlight w:val="none"/>
        </w:rPr>
      </w:pPr>
    </w:p>
    <w:p>
      <w:pPr>
        <w:spacing w:line="360" w:lineRule="auto"/>
        <w:contextualSpacing/>
        <w:rPr>
          <w:bCs/>
          <w:szCs w:val="21"/>
          <w:highlight w:val="none"/>
        </w:rPr>
      </w:pPr>
      <w:r>
        <w:rPr>
          <w:rFonts w:hint="eastAsia"/>
          <w:bCs/>
          <w:szCs w:val="21"/>
          <w:highlight w:val="none"/>
        </w:rPr>
        <w:t>投标人（盖章）：</w:t>
      </w:r>
    </w:p>
    <w:p>
      <w:pPr>
        <w:spacing w:line="360" w:lineRule="auto"/>
        <w:contextualSpacing/>
        <w:rPr>
          <w:bCs/>
          <w:szCs w:val="21"/>
          <w:highlight w:val="none"/>
        </w:rPr>
      </w:pPr>
    </w:p>
    <w:p>
      <w:pPr>
        <w:spacing w:line="360" w:lineRule="auto"/>
        <w:contextualSpacing/>
        <w:rPr>
          <w:bCs/>
          <w:szCs w:val="21"/>
          <w:highlight w:val="none"/>
        </w:rPr>
      </w:pPr>
      <w:r>
        <w:rPr>
          <w:rFonts w:hint="eastAsia"/>
          <w:bCs/>
          <w:szCs w:val="21"/>
          <w:highlight w:val="none"/>
        </w:rPr>
        <w:t>投标人法定代表人（签字）：</w:t>
      </w:r>
    </w:p>
    <w:p>
      <w:pPr>
        <w:spacing w:line="360" w:lineRule="auto"/>
        <w:contextualSpacing/>
        <w:rPr>
          <w:bCs/>
          <w:szCs w:val="21"/>
          <w:highlight w:val="none"/>
        </w:rPr>
      </w:pPr>
    </w:p>
    <w:p>
      <w:pPr>
        <w:spacing w:line="360" w:lineRule="auto"/>
        <w:contextualSpacing/>
        <w:rPr>
          <w:bCs/>
          <w:szCs w:val="21"/>
          <w:highlight w:val="none"/>
        </w:rPr>
      </w:pPr>
      <w:r>
        <w:rPr>
          <w:rFonts w:hint="eastAsia"/>
          <w:bCs/>
          <w:szCs w:val="21"/>
          <w:highlight w:val="none"/>
        </w:rPr>
        <w:t>日期：    年   月  日</w:t>
      </w:r>
    </w:p>
    <w:p>
      <w:pPr>
        <w:rPr>
          <w:highlight w:val="none"/>
        </w:rPr>
      </w:pPr>
      <w:r>
        <w:rPr>
          <w:sz w:val="24"/>
          <w:szCs w:val="24"/>
          <w:highlight w:val="none"/>
        </w:rPr>
        <w:br w:type="page"/>
      </w:r>
      <w:bookmarkStart w:id="181" w:name="_Toc97372569"/>
      <w:r>
        <w:rPr>
          <w:rFonts w:hint="eastAsia"/>
          <w:sz w:val="18"/>
          <w:szCs w:val="18"/>
          <w:highlight w:val="none"/>
        </w:rPr>
        <w:t>格式</w:t>
      </w:r>
      <w:bookmarkEnd w:id="181"/>
      <w:r>
        <w:rPr>
          <w:rFonts w:hint="eastAsia"/>
          <w:sz w:val="18"/>
          <w:szCs w:val="18"/>
          <w:highlight w:val="none"/>
        </w:rPr>
        <w:t>三  合格的投标人承诺函</w:t>
      </w:r>
    </w:p>
    <w:p>
      <w:pPr>
        <w:pStyle w:val="3"/>
        <w:tabs>
          <w:tab w:val="left" w:pos="1415"/>
        </w:tabs>
        <w:jc w:val="center"/>
        <w:rPr>
          <w:highlight w:val="none"/>
        </w:rPr>
      </w:pPr>
      <w:bookmarkStart w:id="182" w:name="_Toc517699370"/>
      <w:r>
        <w:rPr>
          <w:rFonts w:hint="eastAsia" w:hAnsi="宋体" w:cs="宋体"/>
          <w:sz w:val="21"/>
          <w:szCs w:val="21"/>
          <w:highlight w:val="none"/>
        </w:rPr>
        <w:t>合格的投标人承诺函</w:t>
      </w:r>
      <w:bookmarkEnd w:id="182"/>
    </w:p>
    <w:p>
      <w:pPr>
        <w:spacing w:line="360" w:lineRule="auto"/>
        <w:contextualSpacing/>
        <w:rPr>
          <w:rFonts w:cs="宋体"/>
          <w:b/>
          <w:szCs w:val="21"/>
          <w:highlight w:val="none"/>
        </w:rPr>
      </w:pPr>
      <w:r>
        <w:rPr>
          <w:rFonts w:hint="eastAsia" w:cs="宋体"/>
          <w:b/>
          <w:szCs w:val="21"/>
          <w:highlight w:val="none"/>
        </w:rPr>
        <w:t>致：中冠工程管理咨询有限公司</w:t>
      </w:r>
    </w:p>
    <w:p>
      <w:pPr>
        <w:adjustRightInd w:val="0"/>
        <w:spacing w:line="360" w:lineRule="auto"/>
        <w:ind w:firstLine="422" w:firstLineChars="200"/>
        <w:contextualSpacing/>
        <w:textAlignment w:val="baseline"/>
        <w:rPr>
          <w:rFonts w:cs="宋体"/>
          <w:b/>
          <w:szCs w:val="21"/>
          <w:highlight w:val="none"/>
        </w:rPr>
      </w:pPr>
      <w:bookmarkStart w:id="183" w:name="_Toc399148312"/>
      <w:r>
        <w:rPr>
          <w:rFonts w:hint="eastAsia" w:cs="宋体"/>
          <w:b/>
          <w:szCs w:val="21"/>
          <w:highlight w:val="none"/>
        </w:rPr>
        <w:t>我方郑重承诺</w:t>
      </w:r>
      <w:bookmarkEnd w:id="183"/>
      <w:r>
        <w:rPr>
          <w:rFonts w:hint="eastAsia" w:cs="宋体"/>
          <w:b/>
          <w:szCs w:val="21"/>
          <w:highlight w:val="none"/>
        </w:rPr>
        <w:t>：</w:t>
      </w:r>
    </w:p>
    <w:p>
      <w:pPr>
        <w:numPr>
          <w:ilvl w:val="0"/>
          <w:numId w:val="4"/>
        </w:numPr>
        <w:spacing w:line="360" w:lineRule="auto"/>
        <w:ind w:firstLine="420" w:firstLineChars="200"/>
        <w:contextualSpacing/>
        <w:rPr>
          <w:rFonts w:cs="宋体"/>
          <w:kern w:val="0"/>
          <w:szCs w:val="21"/>
          <w:highlight w:val="none"/>
        </w:rPr>
      </w:pPr>
      <w:r>
        <w:rPr>
          <w:rFonts w:hint="eastAsia" w:cs="宋体"/>
          <w:kern w:val="0"/>
          <w:szCs w:val="21"/>
          <w:highlight w:val="none"/>
        </w:rPr>
        <w:t>我单位具有独立承担民事责任的能力；</w:t>
      </w:r>
    </w:p>
    <w:p>
      <w:pPr>
        <w:numPr>
          <w:ilvl w:val="0"/>
          <w:numId w:val="4"/>
        </w:numPr>
        <w:spacing w:line="360" w:lineRule="auto"/>
        <w:ind w:firstLine="420" w:firstLineChars="200"/>
        <w:contextualSpacing/>
        <w:rPr>
          <w:rFonts w:cs="宋体"/>
          <w:kern w:val="0"/>
          <w:szCs w:val="21"/>
          <w:highlight w:val="none"/>
        </w:rPr>
      </w:pPr>
      <w:r>
        <w:rPr>
          <w:rFonts w:hint="eastAsia" w:cs="宋体"/>
          <w:kern w:val="0"/>
          <w:szCs w:val="21"/>
          <w:highlight w:val="none"/>
        </w:rPr>
        <w:t>我单位具有良好的商业信誉和健全的财务会计制度；</w:t>
      </w:r>
    </w:p>
    <w:p>
      <w:pPr>
        <w:numPr>
          <w:ilvl w:val="0"/>
          <w:numId w:val="4"/>
        </w:numPr>
        <w:spacing w:line="360" w:lineRule="auto"/>
        <w:ind w:firstLine="420" w:firstLineChars="200"/>
        <w:contextualSpacing/>
        <w:rPr>
          <w:rFonts w:cs="宋体"/>
          <w:kern w:val="0"/>
          <w:szCs w:val="21"/>
          <w:highlight w:val="none"/>
        </w:rPr>
      </w:pPr>
      <w:r>
        <w:rPr>
          <w:rFonts w:hint="eastAsia" w:cs="宋体"/>
          <w:kern w:val="0"/>
          <w:szCs w:val="21"/>
          <w:highlight w:val="none"/>
        </w:rPr>
        <w:t>我单位具有履行合同所必需的设备和专业技术能力；</w:t>
      </w:r>
    </w:p>
    <w:p>
      <w:pPr>
        <w:numPr>
          <w:ilvl w:val="0"/>
          <w:numId w:val="4"/>
        </w:numPr>
        <w:spacing w:line="360" w:lineRule="auto"/>
        <w:ind w:firstLine="420" w:firstLineChars="200"/>
        <w:contextualSpacing/>
        <w:rPr>
          <w:rFonts w:cs="宋体"/>
          <w:kern w:val="0"/>
          <w:szCs w:val="21"/>
          <w:highlight w:val="none"/>
        </w:rPr>
      </w:pPr>
      <w:r>
        <w:rPr>
          <w:rFonts w:hint="eastAsia" w:cs="宋体"/>
          <w:kern w:val="0"/>
          <w:szCs w:val="21"/>
          <w:highlight w:val="none"/>
        </w:rPr>
        <w:t>我单位有依法缴纳税收和社会保障资金的良好记录；</w:t>
      </w:r>
    </w:p>
    <w:p>
      <w:pPr>
        <w:numPr>
          <w:ilvl w:val="0"/>
          <w:numId w:val="4"/>
        </w:numPr>
        <w:spacing w:line="360" w:lineRule="auto"/>
        <w:ind w:firstLine="420" w:firstLineChars="200"/>
        <w:contextualSpacing/>
        <w:rPr>
          <w:rFonts w:cs="宋体"/>
          <w:kern w:val="0"/>
          <w:szCs w:val="21"/>
          <w:highlight w:val="none"/>
        </w:rPr>
      </w:pPr>
      <w:r>
        <w:rPr>
          <w:rFonts w:hint="eastAsia" w:cs="宋体"/>
          <w:kern w:val="0"/>
          <w:szCs w:val="21"/>
          <w:highlight w:val="none"/>
        </w:rPr>
        <w:t>参加政府采购活动前3年内在经营活动中没有重大违法记录；</w:t>
      </w:r>
    </w:p>
    <w:p>
      <w:pPr>
        <w:numPr>
          <w:ilvl w:val="0"/>
          <w:numId w:val="4"/>
        </w:numPr>
        <w:spacing w:line="360" w:lineRule="auto"/>
        <w:ind w:firstLine="420" w:firstLineChars="200"/>
        <w:contextualSpacing/>
        <w:rPr>
          <w:rFonts w:cs="Arial"/>
          <w:bCs/>
          <w:szCs w:val="21"/>
          <w:highlight w:val="none"/>
        </w:rPr>
      </w:pPr>
      <w:r>
        <w:rPr>
          <w:rFonts w:hint="eastAsia" w:cs="宋体"/>
          <w:bCs/>
          <w:szCs w:val="21"/>
          <w:highlight w:val="none"/>
        </w:rPr>
        <w:t>我单位符合以下条件：</w:t>
      </w:r>
    </w:p>
    <w:p>
      <w:pPr>
        <w:adjustRightInd w:val="0"/>
        <w:spacing w:line="360" w:lineRule="auto"/>
        <w:ind w:firstLine="420" w:firstLineChars="200"/>
        <w:contextualSpacing/>
        <w:textAlignment w:val="baseline"/>
        <w:rPr>
          <w:rFonts w:cs="Arial"/>
          <w:bCs/>
          <w:szCs w:val="21"/>
          <w:highlight w:val="none"/>
        </w:rPr>
      </w:pPr>
      <w:r>
        <w:rPr>
          <w:rFonts w:hint="eastAsia" w:cs="Arial"/>
          <w:bCs/>
          <w:szCs w:val="21"/>
          <w:highlight w:val="none"/>
        </w:rPr>
        <w:t>1）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adjustRightInd w:val="0"/>
        <w:spacing w:line="360" w:lineRule="auto"/>
        <w:ind w:firstLine="420" w:firstLineChars="200"/>
        <w:contextualSpacing/>
        <w:textAlignment w:val="baseline"/>
        <w:rPr>
          <w:rFonts w:cs="宋体"/>
          <w:szCs w:val="21"/>
          <w:highlight w:val="none"/>
        </w:rPr>
      </w:pPr>
      <w:r>
        <w:rPr>
          <w:rFonts w:hint="eastAsia" w:cs="宋体"/>
          <w:szCs w:val="21"/>
          <w:highlight w:val="none"/>
        </w:rPr>
        <w:t>2）我单位及我单位法定代表人（或负责人）均无行贿犯罪记录。</w:t>
      </w:r>
    </w:p>
    <w:p>
      <w:pPr>
        <w:spacing w:line="360" w:lineRule="auto"/>
        <w:ind w:firstLine="517" w:firstLineChars="245"/>
        <w:contextualSpacing/>
        <w:rPr>
          <w:b/>
          <w:bCs/>
          <w:szCs w:val="21"/>
          <w:highlight w:val="none"/>
        </w:rPr>
      </w:pPr>
      <w:r>
        <w:rPr>
          <w:rFonts w:hint="eastAsia" w:cs="宋体"/>
          <w:b/>
          <w:szCs w:val="21"/>
          <w:highlight w:val="none"/>
        </w:rPr>
        <w:t>特此承诺。</w:t>
      </w:r>
    </w:p>
    <w:p>
      <w:pPr>
        <w:spacing w:line="360" w:lineRule="auto"/>
        <w:contextualSpacing/>
        <w:rPr>
          <w:b/>
          <w:bCs/>
          <w:szCs w:val="21"/>
          <w:highlight w:val="none"/>
        </w:rPr>
      </w:pPr>
    </w:p>
    <w:p>
      <w:pPr>
        <w:spacing w:line="360" w:lineRule="auto"/>
        <w:contextualSpacing/>
        <w:rPr>
          <w:szCs w:val="21"/>
          <w:highlight w:val="none"/>
        </w:rPr>
      </w:pPr>
    </w:p>
    <w:p>
      <w:pPr>
        <w:spacing w:line="360" w:lineRule="auto"/>
        <w:contextualSpacing/>
        <w:rPr>
          <w:szCs w:val="21"/>
          <w:highlight w:val="none"/>
        </w:rPr>
      </w:pPr>
    </w:p>
    <w:p>
      <w:pPr>
        <w:spacing w:line="360" w:lineRule="auto"/>
        <w:contextualSpacing/>
        <w:rPr>
          <w:szCs w:val="21"/>
          <w:highlight w:val="none"/>
        </w:rPr>
      </w:pPr>
    </w:p>
    <w:p>
      <w:pPr>
        <w:spacing w:line="360" w:lineRule="auto"/>
        <w:contextualSpacing/>
        <w:rPr>
          <w:szCs w:val="21"/>
          <w:highlight w:val="none"/>
        </w:rPr>
      </w:pPr>
      <w:r>
        <w:rPr>
          <w:rFonts w:hint="eastAsia"/>
          <w:szCs w:val="21"/>
          <w:highlight w:val="none"/>
        </w:rPr>
        <w:t>投标人（盖章）：</w:t>
      </w:r>
    </w:p>
    <w:p>
      <w:pPr>
        <w:spacing w:line="360" w:lineRule="auto"/>
        <w:contextualSpacing/>
        <w:rPr>
          <w:szCs w:val="21"/>
          <w:highlight w:val="none"/>
        </w:rPr>
      </w:pPr>
    </w:p>
    <w:p>
      <w:pPr>
        <w:spacing w:line="360" w:lineRule="auto"/>
        <w:contextualSpacing/>
        <w:rPr>
          <w:szCs w:val="21"/>
          <w:highlight w:val="none"/>
        </w:rPr>
      </w:pPr>
      <w:r>
        <w:rPr>
          <w:rFonts w:hint="eastAsia"/>
          <w:szCs w:val="21"/>
          <w:highlight w:val="none"/>
        </w:rPr>
        <w:t>法定代表人或授权代表人（签字或盖章）：</w:t>
      </w:r>
    </w:p>
    <w:p>
      <w:pPr>
        <w:spacing w:line="360" w:lineRule="auto"/>
        <w:contextualSpacing/>
        <w:rPr>
          <w:szCs w:val="21"/>
          <w:highlight w:val="none"/>
        </w:rPr>
      </w:pPr>
    </w:p>
    <w:p>
      <w:pPr>
        <w:spacing w:line="360" w:lineRule="auto"/>
        <w:contextualSpacing/>
        <w:rPr>
          <w:bCs/>
          <w:sz w:val="24"/>
          <w:szCs w:val="24"/>
          <w:highlight w:val="none"/>
        </w:rPr>
        <w:sectPr>
          <w:pgSz w:w="11907" w:h="16840"/>
          <w:pgMar w:top="1134" w:right="1531" w:bottom="1134" w:left="1531" w:header="425" w:footer="709" w:gutter="0"/>
          <w:cols w:space="720" w:num="1"/>
          <w:docGrid w:linePitch="285" w:charSpace="0"/>
        </w:sectPr>
      </w:pPr>
      <w:r>
        <w:rPr>
          <w:rFonts w:hint="eastAsia"/>
          <w:szCs w:val="21"/>
          <w:highlight w:val="none"/>
        </w:rPr>
        <w:t xml:space="preserve">日期：       年   月   </w:t>
      </w:r>
    </w:p>
    <w:p>
      <w:pPr>
        <w:pStyle w:val="3"/>
        <w:spacing w:before="0" w:after="0" w:line="240" w:lineRule="auto"/>
        <w:ind w:right="-567"/>
        <w:jc w:val="left"/>
        <w:rPr>
          <w:rFonts w:ascii="Times New Roman" w:hAnsi="Times New Roman" w:eastAsia="宋体"/>
          <w:b w:val="0"/>
          <w:sz w:val="18"/>
          <w:szCs w:val="18"/>
          <w:highlight w:val="none"/>
        </w:rPr>
      </w:pPr>
      <w:r>
        <w:rPr>
          <w:rFonts w:hint="eastAsia" w:ascii="Times New Roman" w:hAnsi="Times New Roman" w:eastAsia="宋体"/>
          <w:b w:val="0"/>
          <w:sz w:val="21"/>
          <w:szCs w:val="21"/>
          <w:highlight w:val="none"/>
        </w:rPr>
        <w:t>格式四  开标一览表</w:t>
      </w:r>
      <w:bookmarkEnd w:id="172"/>
    </w:p>
    <w:p>
      <w:pPr>
        <w:pStyle w:val="2"/>
        <w:spacing w:line="360" w:lineRule="exact"/>
        <w:rPr>
          <w:rFonts w:hAnsi="宋体" w:cs="宋体"/>
          <w:sz w:val="21"/>
          <w:szCs w:val="21"/>
          <w:highlight w:val="none"/>
        </w:rPr>
      </w:pPr>
      <w:bookmarkStart w:id="184" w:name="_Toc263083272"/>
      <w:r>
        <w:rPr>
          <w:rFonts w:hint="eastAsia" w:hAnsi="宋体" w:cs="宋体"/>
          <w:sz w:val="21"/>
          <w:szCs w:val="21"/>
          <w:highlight w:val="none"/>
        </w:rPr>
        <w:t>开标一览表</w:t>
      </w:r>
    </w:p>
    <w:p>
      <w:pPr>
        <w:snapToGrid w:val="0"/>
        <w:spacing w:before="50" w:after="50" w:line="360" w:lineRule="auto"/>
        <w:rPr>
          <w:rFonts w:ascii="宋体" w:hAnsi="宋体"/>
          <w:highlight w:val="none"/>
        </w:rPr>
      </w:pPr>
      <w:r>
        <w:rPr>
          <w:rFonts w:hint="eastAsia" w:ascii="宋体" w:hAnsi="宋体" w:cs="宋体"/>
          <w:highlight w:val="none"/>
        </w:rPr>
        <w:t>项目编号：</w:t>
      </w:r>
      <w:r>
        <w:rPr>
          <w:rFonts w:ascii="宋体" w:hAnsi="宋体" w:cs="宋体"/>
          <w:highlight w:val="none"/>
          <w:u w:val="single"/>
        </w:rPr>
        <w:t xml:space="preserve">                  </w:t>
      </w:r>
      <w:r>
        <w:rPr>
          <w:rFonts w:hint="eastAsia" w:ascii="宋体" w:hAnsi="宋体" w:cs="宋体"/>
          <w:highlight w:val="none"/>
        </w:rPr>
        <w:t>项目名称：</w:t>
      </w:r>
      <w:r>
        <w:rPr>
          <w:rFonts w:ascii="宋体" w:hAnsi="宋体" w:cs="宋体"/>
          <w:highlight w:val="none"/>
          <w:u w:val="single"/>
        </w:rPr>
        <w:t xml:space="preserve">                    </w:t>
      </w:r>
      <w:r>
        <w:rPr>
          <w:rFonts w:ascii="宋体" w:hAnsi="宋体" w:cs="宋体"/>
          <w:highlight w:val="none"/>
        </w:rPr>
        <w:t xml:space="preserve">   </w:t>
      </w:r>
      <w:r>
        <w:rPr>
          <w:rFonts w:hint="eastAsia" w:ascii="宋体" w:hAnsi="宋体" w:cs="宋体"/>
          <w:highlight w:val="none"/>
        </w:rPr>
        <w:t>单位：元</w:t>
      </w:r>
      <w:r>
        <w:rPr>
          <w:rFonts w:ascii="宋体" w:hAnsi="宋体" w:cs="宋体"/>
          <w:highlight w:val="none"/>
        </w:rPr>
        <w:t xml:space="preserve"> </w:t>
      </w:r>
    </w:p>
    <w:tbl>
      <w:tblPr>
        <w:tblStyle w:val="46"/>
        <w:tblW w:w="10197" w:type="dxa"/>
        <w:jc w:val="center"/>
        <w:tblLayout w:type="fixed"/>
        <w:tblCellMar>
          <w:top w:w="0" w:type="dxa"/>
          <w:left w:w="108" w:type="dxa"/>
          <w:bottom w:w="0" w:type="dxa"/>
          <w:right w:w="108" w:type="dxa"/>
        </w:tblCellMar>
      </w:tblPr>
      <w:tblGrid>
        <w:gridCol w:w="804"/>
        <w:gridCol w:w="2410"/>
        <w:gridCol w:w="4820"/>
        <w:gridCol w:w="992"/>
        <w:gridCol w:w="1171"/>
      </w:tblGrid>
      <w:tr>
        <w:tblPrEx>
          <w:tblCellMar>
            <w:top w:w="0" w:type="dxa"/>
            <w:left w:w="108" w:type="dxa"/>
            <w:bottom w:w="0" w:type="dxa"/>
            <w:right w:w="108" w:type="dxa"/>
          </w:tblCellMar>
        </w:tblPrEx>
        <w:trPr>
          <w:trHeight w:val="514" w:hRule="atLeast"/>
          <w:jc w:val="center"/>
        </w:trPr>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bCs/>
                <w:highlight w:val="none"/>
              </w:rPr>
            </w:pPr>
            <w:r>
              <w:rPr>
                <w:rFonts w:hint="eastAsia" w:ascii="宋体" w:hAnsi="宋体" w:cs="宋体"/>
                <w:b/>
                <w:bCs/>
                <w:highlight w:val="none"/>
              </w:rPr>
              <w:t>序号</w:t>
            </w:r>
          </w:p>
        </w:tc>
        <w:tc>
          <w:tcPr>
            <w:tcW w:w="2410"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b/>
                <w:bCs/>
                <w:highlight w:val="none"/>
              </w:rPr>
            </w:pPr>
            <w:r>
              <w:rPr>
                <w:rFonts w:hint="eastAsia" w:ascii="宋体" w:hAnsi="宋体" w:cs="宋体"/>
                <w:b/>
                <w:bCs/>
                <w:highlight w:val="none"/>
              </w:rPr>
              <w:t>项目</w:t>
            </w:r>
          </w:p>
        </w:tc>
        <w:tc>
          <w:tcPr>
            <w:tcW w:w="4820"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b/>
                <w:bCs/>
                <w:highlight w:val="none"/>
              </w:rPr>
            </w:pPr>
            <w:r>
              <w:rPr>
                <w:rFonts w:hint="eastAsia" w:ascii="宋体" w:hAnsi="宋体" w:cs="宋体"/>
                <w:b/>
                <w:bCs/>
                <w:highlight w:val="none"/>
              </w:rPr>
              <w:t>具体内容</w:t>
            </w:r>
          </w:p>
        </w:tc>
        <w:tc>
          <w:tcPr>
            <w:tcW w:w="992"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b/>
                <w:bCs/>
                <w:highlight w:val="none"/>
              </w:rPr>
            </w:pPr>
            <w:r>
              <w:rPr>
                <w:rFonts w:hint="eastAsia" w:hAnsi="宋体" w:cs="宋体"/>
                <w:b/>
                <w:bCs/>
                <w:highlight w:val="none"/>
              </w:rPr>
              <w:t>工期</w:t>
            </w:r>
          </w:p>
        </w:tc>
        <w:tc>
          <w:tcPr>
            <w:tcW w:w="1171" w:type="dxa"/>
            <w:tcBorders>
              <w:top w:val="single" w:color="auto" w:sz="4" w:space="0"/>
              <w:left w:val="nil"/>
              <w:bottom w:val="single" w:color="auto" w:sz="4" w:space="0"/>
              <w:right w:val="single" w:color="auto" w:sz="4" w:space="0"/>
            </w:tcBorders>
            <w:vAlign w:val="center"/>
          </w:tcPr>
          <w:p>
            <w:pPr>
              <w:snapToGrid w:val="0"/>
              <w:jc w:val="center"/>
              <w:rPr>
                <w:rFonts w:hAnsi="宋体" w:cs="宋体"/>
                <w:b/>
                <w:bCs/>
                <w:highlight w:val="none"/>
              </w:rPr>
            </w:pPr>
            <w:r>
              <w:rPr>
                <w:rFonts w:hint="eastAsia" w:hAnsi="宋体" w:cs="宋体"/>
                <w:b/>
                <w:bCs/>
                <w:highlight w:val="none"/>
              </w:rPr>
              <w:t>报价（元）</w:t>
            </w:r>
          </w:p>
        </w:tc>
      </w:tr>
      <w:tr>
        <w:tblPrEx>
          <w:tblCellMar>
            <w:top w:w="0" w:type="dxa"/>
            <w:left w:w="108" w:type="dxa"/>
            <w:bottom w:w="0" w:type="dxa"/>
            <w:right w:w="108" w:type="dxa"/>
          </w:tblCellMar>
        </w:tblPrEx>
        <w:trPr>
          <w:trHeight w:val="1307" w:hRule="atLeast"/>
          <w:jc w:val="center"/>
        </w:trPr>
        <w:tc>
          <w:tcPr>
            <w:tcW w:w="804" w:type="dxa"/>
            <w:tcBorders>
              <w:top w:val="single" w:color="auto" w:sz="4" w:space="0"/>
              <w:left w:val="single" w:color="auto" w:sz="4" w:space="0"/>
              <w:right w:val="single" w:color="auto" w:sz="4" w:space="0"/>
            </w:tcBorders>
            <w:vAlign w:val="center"/>
          </w:tcPr>
          <w:p>
            <w:pPr>
              <w:snapToGrid w:val="0"/>
              <w:spacing w:before="50" w:after="50"/>
              <w:jc w:val="center"/>
              <w:rPr>
                <w:rFonts w:ascii="宋体" w:hAnsi="宋体" w:cs="宋体"/>
                <w:highlight w:val="none"/>
              </w:rPr>
            </w:pPr>
            <w:r>
              <w:rPr>
                <w:rFonts w:hint="eastAsia" w:ascii="宋体" w:hAnsi="宋体" w:cs="宋体"/>
                <w:highlight w:val="none"/>
              </w:rPr>
              <w:t>1</w:t>
            </w:r>
          </w:p>
        </w:tc>
        <w:tc>
          <w:tcPr>
            <w:tcW w:w="2410" w:type="dxa"/>
            <w:tcBorders>
              <w:top w:val="single" w:color="auto" w:sz="4" w:space="0"/>
              <w:left w:val="nil"/>
              <w:right w:val="single" w:color="auto" w:sz="4" w:space="0"/>
            </w:tcBorders>
            <w:vAlign w:val="center"/>
          </w:tcPr>
          <w:p>
            <w:pPr>
              <w:widowControl/>
              <w:jc w:val="center"/>
              <w:rPr>
                <w:rFonts w:ascii="宋体" w:hAnsi="宋体" w:cs="Arial"/>
                <w:kern w:val="0"/>
                <w:sz w:val="24"/>
                <w:szCs w:val="21"/>
                <w:highlight w:val="none"/>
              </w:rPr>
            </w:pPr>
            <w:r>
              <w:rPr>
                <w:rFonts w:hint="eastAsia" w:ascii="宋体" w:hAnsi="宋体" w:cs="Arial"/>
                <w:kern w:val="0"/>
                <w:sz w:val="24"/>
                <w:szCs w:val="21"/>
                <w:highlight w:val="none"/>
              </w:rPr>
              <w:t>第二十一届徐霞客开游节开幕式活动</w:t>
            </w:r>
          </w:p>
        </w:tc>
        <w:tc>
          <w:tcPr>
            <w:tcW w:w="4820" w:type="dxa"/>
            <w:tcBorders>
              <w:top w:val="single" w:color="auto" w:sz="4" w:space="0"/>
              <w:left w:val="nil"/>
              <w:right w:val="single" w:color="auto" w:sz="4" w:space="0"/>
            </w:tcBorders>
            <w:vAlign w:val="center"/>
          </w:tcPr>
          <w:p>
            <w:pPr>
              <w:widowControl/>
              <w:rPr>
                <w:rFonts w:ascii="宋体" w:hAnsi="宋体" w:cs="Arial"/>
                <w:kern w:val="0"/>
                <w:sz w:val="24"/>
                <w:szCs w:val="21"/>
                <w:highlight w:val="none"/>
              </w:rPr>
            </w:pPr>
            <w:r>
              <w:rPr>
                <w:rFonts w:hint="eastAsia" w:ascii="宋体" w:hAnsi="宋体" w:cs="Arial"/>
                <w:kern w:val="0"/>
                <w:sz w:val="24"/>
                <w:szCs w:val="21"/>
                <w:highlight w:val="none"/>
              </w:rPr>
              <w:t>包含“旅游中国·美好生活”202</w:t>
            </w:r>
            <w:r>
              <w:rPr>
                <w:rFonts w:ascii="宋体" w:hAnsi="宋体" w:cs="Arial"/>
                <w:kern w:val="0"/>
                <w:sz w:val="24"/>
                <w:szCs w:val="21"/>
                <w:highlight w:val="none"/>
              </w:rPr>
              <w:t>3</w:t>
            </w:r>
            <w:r>
              <w:rPr>
                <w:rFonts w:hint="eastAsia" w:ascii="宋体" w:hAnsi="宋体" w:cs="Arial"/>
                <w:kern w:val="0"/>
                <w:sz w:val="24"/>
                <w:szCs w:val="21"/>
                <w:highlight w:val="none"/>
              </w:rPr>
              <w:t>年国内旅游宣传推广活动咨询合作、开幕式现场布置搭建与氛围营造、视觉设计服务、启动环节等相关物料制作、开幕环节等内容。</w:t>
            </w:r>
          </w:p>
        </w:tc>
        <w:tc>
          <w:tcPr>
            <w:tcW w:w="992" w:type="dxa"/>
            <w:tcBorders>
              <w:top w:val="single" w:color="auto" w:sz="4" w:space="0"/>
              <w:left w:val="nil"/>
              <w:right w:val="single" w:color="auto" w:sz="4" w:space="0"/>
            </w:tcBorders>
            <w:vAlign w:val="center"/>
          </w:tcPr>
          <w:p>
            <w:pPr>
              <w:snapToGrid w:val="0"/>
              <w:spacing w:before="50" w:after="50"/>
              <w:rPr>
                <w:rFonts w:ascii="宋体" w:hAnsi="宋体" w:cs="宋体"/>
                <w:highlight w:val="none"/>
              </w:rPr>
            </w:pPr>
          </w:p>
        </w:tc>
        <w:tc>
          <w:tcPr>
            <w:tcW w:w="1171" w:type="dxa"/>
            <w:tcBorders>
              <w:top w:val="single" w:color="auto" w:sz="4" w:space="0"/>
              <w:left w:val="nil"/>
              <w:right w:val="single" w:color="auto" w:sz="4" w:space="0"/>
            </w:tcBorders>
            <w:vAlign w:val="center"/>
          </w:tcPr>
          <w:p>
            <w:pPr>
              <w:snapToGrid w:val="0"/>
              <w:spacing w:before="50" w:after="50"/>
              <w:rPr>
                <w:rFonts w:ascii="宋体" w:hAnsi="宋体" w:cs="宋体"/>
                <w:highlight w:val="none"/>
              </w:rPr>
            </w:pPr>
          </w:p>
        </w:tc>
      </w:tr>
      <w:tr>
        <w:tblPrEx>
          <w:tblCellMar>
            <w:top w:w="0" w:type="dxa"/>
            <w:left w:w="108" w:type="dxa"/>
            <w:bottom w:w="0" w:type="dxa"/>
            <w:right w:w="108" w:type="dxa"/>
          </w:tblCellMar>
        </w:tblPrEx>
        <w:trPr>
          <w:trHeight w:val="969" w:hRule="atLeast"/>
          <w:jc w:val="center"/>
        </w:trPr>
        <w:tc>
          <w:tcPr>
            <w:tcW w:w="32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highlight w:val="none"/>
                <w:u w:val="single"/>
              </w:rPr>
            </w:pPr>
            <w:r>
              <w:rPr>
                <w:rFonts w:hint="eastAsia" w:ascii="宋体" w:hAnsi="宋体" w:cs="宋体"/>
                <w:b/>
                <w:bCs/>
                <w:highlight w:val="none"/>
              </w:rPr>
              <w:t>投标总价（人民币元）</w:t>
            </w:r>
          </w:p>
        </w:tc>
        <w:tc>
          <w:tcPr>
            <w:tcW w:w="6983"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cs="宋体"/>
                <w:highlight w:val="none"/>
              </w:rPr>
            </w:pPr>
            <w:r>
              <w:rPr>
                <w:rFonts w:hint="eastAsia" w:ascii="宋体" w:hAnsi="宋体" w:cs="宋体"/>
                <w:highlight w:val="none"/>
              </w:rPr>
              <w:t>小写：</w:t>
            </w:r>
          </w:p>
          <w:p>
            <w:pPr>
              <w:snapToGrid w:val="0"/>
              <w:spacing w:before="50" w:after="50"/>
              <w:jc w:val="left"/>
              <w:rPr>
                <w:rFonts w:ascii="宋体" w:hAnsi="宋体" w:cs="宋体"/>
                <w:highlight w:val="none"/>
              </w:rPr>
            </w:pPr>
            <w:r>
              <w:rPr>
                <w:rFonts w:hint="eastAsia" w:ascii="宋体" w:hAnsi="宋体" w:cs="宋体"/>
                <w:highlight w:val="none"/>
              </w:rPr>
              <w:t>大写：</w:t>
            </w:r>
          </w:p>
        </w:tc>
      </w:tr>
      <w:tr>
        <w:tblPrEx>
          <w:tblCellMar>
            <w:top w:w="0" w:type="dxa"/>
            <w:left w:w="108" w:type="dxa"/>
            <w:bottom w:w="0" w:type="dxa"/>
            <w:right w:w="108" w:type="dxa"/>
          </w:tblCellMar>
        </w:tblPrEx>
        <w:trPr>
          <w:trHeight w:val="325" w:hRule="atLeast"/>
          <w:jc w:val="center"/>
        </w:trPr>
        <w:tc>
          <w:tcPr>
            <w:tcW w:w="32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bCs/>
                <w:highlight w:val="none"/>
              </w:rPr>
            </w:pPr>
            <w:r>
              <w:rPr>
                <w:rFonts w:hint="eastAsia" w:ascii="宋体" w:hAnsi="宋体" w:cs="宋体"/>
                <w:b/>
                <w:bCs/>
                <w:highlight w:val="none"/>
              </w:rPr>
              <w:t>投标声明</w:t>
            </w:r>
          </w:p>
        </w:tc>
        <w:tc>
          <w:tcPr>
            <w:tcW w:w="6983" w:type="dxa"/>
            <w:gridSpan w:val="3"/>
            <w:tcBorders>
              <w:top w:val="single" w:color="auto" w:sz="4" w:space="0"/>
              <w:left w:val="nil"/>
              <w:bottom w:val="single" w:color="auto" w:sz="4" w:space="0"/>
              <w:right w:val="single" w:color="auto" w:sz="4" w:space="0"/>
            </w:tcBorders>
            <w:vAlign w:val="center"/>
          </w:tcPr>
          <w:p>
            <w:pPr>
              <w:snapToGrid w:val="0"/>
              <w:spacing w:before="50" w:after="50"/>
              <w:jc w:val="left"/>
              <w:rPr>
                <w:rFonts w:ascii="宋体" w:hAnsi="宋体" w:cs="宋体"/>
                <w:highlight w:val="none"/>
              </w:rPr>
            </w:pPr>
          </w:p>
        </w:tc>
      </w:tr>
    </w:tbl>
    <w:p>
      <w:pPr>
        <w:snapToGrid w:val="0"/>
        <w:spacing w:before="50" w:after="50" w:line="360" w:lineRule="auto"/>
        <w:jc w:val="left"/>
        <w:rPr>
          <w:rFonts w:ascii="宋体" w:hAnsi="宋体"/>
          <w:highlight w:val="none"/>
        </w:rPr>
      </w:pPr>
      <w:r>
        <w:rPr>
          <w:rFonts w:hint="eastAsia" w:ascii="宋体" w:hAnsi="宋体" w:cs="宋体"/>
          <w:highlight w:val="none"/>
        </w:rPr>
        <w:t>注</w:t>
      </w:r>
      <w:r>
        <w:rPr>
          <w:rFonts w:ascii="宋体" w:hAnsi="宋体" w:cs="宋体"/>
          <w:highlight w:val="none"/>
        </w:rPr>
        <w:t>: 1</w:t>
      </w:r>
      <w:r>
        <w:rPr>
          <w:rFonts w:hint="eastAsia" w:ascii="宋体" w:hAnsi="宋体" w:cs="宋体"/>
          <w:highlight w:val="none"/>
        </w:rPr>
        <w:t>、报价一经涂改，应在涂改处加盖单位公章或者由法定代表人或授权代表签字或盖章，否则其投标作无效标处理。</w:t>
      </w:r>
    </w:p>
    <w:p>
      <w:pPr>
        <w:snapToGrid w:val="0"/>
        <w:spacing w:before="50" w:after="50" w:line="360" w:lineRule="auto"/>
        <w:ind w:firstLine="420" w:firstLineChars="200"/>
        <w:jc w:val="left"/>
        <w:rPr>
          <w:rFonts w:ascii="宋体" w:hAnsi="宋体"/>
          <w:highlight w:val="none"/>
        </w:rPr>
      </w:pPr>
      <w:r>
        <w:rPr>
          <w:rFonts w:ascii="宋体" w:hAnsi="宋体" w:cs="宋体"/>
          <w:highlight w:val="none"/>
        </w:rPr>
        <w:t>2</w:t>
      </w:r>
      <w:r>
        <w:rPr>
          <w:rFonts w:hint="eastAsia" w:ascii="宋体" w:hAnsi="宋体" w:cs="宋体"/>
          <w:highlight w:val="none"/>
        </w:rPr>
        <w:t>、以上报价合计应与“投标报价明细表”中的“投标总价”相一致。</w:t>
      </w:r>
    </w:p>
    <w:p>
      <w:pPr>
        <w:snapToGrid w:val="0"/>
        <w:spacing w:before="50" w:after="50" w:line="360" w:lineRule="auto"/>
        <w:ind w:firstLine="420" w:firstLineChars="200"/>
        <w:jc w:val="left"/>
        <w:rPr>
          <w:rFonts w:ascii="宋体" w:hAnsi="宋体"/>
          <w:highlight w:val="none"/>
        </w:rPr>
      </w:pPr>
      <w:r>
        <w:rPr>
          <w:rFonts w:ascii="宋体" w:hAnsi="宋体" w:cs="宋体"/>
          <w:highlight w:val="none"/>
        </w:rPr>
        <w:t>3</w:t>
      </w:r>
      <w:r>
        <w:rPr>
          <w:rFonts w:hint="eastAsia" w:ascii="宋体" w:hAnsi="宋体" w:cs="宋体"/>
          <w:highlight w:val="none"/>
        </w:rPr>
        <w:t>、若不提供此表，视为实质上不响应采购文件。</w:t>
      </w:r>
    </w:p>
    <w:p>
      <w:pPr>
        <w:adjustRightInd w:val="0"/>
        <w:spacing w:line="360" w:lineRule="auto"/>
        <w:ind w:firstLine="420" w:firstLineChars="200"/>
        <w:contextualSpacing/>
        <w:textAlignment w:val="baseline"/>
        <w:rPr>
          <w:rFonts w:cs="Arial"/>
          <w:bCs/>
          <w:szCs w:val="21"/>
          <w:highlight w:val="none"/>
        </w:rPr>
      </w:pPr>
      <w:r>
        <w:rPr>
          <w:rFonts w:hint="eastAsia" w:cs="Arial"/>
          <w:bCs/>
          <w:szCs w:val="21"/>
          <w:highlight w:val="none"/>
        </w:rPr>
        <w:t>投标人单位（盖章）：</w:t>
      </w:r>
    </w:p>
    <w:p>
      <w:pPr>
        <w:adjustRightInd w:val="0"/>
        <w:spacing w:line="360" w:lineRule="auto"/>
        <w:ind w:firstLine="420" w:firstLineChars="200"/>
        <w:contextualSpacing/>
        <w:textAlignment w:val="baseline"/>
        <w:rPr>
          <w:rFonts w:cs="Arial"/>
          <w:bCs/>
          <w:szCs w:val="21"/>
          <w:highlight w:val="none"/>
        </w:rPr>
      </w:pPr>
      <w:r>
        <w:rPr>
          <w:rFonts w:hint="eastAsia" w:cs="Arial"/>
          <w:bCs/>
          <w:szCs w:val="21"/>
          <w:highlight w:val="none"/>
        </w:rPr>
        <w:t>授权代表人（签字）：</w:t>
      </w:r>
    </w:p>
    <w:p>
      <w:pPr>
        <w:adjustRightInd w:val="0"/>
        <w:spacing w:line="360" w:lineRule="auto"/>
        <w:ind w:firstLine="420" w:firstLineChars="200"/>
        <w:contextualSpacing/>
        <w:textAlignment w:val="baseline"/>
        <w:rPr>
          <w:rFonts w:cs="Arial"/>
          <w:bCs/>
          <w:szCs w:val="21"/>
          <w:highlight w:val="none"/>
        </w:rPr>
      </w:pPr>
      <w:r>
        <w:rPr>
          <w:rFonts w:hint="eastAsia" w:cs="Arial"/>
          <w:bCs/>
          <w:szCs w:val="21"/>
          <w:highlight w:val="none"/>
        </w:rPr>
        <w:t>日期：     年   月   日</w:t>
      </w:r>
    </w:p>
    <w:p>
      <w:pPr>
        <w:ind w:firstLine="336" w:firstLineChars="200"/>
        <w:rPr>
          <w:rFonts w:asciiTheme="minorEastAsia" w:hAnsiTheme="minorEastAsia" w:eastAsiaTheme="minorEastAsia" w:cstheme="minorEastAsia"/>
          <w:w w:val="80"/>
          <w:szCs w:val="21"/>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56"/>
        <w:rPr>
          <w:highlight w:val="none"/>
        </w:rPr>
      </w:pPr>
    </w:p>
    <w:p>
      <w:pPr>
        <w:pStyle w:val="3"/>
        <w:spacing w:before="0" w:after="0" w:line="240" w:lineRule="auto"/>
        <w:ind w:right="-567"/>
        <w:jc w:val="left"/>
        <w:rPr>
          <w:rFonts w:ascii="Times New Roman" w:hAnsi="Times New Roman" w:eastAsia="宋体"/>
          <w:b w:val="0"/>
          <w:sz w:val="18"/>
          <w:szCs w:val="18"/>
          <w:highlight w:val="none"/>
        </w:rPr>
      </w:pPr>
      <w:r>
        <w:rPr>
          <w:rFonts w:hint="eastAsia" w:ascii="Times New Roman" w:hAnsi="Times New Roman" w:eastAsia="宋体"/>
          <w:b w:val="0"/>
          <w:sz w:val="21"/>
          <w:szCs w:val="21"/>
          <w:highlight w:val="none"/>
        </w:rPr>
        <w:t>格式五  开标一览表</w:t>
      </w:r>
    </w:p>
    <w:p>
      <w:pPr>
        <w:pStyle w:val="2"/>
        <w:spacing w:line="360" w:lineRule="exact"/>
        <w:rPr>
          <w:rFonts w:ascii="Times New Roman"/>
          <w:szCs w:val="28"/>
          <w:highlight w:val="none"/>
        </w:rPr>
      </w:pPr>
    </w:p>
    <w:p>
      <w:pPr>
        <w:pStyle w:val="2"/>
        <w:spacing w:line="360" w:lineRule="exact"/>
        <w:rPr>
          <w:rFonts w:hAnsi="宋体" w:cs="宋体"/>
          <w:sz w:val="21"/>
          <w:szCs w:val="21"/>
          <w:highlight w:val="none"/>
        </w:rPr>
      </w:pPr>
      <w:r>
        <w:rPr>
          <w:rFonts w:hint="eastAsia" w:hAnsi="宋体" w:cs="宋体"/>
          <w:sz w:val="21"/>
          <w:szCs w:val="21"/>
          <w:highlight w:val="none"/>
        </w:rPr>
        <w:t>分项报价表</w:t>
      </w:r>
    </w:p>
    <w:p>
      <w:pPr>
        <w:pStyle w:val="9"/>
        <w:spacing w:line="240" w:lineRule="auto"/>
        <w:ind w:firstLine="0"/>
        <w:jc w:val="left"/>
        <w:rPr>
          <w:rFonts w:eastAsia="宋体"/>
          <w:w w:val="80"/>
          <w:sz w:val="21"/>
          <w:szCs w:val="21"/>
          <w:highlight w:val="none"/>
        </w:rPr>
      </w:pPr>
    </w:p>
    <w:p>
      <w:pPr>
        <w:pStyle w:val="9"/>
        <w:spacing w:line="0" w:lineRule="atLeast"/>
        <w:ind w:firstLine="0"/>
        <w:jc w:val="center"/>
        <w:rPr>
          <w:rFonts w:eastAsia="仿宋_GB2312"/>
          <w:w w:val="80"/>
          <w:szCs w:val="24"/>
          <w:highlight w:val="none"/>
          <w:bdr w:val="single" w:color="auto" w:sz="4" w:space="0"/>
          <w:shd w:val="pct10" w:color="auto" w:fill="FFFFFF"/>
        </w:rPr>
      </w:pPr>
      <w:r>
        <w:rPr>
          <w:w w:val="80"/>
          <w:szCs w:val="21"/>
          <w:highlight w:val="none"/>
          <w:bdr w:val="single" w:color="auto" w:sz="4" w:space="0"/>
          <w:shd w:val="pct10" w:color="auto" w:fill="FFFFFF"/>
        </w:rPr>
        <w:t>投标分项报价表或服务费用报价明细表格格式可由投标人要求自行设计</w:t>
      </w:r>
    </w:p>
    <w:p>
      <w:pPr>
        <w:pStyle w:val="9"/>
        <w:tabs>
          <w:tab w:val="left" w:pos="4841"/>
        </w:tabs>
        <w:ind w:firstLine="0"/>
        <w:rPr>
          <w:rFonts w:eastAsia="宋体"/>
          <w:sz w:val="21"/>
          <w:szCs w:val="21"/>
          <w:highlight w:val="none"/>
        </w:rPr>
      </w:pPr>
      <w:r>
        <w:rPr>
          <w:rFonts w:hint="eastAsia" w:eastAsia="宋体"/>
          <w:sz w:val="21"/>
          <w:szCs w:val="21"/>
          <w:highlight w:val="none"/>
        </w:rPr>
        <w:t>招标编号：           项目名称：</w:t>
      </w:r>
      <w:r>
        <w:rPr>
          <w:rFonts w:hint="eastAsia" w:eastAsia="宋体"/>
          <w:sz w:val="21"/>
          <w:szCs w:val="21"/>
          <w:highlight w:val="none"/>
        </w:rPr>
        <w:tab/>
      </w:r>
      <w:r>
        <w:rPr>
          <w:rFonts w:hint="eastAsia" w:eastAsia="宋体"/>
          <w:sz w:val="21"/>
          <w:szCs w:val="21"/>
          <w:highlight w:val="none"/>
        </w:rPr>
        <w:t>单位：人民币元</w:t>
      </w:r>
    </w:p>
    <w:tbl>
      <w:tblPr>
        <w:tblStyle w:val="46"/>
        <w:tblW w:w="8955" w:type="dxa"/>
        <w:tblInd w:w="-100" w:type="dxa"/>
        <w:tblLayout w:type="fixed"/>
        <w:tblCellMar>
          <w:top w:w="0" w:type="dxa"/>
          <w:left w:w="0" w:type="dxa"/>
          <w:bottom w:w="0" w:type="dxa"/>
          <w:right w:w="0" w:type="dxa"/>
        </w:tblCellMar>
      </w:tblPr>
      <w:tblGrid>
        <w:gridCol w:w="600"/>
        <w:gridCol w:w="1807"/>
        <w:gridCol w:w="1037"/>
        <w:gridCol w:w="1491"/>
        <w:gridCol w:w="960"/>
        <w:gridCol w:w="3060"/>
      </w:tblGrid>
      <w:tr>
        <w:tblPrEx>
          <w:tblCellMar>
            <w:top w:w="0" w:type="dxa"/>
            <w:left w:w="0" w:type="dxa"/>
            <w:bottom w:w="0" w:type="dxa"/>
            <w:right w:w="0" w:type="dxa"/>
          </w:tblCellMar>
        </w:tblPrEx>
        <w:trPr>
          <w:trHeight w:val="611" w:hRule="atLeast"/>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highlight w:val="none"/>
              </w:rPr>
            </w:pPr>
            <w:r>
              <w:rPr>
                <w:rFonts w:hint="eastAsia" w:ascii="宋体" w:hAnsi="宋体" w:cs="宋体"/>
                <w:kern w:val="0"/>
                <w:sz w:val="18"/>
                <w:szCs w:val="18"/>
                <w:highlight w:val="none"/>
              </w:rPr>
              <w:t>序号</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highlight w:val="none"/>
              </w:rPr>
            </w:pPr>
            <w:r>
              <w:rPr>
                <w:rFonts w:hint="eastAsia" w:ascii="宋体" w:hAnsi="宋体" w:cs="宋体"/>
                <w:kern w:val="0"/>
                <w:sz w:val="18"/>
                <w:szCs w:val="18"/>
                <w:highlight w:val="none"/>
              </w:rPr>
              <w:t>项目名称</w:t>
            </w: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18"/>
                <w:szCs w:val="18"/>
                <w:highlight w:val="none"/>
              </w:rPr>
            </w:pPr>
            <w:r>
              <w:rPr>
                <w:rFonts w:hint="eastAsia" w:ascii="宋体" w:hAnsi="宋体" w:cs="宋体"/>
                <w:kern w:val="0"/>
                <w:sz w:val="18"/>
                <w:szCs w:val="18"/>
                <w:highlight w:val="none"/>
              </w:rPr>
              <w:t>数量</w:t>
            </w:r>
          </w:p>
        </w:tc>
        <w:tc>
          <w:tcPr>
            <w:tcW w:w="14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18"/>
                <w:szCs w:val="18"/>
                <w:highlight w:val="none"/>
              </w:rPr>
            </w:pPr>
            <w:r>
              <w:rPr>
                <w:rFonts w:hint="eastAsia" w:ascii="宋体" w:hAnsi="宋体" w:cs="宋体"/>
                <w:kern w:val="0"/>
                <w:sz w:val="18"/>
                <w:szCs w:val="18"/>
                <w:highlight w:val="none"/>
              </w:rPr>
              <w:t>单价</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highlight w:val="none"/>
              </w:rPr>
            </w:pPr>
            <w:r>
              <w:rPr>
                <w:rFonts w:hint="eastAsia" w:ascii="宋体" w:hAnsi="宋体" w:cs="宋体"/>
                <w:kern w:val="0"/>
                <w:sz w:val="18"/>
                <w:szCs w:val="18"/>
                <w:highlight w:val="none"/>
              </w:rPr>
              <w:t>总价</w:t>
            </w: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18"/>
                <w:szCs w:val="18"/>
                <w:highlight w:val="none"/>
              </w:rPr>
            </w:pPr>
            <w:r>
              <w:rPr>
                <w:rFonts w:hint="eastAsia" w:ascii="宋体" w:hAnsi="宋体" w:cs="宋体"/>
                <w:kern w:val="0"/>
                <w:sz w:val="18"/>
                <w:szCs w:val="18"/>
                <w:highlight w:val="none"/>
              </w:rPr>
              <w:t>备注</w:t>
            </w:r>
          </w:p>
        </w:tc>
      </w:tr>
      <w:tr>
        <w:tblPrEx>
          <w:tblCellMar>
            <w:top w:w="0" w:type="dxa"/>
            <w:left w:w="0" w:type="dxa"/>
            <w:bottom w:w="0" w:type="dxa"/>
            <w:right w:w="0" w:type="dxa"/>
          </w:tblCellMar>
        </w:tblPrEx>
        <w:trPr>
          <w:trHeight w:val="451"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50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50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 w:val="18"/>
                <w:szCs w:val="18"/>
                <w:highlight w:val="none"/>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highlight w:val="none"/>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r>
              <w:rPr>
                <w:rFonts w:hint="eastAsia" w:ascii="宋体" w:hAnsi="宋体" w:cs="宋体"/>
                <w:kern w:val="0"/>
                <w:sz w:val="18"/>
                <w:szCs w:val="18"/>
                <w:highlight w:val="none"/>
              </w:rPr>
              <w:t>合计</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highlight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18"/>
                <w:szCs w:val="18"/>
                <w:highlight w:val="none"/>
              </w:rPr>
            </w:pPr>
          </w:p>
        </w:tc>
      </w:tr>
    </w:tbl>
    <w:p>
      <w:pPr>
        <w:pStyle w:val="9"/>
        <w:tabs>
          <w:tab w:val="left" w:pos="4841"/>
        </w:tabs>
        <w:ind w:firstLine="0"/>
        <w:rPr>
          <w:rFonts w:eastAsia="宋体"/>
          <w:sz w:val="21"/>
          <w:szCs w:val="21"/>
          <w:highlight w:val="none"/>
        </w:rPr>
      </w:pPr>
      <w:r>
        <w:rPr>
          <w:rFonts w:hint="eastAsia" w:eastAsia="宋体"/>
          <w:sz w:val="21"/>
          <w:szCs w:val="21"/>
          <w:highlight w:val="none"/>
        </w:rPr>
        <w:t>备注：投标人应根据招标项目特征及理解分解，如实填报有关各分项有关报价的情况，并核实价格组成与总和。</w:t>
      </w:r>
    </w:p>
    <w:p>
      <w:pPr>
        <w:pStyle w:val="9"/>
        <w:tabs>
          <w:tab w:val="left" w:pos="4841"/>
        </w:tabs>
        <w:ind w:firstLine="0"/>
        <w:rPr>
          <w:rFonts w:eastAsia="宋体"/>
          <w:sz w:val="21"/>
          <w:szCs w:val="21"/>
          <w:highlight w:val="none"/>
        </w:rPr>
      </w:pPr>
    </w:p>
    <w:p>
      <w:pPr>
        <w:pStyle w:val="9"/>
        <w:spacing w:line="240" w:lineRule="auto"/>
        <w:ind w:firstLine="0"/>
        <w:jc w:val="left"/>
        <w:rPr>
          <w:rFonts w:eastAsia="仿宋_GB2312"/>
          <w:w w:val="80"/>
          <w:sz w:val="21"/>
          <w:szCs w:val="21"/>
          <w:highlight w:val="none"/>
        </w:rPr>
      </w:pPr>
    </w:p>
    <w:p>
      <w:pPr>
        <w:pStyle w:val="9"/>
        <w:spacing w:line="240" w:lineRule="auto"/>
        <w:ind w:firstLine="0"/>
        <w:jc w:val="left"/>
        <w:rPr>
          <w:rFonts w:eastAsia="仿宋_GB2312"/>
          <w:w w:val="80"/>
          <w:sz w:val="21"/>
          <w:szCs w:val="21"/>
          <w:highlight w:val="none"/>
        </w:rPr>
      </w:pPr>
    </w:p>
    <w:p>
      <w:pPr>
        <w:pStyle w:val="9"/>
        <w:tabs>
          <w:tab w:val="left" w:pos="4841"/>
        </w:tabs>
        <w:ind w:firstLine="0"/>
        <w:rPr>
          <w:rFonts w:eastAsia="宋体"/>
          <w:sz w:val="21"/>
          <w:szCs w:val="21"/>
          <w:highlight w:val="none"/>
        </w:rPr>
      </w:pPr>
      <w:r>
        <w:rPr>
          <w:rFonts w:hint="eastAsia" w:eastAsia="宋体"/>
          <w:sz w:val="21"/>
          <w:szCs w:val="21"/>
          <w:highlight w:val="none"/>
        </w:rPr>
        <w:t>投标人（盖章）：</w:t>
      </w:r>
    </w:p>
    <w:p>
      <w:pPr>
        <w:pStyle w:val="9"/>
        <w:tabs>
          <w:tab w:val="left" w:pos="4841"/>
        </w:tabs>
        <w:ind w:firstLine="0"/>
        <w:rPr>
          <w:rFonts w:eastAsia="宋体"/>
          <w:sz w:val="21"/>
          <w:szCs w:val="21"/>
          <w:highlight w:val="none"/>
        </w:rPr>
      </w:pPr>
      <w:r>
        <w:rPr>
          <w:rFonts w:hint="eastAsia" w:eastAsia="宋体"/>
          <w:sz w:val="21"/>
          <w:szCs w:val="21"/>
          <w:highlight w:val="none"/>
        </w:rPr>
        <w:t>授权代表人（签字）：</w:t>
      </w:r>
    </w:p>
    <w:p>
      <w:pPr>
        <w:pStyle w:val="9"/>
        <w:tabs>
          <w:tab w:val="left" w:pos="4841"/>
        </w:tabs>
        <w:ind w:firstLine="0"/>
        <w:rPr>
          <w:rFonts w:eastAsia="宋体"/>
          <w:sz w:val="21"/>
          <w:szCs w:val="21"/>
          <w:highlight w:val="none"/>
        </w:rPr>
      </w:pPr>
      <w:r>
        <w:rPr>
          <w:rFonts w:hint="eastAsia" w:eastAsia="宋体"/>
          <w:sz w:val="21"/>
          <w:szCs w:val="21"/>
          <w:highlight w:val="none"/>
        </w:rPr>
        <w:t>日期：</w:t>
      </w:r>
    </w:p>
    <w:p>
      <w:pPr>
        <w:snapToGrid w:val="0"/>
        <w:spacing w:line="400" w:lineRule="exact"/>
        <w:rPr>
          <w:rFonts w:ascii="宋体" w:hAnsi="宋体" w:cs="宋体"/>
          <w:szCs w:val="21"/>
          <w:highlight w:val="none"/>
        </w:rPr>
      </w:pPr>
    </w:p>
    <w:p>
      <w:pPr>
        <w:pStyle w:val="56"/>
        <w:rPr>
          <w:highlight w:val="none"/>
        </w:rPr>
      </w:pPr>
    </w:p>
    <w:bookmarkEnd w:id="184"/>
    <w:p>
      <w:pPr>
        <w:pStyle w:val="3"/>
        <w:spacing w:before="0" w:after="0" w:line="240" w:lineRule="auto"/>
        <w:ind w:right="-567"/>
        <w:jc w:val="left"/>
        <w:rPr>
          <w:rFonts w:ascii="Times New Roman" w:hAnsi="Times New Roman" w:eastAsia="宋体"/>
          <w:b w:val="0"/>
          <w:sz w:val="18"/>
          <w:szCs w:val="18"/>
          <w:highlight w:val="none"/>
        </w:rPr>
      </w:pPr>
      <w:r>
        <w:rPr>
          <w:rFonts w:hint="eastAsia" w:ascii="Times New Roman" w:hAnsi="Times New Roman" w:eastAsia="宋体"/>
          <w:b w:val="0"/>
          <w:sz w:val="18"/>
          <w:szCs w:val="18"/>
          <w:highlight w:val="none"/>
        </w:rPr>
        <w:t>格式六</w:t>
      </w:r>
    </w:p>
    <w:p>
      <w:pPr>
        <w:spacing w:afterLines="50"/>
        <w:rPr>
          <w:sz w:val="18"/>
          <w:szCs w:val="18"/>
          <w:highlight w:val="none"/>
        </w:rPr>
      </w:pPr>
    </w:p>
    <w:p>
      <w:pPr>
        <w:pStyle w:val="2"/>
        <w:spacing w:line="360" w:lineRule="exact"/>
        <w:rPr>
          <w:rFonts w:hAnsi="宋体" w:cs="宋体"/>
          <w:sz w:val="21"/>
          <w:szCs w:val="21"/>
          <w:highlight w:val="none"/>
        </w:rPr>
      </w:pPr>
      <w:bookmarkStart w:id="185" w:name="_Toc435088085"/>
      <w:r>
        <w:rPr>
          <w:rFonts w:hint="eastAsia" w:hAnsi="宋体" w:cs="宋体"/>
          <w:sz w:val="21"/>
          <w:szCs w:val="21"/>
          <w:highlight w:val="none"/>
        </w:rPr>
        <w:t>技术条款偏离表</w:t>
      </w:r>
      <w:bookmarkEnd w:id="185"/>
    </w:p>
    <w:p>
      <w:pPr>
        <w:rPr>
          <w:w w:val="80"/>
          <w:sz w:val="28"/>
          <w:highlight w:val="none"/>
        </w:rPr>
      </w:pPr>
    </w:p>
    <w:p>
      <w:pPr>
        <w:pStyle w:val="9"/>
        <w:tabs>
          <w:tab w:val="right" w:pos="8847"/>
        </w:tabs>
        <w:ind w:firstLine="0"/>
        <w:rPr>
          <w:rFonts w:eastAsia="宋体"/>
          <w:sz w:val="21"/>
          <w:highlight w:val="none"/>
          <w:u w:val="single"/>
        </w:rPr>
      </w:pPr>
      <w:r>
        <w:rPr>
          <w:rFonts w:hint="eastAsia" w:eastAsia="宋体"/>
          <w:sz w:val="21"/>
          <w:highlight w:val="none"/>
        </w:rPr>
        <w:t>采购编号：项目名称：</w:t>
      </w:r>
    </w:p>
    <w:tbl>
      <w:tblPr>
        <w:tblStyle w:val="46"/>
        <w:tblW w:w="0" w:type="auto"/>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72"/>
        <w:gridCol w:w="3190"/>
        <w:gridCol w:w="3473"/>
        <w:gridCol w:w="161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Borders>
              <w:top w:val="single" w:color="auto" w:sz="4" w:space="0"/>
              <w:bottom w:val="single" w:color="auto" w:sz="4" w:space="0"/>
            </w:tcBorders>
            <w:tcMar>
              <w:left w:w="0" w:type="dxa"/>
              <w:right w:w="0" w:type="dxa"/>
            </w:tcMar>
            <w:vAlign w:val="center"/>
          </w:tcPr>
          <w:p>
            <w:pPr>
              <w:pStyle w:val="9"/>
              <w:spacing w:line="0" w:lineRule="atLeast"/>
              <w:ind w:firstLine="0"/>
              <w:jc w:val="center"/>
              <w:rPr>
                <w:rFonts w:eastAsia="宋体"/>
                <w:sz w:val="21"/>
                <w:szCs w:val="28"/>
                <w:highlight w:val="none"/>
              </w:rPr>
            </w:pPr>
            <w:r>
              <w:rPr>
                <w:rFonts w:hint="eastAsia" w:eastAsia="宋体"/>
                <w:sz w:val="21"/>
                <w:szCs w:val="28"/>
                <w:highlight w:val="none"/>
              </w:rPr>
              <w:t>序号</w:t>
            </w:r>
          </w:p>
        </w:tc>
        <w:tc>
          <w:tcPr>
            <w:tcW w:w="3190" w:type="dxa"/>
            <w:tcBorders>
              <w:top w:val="single" w:color="auto" w:sz="4" w:space="0"/>
              <w:bottom w:val="single" w:color="auto" w:sz="4" w:space="0"/>
            </w:tcBorders>
            <w:tcMar>
              <w:left w:w="0" w:type="dxa"/>
              <w:right w:w="0" w:type="dxa"/>
            </w:tcMar>
            <w:vAlign w:val="center"/>
          </w:tcPr>
          <w:p>
            <w:pPr>
              <w:pStyle w:val="9"/>
              <w:spacing w:line="0" w:lineRule="atLeast"/>
              <w:ind w:firstLine="0"/>
              <w:jc w:val="center"/>
              <w:rPr>
                <w:rFonts w:eastAsia="宋体"/>
                <w:sz w:val="21"/>
                <w:szCs w:val="28"/>
                <w:highlight w:val="none"/>
              </w:rPr>
            </w:pPr>
            <w:r>
              <w:rPr>
                <w:rFonts w:hint="eastAsia" w:eastAsia="宋体"/>
                <w:sz w:val="21"/>
                <w:szCs w:val="28"/>
                <w:highlight w:val="none"/>
              </w:rPr>
              <w:t>《采购文件》服务要求</w:t>
            </w:r>
          </w:p>
        </w:tc>
        <w:tc>
          <w:tcPr>
            <w:tcW w:w="3473" w:type="dxa"/>
            <w:tcBorders>
              <w:top w:val="single" w:color="auto" w:sz="4" w:space="0"/>
              <w:bottom w:val="single" w:color="auto" w:sz="4" w:space="0"/>
            </w:tcBorders>
            <w:tcMar>
              <w:left w:w="0" w:type="dxa"/>
              <w:right w:w="0" w:type="dxa"/>
            </w:tcMar>
            <w:vAlign w:val="center"/>
          </w:tcPr>
          <w:p>
            <w:pPr>
              <w:pStyle w:val="9"/>
              <w:spacing w:line="0" w:lineRule="atLeast"/>
              <w:ind w:firstLine="0"/>
              <w:jc w:val="center"/>
              <w:rPr>
                <w:rFonts w:eastAsia="宋体"/>
                <w:sz w:val="21"/>
                <w:szCs w:val="28"/>
                <w:highlight w:val="none"/>
              </w:rPr>
            </w:pPr>
            <w:r>
              <w:rPr>
                <w:rFonts w:hint="eastAsia" w:eastAsia="宋体"/>
                <w:sz w:val="21"/>
                <w:szCs w:val="28"/>
                <w:highlight w:val="none"/>
              </w:rPr>
              <w:t>《投标文件》服务响应</w:t>
            </w:r>
          </w:p>
        </w:tc>
        <w:tc>
          <w:tcPr>
            <w:tcW w:w="1617" w:type="dxa"/>
            <w:tcBorders>
              <w:top w:val="single" w:color="auto" w:sz="4" w:space="0"/>
              <w:bottom w:val="single" w:color="auto" w:sz="4" w:space="0"/>
            </w:tcBorders>
            <w:tcMar>
              <w:left w:w="0" w:type="dxa"/>
              <w:right w:w="0" w:type="dxa"/>
            </w:tcMar>
            <w:vAlign w:val="center"/>
          </w:tcPr>
          <w:p>
            <w:pPr>
              <w:pStyle w:val="9"/>
              <w:spacing w:line="0" w:lineRule="atLeast"/>
              <w:ind w:firstLine="0"/>
              <w:jc w:val="center"/>
              <w:rPr>
                <w:rFonts w:eastAsia="宋体"/>
                <w:sz w:val="21"/>
                <w:szCs w:val="28"/>
                <w:highlight w:val="none"/>
              </w:rPr>
            </w:pPr>
            <w:r>
              <w:rPr>
                <w:rFonts w:hint="eastAsia" w:eastAsia="宋体"/>
                <w:sz w:val="21"/>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Borders>
              <w:top w:val="single" w:color="auto" w:sz="4" w:space="0"/>
            </w:tcBorders>
            <w:tcMar>
              <w:left w:w="0" w:type="dxa"/>
              <w:right w:w="0" w:type="dxa"/>
            </w:tcMar>
            <w:vAlign w:val="center"/>
          </w:tcPr>
          <w:p>
            <w:pPr>
              <w:jc w:val="center"/>
              <w:rPr>
                <w:highlight w:val="none"/>
              </w:rPr>
            </w:pPr>
          </w:p>
        </w:tc>
        <w:tc>
          <w:tcPr>
            <w:tcW w:w="3190" w:type="dxa"/>
            <w:tcBorders>
              <w:top w:val="single" w:color="auto" w:sz="4" w:space="0"/>
            </w:tcBorders>
            <w:tcMar>
              <w:left w:w="0" w:type="dxa"/>
              <w:right w:w="0" w:type="dxa"/>
            </w:tcMar>
            <w:vAlign w:val="center"/>
          </w:tcPr>
          <w:p>
            <w:pPr>
              <w:jc w:val="center"/>
              <w:rPr>
                <w:highlight w:val="none"/>
              </w:rPr>
            </w:pPr>
          </w:p>
        </w:tc>
        <w:tc>
          <w:tcPr>
            <w:tcW w:w="3473" w:type="dxa"/>
            <w:tcBorders>
              <w:top w:val="single" w:color="auto" w:sz="4" w:space="0"/>
            </w:tcBorders>
            <w:tcMar>
              <w:left w:w="0" w:type="dxa"/>
              <w:right w:w="0" w:type="dxa"/>
            </w:tcMar>
            <w:vAlign w:val="center"/>
          </w:tcPr>
          <w:p>
            <w:pPr>
              <w:jc w:val="center"/>
              <w:rPr>
                <w:highlight w:val="none"/>
              </w:rPr>
            </w:pPr>
          </w:p>
        </w:tc>
        <w:tc>
          <w:tcPr>
            <w:tcW w:w="1617" w:type="dxa"/>
            <w:tcBorders>
              <w:top w:val="single" w:color="auto" w:sz="4" w:space="0"/>
            </w:tcBorders>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bl>
    <w:p>
      <w:pPr>
        <w:pStyle w:val="9"/>
        <w:ind w:firstLine="0"/>
        <w:rPr>
          <w:rFonts w:eastAsia="宋体"/>
          <w:sz w:val="18"/>
          <w:szCs w:val="18"/>
          <w:highlight w:val="none"/>
        </w:rPr>
      </w:pPr>
      <w:r>
        <w:rPr>
          <w:rFonts w:hint="eastAsia" w:eastAsia="宋体"/>
          <w:sz w:val="18"/>
          <w:szCs w:val="18"/>
          <w:highlight w:val="none"/>
        </w:rPr>
        <w:t>备注：1、列明采购文件的服务要求与投标文件对应响应，并说明偏离状况；2、无偏离应在本表空白处醒目地注明“无条款偏离”的字样。</w:t>
      </w:r>
    </w:p>
    <w:p>
      <w:pPr>
        <w:pStyle w:val="9"/>
        <w:tabs>
          <w:tab w:val="left" w:pos="4841"/>
        </w:tabs>
        <w:ind w:firstLine="0"/>
        <w:rPr>
          <w:rFonts w:eastAsia="宋体"/>
          <w:sz w:val="21"/>
          <w:szCs w:val="21"/>
          <w:highlight w:val="none"/>
        </w:rPr>
      </w:pPr>
      <w:r>
        <w:rPr>
          <w:rFonts w:hint="eastAsia" w:eastAsia="宋体"/>
          <w:sz w:val="21"/>
          <w:szCs w:val="21"/>
          <w:highlight w:val="none"/>
        </w:rPr>
        <w:t>投标人（盖章）：</w:t>
      </w:r>
    </w:p>
    <w:p>
      <w:pPr>
        <w:pStyle w:val="9"/>
        <w:tabs>
          <w:tab w:val="left" w:pos="4841"/>
        </w:tabs>
        <w:ind w:firstLine="0"/>
        <w:rPr>
          <w:rFonts w:eastAsia="宋体"/>
          <w:sz w:val="21"/>
          <w:szCs w:val="21"/>
          <w:highlight w:val="none"/>
        </w:rPr>
      </w:pPr>
      <w:r>
        <w:rPr>
          <w:rFonts w:hint="eastAsia" w:eastAsia="宋体"/>
          <w:sz w:val="21"/>
          <w:szCs w:val="21"/>
          <w:highlight w:val="none"/>
        </w:rPr>
        <w:t>授权代表人（签字）：</w:t>
      </w:r>
    </w:p>
    <w:p>
      <w:pPr>
        <w:pStyle w:val="9"/>
        <w:tabs>
          <w:tab w:val="left" w:pos="4841"/>
        </w:tabs>
        <w:ind w:firstLine="0"/>
        <w:rPr>
          <w:rFonts w:eastAsia="宋体"/>
          <w:sz w:val="21"/>
          <w:szCs w:val="21"/>
          <w:highlight w:val="none"/>
        </w:rPr>
        <w:sectPr>
          <w:pgSz w:w="11906" w:h="16838"/>
          <w:pgMar w:top="1440" w:right="1800" w:bottom="1440" w:left="1800" w:header="851" w:footer="992" w:gutter="0"/>
          <w:cols w:space="425" w:num="1"/>
          <w:docGrid w:type="lines" w:linePitch="312" w:charSpace="0"/>
        </w:sectPr>
      </w:pPr>
      <w:r>
        <w:rPr>
          <w:rFonts w:hint="eastAsia" w:eastAsia="宋体"/>
          <w:sz w:val="21"/>
          <w:szCs w:val="21"/>
          <w:highlight w:val="none"/>
        </w:rPr>
        <w:t>日期：</w:t>
      </w:r>
    </w:p>
    <w:p>
      <w:pPr>
        <w:pStyle w:val="2"/>
        <w:spacing w:line="360" w:lineRule="exact"/>
        <w:rPr>
          <w:rFonts w:hAnsi="宋体" w:cs="宋体"/>
          <w:sz w:val="21"/>
          <w:szCs w:val="21"/>
          <w:highlight w:val="none"/>
        </w:rPr>
      </w:pPr>
      <w:r>
        <w:rPr>
          <w:rFonts w:hint="eastAsia" w:hAnsi="宋体" w:cs="宋体"/>
          <w:sz w:val="21"/>
          <w:szCs w:val="21"/>
          <w:highlight w:val="none"/>
        </w:rPr>
        <w:t>商务条款偏离表</w:t>
      </w:r>
    </w:p>
    <w:p>
      <w:pPr>
        <w:rPr>
          <w:w w:val="80"/>
          <w:sz w:val="28"/>
          <w:highlight w:val="none"/>
        </w:rPr>
      </w:pPr>
    </w:p>
    <w:p>
      <w:pPr>
        <w:pStyle w:val="9"/>
        <w:tabs>
          <w:tab w:val="right" w:pos="8847"/>
        </w:tabs>
        <w:ind w:firstLine="0"/>
        <w:rPr>
          <w:rFonts w:eastAsia="宋体"/>
          <w:sz w:val="21"/>
          <w:highlight w:val="none"/>
          <w:u w:val="single"/>
        </w:rPr>
      </w:pPr>
      <w:r>
        <w:rPr>
          <w:rFonts w:hint="eastAsia" w:eastAsia="宋体"/>
          <w:sz w:val="21"/>
          <w:highlight w:val="none"/>
        </w:rPr>
        <w:t>采购编号：项目名称：</w:t>
      </w:r>
    </w:p>
    <w:tbl>
      <w:tblPr>
        <w:tblStyle w:val="46"/>
        <w:tblW w:w="0" w:type="auto"/>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72"/>
        <w:gridCol w:w="3190"/>
        <w:gridCol w:w="3473"/>
        <w:gridCol w:w="161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Borders>
              <w:top w:val="single" w:color="auto" w:sz="4" w:space="0"/>
              <w:bottom w:val="single" w:color="auto" w:sz="4" w:space="0"/>
            </w:tcBorders>
            <w:tcMar>
              <w:left w:w="0" w:type="dxa"/>
              <w:right w:w="0" w:type="dxa"/>
            </w:tcMar>
            <w:vAlign w:val="center"/>
          </w:tcPr>
          <w:p>
            <w:pPr>
              <w:pStyle w:val="9"/>
              <w:spacing w:line="0" w:lineRule="atLeast"/>
              <w:ind w:firstLine="0"/>
              <w:jc w:val="center"/>
              <w:rPr>
                <w:rFonts w:eastAsia="宋体"/>
                <w:sz w:val="21"/>
                <w:szCs w:val="28"/>
                <w:highlight w:val="none"/>
              </w:rPr>
            </w:pPr>
            <w:r>
              <w:rPr>
                <w:rFonts w:hint="eastAsia" w:eastAsia="宋体"/>
                <w:sz w:val="21"/>
                <w:szCs w:val="28"/>
                <w:highlight w:val="none"/>
              </w:rPr>
              <w:t>序号</w:t>
            </w:r>
          </w:p>
        </w:tc>
        <w:tc>
          <w:tcPr>
            <w:tcW w:w="3190" w:type="dxa"/>
            <w:tcBorders>
              <w:top w:val="single" w:color="auto" w:sz="4" w:space="0"/>
              <w:bottom w:val="single" w:color="auto" w:sz="4" w:space="0"/>
            </w:tcBorders>
            <w:tcMar>
              <w:left w:w="0" w:type="dxa"/>
              <w:right w:w="0" w:type="dxa"/>
            </w:tcMar>
            <w:vAlign w:val="center"/>
          </w:tcPr>
          <w:p>
            <w:pPr>
              <w:pStyle w:val="9"/>
              <w:spacing w:line="0" w:lineRule="atLeast"/>
              <w:ind w:firstLine="0"/>
              <w:jc w:val="center"/>
              <w:rPr>
                <w:rFonts w:eastAsia="宋体"/>
                <w:sz w:val="21"/>
                <w:szCs w:val="28"/>
                <w:highlight w:val="none"/>
              </w:rPr>
            </w:pPr>
            <w:r>
              <w:rPr>
                <w:rFonts w:hint="eastAsia" w:eastAsia="宋体"/>
                <w:sz w:val="21"/>
                <w:szCs w:val="28"/>
                <w:highlight w:val="none"/>
              </w:rPr>
              <w:t>《采购文件》服务要求</w:t>
            </w:r>
          </w:p>
        </w:tc>
        <w:tc>
          <w:tcPr>
            <w:tcW w:w="3473" w:type="dxa"/>
            <w:tcBorders>
              <w:top w:val="single" w:color="auto" w:sz="4" w:space="0"/>
              <w:bottom w:val="single" w:color="auto" w:sz="4" w:space="0"/>
            </w:tcBorders>
            <w:tcMar>
              <w:left w:w="0" w:type="dxa"/>
              <w:right w:w="0" w:type="dxa"/>
            </w:tcMar>
            <w:vAlign w:val="center"/>
          </w:tcPr>
          <w:p>
            <w:pPr>
              <w:pStyle w:val="9"/>
              <w:spacing w:line="0" w:lineRule="atLeast"/>
              <w:ind w:firstLine="0"/>
              <w:jc w:val="center"/>
              <w:rPr>
                <w:rFonts w:eastAsia="宋体"/>
                <w:sz w:val="21"/>
                <w:szCs w:val="28"/>
                <w:highlight w:val="none"/>
              </w:rPr>
            </w:pPr>
            <w:r>
              <w:rPr>
                <w:rFonts w:hint="eastAsia" w:eastAsia="宋体"/>
                <w:sz w:val="21"/>
                <w:szCs w:val="28"/>
                <w:highlight w:val="none"/>
              </w:rPr>
              <w:t>《投标文件》服务响应</w:t>
            </w:r>
          </w:p>
        </w:tc>
        <w:tc>
          <w:tcPr>
            <w:tcW w:w="1617" w:type="dxa"/>
            <w:tcBorders>
              <w:top w:val="single" w:color="auto" w:sz="4" w:space="0"/>
              <w:bottom w:val="single" w:color="auto" w:sz="4" w:space="0"/>
            </w:tcBorders>
            <w:tcMar>
              <w:left w:w="0" w:type="dxa"/>
              <w:right w:w="0" w:type="dxa"/>
            </w:tcMar>
            <w:vAlign w:val="center"/>
          </w:tcPr>
          <w:p>
            <w:pPr>
              <w:pStyle w:val="9"/>
              <w:spacing w:line="0" w:lineRule="atLeast"/>
              <w:ind w:firstLine="0"/>
              <w:jc w:val="center"/>
              <w:rPr>
                <w:rFonts w:eastAsia="宋体"/>
                <w:sz w:val="21"/>
                <w:szCs w:val="28"/>
                <w:highlight w:val="none"/>
              </w:rPr>
            </w:pPr>
            <w:r>
              <w:rPr>
                <w:rFonts w:hint="eastAsia" w:eastAsia="宋体"/>
                <w:sz w:val="21"/>
                <w:szCs w:val="28"/>
                <w:highlight w:val="none"/>
              </w:rPr>
              <w:t>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Borders>
              <w:top w:val="single" w:color="auto" w:sz="4" w:space="0"/>
            </w:tcBorders>
            <w:tcMar>
              <w:left w:w="0" w:type="dxa"/>
              <w:right w:w="0" w:type="dxa"/>
            </w:tcMar>
            <w:vAlign w:val="center"/>
          </w:tcPr>
          <w:p>
            <w:pPr>
              <w:jc w:val="center"/>
              <w:rPr>
                <w:highlight w:val="none"/>
              </w:rPr>
            </w:pPr>
          </w:p>
        </w:tc>
        <w:tc>
          <w:tcPr>
            <w:tcW w:w="3190" w:type="dxa"/>
            <w:tcBorders>
              <w:top w:val="single" w:color="auto" w:sz="4" w:space="0"/>
            </w:tcBorders>
            <w:tcMar>
              <w:left w:w="0" w:type="dxa"/>
              <w:right w:w="0" w:type="dxa"/>
            </w:tcMar>
            <w:vAlign w:val="center"/>
          </w:tcPr>
          <w:p>
            <w:pPr>
              <w:jc w:val="center"/>
              <w:rPr>
                <w:highlight w:val="none"/>
              </w:rPr>
            </w:pPr>
          </w:p>
        </w:tc>
        <w:tc>
          <w:tcPr>
            <w:tcW w:w="3473" w:type="dxa"/>
            <w:tcBorders>
              <w:top w:val="single" w:color="auto" w:sz="4" w:space="0"/>
            </w:tcBorders>
            <w:tcMar>
              <w:left w:w="0" w:type="dxa"/>
              <w:right w:w="0" w:type="dxa"/>
            </w:tcMar>
            <w:vAlign w:val="center"/>
          </w:tcPr>
          <w:p>
            <w:pPr>
              <w:jc w:val="center"/>
              <w:rPr>
                <w:highlight w:val="none"/>
              </w:rPr>
            </w:pPr>
          </w:p>
        </w:tc>
        <w:tc>
          <w:tcPr>
            <w:tcW w:w="1617" w:type="dxa"/>
            <w:tcBorders>
              <w:top w:val="single" w:color="auto" w:sz="4" w:space="0"/>
            </w:tcBorders>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trPr>
        <w:tc>
          <w:tcPr>
            <w:tcW w:w="572" w:type="dxa"/>
            <w:tcMar>
              <w:left w:w="0" w:type="dxa"/>
              <w:right w:w="0" w:type="dxa"/>
            </w:tcMar>
            <w:vAlign w:val="center"/>
          </w:tcPr>
          <w:p>
            <w:pPr>
              <w:jc w:val="center"/>
              <w:rPr>
                <w:highlight w:val="none"/>
              </w:rPr>
            </w:pPr>
          </w:p>
        </w:tc>
        <w:tc>
          <w:tcPr>
            <w:tcW w:w="3190" w:type="dxa"/>
            <w:tcMar>
              <w:left w:w="0" w:type="dxa"/>
              <w:right w:w="0" w:type="dxa"/>
            </w:tcMar>
            <w:vAlign w:val="center"/>
          </w:tcPr>
          <w:p>
            <w:pPr>
              <w:jc w:val="center"/>
              <w:rPr>
                <w:highlight w:val="none"/>
              </w:rPr>
            </w:pPr>
          </w:p>
        </w:tc>
        <w:tc>
          <w:tcPr>
            <w:tcW w:w="3473" w:type="dxa"/>
            <w:tcMar>
              <w:left w:w="0" w:type="dxa"/>
              <w:right w:w="0" w:type="dxa"/>
            </w:tcMar>
            <w:vAlign w:val="center"/>
          </w:tcPr>
          <w:p>
            <w:pPr>
              <w:jc w:val="center"/>
              <w:rPr>
                <w:highlight w:val="none"/>
              </w:rPr>
            </w:pPr>
          </w:p>
        </w:tc>
        <w:tc>
          <w:tcPr>
            <w:tcW w:w="1617" w:type="dxa"/>
            <w:tcMar>
              <w:left w:w="0" w:type="dxa"/>
              <w:right w:w="0" w:type="dxa"/>
            </w:tcMar>
            <w:vAlign w:val="center"/>
          </w:tcPr>
          <w:p>
            <w:pPr>
              <w:jc w:val="center"/>
              <w:rPr>
                <w:highlight w:val="none"/>
              </w:rPr>
            </w:pPr>
          </w:p>
        </w:tc>
      </w:tr>
    </w:tbl>
    <w:p>
      <w:pPr>
        <w:pStyle w:val="9"/>
        <w:ind w:firstLine="0"/>
        <w:rPr>
          <w:rFonts w:eastAsia="宋体"/>
          <w:sz w:val="18"/>
          <w:szCs w:val="18"/>
          <w:highlight w:val="none"/>
        </w:rPr>
      </w:pPr>
      <w:r>
        <w:rPr>
          <w:rFonts w:hint="eastAsia" w:eastAsia="宋体"/>
          <w:sz w:val="18"/>
          <w:szCs w:val="18"/>
          <w:highlight w:val="none"/>
        </w:rPr>
        <w:t>备注：1、列明采购文件的服务要求与投标文件对应响应，并说明偏离状况；2、无偏离应在本表空白处醒目地注明“无条款偏离”的字样。</w:t>
      </w:r>
    </w:p>
    <w:p>
      <w:pPr>
        <w:pStyle w:val="9"/>
        <w:tabs>
          <w:tab w:val="left" w:pos="4841"/>
        </w:tabs>
        <w:ind w:firstLine="0"/>
        <w:rPr>
          <w:rFonts w:eastAsia="宋体"/>
          <w:sz w:val="21"/>
          <w:szCs w:val="21"/>
          <w:highlight w:val="none"/>
        </w:rPr>
      </w:pPr>
      <w:r>
        <w:rPr>
          <w:rFonts w:hint="eastAsia" w:eastAsia="宋体"/>
          <w:sz w:val="21"/>
          <w:szCs w:val="21"/>
          <w:highlight w:val="none"/>
        </w:rPr>
        <w:t>投标人（盖章）：</w:t>
      </w:r>
    </w:p>
    <w:p>
      <w:pPr>
        <w:pStyle w:val="9"/>
        <w:tabs>
          <w:tab w:val="left" w:pos="4841"/>
        </w:tabs>
        <w:ind w:firstLine="0"/>
        <w:rPr>
          <w:rFonts w:eastAsia="宋体"/>
          <w:sz w:val="21"/>
          <w:szCs w:val="21"/>
          <w:highlight w:val="none"/>
        </w:rPr>
      </w:pPr>
      <w:r>
        <w:rPr>
          <w:rFonts w:hint="eastAsia" w:eastAsia="宋体"/>
          <w:sz w:val="21"/>
          <w:szCs w:val="21"/>
          <w:highlight w:val="none"/>
        </w:rPr>
        <w:t>授权代表人（签字）：</w:t>
      </w:r>
    </w:p>
    <w:p>
      <w:pPr>
        <w:pStyle w:val="9"/>
        <w:tabs>
          <w:tab w:val="left" w:pos="4841"/>
        </w:tabs>
        <w:ind w:firstLine="0"/>
        <w:rPr>
          <w:rFonts w:eastAsia="宋体"/>
          <w:sz w:val="21"/>
          <w:szCs w:val="21"/>
          <w:highlight w:val="none"/>
        </w:rPr>
      </w:pPr>
      <w:r>
        <w:rPr>
          <w:rFonts w:hint="eastAsia" w:eastAsia="宋体"/>
          <w:sz w:val="21"/>
          <w:szCs w:val="21"/>
          <w:highlight w:val="none"/>
        </w:rPr>
        <w:t>日期：</w:t>
      </w:r>
    </w:p>
    <w:p>
      <w:pPr>
        <w:pStyle w:val="9"/>
        <w:tabs>
          <w:tab w:val="left" w:pos="4841"/>
        </w:tabs>
        <w:ind w:firstLine="0"/>
        <w:rPr>
          <w:rFonts w:eastAsia="宋体"/>
          <w:sz w:val="21"/>
          <w:szCs w:val="21"/>
          <w:highlight w:val="none"/>
        </w:rPr>
      </w:pPr>
    </w:p>
    <w:p>
      <w:pPr>
        <w:pStyle w:val="9"/>
        <w:tabs>
          <w:tab w:val="left" w:pos="4841"/>
        </w:tabs>
        <w:ind w:firstLine="0"/>
        <w:rPr>
          <w:rFonts w:eastAsia="宋体"/>
          <w:sz w:val="21"/>
          <w:szCs w:val="21"/>
          <w:highlight w:val="none"/>
        </w:rPr>
      </w:pPr>
    </w:p>
    <w:p>
      <w:pPr>
        <w:pStyle w:val="3"/>
        <w:spacing w:before="0" w:after="0" w:line="240" w:lineRule="auto"/>
        <w:ind w:right="-567"/>
        <w:jc w:val="left"/>
        <w:rPr>
          <w:highlight w:val="none"/>
        </w:rPr>
      </w:pPr>
      <w:r>
        <w:rPr>
          <w:rFonts w:hint="eastAsia" w:ascii="Times New Roman" w:hAnsi="Times New Roman" w:eastAsia="宋体"/>
          <w:b w:val="0"/>
          <w:sz w:val="18"/>
          <w:szCs w:val="18"/>
          <w:highlight w:val="none"/>
        </w:rPr>
        <w:t>格式七</w:t>
      </w:r>
    </w:p>
    <w:p>
      <w:pPr>
        <w:pStyle w:val="2"/>
        <w:spacing w:line="360" w:lineRule="exact"/>
        <w:rPr>
          <w:rFonts w:hAnsi="宋体" w:cs="宋体"/>
          <w:sz w:val="21"/>
          <w:szCs w:val="21"/>
          <w:highlight w:val="none"/>
        </w:rPr>
      </w:pPr>
      <w:r>
        <w:rPr>
          <w:rFonts w:hint="eastAsia" w:hAnsi="宋体" w:cs="宋体"/>
          <w:sz w:val="21"/>
          <w:szCs w:val="21"/>
          <w:highlight w:val="none"/>
        </w:rPr>
        <w:t>技术商务分自评表</w:t>
      </w:r>
    </w:p>
    <w:p>
      <w:pPr>
        <w:pStyle w:val="9"/>
        <w:tabs>
          <w:tab w:val="right" w:pos="8847"/>
        </w:tabs>
        <w:ind w:firstLine="0"/>
        <w:rPr>
          <w:rFonts w:eastAsia="宋体"/>
          <w:sz w:val="21"/>
          <w:highlight w:val="none"/>
        </w:rPr>
      </w:pPr>
      <w:r>
        <w:rPr>
          <w:rFonts w:hint="eastAsia" w:eastAsia="宋体"/>
          <w:sz w:val="21"/>
          <w:highlight w:val="none"/>
        </w:rPr>
        <w:t>采购编号：                                               项目名称：</w:t>
      </w:r>
    </w:p>
    <w:tbl>
      <w:tblPr>
        <w:tblStyle w:val="46"/>
        <w:tblW w:w="9163" w:type="dxa"/>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46"/>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7746" w:type="dxa"/>
            <w:tcBorders>
              <w:left w:val="single" w:color="auto" w:sz="4" w:space="0"/>
              <w:right w:val="single" w:color="auto" w:sz="2" w:space="0"/>
            </w:tcBorders>
            <w:vAlign w:val="center"/>
          </w:tcPr>
          <w:p>
            <w:pPr>
              <w:spacing w:line="320" w:lineRule="exact"/>
              <w:ind w:right="162"/>
              <w:jc w:val="center"/>
              <w:rPr>
                <w:szCs w:val="21"/>
                <w:highlight w:val="none"/>
              </w:rPr>
            </w:pPr>
            <w:r>
              <w:rPr>
                <w:szCs w:val="21"/>
                <w:highlight w:val="none"/>
              </w:rPr>
              <w:t>评分项及分值</w:t>
            </w:r>
          </w:p>
        </w:tc>
        <w:tc>
          <w:tcPr>
            <w:tcW w:w="709" w:type="dxa"/>
            <w:tcBorders>
              <w:left w:val="single" w:color="auto" w:sz="4" w:space="0"/>
              <w:right w:val="single" w:color="auto" w:sz="2" w:space="0"/>
            </w:tcBorders>
          </w:tcPr>
          <w:p>
            <w:pPr>
              <w:spacing w:line="320" w:lineRule="exact"/>
              <w:ind w:right="162"/>
              <w:jc w:val="center"/>
              <w:rPr>
                <w:szCs w:val="21"/>
                <w:highlight w:val="none"/>
              </w:rPr>
            </w:pPr>
            <w:r>
              <w:rPr>
                <w:szCs w:val="21"/>
                <w:highlight w:val="none"/>
              </w:rPr>
              <w:t>自评分</w:t>
            </w:r>
          </w:p>
        </w:tc>
        <w:tc>
          <w:tcPr>
            <w:tcW w:w="708" w:type="dxa"/>
            <w:tcBorders>
              <w:left w:val="single" w:color="auto" w:sz="4" w:space="0"/>
              <w:right w:val="single" w:color="auto" w:sz="2" w:space="0"/>
            </w:tcBorders>
          </w:tcPr>
          <w:p>
            <w:pPr>
              <w:spacing w:line="320" w:lineRule="exact"/>
              <w:ind w:right="162"/>
              <w:jc w:val="center"/>
              <w:rPr>
                <w:szCs w:val="21"/>
                <w:highlight w:val="none"/>
              </w:rPr>
            </w:pPr>
            <w:r>
              <w:rPr>
                <w:szCs w:val="21"/>
                <w:highlight w:val="none"/>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26" w:hRule="atLeast"/>
        </w:trPr>
        <w:tc>
          <w:tcPr>
            <w:tcW w:w="7746" w:type="dxa"/>
            <w:tcBorders>
              <w:top w:val="single" w:color="auto" w:sz="2" w:space="0"/>
              <w:left w:val="single" w:color="auto" w:sz="4" w:space="0"/>
              <w:bottom w:val="single" w:color="auto" w:sz="2" w:space="0"/>
              <w:right w:val="single" w:color="auto" w:sz="2" w:space="0"/>
            </w:tcBorders>
            <w:vAlign w:val="center"/>
          </w:tcPr>
          <w:p>
            <w:pPr>
              <w:spacing w:line="360" w:lineRule="auto"/>
              <w:contextualSpacing/>
              <w:rPr>
                <w:rFonts w:ascii="宋体" w:hAnsi="宋体" w:cs="宋体"/>
                <w:szCs w:val="21"/>
                <w:highlight w:val="none"/>
              </w:rPr>
            </w:pPr>
          </w:p>
        </w:tc>
        <w:tc>
          <w:tcPr>
            <w:tcW w:w="709" w:type="dxa"/>
            <w:tcBorders>
              <w:top w:val="single" w:color="auto" w:sz="2" w:space="0"/>
              <w:left w:val="single" w:color="auto" w:sz="4" w:space="0"/>
              <w:bottom w:val="single" w:color="auto" w:sz="2" w:space="0"/>
              <w:right w:val="single" w:color="auto" w:sz="2" w:space="0"/>
            </w:tcBorders>
          </w:tcPr>
          <w:p>
            <w:pPr>
              <w:spacing w:line="360" w:lineRule="auto"/>
              <w:contextualSpacing/>
              <w:rPr>
                <w:rFonts w:ascii="宋体" w:hAnsi="宋体" w:cs="宋体"/>
                <w:szCs w:val="21"/>
                <w:highlight w:val="none"/>
              </w:rPr>
            </w:pPr>
          </w:p>
        </w:tc>
        <w:tc>
          <w:tcPr>
            <w:tcW w:w="708" w:type="dxa"/>
            <w:tcBorders>
              <w:top w:val="single" w:color="auto" w:sz="2" w:space="0"/>
              <w:left w:val="single" w:color="auto" w:sz="4" w:space="0"/>
              <w:bottom w:val="single" w:color="auto" w:sz="2" w:space="0"/>
              <w:right w:val="single" w:color="auto" w:sz="2" w:space="0"/>
            </w:tcBorders>
          </w:tcPr>
          <w:p>
            <w:pPr>
              <w:spacing w:line="360" w:lineRule="auto"/>
              <w:contextualSpacing/>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8" w:hRule="atLeast"/>
        </w:trPr>
        <w:tc>
          <w:tcPr>
            <w:tcW w:w="7746" w:type="dxa"/>
            <w:tcBorders>
              <w:top w:val="single" w:color="auto" w:sz="2" w:space="0"/>
              <w:left w:val="single" w:color="auto" w:sz="4" w:space="0"/>
              <w:bottom w:val="single" w:color="auto" w:sz="2" w:space="0"/>
              <w:right w:val="single" w:color="auto" w:sz="2" w:space="0"/>
            </w:tcBorders>
            <w:vAlign w:val="center"/>
          </w:tcPr>
          <w:p>
            <w:pPr>
              <w:spacing w:line="360" w:lineRule="auto"/>
              <w:contextualSpacing/>
              <w:rPr>
                <w:rFonts w:ascii="宋体" w:hAnsi="宋体" w:cs="宋体"/>
                <w:szCs w:val="21"/>
                <w:highlight w:val="none"/>
              </w:rPr>
            </w:pPr>
          </w:p>
        </w:tc>
        <w:tc>
          <w:tcPr>
            <w:tcW w:w="709" w:type="dxa"/>
            <w:tcBorders>
              <w:top w:val="single" w:color="auto" w:sz="2" w:space="0"/>
              <w:left w:val="single" w:color="auto" w:sz="4" w:space="0"/>
              <w:bottom w:val="single" w:color="auto" w:sz="2" w:space="0"/>
              <w:right w:val="single" w:color="auto" w:sz="2" w:space="0"/>
            </w:tcBorders>
          </w:tcPr>
          <w:p>
            <w:pPr>
              <w:spacing w:line="360" w:lineRule="auto"/>
              <w:contextualSpacing/>
              <w:rPr>
                <w:rFonts w:ascii="宋体" w:hAnsi="宋体" w:cs="宋体"/>
                <w:szCs w:val="21"/>
                <w:highlight w:val="none"/>
              </w:rPr>
            </w:pPr>
          </w:p>
        </w:tc>
        <w:tc>
          <w:tcPr>
            <w:tcW w:w="708" w:type="dxa"/>
            <w:tcBorders>
              <w:top w:val="single" w:color="auto" w:sz="2" w:space="0"/>
              <w:left w:val="single" w:color="auto" w:sz="4" w:space="0"/>
              <w:bottom w:val="single" w:color="auto" w:sz="2" w:space="0"/>
              <w:right w:val="single" w:color="auto" w:sz="2" w:space="0"/>
            </w:tcBorders>
          </w:tcPr>
          <w:p>
            <w:pPr>
              <w:spacing w:line="360" w:lineRule="auto"/>
              <w:contextualSpacing/>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8" w:hRule="atLeast"/>
        </w:trPr>
        <w:tc>
          <w:tcPr>
            <w:tcW w:w="7746" w:type="dxa"/>
            <w:tcBorders>
              <w:top w:val="single" w:color="auto" w:sz="2" w:space="0"/>
              <w:left w:val="single" w:color="auto" w:sz="4" w:space="0"/>
              <w:bottom w:val="single" w:color="auto" w:sz="2" w:space="0"/>
              <w:right w:val="single" w:color="auto" w:sz="2" w:space="0"/>
            </w:tcBorders>
            <w:vAlign w:val="center"/>
          </w:tcPr>
          <w:p>
            <w:pPr>
              <w:spacing w:line="360" w:lineRule="auto"/>
              <w:contextualSpacing/>
              <w:rPr>
                <w:rFonts w:ascii="宋体" w:hAnsi="宋体" w:cs="宋体"/>
                <w:szCs w:val="21"/>
                <w:highlight w:val="none"/>
              </w:rPr>
            </w:pPr>
          </w:p>
        </w:tc>
        <w:tc>
          <w:tcPr>
            <w:tcW w:w="709" w:type="dxa"/>
            <w:tcBorders>
              <w:top w:val="single" w:color="auto" w:sz="2" w:space="0"/>
              <w:left w:val="single" w:color="auto" w:sz="4" w:space="0"/>
              <w:bottom w:val="single" w:color="auto" w:sz="2" w:space="0"/>
              <w:right w:val="single" w:color="auto" w:sz="2" w:space="0"/>
            </w:tcBorders>
          </w:tcPr>
          <w:p>
            <w:pPr>
              <w:spacing w:line="360" w:lineRule="auto"/>
              <w:contextualSpacing/>
              <w:rPr>
                <w:rFonts w:ascii="宋体" w:hAnsi="宋体" w:cs="宋体"/>
                <w:szCs w:val="21"/>
                <w:highlight w:val="none"/>
              </w:rPr>
            </w:pPr>
          </w:p>
        </w:tc>
        <w:tc>
          <w:tcPr>
            <w:tcW w:w="708" w:type="dxa"/>
            <w:tcBorders>
              <w:top w:val="single" w:color="auto" w:sz="2" w:space="0"/>
              <w:left w:val="single" w:color="auto" w:sz="4" w:space="0"/>
              <w:bottom w:val="single" w:color="auto" w:sz="2" w:space="0"/>
              <w:right w:val="single" w:color="auto" w:sz="2" w:space="0"/>
            </w:tcBorders>
          </w:tcPr>
          <w:p>
            <w:pPr>
              <w:spacing w:line="360" w:lineRule="auto"/>
              <w:contextualSpacing/>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9" w:hRule="atLeast"/>
        </w:trPr>
        <w:tc>
          <w:tcPr>
            <w:tcW w:w="7746" w:type="dxa"/>
            <w:tcBorders>
              <w:top w:val="single" w:color="auto" w:sz="2" w:space="0"/>
              <w:left w:val="single" w:color="auto" w:sz="4" w:space="0"/>
              <w:bottom w:val="single" w:color="auto" w:sz="2" w:space="0"/>
              <w:right w:val="single" w:color="auto" w:sz="2" w:space="0"/>
            </w:tcBorders>
            <w:vAlign w:val="center"/>
          </w:tcPr>
          <w:p>
            <w:pPr>
              <w:spacing w:line="360" w:lineRule="auto"/>
              <w:contextualSpacing/>
              <w:rPr>
                <w:rFonts w:ascii="宋体" w:hAnsi="宋体" w:cs="宋体"/>
                <w:szCs w:val="21"/>
                <w:highlight w:val="none"/>
              </w:rPr>
            </w:pPr>
          </w:p>
        </w:tc>
        <w:tc>
          <w:tcPr>
            <w:tcW w:w="709" w:type="dxa"/>
            <w:tcBorders>
              <w:top w:val="single" w:color="auto" w:sz="2" w:space="0"/>
              <w:left w:val="single" w:color="auto" w:sz="4" w:space="0"/>
              <w:bottom w:val="single" w:color="auto" w:sz="2" w:space="0"/>
              <w:right w:val="single" w:color="auto" w:sz="2" w:space="0"/>
            </w:tcBorders>
          </w:tcPr>
          <w:p>
            <w:pPr>
              <w:spacing w:line="360" w:lineRule="auto"/>
              <w:contextualSpacing/>
              <w:rPr>
                <w:rFonts w:ascii="宋体" w:hAnsi="宋体" w:cs="宋体"/>
                <w:szCs w:val="21"/>
                <w:highlight w:val="none"/>
              </w:rPr>
            </w:pPr>
          </w:p>
        </w:tc>
        <w:tc>
          <w:tcPr>
            <w:tcW w:w="708" w:type="dxa"/>
            <w:tcBorders>
              <w:top w:val="single" w:color="auto" w:sz="2" w:space="0"/>
              <w:left w:val="single" w:color="auto" w:sz="4" w:space="0"/>
              <w:bottom w:val="single" w:color="auto" w:sz="2" w:space="0"/>
              <w:right w:val="single" w:color="auto" w:sz="2" w:space="0"/>
            </w:tcBorders>
          </w:tcPr>
          <w:p>
            <w:pPr>
              <w:spacing w:line="360" w:lineRule="auto"/>
              <w:contextualSpacing/>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4" w:hRule="atLeast"/>
        </w:trPr>
        <w:tc>
          <w:tcPr>
            <w:tcW w:w="7746" w:type="dxa"/>
            <w:tcBorders>
              <w:top w:val="single" w:color="auto" w:sz="2" w:space="0"/>
              <w:left w:val="single" w:color="auto" w:sz="4" w:space="0"/>
              <w:bottom w:val="single" w:color="auto" w:sz="2" w:space="0"/>
              <w:right w:val="single" w:color="auto" w:sz="2" w:space="0"/>
            </w:tcBorders>
            <w:vAlign w:val="center"/>
          </w:tcPr>
          <w:p>
            <w:pPr>
              <w:spacing w:line="360" w:lineRule="auto"/>
              <w:contextualSpacing/>
              <w:rPr>
                <w:rFonts w:ascii="宋体" w:hAnsi="宋体" w:cs="宋体"/>
                <w:szCs w:val="21"/>
                <w:highlight w:val="none"/>
              </w:rPr>
            </w:pPr>
          </w:p>
        </w:tc>
        <w:tc>
          <w:tcPr>
            <w:tcW w:w="709" w:type="dxa"/>
            <w:tcBorders>
              <w:top w:val="single" w:color="auto" w:sz="2" w:space="0"/>
              <w:left w:val="single" w:color="auto" w:sz="4" w:space="0"/>
              <w:bottom w:val="single" w:color="auto" w:sz="2" w:space="0"/>
              <w:right w:val="single" w:color="auto" w:sz="2" w:space="0"/>
            </w:tcBorders>
          </w:tcPr>
          <w:p>
            <w:pPr>
              <w:spacing w:line="360" w:lineRule="auto"/>
              <w:contextualSpacing/>
              <w:rPr>
                <w:rFonts w:ascii="宋体" w:hAnsi="宋体" w:cs="宋体"/>
                <w:szCs w:val="21"/>
                <w:highlight w:val="none"/>
              </w:rPr>
            </w:pPr>
          </w:p>
        </w:tc>
        <w:tc>
          <w:tcPr>
            <w:tcW w:w="708" w:type="dxa"/>
            <w:tcBorders>
              <w:top w:val="single" w:color="auto" w:sz="2" w:space="0"/>
              <w:left w:val="single" w:color="auto" w:sz="4" w:space="0"/>
              <w:bottom w:val="single" w:color="auto" w:sz="2" w:space="0"/>
              <w:right w:val="single" w:color="auto" w:sz="2" w:space="0"/>
            </w:tcBorders>
          </w:tcPr>
          <w:p>
            <w:pPr>
              <w:spacing w:line="360" w:lineRule="auto"/>
              <w:contextualSpacing/>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7746" w:type="dxa"/>
            <w:tcBorders>
              <w:top w:val="single" w:color="auto" w:sz="2" w:space="0"/>
              <w:left w:val="single" w:color="auto" w:sz="4" w:space="0"/>
              <w:right w:val="single" w:color="auto" w:sz="2" w:space="0"/>
            </w:tcBorders>
            <w:vAlign w:val="center"/>
          </w:tcPr>
          <w:p>
            <w:pPr>
              <w:spacing w:line="360" w:lineRule="auto"/>
              <w:contextualSpacing/>
              <w:rPr>
                <w:rFonts w:ascii="宋体" w:hAnsi="宋体" w:cs="宋体"/>
                <w:szCs w:val="21"/>
                <w:highlight w:val="none"/>
              </w:rPr>
            </w:pPr>
          </w:p>
        </w:tc>
        <w:tc>
          <w:tcPr>
            <w:tcW w:w="709" w:type="dxa"/>
            <w:tcBorders>
              <w:top w:val="single" w:color="auto" w:sz="2" w:space="0"/>
              <w:left w:val="single" w:color="auto" w:sz="4" w:space="0"/>
              <w:right w:val="single" w:color="auto" w:sz="2" w:space="0"/>
            </w:tcBorders>
          </w:tcPr>
          <w:p>
            <w:pPr>
              <w:spacing w:line="360" w:lineRule="auto"/>
              <w:contextualSpacing/>
              <w:rPr>
                <w:rFonts w:ascii="宋体" w:hAnsi="宋体" w:cs="宋体"/>
                <w:szCs w:val="21"/>
                <w:highlight w:val="none"/>
              </w:rPr>
            </w:pPr>
          </w:p>
        </w:tc>
        <w:tc>
          <w:tcPr>
            <w:tcW w:w="708" w:type="dxa"/>
            <w:tcBorders>
              <w:top w:val="single" w:color="auto" w:sz="2" w:space="0"/>
              <w:left w:val="single" w:color="auto" w:sz="4" w:space="0"/>
              <w:right w:val="single" w:color="auto" w:sz="2" w:space="0"/>
            </w:tcBorders>
          </w:tcPr>
          <w:p>
            <w:pPr>
              <w:spacing w:line="360" w:lineRule="auto"/>
              <w:contextualSpacing/>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7746" w:type="dxa"/>
            <w:tcBorders>
              <w:top w:val="single" w:color="auto" w:sz="2" w:space="0"/>
              <w:left w:val="single" w:color="auto" w:sz="4" w:space="0"/>
              <w:right w:val="single" w:color="auto" w:sz="2" w:space="0"/>
            </w:tcBorders>
            <w:vAlign w:val="center"/>
          </w:tcPr>
          <w:p>
            <w:pPr>
              <w:spacing w:line="360" w:lineRule="auto"/>
              <w:contextualSpacing/>
              <w:rPr>
                <w:rFonts w:ascii="宋体" w:hAnsi="宋体" w:cs="宋体"/>
                <w:szCs w:val="21"/>
                <w:highlight w:val="none"/>
              </w:rPr>
            </w:pPr>
          </w:p>
        </w:tc>
        <w:tc>
          <w:tcPr>
            <w:tcW w:w="709" w:type="dxa"/>
            <w:tcBorders>
              <w:top w:val="single" w:color="auto" w:sz="2" w:space="0"/>
              <w:left w:val="single" w:color="auto" w:sz="4" w:space="0"/>
              <w:right w:val="single" w:color="auto" w:sz="2" w:space="0"/>
            </w:tcBorders>
          </w:tcPr>
          <w:p>
            <w:pPr>
              <w:spacing w:line="360" w:lineRule="auto"/>
              <w:jc w:val="left"/>
              <w:rPr>
                <w:rFonts w:ascii="宋体" w:hAnsi="宋体" w:cs="宋体"/>
                <w:szCs w:val="21"/>
                <w:highlight w:val="none"/>
              </w:rPr>
            </w:pPr>
          </w:p>
        </w:tc>
        <w:tc>
          <w:tcPr>
            <w:tcW w:w="708" w:type="dxa"/>
            <w:tcBorders>
              <w:top w:val="single" w:color="auto" w:sz="2" w:space="0"/>
              <w:left w:val="single" w:color="auto" w:sz="4" w:space="0"/>
              <w:right w:val="single" w:color="auto" w:sz="2" w:space="0"/>
            </w:tcBorders>
          </w:tcPr>
          <w:p>
            <w:pPr>
              <w:spacing w:line="360" w:lineRule="auto"/>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7746" w:type="dxa"/>
            <w:tcBorders>
              <w:top w:val="single" w:color="auto" w:sz="2" w:space="0"/>
              <w:left w:val="single" w:color="auto" w:sz="4" w:space="0"/>
              <w:right w:val="single" w:color="auto" w:sz="2" w:space="0"/>
            </w:tcBorders>
            <w:vAlign w:val="center"/>
          </w:tcPr>
          <w:p>
            <w:pPr>
              <w:spacing w:line="276" w:lineRule="auto"/>
              <w:jc w:val="left"/>
              <w:rPr>
                <w:rFonts w:ascii="宋体" w:hAnsi="宋体" w:cs="宋体"/>
                <w:szCs w:val="21"/>
                <w:highlight w:val="none"/>
              </w:rPr>
            </w:pPr>
          </w:p>
        </w:tc>
        <w:tc>
          <w:tcPr>
            <w:tcW w:w="709" w:type="dxa"/>
            <w:tcBorders>
              <w:top w:val="single" w:color="auto" w:sz="2" w:space="0"/>
              <w:left w:val="single" w:color="auto" w:sz="4" w:space="0"/>
              <w:right w:val="single" w:color="auto" w:sz="2" w:space="0"/>
            </w:tcBorders>
          </w:tcPr>
          <w:p>
            <w:pPr>
              <w:spacing w:line="360" w:lineRule="auto"/>
              <w:jc w:val="left"/>
              <w:rPr>
                <w:rFonts w:ascii="宋体" w:hAnsi="宋体" w:cs="宋体"/>
                <w:szCs w:val="21"/>
                <w:highlight w:val="none"/>
              </w:rPr>
            </w:pPr>
          </w:p>
        </w:tc>
        <w:tc>
          <w:tcPr>
            <w:tcW w:w="708" w:type="dxa"/>
            <w:tcBorders>
              <w:top w:val="single" w:color="auto" w:sz="2" w:space="0"/>
              <w:left w:val="single" w:color="auto" w:sz="4" w:space="0"/>
              <w:right w:val="single" w:color="auto" w:sz="2" w:space="0"/>
            </w:tcBorders>
          </w:tcPr>
          <w:p>
            <w:pPr>
              <w:spacing w:line="360" w:lineRule="auto"/>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7746" w:type="dxa"/>
            <w:tcBorders>
              <w:top w:val="single" w:color="auto" w:sz="2" w:space="0"/>
              <w:left w:val="single" w:color="auto" w:sz="4" w:space="0"/>
              <w:right w:val="single" w:color="auto" w:sz="2" w:space="0"/>
            </w:tcBorders>
            <w:vAlign w:val="center"/>
          </w:tcPr>
          <w:p>
            <w:pPr>
              <w:spacing w:line="276" w:lineRule="auto"/>
              <w:jc w:val="left"/>
              <w:rPr>
                <w:rFonts w:ascii="宋体" w:hAnsi="宋体" w:cs="宋体"/>
                <w:szCs w:val="21"/>
                <w:highlight w:val="none"/>
              </w:rPr>
            </w:pPr>
          </w:p>
        </w:tc>
        <w:tc>
          <w:tcPr>
            <w:tcW w:w="709" w:type="dxa"/>
            <w:tcBorders>
              <w:top w:val="single" w:color="auto" w:sz="2" w:space="0"/>
              <w:left w:val="single" w:color="auto" w:sz="4" w:space="0"/>
              <w:right w:val="single" w:color="auto" w:sz="2" w:space="0"/>
            </w:tcBorders>
          </w:tcPr>
          <w:p>
            <w:pPr>
              <w:spacing w:line="360" w:lineRule="auto"/>
              <w:jc w:val="left"/>
              <w:rPr>
                <w:rFonts w:ascii="宋体" w:hAnsi="宋体" w:cs="宋体"/>
                <w:szCs w:val="21"/>
                <w:highlight w:val="none"/>
              </w:rPr>
            </w:pPr>
          </w:p>
        </w:tc>
        <w:tc>
          <w:tcPr>
            <w:tcW w:w="708" w:type="dxa"/>
            <w:tcBorders>
              <w:top w:val="single" w:color="auto" w:sz="2" w:space="0"/>
              <w:left w:val="single" w:color="auto" w:sz="4" w:space="0"/>
              <w:right w:val="single" w:color="auto" w:sz="2" w:space="0"/>
            </w:tcBorders>
          </w:tcPr>
          <w:p>
            <w:pPr>
              <w:spacing w:line="360" w:lineRule="auto"/>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0" w:hRule="atLeast"/>
        </w:trPr>
        <w:tc>
          <w:tcPr>
            <w:tcW w:w="7746" w:type="dxa"/>
            <w:tcBorders>
              <w:top w:val="single" w:color="auto" w:sz="2" w:space="0"/>
              <w:left w:val="single" w:color="auto" w:sz="4" w:space="0"/>
              <w:right w:val="single" w:color="auto" w:sz="2"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总分</w:t>
            </w:r>
          </w:p>
        </w:tc>
        <w:tc>
          <w:tcPr>
            <w:tcW w:w="709" w:type="dxa"/>
            <w:tcBorders>
              <w:top w:val="single" w:color="auto" w:sz="2" w:space="0"/>
              <w:left w:val="single" w:color="auto" w:sz="4" w:space="0"/>
              <w:right w:val="single" w:color="auto" w:sz="2" w:space="0"/>
            </w:tcBorders>
          </w:tcPr>
          <w:p>
            <w:pPr>
              <w:spacing w:line="360" w:lineRule="auto"/>
              <w:jc w:val="left"/>
              <w:rPr>
                <w:rFonts w:ascii="宋体" w:hAnsi="宋体" w:cs="宋体"/>
                <w:szCs w:val="21"/>
                <w:highlight w:val="none"/>
              </w:rPr>
            </w:pPr>
          </w:p>
        </w:tc>
        <w:tc>
          <w:tcPr>
            <w:tcW w:w="708" w:type="dxa"/>
            <w:tcBorders>
              <w:top w:val="single" w:color="auto" w:sz="2" w:space="0"/>
              <w:left w:val="single" w:color="auto" w:sz="4" w:space="0"/>
              <w:right w:val="single" w:color="auto" w:sz="2" w:space="0"/>
            </w:tcBorders>
          </w:tcPr>
          <w:p>
            <w:pPr>
              <w:spacing w:line="360" w:lineRule="auto"/>
              <w:jc w:val="left"/>
              <w:rPr>
                <w:rFonts w:ascii="宋体" w:hAnsi="宋体" w:cs="宋体"/>
                <w:szCs w:val="21"/>
                <w:highlight w:val="none"/>
              </w:rPr>
            </w:pPr>
          </w:p>
        </w:tc>
      </w:tr>
    </w:tbl>
    <w:p>
      <w:pPr>
        <w:pStyle w:val="9"/>
        <w:tabs>
          <w:tab w:val="right" w:pos="8847"/>
        </w:tabs>
        <w:ind w:firstLine="0"/>
        <w:rPr>
          <w:rFonts w:eastAsia="宋体"/>
          <w:sz w:val="21"/>
          <w:highlight w:val="none"/>
          <w:u w:val="single"/>
        </w:rPr>
      </w:pPr>
      <w:r>
        <w:rPr>
          <w:rFonts w:hint="eastAsia" w:eastAsia="宋体"/>
          <w:sz w:val="18"/>
          <w:szCs w:val="18"/>
          <w:highlight w:val="none"/>
        </w:rPr>
        <w:t>备注：本表根据评分标准内容填写，可自行添加行。</w:t>
      </w:r>
    </w:p>
    <w:p>
      <w:pPr>
        <w:pStyle w:val="9"/>
        <w:tabs>
          <w:tab w:val="left" w:pos="4841"/>
        </w:tabs>
        <w:ind w:firstLine="0"/>
        <w:rPr>
          <w:rFonts w:eastAsia="宋体"/>
          <w:sz w:val="21"/>
          <w:szCs w:val="21"/>
          <w:highlight w:val="none"/>
        </w:rPr>
      </w:pPr>
      <w:r>
        <w:rPr>
          <w:rFonts w:hint="eastAsia" w:eastAsia="宋体"/>
          <w:sz w:val="21"/>
          <w:szCs w:val="21"/>
          <w:highlight w:val="none"/>
        </w:rPr>
        <w:t>投标人（盖章）：</w:t>
      </w:r>
    </w:p>
    <w:p>
      <w:pPr>
        <w:pStyle w:val="9"/>
        <w:tabs>
          <w:tab w:val="left" w:pos="4841"/>
        </w:tabs>
        <w:ind w:firstLine="0"/>
        <w:rPr>
          <w:rFonts w:eastAsia="宋体"/>
          <w:sz w:val="21"/>
          <w:szCs w:val="21"/>
          <w:highlight w:val="none"/>
        </w:rPr>
      </w:pPr>
      <w:r>
        <w:rPr>
          <w:rFonts w:hint="eastAsia" w:eastAsia="宋体"/>
          <w:sz w:val="21"/>
          <w:szCs w:val="21"/>
          <w:highlight w:val="none"/>
        </w:rPr>
        <w:t>授权代表人（签字）：</w:t>
      </w:r>
    </w:p>
    <w:p>
      <w:pPr>
        <w:pStyle w:val="9"/>
        <w:tabs>
          <w:tab w:val="left" w:pos="4841"/>
        </w:tabs>
        <w:ind w:firstLine="0"/>
        <w:rPr>
          <w:rFonts w:eastAsia="宋体"/>
          <w:sz w:val="21"/>
          <w:szCs w:val="21"/>
          <w:highlight w:val="none"/>
        </w:rPr>
      </w:pPr>
      <w:r>
        <w:rPr>
          <w:rFonts w:hint="eastAsia" w:eastAsia="宋体"/>
          <w:sz w:val="21"/>
          <w:szCs w:val="21"/>
          <w:highlight w:val="none"/>
        </w:rPr>
        <w:t>日期：</w:t>
      </w:r>
    </w:p>
    <w:p>
      <w:pPr>
        <w:pStyle w:val="3"/>
        <w:spacing w:before="0" w:after="0" w:line="240" w:lineRule="auto"/>
        <w:ind w:right="-567"/>
        <w:jc w:val="left"/>
        <w:rPr>
          <w:rFonts w:ascii="宋体" w:hAnsi="宋体"/>
          <w:b w:val="0"/>
          <w:szCs w:val="21"/>
          <w:highlight w:val="none"/>
        </w:rPr>
      </w:pPr>
      <w:r>
        <w:rPr>
          <w:rFonts w:ascii="宋体" w:hAnsi="宋体"/>
          <w:b w:val="0"/>
          <w:szCs w:val="21"/>
          <w:highlight w:val="none"/>
        </w:rPr>
        <w:br w:type="page"/>
      </w:r>
      <w:r>
        <w:rPr>
          <w:rFonts w:ascii="宋体" w:hAnsi="宋体" w:eastAsia="宋体" w:cs="宋体"/>
          <w:b w:val="0"/>
          <w:sz w:val="21"/>
          <w:szCs w:val="21"/>
          <w:highlight w:val="none"/>
        </w:rPr>
        <w:t xml:space="preserve"> </w:t>
      </w:r>
      <w:r>
        <w:rPr>
          <w:rFonts w:hint="eastAsia" w:ascii="宋体" w:hAnsi="宋体" w:eastAsia="宋体" w:cs="宋体"/>
          <w:b w:val="0"/>
          <w:sz w:val="21"/>
          <w:szCs w:val="21"/>
          <w:highlight w:val="none"/>
        </w:rPr>
        <w:t>格式八（选用）</w:t>
      </w:r>
    </w:p>
    <w:p>
      <w:pPr>
        <w:pStyle w:val="2"/>
        <w:spacing w:afterLines="50" w:line="360" w:lineRule="exact"/>
        <w:rPr>
          <w:rFonts w:ascii="Times New Roman"/>
          <w:sz w:val="32"/>
          <w:szCs w:val="32"/>
          <w:highlight w:val="none"/>
        </w:rPr>
      </w:pPr>
      <w:bookmarkStart w:id="186" w:name="_Toc505353801"/>
      <w:bookmarkStart w:id="187" w:name="_Toc496003223"/>
      <w:bookmarkStart w:id="188" w:name="_Toc498429657"/>
      <w:bookmarkStart w:id="189" w:name="OLE_LINK13"/>
      <w:bookmarkStart w:id="190" w:name="OLE_LINK14"/>
      <w:r>
        <w:rPr>
          <w:rFonts w:hint="eastAsia" w:ascii="Times New Roman"/>
          <w:sz w:val="32"/>
          <w:szCs w:val="32"/>
          <w:highlight w:val="none"/>
        </w:rPr>
        <w:t>中小企业</w:t>
      </w:r>
      <w:r>
        <w:rPr>
          <w:rFonts w:ascii="Times New Roman"/>
          <w:sz w:val="32"/>
          <w:szCs w:val="32"/>
          <w:highlight w:val="none"/>
        </w:rPr>
        <w:t>声明函</w:t>
      </w:r>
      <w:bookmarkEnd w:id="186"/>
      <w:bookmarkEnd w:id="187"/>
      <w:bookmarkEnd w:id="188"/>
    </w:p>
    <w:p>
      <w:pPr>
        <w:rPr>
          <w:highlight w:val="none"/>
        </w:rPr>
      </w:pPr>
    </w:p>
    <w:p>
      <w:pPr>
        <w:rPr>
          <w:highlight w:val="none"/>
        </w:rPr>
      </w:pPr>
    </w:p>
    <w:p>
      <w:pPr>
        <w:spacing w:line="480" w:lineRule="auto"/>
        <w:ind w:firstLine="525" w:firstLineChars="250"/>
        <w:rPr>
          <w:highlight w:val="none"/>
        </w:rPr>
      </w:pPr>
      <w:r>
        <w:rPr>
          <w:rFonts w:hint="eastAsia"/>
          <w:highlight w:val="none"/>
        </w:rPr>
        <w:t>本公司郑重声明，根据《政府采购促进中小企业发展管理办法》（财库﹝</w:t>
      </w:r>
      <w:r>
        <w:rPr>
          <w:highlight w:val="none"/>
        </w:rPr>
        <w:t>2020</w:t>
      </w:r>
      <w:r>
        <w:rPr>
          <w:rFonts w:hint="eastAsia"/>
          <w:highlight w:val="none"/>
        </w:rPr>
        <w:t>﹞</w:t>
      </w:r>
      <w:r>
        <w:rPr>
          <w:highlight w:val="none"/>
        </w:rPr>
        <w:t xml:space="preserve">46 </w:t>
      </w:r>
      <w:r>
        <w:rPr>
          <w:rFonts w:hint="eastAsia"/>
          <w:highlight w:val="none"/>
        </w:rPr>
        <w:t>号）的规定，本公司参加</w:t>
      </w:r>
      <w:r>
        <w:rPr>
          <w:rFonts w:hint="eastAsia"/>
          <w:highlight w:val="none"/>
          <w:u w:val="single"/>
        </w:rPr>
        <w:t>（单位名称）</w:t>
      </w:r>
      <w:r>
        <w:rPr>
          <w:rFonts w:hint="eastAsia"/>
          <w:highlight w:val="none"/>
        </w:rPr>
        <w:t>的</w:t>
      </w:r>
      <w:r>
        <w:rPr>
          <w:rFonts w:hint="eastAsia"/>
          <w:highlight w:val="none"/>
          <w:u w:val="single"/>
        </w:rPr>
        <w:t>（项目名称）</w:t>
      </w:r>
      <w:r>
        <w:rPr>
          <w:rFonts w:hint="eastAsia"/>
          <w:highlight w:val="none"/>
        </w:rPr>
        <w:t>采购活动，服务全部由符合政策要求的中小企业承接。相关企业的具体情况如下：</w:t>
      </w:r>
    </w:p>
    <w:p>
      <w:pPr>
        <w:spacing w:line="480" w:lineRule="auto"/>
        <w:ind w:firstLine="420" w:firstLineChars="200"/>
        <w:rPr>
          <w:highlight w:val="none"/>
        </w:rPr>
      </w:pPr>
      <w:r>
        <w:rPr>
          <w:highlight w:val="none"/>
        </w:rPr>
        <w:t>1.</w:t>
      </w:r>
      <w:r>
        <w:rPr>
          <w:i/>
          <w:highlight w:val="none"/>
          <w:u w:val="single"/>
        </w:rPr>
        <w:t xml:space="preserve"> </w:t>
      </w:r>
      <w:r>
        <w:rPr>
          <w:rFonts w:hint="eastAsia"/>
          <w:i/>
          <w:highlight w:val="none"/>
          <w:u w:val="single"/>
        </w:rPr>
        <w:t>（标的名称）</w:t>
      </w:r>
      <w:r>
        <w:rPr>
          <w:i/>
          <w:highlight w:val="none"/>
          <w:u w:val="single"/>
        </w:rPr>
        <w:t xml:space="preserve"> </w:t>
      </w:r>
      <w:r>
        <w:rPr>
          <w:rFonts w:hint="eastAsia"/>
          <w:highlight w:val="none"/>
        </w:rPr>
        <w:t>，属于</w:t>
      </w:r>
      <w:r>
        <w:rPr>
          <w:rFonts w:hint="eastAsia"/>
          <w:b/>
          <w:i/>
          <w:highlight w:val="none"/>
          <w:u w:val="single"/>
        </w:rPr>
        <w:t>（</w:t>
      </w:r>
      <w:r>
        <w:rPr>
          <w:rFonts w:hint="eastAsia"/>
          <w:b/>
          <w:highlight w:val="none"/>
          <w:u w:val="single"/>
        </w:rPr>
        <w:t>采购文件中明确的所属行业：租赁和商务服务业</w:t>
      </w:r>
      <w:r>
        <w:rPr>
          <w:rFonts w:hint="eastAsia"/>
          <w:b/>
          <w:i/>
          <w:highlight w:val="none"/>
          <w:u w:val="single"/>
        </w:rPr>
        <w:t>）</w:t>
      </w:r>
      <w:r>
        <w:rPr>
          <w:rFonts w:hint="eastAsia"/>
          <w:highlight w:val="none"/>
        </w:rPr>
        <w:t>；</w:t>
      </w:r>
      <w:r>
        <w:rPr>
          <w:rFonts w:hint="eastAsia"/>
          <w:b/>
          <w:highlight w:val="none"/>
        </w:rPr>
        <w:t>承接企业</w:t>
      </w:r>
      <w:r>
        <w:rPr>
          <w:rFonts w:hint="eastAsia"/>
          <w:highlight w:val="none"/>
        </w:rPr>
        <w:t>为</w:t>
      </w:r>
      <w:r>
        <w:rPr>
          <w:rFonts w:hint="eastAsia"/>
          <w:i/>
          <w:highlight w:val="none"/>
          <w:u w:val="single"/>
        </w:rPr>
        <w:t>（企业名称）</w:t>
      </w:r>
      <w:r>
        <w:rPr>
          <w:rFonts w:hint="eastAsia"/>
          <w:highlight w:val="none"/>
        </w:rPr>
        <w:t>，从业人员</w:t>
      </w:r>
      <w:r>
        <w:rPr>
          <w:rFonts w:hint="eastAsia"/>
          <w:highlight w:val="none"/>
          <w:u w:val="single"/>
        </w:rPr>
        <w:t xml:space="preserve">      </w:t>
      </w:r>
      <w:r>
        <w:rPr>
          <w:rFonts w:hint="eastAsia"/>
          <w:highlight w:val="none"/>
        </w:rPr>
        <w:t>人，营业收入为</w:t>
      </w:r>
      <w:r>
        <w:rPr>
          <w:rFonts w:hint="eastAsia"/>
          <w:highlight w:val="none"/>
          <w:u w:val="single"/>
        </w:rPr>
        <w:t xml:space="preserve">      </w:t>
      </w:r>
      <w:r>
        <w:rPr>
          <w:rFonts w:hint="eastAsia"/>
          <w:highlight w:val="none"/>
        </w:rPr>
        <w:t>万元，资产总额为</w:t>
      </w:r>
      <w:r>
        <w:rPr>
          <w:rFonts w:hint="eastAsia"/>
          <w:highlight w:val="none"/>
          <w:u w:val="single"/>
        </w:rPr>
        <w:t xml:space="preserve">    </w:t>
      </w:r>
      <w:r>
        <w:rPr>
          <w:rFonts w:hint="eastAsia"/>
          <w:highlight w:val="none"/>
        </w:rPr>
        <w:t>万元</w:t>
      </w:r>
      <w:r>
        <w:rPr>
          <w:highlight w:val="none"/>
          <w:vertAlign w:val="superscript"/>
        </w:rPr>
        <w:t>1</w:t>
      </w:r>
      <w:r>
        <w:rPr>
          <w:rFonts w:hint="eastAsia"/>
          <w:highlight w:val="none"/>
        </w:rPr>
        <w:t>，属于</w:t>
      </w:r>
      <w:r>
        <w:rPr>
          <w:rFonts w:hint="eastAsia"/>
          <w:i/>
          <w:highlight w:val="none"/>
          <w:u w:val="single"/>
        </w:rPr>
        <w:t>（中型企业、小型企业、微型企业）</w:t>
      </w:r>
      <w:r>
        <w:rPr>
          <w:rFonts w:hint="eastAsia"/>
          <w:highlight w:val="none"/>
        </w:rPr>
        <w:t>；</w:t>
      </w:r>
    </w:p>
    <w:p>
      <w:pPr>
        <w:spacing w:line="480" w:lineRule="auto"/>
        <w:ind w:firstLine="420" w:firstLineChars="200"/>
        <w:rPr>
          <w:highlight w:val="none"/>
        </w:rPr>
      </w:pPr>
      <w:r>
        <w:rPr>
          <w:rFonts w:hint="eastAsia"/>
          <w:highlight w:val="none"/>
        </w:rPr>
        <w:t>……</w:t>
      </w:r>
    </w:p>
    <w:p>
      <w:pPr>
        <w:spacing w:line="480" w:lineRule="auto"/>
        <w:ind w:firstLine="420" w:firstLineChars="200"/>
        <w:rPr>
          <w:highlight w:val="none"/>
        </w:rPr>
      </w:pPr>
      <w:r>
        <w:rPr>
          <w:rFonts w:hint="eastAsia"/>
          <w:highlight w:val="none"/>
        </w:rPr>
        <w:t>以上企业，不属于大企业的分支机构，不存在控股股东为大企业的情形，也不存在与大企业的负责人为同一人的情形。</w:t>
      </w:r>
    </w:p>
    <w:p>
      <w:pPr>
        <w:spacing w:line="480" w:lineRule="auto"/>
        <w:ind w:firstLine="420" w:firstLineChars="200"/>
        <w:rPr>
          <w:highlight w:val="none"/>
        </w:rPr>
      </w:pPr>
      <w:r>
        <w:rPr>
          <w:rFonts w:hint="eastAsia"/>
          <w:highlight w:val="none"/>
        </w:rPr>
        <w:t>本企业对上述声明内容的真实性负责。如有虚假，将依法承担相应责任。</w:t>
      </w:r>
    </w:p>
    <w:p>
      <w:pPr>
        <w:spacing w:line="480" w:lineRule="auto"/>
        <w:ind w:firstLine="640"/>
        <w:rPr>
          <w:highlight w:val="none"/>
        </w:rPr>
      </w:pPr>
      <w:r>
        <w:rPr>
          <w:rFonts w:hint="eastAsia"/>
          <w:highlight w:val="none"/>
        </w:rPr>
        <w:t xml:space="preserve">                       </w:t>
      </w:r>
    </w:p>
    <w:p>
      <w:pPr>
        <w:spacing w:line="480" w:lineRule="auto"/>
        <w:ind w:right="420" w:firstLine="3150" w:firstLineChars="1500"/>
        <w:rPr>
          <w:highlight w:val="none"/>
        </w:rPr>
      </w:pPr>
      <w:r>
        <w:rPr>
          <w:rFonts w:hint="eastAsia"/>
          <w:highlight w:val="none"/>
        </w:rPr>
        <w:t>企业名称（盖章）：</w:t>
      </w:r>
    </w:p>
    <w:p>
      <w:pPr>
        <w:spacing w:line="480" w:lineRule="auto"/>
        <w:ind w:firstLine="640"/>
        <w:rPr>
          <w:highlight w:val="none"/>
        </w:rPr>
      </w:pPr>
      <w:r>
        <w:rPr>
          <w:rFonts w:hint="eastAsia"/>
          <w:highlight w:val="none"/>
        </w:rPr>
        <w:t xml:space="preserve">                        日期：</w:t>
      </w:r>
    </w:p>
    <w:p>
      <w:pPr>
        <w:spacing w:line="480" w:lineRule="auto"/>
        <w:ind w:firstLine="640"/>
        <w:rPr>
          <w:sz w:val="32"/>
          <w:szCs w:val="32"/>
          <w:highlight w:val="none"/>
          <w:u w:val="single"/>
        </w:rPr>
      </w:pPr>
      <w:r>
        <w:rPr>
          <w:rFonts w:hint="eastAsia"/>
          <w:sz w:val="32"/>
          <w:szCs w:val="32"/>
          <w:highlight w:val="none"/>
          <w:u w:val="single"/>
        </w:rPr>
        <w:t xml:space="preserve">                  </w:t>
      </w:r>
    </w:p>
    <w:p>
      <w:pPr>
        <w:spacing w:line="480" w:lineRule="auto"/>
        <w:ind w:firstLine="320"/>
        <w:rPr>
          <w:rFonts w:cs="宋体"/>
          <w:kern w:val="0"/>
          <w:sz w:val="18"/>
          <w:szCs w:val="18"/>
          <w:highlight w:val="none"/>
        </w:rPr>
      </w:pPr>
      <w:r>
        <w:rPr>
          <w:rFonts w:cs="TimesNewRomanPSMT"/>
          <w:kern w:val="0"/>
          <w:sz w:val="16"/>
          <w:szCs w:val="12"/>
          <w:highlight w:val="none"/>
          <w:vertAlign w:val="superscript"/>
        </w:rPr>
        <w:t>1</w:t>
      </w:r>
      <w:r>
        <w:rPr>
          <w:rFonts w:hint="eastAsia" w:cs="宋体"/>
          <w:kern w:val="0"/>
          <w:sz w:val="18"/>
          <w:szCs w:val="18"/>
          <w:highlight w:val="none"/>
        </w:rPr>
        <w:t>从业人员、营业收入、资产总额填报上一年度数据，无上一年度数据的新成立企业可不填报。</w:t>
      </w:r>
    </w:p>
    <w:p>
      <w:pPr>
        <w:pStyle w:val="9"/>
        <w:spacing w:line="480" w:lineRule="exact"/>
        <w:ind w:firstLine="0"/>
        <w:rPr>
          <w:rFonts w:ascii="宋体" w:hAnsi="宋体" w:eastAsia="宋体" w:cs="宋体"/>
          <w:sz w:val="21"/>
          <w:szCs w:val="21"/>
          <w:highlight w:val="none"/>
        </w:rPr>
        <w:sectPr>
          <w:pgSz w:w="11906" w:h="16838"/>
          <w:pgMar w:top="1440" w:right="1800" w:bottom="1440" w:left="1800" w:header="851" w:footer="992" w:gutter="0"/>
          <w:cols w:space="425" w:num="1"/>
          <w:docGrid w:type="lines" w:linePitch="312" w:charSpace="0"/>
        </w:sectPr>
      </w:pPr>
    </w:p>
    <w:tbl>
      <w:tblPr>
        <w:tblStyle w:val="46"/>
        <w:tblpPr w:leftFromText="180" w:rightFromText="180" w:vertAnchor="page" w:horzAnchor="margin" w:tblpXSpec="center" w:tblpY="886"/>
        <w:tblW w:w="15485" w:type="dxa"/>
        <w:tblInd w:w="0" w:type="dxa"/>
        <w:tblLayout w:type="fixed"/>
        <w:tblCellMar>
          <w:top w:w="0" w:type="dxa"/>
          <w:left w:w="108" w:type="dxa"/>
          <w:bottom w:w="0" w:type="dxa"/>
          <w:right w:w="108" w:type="dxa"/>
        </w:tblCellMar>
      </w:tblPr>
      <w:tblGrid>
        <w:gridCol w:w="2322"/>
        <w:gridCol w:w="1524"/>
        <w:gridCol w:w="1793"/>
        <w:gridCol w:w="1688"/>
        <w:gridCol w:w="1261"/>
        <w:gridCol w:w="1585"/>
        <w:gridCol w:w="1466"/>
        <w:gridCol w:w="1307"/>
        <w:gridCol w:w="1296"/>
        <w:gridCol w:w="1243"/>
      </w:tblGrid>
      <w:tr>
        <w:tblPrEx>
          <w:tblCellMar>
            <w:top w:w="0" w:type="dxa"/>
            <w:left w:w="108" w:type="dxa"/>
            <w:bottom w:w="0" w:type="dxa"/>
            <w:right w:w="108" w:type="dxa"/>
          </w:tblCellMar>
        </w:tblPrEx>
        <w:trPr>
          <w:trHeight w:val="306" w:hRule="atLeast"/>
        </w:trPr>
        <w:tc>
          <w:tcPr>
            <w:tcW w:w="15485" w:type="dxa"/>
            <w:gridSpan w:val="10"/>
            <w:tcBorders>
              <w:top w:val="nil"/>
              <w:left w:val="nil"/>
              <w:bottom w:val="nil"/>
              <w:right w:val="nil"/>
            </w:tcBorders>
            <w:vAlign w:val="bottom"/>
          </w:tcPr>
          <w:p>
            <w:pPr>
              <w:widowControl/>
              <w:jc w:val="center"/>
              <w:rPr>
                <w:rFonts w:cs="宋体"/>
                <w:b/>
                <w:bCs/>
                <w:sz w:val="32"/>
                <w:szCs w:val="32"/>
                <w:highlight w:val="none"/>
              </w:rPr>
            </w:pPr>
            <w:r>
              <w:rPr>
                <w:rFonts w:hint="eastAsia" w:cs="宋体"/>
                <w:b/>
                <w:bCs/>
                <w:sz w:val="24"/>
                <w:highlight w:val="none"/>
              </w:rPr>
              <w:t>中小微行业划型标准规定（根据工信部联企业〔2011〕300号制定）</w:t>
            </w:r>
          </w:p>
        </w:tc>
      </w:tr>
      <w:tr>
        <w:tblPrEx>
          <w:tblCellMar>
            <w:top w:w="0" w:type="dxa"/>
            <w:left w:w="108" w:type="dxa"/>
            <w:bottom w:w="0" w:type="dxa"/>
            <w:right w:w="108" w:type="dxa"/>
          </w:tblCellMar>
        </w:tblPrEx>
        <w:trPr>
          <w:trHeight w:val="339" w:hRule="atLeast"/>
        </w:trPr>
        <w:tc>
          <w:tcPr>
            <w:tcW w:w="2322" w:type="dxa"/>
            <w:vMerge w:val="restart"/>
            <w:tcBorders>
              <w:top w:val="single" w:color="auto" w:sz="8" w:space="0"/>
              <w:left w:val="single" w:color="auto" w:sz="8" w:space="0"/>
              <w:bottom w:val="single" w:color="000000" w:sz="4" w:space="0"/>
              <w:right w:val="single" w:color="auto" w:sz="8" w:space="0"/>
            </w:tcBorders>
            <w:vAlign w:val="center"/>
          </w:tcPr>
          <w:p>
            <w:pPr>
              <w:widowControl/>
              <w:jc w:val="center"/>
              <w:rPr>
                <w:rFonts w:cs="宋体"/>
                <w:b/>
                <w:bCs/>
                <w:sz w:val="24"/>
                <w:highlight w:val="none"/>
              </w:rPr>
            </w:pPr>
            <w:r>
              <w:rPr>
                <w:rFonts w:hint="eastAsia" w:cs="宋体"/>
                <w:b/>
                <w:bCs/>
                <w:sz w:val="24"/>
                <w:highlight w:val="none"/>
              </w:rPr>
              <w:t>行业</w:t>
            </w:r>
          </w:p>
        </w:tc>
        <w:tc>
          <w:tcPr>
            <w:tcW w:w="5005" w:type="dxa"/>
            <w:gridSpan w:val="3"/>
            <w:tcBorders>
              <w:top w:val="single" w:color="auto" w:sz="8" w:space="0"/>
              <w:left w:val="nil"/>
              <w:bottom w:val="single" w:color="auto" w:sz="4" w:space="0"/>
              <w:right w:val="single" w:color="000000" w:sz="8" w:space="0"/>
            </w:tcBorders>
            <w:vAlign w:val="bottom"/>
          </w:tcPr>
          <w:p>
            <w:pPr>
              <w:widowControl/>
              <w:jc w:val="center"/>
              <w:rPr>
                <w:rFonts w:cs="宋体"/>
                <w:b/>
                <w:bCs/>
                <w:sz w:val="24"/>
                <w:highlight w:val="none"/>
              </w:rPr>
            </w:pPr>
            <w:r>
              <w:rPr>
                <w:rFonts w:hint="eastAsia" w:cs="宋体"/>
                <w:b/>
                <w:bCs/>
                <w:sz w:val="24"/>
                <w:highlight w:val="none"/>
              </w:rPr>
              <w:t>中型企业</w:t>
            </w:r>
          </w:p>
        </w:tc>
        <w:tc>
          <w:tcPr>
            <w:tcW w:w="4312" w:type="dxa"/>
            <w:gridSpan w:val="3"/>
            <w:tcBorders>
              <w:top w:val="single" w:color="auto" w:sz="8" w:space="0"/>
              <w:left w:val="nil"/>
              <w:bottom w:val="single" w:color="auto" w:sz="4" w:space="0"/>
              <w:right w:val="single" w:color="000000" w:sz="8" w:space="0"/>
            </w:tcBorders>
            <w:vAlign w:val="bottom"/>
          </w:tcPr>
          <w:p>
            <w:pPr>
              <w:widowControl/>
              <w:jc w:val="center"/>
              <w:rPr>
                <w:rFonts w:cs="宋体"/>
                <w:b/>
                <w:bCs/>
                <w:sz w:val="24"/>
                <w:highlight w:val="none"/>
              </w:rPr>
            </w:pPr>
            <w:r>
              <w:rPr>
                <w:rFonts w:hint="eastAsia" w:cs="宋体"/>
                <w:b/>
                <w:bCs/>
                <w:sz w:val="24"/>
                <w:highlight w:val="none"/>
              </w:rPr>
              <w:t>小型企业</w:t>
            </w:r>
          </w:p>
        </w:tc>
        <w:tc>
          <w:tcPr>
            <w:tcW w:w="3846" w:type="dxa"/>
            <w:gridSpan w:val="3"/>
            <w:tcBorders>
              <w:top w:val="single" w:color="auto" w:sz="8" w:space="0"/>
              <w:left w:val="nil"/>
              <w:bottom w:val="single" w:color="auto" w:sz="4" w:space="0"/>
              <w:right w:val="single" w:color="000000" w:sz="8" w:space="0"/>
            </w:tcBorders>
            <w:vAlign w:val="bottom"/>
          </w:tcPr>
          <w:p>
            <w:pPr>
              <w:widowControl/>
              <w:jc w:val="center"/>
              <w:rPr>
                <w:rFonts w:cs="宋体"/>
                <w:b/>
                <w:bCs/>
                <w:sz w:val="24"/>
                <w:highlight w:val="none"/>
              </w:rPr>
            </w:pPr>
            <w:r>
              <w:rPr>
                <w:rFonts w:hint="eastAsia" w:cs="宋体"/>
                <w:b/>
                <w:bCs/>
                <w:sz w:val="24"/>
                <w:highlight w:val="none"/>
              </w:rPr>
              <w:t>微型企业</w:t>
            </w:r>
          </w:p>
        </w:tc>
      </w:tr>
      <w:tr>
        <w:tblPrEx>
          <w:tblCellMar>
            <w:top w:w="0" w:type="dxa"/>
            <w:left w:w="108" w:type="dxa"/>
            <w:bottom w:w="0" w:type="dxa"/>
            <w:right w:w="108" w:type="dxa"/>
          </w:tblCellMar>
        </w:tblPrEx>
        <w:trPr>
          <w:trHeight w:val="382" w:hRule="atLeast"/>
        </w:trPr>
        <w:tc>
          <w:tcPr>
            <w:tcW w:w="2322" w:type="dxa"/>
            <w:vMerge w:val="continue"/>
            <w:tcBorders>
              <w:top w:val="single" w:color="auto" w:sz="8" w:space="0"/>
              <w:left w:val="single" w:color="auto" w:sz="8" w:space="0"/>
              <w:bottom w:val="single" w:color="000000" w:sz="4" w:space="0"/>
              <w:right w:val="single" w:color="auto" w:sz="8" w:space="0"/>
            </w:tcBorders>
            <w:vAlign w:val="center"/>
          </w:tcPr>
          <w:p>
            <w:pPr>
              <w:widowControl/>
              <w:jc w:val="left"/>
              <w:rPr>
                <w:rFonts w:cs="宋体"/>
                <w:b/>
                <w:bCs/>
                <w:sz w:val="24"/>
                <w:highlight w:val="none"/>
              </w:rPr>
            </w:pPr>
          </w:p>
        </w:tc>
        <w:tc>
          <w:tcPr>
            <w:tcW w:w="1524" w:type="dxa"/>
            <w:tcBorders>
              <w:top w:val="nil"/>
              <w:left w:val="nil"/>
              <w:bottom w:val="single" w:color="auto" w:sz="4" w:space="0"/>
              <w:right w:val="single" w:color="auto" w:sz="4" w:space="0"/>
            </w:tcBorders>
            <w:vAlign w:val="bottom"/>
          </w:tcPr>
          <w:p>
            <w:pPr>
              <w:widowControl/>
              <w:jc w:val="center"/>
              <w:rPr>
                <w:rFonts w:cs="宋体"/>
                <w:sz w:val="20"/>
                <w:highlight w:val="none"/>
              </w:rPr>
            </w:pPr>
            <w:r>
              <w:rPr>
                <w:rFonts w:hint="eastAsia" w:cs="宋体"/>
                <w:sz w:val="20"/>
                <w:highlight w:val="none"/>
              </w:rPr>
              <w:t>从业人员X（人）</w:t>
            </w:r>
          </w:p>
        </w:tc>
        <w:tc>
          <w:tcPr>
            <w:tcW w:w="1793" w:type="dxa"/>
            <w:tcBorders>
              <w:top w:val="nil"/>
              <w:left w:val="nil"/>
              <w:bottom w:val="single" w:color="auto" w:sz="4" w:space="0"/>
              <w:right w:val="single" w:color="auto" w:sz="4" w:space="0"/>
            </w:tcBorders>
            <w:vAlign w:val="bottom"/>
          </w:tcPr>
          <w:p>
            <w:pPr>
              <w:widowControl/>
              <w:jc w:val="center"/>
              <w:rPr>
                <w:rFonts w:cs="宋体"/>
                <w:sz w:val="20"/>
                <w:highlight w:val="none"/>
              </w:rPr>
            </w:pPr>
            <w:r>
              <w:rPr>
                <w:rFonts w:hint="eastAsia" w:cs="宋体"/>
                <w:sz w:val="20"/>
                <w:highlight w:val="none"/>
              </w:rPr>
              <w:t>营业收入Y</w:t>
            </w:r>
          </w:p>
          <w:p>
            <w:pPr>
              <w:widowControl/>
              <w:jc w:val="center"/>
              <w:rPr>
                <w:rFonts w:cs="宋体"/>
                <w:sz w:val="20"/>
                <w:highlight w:val="none"/>
              </w:rPr>
            </w:pPr>
            <w:r>
              <w:rPr>
                <w:rFonts w:hint="eastAsia" w:cs="宋体"/>
                <w:sz w:val="20"/>
                <w:highlight w:val="none"/>
              </w:rPr>
              <w:t>（万元）</w:t>
            </w:r>
          </w:p>
        </w:tc>
        <w:tc>
          <w:tcPr>
            <w:tcW w:w="1688" w:type="dxa"/>
            <w:tcBorders>
              <w:top w:val="nil"/>
              <w:left w:val="nil"/>
              <w:bottom w:val="single" w:color="auto" w:sz="4" w:space="0"/>
              <w:right w:val="single" w:color="auto" w:sz="8" w:space="0"/>
            </w:tcBorders>
            <w:vAlign w:val="bottom"/>
          </w:tcPr>
          <w:p>
            <w:pPr>
              <w:widowControl/>
              <w:jc w:val="center"/>
              <w:rPr>
                <w:rFonts w:cs="宋体"/>
                <w:sz w:val="20"/>
                <w:highlight w:val="none"/>
              </w:rPr>
            </w:pPr>
            <w:r>
              <w:rPr>
                <w:rFonts w:hint="eastAsia" w:cs="宋体"/>
                <w:sz w:val="20"/>
                <w:highlight w:val="none"/>
              </w:rPr>
              <w:t>资产总额Z</w:t>
            </w:r>
          </w:p>
          <w:p>
            <w:pPr>
              <w:widowControl/>
              <w:jc w:val="center"/>
              <w:rPr>
                <w:rFonts w:cs="宋体"/>
                <w:sz w:val="20"/>
                <w:highlight w:val="none"/>
              </w:rPr>
            </w:pPr>
            <w:r>
              <w:rPr>
                <w:rFonts w:hint="eastAsia" w:cs="宋体"/>
                <w:sz w:val="20"/>
                <w:highlight w:val="none"/>
              </w:rPr>
              <w:t>（万元）</w:t>
            </w:r>
          </w:p>
        </w:tc>
        <w:tc>
          <w:tcPr>
            <w:tcW w:w="1261" w:type="dxa"/>
            <w:tcBorders>
              <w:top w:val="nil"/>
              <w:left w:val="nil"/>
              <w:bottom w:val="single" w:color="auto" w:sz="4" w:space="0"/>
              <w:right w:val="single" w:color="auto" w:sz="4" w:space="0"/>
            </w:tcBorders>
            <w:vAlign w:val="bottom"/>
          </w:tcPr>
          <w:p>
            <w:pPr>
              <w:widowControl/>
              <w:jc w:val="center"/>
              <w:rPr>
                <w:rFonts w:cs="宋体"/>
                <w:sz w:val="20"/>
                <w:highlight w:val="none"/>
              </w:rPr>
            </w:pPr>
            <w:r>
              <w:rPr>
                <w:rFonts w:hint="eastAsia" w:cs="宋体"/>
                <w:sz w:val="20"/>
                <w:highlight w:val="none"/>
              </w:rPr>
              <w:t>从业人员X（人）</w:t>
            </w:r>
          </w:p>
        </w:tc>
        <w:tc>
          <w:tcPr>
            <w:tcW w:w="1585" w:type="dxa"/>
            <w:tcBorders>
              <w:top w:val="nil"/>
              <w:left w:val="nil"/>
              <w:bottom w:val="single" w:color="auto" w:sz="4" w:space="0"/>
              <w:right w:val="single" w:color="auto" w:sz="4" w:space="0"/>
            </w:tcBorders>
            <w:vAlign w:val="bottom"/>
          </w:tcPr>
          <w:p>
            <w:pPr>
              <w:widowControl/>
              <w:jc w:val="center"/>
              <w:rPr>
                <w:rFonts w:cs="宋体"/>
                <w:sz w:val="20"/>
                <w:highlight w:val="none"/>
              </w:rPr>
            </w:pPr>
            <w:r>
              <w:rPr>
                <w:rFonts w:hint="eastAsia" w:cs="宋体"/>
                <w:sz w:val="20"/>
                <w:highlight w:val="none"/>
              </w:rPr>
              <w:t>营业收入Y</w:t>
            </w:r>
          </w:p>
          <w:p>
            <w:pPr>
              <w:widowControl/>
              <w:jc w:val="center"/>
              <w:rPr>
                <w:rFonts w:cs="宋体"/>
                <w:sz w:val="20"/>
                <w:highlight w:val="none"/>
              </w:rPr>
            </w:pPr>
            <w:r>
              <w:rPr>
                <w:rFonts w:hint="eastAsia" w:cs="宋体"/>
                <w:sz w:val="20"/>
                <w:highlight w:val="none"/>
              </w:rPr>
              <w:t>（万元）</w:t>
            </w:r>
          </w:p>
        </w:tc>
        <w:tc>
          <w:tcPr>
            <w:tcW w:w="1466" w:type="dxa"/>
            <w:tcBorders>
              <w:top w:val="nil"/>
              <w:left w:val="nil"/>
              <w:bottom w:val="single" w:color="auto" w:sz="4" w:space="0"/>
              <w:right w:val="single" w:color="auto" w:sz="8" w:space="0"/>
            </w:tcBorders>
            <w:vAlign w:val="bottom"/>
          </w:tcPr>
          <w:p>
            <w:pPr>
              <w:widowControl/>
              <w:jc w:val="center"/>
              <w:rPr>
                <w:rFonts w:cs="宋体"/>
                <w:sz w:val="20"/>
                <w:highlight w:val="none"/>
              </w:rPr>
            </w:pPr>
            <w:r>
              <w:rPr>
                <w:rFonts w:hint="eastAsia" w:cs="宋体"/>
                <w:sz w:val="20"/>
                <w:highlight w:val="none"/>
              </w:rPr>
              <w:t>资产总额Z</w:t>
            </w:r>
          </w:p>
          <w:p>
            <w:pPr>
              <w:widowControl/>
              <w:jc w:val="center"/>
              <w:rPr>
                <w:rFonts w:cs="宋体"/>
                <w:sz w:val="20"/>
                <w:highlight w:val="none"/>
              </w:rPr>
            </w:pPr>
            <w:r>
              <w:rPr>
                <w:rFonts w:hint="eastAsia" w:cs="宋体"/>
                <w:sz w:val="20"/>
                <w:highlight w:val="none"/>
              </w:rPr>
              <w:t>（万元）</w:t>
            </w:r>
          </w:p>
        </w:tc>
        <w:tc>
          <w:tcPr>
            <w:tcW w:w="1307" w:type="dxa"/>
            <w:tcBorders>
              <w:top w:val="nil"/>
              <w:left w:val="nil"/>
              <w:bottom w:val="single" w:color="auto" w:sz="4" w:space="0"/>
              <w:right w:val="single" w:color="auto" w:sz="4" w:space="0"/>
            </w:tcBorders>
            <w:vAlign w:val="bottom"/>
          </w:tcPr>
          <w:p>
            <w:pPr>
              <w:widowControl/>
              <w:jc w:val="center"/>
              <w:rPr>
                <w:rFonts w:cs="宋体"/>
                <w:sz w:val="20"/>
                <w:highlight w:val="none"/>
              </w:rPr>
            </w:pPr>
            <w:r>
              <w:rPr>
                <w:rFonts w:hint="eastAsia" w:cs="宋体"/>
                <w:sz w:val="20"/>
                <w:highlight w:val="none"/>
              </w:rPr>
              <w:t>从业人员X（人）</w:t>
            </w:r>
          </w:p>
        </w:tc>
        <w:tc>
          <w:tcPr>
            <w:tcW w:w="1296" w:type="dxa"/>
            <w:tcBorders>
              <w:top w:val="nil"/>
              <w:left w:val="nil"/>
              <w:bottom w:val="single" w:color="auto" w:sz="4" w:space="0"/>
              <w:right w:val="single" w:color="auto" w:sz="4" w:space="0"/>
            </w:tcBorders>
            <w:vAlign w:val="bottom"/>
          </w:tcPr>
          <w:p>
            <w:pPr>
              <w:widowControl/>
              <w:jc w:val="center"/>
              <w:rPr>
                <w:rFonts w:cs="宋体"/>
                <w:sz w:val="20"/>
                <w:highlight w:val="none"/>
              </w:rPr>
            </w:pPr>
            <w:r>
              <w:rPr>
                <w:rFonts w:hint="eastAsia" w:cs="宋体"/>
                <w:sz w:val="20"/>
                <w:highlight w:val="none"/>
              </w:rPr>
              <w:t>营业收入Y（万元）</w:t>
            </w:r>
          </w:p>
        </w:tc>
        <w:tc>
          <w:tcPr>
            <w:tcW w:w="1243" w:type="dxa"/>
            <w:tcBorders>
              <w:top w:val="nil"/>
              <w:left w:val="nil"/>
              <w:bottom w:val="single" w:color="auto" w:sz="4" w:space="0"/>
              <w:right w:val="single" w:color="auto" w:sz="8" w:space="0"/>
            </w:tcBorders>
            <w:vAlign w:val="bottom"/>
          </w:tcPr>
          <w:p>
            <w:pPr>
              <w:widowControl/>
              <w:jc w:val="center"/>
              <w:rPr>
                <w:rFonts w:cs="宋体"/>
                <w:sz w:val="20"/>
                <w:highlight w:val="none"/>
              </w:rPr>
            </w:pPr>
            <w:r>
              <w:rPr>
                <w:rFonts w:hint="eastAsia" w:cs="宋体"/>
                <w:sz w:val="20"/>
                <w:highlight w:val="none"/>
              </w:rPr>
              <w:t>资产总额Z（万元）</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xml:space="preserve"> 1、农林牧渔业</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xml:space="preserve"> 500≤Y＜20000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xml:space="preserve"> 50≤Y＜500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Y＜50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xml:space="preserve"> 2、工业</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300≤X＜1000</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2000≤Y＜40000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20≤X＜300</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300≤Y＜2000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X＜20</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Y＜300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xml:space="preserve"> 3、建筑业</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6000≤Y＜80000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5000≤Z＜80000</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300≤Y＜6000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300≤Z＜5000</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Y＜300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Z＜300</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xml:space="preserve"> 4、批发业</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xml:space="preserve"> 20≤X＜200</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5000≤Y＜40000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xml:space="preserve"> 5≤X＜20</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1000≤Y＜5000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X＜5</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Y＜1000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xml:space="preserve"> 5、零售业</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xml:space="preserve"> 50≤X＜300</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xml:space="preserve"> 500≤Y＜20000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10≤X＜50</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100≤Y＜500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X＜10</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Y＜100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xml:space="preserve"> 6、交通运输业</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300≤X＜1000</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3000≤Y＜30000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20≤X＜300</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200≤Y＜3000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X＜20</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V＜200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xml:space="preserve"> 7、仓储业</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100≤X＜200</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1000≤Y＜30000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20≤X＜100</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100≤Y＜1000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X＜20</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Y＜100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xml:space="preserve"> 8、邮政业</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300≤X＜1000</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2000≤Y＜30000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20≤X＜300</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100≤Y＜2000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X＜20</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Y＜100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xml:space="preserve"> 9、住宿业</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100≤X＜300</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2000≤Y＜10000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10≤X＜100</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100≤Y＜2000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X＜10</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Y＜100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10、餐饮业</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100≤X＜300</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2000≤Y＜10000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10≤X＜100</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100≤Y＜2000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X＜10</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V＜100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11、信息传输业</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100≤X＜2000</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1000≤Y＜100000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10≤X＜100</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100≤Y＜1000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X＜10</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Y＜100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12、软件和信息技术服务业</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100≤X＜300</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1000≤Y＜10000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10≤X＜100</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xml:space="preserve"> 50≤Y＜1000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X＜10</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Y＜50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13、房地产开发经营</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1000≤Y＜200000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5000≤Z＜10000</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100≤Y＜1000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2000≤Z＜5000</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　</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Y＜100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Z＜2000</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14、物业管理</w:t>
            </w:r>
          </w:p>
        </w:tc>
        <w:tc>
          <w:tcPr>
            <w:tcW w:w="1524"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300≤X＜1000</w:t>
            </w:r>
          </w:p>
        </w:tc>
        <w:tc>
          <w:tcPr>
            <w:tcW w:w="1793"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1000≤Y＜5000</w:t>
            </w:r>
          </w:p>
        </w:tc>
        <w:tc>
          <w:tcPr>
            <w:tcW w:w="1688"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261"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100≤X＜300</w:t>
            </w:r>
          </w:p>
        </w:tc>
        <w:tc>
          <w:tcPr>
            <w:tcW w:w="1585"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500≤Y＜1000</w:t>
            </w:r>
          </w:p>
        </w:tc>
        <w:tc>
          <w:tcPr>
            <w:tcW w:w="1466"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c>
          <w:tcPr>
            <w:tcW w:w="1307"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X＜100</w:t>
            </w:r>
          </w:p>
        </w:tc>
        <w:tc>
          <w:tcPr>
            <w:tcW w:w="1296" w:type="dxa"/>
            <w:tcBorders>
              <w:top w:val="nil"/>
              <w:left w:val="nil"/>
              <w:bottom w:val="single" w:color="auto" w:sz="4" w:space="0"/>
              <w:right w:val="single" w:color="auto" w:sz="4" w:space="0"/>
            </w:tcBorders>
            <w:vAlign w:val="bottom"/>
          </w:tcPr>
          <w:p>
            <w:pPr>
              <w:widowControl/>
              <w:jc w:val="left"/>
              <w:rPr>
                <w:rFonts w:cs="宋体"/>
                <w:sz w:val="20"/>
                <w:highlight w:val="none"/>
              </w:rPr>
            </w:pPr>
            <w:r>
              <w:rPr>
                <w:rFonts w:hint="eastAsia" w:cs="宋体"/>
                <w:sz w:val="20"/>
                <w:highlight w:val="none"/>
              </w:rPr>
              <w:t>Y＜500</w:t>
            </w:r>
          </w:p>
        </w:tc>
        <w:tc>
          <w:tcPr>
            <w:tcW w:w="1243" w:type="dxa"/>
            <w:tcBorders>
              <w:top w:val="nil"/>
              <w:left w:val="nil"/>
              <w:bottom w:val="single" w:color="auto" w:sz="4"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4" w:space="0"/>
              <w:right w:val="single" w:color="auto" w:sz="8" w:space="0"/>
            </w:tcBorders>
            <w:vAlign w:val="bottom"/>
          </w:tcPr>
          <w:p>
            <w:pPr>
              <w:widowControl/>
              <w:jc w:val="left"/>
              <w:rPr>
                <w:rFonts w:cs="宋体"/>
                <w:b/>
                <w:bCs/>
                <w:sz w:val="20"/>
                <w:highlight w:val="none"/>
              </w:rPr>
            </w:pPr>
            <w:r>
              <w:rPr>
                <w:rFonts w:hint="eastAsia" w:cs="宋体"/>
                <w:b/>
                <w:bCs/>
                <w:sz w:val="20"/>
                <w:highlight w:val="none"/>
              </w:rPr>
              <w:t>15、租赁和商务服务业</w:t>
            </w:r>
          </w:p>
        </w:tc>
        <w:tc>
          <w:tcPr>
            <w:tcW w:w="1524" w:type="dxa"/>
            <w:tcBorders>
              <w:top w:val="nil"/>
              <w:left w:val="nil"/>
              <w:bottom w:val="single" w:color="auto" w:sz="4" w:space="0"/>
              <w:right w:val="single" w:color="auto" w:sz="4" w:space="0"/>
            </w:tcBorders>
            <w:vAlign w:val="bottom"/>
          </w:tcPr>
          <w:p>
            <w:pPr>
              <w:widowControl/>
              <w:jc w:val="left"/>
              <w:rPr>
                <w:rFonts w:cs="宋体"/>
                <w:b/>
                <w:bCs/>
                <w:sz w:val="20"/>
                <w:highlight w:val="none"/>
              </w:rPr>
            </w:pPr>
            <w:r>
              <w:rPr>
                <w:rFonts w:hint="eastAsia" w:cs="宋体"/>
                <w:b/>
                <w:bCs/>
                <w:sz w:val="20"/>
                <w:highlight w:val="none"/>
              </w:rPr>
              <w:t>100≤X＜300</w:t>
            </w:r>
          </w:p>
        </w:tc>
        <w:tc>
          <w:tcPr>
            <w:tcW w:w="1793" w:type="dxa"/>
            <w:tcBorders>
              <w:top w:val="nil"/>
              <w:left w:val="nil"/>
              <w:bottom w:val="single" w:color="auto" w:sz="4" w:space="0"/>
              <w:right w:val="single" w:color="auto" w:sz="4" w:space="0"/>
            </w:tcBorders>
            <w:vAlign w:val="bottom"/>
          </w:tcPr>
          <w:p>
            <w:pPr>
              <w:widowControl/>
              <w:jc w:val="left"/>
              <w:rPr>
                <w:rFonts w:cs="宋体"/>
                <w:b/>
                <w:bCs/>
                <w:sz w:val="20"/>
                <w:highlight w:val="none"/>
              </w:rPr>
            </w:pPr>
            <w:r>
              <w:rPr>
                <w:rFonts w:hint="eastAsia" w:cs="宋体"/>
                <w:b/>
                <w:bCs/>
                <w:sz w:val="20"/>
                <w:highlight w:val="none"/>
              </w:rPr>
              <w:t>　</w:t>
            </w:r>
          </w:p>
        </w:tc>
        <w:tc>
          <w:tcPr>
            <w:tcW w:w="1688" w:type="dxa"/>
            <w:tcBorders>
              <w:top w:val="nil"/>
              <w:left w:val="nil"/>
              <w:bottom w:val="single" w:color="auto" w:sz="4" w:space="0"/>
              <w:right w:val="single" w:color="auto" w:sz="8" w:space="0"/>
            </w:tcBorders>
            <w:vAlign w:val="bottom"/>
          </w:tcPr>
          <w:p>
            <w:pPr>
              <w:widowControl/>
              <w:jc w:val="left"/>
              <w:rPr>
                <w:rFonts w:cs="宋体"/>
                <w:b/>
                <w:bCs/>
                <w:sz w:val="20"/>
                <w:highlight w:val="none"/>
              </w:rPr>
            </w:pPr>
            <w:r>
              <w:rPr>
                <w:rFonts w:hint="eastAsia" w:cs="宋体"/>
                <w:b/>
                <w:bCs/>
                <w:sz w:val="20"/>
                <w:highlight w:val="none"/>
              </w:rPr>
              <w:t>8000≤Z＜120000</w:t>
            </w:r>
          </w:p>
        </w:tc>
        <w:tc>
          <w:tcPr>
            <w:tcW w:w="1261" w:type="dxa"/>
            <w:tcBorders>
              <w:top w:val="nil"/>
              <w:left w:val="nil"/>
              <w:bottom w:val="single" w:color="auto" w:sz="4" w:space="0"/>
              <w:right w:val="single" w:color="auto" w:sz="4" w:space="0"/>
            </w:tcBorders>
            <w:vAlign w:val="bottom"/>
          </w:tcPr>
          <w:p>
            <w:pPr>
              <w:widowControl/>
              <w:jc w:val="left"/>
              <w:rPr>
                <w:rFonts w:cs="宋体"/>
                <w:b/>
                <w:bCs/>
                <w:sz w:val="20"/>
                <w:highlight w:val="none"/>
              </w:rPr>
            </w:pPr>
            <w:r>
              <w:rPr>
                <w:rFonts w:hint="eastAsia" w:cs="宋体"/>
                <w:b/>
                <w:bCs/>
                <w:sz w:val="20"/>
                <w:highlight w:val="none"/>
              </w:rPr>
              <w:t>10≤X＜100</w:t>
            </w:r>
          </w:p>
        </w:tc>
        <w:tc>
          <w:tcPr>
            <w:tcW w:w="1585" w:type="dxa"/>
            <w:tcBorders>
              <w:top w:val="nil"/>
              <w:left w:val="nil"/>
              <w:bottom w:val="single" w:color="auto" w:sz="4" w:space="0"/>
              <w:right w:val="single" w:color="auto" w:sz="4" w:space="0"/>
            </w:tcBorders>
            <w:vAlign w:val="bottom"/>
          </w:tcPr>
          <w:p>
            <w:pPr>
              <w:widowControl/>
              <w:jc w:val="left"/>
              <w:rPr>
                <w:rFonts w:cs="宋体"/>
                <w:b/>
                <w:bCs/>
                <w:sz w:val="20"/>
                <w:highlight w:val="none"/>
              </w:rPr>
            </w:pPr>
            <w:r>
              <w:rPr>
                <w:rFonts w:hint="eastAsia" w:cs="宋体"/>
                <w:b/>
                <w:bCs/>
                <w:sz w:val="20"/>
                <w:highlight w:val="none"/>
              </w:rPr>
              <w:t>　</w:t>
            </w:r>
          </w:p>
        </w:tc>
        <w:tc>
          <w:tcPr>
            <w:tcW w:w="1466" w:type="dxa"/>
            <w:tcBorders>
              <w:top w:val="nil"/>
              <w:left w:val="nil"/>
              <w:bottom w:val="single" w:color="auto" w:sz="4" w:space="0"/>
              <w:right w:val="single" w:color="auto" w:sz="8" w:space="0"/>
            </w:tcBorders>
            <w:vAlign w:val="bottom"/>
          </w:tcPr>
          <w:p>
            <w:pPr>
              <w:widowControl/>
              <w:jc w:val="left"/>
              <w:rPr>
                <w:rFonts w:cs="宋体"/>
                <w:b/>
                <w:bCs/>
                <w:sz w:val="20"/>
                <w:highlight w:val="none"/>
              </w:rPr>
            </w:pPr>
            <w:r>
              <w:rPr>
                <w:rFonts w:hint="eastAsia" w:cs="宋体"/>
                <w:b/>
                <w:bCs/>
                <w:sz w:val="20"/>
                <w:highlight w:val="none"/>
              </w:rPr>
              <w:t>100≤Z＜8000</w:t>
            </w:r>
          </w:p>
        </w:tc>
        <w:tc>
          <w:tcPr>
            <w:tcW w:w="1307" w:type="dxa"/>
            <w:tcBorders>
              <w:top w:val="nil"/>
              <w:left w:val="nil"/>
              <w:bottom w:val="single" w:color="auto" w:sz="4" w:space="0"/>
              <w:right w:val="single" w:color="auto" w:sz="4" w:space="0"/>
            </w:tcBorders>
            <w:vAlign w:val="bottom"/>
          </w:tcPr>
          <w:p>
            <w:pPr>
              <w:widowControl/>
              <w:jc w:val="left"/>
              <w:rPr>
                <w:rFonts w:cs="宋体"/>
                <w:b/>
                <w:bCs/>
                <w:sz w:val="20"/>
                <w:highlight w:val="none"/>
              </w:rPr>
            </w:pPr>
            <w:r>
              <w:rPr>
                <w:rFonts w:hint="eastAsia" w:cs="宋体"/>
                <w:b/>
                <w:bCs/>
                <w:sz w:val="20"/>
                <w:highlight w:val="none"/>
              </w:rPr>
              <w:t>X＜10</w:t>
            </w:r>
          </w:p>
        </w:tc>
        <w:tc>
          <w:tcPr>
            <w:tcW w:w="1296" w:type="dxa"/>
            <w:tcBorders>
              <w:top w:val="nil"/>
              <w:left w:val="nil"/>
              <w:bottom w:val="single" w:color="auto" w:sz="4" w:space="0"/>
              <w:right w:val="single" w:color="auto" w:sz="4" w:space="0"/>
            </w:tcBorders>
            <w:vAlign w:val="bottom"/>
          </w:tcPr>
          <w:p>
            <w:pPr>
              <w:widowControl/>
              <w:jc w:val="left"/>
              <w:rPr>
                <w:rFonts w:cs="宋体"/>
                <w:b/>
                <w:bCs/>
                <w:sz w:val="20"/>
                <w:highlight w:val="none"/>
              </w:rPr>
            </w:pPr>
            <w:r>
              <w:rPr>
                <w:rFonts w:hint="eastAsia" w:cs="宋体"/>
                <w:b/>
                <w:bCs/>
                <w:sz w:val="20"/>
                <w:highlight w:val="none"/>
              </w:rPr>
              <w:t>　</w:t>
            </w:r>
          </w:p>
        </w:tc>
        <w:tc>
          <w:tcPr>
            <w:tcW w:w="1243" w:type="dxa"/>
            <w:tcBorders>
              <w:top w:val="nil"/>
              <w:left w:val="nil"/>
              <w:bottom w:val="single" w:color="auto" w:sz="4" w:space="0"/>
              <w:right w:val="single" w:color="auto" w:sz="8" w:space="0"/>
            </w:tcBorders>
            <w:vAlign w:val="bottom"/>
          </w:tcPr>
          <w:p>
            <w:pPr>
              <w:widowControl/>
              <w:jc w:val="left"/>
              <w:rPr>
                <w:rFonts w:cs="宋体"/>
                <w:b/>
                <w:bCs/>
                <w:sz w:val="20"/>
                <w:highlight w:val="none"/>
              </w:rPr>
            </w:pPr>
            <w:r>
              <w:rPr>
                <w:rFonts w:hint="eastAsia" w:cs="宋体"/>
                <w:b/>
                <w:bCs/>
                <w:sz w:val="20"/>
                <w:highlight w:val="none"/>
              </w:rPr>
              <w:t>Z＜100</w:t>
            </w:r>
          </w:p>
        </w:tc>
      </w:tr>
      <w:tr>
        <w:tblPrEx>
          <w:tblCellMar>
            <w:top w:w="0" w:type="dxa"/>
            <w:left w:w="108" w:type="dxa"/>
            <w:bottom w:w="0" w:type="dxa"/>
            <w:right w:w="108" w:type="dxa"/>
          </w:tblCellMar>
        </w:tblPrEx>
        <w:trPr>
          <w:trHeight w:val="262" w:hRule="atLeast"/>
        </w:trPr>
        <w:tc>
          <w:tcPr>
            <w:tcW w:w="2322" w:type="dxa"/>
            <w:tcBorders>
              <w:top w:val="nil"/>
              <w:left w:val="single" w:color="auto" w:sz="8" w:space="0"/>
              <w:bottom w:val="single" w:color="auto" w:sz="8" w:space="0"/>
              <w:right w:val="single" w:color="auto" w:sz="8" w:space="0"/>
            </w:tcBorders>
            <w:vAlign w:val="bottom"/>
          </w:tcPr>
          <w:p>
            <w:pPr>
              <w:widowControl/>
              <w:jc w:val="left"/>
              <w:rPr>
                <w:rFonts w:cs="宋体"/>
                <w:bCs/>
                <w:sz w:val="20"/>
                <w:highlight w:val="none"/>
              </w:rPr>
            </w:pPr>
            <w:r>
              <w:rPr>
                <w:rFonts w:hint="eastAsia" w:cs="宋体"/>
                <w:bCs/>
                <w:sz w:val="20"/>
                <w:highlight w:val="none"/>
              </w:rPr>
              <w:t>16、其他未列明行业</w:t>
            </w:r>
          </w:p>
        </w:tc>
        <w:tc>
          <w:tcPr>
            <w:tcW w:w="1524" w:type="dxa"/>
            <w:tcBorders>
              <w:top w:val="nil"/>
              <w:left w:val="nil"/>
              <w:bottom w:val="single" w:color="auto" w:sz="8" w:space="0"/>
              <w:right w:val="single" w:color="auto" w:sz="4" w:space="0"/>
            </w:tcBorders>
            <w:vAlign w:val="bottom"/>
          </w:tcPr>
          <w:p>
            <w:pPr>
              <w:widowControl/>
              <w:jc w:val="left"/>
              <w:rPr>
                <w:rFonts w:cs="宋体"/>
                <w:bCs/>
                <w:sz w:val="20"/>
                <w:highlight w:val="none"/>
              </w:rPr>
            </w:pPr>
            <w:r>
              <w:rPr>
                <w:rFonts w:hint="eastAsia" w:cs="宋体"/>
                <w:bCs/>
                <w:sz w:val="20"/>
                <w:highlight w:val="none"/>
              </w:rPr>
              <w:t>100≤X＜300</w:t>
            </w:r>
          </w:p>
        </w:tc>
        <w:tc>
          <w:tcPr>
            <w:tcW w:w="1793" w:type="dxa"/>
            <w:tcBorders>
              <w:top w:val="nil"/>
              <w:left w:val="nil"/>
              <w:bottom w:val="single" w:color="auto" w:sz="8" w:space="0"/>
              <w:right w:val="single" w:color="auto" w:sz="4" w:space="0"/>
            </w:tcBorders>
            <w:vAlign w:val="bottom"/>
          </w:tcPr>
          <w:p>
            <w:pPr>
              <w:widowControl/>
              <w:jc w:val="left"/>
              <w:rPr>
                <w:rFonts w:cs="宋体"/>
                <w:bCs/>
                <w:sz w:val="20"/>
                <w:highlight w:val="none"/>
              </w:rPr>
            </w:pPr>
            <w:r>
              <w:rPr>
                <w:rFonts w:hint="eastAsia" w:cs="宋体"/>
                <w:bCs/>
                <w:sz w:val="20"/>
                <w:highlight w:val="none"/>
              </w:rPr>
              <w:t>　</w:t>
            </w:r>
          </w:p>
        </w:tc>
        <w:tc>
          <w:tcPr>
            <w:tcW w:w="1688" w:type="dxa"/>
            <w:tcBorders>
              <w:top w:val="nil"/>
              <w:left w:val="nil"/>
              <w:bottom w:val="single" w:color="auto" w:sz="8" w:space="0"/>
              <w:right w:val="single" w:color="auto" w:sz="8" w:space="0"/>
            </w:tcBorders>
            <w:vAlign w:val="bottom"/>
          </w:tcPr>
          <w:p>
            <w:pPr>
              <w:widowControl/>
              <w:jc w:val="left"/>
              <w:rPr>
                <w:rFonts w:cs="宋体"/>
                <w:bCs/>
                <w:sz w:val="20"/>
                <w:highlight w:val="none"/>
              </w:rPr>
            </w:pPr>
            <w:r>
              <w:rPr>
                <w:rFonts w:hint="eastAsia" w:cs="宋体"/>
                <w:bCs/>
                <w:sz w:val="20"/>
                <w:highlight w:val="none"/>
              </w:rPr>
              <w:t>　</w:t>
            </w:r>
          </w:p>
        </w:tc>
        <w:tc>
          <w:tcPr>
            <w:tcW w:w="1261" w:type="dxa"/>
            <w:tcBorders>
              <w:top w:val="nil"/>
              <w:left w:val="nil"/>
              <w:bottom w:val="single" w:color="auto" w:sz="8" w:space="0"/>
              <w:right w:val="single" w:color="auto" w:sz="4" w:space="0"/>
            </w:tcBorders>
            <w:vAlign w:val="bottom"/>
          </w:tcPr>
          <w:p>
            <w:pPr>
              <w:widowControl/>
              <w:jc w:val="left"/>
              <w:rPr>
                <w:rFonts w:cs="宋体"/>
                <w:bCs/>
                <w:sz w:val="20"/>
                <w:highlight w:val="none"/>
              </w:rPr>
            </w:pPr>
            <w:r>
              <w:rPr>
                <w:rFonts w:hint="eastAsia" w:cs="宋体"/>
                <w:bCs/>
                <w:sz w:val="20"/>
                <w:highlight w:val="none"/>
              </w:rPr>
              <w:t>10≤X＜100</w:t>
            </w:r>
          </w:p>
        </w:tc>
        <w:tc>
          <w:tcPr>
            <w:tcW w:w="1585" w:type="dxa"/>
            <w:tcBorders>
              <w:top w:val="nil"/>
              <w:left w:val="nil"/>
              <w:bottom w:val="single" w:color="auto" w:sz="8" w:space="0"/>
              <w:right w:val="single" w:color="auto" w:sz="4" w:space="0"/>
            </w:tcBorders>
            <w:vAlign w:val="bottom"/>
          </w:tcPr>
          <w:p>
            <w:pPr>
              <w:widowControl/>
              <w:jc w:val="left"/>
              <w:rPr>
                <w:rFonts w:cs="宋体"/>
                <w:bCs/>
                <w:sz w:val="20"/>
                <w:highlight w:val="none"/>
              </w:rPr>
            </w:pPr>
            <w:r>
              <w:rPr>
                <w:rFonts w:hint="eastAsia" w:cs="宋体"/>
                <w:bCs/>
                <w:sz w:val="20"/>
                <w:highlight w:val="none"/>
              </w:rPr>
              <w:t>　</w:t>
            </w:r>
          </w:p>
        </w:tc>
        <w:tc>
          <w:tcPr>
            <w:tcW w:w="1466" w:type="dxa"/>
            <w:tcBorders>
              <w:top w:val="nil"/>
              <w:left w:val="nil"/>
              <w:bottom w:val="single" w:color="auto" w:sz="8" w:space="0"/>
              <w:right w:val="single" w:color="auto" w:sz="8" w:space="0"/>
            </w:tcBorders>
            <w:vAlign w:val="bottom"/>
          </w:tcPr>
          <w:p>
            <w:pPr>
              <w:widowControl/>
              <w:jc w:val="left"/>
              <w:rPr>
                <w:rFonts w:cs="宋体"/>
                <w:bCs/>
                <w:sz w:val="20"/>
                <w:highlight w:val="none"/>
              </w:rPr>
            </w:pPr>
            <w:r>
              <w:rPr>
                <w:rFonts w:hint="eastAsia" w:cs="宋体"/>
                <w:bCs/>
                <w:sz w:val="20"/>
                <w:highlight w:val="none"/>
              </w:rPr>
              <w:t>　</w:t>
            </w:r>
          </w:p>
        </w:tc>
        <w:tc>
          <w:tcPr>
            <w:tcW w:w="1307" w:type="dxa"/>
            <w:tcBorders>
              <w:top w:val="nil"/>
              <w:left w:val="nil"/>
              <w:bottom w:val="single" w:color="auto" w:sz="8" w:space="0"/>
              <w:right w:val="single" w:color="auto" w:sz="4" w:space="0"/>
            </w:tcBorders>
            <w:vAlign w:val="bottom"/>
          </w:tcPr>
          <w:p>
            <w:pPr>
              <w:widowControl/>
              <w:jc w:val="left"/>
              <w:rPr>
                <w:rFonts w:cs="宋体"/>
                <w:bCs/>
                <w:sz w:val="20"/>
                <w:highlight w:val="none"/>
              </w:rPr>
            </w:pPr>
            <w:r>
              <w:rPr>
                <w:rFonts w:hint="eastAsia" w:cs="宋体"/>
                <w:bCs/>
                <w:sz w:val="20"/>
                <w:highlight w:val="none"/>
              </w:rPr>
              <w:t>X＜10</w:t>
            </w:r>
          </w:p>
        </w:tc>
        <w:tc>
          <w:tcPr>
            <w:tcW w:w="1296" w:type="dxa"/>
            <w:tcBorders>
              <w:top w:val="nil"/>
              <w:left w:val="nil"/>
              <w:bottom w:val="single" w:color="auto" w:sz="8" w:space="0"/>
              <w:right w:val="single" w:color="auto" w:sz="4" w:space="0"/>
            </w:tcBorders>
            <w:vAlign w:val="bottom"/>
          </w:tcPr>
          <w:p>
            <w:pPr>
              <w:widowControl/>
              <w:jc w:val="left"/>
              <w:rPr>
                <w:rFonts w:cs="宋体"/>
                <w:bCs/>
                <w:sz w:val="20"/>
                <w:highlight w:val="none"/>
              </w:rPr>
            </w:pPr>
            <w:r>
              <w:rPr>
                <w:rFonts w:hint="eastAsia" w:cs="宋体"/>
                <w:bCs/>
                <w:sz w:val="20"/>
                <w:highlight w:val="none"/>
              </w:rPr>
              <w:t>　</w:t>
            </w:r>
          </w:p>
        </w:tc>
        <w:tc>
          <w:tcPr>
            <w:tcW w:w="1243" w:type="dxa"/>
            <w:tcBorders>
              <w:top w:val="nil"/>
              <w:left w:val="nil"/>
              <w:bottom w:val="single" w:color="auto" w:sz="8" w:space="0"/>
              <w:right w:val="single" w:color="auto" w:sz="8" w:space="0"/>
            </w:tcBorders>
            <w:vAlign w:val="bottom"/>
          </w:tcPr>
          <w:p>
            <w:pPr>
              <w:widowControl/>
              <w:jc w:val="left"/>
              <w:rPr>
                <w:rFonts w:cs="宋体"/>
                <w:sz w:val="20"/>
                <w:highlight w:val="none"/>
              </w:rPr>
            </w:pPr>
            <w:r>
              <w:rPr>
                <w:rFonts w:hint="eastAsia" w:cs="宋体"/>
                <w:sz w:val="20"/>
                <w:highlight w:val="none"/>
              </w:rPr>
              <w:t>　</w:t>
            </w:r>
          </w:p>
        </w:tc>
      </w:tr>
      <w:tr>
        <w:tblPrEx>
          <w:tblCellMar>
            <w:top w:w="0" w:type="dxa"/>
            <w:left w:w="108" w:type="dxa"/>
            <w:bottom w:w="0" w:type="dxa"/>
            <w:right w:w="108" w:type="dxa"/>
          </w:tblCellMar>
        </w:tblPrEx>
        <w:trPr>
          <w:trHeight w:val="208" w:hRule="atLeast"/>
        </w:trPr>
        <w:tc>
          <w:tcPr>
            <w:tcW w:w="15485" w:type="dxa"/>
            <w:gridSpan w:val="10"/>
            <w:tcBorders>
              <w:top w:val="nil"/>
              <w:left w:val="nil"/>
              <w:bottom w:val="nil"/>
              <w:right w:val="nil"/>
            </w:tcBorders>
            <w:vAlign w:val="bottom"/>
          </w:tcPr>
          <w:p>
            <w:pPr>
              <w:widowControl/>
              <w:jc w:val="left"/>
              <w:rPr>
                <w:rFonts w:cs="宋体"/>
                <w:sz w:val="20"/>
                <w:highlight w:val="none"/>
              </w:rPr>
            </w:pPr>
            <w:r>
              <w:rPr>
                <w:rFonts w:hint="eastAsia" w:cs="宋体"/>
                <w:sz w:val="20"/>
                <w:highlight w:val="none"/>
              </w:rPr>
              <w:t>说明　1、企业类型的划分以统计部门的统计数据为依据。</w:t>
            </w:r>
          </w:p>
          <w:p>
            <w:pPr>
              <w:widowControl/>
              <w:ind w:firstLine="600" w:firstLineChars="300"/>
              <w:jc w:val="left"/>
              <w:rPr>
                <w:rFonts w:cs="宋体"/>
                <w:sz w:val="20"/>
                <w:highlight w:val="none"/>
              </w:rPr>
            </w:pPr>
            <w:r>
              <w:rPr>
                <w:rFonts w:hint="eastAsia" w:cs="宋体"/>
                <w:sz w:val="20"/>
                <w:highlight w:val="none"/>
              </w:rPr>
              <w:t>2、个体工商户和本规定以外的行业，参照本规定进行划型。</w:t>
            </w:r>
          </w:p>
          <w:p>
            <w:pPr>
              <w:widowControl/>
              <w:ind w:firstLine="600" w:firstLineChars="300"/>
              <w:jc w:val="left"/>
              <w:rPr>
                <w:rFonts w:cs="宋体"/>
                <w:sz w:val="20"/>
                <w:highlight w:val="none"/>
              </w:rPr>
            </w:pPr>
            <w:r>
              <w:rPr>
                <w:rFonts w:hint="eastAsia" w:cs="宋体"/>
                <w:sz w:val="20"/>
                <w:highlight w:val="none"/>
              </w:rPr>
              <w:t>3、本规定的中型企业标准上限即为大型企业标准的下限。</w:t>
            </w:r>
          </w:p>
        </w:tc>
      </w:tr>
    </w:tbl>
    <w:p>
      <w:pPr>
        <w:pStyle w:val="56"/>
        <w:rPr>
          <w:highlight w:val="none"/>
        </w:rPr>
        <w:sectPr>
          <w:pgSz w:w="16838" w:h="11906" w:orient="landscape"/>
          <w:pgMar w:top="1134" w:right="1134" w:bottom="1134" w:left="1134" w:header="851" w:footer="992" w:gutter="0"/>
          <w:cols w:space="425" w:num="1"/>
          <w:docGrid w:type="lines" w:linePitch="312" w:charSpace="0"/>
        </w:sectPr>
      </w:pPr>
    </w:p>
    <w:p>
      <w:pPr>
        <w:pStyle w:val="56"/>
        <w:rPr>
          <w:highlight w:val="none"/>
        </w:rPr>
      </w:pPr>
    </w:p>
    <w:p>
      <w:pPr>
        <w:pStyle w:val="3"/>
        <w:spacing w:before="0" w:after="0" w:line="240" w:lineRule="auto"/>
        <w:ind w:right="-567"/>
        <w:jc w:val="left"/>
        <w:rPr>
          <w:rFonts w:ascii="宋体" w:hAnsi="宋体" w:eastAsia="宋体" w:cs="宋体"/>
          <w:b w:val="0"/>
          <w:sz w:val="21"/>
          <w:szCs w:val="21"/>
          <w:highlight w:val="none"/>
        </w:rPr>
      </w:pPr>
      <w:r>
        <w:rPr>
          <w:rFonts w:hint="eastAsia" w:ascii="宋体" w:hAnsi="宋体" w:eastAsia="宋体" w:cs="宋体"/>
          <w:b w:val="0"/>
          <w:sz w:val="21"/>
          <w:szCs w:val="21"/>
          <w:highlight w:val="none"/>
        </w:rPr>
        <w:t>格式九 残疾人福利性单位声明函（选用）</w:t>
      </w:r>
    </w:p>
    <w:p>
      <w:pPr>
        <w:pStyle w:val="9"/>
        <w:spacing w:line="360" w:lineRule="auto"/>
        <w:ind w:firstLine="0"/>
        <w:rPr>
          <w:rFonts w:ascii="宋体" w:hAnsi="宋体" w:eastAsia="宋体" w:cs="宋体"/>
          <w:sz w:val="21"/>
          <w:szCs w:val="21"/>
          <w:highlight w:val="none"/>
        </w:rPr>
      </w:pPr>
    </w:p>
    <w:p>
      <w:pPr>
        <w:pStyle w:val="2"/>
        <w:spacing w:afterLines="50" w:line="360" w:lineRule="exact"/>
        <w:rPr>
          <w:rFonts w:hAnsi="宋体" w:cs="宋体"/>
          <w:sz w:val="21"/>
          <w:szCs w:val="21"/>
          <w:highlight w:val="none"/>
        </w:rPr>
      </w:pPr>
      <w:r>
        <w:rPr>
          <w:rFonts w:hint="eastAsia" w:hAnsi="宋体" w:cs="宋体"/>
          <w:sz w:val="21"/>
          <w:szCs w:val="21"/>
          <w:highlight w:val="none"/>
        </w:rPr>
        <w:t>残疾人福利性单位声明函</w:t>
      </w:r>
      <w:bookmarkEnd w:id="189"/>
      <w:bookmarkEnd w:id="190"/>
    </w:p>
    <w:p>
      <w:pPr>
        <w:pStyle w:val="9"/>
        <w:spacing w:line="360" w:lineRule="auto"/>
        <w:ind w:firstLine="0"/>
        <w:jc w:val="center"/>
        <w:rPr>
          <w:rFonts w:ascii="宋体" w:hAnsi="宋体" w:eastAsia="宋体" w:cs="宋体"/>
          <w:b/>
          <w:sz w:val="21"/>
          <w:szCs w:val="21"/>
          <w:highlight w:val="none"/>
        </w:rPr>
      </w:pPr>
    </w:p>
    <w:p>
      <w:pPr>
        <w:spacing w:line="360" w:lineRule="auto"/>
        <w:ind w:firstLine="420" w:firstLineChars="200"/>
        <w:contextualSpacing/>
        <w:rPr>
          <w:rFonts w:ascii="宋体" w:hAnsi="宋体" w:cs="宋体"/>
          <w:szCs w:val="21"/>
          <w:highlight w:val="none"/>
        </w:rPr>
      </w:pPr>
      <w:r>
        <w:rPr>
          <w:rFonts w:hint="eastAsia" w:ascii="宋体" w:hAnsi="宋体" w:cs="宋体"/>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contextualSpacing/>
        <w:rPr>
          <w:rFonts w:ascii="宋体" w:hAnsi="宋体" w:cs="宋体"/>
          <w:szCs w:val="21"/>
          <w:highlight w:val="none"/>
        </w:rPr>
      </w:pPr>
      <w:r>
        <w:rPr>
          <w:rFonts w:hint="eastAsia" w:ascii="宋体" w:hAnsi="宋体" w:cs="宋体"/>
          <w:szCs w:val="21"/>
          <w:highlight w:val="none"/>
        </w:rPr>
        <w:t>本单位对上述声明的真实性负责。如有虚假，将依法承担相应责任。</w:t>
      </w:r>
    </w:p>
    <w:p>
      <w:pPr>
        <w:spacing w:line="360" w:lineRule="auto"/>
        <w:ind w:firstLine="444" w:firstLineChars="200"/>
        <w:contextualSpacing/>
        <w:rPr>
          <w:rFonts w:ascii="宋体" w:hAnsi="宋体" w:cs="宋体"/>
          <w:spacing w:val="6"/>
          <w:szCs w:val="21"/>
          <w:highlight w:val="none"/>
        </w:rPr>
      </w:pPr>
    </w:p>
    <w:p>
      <w:pPr>
        <w:spacing w:line="360" w:lineRule="auto"/>
        <w:ind w:firstLine="444" w:firstLineChars="200"/>
        <w:contextualSpacing/>
        <w:rPr>
          <w:rFonts w:ascii="宋体" w:hAnsi="宋体" w:cs="宋体"/>
          <w:spacing w:val="6"/>
          <w:szCs w:val="21"/>
          <w:highlight w:val="none"/>
        </w:rPr>
      </w:pPr>
    </w:p>
    <w:p>
      <w:pPr>
        <w:tabs>
          <w:tab w:val="left" w:pos="4860"/>
        </w:tabs>
        <w:spacing w:line="360" w:lineRule="auto"/>
        <w:ind w:right="1560" w:firstLine="444" w:firstLineChars="200"/>
        <w:contextualSpacing/>
        <w:jc w:val="center"/>
        <w:rPr>
          <w:rFonts w:ascii="宋体" w:hAnsi="宋体" w:cs="宋体"/>
          <w:spacing w:val="6"/>
          <w:szCs w:val="21"/>
          <w:highlight w:val="none"/>
        </w:rPr>
      </w:pPr>
      <w:r>
        <w:rPr>
          <w:rFonts w:hint="eastAsia" w:ascii="宋体" w:hAnsi="宋体" w:cs="宋体"/>
          <w:spacing w:val="6"/>
          <w:szCs w:val="21"/>
          <w:highlight w:val="none"/>
        </w:rPr>
        <w:t xml:space="preserve">                                   企业名称（盖章）： </w:t>
      </w:r>
    </w:p>
    <w:p>
      <w:pPr>
        <w:spacing w:line="360" w:lineRule="auto"/>
        <w:contextualSpacing/>
        <w:jc w:val="left"/>
        <w:rPr>
          <w:rFonts w:ascii="宋体" w:hAnsi="宋体" w:cs="宋体"/>
          <w:b/>
          <w:szCs w:val="21"/>
          <w:highlight w:val="none"/>
        </w:rPr>
      </w:pPr>
      <w:r>
        <w:rPr>
          <w:rFonts w:hint="eastAsia" w:ascii="宋体" w:hAnsi="宋体" w:cs="宋体"/>
          <w:spacing w:val="6"/>
          <w:szCs w:val="21"/>
          <w:highlight w:val="none"/>
        </w:rPr>
        <w:t xml:space="preserve">                                            日  期：</w:t>
      </w:r>
    </w:p>
    <w:p>
      <w:pPr>
        <w:widowControl/>
        <w:jc w:val="left"/>
        <w:rPr>
          <w:highlight w:val="none"/>
        </w:rPr>
      </w:pPr>
    </w:p>
    <w:p>
      <w:pPr>
        <w:rPr>
          <w:highlight w:val="none"/>
        </w:rPr>
      </w:pPr>
    </w:p>
    <w:p>
      <w:pPr>
        <w:rPr>
          <w:highlight w:val="none"/>
        </w:rPr>
      </w:pPr>
    </w:p>
    <w:p>
      <w:pPr>
        <w:rPr>
          <w:highlight w:val="none"/>
        </w:rPr>
      </w:pPr>
    </w:p>
    <w:p>
      <w:pPr>
        <w:rPr>
          <w:highlight w:val="none"/>
        </w:rPr>
        <w:sectPr>
          <w:pgSz w:w="11906" w:h="16838"/>
          <w:pgMar w:top="1440" w:right="1800" w:bottom="1440" w:left="1800" w:header="851" w:footer="992" w:gutter="0"/>
          <w:cols w:space="425" w:num="1"/>
          <w:docGrid w:type="lines" w:linePitch="312" w:charSpace="0"/>
        </w:sectPr>
      </w:pPr>
    </w:p>
    <w:p>
      <w:pPr>
        <w:pStyle w:val="3"/>
        <w:spacing w:before="0" w:after="0" w:line="240" w:lineRule="auto"/>
        <w:ind w:right="-567"/>
        <w:jc w:val="left"/>
        <w:rPr>
          <w:rFonts w:ascii="宋体" w:hAnsi="宋体" w:eastAsia="宋体" w:cs="宋体"/>
          <w:b w:val="0"/>
          <w:sz w:val="21"/>
          <w:szCs w:val="21"/>
          <w:highlight w:val="none"/>
        </w:rPr>
      </w:pPr>
      <w:r>
        <w:rPr>
          <w:rFonts w:hint="eastAsia" w:ascii="宋体" w:hAnsi="宋体" w:eastAsia="宋体" w:cs="宋体"/>
          <w:b w:val="0"/>
          <w:sz w:val="21"/>
          <w:szCs w:val="21"/>
          <w:highlight w:val="none"/>
        </w:rPr>
        <w:t>格式十 资格条件审查表</w:t>
      </w:r>
    </w:p>
    <w:p>
      <w:pPr>
        <w:jc w:val="center"/>
        <w:rPr>
          <w:highlight w:val="none"/>
        </w:rPr>
      </w:pPr>
      <w:r>
        <w:rPr>
          <w:rFonts w:hint="eastAsia" w:ascii="宋体" w:hAnsi="宋体" w:cs="宋体"/>
          <w:b/>
          <w:szCs w:val="21"/>
          <w:highlight w:val="none"/>
        </w:rPr>
        <w:t>资格条件审查表</w:t>
      </w:r>
    </w:p>
    <w:tbl>
      <w:tblPr>
        <w:tblStyle w:val="46"/>
        <w:tblW w:w="98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8"/>
        <w:gridCol w:w="5458"/>
        <w:gridCol w:w="1134"/>
        <w:gridCol w:w="23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blHeader/>
          <w:jc w:val="center"/>
        </w:trPr>
        <w:tc>
          <w:tcPr>
            <w:tcW w:w="838" w:type="dxa"/>
            <w:vAlign w:val="center"/>
          </w:tcPr>
          <w:p>
            <w:pPr>
              <w:widowControl/>
              <w:adjustRightInd w:val="0"/>
              <w:spacing w:line="360" w:lineRule="exact"/>
              <w:jc w:val="center"/>
              <w:rPr>
                <w:rFonts w:cs="宋体"/>
                <w:b/>
                <w:sz w:val="24"/>
                <w:highlight w:val="none"/>
              </w:rPr>
            </w:pPr>
            <w:r>
              <w:rPr>
                <w:rStyle w:val="49"/>
                <w:rFonts w:hint="eastAsia"/>
                <w:szCs w:val="21"/>
                <w:highlight w:val="none"/>
              </w:rPr>
              <w:t>评审内容</w:t>
            </w:r>
          </w:p>
        </w:tc>
        <w:tc>
          <w:tcPr>
            <w:tcW w:w="5458" w:type="dxa"/>
            <w:vAlign w:val="center"/>
          </w:tcPr>
          <w:p>
            <w:pPr>
              <w:widowControl/>
              <w:adjustRightInd w:val="0"/>
              <w:spacing w:line="360" w:lineRule="exact"/>
              <w:jc w:val="center"/>
              <w:rPr>
                <w:rFonts w:cs="宋体"/>
                <w:b/>
                <w:sz w:val="24"/>
                <w:highlight w:val="none"/>
              </w:rPr>
            </w:pPr>
            <w:r>
              <w:rPr>
                <w:rStyle w:val="49"/>
                <w:rFonts w:hint="eastAsia"/>
                <w:szCs w:val="21"/>
                <w:highlight w:val="none"/>
              </w:rPr>
              <w:t>招标文件要求</w:t>
            </w:r>
          </w:p>
        </w:tc>
        <w:tc>
          <w:tcPr>
            <w:tcW w:w="1134" w:type="dxa"/>
            <w:vAlign w:val="center"/>
          </w:tcPr>
          <w:p>
            <w:pPr>
              <w:widowControl/>
              <w:adjustRightInd w:val="0"/>
              <w:spacing w:line="360" w:lineRule="exact"/>
              <w:jc w:val="center"/>
              <w:rPr>
                <w:rFonts w:cs="宋体"/>
                <w:b/>
                <w:sz w:val="24"/>
                <w:highlight w:val="none"/>
              </w:rPr>
            </w:pPr>
            <w:r>
              <w:rPr>
                <w:rStyle w:val="49"/>
                <w:rFonts w:hint="eastAsia"/>
                <w:szCs w:val="21"/>
                <w:highlight w:val="none"/>
              </w:rPr>
              <w:t>自查结论</w:t>
            </w:r>
          </w:p>
        </w:tc>
        <w:tc>
          <w:tcPr>
            <w:tcW w:w="2382" w:type="dxa"/>
            <w:vAlign w:val="center"/>
          </w:tcPr>
          <w:p>
            <w:pPr>
              <w:widowControl/>
              <w:adjustRightInd w:val="0"/>
              <w:spacing w:line="360" w:lineRule="exact"/>
              <w:jc w:val="center"/>
              <w:rPr>
                <w:rFonts w:cs="宋体"/>
                <w:b/>
                <w:sz w:val="24"/>
                <w:highlight w:val="none"/>
              </w:rPr>
            </w:pPr>
            <w:r>
              <w:rPr>
                <w:rStyle w:val="49"/>
                <w:rFonts w:hint="eastAsia"/>
                <w:szCs w:val="21"/>
                <w:highlight w:val="none"/>
              </w:rPr>
              <w:t>证明资料页码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38" w:type="dxa"/>
            <w:vMerge w:val="restart"/>
            <w:vAlign w:val="center"/>
          </w:tcPr>
          <w:p>
            <w:pPr>
              <w:pStyle w:val="155"/>
              <w:adjustRightInd w:val="0"/>
              <w:spacing w:before="0" w:beforeAutospacing="0" w:after="0" w:afterAutospacing="0" w:line="360" w:lineRule="exact"/>
              <w:jc w:val="center"/>
              <w:rPr>
                <w:rFonts w:ascii="Times New Roman" w:hAnsi="Times New Roman" w:cs="宋体"/>
                <w:b/>
                <w:sz w:val="21"/>
                <w:szCs w:val="21"/>
                <w:highlight w:val="none"/>
              </w:rPr>
            </w:pPr>
            <w:r>
              <w:rPr>
                <w:rFonts w:hint="eastAsia" w:ascii="Times New Roman" w:hAnsi="Times New Roman" w:cs="宋体"/>
                <w:b/>
                <w:sz w:val="21"/>
                <w:szCs w:val="21"/>
                <w:highlight w:val="none"/>
              </w:rPr>
              <w:t>资</w:t>
            </w:r>
          </w:p>
          <w:p>
            <w:pPr>
              <w:pStyle w:val="155"/>
              <w:adjustRightInd w:val="0"/>
              <w:spacing w:before="0" w:beforeAutospacing="0" w:after="0" w:afterAutospacing="0" w:line="360" w:lineRule="exact"/>
              <w:jc w:val="center"/>
              <w:rPr>
                <w:rFonts w:ascii="Times New Roman" w:hAnsi="Times New Roman" w:cs="宋体"/>
                <w:b/>
                <w:sz w:val="21"/>
                <w:szCs w:val="21"/>
                <w:highlight w:val="none"/>
              </w:rPr>
            </w:pPr>
            <w:r>
              <w:rPr>
                <w:rFonts w:hint="eastAsia" w:ascii="Times New Roman" w:hAnsi="Times New Roman" w:cs="宋体"/>
                <w:b/>
                <w:sz w:val="21"/>
                <w:szCs w:val="21"/>
                <w:highlight w:val="none"/>
              </w:rPr>
              <w:t>格</w:t>
            </w:r>
          </w:p>
          <w:p>
            <w:pPr>
              <w:pStyle w:val="155"/>
              <w:adjustRightInd w:val="0"/>
              <w:spacing w:before="0" w:beforeAutospacing="0" w:after="0" w:afterAutospacing="0" w:line="360" w:lineRule="exact"/>
              <w:jc w:val="center"/>
              <w:rPr>
                <w:rFonts w:ascii="Times New Roman" w:hAnsi="Times New Roman" w:cs="宋体"/>
                <w:b/>
                <w:sz w:val="21"/>
                <w:szCs w:val="21"/>
                <w:highlight w:val="none"/>
              </w:rPr>
            </w:pPr>
            <w:r>
              <w:rPr>
                <w:rFonts w:hint="eastAsia" w:ascii="Times New Roman" w:hAnsi="Times New Roman" w:cs="宋体"/>
                <w:b/>
                <w:sz w:val="21"/>
                <w:szCs w:val="21"/>
                <w:highlight w:val="none"/>
              </w:rPr>
              <w:t>性</w:t>
            </w:r>
          </w:p>
          <w:p>
            <w:pPr>
              <w:pStyle w:val="155"/>
              <w:adjustRightInd w:val="0"/>
              <w:spacing w:before="0" w:beforeAutospacing="0" w:after="0" w:afterAutospacing="0" w:line="360" w:lineRule="exact"/>
              <w:jc w:val="center"/>
              <w:rPr>
                <w:rFonts w:ascii="Times New Roman" w:hAnsi="Times New Roman" w:cs="宋体"/>
                <w:b/>
                <w:sz w:val="21"/>
                <w:szCs w:val="21"/>
                <w:highlight w:val="none"/>
              </w:rPr>
            </w:pPr>
            <w:r>
              <w:rPr>
                <w:rFonts w:hint="eastAsia" w:ascii="Times New Roman" w:hAnsi="Times New Roman" w:cs="宋体"/>
                <w:b/>
                <w:sz w:val="21"/>
                <w:szCs w:val="21"/>
                <w:highlight w:val="none"/>
              </w:rPr>
              <w:t>审</w:t>
            </w:r>
          </w:p>
          <w:p>
            <w:pPr>
              <w:widowControl/>
              <w:adjustRightInd w:val="0"/>
              <w:spacing w:line="360" w:lineRule="exact"/>
              <w:jc w:val="center"/>
              <w:rPr>
                <w:rFonts w:cs="宋体"/>
                <w:b/>
                <w:sz w:val="24"/>
                <w:highlight w:val="none"/>
              </w:rPr>
            </w:pPr>
            <w:r>
              <w:rPr>
                <w:rFonts w:hint="eastAsia" w:cs="宋体"/>
                <w:b/>
                <w:szCs w:val="21"/>
                <w:highlight w:val="none"/>
              </w:rPr>
              <w:t>查</w:t>
            </w:r>
          </w:p>
        </w:tc>
        <w:tc>
          <w:tcPr>
            <w:tcW w:w="5458" w:type="dxa"/>
            <w:vAlign w:val="center"/>
          </w:tcPr>
          <w:p>
            <w:pPr>
              <w:widowControl/>
              <w:adjustRightInd w:val="0"/>
              <w:spacing w:line="360" w:lineRule="exact"/>
              <w:rPr>
                <w:rFonts w:cs="宋体"/>
                <w:b/>
                <w:sz w:val="24"/>
                <w:highlight w:val="none"/>
              </w:rPr>
            </w:pPr>
            <w:r>
              <w:rPr>
                <w:rFonts w:hint="eastAsia" w:cs="宋体"/>
                <w:szCs w:val="21"/>
                <w:highlight w:val="none"/>
              </w:rPr>
              <w:t>一、投标人具备《</w:t>
            </w:r>
            <w:r>
              <w:rPr>
                <w:rFonts w:hint="eastAsia" w:cs="宋体"/>
                <w:highlight w:val="none"/>
              </w:rPr>
              <w:t>中华人民共和国政府采购法</w:t>
            </w:r>
            <w:r>
              <w:rPr>
                <w:rFonts w:hint="eastAsia" w:cs="宋体"/>
                <w:szCs w:val="21"/>
                <w:highlight w:val="none"/>
              </w:rPr>
              <w:t>》第二十二条所规定的条件：</w:t>
            </w:r>
          </w:p>
        </w:tc>
        <w:tc>
          <w:tcPr>
            <w:tcW w:w="1134" w:type="dxa"/>
            <w:vMerge w:val="restart"/>
            <w:vAlign w:val="center"/>
          </w:tcPr>
          <w:p>
            <w:pPr>
              <w:widowControl/>
              <w:adjustRightInd w:val="0"/>
              <w:spacing w:line="360" w:lineRule="exact"/>
              <w:rPr>
                <w:rFonts w:cs="宋体"/>
                <w:szCs w:val="21"/>
                <w:highlight w:val="none"/>
              </w:rPr>
            </w:pPr>
            <w:r>
              <w:rPr>
                <w:rFonts w:hint="eastAsia" w:cs="宋体"/>
                <w:szCs w:val="21"/>
                <w:highlight w:val="none"/>
              </w:rPr>
              <w:t>□通过</w:t>
            </w:r>
          </w:p>
          <w:p>
            <w:pPr>
              <w:widowControl/>
              <w:adjustRightInd w:val="0"/>
              <w:spacing w:line="360" w:lineRule="exact"/>
              <w:rPr>
                <w:rFonts w:cs="宋体"/>
                <w:b/>
                <w:sz w:val="24"/>
                <w:highlight w:val="none"/>
              </w:rPr>
            </w:pPr>
            <w:r>
              <w:rPr>
                <w:rFonts w:hint="eastAsia" w:cs="宋体"/>
                <w:szCs w:val="21"/>
                <w:highlight w:val="none"/>
              </w:rPr>
              <w:t>□不通过</w:t>
            </w:r>
          </w:p>
        </w:tc>
        <w:tc>
          <w:tcPr>
            <w:tcW w:w="2382" w:type="dxa"/>
            <w:vAlign w:val="center"/>
          </w:tcPr>
          <w:p>
            <w:pPr>
              <w:widowControl/>
              <w:adjustRightInd w:val="0"/>
              <w:spacing w:line="360" w:lineRule="exact"/>
              <w:jc w:val="center"/>
              <w:rPr>
                <w:rFonts w:cs="宋体"/>
                <w:b/>
                <w:sz w:val="24"/>
                <w:highlight w:val="none"/>
              </w:rPr>
            </w:pPr>
            <w:r>
              <w:rPr>
                <w:rFonts w:hint="eastAsia" w:cs="宋体"/>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38" w:type="dxa"/>
            <w:vMerge w:val="continue"/>
          </w:tcPr>
          <w:p>
            <w:pPr>
              <w:widowControl/>
              <w:adjustRightInd w:val="0"/>
              <w:spacing w:line="360" w:lineRule="exact"/>
              <w:rPr>
                <w:rFonts w:cs="宋体"/>
                <w:b/>
                <w:sz w:val="24"/>
                <w:highlight w:val="none"/>
              </w:rPr>
            </w:pPr>
          </w:p>
        </w:tc>
        <w:tc>
          <w:tcPr>
            <w:tcW w:w="5458" w:type="dxa"/>
            <w:vAlign w:val="center"/>
          </w:tcPr>
          <w:p>
            <w:pPr>
              <w:widowControl/>
              <w:adjustRightInd w:val="0"/>
              <w:spacing w:line="360" w:lineRule="exact"/>
              <w:rPr>
                <w:szCs w:val="21"/>
                <w:highlight w:val="none"/>
              </w:rPr>
            </w:pPr>
            <w:r>
              <w:rPr>
                <w:rFonts w:hint="eastAsia"/>
                <w:szCs w:val="21"/>
                <w:highlight w:val="none"/>
              </w:rPr>
              <w:t>1.关于资格的承诺函（格式见附件）</w:t>
            </w:r>
          </w:p>
        </w:tc>
        <w:tc>
          <w:tcPr>
            <w:tcW w:w="1134" w:type="dxa"/>
            <w:vMerge w:val="continue"/>
          </w:tcPr>
          <w:p>
            <w:pPr>
              <w:widowControl/>
              <w:adjustRightInd w:val="0"/>
              <w:spacing w:line="360" w:lineRule="exact"/>
              <w:rPr>
                <w:rFonts w:cs="宋体"/>
                <w:b/>
                <w:sz w:val="24"/>
                <w:highlight w:val="none"/>
              </w:rPr>
            </w:pPr>
          </w:p>
        </w:tc>
        <w:tc>
          <w:tcPr>
            <w:tcW w:w="2382" w:type="dxa"/>
            <w:vAlign w:val="center"/>
          </w:tcPr>
          <w:p>
            <w:pPr>
              <w:widowControl/>
              <w:adjustRightInd w:val="0"/>
              <w:spacing w:line="360" w:lineRule="exact"/>
              <w:jc w:val="center"/>
              <w:rPr>
                <w:rFonts w:cs="宋体"/>
                <w:b/>
                <w:sz w:val="24"/>
                <w:highlight w:val="none"/>
              </w:rPr>
            </w:pPr>
            <w:r>
              <w:rPr>
                <w:rFonts w:hint="eastAsia" w:cs="宋体"/>
                <w:szCs w:val="21"/>
                <w:highlight w:val="none"/>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38" w:type="dxa"/>
            <w:vMerge w:val="continue"/>
          </w:tcPr>
          <w:p>
            <w:pPr>
              <w:widowControl/>
              <w:adjustRightInd w:val="0"/>
              <w:spacing w:line="360" w:lineRule="exact"/>
              <w:rPr>
                <w:rFonts w:cs="宋体"/>
                <w:b/>
                <w:sz w:val="24"/>
                <w:highlight w:val="none"/>
              </w:rPr>
            </w:pPr>
          </w:p>
        </w:tc>
        <w:tc>
          <w:tcPr>
            <w:tcW w:w="5458" w:type="dxa"/>
            <w:vAlign w:val="center"/>
          </w:tcPr>
          <w:p>
            <w:pPr>
              <w:widowControl/>
              <w:adjustRightInd w:val="0"/>
              <w:spacing w:line="360" w:lineRule="exact"/>
              <w:rPr>
                <w:rFonts w:cs="宋体"/>
                <w:highlight w:val="none"/>
              </w:rPr>
            </w:pPr>
            <w:r>
              <w:rPr>
                <w:rFonts w:hint="eastAsia" w:cs="宋体"/>
                <w:bCs/>
                <w:szCs w:val="28"/>
                <w:highlight w:val="none"/>
              </w:rPr>
              <w:t>2.有效的企业法人营业执照（或事业法人登记证）、其他组织（个体工商户）的营业执照或者民办非企业单位登记证书复印件</w:t>
            </w:r>
            <w:r>
              <w:rPr>
                <w:rFonts w:hint="eastAsia" w:cs="宋体"/>
                <w:highlight w:val="none"/>
              </w:rPr>
              <w:t>。</w:t>
            </w:r>
          </w:p>
          <w:p>
            <w:pPr>
              <w:adjustRightInd w:val="0"/>
              <w:spacing w:line="360" w:lineRule="exact"/>
              <w:rPr>
                <w:rFonts w:cs="宋体"/>
                <w:bCs/>
                <w:szCs w:val="28"/>
                <w:highlight w:val="none"/>
              </w:rPr>
            </w:pPr>
            <w:r>
              <w:rPr>
                <w:rFonts w:hint="eastAsia" w:cs="宋体"/>
                <w:highlight w:val="none"/>
              </w:rPr>
              <w:t>（投标人如果有名称变更的，应提供由行政主管部门出具的变更证明文件。）</w:t>
            </w:r>
          </w:p>
        </w:tc>
        <w:tc>
          <w:tcPr>
            <w:tcW w:w="1134" w:type="dxa"/>
            <w:vMerge w:val="continue"/>
          </w:tcPr>
          <w:p>
            <w:pPr>
              <w:widowControl/>
              <w:adjustRightInd w:val="0"/>
              <w:spacing w:line="360" w:lineRule="exact"/>
              <w:rPr>
                <w:rFonts w:cs="宋体"/>
                <w:b/>
                <w:sz w:val="24"/>
                <w:highlight w:val="none"/>
              </w:rPr>
            </w:pPr>
          </w:p>
        </w:tc>
        <w:tc>
          <w:tcPr>
            <w:tcW w:w="2382" w:type="dxa"/>
            <w:vAlign w:val="center"/>
          </w:tcPr>
          <w:p>
            <w:pPr>
              <w:adjustRightInd w:val="0"/>
              <w:spacing w:line="360" w:lineRule="exact"/>
              <w:jc w:val="center"/>
              <w:rPr>
                <w:rFonts w:cs="宋体"/>
                <w:szCs w:val="21"/>
                <w:highlight w:val="none"/>
              </w:rPr>
            </w:pPr>
            <w:r>
              <w:rPr>
                <w:rFonts w:hint="eastAsia" w:cs="宋体"/>
                <w:szCs w:val="21"/>
                <w:highlight w:val="none"/>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38" w:type="dxa"/>
            <w:vMerge w:val="continue"/>
          </w:tcPr>
          <w:p>
            <w:pPr>
              <w:widowControl/>
              <w:adjustRightInd w:val="0"/>
              <w:spacing w:line="360" w:lineRule="exact"/>
              <w:rPr>
                <w:rFonts w:cs="宋体"/>
                <w:bCs/>
                <w:szCs w:val="28"/>
                <w:highlight w:val="none"/>
              </w:rPr>
            </w:pPr>
          </w:p>
        </w:tc>
        <w:tc>
          <w:tcPr>
            <w:tcW w:w="5458" w:type="dxa"/>
            <w:vAlign w:val="center"/>
          </w:tcPr>
          <w:p>
            <w:pPr>
              <w:widowControl/>
              <w:adjustRightInd w:val="0"/>
              <w:spacing w:line="360" w:lineRule="exact"/>
              <w:rPr>
                <w:rFonts w:cs="宋体"/>
                <w:bCs/>
                <w:szCs w:val="28"/>
                <w:highlight w:val="none"/>
              </w:rPr>
            </w:pPr>
            <w:r>
              <w:rPr>
                <w:rFonts w:hint="eastAsia" w:cs="宋体"/>
                <w:bCs/>
                <w:szCs w:val="28"/>
                <w:highlight w:val="none"/>
              </w:rPr>
              <w:t>二、</w:t>
            </w:r>
            <w:r>
              <w:rPr>
                <w:rFonts w:hint="eastAsia" w:cs="宋体"/>
                <w:highlight w:val="none"/>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tc>
        <w:tc>
          <w:tcPr>
            <w:tcW w:w="1134" w:type="dxa"/>
            <w:vAlign w:val="center"/>
          </w:tcPr>
          <w:p>
            <w:pPr>
              <w:widowControl/>
              <w:adjustRightInd w:val="0"/>
              <w:spacing w:line="360" w:lineRule="exact"/>
              <w:rPr>
                <w:rFonts w:cs="宋体"/>
                <w:szCs w:val="21"/>
                <w:highlight w:val="none"/>
              </w:rPr>
            </w:pPr>
            <w:r>
              <w:rPr>
                <w:rFonts w:hint="eastAsia" w:cs="宋体"/>
                <w:szCs w:val="21"/>
                <w:highlight w:val="none"/>
              </w:rPr>
              <w:t>□通过</w:t>
            </w:r>
          </w:p>
          <w:p>
            <w:pPr>
              <w:widowControl/>
              <w:adjustRightInd w:val="0"/>
              <w:spacing w:line="360" w:lineRule="exact"/>
              <w:rPr>
                <w:rFonts w:cs="宋体"/>
                <w:bCs/>
                <w:szCs w:val="28"/>
                <w:highlight w:val="none"/>
              </w:rPr>
            </w:pPr>
            <w:r>
              <w:rPr>
                <w:rFonts w:hint="eastAsia" w:cs="宋体"/>
                <w:szCs w:val="21"/>
                <w:highlight w:val="none"/>
              </w:rPr>
              <w:t>□不通过</w:t>
            </w:r>
          </w:p>
        </w:tc>
        <w:tc>
          <w:tcPr>
            <w:tcW w:w="2382" w:type="dxa"/>
            <w:vAlign w:val="center"/>
          </w:tcPr>
          <w:p>
            <w:pPr>
              <w:widowControl/>
              <w:adjustRightInd w:val="0"/>
              <w:spacing w:line="360" w:lineRule="exact"/>
              <w:jc w:val="center"/>
              <w:rPr>
                <w:rFonts w:cs="宋体"/>
                <w:bCs/>
                <w:szCs w:val="28"/>
                <w:highlight w:val="none"/>
                <w:u w:val="single"/>
              </w:rPr>
            </w:pPr>
            <w:r>
              <w:rPr>
                <w:rFonts w:hint="eastAsia" w:cs="宋体"/>
                <w:bCs/>
                <w:szCs w:val="28"/>
                <w:highlight w:val="none"/>
              </w:rPr>
              <w:t xml:space="preserve">信用记录 </w:t>
            </w:r>
            <w:r>
              <w:rPr>
                <w:rFonts w:hint="eastAsia" w:cs="宋体"/>
                <w:bCs/>
                <w:szCs w:val="28"/>
                <w:highlight w:val="none"/>
                <w:u w:val="single"/>
              </w:rPr>
              <w:t>是/否</w:t>
            </w:r>
            <w:r>
              <w:rPr>
                <w:rFonts w:hint="eastAsia" w:cs="宋体"/>
                <w:bCs/>
                <w:szCs w:val="28"/>
                <w:highlight w:val="none"/>
              </w:rPr>
              <w:t xml:space="preserve"> 已失效，如失效，证明材料详见</w:t>
            </w:r>
            <w:r>
              <w:rPr>
                <w:rFonts w:hint="eastAsia" w:cs="宋体"/>
                <w:szCs w:val="21"/>
                <w:highlight w:val="none"/>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838" w:type="dxa"/>
            <w:vMerge w:val="continue"/>
          </w:tcPr>
          <w:p>
            <w:pPr>
              <w:widowControl/>
              <w:adjustRightInd w:val="0"/>
              <w:spacing w:line="360" w:lineRule="exact"/>
              <w:rPr>
                <w:rFonts w:cs="宋体"/>
                <w:bCs/>
                <w:szCs w:val="28"/>
                <w:highlight w:val="none"/>
              </w:rPr>
            </w:pPr>
          </w:p>
        </w:tc>
        <w:tc>
          <w:tcPr>
            <w:tcW w:w="5458" w:type="dxa"/>
            <w:vAlign w:val="center"/>
          </w:tcPr>
          <w:p>
            <w:pPr>
              <w:widowControl/>
              <w:adjustRightInd w:val="0"/>
              <w:spacing w:line="360" w:lineRule="exact"/>
              <w:rPr>
                <w:rFonts w:cs="宋体"/>
                <w:bCs/>
                <w:szCs w:val="28"/>
                <w:highlight w:val="none"/>
              </w:rPr>
            </w:pPr>
            <w:r>
              <w:rPr>
                <w:rFonts w:hint="eastAsia" w:cs="宋体"/>
                <w:bCs/>
                <w:szCs w:val="28"/>
                <w:highlight w:val="none"/>
              </w:rPr>
              <w:t>三、</w:t>
            </w:r>
            <w:r>
              <w:rPr>
                <w:rFonts w:hint="eastAsia" w:cs="宋体"/>
                <w:highlight w:val="none"/>
              </w:rPr>
              <w:t>单位负责人为同一人或者存在直接控股、管理关系的不同投标人，不得参加同一合同项下的政府采购活动。除单一来源采购项目外，为采购项目提供规范编制或者项目管理、监理、检测等服务的投标人，不得再参加本项目投标（提供《</w:t>
            </w:r>
            <w:r>
              <w:rPr>
                <w:rFonts w:hint="eastAsia"/>
                <w:szCs w:val="21"/>
                <w:highlight w:val="none"/>
              </w:rPr>
              <w:t>关于合格的投标人的承诺函</w:t>
            </w:r>
            <w:r>
              <w:rPr>
                <w:rFonts w:hint="eastAsia" w:cs="宋体"/>
                <w:highlight w:val="none"/>
              </w:rPr>
              <w:t>》）。</w:t>
            </w:r>
          </w:p>
        </w:tc>
        <w:tc>
          <w:tcPr>
            <w:tcW w:w="1134" w:type="dxa"/>
            <w:vAlign w:val="center"/>
          </w:tcPr>
          <w:p>
            <w:pPr>
              <w:widowControl/>
              <w:adjustRightInd w:val="0"/>
              <w:spacing w:line="360" w:lineRule="exact"/>
              <w:rPr>
                <w:rFonts w:cs="宋体"/>
                <w:szCs w:val="21"/>
                <w:highlight w:val="none"/>
              </w:rPr>
            </w:pPr>
            <w:r>
              <w:rPr>
                <w:rFonts w:hint="eastAsia" w:cs="宋体"/>
                <w:szCs w:val="21"/>
                <w:highlight w:val="none"/>
              </w:rPr>
              <w:t>□通过</w:t>
            </w:r>
          </w:p>
          <w:p>
            <w:pPr>
              <w:widowControl/>
              <w:adjustRightInd w:val="0"/>
              <w:spacing w:line="360" w:lineRule="exact"/>
              <w:rPr>
                <w:rFonts w:cs="宋体"/>
                <w:bCs/>
                <w:szCs w:val="28"/>
                <w:highlight w:val="none"/>
              </w:rPr>
            </w:pPr>
            <w:r>
              <w:rPr>
                <w:rFonts w:hint="eastAsia" w:cs="宋体"/>
                <w:szCs w:val="21"/>
                <w:highlight w:val="none"/>
              </w:rPr>
              <w:t>□不通过</w:t>
            </w:r>
          </w:p>
        </w:tc>
        <w:tc>
          <w:tcPr>
            <w:tcW w:w="2382" w:type="dxa"/>
            <w:vAlign w:val="center"/>
          </w:tcPr>
          <w:p>
            <w:pPr>
              <w:widowControl/>
              <w:adjustRightInd w:val="0"/>
              <w:spacing w:line="360" w:lineRule="exact"/>
              <w:jc w:val="center"/>
              <w:rPr>
                <w:rFonts w:cs="宋体"/>
                <w:bCs/>
                <w:szCs w:val="28"/>
                <w:highlight w:val="none"/>
              </w:rPr>
            </w:pPr>
            <w:r>
              <w:rPr>
                <w:rFonts w:hint="eastAsia" w:cs="宋体"/>
                <w:szCs w:val="21"/>
                <w:highlight w:val="none"/>
              </w:rPr>
              <w:t>第（ ）页-（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838" w:type="dxa"/>
          </w:tcPr>
          <w:p>
            <w:pPr>
              <w:widowControl/>
              <w:adjustRightInd w:val="0"/>
              <w:spacing w:line="360" w:lineRule="exact"/>
              <w:rPr>
                <w:rFonts w:cs="宋体"/>
                <w:bCs/>
                <w:szCs w:val="28"/>
                <w:highlight w:val="none"/>
              </w:rPr>
            </w:pPr>
          </w:p>
        </w:tc>
        <w:tc>
          <w:tcPr>
            <w:tcW w:w="5458" w:type="dxa"/>
            <w:vAlign w:val="center"/>
          </w:tcPr>
          <w:p>
            <w:pPr>
              <w:widowControl/>
              <w:adjustRightInd w:val="0"/>
              <w:spacing w:line="360" w:lineRule="exact"/>
              <w:rPr>
                <w:rFonts w:hint="eastAsia" w:eastAsia="宋体" w:cs="宋体"/>
                <w:bCs/>
                <w:szCs w:val="28"/>
                <w:highlight w:val="none"/>
                <w:lang w:eastAsia="zh-CN"/>
              </w:rPr>
            </w:pPr>
            <w:r>
              <w:rPr>
                <w:rFonts w:hint="eastAsia" w:cs="宋体"/>
                <w:bCs/>
                <w:szCs w:val="28"/>
                <w:highlight w:val="none"/>
                <w:lang w:eastAsia="zh-CN"/>
              </w:rPr>
              <w:t>专门面向中小</w:t>
            </w:r>
          </w:p>
        </w:tc>
        <w:tc>
          <w:tcPr>
            <w:tcW w:w="1134" w:type="dxa"/>
            <w:vAlign w:val="center"/>
          </w:tcPr>
          <w:p>
            <w:pPr>
              <w:widowControl/>
              <w:adjustRightInd w:val="0"/>
              <w:spacing w:line="360" w:lineRule="exact"/>
              <w:rPr>
                <w:rFonts w:hint="eastAsia" w:cs="宋体"/>
                <w:szCs w:val="21"/>
                <w:highlight w:val="none"/>
              </w:rPr>
            </w:pPr>
          </w:p>
        </w:tc>
        <w:tc>
          <w:tcPr>
            <w:tcW w:w="2382" w:type="dxa"/>
            <w:vAlign w:val="center"/>
          </w:tcPr>
          <w:p>
            <w:pPr>
              <w:widowControl/>
              <w:adjustRightInd w:val="0"/>
              <w:spacing w:line="360" w:lineRule="exact"/>
              <w:jc w:val="center"/>
              <w:rPr>
                <w:rFonts w:hint="eastAsia" w:cs="宋体"/>
                <w:szCs w:val="21"/>
                <w:highlight w:val="none"/>
              </w:rPr>
            </w:pPr>
          </w:p>
        </w:tc>
      </w:tr>
    </w:tbl>
    <w:p>
      <w:pPr>
        <w:pStyle w:val="9"/>
        <w:tabs>
          <w:tab w:val="left" w:pos="4841"/>
        </w:tabs>
        <w:ind w:firstLine="0"/>
        <w:rPr>
          <w:rFonts w:eastAsia="宋体"/>
          <w:sz w:val="21"/>
          <w:szCs w:val="21"/>
          <w:highlight w:val="none"/>
        </w:rPr>
      </w:pPr>
    </w:p>
    <w:p>
      <w:pPr>
        <w:pStyle w:val="9"/>
        <w:tabs>
          <w:tab w:val="left" w:pos="4841"/>
        </w:tabs>
        <w:ind w:firstLine="0"/>
        <w:rPr>
          <w:rFonts w:eastAsia="宋体"/>
          <w:sz w:val="21"/>
          <w:szCs w:val="21"/>
          <w:highlight w:val="none"/>
        </w:rPr>
      </w:pPr>
      <w:r>
        <w:rPr>
          <w:rFonts w:hint="eastAsia" w:eastAsia="宋体"/>
          <w:sz w:val="21"/>
          <w:szCs w:val="21"/>
          <w:highlight w:val="none"/>
        </w:rPr>
        <w:t>投标人（盖章）：</w:t>
      </w:r>
    </w:p>
    <w:p>
      <w:pPr>
        <w:pStyle w:val="9"/>
        <w:tabs>
          <w:tab w:val="left" w:pos="4841"/>
        </w:tabs>
        <w:ind w:firstLine="0"/>
        <w:rPr>
          <w:rFonts w:eastAsia="宋体"/>
          <w:sz w:val="21"/>
          <w:szCs w:val="21"/>
          <w:highlight w:val="none"/>
        </w:rPr>
      </w:pPr>
      <w:r>
        <w:rPr>
          <w:rFonts w:hint="eastAsia" w:eastAsia="宋体"/>
          <w:sz w:val="21"/>
          <w:szCs w:val="21"/>
          <w:highlight w:val="none"/>
        </w:rPr>
        <w:t>授权代表人（签字）：</w:t>
      </w:r>
    </w:p>
    <w:p>
      <w:pPr>
        <w:pStyle w:val="9"/>
        <w:tabs>
          <w:tab w:val="left" w:pos="4841"/>
        </w:tabs>
        <w:ind w:firstLine="0"/>
        <w:rPr>
          <w:rFonts w:eastAsia="宋体"/>
          <w:sz w:val="21"/>
          <w:szCs w:val="21"/>
          <w:highlight w:val="none"/>
        </w:rPr>
      </w:pPr>
      <w:r>
        <w:rPr>
          <w:rFonts w:hint="eastAsia" w:eastAsia="宋体"/>
          <w:sz w:val="21"/>
          <w:szCs w:val="21"/>
          <w:highlight w:val="none"/>
        </w:rPr>
        <w:t>日期：</w:t>
      </w:r>
    </w:p>
    <w:p>
      <w:pPr>
        <w:rPr>
          <w:highlight w:val="none"/>
        </w:rPr>
        <w:sectPr>
          <w:pgSz w:w="11906" w:h="16838"/>
          <w:pgMar w:top="1440" w:right="1800" w:bottom="1440" w:left="1800" w:header="851" w:footer="992" w:gutter="0"/>
          <w:cols w:space="425" w:num="1"/>
          <w:docGrid w:type="lines" w:linePitch="312" w:charSpace="0"/>
        </w:sectPr>
      </w:pPr>
    </w:p>
    <w:p>
      <w:pPr>
        <w:pStyle w:val="3"/>
        <w:spacing w:before="0" w:after="0" w:line="240" w:lineRule="auto"/>
        <w:ind w:right="-567"/>
        <w:jc w:val="left"/>
        <w:rPr>
          <w:rFonts w:ascii="宋体" w:hAnsi="宋体" w:eastAsia="宋体" w:cs="宋体"/>
          <w:b w:val="0"/>
          <w:sz w:val="21"/>
          <w:szCs w:val="21"/>
          <w:highlight w:val="none"/>
        </w:rPr>
      </w:pPr>
      <w:r>
        <w:rPr>
          <w:rFonts w:hint="eastAsia" w:ascii="宋体" w:hAnsi="宋体" w:eastAsia="宋体" w:cs="宋体"/>
          <w:b w:val="0"/>
          <w:sz w:val="21"/>
          <w:szCs w:val="21"/>
          <w:highlight w:val="none"/>
        </w:rPr>
        <w:t>格式十一 关于资格的承诺函</w:t>
      </w:r>
    </w:p>
    <w:p>
      <w:pPr>
        <w:spacing w:line="360" w:lineRule="auto"/>
        <w:jc w:val="center"/>
        <w:outlineLvl w:val="1"/>
        <w:rPr>
          <w:b/>
          <w:bCs/>
          <w:sz w:val="24"/>
          <w:highlight w:val="none"/>
        </w:rPr>
      </w:pPr>
    </w:p>
    <w:p>
      <w:pPr>
        <w:spacing w:line="360" w:lineRule="auto"/>
        <w:jc w:val="center"/>
        <w:outlineLvl w:val="1"/>
        <w:rPr>
          <w:b/>
          <w:bCs/>
          <w:szCs w:val="21"/>
          <w:highlight w:val="none"/>
        </w:rPr>
      </w:pPr>
      <w:r>
        <w:rPr>
          <w:rFonts w:hint="eastAsia"/>
          <w:b/>
          <w:bCs/>
          <w:sz w:val="24"/>
          <w:highlight w:val="none"/>
        </w:rPr>
        <w:t>关于资格的承诺函</w:t>
      </w:r>
    </w:p>
    <w:p>
      <w:pPr>
        <w:spacing w:line="360" w:lineRule="auto"/>
        <w:contextualSpacing/>
        <w:rPr>
          <w:rFonts w:cs="宋体"/>
          <w:b/>
          <w:sz w:val="24"/>
          <w:szCs w:val="24"/>
          <w:highlight w:val="none"/>
        </w:rPr>
      </w:pPr>
      <w:r>
        <w:rPr>
          <w:rFonts w:hint="eastAsia" w:cs="宋体"/>
          <w:b/>
          <w:sz w:val="24"/>
          <w:szCs w:val="24"/>
          <w:highlight w:val="none"/>
        </w:rPr>
        <w:t>致：中冠工程管理咨询有限公司</w:t>
      </w:r>
    </w:p>
    <w:p>
      <w:pPr>
        <w:snapToGrid w:val="0"/>
        <w:spacing w:beforeLines="50" w:line="360" w:lineRule="auto"/>
        <w:ind w:firstLine="484" w:firstLineChars="202"/>
        <w:rPr>
          <w:rFonts w:cs="宋体"/>
          <w:sz w:val="24"/>
          <w:szCs w:val="24"/>
          <w:highlight w:val="none"/>
        </w:rPr>
      </w:pPr>
      <w:r>
        <w:rPr>
          <w:rFonts w:hint="eastAsia" w:cs="宋体"/>
          <w:sz w:val="24"/>
          <w:szCs w:val="24"/>
          <w:highlight w:val="none"/>
        </w:rPr>
        <w:t>关于</w:t>
      </w:r>
      <w:r>
        <w:rPr>
          <w:rFonts w:hint="eastAsia" w:cs="宋体"/>
          <w:sz w:val="24"/>
          <w:szCs w:val="24"/>
          <w:highlight w:val="none"/>
          <w:u w:val="single"/>
        </w:rPr>
        <w:t xml:space="preserve">  </w:t>
      </w:r>
      <w:r>
        <w:rPr>
          <w:rFonts w:hint="eastAsia" w:cs="宋体"/>
          <w:kern w:val="28"/>
          <w:sz w:val="24"/>
          <w:szCs w:val="24"/>
          <w:highlight w:val="none"/>
          <w:u w:val="single"/>
        </w:rPr>
        <w:t xml:space="preserve">                    </w:t>
      </w:r>
      <w:r>
        <w:rPr>
          <w:rFonts w:hint="eastAsia" w:cs="宋体"/>
          <w:sz w:val="24"/>
          <w:szCs w:val="24"/>
          <w:highlight w:val="none"/>
          <w:u w:val="single"/>
        </w:rPr>
        <w:t xml:space="preserve"> </w:t>
      </w:r>
      <w:r>
        <w:rPr>
          <w:rFonts w:hint="eastAsia" w:cs="宋体"/>
          <w:sz w:val="24"/>
          <w:szCs w:val="24"/>
          <w:highlight w:val="none"/>
        </w:rPr>
        <w:t>项目（项目编号：</w:t>
      </w:r>
      <w:r>
        <w:rPr>
          <w:rFonts w:hint="eastAsia" w:cs="宋体"/>
          <w:sz w:val="24"/>
          <w:szCs w:val="24"/>
          <w:highlight w:val="none"/>
          <w:u w:val="single"/>
        </w:rPr>
        <w:t>　　　</w:t>
      </w:r>
      <w:r>
        <w:rPr>
          <w:rFonts w:hint="eastAsia" w:cs="宋体"/>
          <w:sz w:val="24"/>
          <w:szCs w:val="24"/>
          <w:highlight w:val="none"/>
        </w:rPr>
        <w:t>），我方愿意参加投标，并声明：</w:t>
      </w:r>
    </w:p>
    <w:p>
      <w:pPr>
        <w:snapToGrid w:val="0"/>
        <w:spacing w:line="360" w:lineRule="auto"/>
        <w:ind w:firstLine="480" w:firstLineChars="200"/>
        <w:rPr>
          <w:rFonts w:cs="宋体"/>
          <w:bCs/>
          <w:sz w:val="24"/>
          <w:szCs w:val="24"/>
          <w:highlight w:val="none"/>
        </w:rPr>
      </w:pPr>
      <w:r>
        <w:rPr>
          <w:rFonts w:hint="eastAsia" w:cs="宋体"/>
          <w:bCs/>
          <w:sz w:val="24"/>
          <w:szCs w:val="24"/>
          <w:highlight w:val="none"/>
        </w:rPr>
        <w:t>1、我方具备《中华人民共和国政府采购法》第二十二条规定资格条件：</w:t>
      </w:r>
    </w:p>
    <w:p>
      <w:pPr>
        <w:snapToGrid w:val="0"/>
        <w:spacing w:line="360" w:lineRule="auto"/>
        <w:ind w:firstLine="480" w:firstLineChars="200"/>
        <w:rPr>
          <w:rFonts w:cs="宋体"/>
          <w:bCs/>
          <w:sz w:val="24"/>
          <w:szCs w:val="24"/>
          <w:highlight w:val="none"/>
        </w:rPr>
      </w:pPr>
      <w:r>
        <w:rPr>
          <w:rFonts w:hint="eastAsia" w:cs="宋体"/>
          <w:bCs/>
          <w:sz w:val="24"/>
          <w:szCs w:val="24"/>
          <w:highlight w:val="none"/>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napToGrid w:val="0"/>
        <w:spacing w:line="360" w:lineRule="auto"/>
        <w:ind w:firstLine="480" w:firstLineChars="200"/>
        <w:rPr>
          <w:rFonts w:cs="宋体"/>
          <w:sz w:val="24"/>
          <w:szCs w:val="24"/>
          <w:highlight w:val="none"/>
        </w:rPr>
      </w:pPr>
      <w:r>
        <w:rPr>
          <w:rFonts w:hint="eastAsia" w:cs="宋体"/>
          <w:sz w:val="24"/>
          <w:szCs w:val="24"/>
          <w:highlight w:val="none"/>
        </w:rPr>
        <w:t>2、我方的单位负责人与所参投的本采购项目的其他投标人的单位负责人不为同一人且与其他投标人之间不存在直接控股、管理关系。</w:t>
      </w:r>
    </w:p>
    <w:p>
      <w:pPr>
        <w:snapToGrid w:val="0"/>
        <w:spacing w:line="360" w:lineRule="auto"/>
        <w:ind w:firstLine="480" w:firstLineChars="200"/>
        <w:rPr>
          <w:rFonts w:cs="宋体"/>
          <w:sz w:val="24"/>
          <w:szCs w:val="24"/>
          <w:highlight w:val="none"/>
        </w:rPr>
      </w:pPr>
      <w:r>
        <w:rPr>
          <w:rFonts w:hint="eastAsia" w:cs="宋体"/>
          <w:sz w:val="24"/>
          <w:szCs w:val="24"/>
          <w:highlight w:val="none"/>
        </w:rPr>
        <w:t>3、我方不是本采购项目提供整体设计、规范编制或者项目管理、监理、检测等服务的供应商。</w:t>
      </w:r>
    </w:p>
    <w:p>
      <w:pPr>
        <w:snapToGrid w:val="0"/>
        <w:spacing w:line="360" w:lineRule="auto"/>
        <w:ind w:firstLine="480" w:firstLineChars="200"/>
        <w:rPr>
          <w:rFonts w:cs="宋体"/>
          <w:bCs/>
          <w:sz w:val="24"/>
          <w:szCs w:val="24"/>
          <w:highlight w:val="none"/>
        </w:rPr>
      </w:pPr>
      <w:r>
        <w:rPr>
          <w:rFonts w:hint="eastAsia" w:cs="宋体"/>
          <w:sz w:val="24"/>
          <w:szCs w:val="24"/>
          <w:highlight w:val="none"/>
        </w:rPr>
        <w:t>4、我方</w:t>
      </w:r>
      <w:r>
        <w:rPr>
          <w:rFonts w:hint="eastAsia" w:cs="宋体"/>
          <w:bCs/>
          <w:sz w:val="24"/>
          <w:szCs w:val="24"/>
          <w:highlight w:val="none"/>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sz w:val="24"/>
          <w:szCs w:val="24"/>
          <w:highlight w:val="none"/>
        </w:rPr>
      </w:pPr>
      <w:r>
        <w:rPr>
          <w:rFonts w:hint="eastAsia" w:cs="宋体"/>
          <w:bCs/>
          <w:sz w:val="24"/>
          <w:szCs w:val="24"/>
          <w:highlight w:val="none"/>
        </w:rPr>
        <w:t>我方对上述声明的真实性负责。</w:t>
      </w:r>
      <w:r>
        <w:rPr>
          <w:rFonts w:hint="eastAsia" w:cs="宋体"/>
          <w:sz w:val="24"/>
          <w:szCs w:val="24"/>
          <w:highlight w:val="none"/>
        </w:rPr>
        <w:t>本次招标采购活动中，如有违法、违规、弄虚作假行为，所造成的损失、不良后果及法律责任，一律由我我方承担。</w:t>
      </w:r>
    </w:p>
    <w:p>
      <w:pPr>
        <w:spacing w:line="360" w:lineRule="auto"/>
        <w:rPr>
          <w:rFonts w:cs="宋体"/>
          <w:b/>
          <w:sz w:val="24"/>
          <w:szCs w:val="24"/>
          <w:highlight w:val="none"/>
        </w:rPr>
      </w:pPr>
    </w:p>
    <w:p>
      <w:pPr>
        <w:spacing w:line="360" w:lineRule="auto"/>
        <w:ind w:firstLine="420"/>
        <w:rPr>
          <w:rFonts w:cs="宋体"/>
          <w:b/>
          <w:sz w:val="24"/>
          <w:szCs w:val="24"/>
          <w:highlight w:val="none"/>
        </w:rPr>
      </w:pPr>
      <w:r>
        <w:rPr>
          <w:rFonts w:hint="eastAsia" w:cs="宋体"/>
          <w:b/>
          <w:sz w:val="24"/>
          <w:szCs w:val="24"/>
          <w:highlight w:val="none"/>
        </w:rPr>
        <w:t>特此声明！</w:t>
      </w:r>
    </w:p>
    <w:p>
      <w:pPr>
        <w:spacing w:line="360" w:lineRule="auto"/>
        <w:outlineLvl w:val="1"/>
        <w:rPr>
          <w:rFonts w:cs="宋体"/>
          <w:b/>
          <w:szCs w:val="21"/>
          <w:highlight w:val="none"/>
        </w:rPr>
      </w:pPr>
    </w:p>
    <w:p>
      <w:pPr>
        <w:spacing w:line="360" w:lineRule="auto"/>
        <w:contextualSpacing/>
        <w:outlineLvl w:val="1"/>
        <w:rPr>
          <w:b/>
          <w:bCs/>
          <w:sz w:val="24"/>
          <w:szCs w:val="24"/>
          <w:highlight w:val="none"/>
        </w:rPr>
      </w:pPr>
    </w:p>
    <w:p>
      <w:pPr>
        <w:spacing w:line="360" w:lineRule="auto"/>
        <w:contextualSpacing/>
        <w:outlineLvl w:val="1"/>
        <w:rPr>
          <w:sz w:val="24"/>
          <w:szCs w:val="24"/>
          <w:highlight w:val="none"/>
        </w:rPr>
      </w:pPr>
    </w:p>
    <w:p>
      <w:pPr>
        <w:spacing w:line="360" w:lineRule="auto"/>
        <w:contextualSpacing/>
        <w:outlineLvl w:val="1"/>
        <w:rPr>
          <w:sz w:val="24"/>
          <w:szCs w:val="24"/>
          <w:highlight w:val="none"/>
        </w:rPr>
      </w:pPr>
      <w:r>
        <w:rPr>
          <w:rFonts w:hint="eastAsia"/>
          <w:sz w:val="24"/>
          <w:szCs w:val="24"/>
          <w:highlight w:val="none"/>
        </w:rPr>
        <w:t>投标人（盖章）：</w:t>
      </w:r>
    </w:p>
    <w:p>
      <w:pPr>
        <w:spacing w:line="360" w:lineRule="auto"/>
        <w:contextualSpacing/>
        <w:outlineLvl w:val="1"/>
        <w:rPr>
          <w:sz w:val="24"/>
          <w:szCs w:val="24"/>
          <w:highlight w:val="none"/>
        </w:rPr>
      </w:pPr>
    </w:p>
    <w:p>
      <w:pPr>
        <w:spacing w:line="360" w:lineRule="auto"/>
        <w:contextualSpacing/>
        <w:outlineLvl w:val="1"/>
        <w:rPr>
          <w:sz w:val="24"/>
          <w:szCs w:val="24"/>
          <w:highlight w:val="none"/>
        </w:rPr>
      </w:pPr>
      <w:r>
        <w:rPr>
          <w:rFonts w:hint="eastAsia"/>
          <w:sz w:val="24"/>
          <w:szCs w:val="24"/>
          <w:highlight w:val="none"/>
        </w:rPr>
        <w:t>法定代表人或授权代表人（签字或盖章）：</w:t>
      </w:r>
    </w:p>
    <w:p>
      <w:pPr>
        <w:spacing w:line="360" w:lineRule="auto"/>
        <w:contextualSpacing/>
        <w:outlineLvl w:val="1"/>
        <w:rPr>
          <w:sz w:val="24"/>
          <w:szCs w:val="24"/>
          <w:highlight w:val="none"/>
        </w:rPr>
      </w:pPr>
    </w:p>
    <w:p>
      <w:pPr>
        <w:spacing w:line="360" w:lineRule="auto"/>
        <w:contextualSpacing/>
        <w:outlineLvl w:val="1"/>
        <w:rPr>
          <w:sz w:val="24"/>
          <w:szCs w:val="24"/>
          <w:highlight w:val="none"/>
        </w:rPr>
      </w:pPr>
      <w:r>
        <w:rPr>
          <w:rFonts w:hint="eastAsia"/>
          <w:sz w:val="24"/>
          <w:szCs w:val="24"/>
          <w:highlight w:val="none"/>
        </w:rPr>
        <w:t>日期：</w:t>
      </w:r>
    </w:p>
    <w:p>
      <w:pPr>
        <w:pStyle w:val="3"/>
        <w:spacing w:before="0" w:after="0" w:line="240" w:lineRule="auto"/>
        <w:ind w:right="-567"/>
        <w:jc w:val="left"/>
        <w:rPr>
          <w:rFonts w:ascii="Times New Roman" w:hAnsi="Times New Roman" w:eastAsia="宋体"/>
          <w:b w:val="0"/>
          <w:sz w:val="18"/>
          <w:szCs w:val="18"/>
          <w:highlight w:val="none"/>
        </w:rPr>
      </w:pPr>
      <w:r>
        <w:rPr>
          <w:rFonts w:hint="eastAsia" w:ascii="Times New Roman" w:hAnsi="Times New Roman" w:eastAsia="宋体"/>
          <w:b w:val="0"/>
          <w:sz w:val="18"/>
          <w:szCs w:val="18"/>
          <w:highlight w:val="none"/>
        </w:rPr>
        <w:t>格式十二 符合性自查表</w:t>
      </w:r>
    </w:p>
    <w:p>
      <w:pPr>
        <w:spacing w:line="360" w:lineRule="auto"/>
        <w:jc w:val="center"/>
        <w:rPr>
          <w:rFonts w:cs="宋体"/>
          <w:sz w:val="24"/>
          <w:highlight w:val="none"/>
        </w:rPr>
      </w:pPr>
      <w:r>
        <w:rPr>
          <w:rFonts w:hint="eastAsia" w:cs="宋体"/>
          <w:b/>
          <w:spacing w:val="-4"/>
          <w:sz w:val="24"/>
          <w:highlight w:val="none"/>
        </w:rPr>
        <w:t>符合性自查表</w:t>
      </w:r>
    </w:p>
    <w:tbl>
      <w:tblPr>
        <w:tblStyle w:val="46"/>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49"/>
        <w:gridCol w:w="4826"/>
        <w:gridCol w:w="1448"/>
        <w:gridCol w:w="200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tcBorders>
              <w:top w:val="single" w:color="auto" w:sz="12" w:space="0"/>
              <w:left w:val="single" w:color="auto" w:sz="12" w:space="0"/>
              <w:bottom w:val="outset" w:color="111111" w:sz="6" w:space="0"/>
              <w:right w:val="outset" w:color="111111" w:sz="6" w:space="0"/>
            </w:tcBorders>
            <w:vAlign w:val="center"/>
          </w:tcPr>
          <w:p>
            <w:pPr>
              <w:spacing w:line="300" w:lineRule="exact"/>
              <w:jc w:val="center"/>
              <w:rPr>
                <w:rFonts w:cs="宋体"/>
                <w:szCs w:val="21"/>
                <w:highlight w:val="none"/>
              </w:rPr>
            </w:pPr>
            <w:r>
              <w:rPr>
                <w:rFonts w:hint="eastAsia" w:cs="宋体"/>
                <w:szCs w:val="21"/>
                <w:highlight w:val="none"/>
              </w:rPr>
              <w:t>评审内容</w:t>
            </w:r>
          </w:p>
        </w:tc>
        <w:tc>
          <w:tcPr>
            <w:tcW w:w="4826" w:type="dxa"/>
            <w:tcBorders>
              <w:top w:val="single" w:color="auto" w:sz="12" w:space="0"/>
              <w:left w:val="outset" w:color="111111" w:sz="6" w:space="0"/>
              <w:bottom w:val="outset" w:color="111111" w:sz="6" w:space="0"/>
              <w:right w:val="outset" w:color="111111" w:sz="6" w:space="0"/>
            </w:tcBorders>
            <w:vAlign w:val="center"/>
          </w:tcPr>
          <w:p>
            <w:pPr>
              <w:spacing w:line="300" w:lineRule="exact"/>
              <w:jc w:val="center"/>
              <w:rPr>
                <w:rFonts w:cs="宋体"/>
                <w:szCs w:val="21"/>
                <w:highlight w:val="none"/>
              </w:rPr>
            </w:pPr>
            <w:r>
              <w:rPr>
                <w:rFonts w:hint="eastAsia" w:cs="宋体"/>
                <w:szCs w:val="21"/>
                <w:highlight w:val="none"/>
              </w:rPr>
              <w:t>采购文件要求</w:t>
            </w:r>
          </w:p>
        </w:tc>
        <w:tc>
          <w:tcPr>
            <w:tcW w:w="1448" w:type="dxa"/>
            <w:tcBorders>
              <w:top w:val="single" w:color="auto" w:sz="12" w:space="0"/>
              <w:left w:val="outset" w:color="111111" w:sz="6" w:space="0"/>
              <w:bottom w:val="outset" w:color="111111" w:sz="6" w:space="0"/>
              <w:right w:val="outset" w:color="111111" w:sz="6" w:space="0"/>
            </w:tcBorders>
            <w:vAlign w:val="center"/>
          </w:tcPr>
          <w:p>
            <w:pPr>
              <w:spacing w:line="300" w:lineRule="exact"/>
              <w:jc w:val="center"/>
              <w:rPr>
                <w:rFonts w:cs="宋体"/>
                <w:szCs w:val="21"/>
                <w:highlight w:val="none"/>
              </w:rPr>
            </w:pPr>
            <w:r>
              <w:rPr>
                <w:rFonts w:hint="eastAsia" w:cs="宋体"/>
                <w:szCs w:val="21"/>
                <w:highlight w:val="none"/>
              </w:rPr>
              <w:t>自查结论</w:t>
            </w:r>
          </w:p>
        </w:tc>
        <w:tc>
          <w:tcPr>
            <w:tcW w:w="2001" w:type="dxa"/>
            <w:tcBorders>
              <w:top w:val="single" w:color="auto" w:sz="12" w:space="0"/>
              <w:left w:val="outset" w:color="111111" w:sz="6" w:space="0"/>
              <w:bottom w:val="outset" w:color="111111" w:sz="6" w:space="0"/>
              <w:right w:val="single" w:color="auto" w:sz="12" w:space="0"/>
            </w:tcBorders>
            <w:vAlign w:val="center"/>
          </w:tcPr>
          <w:p>
            <w:pPr>
              <w:spacing w:line="300" w:lineRule="exact"/>
              <w:jc w:val="center"/>
              <w:rPr>
                <w:rFonts w:cs="宋体"/>
                <w:szCs w:val="21"/>
                <w:highlight w:val="none"/>
              </w:rPr>
            </w:pPr>
            <w:r>
              <w:rPr>
                <w:rFonts w:hint="eastAsia" w:cs="宋体"/>
                <w:szCs w:val="21"/>
                <w:highlight w:val="none"/>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6" w:hRule="exact"/>
          <w:jc w:val="center"/>
        </w:trPr>
        <w:tc>
          <w:tcPr>
            <w:tcW w:w="849" w:type="dxa"/>
            <w:vMerge w:val="restart"/>
            <w:tcBorders>
              <w:top w:val="outset" w:color="111111" w:sz="6" w:space="0"/>
              <w:left w:val="single" w:color="auto" w:sz="12" w:space="0"/>
              <w:right w:val="outset" w:color="111111" w:sz="6" w:space="0"/>
            </w:tcBorders>
            <w:vAlign w:val="center"/>
          </w:tcPr>
          <w:p>
            <w:pPr>
              <w:spacing w:line="300" w:lineRule="exact"/>
              <w:jc w:val="center"/>
              <w:rPr>
                <w:rFonts w:cs="宋体"/>
                <w:szCs w:val="21"/>
                <w:highlight w:val="none"/>
              </w:rPr>
            </w:pPr>
            <w:r>
              <w:rPr>
                <w:rFonts w:hint="eastAsia" w:cs="宋体"/>
                <w:szCs w:val="21"/>
                <w:highlight w:val="none"/>
              </w:rPr>
              <w:t>符</w:t>
            </w:r>
          </w:p>
          <w:p>
            <w:pPr>
              <w:spacing w:line="300" w:lineRule="exact"/>
              <w:jc w:val="center"/>
              <w:rPr>
                <w:rFonts w:cs="宋体"/>
                <w:szCs w:val="21"/>
                <w:highlight w:val="none"/>
              </w:rPr>
            </w:pPr>
            <w:r>
              <w:rPr>
                <w:rFonts w:hint="eastAsia" w:cs="宋体"/>
                <w:szCs w:val="21"/>
                <w:highlight w:val="none"/>
              </w:rPr>
              <w:t>合</w:t>
            </w:r>
          </w:p>
          <w:p>
            <w:pPr>
              <w:spacing w:line="300" w:lineRule="exact"/>
              <w:jc w:val="center"/>
              <w:rPr>
                <w:rFonts w:cs="宋体"/>
                <w:szCs w:val="21"/>
                <w:highlight w:val="none"/>
              </w:rPr>
            </w:pPr>
            <w:r>
              <w:rPr>
                <w:rFonts w:hint="eastAsia" w:cs="宋体"/>
                <w:szCs w:val="21"/>
                <w:highlight w:val="none"/>
              </w:rPr>
              <w:t>性</w:t>
            </w:r>
          </w:p>
          <w:p>
            <w:pPr>
              <w:spacing w:line="300" w:lineRule="exact"/>
              <w:jc w:val="center"/>
              <w:rPr>
                <w:rFonts w:cs="宋体"/>
                <w:szCs w:val="21"/>
                <w:highlight w:val="none"/>
              </w:rPr>
            </w:pPr>
            <w:r>
              <w:rPr>
                <w:rFonts w:hint="eastAsia" w:cs="宋体"/>
                <w:szCs w:val="21"/>
                <w:highlight w:val="none"/>
              </w:rPr>
              <w:t>审</w:t>
            </w:r>
          </w:p>
          <w:p>
            <w:pPr>
              <w:spacing w:line="300" w:lineRule="exact"/>
              <w:jc w:val="center"/>
              <w:rPr>
                <w:rFonts w:cs="宋体"/>
                <w:szCs w:val="21"/>
                <w:highlight w:val="none"/>
              </w:rPr>
            </w:pPr>
            <w:r>
              <w:rPr>
                <w:rFonts w:hint="eastAsia" w:cs="宋体"/>
                <w:szCs w:val="21"/>
                <w:highlight w:val="none"/>
              </w:rPr>
              <w:t>查</w:t>
            </w:r>
          </w:p>
        </w:tc>
        <w:tc>
          <w:tcPr>
            <w:tcW w:w="4826" w:type="dxa"/>
            <w:tcBorders>
              <w:top w:val="outset" w:color="111111" w:sz="6" w:space="0"/>
              <w:left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1、投标人按招标文件要求签署、签章</w:t>
            </w:r>
          </w:p>
        </w:tc>
        <w:tc>
          <w:tcPr>
            <w:tcW w:w="1448" w:type="dxa"/>
            <w:tcBorders>
              <w:top w:val="outset" w:color="111111" w:sz="6" w:space="0"/>
              <w:left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 xml:space="preserve">□通过 </w:t>
            </w:r>
          </w:p>
          <w:p>
            <w:pPr>
              <w:spacing w:line="300" w:lineRule="exact"/>
              <w:rPr>
                <w:rFonts w:cs="宋体"/>
                <w:szCs w:val="21"/>
                <w:highlight w:val="none"/>
              </w:rPr>
            </w:pPr>
            <w:r>
              <w:rPr>
                <w:rFonts w:hint="eastAsia" w:cs="宋体"/>
                <w:szCs w:val="21"/>
                <w:highlight w:val="none"/>
              </w:rPr>
              <w:t>□不通过</w:t>
            </w:r>
          </w:p>
        </w:tc>
        <w:tc>
          <w:tcPr>
            <w:tcW w:w="2001" w:type="dxa"/>
            <w:tcBorders>
              <w:top w:val="outset" w:color="111111" w:sz="6" w:space="0"/>
              <w:left w:val="outset" w:color="111111" w:sz="6" w:space="0"/>
              <w:right w:val="single" w:color="auto" w:sz="12" w:space="0"/>
            </w:tcBorders>
            <w:vAlign w:val="center"/>
          </w:tcPr>
          <w:p>
            <w:pPr>
              <w:spacing w:line="300" w:lineRule="exact"/>
              <w:jc w:val="center"/>
              <w:rPr>
                <w:rFonts w:cs="宋体"/>
                <w:szCs w:val="21"/>
                <w:highlight w:val="none"/>
              </w:rPr>
            </w:pPr>
            <w:r>
              <w:rPr>
                <w:rFonts w:hint="eastAsia" w:cs="宋体"/>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42" w:hRule="exact"/>
          <w:jc w:val="center"/>
        </w:trPr>
        <w:tc>
          <w:tcPr>
            <w:tcW w:w="849" w:type="dxa"/>
            <w:vMerge w:val="continue"/>
            <w:tcBorders>
              <w:left w:val="single" w:color="auto" w:sz="12" w:space="0"/>
              <w:right w:val="outset" w:color="111111" w:sz="6" w:space="0"/>
            </w:tcBorders>
            <w:vAlign w:val="center"/>
          </w:tcPr>
          <w:p>
            <w:pPr>
              <w:spacing w:line="300" w:lineRule="exact"/>
              <w:rPr>
                <w:rFonts w:cs="宋体"/>
                <w:szCs w:val="21"/>
                <w:highlight w:val="none"/>
              </w:rPr>
            </w:pPr>
          </w:p>
        </w:tc>
        <w:tc>
          <w:tcPr>
            <w:tcW w:w="4826"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2、投标有效期满足招标文件要求；</w:t>
            </w:r>
          </w:p>
        </w:tc>
        <w:tc>
          <w:tcPr>
            <w:tcW w:w="1448"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 xml:space="preserve">□通过 </w:t>
            </w:r>
          </w:p>
          <w:p>
            <w:pPr>
              <w:spacing w:line="300" w:lineRule="exact"/>
              <w:rPr>
                <w:rFonts w:cs="宋体"/>
                <w:szCs w:val="21"/>
                <w:highlight w:val="none"/>
              </w:rPr>
            </w:pPr>
            <w:r>
              <w:rPr>
                <w:rFonts w:hint="eastAsia" w:cs="宋体"/>
                <w:szCs w:val="21"/>
                <w:highlight w:val="none"/>
              </w:rPr>
              <w:t>□不通过</w:t>
            </w:r>
          </w:p>
        </w:tc>
        <w:tc>
          <w:tcPr>
            <w:tcW w:w="2001"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rFonts w:cs="宋体"/>
                <w:szCs w:val="21"/>
                <w:highlight w:val="none"/>
              </w:rPr>
            </w:pPr>
            <w:r>
              <w:rPr>
                <w:rFonts w:hint="eastAsia" w:cs="宋体"/>
                <w:szCs w:val="21"/>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left w:val="single" w:color="auto" w:sz="12" w:space="0"/>
              <w:right w:val="outset" w:color="111111" w:sz="6" w:space="0"/>
            </w:tcBorders>
            <w:vAlign w:val="center"/>
          </w:tcPr>
          <w:p>
            <w:pPr>
              <w:spacing w:line="300" w:lineRule="exact"/>
              <w:rPr>
                <w:rFonts w:cs="宋体"/>
                <w:szCs w:val="21"/>
                <w:highlight w:val="none"/>
              </w:rPr>
            </w:pPr>
          </w:p>
        </w:tc>
        <w:tc>
          <w:tcPr>
            <w:tcW w:w="4826"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3、投标文件完全满足招标文件的实质性条款（即标注</w:t>
            </w:r>
            <w:r>
              <w:rPr>
                <w:rFonts w:hint="eastAsia"/>
                <w:szCs w:val="21"/>
                <w:highlight w:val="none"/>
              </w:rPr>
              <w:t>★</w:t>
            </w:r>
            <w:r>
              <w:rPr>
                <w:rFonts w:hint="eastAsia" w:cs="宋体"/>
                <w:szCs w:val="21"/>
                <w:highlight w:val="none"/>
              </w:rPr>
              <w:t>号条款）无负偏离的。</w:t>
            </w:r>
          </w:p>
        </w:tc>
        <w:tc>
          <w:tcPr>
            <w:tcW w:w="1448"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 xml:space="preserve">□通过 </w:t>
            </w:r>
          </w:p>
          <w:p>
            <w:pPr>
              <w:spacing w:line="300" w:lineRule="exact"/>
              <w:rPr>
                <w:rFonts w:cs="宋体"/>
                <w:szCs w:val="21"/>
                <w:highlight w:val="none"/>
              </w:rPr>
            </w:pPr>
            <w:r>
              <w:rPr>
                <w:rFonts w:hint="eastAsia" w:cs="宋体"/>
                <w:szCs w:val="21"/>
                <w:highlight w:val="none"/>
              </w:rPr>
              <w:t>□不通过</w:t>
            </w:r>
          </w:p>
        </w:tc>
        <w:tc>
          <w:tcPr>
            <w:tcW w:w="2001"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rFonts w:cs="宋体"/>
                <w:szCs w:val="21"/>
                <w:highlight w:val="none"/>
              </w:rPr>
            </w:pPr>
            <w:r>
              <w:rPr>
                <w:rFonts w:hint="eastAsia" w:cs="宋体"/>
                <w:szCs w:val="21"/>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56" w:hRule="exact"/>
          <w:jc w:val="center"/>
        </w:trPr>
        <w:tc>
          <w:tcPr>
            <w:tcW w:w="849" w:type="dxa"/>
            <w:vMerge w:val="continue"/>
            <w:tcBorders>
              <w:left w:val="single" w:color="auto" w:sz="12" w:space="0"/>
              <w:right w:val="outset" w:color="111111" w:sz="6" w:space="0"/>
            </w:tcBorders>
            <w:vAlign w:val="center"/>
          </w:tcPr>
          <w:p>
            <w:pPr>
              <w:spacing w:line="300" w:lineRule="exact"/>
              <w:rPr>
                <w:rFonts w:cs="宋体"/>
                <w:szCs w:val="21"/>
                <w:highlight w:val="none"/>
              </w:rPr>
            </w:pPr>
          </w:p>
        </w:tc>
        <w:tc>
          <w:tcPr>
            <w:tcW w:w="4826"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4、投标文件没有采购人不能接受的附加的条件；</w:t>
            </w:r>
          </w:p>
        </w:tc>
        <w:tc>
          <w:tcPr>
            <w:tcW w:w="1448"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 xml:space="preserve">□通过 </w:t>
            </w:r>
          </w:p>
          <w:p>
            <w:pPr>
              <w:spacing w:line="300" w:lineRule="exact"/>
              <w:rPr>
                <w:rFonts w:cs="宋体"/>
                <w:szCs w:val="21"/>
                <w:highlight w:val="none"/>
              </w:rPr>
            </w:pPr>
            <w:r>
              <w:rPr>
                <w:rFonts w:hint="eastAsia" w:cs="宋体"/>
                <w:szCs w:val="21"/>
                <w:highlight w:val="none"/>
              </w:rPr>
              <w:t>□不通过</w:t>
            </w:r>
          </w:p>
        </w:tc>
        <w:tc>
          <w:tcPr>
            <w:tcW w:w="2001"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rFonts w:cs="宋体"/>
                <w:szCs w:val="21"/>
                <w:highlight w:val="none"/>
              </w:rPr>
            </w:pPr>
            <w:r>
              <w:rPr>
                <w:rFonts w:hint="eastAsia" w:cs="宋体"/>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40" w:hRule="exact"/>
          <w:jc w:val="center"/>
        </w:trPr>
        <w:tc>
          <w:tcPr>
            <w:tcW w:w="849" w:type="dxa"/>
            <w:vMerge w:val="continue"/>
            <w:tcBorders>
              <w:left w:val="single" w:color="auto" w:sz="12" w:space="0"/>
              <w:right w:val="outset" w:color="111111" w:sz="6" w:space="0"/>
            </w:tcBorders>
            <w:vAlign w:val="center"/>
          </w:tcPr>
          <w:p>
            <w:pPr>
              <w:spacing w:line="300" w:lineRule="exact"/>
              <w:rPr>
                <w:rFonts w:cs="宋体"/>
                <w:szCs w:val="21"/>
                <w:highlight w:val="none"/>
              </w:rPr>
            </w:pPr>
          </w:p>
        </w:tc>
        <w:tc>
          <w:tcPr>
            <w:tcW w:w="4826"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5、委托人提供法定代表人授权委托书，填写项目齐全；</w:t>
            </w:r>
          </w:p>
        </w:tc>
        <w:tc>
          <w:tcPr>
            <w:tcW w:w="1448"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 xml:space="preserve">□通过 </w:t>
            </w:r>
          </w:p>
          <w:p>
            <w:pPr>
              <w:spacing w:line="300" w:lineRule="exact"/>
              <w:rPr>
                <w:rFonts w:cs="宋体"/>
                <w:szCs w:val="21"/>
                <w:highlight w:val="none"/>
              </w:rPr>
            </w:pPr>
            <w:r>
              <w:rPr>
                <w:rFonts w:hint="eastAsia" w:cs="宋体"/>
                <w:szCs w:val="21"/>
                <w:highlight w:val="none"/>
              </w:rPr>
              <w:t>□不通过</w:t>
            </w:r>
          </w:p>
        </w:tc>
        <w:tc>
          <w:tcPr>
            <w:tcW w:w="2001"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rFonts w:cs="宋体"/>
                <w:szCs w:val="21"/>
                <w:highlight w:val="none"/>
              </w:rPr>
            </w:pPr>
            <w:r>
              <w:rPr>
                <w:rFonts w:hint="eastAsia" w:cs="宋体"/>
                <w:szCs w:val="21"/>
                <w:highlight w:val="none"/>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left w:val="single" w:color="auto" w:sz="12" w:space="0"/>
              <w:right w:val="outset" w:color="111111" w:sz="6" w:space="0"/>
            </w:tcBorders>
            <w:vAlign w:val="center"/>
          </w:tcPr>
          <w:p>
            <w:pPr>
              <w:spacing w:line="300" w:lineRule="exact"/>
              <w:rPr>
                <w:rFonts w:cs="宋体"/>
                <w:szCs w:val="21"/>
                <w:highlight w:val="none"/>
              </w:rPr>
            </w:pPr>
          </w:p>
        </w:tc>
        <w:tc>
          <w:tcPr>
            <w:tcW w:w="4826"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6、投标文件提供资料齐全并且不存在内容虚假；</w:t>
            </w:r>
          </w:p>
        </w:tc>
        <w:tc>
          <w:tcPr>
            <w:tcW w:w="1448"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 xml:space="preserve">□通过 </w:t>
            </w:r>
          </w:p>
          <w:p>
            <w:pPr>
              <w:spacing w:line="300" w:lineRule="exact"/>
              <w:rPr>
                <w:rFonts w:cs="宋体"/>
                <w:szCs w:val="21"/>
                <w:highlight w:val="none"/>
              </w:rPr>
            </w:pPr>
            <w:r>
              <w:rPr>
                <w:rFonts w:hint="eastAsia" w:cs="宋体"/>
                <w:szCs w:val="21"/>
                <w:highlight w:val="none"/>
              </w:rPr>
              <w:t>□不通过</w:t>
            </w:r>
          </w:p>
        </w:tc>
        <w:tc>
          <w:tcPr>
            <w:tcW w:w="2001"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rFonts w:cs="宋体"/>
                <w:szCs w:val="21"/>
                <w:highlight w:val="none"/>
              </w:rPr>
            </w:pPr>
            <w:r>
              <w:rPr>
                <w:rFonts w:hint="eastAsia" w:cs="宋体"/>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77" w:hRule="exact"/>
          <w:jc w:val="center"/>
        </w:trPr>
        <w:tc>
          <w:tcPr>
            <w:tcW w:w="849" w:type="dxa"/>
            <w:vMerge w:val="continue"/>
            <w:tcBorders>
              <w:left w:val="single" w:color="auto" w:sz="12" w:space="0"/>
              <w:right w:val="outset" w:color="111111" w:sz="6" w:space="0"/>
            </w:tcBorders>
            <w:vAlign w:val="center"/>
          </w:tcPr>
          <w:p>
            <w:pPr>
              <w:spacing w:line="300" w:lineRule="exact"/>
              <w:rPr>
                <w:rFonts w:cs="宋体"/>
                <w:szCs w:val="21"/>
                <w:highlight w:val="none"/>
              </w:rPr>
            </w:pPr>
          </w:p>
        </w:tc>
        <w:tc>
          <w:tcPr>
            <w:tcW w:w="4826"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7、投标文件的实质性内容使用中文表述、表述明确、前后不存在矛盾且使用计量单位均符合招标文件要求；</w:t>
            </w:r>
          </w:p>
        </w:tc>
        <w:tc>
          <w:tcPr>
            <w:tcW w:w="1448"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 xml:space="preserve">□通过 </w:t>
            </w:r>
          </w:p>
          <w:p>
            <w:pPr>
              <w:spacing w:line="300" w:lineRule="exact"/>
              <w:rPr>
                <w:rFonts w:cs="宋体"/>
                <w:szCs w:val="21"/>
                <w:highlight w:val="none"/>
              </w:rPr>
            </w:pPr>
            <w:r>
              <w:rPr>
                <w:rFonts w:hint="eastAsia" w:cs="宋体"/>
                <w:szCs w:val="21"/>
                <w:highlight w:val="none"/>
              </w:rPr>
              <w:t>□不通过</w:t>
            </w:r>
          </w:p>
        </w:tc>
        <w:tc>
          <w:tcPr>
            <w:tcW w:w="2001"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rFonts w:cs="宋体"/>
                <w:szCs w:val="21"/>
                <w:highlight w:val="none"/>
              </w:rPr>
            </w:pPr>
            <w:r>
              <w:rPr>
                <w:rFonts w:hint="eastAsia" w:cs="宋体"/>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21" w:hRule="exact"/>
          <w:jc w:val="center"/>
        </w:trPr>
        <w:tc>
          <w:tcPr>
            <w:tcW w:w="849" w:type="dxa"/>
            <w:vMerge w:val="continue"/>
            <w:tcBorders>
              <w:left w:val="single" w:color="auto" w:sz="12" w:space="0"/>
              <w:right w:val="outset" w:color="111111" w:sz="6" w:space="0"/>
            </w:tcBorders>
            <w:vAlign w:val="center"/>
          </w:tcPr>
          <w:p>
            <w:pPr>
              <w:spacing w:line="300" w:lineRule="exact"/>
              <w:rPr>
                <w:rFonts w:cs="宋体"/>
                <w:szCs w:val="21"/>
                <w:highlight w:val="none"/>
              </w:rPr>
            </w:pPr>
          </w:p>
        </w:tc>
        <w:tc>
          <w:tcPr>
            <w:tcW w:w="4826"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8、投标文件的关键内容字迹清晰、能够辨认，且投标文件中经修正的内容（如有）字迹清晰可以辩认并且修改处均按规定签署、盖章；</w:t>
            </w:r>
          </w:p>
        </w:tc>
        <w:tc>
          <w:tcPr>
            <w:tcW w:w="1448"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 xml:space="preserve">□通过 </w:t>
            </w:r>
          </w:p>
          <w:p>
            <w:pPr>
              <w:spacing w:line="300" w:lineRule="exact"/>
              <w:rPr>
                <w:rFonts w:cs="宋体"/>
                <w:szCs w:val="21"/>
                <w:highlight w:val="none"/>
              </w:rPr>
            </w:pPr>
            <w:r>
              <w:rPr>
                <w:rFonts w:hint="eastAsia" w:cs="宋体"/>
                <w:szCs w:val="21"/>
                <w:highlight w:val="none"/>
              </w:rPr>
              <w:t>□不通过</w:t>
            </w:r>
          </w:p>
        </w:tc>
        <w:tc>
          <w:tcPr>
            <w:tcW w:w="2001"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rFonts w:cs="宋体"/>
                <w:szCs w:val="21"/>
                <w:highlight w:val="none"/>
              </w:rPr>
            </w:pPr>
            <w:r>
              <w:rPr>
                <w:rFonts w:hint="eastAsia" w:cs="宋体"/>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left w:val="single" w:color="auto" w:sz="12" w:space="0"/>
              <w:right w:val="outset" w:color="111111" w:sz="6" w:space="0"/>
            </w:tcBorders>
            <w:vAlign w:val="center"/>
          </w:tcPr>
          <w:p>
            <w:pPr>
              <w:spacing w:line="300" w:lineRule="exact"/>
              <w:rPr>
                <w:rFonts w:cs="宋体"/>
                <w:szCs w:val="21"/>
                <w:highlight w:val="none"/>
              </w:rPr>
            </w:pPr>
          </w:p>
        </w:tc>
        <w:tc>
          <w:tcPr>
            <w:tcW w:w="4826"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9、不含法律、法规和招标文件规定的其他无效情形。</w:t>
            </w:r>
          </w:p>
        </w:tc>
        <w:tc>
          <w:tcPr>
            <w:tcW w:w="1448"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 xml:space="preserve">□通过 </w:t>
            </w:r>
          </w:p>
          <w:p>
            <w:pPr>
              <w:spacing w:line="300" w:lineRule="exact"/>
              <w:rPr>
                <w:rFonts w:cs="宋体"/>
                <w:szCs w:val="21"/>
                <w:highlight w:val="none"/>
              </w:rPr>
            </w:pPr>
            <w:r>
              <w:rPr>
                <w:rFonts w:hint="eastAsia" w:cs="宋体"/>
                <w:szCs w:val="21"/>
                <w:highlight w:val="none"/>
              </w:rPr>
              <w:t>□不通过</w:t>
            </w:r>
          </w:p>
        </w:tc>
        <w:tc>
          <w:tcPr>
            <w:tcW w:w="2001"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rFonts w:cs="宋体"/>
                <w:szCs w:val="21"/>
                <w:highlight w:val="none"/>
              </w:rPr>
            </w:pPr>
            <w:r>
              <w:rPr>
                <w:rFonts w:hint="eastAsia" w:cs="宋体"/>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left w:val="single" w:color="auto" w:sz="12" w:space="0"/>
              <w:right w:val="outset" w:color="111111" w:sz="6" w:space="0"/>
            </w:tcBorders>
            <w:vAlign w:val="center"/>
          </w:tcPr>
          <w:p>
            <w:pPr>
              <w:spacing w:line="300" w:lineRule="exact"/>
              <w:rPr>
                <w:rFonts w:cs="宋体"/>
                <w:szCs w:val="21"/>
                <w:highlight w:val="none"/>
              </w:rPr>
            </w:pPr>
          </w:p>
        </w:tc>
        <w:tc>
          <w:tcPr>
            <w:tcW w:w="4826"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10、报价未超过采购文件中规定的预算金额或者最高限价的</w:t>
            </w:r>
          </w:p>
        </w:tc>
        <w:tc>
          <w:tcPr>
            <w:tcW w:w="1448"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 xml:space="preserve">□通过 </w:t>
            </w:r>
          </w:p>
          <w:p>
            <w:pPr>
              <w:spacing w:line="300" w:lineRule="exact"/>
              <w:rPr>
                <w:rFonts w:cs="宋体"/>
                <w:szCs w:val="21"/>
                <w:highlight w:val="none"/>
              </w:rPr>
            </w:pPr>
            <w:r>
              <w:rPr>
                <w:rFonts w:hint="eastAsia" w:cs="宋体"/>
                <w:szCs w:val="21"/>
                <w:highlight w:val="none"/>
              </w:rPr>
              <w:t>□不通过</w:t>
            </w:r>
          </w:p>
        </w:tc>
        <w:tc>
          <w:tcPr>
            <w:tcW w:w="2001"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rFonts w:cs="宋体"/>
                <w:szCs w:val="21"/>
                <w:highlight w:val="none"/>
              </w:rPr>
            </w:pPr>
            <w:r>
              <w:rPr>
                <w:rFonts w:hint="eastAsia" w:cs="宋体"/>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16" w:hRule="exact"/>
          <w:jc w:val="center"/>
        </w:trPr>
        <w:tc>
          <w:tcPr>
            <w:tcW w:w="849" w:type="dxa"/>
            <w:vMerge w:val="continue"/>
            <w:tcBorders>
              <w:left w:val="single" w:color="auto" w:sz="12" w:space="0"/>
              <w:right w:val="outset" w:color="111111" w:sz="6" w:space="0"/>
            </w:tcBorders>
            <w:vAlign w:val="center"/>
          </w:tcPr>
          <w:p>
            <w:pPr>
              <w:spacing w:line="300" w:lineRule="exact"/>
              <w:rPr>
                <w:rFonts w:cs="宋体"/>
                <w:szCs w:val="21"/>
                <w:highlight w:val="none"/>
              </w:rPr>
            </w:pPr>
          </w:p>
        </w:tc>
        <w:tc>
          <w:tcPr>
            <w:tcW w:w="4826"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11、采用招标文件要求的报价形式报价的</w:t>
            </w:r>
          </w:p>
        </w:tc>
        <w:tc>
          <w:tcPr>
            <w:tcW w:w="1448" w:type="dxa"/>
            <w:tcBorders>
              <w:top w:val="outset" w:color="111111" w:sz="6" w:space="0"/>
              <w:left w:val="outset" w:color="111111" w:sz="6" w:space="0"/>
              <w:bottom w:val="outset" w:color="111111" w:sz="6" w:space="0"/>
              <w:right w:val="outset" w:color="111111" w:sz="6" w:space="0"/>
            </w:tcBorders>
            <w:vAlign w:val="center"/>
          </w:tcPr>
          <w:p>
            <w:pPr>
              <w:spacing w:line="300" w:lineRule="exact"/>
              <w:rPr>
                <w:rFonts w:cs="宋体"/>
                <w:szCs w:val="21"/>
                <w:highlight w:val="none"/>
              </w:rPr>
            </w:pPr>
            <w:r>
              <w:rPr>
                <w:rFonts w:hint="eastAsia" w:cs="宋体"/>
                <w:szCs w:val="21"/>
                <w:highlight w:val="none"/>
              </w:rPr>
              <w:t xml:space="preserve">□通过 </w:t>
            </w:r>
          </w:p>
          <w:p>
            <w:pPr>
              <w:spacing w:line="300" w:lineRule="exact"/>
              <w:rPr>
                <w:rFonts w:cs="宋体"/>
                <w:szCs w:val="21"/>
                <w:highlight w:val="none"/>
              </w:rPr>
            </w:pPr>
            <w:r>
              <w:rPr>
                <w:rFonts w:hint="eastAsia" w:cs="宋体"/>
                <w:szCs w:val="21"/>
                <w:highlight w:val="none"/>
              </w:rPr>
              <w:t>□不通过</w:t>
            </w:r>
          </w:p>
        </w:tc>
        <w:tc>
          <w:tcPr>
            <w:tcW w:w="2001" w:type="dxa"/>
            <w:tcBorders>
              <w:top w:val="outset" w:color="111111" w:sz="6" w:space="0"/>
              <w:left w:val="outset" w:color="111111" w:sz="6" w:space="0"/>
              <w:bottom w:val="outset" w:color="111111" w:sz="6" w:space="0"/>
              <w:right w:val="single" w:color="auto" w:sz="12" w:space="0"/>
            </w:tcBorders>
            <w:vAlign w:val="center"/>
          </w:tcPr>
          <w:p>
            <w:pPr>
              <w:spacing w:line="300" w:lineRule="exact"/>
              <w:jc w:val="center"/>
              <w:rPr>
                <w:rFonts w:cs="宋体"/>
                <w:szCs w:val="21"/>
                <w:highlight w:val="none"/>
              </w:rPr>
            </w:pPr>
            <w:r>
              <w:rPr>
                <w:rFonts w:hint="eastAsia" w:cs="宋体"/>
                <w:szCs w:val="21"/>
                <w:highlight w:val="none"/>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94" w:hRule="exact"/>
          <w:jc w:val="center"/>
        </w:trPr>
        <w:tc>
          <w:tcPr>
            <w:tcW w:w="849" w:type="dxa"/>
            <w:vMerge w:val="continue"/>
            <w:tcBorders>
              <w:left w:val="single" w:color="auto" w:sz="12" w:space="0"/>
              <w:bottom w:val="single" w:color="auto" w:sz="12" w:space="0"/>
              <w:right w:val="outset" w:color="111111" w:sz="6" w:space="0"/>
            </w:tcBorders>
            <w:vAlign w:val="center"/>
          </w:tcPr>
          <w:p>
            <w:pPr>
              <w:spacing w:line="300" w:lineRule="exact"/>
              <w:rPr>
                <w:rFonts w:cs="宋体"/>
                <w:szCs w:val="21"/>
                <w:highlight w:val="none"/>
              </w:rPr>
            </w:pPr>
          </w:p>
        </w:tc>
        <w:tc>
          <w:tcPr>
            <w:tcW w:w="4826" w:type="dxa"/>
            <w:tcBorders>
              <w:top w:val="outset" w:color="111111" w:sz="6" w:space="0"/>
              <w:left w:val="outset" w:color="111111" w:sz="6" w:space="0"/>
              <w:bottom w:val="single" w:color="auto" w:sz="12" w:space="0"/>
              <w:right w:val="outset" w:color="111111" w:sz="6" w:space="0"/>
            </w:tcBorders>
            <w:vAlign w:val="center"/>
          </w:tcPr>
          <w:p>
            <w:pPr>
              <w:spacing w:line="300" w:lineRule="exact"/>
              <w:rPr>
                <w:rFonts w:cs="宋体"/>
                <w:szCs w:val="21"/>
                <w:highlight w:val="none"/>
              </w:rPr>
            </w:pPr>
            <w:r>
              <w:rPr>
                <w:rFonts w:hint="eastAsia" w:cs="宋体"/>
                <w:szCs w:val="21"/>
                <w:highlight w:val="none"/>
              </w:rPr>
              <w:t>12、投标报价不具有选择性的</w:t>
            </w:r>
          </w:p>
        </w:tc>
        <w:tc>
          <w:tcPr>
            <w:tcW w:w="1448" w:type="dxa"/>
            <w:tcBorders>
              <w:top w:val="outset" w:color="111111" w:sz="6" w:space="0"/>
              <w:left w:val="outset" w:color="111111" w:sz="6" w:space="0"/>
              <w:bottom w:val="single" w:color="auto" w:sz="12" w:space="0"/>
              <w:right w:val="outset" w:color="111111" w:sz="6" w:space="0"/>
            </w:tcBorders>
            <w:vAlign w:val="center"/>
          </w:tcPr>
          <w:p>
            <w:pPr>
              <w:spacing w:line="300" w:lineRule="exact"/>
              <w:rPr>
                <w:rFonts w:cs="宋体"/>
                <w:szCs w:val="21"/>
                <w:highlight w:val="none"/>
              </w:rPr>
            </w:pPr>
            <w:r>
              <w:rPr>
                <w:rFonts w:hint="eastAsia" w:cs="宋体"/>
                <w:szCs w:val="21"/>
                <w:highlight w:val="none"/>
              </w:rPr>
              <w:t xml:space="preserve">□通过 </w:t>
            </w:r>
          </w:p>
          <w:p>
            <w:pPr>
              <w:spacing w:line="300" w:lineRule="exact"/>
              <w:rPr>
                <w:rFonts w:cs="宋体"/>
                <w:szCs w:val="21"/>
                <w:highlight w:val="none"/>
              </w:rPr>
            </w:pPr>
            <w:r>
              <w:rPr>
                <w:rFonts w:hint="eastAsia" w:cs="宋体"/>
                <w:szCs w:val="21"/>
                <w:highlight w:val="none"/>
              </w:rPr>
              <w:t>□不通过</w:t>
            </w:r>
          </w:p>
        </w:tc>
        <w:tc>
          <w:tcPr>
            <w:tcW w:w="2001" w:type="dxa"/>
            <w:tcBorders>
              <w:top w:val="outset" w:color="111111" w:sz="6" w:space="0"/>
              <w:left w:val="outset" w:color="111111" w:sz="6" w:space="0"/>
              <w:bottom w:val="single" w:color="auto" w:sz="12" w:space="0"/>
              <w:right w:val="single" w:color="auto" w:sz="12" w:space="0"/>
            </w:tcBorders>
            <w:vAlign w:val="center"/>
          </w:tcPr>
          <w:p>
            <w:pPr>
              <w:spacing w:line="300" w:lineRule="exact"/>
              <w:jc w:val="center"/>
              <w:rPr>
                <w:rFonts w:cs="宋体"/>
                <w:szCs w:val="21"/>
                <w:highlight w:val="none"/>
              </w:rPr>
            </w:pPr>
            <w:r>
              <w:rPr>
                <w:rFonts w:hint="eastAsia" w:cs="宋体"/>
                <w:szCs w:val="21"/>
                <w:highlight w:val="none"/>
              </w:rPr>
              <w:t>/</w:t>
            </w:r>
          </w:p>
        </w:tc>
      </w:tr>
    </w:tbl>
    <w:p>
      <w:pPr>
        <w:spacing w:line="360" w:lineRule="auto"/>
        <w:contextualSpacing/>
        <w:outlineLvl w:val="1"/>
        <w:rPr>
          <w:rFonts w:cs="宋体"/>
          <w:b/>
          <w:szCs w:val="21"/>
          <w:highlight w:val="none"/>
        </w:rPr>
      </w:pPr>
      <w:r>
        <w:rPr>
          <w:rFonts w:hint="eastAsia" w:cs="宋体"/>
          <w:b/>
          <w:szCs w:val="21"/>
          <w:highlight w:val="none"/>
        </w:rPr>
        <w:t>备注：投标人自查表将作为投标投标人有效性审查的重要内容之一，投标投标人请按照其内容及序列要求在投标文件中对应如实提供。</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Sans Serif">
    <w:altName w:val="Courier New"/>
    <w:panose1 w:val="020B05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微软雅黑 Light">
    <w:panose1 w:val="020B0502040204020203"/>
    <w:charset w:val="86"/>
    <w:family w:val="swiss"/>
    <w:pitch w:val="default"/>
    <w:sig w:usb0="80000287" w:usb1="2ACF001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ËÎÌå">
    <w:altName w:val="Arial"/>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831" w:wrap="around" w:vAnchor="text" w:hAnchor="page" w:x="10344" w:y="327"/>
      <w:jc w:val="center"/>
      <w:rPr>
        <w:rStyle w:val="50"/>
      </w:rPr>
    </w:pPr>
    <w:r>
      <w:rPr>
        <w:rStyle w:val="50"/>
        <w:rFonts w:hint="eastAsia"/>
      </w:rPr>
      <w:t xml:space="preserve">第 </w:t>
    </w:r>
    <w:r>
      <w:fldChar w:fldCharType="begin"/>
    </w:r>
    <w:r>
      <w:rPr>
        <w:rStyle w:val="50"/>
      </w:rPr>
      <w:instrText xml:space="preserve">PAGE  </w:instrText>
    </w:r>
    <w:r>
      <w:fldChar w:fldCharType="separate"/>
    </w:r>
    <w:r>
      <w:rPr>
        <w:rStyle w:val="50"/>
      </w:rPr>
      <w:t>1</w:t>
    </w:r>
    <w:r>
      <w:fldChar w:fldCharType="end"/>
    </w:r>
    <w:r>
      <w:rPr>
        <w:rStyle w:val="50"/>
        <w:rFonts w:hint="eastAsia"/>
      </w:rPr>
      <w:t xml:space="preserve"> 页</w:t>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50"/>
      </w:rPr>
    </w:pPr>
    <w:r>
      <w:fldChar w:fldCharType="begin"/>
    </w:r>
    <w:r>
      <w:rPr>
        <w:rStyle w:val="50"/>
      </w:rPr>
      <w:instrText xml:space="preserve">PAGE  </w:instrTex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end"/>
    </w:r>
  </w:p>
  <w:p>
    <w:pPr>
      <w:pStyle w:val="2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197196"/>
      <w:docPartObj>
        <w:docPartGallery w:val="autotext"/>
      </w:docPartObj>
    </w:sdtPr>
    <w:sdtContent>
      <w:p>
        <w:pPr>
          <w:pStyle w:val="28"/>
          <w:jc w:val="center"/>
        </w:pPr>
        <w:r>
          <w:fldChar w:fldCharType="begin"/>
        </w:r>
        <w:r>
          <w:instrText xml:space="preserve"> PAGE   \* MERGEFORMAT </w:instrText>
        </w:r>
        <w:r>
          <w:fldChar w:fldCharType="separate"/>
        </w:r>
        <w:r>
          <w:rPr>
            <w:lang w:val="zh-CN"/>
          </w:rPr>
          <w:t>34</w:t>
        </w:r>
        <w:r>
          <w:rPr>
            <w:lang w:val="zh-CN"/>
          </w:rPr>
          <w:fldChar w:fldCharType="end"/>
        </w:r>
      </w:p>
    </w:sdtContent>
  </w:sdt>
  <w:p>
    <w:pPr>
      <w:pStyle w:val="2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140"/>
        <w:tab w:val="right" w:pos="8300"/>
        <w:tab w:val="clear" w:pos="4153"/>
        <w:tab w:val="clear" w:pos="8306"/>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41</w:t>
                          </w:r>
                          <w:r>
                            <w:fldChar w:fldCharType="end"/>
                          </w:r>
                        </w:p>
                      </w:txbxContent>
                    </wps:txbx>
                    <wps:bodyPr wrap="none" lIns="0" tIns="0" rIns="0" bIns="0" upright="1">
                      <a:spAutoFit/>
                    </wps:bodyPr>
                  </wps:wsp>
                </a:graphicData>
              </a:graphic>
            </wp:anchor>
          </w:drawing>
        </mc:Choice>
        <mc:Fallback>
          <w:pict>
            <v:shape id="文本框 206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63jHMsBAACc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7Kq&#10;bpbZoT5AjY2PAVvTcO+H3D3lAZNZ+KCizW+URLCO/p6v/sohEZE/Wq/W6wpLAmvzAXHY0+chQnor&#10;vSU5aGjECyy+8tN7SGPr3JKnOf+gjcE8r437K4GYOcMy95FjjtKwHybie9+eUU+Pd99Qh6tOiXnn&#10;0Nq8JnMQ52A/B8cQ9aFDasvCC8LdMSGJwi1PGGGnwXhpRd20YHkr/jyXrq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ut4xzLAQAAnAMAAA4AAAAAAAAAAQAgAAAAHgEAAGRycy9lMm9E&#10;b2MueG1sUEsFBgAAAAAGAAYAWQEAAFs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tabs>
        <w:tab w:val="center" w:pos="4140"/>
        <w:tab w:val="right" w:pos="8300"/>
        <w:tab w:val="clear" w:pos="4153"/>
        <w:tab w:val="clear" w:pos="8306"/>
      </w:tabs>
      <w:rPr>
        <w:rStyle w:val="50"/>
      </w:rPr>
    </w:pPr>
    <w:r>
      <w:fldChar w:fldCharType="begin"/>
    </w:r>
    <w:r>
      <w:rPr>
        <w:rStyle w:val="50"/>
      </w:rPr>
      <w:instrText xml:space="preserve">PAGE  </w:instrText>
    </w:r>
    <w:r>
      <w:fldChar w:fldCharType="end"/>
    </w:r>
  </w:p>
  <w:p>
    <w:pPr>
      <w:pStyle w:val="28"/>
      <w:tabs>
        <w:tab w:val="center" w:pos="4140"/>
        <w:tab w:val="right" w:pos="8300"/>
        <w:tab w:val="clear" w:pos="4153"/>
        <w:tab w:val="clear" w:pos="8306"/>
      </w:tabs>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tabs>
        <w:tab w:val="right" w:pos="9813"/>
        <w:tab w:val="clear" w:pos="4153"/>
        <w:tab w:val="clear" w:pos="8306"/>
      </w:tabs>
      <w:ind w:left="-966" w:right="-968"/>
      <w:rPr>
        <w:rFonts w:ascii="宋体" w:hAnsi="宋体"/>
        <w:w w:val="80"/>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szCs w:val="15"/>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szCs w:val="15"/>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tabs>
        <w:tab w:val="center" w:pos="4140"/>
        <w:tab w:val="right" w:pos="830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A5FD7"/>
    <w:multiLevelType w:val="singleLevel"/>
    <w:tmpl w:val="BF1A5FD7"/>
    <w:lvl w:ilvl="0" w:tentative="0">
      <w:start w:val="1"/>
      <w:numFmt w:val="chineseCounting"/>
      <w:suff w:val="nothing"/>
      <w:lvlText w:val="（%1）"/>
      <w:lvlJc w:val="left"/>
      <w:rPr>
        <w:rFonts w:hint="eastAsia"/>
      </w:rPr>
    </w:lvl>
  </w:abstractNum>
  <w:abstractNum w:abstractNumId="1">
    <w:nsid w:val="EF019935"/>
    <w:multiLevelType w:val="singleLevel"/>
    <w:tmpl w:val="EF019935"/>
    <w:lvl w:ilvl="0" w:tentative="0">
      <w:start w:val="1"/>
      <w:numFmt w:val="decimal"/>
      <w:suff w:val="nothing"/>
      <w:lvlText w:val="%1、"/>
      <w:lvlJc w:val="left"/>
    </w:lvl>
  </w:abstractNum>
  <w:abstractNum w:abstractNumId="2">
    <w:nsid w:val="3DAD531C"/>
    <w:multiLevelType w:val="multilevel"/>
    <w:tmpl w:val="3DAD531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FE97350"/>
    <w:multiLevelType w:val="multilevel"/>
    <w:tmpl w:val="4FE97350"/>
    <w:lvl w:ilvl="0" w:tentative="0">
      <w:start w:val="6"/>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3ZTRmNGY0NDYxZDAyNmQzM2Y0NTczZDAxZmIxMmUifQ=="/>
  </w:docVars>
  <w:rsids>
    <w:rsidRoot w:val="00E66F66"/>
    <w:rsid w:val="00011B68"/>
    <w:rsid w:val="0001707D"/>
    <w:rsid w:val="00021152"/>
    <w:rsid w:val="0002519D"/>
    <w:rsid w:val="00025952"/>
    <w:rsid w:val="00040522"/>
    <w:rsid w:val="00051B3E"/>
    <w:rsid w:val="00061054"/>
    <w:rsid w:val="00080F9B"/>
    <w:rsid w:val="00083881"/>
    <w:rsid w:val="000926AF"/>
    <w:rsid w:val="0009684D"/>
    <w:rsid w:val="000A0E77"/>
    <w:rsid w:val="000B3EBB"/>
    <w:rsid w:val="000C2296"/>
    <w:rsid w:val="000F59DB"/>
    <w:rsid w:val="00105839"/>
    <w:rsid w:val="00112AC0"/>
    <w:rsid w:val="00126C4E"/>
    <w:rsid w:val="0013424C"/>
    <w:rsid w:val="0015408E"/>
    <w:rsid w:val="00164561"/>
    <w:rsid w:val="00173160"/>
    <w:rsid w:val="00183B28"/>
    <w:rsid w:val="001907E5"/>
    <w:rsid w:val="0019257C"/>
    <w:rsid w:val="00194F8A"/>
    <w:rsid w:val="001A3D20"/>
    <w:rsid w:val="001A6A8F"/>
    <w:rsid w:val="001B2005"/>
    <w:rsid w:val="001B78CF"/>
    <w:rsid w:val="001D5052"/>
    <w:rsid w:val="001D709F"/>
    <w:rsid w:val="001D7AC1"/>
    <w:rsid w:val="00203D8A"/>
    <w:rsid w:val="00212383"/>
    <w:rsid w:val="002129E4"/>
    <w:rsid w:val="00223CAB"/>
    <w:rsid w:val="002245AA"/>
    <w:rsid w:val="00235C07"/>
    <w:rsid w:val="00243A7E"/>
    <w:rsid w:val="00260CD1"/>
    <w:rsid w:val="00264C24"/>
    <w:rsid w:val="00272E44"/>
    <w:rsid w:val="002744DD"/>
    <w:rsid w:val="00294D48"/>
    <w:rsid w:val="00295C8E"/>
    <w:rsid w:val="002A71F6"/>
    <w:rsid w:val="002B002D"/>
    <w:rsid w:val="002B670B"/>
    <w:rsid w:val="002B7433"/>
    <w:rsid w:val="002C52C3"/>
    <w:rsid w:val="002D728A"/>
    <w:rsid w:val="003125DD"/>
    <w:rsid w:val="00314FCD"/>
    <w:rsid w:val="00322A47"/>
    <w:rsid w:val="003301DF"/>
    <w:rsid w:val="00330DF4"/>
    <w:rsid w:val="00336BCD"/>
    <w:rsid w:val="003604F5"/>
    <w:rsid w:val="00363B0C"/>
    <w:rsid w:val="003777AF"/>
    <w:rsid w:val="00382325"/>
    <w:rsid w:val="0039742C"/>
    <w:rsid w:val="003A1F57"/>
    <w:rsid w:val="003A5F47"/>
    <w:rsid w:val="003B0EC1"/>
    <w:rsid w:val="003B45DC"/>
    <w:rsid w:val="003C4FD6"/>
    <w:rsid w:val="003C63A4"/>
    <w:rsid w:val="003D1690"/>
    <w:rsid w:val="003D2159"/>
    <w:rsid w:val="003D34B0"/>
    <w:rsid w:val="003D6E34"/>
    <w:rsid w:val="003E188E"/>
    <w:rsid w:val="003F226C"/>
    <w:rsid w:val="004123CE"/>
    <w:rsid w:val="00413487"/>
    <w:rsid w:val="00425B20"/>
    <w:rsid w:val="00425BE0"/>
    <w:rsid w:val="004317D7"/>
    <w:rsid w:val="00442F39"/>
    <w:rsid w:val="0044479D"/>
    <w:rsid w:val="004479BA"/>
    <w:rsid w:val="00452BE2"/>
    <w:rsid w:val="0046435C"/>
    <w:rsid w:val="004654A7"/>
    <w:rsid w:val="00465BB7"/>
    <w:rsid w:val="00470517"/>
    <w:rsid w:val="0047217E"/>
    <w:rsid w:val="00474D2E"/>
    <w:rsid w:val="004803B4"/>
    <w:rsid w:val="004A6F08"/>
    <w:rsid w:val="004B32F3"/>
    <w:rsid w:val="004C0388"/>
    <w:rsid w:val="004C3FEE"/>
    <w:rsid w:val="004D4C9E"/>
    <w:rsid w:val="004D570B"/>
    <w:rsid w:val="00504427"/>
    <w:rsid w:val="00523EE9"/>
    <w:rsid w:val="00541315"/>
    <w:rsid w:val="00556ACD"/>
    <w:rsid w:val="00557E4E"/>
    <w:rsid w:val="00570171"/>
    <w:rsid w:val="00571D5A"/>
    <w:rsid w:val="00575197"/>
    <w:rsid w:val="005B5457"/>
    <w:rsid w:val="005C2B89"/>
    <w:rsid w:val="005D15F8"/>
    <w:rsid w:val="005D5203"/>
    <w:rsid w:val="005E6F97"/>
    <w:rsid w:val="005E7FE6"/>
    <w:rsid w:val="006065A5"/>
    <w:rsid w:val="006165A3"/>
    <w:rsid w:val="00640B7E"/>
    <w:rsid w:val="0066069A"/>
    <w:rsid w:val="00661048"/>
    <w:rsid w:val="006702C1"/>
    <w:rsid w:val="0067073C"/>
    <w:rsid w:val="00670890"/>
    <w:rsid w:val="00676703"/>
    <w:rsid w:val="0068758F"/>
    <w:rsid w:val="006A3181"/>
    <w:rsid w:val="006A67D3"/>
    <w:rsid w:val="006A7501"/>
    <w:rsid w:val="006D0E9D"/>
    <w:rsid w:val="006D25A5"/>
    <w:rsid w:val="006D6D3D"/>
    <w:rsid w:val="006D725C"/>
    <w:rsid w:val="006F5B6C"/>
    <w:rsid w:val="006F780A"/>
    <w:rsid w:val="0071398F"/>
    <w:rsid w:val="007201B4"/>
    <w:rsid w:val="0073062F"/>
    <w:rsid w:val="00730FE2"/>
    <w:rsid w:val="00732A55"/>
    <w:rsid w:val="007448C9"/>
    <w:rsid w:val="00755BDC"/>
    <w:rsid w:val="007606CD"/>
    <w:rsid w:val="0076074F"/>
    <w:rsid w:val="00781CE3"/>
    <w:rsid w:val="00782CE8"/>
    <w:rsid w:val="00787653"/>
    <w:rsid w:val="00795CAB"/>
    <w:rsid w:val="007D108E"/>
    <w:rsid w:val="007D3BD8"/>
    <w:rsid w:val="007E23DF"/>
    <w:rsid w:val="007F1460"/>
    <w:rsid w:val="007F2672"/>
    <w:rsid w:val="008043C8"/>
    <w:rsid w:val="00810ABE"/>
    <w:rsid w:val="008141D3"/>
    <w:rsid w:val="00824418"/>
    <w:rsid w:val="00825602"/>
    <w:rsid w:val="00836FC3"/>
    <w:rsid w:val="00837FF9"/>
    <w:rsid w:val="0085174D"/>
    <w:rsid w:val="00852EAB"/>
    <w:rsid w:val="00854942"/>
    <w:rsid w:val="00865F3E"/>
    <w:rsid w:val="0087180B"/>
    <w:rsid w:val="00872E95"/>
    <w:rsid w:val="008A0695"/>
    <w:rsid w:val="008A2D1F"/>
    <w:rsid w:val="008A7087"/>
    <w:rsid w:val="008C0037"/>
    <w:rsid w:val="008C615F"/>
    <w:rsid w:val="008D1A36"/>
    <w:rsid w:val="008D75AF"/>
    <w:rsid w:val="008E17A8"/>
    <w:rsid w:val="008F65D3"/>
    <w:rsid w:val="008F68D1"/>
    <w:rsid w:val="00903402"/>
    <w:rsid w:val="0090363C"/>
    <w:rsid w:val="00914EA3"/>
    <w:rsid w:val="00920371"/>
    <w:rsid w:val="00930CE1"/>
    <w:rsid w:val="009310EE"/>
    <w:rsid w:val="00932467"/>
    <w:rsid w:val="00932F85"/>
    <w:rsid w:val="00944CAA"/>
    <w:rsid w:val="00946318"/>
    <w:rsid w:val="00946482"/>
    <w:rsid w:val="009513F4"/>
    <w:rsid w:val="00951AF9"/>
    <w:rsid w:val="009559B6"/>
    <w:rsid w:val="009664F6"/>
    <w:rsid w:val="0097366A"/>
    <w:rsid w:val="00974A8E"/>
    <w:rsid w:val="00974DFA"/>
    <w:rsid w:val="00976D3F"/>
    <w:rsid w:val="00987C7E"/>
    <w:rsid w:val="0099025A"/>
    <w:rsid w:val="00990FB5"/>
    <w:rsid w:val="00991846"/>
    <w:rsid w:val="0099344E"/>
    <w:rsid w:val="009A0D4E"/>
    <w:rsid w:val="009A628C"/>
    <w:rsid w:val="009C3BE9"/>
    <w:rsid w:val="009D573F"/>
    <w:rsid w:val="009E36D8"/>
    <w:rsid w:val="00A1324B"/>
    <w:rsid w:val="00A16E6B"/>
    <w:rsid w:val="00A26F7B"/>
    <w:rsid w:val="00A35173"/>
    <w:rsid w:val="00A43660"/>
    <w:rsid w:val="00A44025"/>
    <w:rsid w:val="00A55E9A"/>
    <w:rsid w:val="00A87836"/>
    <w:rsid w:val="00AA1F21"/>
    <w:rsid w:val="00AB047F"/>
    <w:rsid w:val="00AB12FC"/>
    <w:rsid w:val="00AB4284"/>
    <w:rsid w:val="00AB7350"/>
    <w:rsid w:val="00AD6E3E"/>
    <w:rsid w:val="00AD7F8C"/>
    <w:rsid w:val="00AE092F"/>
    <w:rsid w:val="00AE17C6"/>
    <w:rsid w:val="00AE199C"/>
    <w:rsid w:val="00AE2A9F"/>
    <w:rsid w:val="00AF0041"/>
    <w:rsid w:val="00AF0274"/>
    <w:rsid w:val="00AF3595"/>
    <w:rsid w:val="00AF754B"/>
    <w:rsid w:val="00B064C1"/>
    <w:rsid w:val="00B07561"/>
    <w:rsid w:val="00B13C88"/>
    <w:rsid w:val="00B4047F"/>
    <w:rsid w:val="00B600D1"/>
    <w:rsid w:val="00B64946"/>
    <w:rsid w:val="00B76102"/>
    <w:rsid w:val="00BB14BA"/>
    <w:rsid w:val="00BC2C6B"/>
    <w:rsid w:val="00BC3B5F"/>
    <w:rsid w:val="00BD2F8A"/>
    <w:rsid w:val="00BE1DFD"/>
    <w:rsid w:val="00BE77D1"/>
    <w:rsid w:val="00C034AF"/>
    <w:rsid w:val="00C06014"/>
    <w:rsid w:val="00C133E3"/>
    <w:rsid w:val="00C208F6"/>
    <w:rsid w:val="00C30254"/>
    <w:rsid w:val="00C305C4"/>
    <w:rsid w:val="00C347AB"/>
    <w:rsid w:val="00C43AA5"/>
    <w:rsid w:val="00C43B7C"/>
    <w:rsid w:val="00C62486"/>
    <w:rsid w:val="00C705D5"/>
    <w:rsid w:val="00C7496C"/>
    <w:rsid w:val="00C841D9"/>
    <w:rsid w:val="00C90FF3"/>
    <w:rsid w:val="00C9357F"/>
    <w:rsid w:val="00CA0CF0"/>
    <w:rsid w:val="00CC3686"/>
    <w:rsid w:val="00CC786F"/>
    <w:rsid w:val="00CF58CB"/>
    <w:rsid w:val="00D01CF4"/>
    <w:rsid w:val="00D07112"/>
    <w:rsid w:val="00D076F0"/>
    <w:rsid w:val="00D230C0"/>
    <w:rsid w:val="00D303F9"/>
    <w:rsid w:val="00D41F3E"/>
    <w:rsid w:val="00D54DFC"/>
    <w:rsid w:val="00D65007"/>
    <w:rsid w:val="00D74874"/>
    <w:rsid w:val="00D800E7"/>
    <w:rsid w:val="00D80A71"/>
    <w:rsid w:val="00D9289C"/>
    <w:rsid w:val="00DA337C"/>
    <w:rsid w:val="00DB180E"/>
    <w:rsid w:val="00DB2C78"/>
    <w:rsid w:val="00DB56B9"/>
    <w:rsid w:val="00DB5C52"/>
    <w:rsid w:val="00DD6239"/>
    <w:rsid w:val="00DE04A0"/>
    <w:rsid w:val="00DE0AED"/>
    <w:rsid w:val="00DE2F15"/>
    <w:rsid w:val="00DF0D51"/>
    <w:rsid w:val="00E04ECA"/>
    <w:rsid w:val="00E0614E"/>
    <w:rsid w:val="00E11CAC"/>
    <w:rsid w:val="00E12919"/>
    <w:rsid w:val="00E4205F"/>
    <w:rsid w:val="00E45CA1"/>
    <w:rsid w:val="00E55C74"/>
    <w:rsid w:val="00E66F66"/>
    <w:rsid w:val="00E70BCE"/>
    <w:rsid w:val="00E77A93"/>
    <w:rsid w:val="00E805F8"/>
    <w:rsid w:val="00E825DF"/>
    <w:rsid w:val="00E83F28"/>
    <w:rsid w:val="00E840C6"/>
    <w:rsid w:val="00EA0476"/>
    <w:rsid w:val="00EC20E1"/>
    <w:rsid w:val="00ED4D7C"/>
    <w:rsid w:val="00ED6E2E"/>
    <w:rsid w:val="00ED7F5A"/>
    <w:rsid w:val="00EE71AD"/>
    <w:rsid w:val="00EF6DDB"/>
    <w:rsid w:val="00F047D8"/>
    <w:rsid w:val="00F07BCB"/>
    <w:rsid w:val="00F41DBC"/>
    <w:rsid w:val="00F545C5"/>
    <w:rsid w:val="00F558A8"/>
    <w:rsid w:val="00F87482"/>
    <w:rsid w:val="00FA603D"/>
    <w:rsid w:val="00FA6A26"/>
    <w:rsid w:val="00FB6158"/>
    <w:rsid w:val="00FE70AB"/>
    <w:rsid w:val="00FF1B16"/>
    <w:rsid w:val="03460DBE"/>
    <w:rsid w:val="08803584"/>
    <w:rsid w:val="12307709"/>
    <w:rsid w:val="12EE5E56"/>
    <w:rsid w:val="282325B6"/>
    <w:rsid w:val="2A2E5B22"/>
    <w:rsid w:val="303F594F"/>
    <w:rsid w:val="38124C38"/>
    <w:rsid w:val="388407CC"/>
    <w:rsid w:val="3D581C52"/>
    <w:rsid w:val="43F23F72"/>
    <w:rsid w:val="44F52ED8"/>
    <w:rsid w:val="46A532C6"/>
    <w:rsid w:val="4CF7532D"/>
    <w:rsid w:val="513C55F4"/>
    <w:rsid w:val="55420652"/>
    <w:rsid w:val="65D11874"/>
    <w:rsid w:val="6CD96208"/>
    <w:rsid w:val="6D753DFF"/>
    <w:rsid w:val="7D830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9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59"/>
    <w:autoRedefine/>
    <w:qFormat/>
    <w:uiPriority w:val="0"/>
    <w:pPr>
      <w:keepNext/>
      <w:spacing w:line="380" w:lineRule="exact"/>
      <w:jc w:val="center"/>
      <w:outlineLvl w:val="0"/>
    </w:pPr>
    <w:rPr>
      <w:rFonts w:ascii="宋体"/>
      <w:b/>
      <w:bCs/>
      <w:sz w:val="28"/>
    </w:rPr>
  </w:style>
  <w:style w:type="paragraph" w:styleId="3">
    <w:name w:val="heading 2"/>
    <w:basedOn w:val="1"/>
    <w:next w:val="1"/>
    <w:link w:val="60"/>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1"/>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62"/>
    <w:autoRedefine/>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63"/>
    <w:autoRedefine/>
    <w:qFormat/>
    <w:uiPriority w:val="0"/>
    <w:pPr>
      <w:widowControl/>
      <w:spacing w:before="240" w:after="60"/>
      <w:jc w:val="left"/>
      <w:outlineLvl w:val="4"/>
    </w:pPr>
    <w:rPr>
      <w:rFonts w:ascii="MS Sans Serif" w:hAnsi="Arial" w:eastAsia="MS Sans Serif"/>
      <w:kern w:val="0"/>
      <w:sz w:val="24"/>
    </w:rPr>
  </w:style>
  <w:style w:type="paragraph" w:styleId="7">
    <w:name w:val="heading 6"/>
    <w:basedOn w:val="1"/>
    <w:next w:val="8"/>
    <w:link w:val="64"/>
    <w:autoRedefine/>
    <w:qFormat/>
    <w:uiPriority w:val="0"/>
    <w:pPr>
      <w:keepNext/>
      <w:keepLines/>
      <w:spacing w:before="240" w:after="64" w:line="320" w:lineRule="auto"/>
      <w:outlineLvl w:val="5"/>
    </w:pPr>
    <w:rPr>
      <w:rFonts w:ascii="黑体" w:hAnsi="黑体" w:eastAsia="楷体"/>
      <w:b/>
      <w:sz w:val="24"/>
    </w:rPr>
  </w:style>
  <w:style w:type="paragraph" w:styleId="10">
    <w:name w:val="heading 7"/>
    <w:basedOn w:val="1"/>
    <w:next w:val="8"/>
    <w:link w:val="65"/>
    <w:autoRedefine/>
    <w:qFormat/>
    <w:uiPriority w:val="0"/>
    <w:pPr>
      <w:keepNext/>
      <w:keepLines/>
      <w:spacing w:before="240" w:after="64" w:line="320" w:lineRule="auto"/>
      <w:outlineLvl w:val="6"/>
    </w:pPr>
    <w:rPr>
      <w:rFonts w:ascii="Arial" w:hAnsi="Arial"/>
      <w:b/>
      <w:sz w:val="24"/>
    </w:rPr>
  </w:style>
  <w:style w:type="paragraph" w:styleId="11">
    <w:name w:val="heading 8"/>
    <w:basedOn w:val="1"/>
    <w:next w:val="8"/>
    <w:link w:val="66"/>
    <w:autoRedefine/>
    <w:qFormat/>
    <w:uiPriority w:val="0"/>
    <w:pPr>
      <w:keepNext/>
      <w:keepLines/>
      <w:spacing w:before="240" w:after="64" w:line="320" w:lineRule="auto"/>
      <w:outlineLvl w:val="7"/>
    </w:pPr>
    <w:rPr>
      <w:rFonts w:ascii="黑体" w:hAnsi="黑体" w:eastAsia="楷体"/>
      <w:sz w:val="24"/>
    </w:rPr>
  </w:style>
  <w:style w:type="paragraph" w:styleId="12">
    <w:name w:val="heading 9"/>
    <w:basedOn w:val="1"/>
    <w:next w:val="8"/>
    <w:link w:val="67"/>
    <w:autoRedefine/>
    <w:qFormat/>
    <w:uiPriority w:val="0"/>
    <w:pPr>
      <w:keepNext/>
      <w:keepLines/>
      <w:spacing w:before="240" w:after="64" w:line="320" w:lineRule="auto"/>
      <w:outlineLvl w:val="8"/>
    </w:pPr>
    <w:rPr>
      <w:rFonts w:ascii="黑体" w:hAnsi="黑体" w:eastAsia="楷体"/>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next w:val="9"/>
    <w:link w:val="87"/>
    <w:autoRedefine/>
    <w:qFormat/>
    <w:uiPriority w:val="0"/>
    <w:pPr>
      <w:adjustRightInd w:val="0"/>
      <w:spacing w:line="315" w:lineRule="atLeast"/>
      <w:ind w:firstLine="420"/>
      <w:jc w:val="left"/>
      <w:textAlignment w:val="baseline"/>
    </w:pPr>
    <w:rPr>
      <w:rFonts w:ascii="宋体"/>
      <w:kern w:val="0"/>
    </w:rPr>
  </w:style>
  <w:style w:type="paragraph" w:styleId="9">
    <w:name w:val="Body Text Indent"/>
    <w:basedOn w:val="1"/>
    <w:next w:val="8"/>
    <w:link w:val="71"/>
    <w:autoRedefine/>
    <w:qFormat/>
    <w:uiPriority w:val="0"/>
    <w:pPr>
      <w:spacing w:line="380" w:lineRule="exact"/>
      <w:ind w:firstLine="480"/>
    </w:pPr>
    <w:rPr>
      <w:rFonts w:eastAsia="方正书宋简体"/>
      <w:sz w:val="24"/>
    </w:rPr>
  </w:style>
  <w:style w:type="paragraph" w:styleId="13">
    <w:name w:val="toc 7"/>
    <w:basedOn w:val="1"/>
    <w:next w:val="1"/>
    <w:autoRedefine/>
    <w:qFormat/>
    <w:uiPriority w:val="39"/>
    <w:pPr>
      <w:ind w:left="2520" w:leftChars="1200"/>
    </w:pPr>
    <w:rPr>
      <w:szCs w:val="24"/>
    </w:rPr>
  </w:style>
  <w:style w:type="paragraph" w:styleId="14">
    <w:name w:val="List Number"/>
    <w:basedOn w:val="1"/>
    <w:autoRedefine/>
    <w:qFormat/>
    <w:uiPriority w:val="0"/>
    <w:pPr>
      <w:widowControl/>
      <w:tabs>
        <w:tab w:val="left" w:pos="420"/>
        <w:tab w:val="left" w:pos="454"/>
      </w:tabs>
      <w:spacing w:afterLines="50"/>
      <w:ind w:left="454" w:hanging="284"/>
      <w:jc w:val="left"/>
    </w:pPr>
    <w:rPr>
      <w:rFonts w:ascii="Arial" w:hAnsi="Arial" w:cs="Arial"/>
      <w:kern w:val="0"/>
      <w:sz w:val="24"/>
    </w:rPr>
  </w:style>
  <w:style w:type="paragraph" w:styleId="15">
    <w:name w:val="caption"/>
    <w:basedOn w:val="1"/>
    <w:next w:val="1"/>
    <w:autoRedefine/>
    <w:qFormat/>
    <w:uiPriority w:val="0"/>
    <w:rPr>
      <w:rFonts w:ascii="黑体" w:hAnsi="黑体" w:eastAsia="楷体" w:cs="黑体"/>
      <w:sz w:val="20"/>
    </w:rPr>
  </w:style>
  <w:style w:type="paragraph" w:styleId="16">
    <w:name w:val="Document Map"/>
    <w:basedOn w:val="1"/>
    <w:link w:val="68"/>
    <w:autoRedefine/>
    <w:qFormat/>
    <w:uiPriority w:val="0"/>
    <w:pPr>
      <w:shd w:val="clear" w:color="auto" w:fill="000080"/>
    </w:pPr>
  </w:style>
  <w:style w:type="paragraph" w:styleId="17">
    <w:name w:val="annotation text"/>
    <w:basedOn w:val="1"/>
    <w:link w:val="69"/>
    <w:autoRedefine/>
    <w:qFormat/>
    <w:uiPriority w:val="0"/>
    <w:pPr>
      <w:jc w:val="left"/>
    </w:pPr>
  </w:style>
  <w:style w:type="paragraph" w:styleId="18">
    <w:name w:val="Body Text"/>
    <w:basedOn w:val="1"/>
    <w:link w:val="70"/>
    <w:autoRedefine/>
    <w:qFormat/>
    <w:uiPriority w:val="0"/>
    <w:pPr>
      <w:spacing w:after="120"/>
    </w:pPr>
  </w:style>
  <w:style w:type="paragraph" w:styleId="19">
    <w:name w:val="List Number 3"/>
    <w:basedOn w:val="1"/>
    <w:autoRedefine/>
    <w:qFormat/>
    <w:uiPriority w:val="0"/>
    <w:pPr>
      <w:widowControl/>
      <w:tabs>
        <w:tab w:val="left" w:pos="482"/>
        <w:tab w:val="left" w:pos="1157"/>
      </w:tabs>
      <w:spacing w:afterLines="50"/>
      <w:ind w:left="482" w:hanging="340"/>
      <w:jc w:val="left"/>
    </w:pPr>
    <w:rPr>
      <w:rFonts w:ascii="Arial" w:hAnsi="Arial" w:cs="Arial"/>
      <w:kern w:val="0"/>
      <w:sz w:val="24"/>
    </w:rPr>
  </w:style>
  <w:style w:type="paragraph" w:styleId="20">
    <w:name w:val="Block Text"/>
    <w:basedOn w:val="1"/>
    <w:autoRedefine/>
    <w:qFormat/>
    <w:uiPriority w:val="0"/>
    <w:pPr>
      <w:adjustRightInd w:val="0"/>
      <w:snapToGrid w:val="0"/>
      <w:spacing w:line="300" w:lineRule="auto"/>
      <w:ind w:left="958" w:right="-120" w:rightChars="-120"/>
      <w:jc w:val="left"/>
    </w:pPr>
    <w:rPr>
      <w:rFonts w:hint="eastAsia" w:ascii="Century Gothic" w:hAnsi="Century Gothic" w:cs="Arial"/>
      <w:sz w:val="28"/>
    </w:rPr>
  </w:style>
  <w:style w:type="paragraph" w:styleId="21">
    <w:name w:val="toc 5"/>
    <w:basedOn w:val="1"/>
    <w:next w:val="1"/>
    <w:autoRedefine/>
    <w:qFormat/>
    <w:uiPriority w:val="39"/>
    <w:pPr>
      <w:ind w:left="1680" w:leftChars="800"/>
    </w:pPr>
    <w:rPr>
      <w:szCs w:val="24"/>
    </w:rPr>
  </w:style>
  <w:style w:type="paragraph" w:styleId="22">
    <w:name w:val="toc 3"/>
    <w:basedOn w:val="1"/>
    <w:next w:val="1"/>
    <w:autoRedefine/>
    <w:qFormat/>
    <w:uiPriority w:val="39"/>
    <w:pPr>
      <w:tabs>
        <w:tab w:val="left" w:pos="1236"/>
        <w:tab w:val="right" w:leader="dot" w:pos="8789"/>
      </w:tabs>
      <w:ind w:left="840" w:leftChars="400"/>
    </w:pPr>
  </w:style>
  <w:style w:type="paragraph" w:styleId="23">
    <w:name w:val="Plain Text"/>
    <w:basedOn w:val="1"/>
    <w:link w:val="72"/>
    <w:autoRedefine/>
    <w:qFormat/>
    <w:uiPriority w:val="0"/>
    <w:pPr>
      <w:widowControl/>
      <w:overflowPunct w:val="0"/>
      <w:autoSpaceDE w:val="0"/>
      <w:autoSpaceDN w:val="0"/>
      <w:adjustRightInd w:val="0"/>
      <w:jc w:val="left"/>
      <w:textAlignment w:val="baseline"/>
    </w:pPr>
    <w:rPr>
      <w:rFonts w:ascii="宋体" w:hAnsi="Courier New"/>
      <w:kern w:val="0"/>
      <w:sz w:val="20"/>
    </w:rPr>
  </w:style>
  <w:style w:type="paragraph" w:styleId="24">
    <w:name w:val="toc 8"/>
    <w:basedOn w:val="1"/>
    <w:next w:val="1"/>
    <w:autoRedefine/>
    <w:qFormat/>
    <w:uiPriority w:val="39"/>
    <w:pPr>
      <w:ind w:left="2940" w:leftChars="1400"/>
    </w:pPr>
    <w:rPr>
      <w:szCs w:val="24"/>
    </w:rPr>
  </w:style>
  <w:style w:type="paragraph" w:styleId="25">
    <w:name w:val="Date"/>
    <w:basedOn w:val="1"/>
    <w:next w:val="1"/>
    <w:link w:val="73"/>
    <w:autoRedefine/>
    <w:qFormat/>
    <w:uiPriority w:val="0"/>
    <w:pPr>
      <w:adjustRightInd w:val="0"/>
      <w:spacing w:line="312" w:lineRule="atLeast"/>
      <w:jc w:val="right"/>
      <w:textAlignment w:val="baseline"/>
    </w:pPr>
    <w:rPr>
      <w:rFonts w:ascii="宋体"/>
      <w:sz w:val="24"/>
    </w:rPr>
  </w:style>
  <w:style w:type="paragraph" w:styleId="26">
    <w:name w:val="Body Text Indent 2"/>
    <w:basedOn w:val="1"/>
    <w:link w:val="74"/>
    <w:autoRedefine/>
    <w:qFormat/>
    <w:uiPriority w:val="0"/>
    <w:pPr>
      <w:spacing w:line="380" w:lineRule="exact"/>
      <w:ind w:left="840" w:hanging="45"/>
    </w:pPr>
    <w:rPr>
      <w:rFonts w:ascii="宋体"/>
      <w:sz w:val="24"/>
    </w:rPr>
  </w:style>
  <w:style w:type="paragraph" w:styleId="27">
    <w:name w:val="Balloon Text"/>
    <w:basedOn w:val="1"/>
    <w:link w:val="75"/>
    <w:autoRedefine/>
    <w:qFormat/>
    <w:uiPriority w:val="0"/>
    <w:rPr>
      <w:sz w:val="18"/>
      <w:szCs w:val="18"/>
    </w:rPr>
  </w:style>
  <w:style w:type="paragraph" w:styleId="28">
    <w:name w:val="footer"/>
    <w:basedOn w:val="1"/>
    <w:link w:val="58"/>
    <w:autoRedefine/>
    <w:unhideWhenUsed/>
    <w:qFormat/>
    <w:uiPriority w:val="99"/>
    <w:pPr>
      <w:tabs>
        <w:tab w:val="center" w:pos="4153"/>
        <w:tab w:val="right" w:pos="8306"/>
      </w:tabs>
      <w:snapToGrid w:val="0"/>
      <w:jc w:val="left"/>
    </w:pPr>
    <w:rPr>
      <w:sz w:val="18"/>
      <w:szCs w:val="18"/>
    </w:rPr>
  </w:style>
  <w:style w:type="paragraph" w:styleId="29">
    <w:name w:val="header"/>
    <w:basedOn w:val="1"/>
    <w:link w:val="5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39"/>
    <w:pPr>
      <w:tabs>
        <w:tab w:val="right" w:leader="middleDot" w:pos="8789"/>
      </w:tabs>
      <w:spacing w:line="360" w:lineRule="auto"/>
    </w:pPr>
    <w:rPr>
      <w:sz w:val="24"/>
    </w:rPr>
  </w:style>
  <w:style w:type="paragraph" w:styleId="31">
    <w:name w:val="toc 4"/>
    <w:basedOn w:val="1"/>
    <w:next w:val="1"/>
    <w:autoRedefine/>
    <w:qFormat/>
    <w:uiPriority w:val="39"/>
    <w:pPr>
      <w:ind w:left="1260" w:leftChars="600"/>
    </w:pPr>
    <w:rPr>
      <w:szCs w:val="24"/>
    </w:rPr>
  </w:style>
  <w:style w:type="paragraph" w:styleId="32">
    <w:name w:val="List"/>
    <w:basedOn w:val="1"/>
    <w:autoRedefine/>
    <w:qFormat/>
    <w:uiPriority w:val="0"/>
    <w:pPr>
      <w:ind w:left="200" w:hanging="200" w:hangingChars="200"/>
    </w:pPr>
  </w:style>
  <w:style w:type="paragraph" w:styleId="33">
    <w:name w:val="footnote text"/>
    <w:basedOn w:val="1"/>
    <w:link w:val="218"/>
    <w:autoRedefine/>
    <w:qFormat/>
    <w:uiPriority w:val="0"/>
    <w:pPr>
      <w:adjustRightInd w:val="0"/>
      <w:snapToGrid w:val="0"/>
      <w:spacing w:line="420" w:lineRule="atLeast"/>
      <w:ind w:firstLine="454"/>
      <w:jc w:val="left"/>
      <w:textAlignment w:val="baseline"/>
    </w:pPr>
    <w:rPr>
      <w:kern w:val="0"/>
      <w:sz w:val="18"/>
    </w:rPr>
  </w:style>
  <w:style w:type="paragraph" w:styleId="34">
    <w:name w:val="toc 6"/>
    <w:basedOn w:val="1"/>
    <w:next w:val="1"/>
    <w:autoRedefine/>
    <w:qFormat/>
    <w:uiPriority w:val="99"/>
    <w:pPr>
      <w:ind w:left="2100" w:leftChars="1000"/>
    </w:pPr>
    <w:rPr>
      <w:szCs w:val="24"/>
    </w:rPr>
  </w:style>
  <w:style w:type="paragraph" w:styleId="35">
    <w:name w:val="List 5"/>
    <w:basedOn w:val="1"/>
    <w:autoRedefine/>
    <w:qFormat/>
    <w:uiPriority w:val="0"/>
    <w:pPr>
      <w:ind w:left="100" w:leftChars="800" w:hanging="200" w:hangingChars="200"/>
    </w:pPr>
    <w:rPr>
      <w:rFonts w:ascii="Arial" w:hAnsi="Arial" w:cs="Arial"/>
    </w:rPr>
  </w:style>
  <w:style w:type="paragraph" w:styleId="36">
    <w:name w:val="Body Text Indent 3"/>
    <w:basedOn w:val="1"/>
    <w:link w:val="76"/>
    <w:autoRedefine/>
    <w:qFormat/>
    <w:uiPriority w:val="0"/>
    <w:pPr>
      <w:spacing w:line="380" w:lineRule="exact"/>
      <w:ind w:left="525"/>
    </w:pPr>
    <w:rPr>
      <w:rFonts w:ascii="宋体"/>
      <w:sz w:val="24"/>
    </w:rPr>
  </w:style>
  <w:style w:type="paragraph" w:styleId="37">
    <w:name w:val="toc 2"/>
    <w:basedOn w:val="1"/>
    <w:next w:val="1"/>
    <w:autoRedefine/>
    <w:qFormat/>
    <w:uiPriority w:val="39"/>
    <w:pPr>
      <w:tabs>
        <w:tab w:val="right" w:leader="middleDot" w:pos="8789"/>
      </w:tabs>
      <w:spacing w:after="60"/>
      <w:ind w:left="420" w:leftChars="200"/>
    </w:pPr>
  </w:style>
  <w:style w:type="paragraph" w:styleId="38">
    <w:name w:val="toc 9"/>
    <w:basedOn w:val="1"/>
    <w:next w:val="1"/>
    <w:autoRedefine/>
    <w:qFormat/>
    <w:uiPriority w:val="39"/>
    <w:pPr>
      <w:ind w:left="3360" w:leftChars="1600"/>
    </w:pPr>
    <w:rPr>
      <w:szCs w:val="24"/>
    </w:rPr>
  </w:style>
  <w:style w:type="paragraph" w:styleId="39">
    <w:name w:val="Body Text 2"/>
    <w:basedOn w:val="1"/>
    <w:link w:val="77"/>
    <w:autoRedefine/>
    <w:qFormat/>
    <w:uiPriority w:val="0"/>
    <w:rPr>
      <w:rFonts w:ascii="Arial" w:hAnsi="Arial"/>
      <w:kern w:val="0"/>
      <w:sz w:val="24"/>
      <w:szCs w:val="24"/>
    </w:rPr>
  </w:style>
  <w:style w:type="paragraph" w:styleId="40">
    <w:name w:val="HTML Preformatted"/>
    <w:basedOn w:val="1"/>
    <w:link w:val="78"/>
    <w:autoRedefine/>
    <w:qFormat/>
    <w:uiPriority w:val="0"/>
    <w:rPr>
      <w:rFonts w:ascii="Courier New" w:hAnsi="Courier New" w:cs="Courier New"/>
      <w:sz w:val="20"/>
    </w:rPr>
  </w:style>
  <w:style w:type="paragraph" w:styleId="41">
    <w:name w:val="Normal (Web)"/>
    <w:basedOn w:val="1"/>
    <w:autoRedefine/>
    <w:qFormat/>
    <w:uiPriority w:val="99"/>
    <w:pPr>
      <w:widowControl/>
      <w:shd w:val="clear" w:color="auto" w:fill="FFFFFF"/>
      <w:spacing w:before="100" w:beforeAutospacing="1" w:after="100" w:afterAutospacing="1"/>
      <w:jc w:val="left"/>
    </w:pPr>
    <w:rPr>
      <w:rFonts w:ascii="Century Gothic" w:hAnsi="Century Gothic" w:cs="Arial"/>
      <w:kern w:val="0"/>
      <w:sz w:val="18"/>
      <w:szCs w:val="18"/>
    </w:rPr>
  </w:style>
  <w:style w:type="paragraph" w:styleId="42">
    <w:name w:val="Title"/>
    <w:basedOn w:val="1"/>
    <w:next w:val="1"/>
    <w:link w:val="79"/>
    <w:autoRedefine/>
    <w:qFormat/>
    <w:uiPriority w:val="0"/>
    <w:pPr>
      <w:spacing w:before="240" w:after="60"/>
      <w:jc w:val="center"/>
      <w:outlineLvl w:val="0"/>
    </w:pPr>
    <w:rPr>
      <w:rFonts w:ascii="Cambria" w:hAnsi="Cambria"/>
      <w:b/>
      <w:bCs/>
      <w:sz w:val="32"/>
      <w:szCs w:val="32"/>
    </w:rPr>
  </w:style>
  <w:style w:type="paragraph" w:styleId="43">
    <w:name w:val="annotation subject"/>
    <w:basedOn w:val="17"/>
    <w:next w:val="17"/>
    <w:link w:val="80"/>
    <w:autoRedefine/>
    <w:qFormat/>
    <w:uiPriority w:val="0"/>
    <w:rPr>
      <w:b/>
      <w:bCs/>
    </w:rPr>
  </w:style>
  <w:style w:type="paragraph" w:styleId="44">
    <w:name w:val="Body Text First Indent"/>
    <w:basedOn w:val="18"/>
    <w:link w:val="81"/>
    <w:autoRedefine/>
    <w:qFormat/>
    <w:uiPriority w:val="0"/>
    <w:pPr>
      <w:ind w:firstLine="420" w:firstLineChars="100"/>
    </w:pPr>
    <w:rPr>
      <w:szCs w:val="24"/>
    </w:rPr>
  </w:style>
  <w:style w:type="paragraph" w:styleId="45">
    <w:name w:val="Body Text First Indent 2"/>
    <w:basedOn w:val="9"/>
    <w:link w:val="82"/>
    <w:autoRedefine/>
    <w:qFormat/>
    <w:uiPriority w:val="0"/>
    <w:pPr>
      <w:spacing w:after="120" w:line="240" w:lineRule="auto"/>
      <w:ind w:left="420" w:leftChars="200" w:firstLine="420" w:firstLineChars="200"/>
    </w:pPr>
    <w:rPr>
      <w:sz w:val="21"/>
    </w:rPr>
  </w:style>
  <w:style w:type="table" w:styleId="47">
    <w:name w:val="Table Grid"/>
    <w:basedOn w:val="46"/>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autoRedefine/>
    <w:qFormat/>
    <w:uiPriority w:val="0"/>
    <w:rPr>
      <w:b/>
      <w:bCs/>
    </w:rPr>
  </w:style>
  <w:style w:type="character" w:styleId="50">
    <w:name w:val="page number"/>
    <w:basedOn w:val="48"/>
    <w:autoRedefine/>
    <w:qFormat/>
    <w:uiPriority w:val="0"/>
  </w:style>
  <w:style w:type="character" w:styleId="51">
    <w:name w:val="FollowedHyperlink"/>
    <w:basedOn w:val="48"/>
    <w:autoRedefine/>
    <w:qFormat/>
    <w:uiPriority w:val="99"/>
    <w:rPr>
      <w:color w:val="800080"/>
      <w:u w:val="single"/>
    </w:rPr>
  </w:style>
  <w:style w:type="character" w:styleId="52">
    <w:name w:val="Emphasis"/>
    <w:autoRedefine/>
    <w:qFormat/>
    <w:uiPriority w:val="0"/>
    <w:rPr>
      <w:color w:val="CC0000"/>
    </w:rPr>
  </w:style>
  <w:style w:type="character" w:styleId="53">
    <w:name w:val="Hyperlink"/>
    <w:basedOn w:val="48"/>
    <w:autoRedefine/>
    <w:qFormat/>
    <w:uiPriority w:val="99"/>
    <w:rPr>
      <w:color w:val="0000FF"/>
      <w:u w:val="single"/>
    </w:rPr>
  </w:style>
  <w:style w:type="character" w:styleId="54">
    <w:name w:val="annotation reference"/>
    <w:basedOn w:val="48"/>
    <w:autoRedefine/>
    <w:qFormat/>
    <w:uiPriority w:val="0"/>
    <w:rPr>
      <w:sz w:val="21"/>
      <w:szCs w:val="21"/>
    </w:rPr>
  </w:style>
  <w:style w:type="character" w:styleId="55">
    <w:name w:val="footnote reference"/>
    <w:basedOn w:val="48"/>
    <w:autoRedefine/>
    <w:qFormat/>
    <w:uiPriority w:val="0"/>
    <w:rPr>
      <w:vertAlign w:val="superscript"/>
    </w:rPr>
  </w:style>
  <w:style w:type="paragraph" w:customStyle="1" w:styleId="56">
    <w:name w:val="无间距1"/>
    <w:autoRedefine/>
    <w:qFormat/>
    <w:uiPriority w:val="1"/>
    <w:pPr>
      <w:widowControl w:val="0"/>
      <w:jc w:val="both"/>
    </w:pPr>
    <w:rPr>
      <w:rFonts w:ascii="Calibri" w:hAnsi="Calibri" w:eastAsia="微软雅黑 Light" w:cs="Times New Roman"/>
      <w:kern w:val="2"/>
      <w:sz w:val="24"/>
      <w:szCs w:val="22"/>
      <w:lang w:val="en-US" w:eastAsia="zh-CN" w:bidi="ar-SA"/>
    </w:rPr>
  </w:style>
  <w:style w:type="character" w:customStyle="1" w:styleId="57">
    <w:name w:val="页眉 Char"/>
    <w:basedOn w:val="48"/>
    <w:link w:val="29"/>
    <w:autoRedefine/>
    <w:qFormat/>
    <w:uiPriority w:val="0"/>
    <w:rPr>
      <w:sz w:val="18"/>
      <w:szCs w:val="18"/>
    </w:rPr>
  </w:style>
  <w:style w:type="character" w:customStyle="1" w:styleId="58">
    <w:name w:val="页脚 Char"/>
    <w:basedOn w:val="48"/>
    <w:link w:val="28"/>
    <w:autoRedefine/>
    <w:qFormat/>
    <w:uiPriority w:val="99"/>
    <w:rPr>
      <w:sz w:val="18"/>
      <w:szCs w:val="18"/>
    </w:rPr>
  </w:style>
  <w:style w:type="character" w:customStyle="1" w:styleId="59">
    <w:name w:val="标题 1 Char"/>
    <w:basedOn w:val="48"/>
    <w:link w:val="2"/>
    <w:autoRedefine/>
    <w:qFormat/>
    <w:uiPriority w:val="0"/>
    <w:rPr>
      <w:rFonts w:ascii="宋体" w:hAnsi="Times New Roman" w:eastAsia="宋体" w:cs="Times New Roman"/>
      <w:b/>
      <w:bCs/>
      <w:sz w:val="28"/>
      <w:szCs w:val="20"/>
    </w:rPr>
  </w:style>
  <w:style w:type="character" w:customStyle="1" w:styleId="60">
    <w:name w:val="标题 2 Char"/>
    <w:basedOn w:val="48"/>
    <w:link w:val="3"/>
    <w:autoRedefine/>
    <w:qFormat/>
    <w:uiPriority w:val="0"/>
    <w:rPr>
      <w:rFonts w:ascii="Arial" w:hAnsi="Arial" w:eastAsia="黑体" w:cs="Times New Roman"/>
      <w:b/>
      <w:bCs/>
      <w:sz w:val="32"/>
      <w:szCs w:val="32"/>
    </w:rPr>
  </w:style>
  <w:style w:type="character" w:customStyle="1" w:styleId="61">
    <w:name w:val="标题 3 Char"/>
    <w:basedOn w:val="48"/>
    <w:link w:val="4"/>
    <w:autoRedefine/>
    <w:qFormat/>
    <w:uiPriority w:val="0"/>
    <w:rPr>
      <w:rFonts w:ascii="Times New Roman" w:hAnsi="Times New Roman" w:eastAsia="宋体" w:cs="Times New Roman"/>
      <w:b/>
      <w:bCs/>
      <w:sz w:val="32"/>
      <w:szCs w:val="32"/>
    </w:rPr>
  </w:style>
  <w:style w:type="character" w:customStyle="1" w:styleId="62">
    <w:name w:val="标题 4 Char"/>
    <w:basedOn w:val="48"/>
    <w:link w:val="5"/>
    <w:autoRedefine/>
    <w:qFormat/>
    <w:uiPriority w:val="0"/>
    <w:rPr>
      <w:rFonts w:ascii="Cambria" w:hAnsi="Cambria" w:eastAsia="宋体" w:cs="Times New Roman"/>
      <w:b/>
      <w:bCs/>
      <w:sz w:val="28"/>
      <w:szCs w:val="28"/>
    </w:rPr>
  </w:style>
  <w:style w:type="character" w:customStyle="1" w:styleId="63">
    <w:name w:val="标题 5 Char"/>
    <w:basedOn w:val="48"/>
    <w:link w:val="6"/>
    <w:autoRedefine/>
    <w:qFormat/>
    <w:uiPriority w:val="0"/>
    <w:rPr>
      <w:rFonts w:ascii="MS Sans Serif" w:hAnsi="Arial" w:eastAsia="MS Sans Serif" w:cs="Times New Roman"/>
      <w:kern w:val="0"/>
      <w:sz w:val="24"/>
      <w:szCs w:val="20"/>
    </w:rPr>
  </w:style>
  <w:style w:type="character" w:customStyle="1" w:styleId="64">
    <w:name w:val="标题 6 Char"/>
    <w:basedOn w:val="48"/>
    <w:link w:val="7"/>
    <w:autoRedefine/>
    <w:qFormat/>
    <w:uiPriority w:val="0"/>
    <w:rPr>
      <w:rFonts w:ascii="黑体" w:hAnsi="黑体" w:eastAsia="楷体" w:cs="Times New Roman"/>
      <w:b/>
      <w:sz w:val="24"/>
      <w:szCs w:val="20"/>
    </w:rPr>
  </w:style>
  <w:style w:type="character" w:customStyle="1" w:styleId="65">
    <w:name w:val="标题 7 Char"/>
    <w:basedOn w:val="48"/>
    <w:link w:val="10"/>
    <w:autoRedefine/>
    <w:qFormat/>
    <w:uiPriority w:val="0"/>
    <w:rPr>
      <w:rFonts w:ascii="Arial" w:hAnsi="Arial" w:eastAsia="宋体" w:cs="Times New Roman"/>
      <w:b/>
      <w:sz w:val="24"/>
      <w:szCs w:val="20"/>
    </w:rPr>
  </w:style>
  <w:style w:type="character" w:customStyle="1" w:styleId="66">
    <w:name w:val="标题 8 Char"/>
    <w:basedOn w:val="48"/>
    <w:link w:val="11"/>
    <w:autoRedefine/>
    <w:qFormat/>
    <w:uiPriority w:val="0"/>
    <w:rPr>
      <w:rFonts w:ascii="黑体" w:hAnsi="黑体" w:eastAsia="楷体" w:cs="Times New Roman"/>
      <w:sz w:val="24"/>
      <w:szCs w:val="20"/>
    </w:rPr>
  </w:style>
  <w:style w:type="character" w:customStyle="1" w:styleId="67">
    <w:name w:val="标题 9 Char"/>
    <w:basedOn w:val="48"/>
    <w:link w:val="12"/>
    <w:autoRedefine/>
    <w:qFormat/>
    <w:uiPriority w:val="0"/>
    <w:rPr>
      <w:rFonts w:ascii="黑体" w:hAnsi="黑体" w:eastAsia="楷体" w:cs="Times New Roman"/>
      <w:szCs w:val="20"/>
    </w:rPr>
  </w:style>
  <w:style w:type="character" w:customStyle="1" w:styleId="68">
    <w:name w:val="文档结构图 Char"/>
    <w:basedOn w:val="48"/>
    <w:link w:val="16"/>
    <w:autoRedefine/>
    <w:qFormat/>
    <w:uiPriority w:val="0"/>
    <w:rPr>
      <w:rFonts w:ascii="Times New Roman" w:hAnsi="Times New Roman" w:eastAsia="宋体" w:cs="Times New Roman"/>
      <w:szCs w:val="20"/>
      <w:shd w:val="clear" w:color="auto" w:fill="000080"/>
    </w:rPr>
  </w:style>
  <w:style w:type="character" w:customStyle="1" w:styleId="69">
    <w:name w:val="批注文字 Char"/>
    <w:basedOn w:val="48"/>
    <w:link w:val="17"/>
    <w:autoRedefine/>
    <w:qFormat/>
    <w:uiPriority w:val="0"/>
    <w:rPr>
      <w:rFonts w:ascii="Times New Roman" w:hAnsi="Times New Roman" w:eastAsia="宋体" w:cs="Times New Roman"/>
      <w:szCs w:val="20"/>
    </w:rPr>
  </w:style>
  <w:style w:type="character" w:customStyle="1" w:styleId="70">
    <w:name w:val="正文文本 Char"/>
    <w:basedOn w:val="48"/>
    <w:link w:val="18"/>
    <w:autoRedefine/>
    <w:qFormat/>
    <w:uiPriority w:val="0"/>
    <w:rPr>
      <w:rFonts w:ascii="Times New Roman" w:hAnsi="Times New Roman" w:eastAsia="宋体" w:cs="Times New Roman"/>
      <w:szCs w:val="20"/>
    </w:rPr>
  </w:style>
  <w:style w:type="character" w:customStyle="1" w:styleId="71">
    <w:name w:val="正文文本缩进 Char"/>
    <w:basedOn w:val="48"/>
    <w:link w:val="9"/>
    <w:autoRedefine/>
    <w:qFormat/>
    <w:uiPriority w:val="0"/>
    <w:rPr>
      <w:rFonts w:ascii="Times New Roman" w:hAnsi="Times New Roman" w:eastAsia="方正书宋简体" w:cs="Times New Roman"/>
      <w:sz w:val="24"/>
      <w:szCs w:val="20"/>
    </w:rPr>
  </w:style>
  <w:style w:type="character" w:customStyle="1" w:styleId="72">
    <w:name w:val="纯文本 Char"/>
    <w:basedOn w:val="48"/>
    <w:link w:val="23"/>
    <w:autoRedefine/>
    <w:qFormat/>
    <w:uiPriority w:val="0"/>
    <w:rPr>
      <w:rFonts w:ascii="宋体" w:hAnsi="Courier New" w:eastAsia="宋体" w:cs="Times New Roman"/>
      <w:kern w:val="0"/>
      <w:sz w:val="20"/>
      <w:szCs w:val="20"/>
    </w:rPr>
  </w:style>
  <w:style w:type="character" w:customStyle="1" w:styleId="73">
    <w:name w:val="日期 Char"/>
    <w:basedOn w:val="48"/>
    <w:link w:val="25"/>
    <w:autoRedefine/>
    <w:qFormat/>
    <w:uiPriority w:val="0"/>
    <w:rPr>
      <w:rFonts w:ascii="宋体" w:hAnsi="Times New Roman" w:eastAsia="宋体" w:cs="Times New Roman"/>
      <w:sz w:val="24"/>
      <w:szCs w:val="20"/>
    </w:rPr>
  </w:style>
  <w:style w:type="character" w:customStyle="1" w:styleId="74">
    <w:name w:val="正文文本缩进 2 Char"/>
    <w:basedOn w:val="48"/>
    <w:link w:val="26"/>
    <w:autoRedefine/>
    <w:qFormat/>
    <w:uiPriority w:val="0"/>
    <w:rPr>
      <w:rFonts w:ascii="宋体" w:hAnsi="Times New Roman" w:eastAsia="宋体" w:cs="Times New Roman"/>
      <w:sz w:val="24"/>
      <w:szCs w:val="20"/>
    </w:rPr>
  </w:style>
  <w:style w:type="character" w:customStyle="1" w:styleId="75">
    <w:name w:val="批注框文本 Char"/>
    <w:basedOn w:val="48"/>
    <w:link w:val="27"/>
    <w:autoRedefine/>
    <w:qFormat/>
    <w:uiPriority w:val="0"/>
    <w:rPr>
      <w:rFonts w:ascii="Times New Roman" w:hAnsi="Times New Roman" w:eastAsia="宋体" w:cs="Times New Roman"/>
      <w:sz w:val="18"/>
      <w:szCs w:val="18"/>
    </w:rPr>
  </w:style>
  <w:style w:type="character" w:customStyle="1" w:styleId="76">
    <w:name w:val="正文文本缩进 3 Char"/>
    <w:basedOn w:val="48"/>
    <w:link w:val="36"/>
    <w:autoRedefine/>
    <w:qFormat/>
    <w:uiPriority w:val="0"/>
    <w:rPr>
      <w:rFonts w:ascii="宋体" w:hAnsi="Times New Roman" w:eastAsia="宋体" w:cs="Times New Roman"/>
      <w:sz w:val="24"/>
      <w:szCs w:val="20"/>
    </w:rPr>
  </w:style>
  <w:style w:type="character" w:customStyle="1" w:styleId="77">
    <w:name w:val="正文文本 2 Char"/>
    <w:basedOn w:val="48"/>
    <w:link w:val="39"/>
    <w:autoRedefine/>
    <w:qFormat/>
    <w:uiPriority w:val="0"/>
    <w:rPr>
      <w:rFonts w:ascii="Arial" w:hAnsi="Arial" w:eastAsia="宋体" w:cs="Times New Roman"/>
      <w:kern w:val="0"/>
      <w:sz w:val="24"/>
      <w:szCs w:val="24"/>
    </w:rPr>
  </w:style>
  <w:style w:type="character" w:customStyle="1" w:styleId="78">
    <w:name w:val="HTML 预设格式 Char"/>
    <w:basedOn w:val="48"/>
    <w:link w:val="40"/>
    <w:autoRedefine/>
    <w:qFormat/>
    <w:uiPriority w:val="0"/>
    <w:rPr>
      <w:rFonts w:ascii="Courier New" w:hAnsi="Courier New" w:eastAsia="宋体" w:cs="Courier New"/>
      <w:sz w:val="20"/>
      <w:szCs w:val="20"/>
    </w:rPr>
  </w:style>
  <w:style w:type="character" w:customStyle="1" w:styleId="79">
    <w:name w:val="标题 Char"/>
    <w:basedOn w:val="48"/>
    <w:link w:val="42"/>
    <w:autoRedefine/>
    <w:qFormat/>
    <w:uiPriority w:val="0"/>
    <w:rPr>
      <w:rFonts w:ascii="Cambria" w:hAnsi="Cambria" w:eastAsia="宋体" w:cs="Times New Roman"/>
      <w:b/>
      <w:bCs/>
      <w:sz w:val="32"/>
      <w:szCs w:val="32"/>
    </w:rPr>
  </w:style>
  <w:style w:type="character" w:customStyle="1" w:styleId="80">
    <w:name w:val="批注主题 Char"/>
    <w:basedOn w:val="69"/>
    <w:link w:val="43"/>
    <w:autoRedefine/>
    <w:qFormat/>
    <w:uiPriority w:val="0"/>
    <w:rPr>
      <w:b/>
      <w:bCs/>
    </w:rPr>
  </w:style>
  <w:style w:type="character" w:customStyle="1" w:styleId="81">
    <w:name w:val="正文首行缩进 Char"/>
    <w:basedOn w:val="70"/>
    <w:link w:val="44"/>
    <w:autoRedefine/>
    <w:qFormat/>
    <w:uiPriority w:val="0"/>
    <w:rPr>
      <w:szCs w:val="24"/>
    </w:rPr>
  </w:style>
  <w:style w:type="character" w:customStyle="1" w:styleId="82">
    <w:name w:val="正文首行缩进 2 Char"/>
    <w:basedOn w:val="71"/>
    <w:link w:val="45"/>
    <w:autoRedefine/>
    <w:qFormat/>
    <w:uiPriority w:val="0"/>
  </w:style>
  <w:style w:type="paragraph" w:customStyle="1" w:styleId="83">
    <w:name w:val="正文1"/>
    <w:basedOn w:val="1"/>
    <w:autoRedefine/>
    <w:qFormat/>
    <w:uiPriority w:val="0"/>
    <w:pPr>
      <w:tabs>
        <w:tab w:val="left" w:pos="306"/>
      </w:tabs>
      <w:spacing w:line="360" w:lineRule="auto"/>
      <w:ind w:left="306" w:hanging="360"/>
      <w:jc w:val="left"/>
    </w:pPr>
    <w:rPr>
      <w:rFonts w:ascii="宋体" w:hAnsi="宋体"/>
      <w:spacing w:val="4"/>
      <w:sz w:val="18"/>
    </w:rPr>
  </w:style>
  <w:style w:type="character" w:customStyle="1" w:styleId="84">
    <w:name w:val="Char Char18"/>
    <w:autoRedefine/>
    <w:qFormat/>
    <w:uiPriority w:val="0"/>
    <w:rPr>
      <w:rFonts w:ascii="Arial" w:hAnsi="Arial" w:eastAsia="Century Gothic" w:cs="Times New Roman"/>
      <w:b/>
      <w:bCs/>
      <w:kern w:val="44"/>
      <w:sz w:val="44"/>
      <w:szCs w:val="44"/>
    </w:rPr>
  </w:style>
  <w:style w:type="character" w:customStyle="1" w:styleId="85">
    <w:name w:val="font11"/>
    <w:basedOn w:val="48"/>
    <w:autoRedefine/>
    <w:qFormat/>
    <w:uiPriority w:val="0"/>
    <w:rPr>
      <w:rFonts w:hint="eastAsia" w:ascii="宋体" w:hAnsi="宋体" w:eastAsia="宋体" w:cs="宋体"/>
      <w:color w:val="000000"/>
      <w:sz w:val="20"/>
      <w:szCs w:val="20"/>
      <w:u w:val="none"/>
    </w:rPr>
  </w:style>
  <w:style w:type="character" w:customStyle="1" w:styleId="86">
    <w:name w:val="段 Char"/>
    <w:basedOn w:val="48"/>
    <w:autoRedefine/>
    <w:qFormat/>
    <w:uiPriority w:val="0"/>
    <w:rPr>
      <w:rFonts w:ascii="宋体" w:eastAsia="宋体"/>
      <w:sz w:val="21"/>
      <w:lang w:val="en-US" w:eastAsia="zh-CN" w:bidi="ar-SA"/>
    </w:rPr>
  </w:style>
  <w:style w:type="character" w:customStyle="1" w:styleId="87">
    <w:name w:val="正文缩进 Char"/>
    <w:link w:val="8"/>
    <w:autoRedefine/>
    <w:qFormat/>
    <w:uiPriority w:val="0"/>
    <w:rPr>
      <w:rFonts w:ascii="宋体" w:hAnsi="Times New Roman" w:eastAsia="宋体" w:cs="Times New Roman"/>
      <w:kern w:val="0"/>
      <w:szCs w:val="20"/>
    </w:rPr>
  </w:style>
  <w:style w:type="character" w:customStyle="1" w:styleId="88">
    <w:name w:val="Char Char21"/>
    <w:autoRedefine/>
    <w:qFormat/>
    <w:uiPriority w:val="0"/>
    <w:rPr>
      <w:rFonts w:eastAsia="Century Gothic"/>
      <w:b/>
      <w:bCs/>
      <w:kern w:val="44"/>
      <w:sz w:val="32"/>
      <w:szCs w:val="44"/>
      <w:lang w:val="en-US" w:eastAsia="zh-CN" w:bidi="ar-SA"/>
    </w:rPr>
  </w:style>
  <w:style w:type="character" w:customStyle="1" w:styleId="89">
    <w:name w:val="font21"/>
    <w:basedOn w:val="48"/>
    <w:autoRedefine/>
    <w:qFormat/>
    <w:uiPriority w:val="0"/>
    <w:rPr>
      <w:rFonts w:hint="eastAsia" w:ascii="宋体" w:hAnsi="宋体" w:eastAsia="宋体" w:cs="宋体"/>
      <w:color w:val="000000"/>
      <w:sz w:val="20"/>
      <w:szCs w:val="20"/>
      <w:u w:val="none"/>
      <w:vertAlign w:val="superscript"/>
    </w:rPr>
  </w:style>
  <w:style w:type="character" w:customStyle="1" w:styleId="90">
    <w:name w:val="tpc_content1"/>
    <w:autoRedefine/>
    <w:qFormat/>
    <w:uiPriority w:val="0"/>
    <w:rPr>
      <w:sz w:val="20"/>
      <w:szCs w:val="20"/>
    </w:rPr>
  </w:style>
  <w:style w:type="character" w:customStyle="1" w:styleId="91">
    <w:name w:val="标题 1 Char Char"/>
    <w:autoRedefine/>
    <w:qFormat/>
    <w:uiPriority w:val="0"/>
    <w:rPr>
      <w:rFonts w:eastAsia="宋体"/>
      <w:b/>
      <w:spacing w:val="-2"/>
      <w:sz w:val="24"/>
      <w:lang w:val="en-US" w:eastAsia="zh-CN" w:bidi="ar-SA"/>
    </w:rPr>
  </w:style>
  <w:style w:type="character" w:customStyle="1" w:styleId="92">
    <w:name w:val="zbggmain style9"/>
    <w:autoRedefine/>
    <w:qFormat/>
    <w:uiPriority w:val="0"/>
    <w:rPr>
      <w:rFonts w:ascii="Courier New" w:eastAsia="Courier New"/>
      <w:b/>
      <w:kern w:val="2"/>
      <w:sz w:val="32"/>
      <w:szCs w:val="32"/>
      <w:lang w:val="en-US" w:eastAsia="zh-CN" w:bidi="ar-SA"/>
    </w:rPr>
  </w:style>
  <w:style w:type="character" w:customStyle="1" w:styleId="93">
    <w:name w:val="正文标准 Char Char"/>
    <w:link w:val="94"/>
    <w:autoRedefine/>
    <w:qFormat/>
    <w:uiPriority w:val="0"/>
    <w:rPr>
      <w:rFonts w:ascii="Arial" w:hAnsi="Arial"/>
      <w:sz w:val="24"/>
      <w:szCs w:val="21"/>
    </w:rPr>
  </w:style>
  <w:style w:type="paragraph" w:customStyle="1" w:styleId="94">
    <w:name w:val="正文标准"/>
    <w:basedOn w:val="1"/>
    <w:link w:val="93"/>
    <w:autoRedefine/>
    <w:qFormat/>
    <w:uiPriority w:val="0"/>
    <w:pPr>
      <w:spacing w:beforeLines="50"/>
      <w:ind w:firstLine="200" w:firstLineChars="200"/>
    </w:pPr>
    <w:rPr>
      <w:rFonts w:ascii="Arial" w:hAnsi="Arial" w:eastAsiaTheme="minorEastAsia" w:cstheme="minorBidi"/>
      <w:sz w:val="24"/>
      <w:szCs w:val="21"/>
    </w:rPr>
  </w:style>
  <w:style w:type="character" w:customStyle="1" w:styleId="95">
    <w:name w:val="BOD 0 Char"/>
    <w:autoRedefine/>
    <w:qFormat/>
    <w:uiPriority w:val="0"/>
    <w:rPr>
      <w:rFonts w:ascii="Calibri" w:hAnsi="Calibri" w:eastAsia="宋体" w:cs="Times New Roman"/>
      <w:b/>
      <w:bCs/>
      <w:sz w:val="32"/>
      <w:szCs w:val="32"/>
    </w:rPr>
  </w:style>
  <w:style w:type="character" w:customStyle="1" w:styleId="96">
    <w:name w:val="页脚 Char Char"/>
    <w:autoRedefine/>
    <w:qFormat/>
    <w:uiPriority w:val="0"/>
    <w:rPr>
      <w:rFonts w:ascii="Calibri" w:hAnsi="Calibri" w:eastAsia="宋体" w:cs="Times New Roman"/>
      <w:sz w:val="18"/>
      <w:szCs w:val="18"/>
    </w:rPr>
  </w:style>
  <w:style w:type="character" w:customStyle="1" w:styleId="97">
    <w:name w:val="style1"/>
    <w:basedOn w:val="48"/>
    <w:autoRedefine/>
    <w:qFormat/>
    <w:uiPriority w:val="0"/>
  </w:style>
  <w:style w:type="character" w:customStyle="1" w:styleId="98">
    <w:name w:val="正文文本缩进 2 Char Char"/>
    <w:basedOn w:val="48"/>
    <w:autoRedefine/>
    <w:qFormat/>
    <w:uiPriority w:val="0"/>
    <w:rPr>
      <w:rFonts w:ascii="宋体" w:eastAsia="宋体"/>
      <w:kern w:val="2"/>
      <w:sz w:val="24"/>
      <w:lang w:val="en-US" w:eastAsia="zh-CN" w:bidi="ar-SA"/>
    </w:rPr>
  </w:style>
  <w:style w:type="character" w:customStyle="1" w:styleId="99">
    <w:name w:val="font41"/>
    <w:basedOn w:val="48"/>
    <w:autoRedefine/>
    <w:qFormat/>
    <w:uiPriority w:val="0"/>
    <w:rPr>
      <w:rFonts w:hint="eastAsia" w:ascii="宋体" w:hAnsi="宋体" w:eastAsia="宋体" w:cs="宋体"/>
      <w:color w:val="000000"/>
      <w:sz w:val="20"/>
      <w:szCs w:val="20"/>
      <w:u w:val="none"/>
      <w:vertAlign w:val="superscript"/>
    </w:rPr>
  </w:style>
  <w:style w:type="character" w:customStyle="1" w:styleId="100">
    <w:name w:val="标题 4 Char Char"/>
    <w:autoRedefine/>
    <w:qFormat/>
    <w:uiPriority w:val="0"/>
    <w:rPr>
      <w:rFonts w:ascii="Times New Roman" w:hAnsi="Times New Roman" w:eastAsia="宋体" w:cs="Times New Roman"/>
      <w:sz w:val="24"/>
      <w:szCs w:val="20"/>
    </w:rPr>
  </w:style>
  <w:style w:type="character" w:customStyle="1" w:styleId="101">
    <w:name w:val="BOD 0 Char1"/>
    <w:autoRedefine/>
    <w:qFormat/>
    <w:uiPriority w:val="0"/>
    <w:rPr>
      <w:rFonts w:ascii="Arial" w:hAnsi="Arial" w:eastAsia="宋体" w:cs="Times New Roman"/>
      <w:b/>
      <w:bCs/>
      <w:sz w:val="32"/>
      <w:szCs w:val="32"/>
    </w:rPr>
  </w:style>
  <w:style w:type="character" w:customStyle="1" w:styleId="102">
    <w:name w:val="正文文本 Char Char"/>
    <w:autoRedefine/>
    <w:qFormat/>
    <w:uiPriority w:val="0"/>
    <w:rPr>
      <w:rFonts w:ascii="Calibri" w:hAnsi="Calibri" w:eastAsia="宋体" w:cs="Times New Roman"/>
    </w:rPr>
  </w:style>
  <w:style w:type="character" w:customStyle="1" w:styleId="103">
    <w:name w:val="zbggtop11 style5"/>
    <w:basedOn w:val="48"/>
    <w:autoRedefine/>
    <w:qFormat/>
    <w:uiPriority w:val="0"/>
  </w:style>
  <w:style w:type="character" w:customStyle="1" w:styleId="104">
    <w:name w:val="Char Char12"/>
    <w:autoRedefine/>
    <w:qFormat/>
    <w:uiPriority w:val="0"/>
    <w:rPr>
      <w:rFonts w:ascii="Century Gothic" w:hAnsi="楷体_GB2312" w:eastAsia="Century Gothic" w:cs="楷体_GB2312"/>
      <w:kern w:val="2"/>
      <w:sz w:val="21"/>
      <w:szCs w:val="21"/>
      <w:lang w:val="en-US" w:eastAsia="zh-CN" w:bidi="ar-SA"/>
    </w:rPr>
  </w:style>
  <w:style w:type="character" w:customStyle="1" w:styleId="105">
    <w:name w:val="Char Char Char"/>
    <w:autoRedefine/>
    <w:qFormat/>
    <w:uiPriority w:val="0"/>
    <w:rPr>
      <w:rFonts w:ascii="Courier New" w:eastAsia="Courier New"/>
      <w:color w:val="FF0000"/>
      <w:kern w:val="2"/>
      <w:sz w:val="24"/>
      <w:szCs w:val="24"/>
      <w:u w:val="single"/>
      <w:lang w:val="en-US" w:eastAsia="zh-CN" w:bidi="ar-SA"/>
    </w:rPr>
  </w:style>
  <w:style w:type="character" w:customStyle="1" w:styleId="106">
    <w:name w:val="正文文本缩进 Char Char"/>
    <w:autoRedefine/>
    <w:qFormat/>
    <w:uiPriority w:val="0"/>
    <w:rPr>
      <w:kern w:val="2"/>
      <w:sz w:val="21"/>
      <w:szCs w:val="24"/>
    </w:rPr>
  </w:style>
  <w:style w:type="character" w:customStyle="1" w:styleId="107">
    <w:name w:val="标题 Char Char"/>
    <w:autoRedefine/>
    <w:qFormat/>
    <w:uiPriority w:val="0"/>
    <w:rPr>
      <w:rFonts w:ascii="Cambria" w:hAnsi="Cambria" w:eastAsia="宋体" w:cs="Times New Roman"/>
      <w:b/>
      <w:bCs/>
      <w:sz w:val="32"/>
      <w:szCs w:val="32"/>
    </w:rPr>
  </w:style>
  <w:style w:type="character" w:customStyle="1" w:styleId="108">
    <w:name w:val="普通文字 Char Char1"/>
    <w:autoRedefine/>
    <w:qFormat/>
    <w:uiPriority w:val="0"/>
    <w:rPr>
      <w:rFonts w:ascii="Century Gothic" w:hAnsi="楷体_GB2312" w:eastAsia="Century Gothic" w:cs="楷体_GB2312"/>
      <w:kern w:val="2"/>
      <w:sz w:val="21"/>
      <w:szCs w:val="21"/>
      <w:lang w:val="en-US" w:eastAsia="zh-CN" w:bidi="ar-SA"/>
    </w:rPr>
  </w:style>
  <w:style w:type="character" w:customStyle="1" w:styleId="109">
    <w:name w:val="font31"/>
    <w:basedOn w:val="48"/>
    <w:autoRedefine/>
    <w:qFormat/>
    <w:uiPriority w:val="0"/>
    <w:rPr>
      <w:rFonts w:hint="eastAsia" w:ascii="宋体" w:hAnsi="宋体" w:eastAsia="宋体" w:cs="宋体"/>
      <w:color w:val="000000"/>
      <w:sz w:val="20"/>
      <w:szCs w:val="20"/>
      <w:u w:val="none"/>
      <w:vertAlign w:val="superscript"/>
    </w:rPr>
  </w:style>
  <w:style w:type="character" w:customStyle="1" w:styleId="110">
    <w:name w:val="H4 Char"/>
    <w:autoRedefine/>
    <w:qFormat/>
    <w:uiPriority w:val="0"/>
    <w:rPr>
      <w:rFonts w:ascii="Arial" w:hAnsi="Arial" w:eastAsia="黑体" w:cs="Times New Roman"/>
      <w:b/>
      <w:bCs/>
      <w:sz w:val="28"/>
      <w:szCs w:val="28"/>
    </w:rPr>
  </w:style>
  <w:style w:type="character" w:customStyle="1" w:styleId="111">
    <w:name w:val="bulletintext1"/>
    <w:autoRedefine/>
    <w:qFormat/>
    <w:uiPriority w:val="0"/>
    <w:rPr>
      <w:color w:val="000000"/>
      <w:sz w:val="18"/>
    </w:rPr>
  </w:style>
  <w:style w:type="character" w:customStyle="1" w:styleId="112">
    <w:name w:val="font01"/>
    <w:basedOn w:val="48"/>
    <w:autoRedefine/>
    <w:qFormat/>
    <w:uiPriority w:val="0"/>
    <w:rPr>
      <w:rFonts w:hint="eastAsia" w:ascii="宋体" w:hAnsi="宋体" w:eastAsia="宋体" w:cs="宋体"/>
      <w:color w:val="000000"/>
      <w:sz w:val="24"/>
      <w:szCs w:val="24"/>
      <w:u w:val="none"/>
    </w:rPr>
  </w:style>
  <w:style w:type="character" w:customStyle="1" w:styleId="113">
    <w:name w:val="批注引用1"/>
    <w:autoRedefine/>
    <w:qFormat/>
    <w:uiPriority w:val="0"/>
    <w:rPr>
      <w:sz w:val="21"/>
      <w:szCs w:val="21"/>
    </w:rPr>
  </w:style>
  <w:style w:type="character" w:customStyle="1" w:styleId="114">
    <w:name w:val="表格抬头 Char Char"/>
    <w:link w:val="115"/>
    <w:autoRedefine/>
    <w:qFormat/>
    <w:uiPriority w:val="0"/>
    <w:rPr>
      <w:rFonts w:ascii="黑体" w:eastAsia="黑体"/>
      <w:b/>
    </w:rPr>
  </w:style>
  <w:style w:type="paragraph" w:customStyle="1" w:styleId="115">
    <w:name w:val="表格抬头"/>
    <w:basedOn w:val="1"/>
    <w:link w:val="114"/>
    <w:autoRedefine/>
    <w:qFormat/>
    <w:uiPriority w:val="0"/>
    <w:pPr>
      <w:jc w:val="center"/>
    </w:pPr>
    <w:rPr>
      <w:rFonts w:ascii="黑体" w:eastAsia="黑体" w:hAnsiTheme="minorHAnsi" w:cstheme="minorBidi"/>
      <w:b/>
      <w:szCs w:val="22"/>
    </w:rPr>
  </w:style>
  <w:style w:type="character" w:customStyle="1" w:styleId="116">
    <w:name w:val="批注框文本 Char Char"/>
    <w:autoRedefine/>
    <w:qFormat/>
    <w:uiPriority w:val="0"/>
    <w:rPr>
      <w:rFonts w:ascii="Calibri" w:hAnsi="Calibri" w:eastAsia="宋体" w:cs="Times New Roman"/>
      <w:sz w:val="16"/>
      <w:szCs w:val="16"/>
    </w:rPr>
  </w:style>
  <w:style w:type="character" w:customStyle="1" w:styleId="117">
    <w:name w:val="标准文本 Char Char"/>
    <w:link w:val="118"/>
    <w:autoRedefine/>
    <w:qFormat/>
    <w:uiPriority w:val="0"/>
    <w:rPr>
      <w:rFonts w:ascii="Arial" w:hAnsi="Arial"/>
      <w:sz w:val="24"/>
    </w:rPr>
  </w:style>
  <w:style w:type="paragraph" w:customStyle="1" w:styleId="118">
    <w:name w:val="标准文本"/>
    <w:basedOn w:val="1"/>
    <w:link w:val="117"/>
    <w:autoRedefine/>
    <w:qFormat/>
    <w:uiPriority w:val="0"/>
    <w:pPr>
      <w:spacing w:line="360" w:lineRule="auto"/>
      <w:ind w:firstLine="480" w:firstLineChars="200"/>
    </w:pPr>
    <w:rPr>
      <w:rFonts w:ascii="Arial" w:hAnsi="Arial" w:eastAsiaTheme="minorEastAsia" w:cstheme="minorBidi"/>
      <w:sz w:val="24"/>
      <w:szCs w:val="22"/>
    </w:rPr>
  </w:style>
  <w:style w:type="character" w:customStyle="1" w:styleId="119">
    <w:name w:val="font81"/>
    <w:basedOn w:val="48"/>
    <w:autoRedefine/>
    <w:qFormat/>
    <w:uiPriority w:val="0"/>
    <w:rPr>
      <w:rFonts w:hint="eastAsia" w:ascii="宋体" w:hAnsi="宋体" w:eastAsia="宋体" w:cs="宋体"/>
      <w:color w:val="000000"/>
      <w:sz w:val="16"/>
      <w:szCs w:val="16"/>
      <w:u w:val="none"/>
    </w:rPr>
  </w:style>
  <w:style w:type="character" w:customStyle="1" w:styleId="120">
    <w:name w:val="页眉 Char Char"/>
    <w:autoRedefine/>
    <w:qFormat/>
    <w:uiPriority w:val="0"/>
    <w:rPr>
      <w:rFonts w:ascii="Calibri" w:hAnsi="Calibri" w:eastAsia="宋体" w:cs="Times New Roman"/>
      <w:sz w:val="18"/>
      <w:szCs w:val="18"/>
    </w:rPr>
  </w:style>
  <w:style w:type="character" w:customStyle="1" w:styleId="121">
    <w:name w:val="font61"/>
    <w:basedOn w:val="48"/>
    <w:autoRedefine/>
    <w:qFormat/>
    <w:uiPriority w:val="0"/>
    <w:rPr>
      <w:rFonts w:hint="default" w:ascii="Times New Roman" w:hAnsi="Times New Roman" w:cs="Times New Roman"/>
      <w:color w:val="000000"/>
      <w:sz w:val="20"/>
      <w:szCs w:val="20"/>
      <w:u w:val="none"/>
    </w:rPr>
  </w:style>
  <w:style w:type="character" w:customStyle="1" w:styleId="122">
    <w:name w:val="font71"/>
    <w:basedOn w:val="48"/>
    <w:autoRedefine/>
    <w:qFormat/>
    <w:uiPriority w:val="0"/>
    <w:rPr>
      <w:rFonts w:hint="default" w:ascii="Times New Roman" w:hAnsi="Times New Roman" w:cs="Times New Roman"/>
      <w:color w:val="000000"/>
      <w:sz w:val="20"/>
      <w:szCs w:val="20"/>
      <w:u w:val="none"/>
    </w:rPr>
  </w:style>
  <w:style w:type="character" w:customStyle="1" w:styleId="123">
    <w:name w:val="font51"/>
    <w:basedOn w:val="48"/>
    <w:autoRedefine/>
    <w:qFormat/>
    <w:uiPriority w:val="0"/>
    <w:rPr>
      <w:rFonts w:hint="eastAsia" w:ascii="宋体" w:hAnsi="宋体" w:eastAsia="宋体" w:cs="宋体"/>
      <w:color w:val="000000"/>
      <w:sz w:val="20"/>
      <w:szCs w:val="20"/>
      <w:u w:val="none"/>
    </w:rPr>
  </w:style>
  <w:style w:type="character" w:customStyle="1" w:styleId="124">
    <w:name w:val="标题 3 Char Char"/>
    <w:autoRedefine/>
    <w:qFormat/>
    <w:uiPriority w:val="0"/>
    <w:rPr>
      <w:rFonts w:ascii="Times New Roman" w:hAnsi="Times New Roman" w:eastAsia="宋体" w:cs="Times New Roman"/>
      <w:kern w:val="0"/>
      <w:sz w:val="24"/>
      <w:szCs w:val="20"/>
    </w:rPr>
  </w:style>
  <w:style w:type="character" w:customStyle="1" w:styleId="125">
    <w:name w:val="段 Char Char"/>
    <w:basedOn w:val="48"/>
    <w:link w:val="126"/>
    <w:autoRedefine/>
    <w:qFormat/>
    <w:uiPriority w:val="0"/>
    <w:rPr>
      <w:rFonts w:ascii="宋体"/>
    </w:rPr>
  </w:style>
  <w:style w:type="paragraph" w:customStyle="1" w:styleId="126">
    <w:name w:val="段"/>
    <w:link w:val="125"/>
    <w:autoRedefine/>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127">
    <w:name w:val="纯文本 Char Char"/>
    <w:autoRedefine/>
    <w:qFormat/>
    <w:uiPriority w:val="0"/>
    <w:rPr>
      <w:rFonts w:ascii="宋体" w:hAnsi="Courier New" w:cs="Courier New"/>
      <w:kern w:val="2"/>
      <w:sz w:val="21"/>
      <w:szCs w:val="21"/>
    </w:rPr>
  </w:style>
  <w:style w:type="character" w:customStyle="1" w:styleId="128">
    <w:name w:val="H4 Char1"/>
    <w:autoRedefine/>
    <w:qFormat/>
    <w:uiPriority w:val="0"/>
    <w:rPr>
      <w:rFonts w:ascii="MS Sans Serif" w:hAnsi="仿宋_GB2312" w:eastAsia="MS Sans Serif" w:cs="Times New Roman"/>
      <w:snapToGrid w:val="0"/>
      <w:kern w:val="0"/>
      <w:sz w:val="24"/>
      <w:szCs w:val="20"/>
    </w:rPr>
  </w:style>
  <w:style w:type="character" w:customStyle="1" w:styleId="129">
    <w:name w:val="Char Char121"/>
    <w:autoRedefine/>
    <w:qFormat/>
    <w:uiPriority w:val="0"/>
    <w:rPr>
      <w:rFonts w:ascii="Century Gothic" w:hAnsi="Century Gothic" w:eastAsia="Century Gothic" w:cs="Arial"/>
      <w:sz w:val="24"/>
    </w:rPr>
  </w:style>
  <w:style w:type="character" w:customStyle="1" w:styleId="130">
    <w:name w:val="Char Char Char Char Char Char"/>
    <w:autoRedefine/>
    <w:qFormat/>
    <w:uiPriority w:val="0"/>
    <w:rPr>
      <w:rFonts w:ascii="宋体" w:hAnsi="Courier New"/>
      <w:kern w:val="2"/>
      <w:sz w:val="24"/>
      <w:szCs w:val="24"/>
    </w:rPr>
  </w:style>
  <w:style w:type="character" w:customStyle="1" w:styleId="131">
    <w:name w:val="批注文字 Char Char"/>
    <w:autoRedefine/>
    <w:qFormat/>
    <w:uiPriority w:val="0"/>
    <w:rPr>
      <w:rFonts w:ascii="Calibri" w:hAnsi="Calibri" w:eastAsia="宋体" w:cs="Times New Roman"/>
    </w:rPr>
  </w:style>
  <w:style w:type="character" w:customStyle="1" w:styleId="132">
    <w:name w:val="批注主题 Char Char"/>
    <w:link w:val="133"/>
    <w:qFormat/>
    <w:uiPriority w:val="0"/>
    <w:rPr>
      <w:rFonts w:ascii="Calibri" w:hAnsi="Calibri"/>
      <w:b/>
      <w:bCs/>
    </w:rPr>
  </w:style>
  <w:style w:type="paragraph" w:customStyle="1" w:styleId="133">
    <w:name w:val="批注主题1"/>
    <w:basedOn w:val="17"/>
    <w:next w:val="17"/>
    <w:link w:val="132"/>
    <w:autoRedefine/>
    <w:qFormat/>
    <w:uiPriority w:val="0"/>
    <w:rPr>
      <w:rFonts w:ascii="Calibri" w:hAnsi="Calibri" w:eastAsiaTheme="minorEastAsia" w:cstheme="minorBidi"/>
      <w:b/>
      <w:bCs/>
      <w:szCs w:val="22"/>
    </w:rPr>
  </w:style>
  <w:style w:type="character" w:customStyle="1" w:styleId="134">
    <w:name w:val="pagename"/>
    <w:basedOn w:val="48"/>
    <w:qFormat/>
    <w:uiPriority w:val="0"/>
  </w:style>
  <w:style w:type="character" w:customStyle="1" w:styleId="135">
    <w:name w:val="font101"/>
    <w:basedOn w:val="48"/>
    <w:autoRedefine/>
    <w:qFormat/>
    <w:uiPriority w:val="0"/>
    <w:rPr>
      <w:rFonts w:hint="default" w:ascii="Times New Roman" w:hAnsi="Times New Roman" w:cs="Times New Roman"/>
      <w:color w:val="000000"/>
      <w:sz w:val="20"/>
      <w:szCs w:val="20"/>
      <w:u w:val="none"/>
    </w:rPr>
  </w:style>
  <w:style w:type="character" w:customStyle="1" w:styleId="136">
    <w:name w:val="文档结构图 Char Char"/>
    <w:link w:val="137"/>
    <w:qFormat/>
    <w:uiPriority w:val="0"/>
    <w:rPr>
      <w:rFonts w:ascii="Tahoma" w:hAnsi="Tahoma"/>
      <w:sz w:val="16"/>
      <w:szCs w:val="16"/>
    </w:rPr>
  </w:style>
  <w:style w:type="paragraph" w:customStyle="1" w:styleId="137">
    <w:name w:val="文档结构图1"/>
    <w:basedOn w:val="1"/>
    <w:link w:val="136"/>
    <w:qFormat/>
    <w:uiPriority w:val="0"/>
    <w:rPr>
      <w:rFonts w:ascii="Tahoma" w:hAnsi="Tahoma" w:eastAsiaTheme="minorEastAsia" w:cstheme="minorBidi"/>
      <w:sz w:val="16"/>
      <w:szCs w:val="16"/>
    </w:rPr>
  </w:style>
  <w:style w:type="paragraph" w:customStyle="1" w:styleId="138">
    <w:name w:val="正文文字格式"/>
    <w:basedOn w:val="1"/>
    <w:autoRedefine/>
    <w:qFormat/>
    <w:uiPriority w:val="0"/>
    <w:pPr>
      <w:spacing w:line="460" w:lineRule="exact"/>
      <w:ind w:firstLine="505"/>
      <w:jc w:val="left"/>
    </w:pPr>
    <w:rPr>
      <w:rFonts w:ascii="Century Gothic" w:hAnsi="Arial" w:cs="Arial"/>
      <w:kern w:val="24"/>
      <w:sz w:val="24"/>
    </w:rPr>
  </w:style>
  <w:style w:type="paragraph" w:customStyle="1" w:styleId="139">
    <w:name w:val="四级条标题"/>
    <w:basedOn w:val="140"/>
    <w:next w:val="126"/>
    <w:autoRedefine/>
    <w:qFormat/>
    <w:uiPriority w:val="0"/>
    <w:pPr>
      <w:outlineLvl w:val="5"/>
    </w:pPr>
  </w:style>
  <w:style w:type="paragraph" w:customStyle="1" w:styleId="140">
    <w:name w:val="三级条标题"/>
    <w:basedOn w:val="141"/>
    <w:next w:val="126"/>
    <w:autoRedefine/>
    <w:qFormat/>
    <w:uiPriority w:val="0"/>
    <w:pPr>
      <w:outlineLvl w:val="4"/>
    </w:pPr>
  </w:style>
  <w:style w:type="paragraph" w:customStyle="1" w:styleId="141">
    <w:name w:val="二级条标题"/>
    <w:basedOn w:val="142"/>
    <w:next w:val="126"/>
    <w:autoRedefine/>
    <w:qFormat/>
    <w:uiPriority w:val="0"/>
    <w:pPr>
      <w:spacing w:beforeLines="0" w:afterLines="0"/>
      <w:outlineLvl w:val="3"/>
    </w:pPr>
  </w:style>
  <w:style w:type="paragraph" w:customStyle="1" w:styleId="142">
    <w:name w:val="一级条标题"/>
    <w:next w:val="126"/>
    <w:autoRedefine/>
    <w:qFormat/>
    <w:uiPriority w:val="0"/>
    <w:pPr>
      <w:spacing w:beforeLines="50" w:afterLines="50"/>
      <w:ind w:left="824"/>
      <w:outlineLvl w:val="2"/>
    </w:pPr>
    <w:rPr>
      <w:rFonts w:ascii="黑体" w:hAnsi="Times New Roman" w:eastAsia="黑体" w:cs="Times New Roman"/>
      <w:kern w:val="0"/>
      <w:sz w:val="21"/>
      <w:szCs w:val="21"/>
      <w:lang w:val="en-US" w:eastAsia="zh-CN" w:bidi="ar-SA"/>
    </w:rPr>
  </w:style>
  <w:style w:type="paragraph" w:customStyle="1" w:styleId="143">
    <w:name w:val="标书标题3"/>
    <w:basedOn w:val="4"/>
    <w:autoRedefine/>
    <w:qFormat/>
    <w:uiPriority w:val="0"/>
    <w:pPr>
      <w:keepLines w:val="0"/>
      <w:widowControl/>
      <w:adjustRightInd w:val="0"/>
      <w:snapToGrid w:val="0"/>
      <w:spacing w:before="120" w:after="60" w:line="300" w:lineRule="auto"/>
      <w:jc w:val="left"/>
    </w:pPr>
    <w:rPr>
      <w:rFonts w:ascii="Arial" w:hAnsi="Arial" w:eastAsia="Courier New"/>
      <w:b w:val="0"/>
      <w:bCs w:val="0"/>
      <w:color w:val="000000"/>
      <w:kern w:val="0"/>
      <w:sz w:val="28"/>
    </w:rPr>
  </w:style>
  <w:style w:type="paragraph" w:customStyle="1" w:styleId="144">
    <w:name w:val="标书标题2"/>
    <w:basedOn w:val="3"/>
    <w:autoRedefine/>
    <w:qFormat/>
    <w:uiPriority w:val="0"/>
    <w:pPr>
      <w:keepLines w:val="0"/>
      <w:widowControl/>
      <w:tabs>
        <w:tab w:val="left" w:pos="1320"/>
      </w:tabs>
      <w:adjustRightInd w:val="0"/>
      <w:snapToGrid w:val="0"/>
      <w:spacing w:beforeLines="50" w:after="60" w:line="300" w:lineRule="auto"/>
      <w:ind w:left="1320" w:hanging="420"/>
    </w:pPr>
    <w:rPr>
      <w:rFonts w:ascii="黑体" w:hAnsi="黑体" w:eastAsia="Courier New" w:cs="Arial"/>
      <w:color w:val="000000"/>
      <w:kern w:val="0"/>
      <w:sz w:val="28"/>
      <w:szCs w:val="20"/>
    </w:rPr>
  </w:style>
  <w:style w:type="paragraph" w:customStyle="1" w:styleId="145">
    <w:name w:val="Char1"/>
    <w:basedOn w:val="1"/>
    <w:qFormat/>
    <w:uiPriority w:val="0"/>
    <w:pPr>
      <w:ind w:firstLine="200" w:firstLineChars="200"/>
    </w:pPr>
  </w:style>
  <w:style w:type="paragraph" w:customStyle="1" w:styleId="146">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47">
    <w:name w:val="五级条标题"/>
    <w:basedOn w:val="139"/>
    <w:next w:val="126"/>
    <w:autoRedefine/>
    <w:qFormat/>
    <w:uiPriority w:val="0"/>
    <w:pPr>
      <w:outlineLvl w:val="6"/>
    </w:pPr>
  </w:style>
  <w:style w:type="paragraph" w:customStyle="1" w:styleId="148">
    <w:name w:val="正文首行缩进1"/>
    <w:basedOn w:val="1"/>
    <w:autoRedefine/>
    <w:qFormat/>
    <w:uiPriority w:val="0"/>
    <w:pPr>
      <w:autoSpaceDE w:val="0"/>
      <w:autoSpaceDN w:val="0"/>
      <w:adjustRightInd w:val="0"/>
      <w:snapToGrid w:val="0"/>
      <w:spacing w:line="360" w:lineRule="auto"/>
      <w:ind w:firstLine="425"/>
    </w:pPr>
    <w:rPr>
      <w:rFonts w:ascii="Calibri" w:hAnsi="Calibri"/>
      <w:kern w:val="0"/>
      <w:sz w:val="20"/>
    </w:rPr>
  </w:style>
  <w:style w:type="paragraph" w:customStyle="1" w:styleId="149">
    <w:name w:val="Char Char9 Char Char"/>
    <w:basedOn w:val="1"/>
    <w:autoRedefine/>
    <w:qFormat/>
    <w:uiPriority w:val="0"/>
    <w:pPr>
      <w:ind w:firstLine="200" w:firstLineChars="200"/>
    </w:pPr>
  </w:style>
  <w:style w:type="paragraph" w:customStyle="1" w:styleId="150">
    <w:name w:val="_Style 61"/>
    <w:basedOn w:val="1"/>
    <w:autoRedefine/>
    <w:qFormat/>
    <w:uiPriority w:val="0"/>
    <w:pPr>
      <w:widowControl/>
      <w:spacing w:after="160" w:line="240" w:lineRule="exact"/>
      <w:jc w:val="left"/>
    </w:pPr>
    <w:rPr>
      <w:szCs w:val="24"/>
    </w:rPr>
  </w:style>
  <w:style w:type="paragraph" w:customStyle="1" w:styleId="151">
    <w:name w:val="p15"/>
    <w:basedOn w:val="1"/>
    <w:autoRedefine/>
    <w:qFormat/>
    <w:uiPriority w:val="0"/>
    <w:pPr>
      <w:widowControl/>
      <w:snapToGrid w:val="0"/>
      <w:spacing w:line="360" w:lineRule="auto"/>
      <w:ind w:firstLine="420"/>
      <w:jc w:val="left"/>
    </w:pPr>
    <w:rPr>
      <w:rFonts w:ascii="Arial" w:hAnsi="Arial" w:cs="Arial"/>
      <w:kern w:val="0"/>
      <w:sz w:val="24"/>
      <w:szCs w:val="24"/>
    </w:rPr>
  </w:style>
  <w:style w:type="paragraph" w:customStyle="1" w:styleId="152">
    <w:name w:val="Char Char Char Char Char Char Char"/>
    <w:basedOn w:val="1"/>
    <w:autoRedefine/>
    <w:qFormat/>
    <w:uiPriority w:val="0"/>
    <w:pPr>
      <w:tabs>
        <w:tab w:val="left" w:pos="432"/>
      </w:tabs>
      <w:ind w:left="432" w:hanging="432"/>
    </w:pPr>
    <w:rPr>
      <w:rFonts w:ascii="Tahoma" w:hAnsi="Tahoma"/>
      <w:sz w:val="24"/>
    </w:rPr>
  </w:style>
  <w:style w:type="paragraph" w:customStyle="1" w:styleId="15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54">
    <w:name w:val="二级无"/>
    <w:basedOn w:val="141"/>
    <w:autoRedefine/>
    <w:qFormat/>
    <w:uiPriority w:val="0"/>
    <w:pPr>
      <w:ind w:left="1236"/>
    </w:pPr>
    <w:rPr>
      <w:rFonts w:ascii="宋体" w:eastAsia="宋体"/>
    </w:rPr>
  </w:style>
  <w:style w:type="paragraph" w:customStyle="1" w:styleId="155">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56">
    <w:name w:val="p19"/>
    <w:basedOn w:val="1"/>
    <w:autoRedefine/>
    <w:qFormat/>
    <w:uiPriority w:val="0"/>
    <w:pPr>
      <w:widowControl/>
      <w:pBdr>
        <w:bottom w:val="single" w:color="000000" w:sz="6" w:space="1"/>
      </w:pBdr>
      <w:jc w:val="center"/>
    </w:pPr>
    <w:rPr>
      <w:rFonts w:ascii="Calibri" w:hAnsi="Calibri" w:cs="宋体"/>
      <w:kern w:val="0"/>
      <w:sz w:val="18"/>
      <w:szCs w:val="18"/>
    </w:rPr>
  </w:style>
  <w:style w:type="paragraph" w:customStyle="1" w:styleId="157">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58">
    <w:name w:val="Blockquote"/>
    <w:basedOn w:val="1"/>
    <w:autoRedefine/>
    <w:qFormat/>
    <w:uiPriority w:val="0"/>
    <w:pPr>
      <w:autoSpaceDE w:val="0"/>
      <w:autoSpaceDN w:val="0"/>
      <w:adjustRightInd w:val="0"/>
      <w:spacing w:before="100" w:after="100"/>
      <w:ind w:left="360" w:right="360"/>
      <w:jc w:val="left"/>
    </w:pPr>
    <w:rPr>
      <w:rFonts w:ascii="Arial" w:hAnsi="Arial" w:cs="Arial"/>
      <w:kern w:val="0"/>
      <w:sz w:val="24"/>
    </w:rPr>
  </w:style>
  <w:style w:type="paragraph" w:customStyle="1" w:styleId="159">
    <w:name w:val="标书标题4"/>
    <w:basedOn w:val="5"/>
    <w:autoRedefine/>
    <w:qFormat/>
    <w:uiPriority w:val="0"/>
    <w:pPr>
      <w:keepLines w:val="0"/>
      <w:adjustRightInd w:val="0"/>
      <w:snapToGrid w:val="0"/>
      <w:spacing w:before="0" w:after="0" w:line="300" w:lineRule="auto"/>
    </w:pPr>
    <w:rPr>
      <w:rFonts w:ascii="MS Sans Serif" w:hAnsi="仿宋_GB2312" w:eastAsia="Courier New"/>
      <w:bCs w:val="0"/>
      <w:color w:val="000000"/>
      <w:kern w:val="0"/>
      <w:szCs w:val="32"/>
    </w:rPr>
  </w:style>
  <w:style w:type="paragraph" w:customStyle="1" w:styleId="160">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rPr>
  </w:style>
  <w:style w:type="paragraph" w:customStyle="1" w:styleId="161">
    <w:name w:val="Char"/>
    <w:basedOn w:val="1"/>
    <w:autoRedefine/>
    <w:qFormat/>
    <w:uiPriority w:val="0"/>
    <w:rPr>
      <w:rFonts w:ascii="Arial" w:hAnsi="Arial" w:cs="Arial"/>
      <w:szCs w:val="24"/>
    </w:rPr>
  </w:style>
  <w:style w:type="paragraph" w:customStyle="1" w:styleId="162">
    <w:name w:val="xl3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63">
    <w:name w:val="xl30"/>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64">
    <w:name w:val="xl2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65">
    <w:name w:val="_Style 27"/>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6">
    <w:name w:val="xl3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67">
    <w:name w:val="p16"/>
    <w:basedOn w:val="1"/>
    <w:autoRedefine/>
    <w:qFormat/>
    <w:uiPriority w:val="0"/>
    <w:pPr>
      <w:widowControl/>
      <w:ind w:firstLine="420"/>
    </w:pPr>
    <w:rPr>
      <w:rFonts w:ascii="Calibri" w:hAnsi="Calibri" w:cs="宋体"/>
      <w:kern w:val="0"/>
      <w:szCs w:val="21"/>
    </w:rPr>
  </w:style>
  <w:style w:type="paragraph" w:customStyle="1" w:styleId="168">
    <w:name w:val="List Paragraph1"/>
    <w:basedOn w:val="1"/>
    <w:autoRedefine/>
    <w:qFormat/>
    <w:uiPriority w:val="0"/>
    <w:pPr>
      <w:ind w:firstLine="420" w:firstLineChars="200"/>
    </w:pPr>
    <w:rPr>
      <w:rFonts w:ascii="Calibri" w:hAnsi="Calibri"/>
      <w:szCs w:val="22"/>
    </w:rPr>
  </w:style>
  <w:style w:type="paragraph" w:customStyle="1" w:styleId="169">
    <w:name w:val="表格文字"/>
    <w:basedOn w:val="1"/>
    <w:autoRedefine/>
    <w:qFormat/>
    <w:uiPriority w:val="0"/>
    <w:pPr>
      <w:adjustRightInd w:val="0"/>
      <w:spacing w:line="360" w:lineRule="auto"/>
      <w:ind w:firstLine="200" w:firstLineChars="200"/>
      <w:jc w:val="left"/>
      <w:textAlignment w:val="baseline"/>
    </w:pPr>
    <w:rPr>
      <w:rFonts w:ascii="Arial" w:hAnsi="Arial"/>
      <w:kern w:val="0"/>
      <w:sz w:val="24"/>
    </w:rPr>
  </w:style>
  <w:style w:type="paragraph" w:customStyle="1" w:styleId="170">
    <w:name w:val="1."/>
    <w:basedOn w:val="1"/>
    <w:autoRedefine/>
    <w:qFormat/>
    <w:uiPriority w:val="0"/>
    <w:pPr>
      <w:spacing w:line="360" w:lineRule="auto"/>
      <w:ind w:firstLine="480" w:firstLineChars="200"/>
    </w:pPr>
    <w:rPr>
      <w:rFonts w:ascii="宋体" w:hAnsi="宋体"/>
      <w:sz w:val="24"/>
      <w:szCs w:val="24"/>
    </w:rPr>
  </w:style>
  <w:style w:type="paragraph" w:customStyle="1" w:styleId="171">
    <w:name w:val="小节"/>
    <w:basedOn w:val="4"/>
    <w:autoRedefine/>
    <w:qFormat/>
    <w:uiPriority w:val="0"/>
    <w:pPr>
      <w:spacing w:before="200" w:after="200" w:line="560" w:lineRule="exact"/>
      <w:jc w:val="left"/>
    </w:pPr>
    <w:rPr>
      <w:rFonts w:ascii="Century Gothic" w:hAnsi="Century Gothic"/>
      <w:bCs w:val="0"/>
      <w:color w:val="000000"/>
      <w:spacing w:val="10"/>
      <w:kern w:val="24"/>
      <w:sz w:val="28"/>
    </w:rPr>
  </w:style>
  <w:style w:type="paragraph" w:customStyle="1" w:styleId="172">
    <w:name w:val="*Body 1"/>
    <w:autoRedefine/>
    <w:qFormat/>
    <w:uiPriority w:val="0"/>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173">
    <w:name w:val="xl3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74">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styleId="175">
    <w:name w:val="List Paragraph"/>
    <w:basedOn w:val="1"/>
    <w:autoRedefine/>
    <w:qFormat/>
    <w:uiPriority w:val="99"/>
    <w:pPr>
      <w:ind w:firstLine="420" w:firstLineChars="200"/>
    </w:pPr>
    <w:rPr>
      <w:rFonts w:ascii="Calibri" w:hAnsi="Calibri"/>
      <w:szCs w:val="22"/>
    </w:rPr>
  </w:style>
  <w:style w:type="paragraph" w:customStyle="1" w:styleId="176">
    <w:name w:val="章标题"/>
    <w:next w:val="126"/>
    <w:autoRedefine/>
    <w:qFormat/>
    <w:uiPriority w:val="0"/>
    <w:p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177">
    <w:name w:val="Char11"/>
    <w:basedOn w:val="1"/>
    <w:autoRedefine/>
    <w:qFormat/>
    <w:uiPriority w:val="0"/>
    <w:rPr>
      <w:szCs w:val="24"/>
    </w:rPr>
  </w:style>
  <w:style w:type="paragraph" w:customStyle="1" w:styleId="178">
    <w:name w:val="Char Char Char Char"/>
    <w:basedOn w:val="1"/>
    <w:autoRedefine/>
    <w:qFormat/>
    <w:uiPriority w:val="0"/>
    <w:rPr>
      <w:rFonts w:ascii="Arial" w:hAnsi="Arial"/>
    </w:rPr>
  </w:style>
  <w:style w:type="paragraph" w:customStyle="1" w:styleId="179">
    <w:name w:val="p20"/>
    <w:basedOn w:val="1"/>
    <w:autoRedefine/>
    <w:qFormat/>
    <w:uiPriority w:val="0"/>
    <w:pPr>
      <w:widowControl/>
      <w:ind w:firstLine="420"/>
    </w:pPr>
    <w:rPr>
      <w:rFonts w:ascii="Calibri" w:hAnsi="Calibri" w:cs="宋体"/>
      <w:kern w:val="0"/>
      <w:szCs w:val="21"/>
    </w:rPr>
  </w:style>
  <w:style w:type="paragraph" w:customStyle="1" w:styleId="18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81">
    <w:name w:val="xl27"/>
    <w:basedOn w:val="1"/>
    <w:autoRedefine/>
    <w:qFormat/>
    <w:uiPriority w:val="0"/>
    <w:pPr>
      <w:widowControl/>
      <w:pBdr>
        <w:bottom w:val="single" w:color="auto" w:sz="4" w:space="0"/>
      </w:pBdr>
      <w:spacing w:before="100" w:beforeAutospacing="1" w:after="100" w:afterAutospacing="1"/>
      <w:jc w:val="center"/>
      <w:textAlignment w:val="center"/>
    </w:pPr>
    <w:rPr>
      <w:rFonts w:ascii="Arial Narrow" w:hAnsi="Century Gothic" w:eastAsia="Arial Narrow" w:cs="Century Gothic"/>
      <w:kern w:val="0"/>
      <w:sz w:val="36"/>
      <w:szCs w:val="36"/>
    </w:rPr>
  </w:style>
  <w:style w:type="paragraph" w:customStyle="1" w:styleId="182">
    <w:name w:val="正文表标题"/>
    <w:next w:val="126"/>
    <w:autoRedefine/>
    <w:qFormat/>
    <w:uiPriority w:val="0"/>
    <w:pPr>
      <w:tabs>
        <w:tab w:val="left" w:pos="360"/>
        <w:tab w:val="left" w:pos="846"/>
      </w:tabs>
      <w:spacing w:beforeLines="50" w:afterLines="50"/>
      <w:ind w:left="846" w:hanging="420"/>
      <w:jc w:val="center"/>
    </w:pPr>
    <w:rPr>
      <w:rFonts w:ascii="黑体" w:hAnsi="Times New Roman" w:eastAsia="黑体" w:cs="Times New Roman"/>
      <w:kern w:val="0"/>
      <w:sz w:val="21"/>
      <w:szCs w:val="20"/>
      <w:lang w:val="en-US" w:eastAsia="zh-CN" w:bidi="ar-SA"/>
    </w:rPr>
  </w:style>
  <w:style w:type="paragraph" w:customStyle="1" w:styleId="183">
    <w:name w:val="Default"/>
    <w:autoRedefine/>
    <w:qFormat/>
    <w:uiPriority w:val="0"/>
    <w:pPr>
      <w:widowControl w:val="0"/>
      <w:autoSpaceDE w:val="0"/>
      <w:autoSpaceDN w:val="0"/>
      <w:adjustRightInd w:val="0"/>
    </w:pPr>
    <w:rPr>
      <w:rFonts w:ascii="楷体" w:hAnsi="Arial" w:eastAsia="楷体" w:cs="Arial"/>
      <w:color w:val="000000"/>
      <w:kern w:val="0"/>
      <w:sz w:val="24"/>
      <w:szCs w:val="24"/>
      <w:lang w:val="en-US" w:eastAsia="zh-CN" w:bidi="ar-SA"/>
    </w:rPr>
  </w:style>
  <w:style w:type="paragraph" w:customStyle="1" w:styleId="184">
    <w:name w:val="Char2"/>
    <w:basedOn w:val="1"/>
    <w:autoRedefine/>
    <w:qFormat/>
    <w:uiPriority w:val="0"/>
    <w:rPr>
      <w:rFonts w:ascii="Courier New" w:hAnsi="Arial" w:eastAsia="Courier New" w:cs="Arial"/>
      <w:b/>
      <w:sz w:val="32"/>
      <w:szCs w:val="32"/>
    </w:rPr>
  </w:style>
  <w:style w:type="paragraph" w:customStyle="1" w:styleId="185">
    <w:name w:val="样式5"/>
    <w:basedOn w:val="5"/>
    <w:autoRedefine/>
    <w:qFormat/>
    <w:uiPriority w:val="0"/>
    <w:pPr>
      <w:jc w:val="center"/>
    </w:pPr>
    <w:rPr>
      <w:rFonts w:ascii="Century Gothic" w:hAnsi="Century Gothic" w:eastAsia="Century Gothic"/>
      <w:sz w:val="32"/>
      <w:szCs w:val="32"/>
    </w:rPr>
  </w:style>
  <w:style w:type="paragraph" w:customStyle="1" w:styleId="186">
    <w:name w:val="Char Char Char Char Char Char Char Char"/>
    <w:basedOn w:val="1"/>
    <w:autoRedefine/>
    <w:qFormat/>
    <w:uiPriority w:val="0"/>
    <w:pPr>
      <w:tabs>
        <w:tab w:val="left" w:pos="360"/>
      </w:tabs>
    </w:pPr>
    <w:rPr>
      <w:rFonts w:ascii="Calibri" w:hAnsi="Calibri"/>
    </w:rPr>
  </w:style>
  <w:style w:type="paragraph" w:customStyle="1" w:styleId="187">
    <w:name w:val="p21"/>
    <w:basedOn w:val="1"/>
    <w:autoRedefine/>
    <w:qFormat/>
    <w:uiPriority w:val="0"/>
    <w:pPr>
      <w:widowControl/>
      <w:jc w:val="left"/>
    </w:pPr>
    <w:rPr>
      <w:rFonts w:ascii="Calibri" w:hAnsi="Calibri" w:cs="宋体"/>
      <w:kern w:val="0"/>
      <w:sz w:val="18"/>
      <w:szCs w:val="18"/>
    </w:rPr>
  </w:style>
  <w:style w:type="paragraph" w:customStyle="1" w:styleId="188">
    <w:name w:val="xl3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89">
    <w:name w:val="font1"/>
    <w:basedOn w:val="1"/>
    <w:autoRedefine/>
    <w:qFormat/>
    <w:uiPriority w:val="0"/>
    <w:pPr>
      <w:widowControl/>
      <w:spacing w:before="100" w:beforeAutospacing="1" w:after="100" w:afterAutospacing="1"/>
      <w:jc w:val="left"/>
    </w:pPr>
    <w:rPr>
      <w:rFonts w:ascii="Century Gothic" w:hAnsi="Century Gothic" w:cs="Arial"/>
      <w:kern w:val="0"/>
      <w:sz w:val="24"/>
    </w:rPr>
  </w:style>
  <w:style w:type="paragraph" w:customStyle="1" w:styleId="190">
    <w:name w:val="修订1"/>
    <w:autoRedefine/>
    <w:semiHidden/>
    <w:qFormat/>
    <w:uiPriority w:val="99"/>
    <w:rPr>
      <w:rFonts w:ascii="Times New Roman" w:hAnsi="Times New Roman" w:eastAsia="宋体" w:cs="Times New Roman"/>
      <w:kern w:val="2"/>
      <w:sz w:val="21"/>
      <w:szCs w:val="20"/>
      <w:lang w:val="en-US" w:eastAsia="zh-CN" w:bidi="ar-SA"/>
    </w:rPr>
  </w:style>
  <w:style w:type="paragraph" w:customStyle="1" w:styleId="191">
    <w:name w:val="xl38"/>
    <w:basedOn w:val="1"/>
    <w:autoRedefine/>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92">
    <w:name w:val="Char Char 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93">
    <w:name w:val="p17"/>
    <w:basedOn w:val="1"/>
    <w:autoRedefine/>
    <w:qFormat/>
    <w:uiPriority w:val="0"/>
    <w:pPr>
      <w:widowControl/>
      <w:ind w:firstLine="420"/>
    </w:pPr>
    <w:rPr>
      <w:rFonts w:ascii="Calibri" w:hAnsi="Calibri" w:cs="宋体"/>
      <w:kern w:val="0"/>
      <w:szCs w:val="21"/>
    </w:rPr>
  </w:style>
  <w:style w:type="paragraph" w:customStyle="1" w:styleId="194">
    <w:name w:val="正文文本 21"/>
    <w:basedOn w:val="1"/>
    <w:autoRedefine/>
    <w:qFormat/>
    <w:uiPriority w:val="0"/>
    <w:pPr>
      <w:adjustRightInd w:val="0"/>
      <w:spacing w:line="300" w:lineRule="auto"/>
      <w:jc w:val="center"/>
    </w:pPr>
    <w:rPr>
      <w:rFonts w:hint="eastAsia" w:ascii="Century Gothic" w:hAnsi="Century Gothic"/>
      <w:sz w:val="24"/>
    </w:rPr>
  </w:style>
  <w:style w:type="paragraph" w:customStyle="1" w:styleId="195">
    <w:name w:val="Char Char Char Char Char Char1"/>
    <w:basedOn w:val="1"/>
    <w:autoRedefine/>
    <w:qFormat/>
    <w:uiPriority w:val="0"/>
    <w:pPr>
      <w:widowControl/>
      <w:ind w:firstLine="200" w:firstLineChars="200"/>
      <w:jc w:val="left"/>
    </w:pPr>
    <w:rPr>
      <w:rFonts w:ascii="Tahoma" w:hAnsi="Tahoma" w:cs="宋体"/>
      <w:kern w:val="0"/>
      <w:sz w:val="24"/>
    </w:rPr>
  </w:style>
  <w:style w:type="paragraph" w:customStyle="1" w:styleId="196">
    <w:name w:val="p0"/>
    <w:basedOn w:val="1"/>
    <w:autoRedefine/>
    <w:qFormat/>
    <w:uiPriority w:val="0"/>
    <w:pPr>
      <w:widowControl/>
    </w:pPr>
    <w:rPr>
      <w:rFonts w:ascii="Calibri" w:hAnsi="Calibri" w:cs="宋体"/>
      <w:kern w:val="0"/>
      <w:szCs w:val="21"/>
    </w:rPr>
  </w:style>
  <w:style w:type="paragraph" w:customStyle="1" w:styleId="197">
    <w:name w:val="四级无"/>
    <w:basedOn w:val="1"/>
    <w:autoRedefine/>
    <w:qFormat/>
    <w:uiPriority w:val="0"/>
    <w:pPr>
      <w:widowControl/>
      <w:tabs>
        <w:tab w:val="left" w:pos="2551"/>
      </w:tabs>
      <w:ind w:left="2551" w:hanging="850"/>
      <w:jc w:val="left"/>
      <w:outlineLvl w:val="5"/>
    </w:pPr>
    <w:rPr>
      <w:rFonts w:ascii="宋体"/>
      <w:kern w:val="0"/>
      <w:szCs w:val="21"/>
    </w:rPr>
  </w:style>
  <w:style w:type="paragraph" w:customStyle="1" w:styleId="198">
    <w:name w:val="一级无"/>
    <w:basedOn w:val="142"/>
    <w:autoRedefine/>
    <w:qFormat/>
    <w:uiPriority w:val="0"/>
    <w:pPr>
      <w:spacing w:beforeLines="0" w:afterLines="0"/>
    </w:pPr>
    <w:rPr>
      <w:rFonts w:ascii="宋体" w:eastAsia="宋体"/>
    </w:rPr>
  </w:style>
  <w:style w:type="paragraph" w:customStyle="1" w:styleId="199">
    <w:name w:val="正文缩进1"/>
    <w:basedOn w:val="1"/>
    <w:autoRedefine/>
    <w:qFormat/>
    <w:uiPriority w:val="0"/>
    <w:pPr>
      <w:ind w:firstLine="420" w:firstLineChars="200"/>
    </w:pPr>
    <w:rPr>
      <w:rFonts w:ascii="Calibri" w:hAnsi="Calibri"/>
      <w:szCs w:val="22"/>
    </w:rPr>
  </w:style>
  <w:style w:type="paragraph" w:customStyle="1" w:styleId="200">
    <w:name w:val="font5"/>
    <w:basedOn w:val="1"/>
    <w:autoRedefine/>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201">
    <w:name w:val="xl3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02">
    <w:name w:val="xl3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03">
    <w:name w:val="Char3 Char Char Char"/>
    <w:basedOn w:val="1"/>
    <w:autoRedefine/>
    <w:qFormat/>
    <w:uiPriority w:val="0"/>
    <w:pPr>
      <w:widowControl/>
      <w:spacing w:after="160" w:line="240" w:lineRule="exact"/>
      <w:jc w:val="left"/>
    </w:pPr>
    <w:rPr>
      <w:rFonts w:ascii="Arial" w:hAnsi="Arial" w:cs="Arial"/>
    </w:rPr>
  </w:style>
  <w:style w:type="paragraph" w:customStyle="1" w:styleId="204">
    <w:name w:val="其他发布日期"/>
    <w:basedOn w:val="1"/>
    <w:autoRedefine/>
    <w:qFormat/>
    <w:uiPriority w:val="0"/>
    <w:pPr>
      <w:widowControl/>
      <w:jc w:val="left"/>
    </w:pPr>
    <w:rPr>
      <w:rFonts w:eastAsia="黑体"/>
      <w:kern w:val="0"/>
      <w:sz w:val="28"/>
    </w:rPr>
  </w:style>
  <w:style w:type="paragraph" w:customStyle="1" w:styleId="205">
    <w:name w:val="Char Char43"/>
    <w:basedOn w:val="1"/>
    <w:autoRedefine/>
    <w:qFormat/>
    <w:uiPriority w:val="0"/>
    <w:pPr>
      <w:widowControl/>
      <w:spacing w:after="160" w:line="240" w:lineRule="exact"/>
      <w:jc w:val="left"/>
    </w:pPr>
    <w:rPr>
      <w:szCs w:val="24"/>
    </w:rPr>
  </w:style>
  <w:style w:type="paragraph" w:customStyle="1" w:styleId="206">
    <w:name w:val="Char3"/>
    <w:basedOn w:val="1"/>
    <w:autoRedefine/>
    <w:qFormat/>
    <w:uiPriority w:val="0"/>
    <w:rPr>
      <w:rFonts w:ascii="仿宋_GB2312" w:eastAsia="仿宋_GB2312"/>
      <w:b/>
      <w:sz w:val="32"/>
      <w:szCs w:val="32"/>
    </w:rPr>
  </w:style>
  <w:style w:type="paragraph" w:customStyle="1" w:styleId="207">
    <w:name w:val="font6"/>
    <w:basedOn w:val="1"/>
    <w:autoRedefine/>
    <w:qFormat/>
    <w:uiPriority w:val="0"/>
    <w:pPr>
      <w:widowControl/>
      <w:spacing w:before="100" w:beforeAutospacing="1" w:after="100" w:afterAutospacing="1"/>
      <w:jc w:val="left"/>
    </w:pPr>
    <w:rPr>
      <w:rFonts w:ascii="Arial" w:hAnsi="Arial" w:cs="Arial"/>
      <w:kern w:val="0"/>
      <w:sz w:val="18"/>
      <w:szCs w:val="18"/>
    </w:rPr>
  </w:style>
  <w:style w:type="paragraph" w:customStyle="1" w:styleId="208">
    <w:name w:val="样式 表格正文 + 两端对齐"/>
    <w:basedOn w:val="1"/>
    <w:autoRedefine/>
    <w:qFormat/>
    <w:uiPriority w:val="0"/>
    <w:pPr>
      <w:spacing w:line="300" w:lineRule="auto"/>
    </w:pPr>
    <w:rPr>
      <w:sz w:val="24"/>
    </w:rPr>
  </w:style>
  <w:style w:type="paragraph" w:customStyle="1" w:styleId="209">
    <w:name w:val="xl2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kern w:val="0"/>
      <w:sz w:val="24"/>
    </w:rPr>
  </w:style>
  <w:style w:type="paragraph" w:customStyle="1" w:styleId="210">
    <w:name w:val="正文段"/>
    <w:basedOn w:val="1"/>
    <w:autoRedefine/>
    <w:qFormat/>
    <w:uiPriority w:val="0"/>
    <w:pPr>
      <w:widowControl/>
      <w:snapToGrid w:val="0"/>
      <w:spacing w:afterLines="50"/>
      <w:ind w:firstLine="200" w:firstLineChars="200"/>
    </w:pPr>
    <w:rPr>
      <w:rFonts w:ascii="Arial" w:hAnsi="Arial" w:cs="Arial"/>
      <w:kern w:val="0"/>
      <w:sz w:val="24"/>
    </w:rPr>
  </w:style>
  <w:style w:type="paragraph" w:customStyle="1" w:styleId="211">
    <w:name w:val="默认段落字体 Para Char Char Char Char"/>
    <w:basedOn w:val="1"/>
    <w:autoRedefine/>
    <w:qFormat/>
    <w:uiPriority w:val="0"/>
    <w:pPr>
      <w:adjustRightInd w:val="0"/>
      <w:spacing w:line="360" w:lineRule="auto"/>
    </w:pPr>
    <w:rPr>
      <w:szCs w:val="24"/>
    </w:rPr>
  </w:style>
  <w:style w:type="paragraph" w:customStyle="1" w:styleId="212">
    <w:name w:val="列出段落1"/>
    <w:basedOn w:val="1"/>
    <w:autoRedefine/>
    <w:qFormat/>
    <w:uiPriority w:val="0"/>
    <w:pPr>
      <w:ind w:firstLine="420" w:firstLineChars="200"/>
    </w:pPr>
    <w:rPr>
      <w:rFonts w:ascii="Calibri" w:hAnsi="Calibri"/>
      <w:szCs w:val="22"/>
    </w:rPr>
  </w:style>
  <w:style w:type="paragraph" w:customStyle="1" w:styleId="213">
    <w:name w:val="Char1 Char Char Char"/>
    <w:basedOn w:val="1"/>
    <w:autoRedefine/>
    <w:qFormat/>
    <w:uiPriority w:val="0"/>
    <w:rPr>
      <w:rFonts w:ascii="仿宋_GB2312" w:eastAsia="仿宋_GB2312" w:cs="仿宋_GB2312"/>
      <w:b/>
      <w:bCs/>
      <w:sz w:val="32"/>
      <w:szCs w:val="32"/>
    </w:rPr>
  </w:style>
  <w:style w:type="paragraph" w:customStyle="1" w:styleId="214">
    <w:name w:val="Body Text 21"/>
    <w:basedOn w:val="1"/>
    <w:autoRedefine/>
    <w:qFormat/>
    <w:uiPriority w:val="0"/>
    <w:pPr>
      <w:adjustRightInd w:val="0"/>
      <w:spacing w:line="300" w:lineRule="auto"/>
      <w:jc w:val="center"/>
    </w:pPr>
    <w:rPr>
      <w:rFonts w:hint="eastAsia" w:ascii="Century Gothic" w:hAnsi="Century Gothic" w:cs="Arial"/>
      <w:sz w:val="24"/>
    </w:rPr>
  </w:style>
  <w:style w:type="paragraph" w:customStyle="1" w:styleId="215">
    <w:name w:val="正文图标题"/>
    <w:next w:val="126"/>
    <w:autoRedefine/>
    <w:qFormat/>
    <w:uiPriority w:val="0"/>
    <w:pPr>
      <w:tabs>
        <w:tab w:val="left" w:pos="36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216">
    <w:name w:val="p18"/>
    <w:basedOn w:val="1"/>
    <w:autoRedefine/>
    <w:qFormat/>
    <w:uiPriority w:val="0"/>
    <w:pPr>
      <w:widowControl/>
      <w:ind w:firstLine="420"/>
    </w:pPr>
    <w:rPr>
      <w:rFonts w:ascii="Calibri" w:hAnsi="Calibri" w:cs="宋体"/>
      <w:kern w:val="0"/>
      <w:szCs w:val="21"/>
    </w:rPr>
  </w:style>
  <w:style w:type="paragraph" w:customStyle="1" w:styleId="217">
    <w:name w:val="目次、标准名称标题"/>
    <w:basedOn w:val="1"/>
    <w:next w:val="126"/>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character" w:customStyle="1" w:styleId="218">
    <w:name w:val="脚注文本 Char"/>
    <w:basedOn w:val="48"/>
    <w:link w:val="33"/>
    <w:autoRedefine/>
    <w:qFormat/>
    <w:uiPriority w:val="0"/>
    <w:rPr>
      <w:rFonts w:ascii="Times New Roman" w:hAnsi="Times New Roman" w:eastAsia="宋体" w:cs="Times New Roman"/>
      <w:kern w:val="0"/>
      <w:sz w:val="18"/>
      <w:szCs w:val="20"/>
    </w:rPr>
  </w:style>
  <w:style w:type="character" w:customStyle="1" w:styleId="219">
    <w:name w:val="纯文本 Char1"/>
    <w:autoRedefine/>
    <w:qFormat/>
    <w:uiPriority w:val="0"/>
    <w:rPr>
      <w:rFonts w:ascii="宋体" w:hAnsi="Courier New"/>
      <w:kern w:val="2"/>
      <w:sz w:val="21"/>
    </w:rPr>
  </w:style>
  <w:style w:type="character" w:customStyle="1" w:styleId="220">
    <w:name w:val="标题 1 Char1"/>
    <w:qFormat/>
    <w:uiPriority w:val="0"/>
    <w:rPr>
      <w:rFonts w:ascii="宋体" w:eastAsia="宋体"/>
      <w:b/>
      <w:bCs/>
      <w:kern w:val="2"/>
      <w:sz w:val="28"/>
      <w:lang w:val="en-US" w:eastAsia="zh-CN" w:bidi="ar-SA"/>
    </w:rPr>
  </w:style>
  <w:style w:type="character" w:customStyle="1" w:styleId="221">
    <w:name w:val="页眉 Char1"/>
    <w:autoRedefine/>
    <w:qFormat/>
    <w:uiPriority w:val="99"/>
    <w:rPr>
      <w:rFonts w:eastAsia="宋体"/>
      <w:kern w:val="2"/>
      <w:sz w:val="18"/>
      <w:szCs w:val="18"/>
      <w:lang w:val="en-US" w:eastAsia="zh-CN" w:bidi="ar-SA"/>
    </w:rPr>
  </w:style>
  <w:style w:type="paragraph" w:customStyle="1" w:styleId="222">
    <w:name w:val="样式 样式 标题 2 + 宋体 行距: 最小值 20 磅 + 段前: 0.5 行 段后: 0.5 行"/>
    <w:basedOn w:val="1"/>
    <w:autoRedefine/>
    <w:qFormat/>
    <w:uiPriority w:val="0"/>
    <w:pPr>
      <w:keepNext/>
      <w:keepLines/>
      <w:tabs>
        <w:tab w:val="left" w:pos="567"/>
      </w:tabs>
      <w:spacing w:before="120" w:after="120"/>
      <w:jc w:val="center"/>
      <w:outlineLvl w:val="1"/>
    </w:pPr>
    <w:rPr>
      <w:rFonts w:eastAsia="仿宋_GB2312"/>
      <w:b/>
      <w:w w:val="80"/>
      <w:sz w:val="28"/>
      <w:szCs w:val="32"/>
    </w:rPr>
  </w:style>
  <w:style w:type="paragraph" w:customStyle="1" w:styleId="223">
    <w:name w:val="正文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24">
    <w:name w:val="apple-converted-space"/>
    <w:basedOn w:val="48"/>
    <w:autoRedefine/>
    <w:qFormat/>
    <w:uiPriority w:val="0"/>
  </w:style>
  <w:style w:type="paragraph" w:customStyle="1" w:styleId="225">
    <w:name w:val="抄 送"/>
    <w:basedOn w:val="1"/>
    <w:autoRedefine/>
    <w:qFormat/>
    <w:uiPriority w:val="0"/>
    <w:pPr>
      <w:framePr w:wrap="notBeside" w:vAnchor="margin" w:hAnchor="margin" w:yAlign="bottom"/>
    </w:pPr>
    <w:rPr>
      <w:rFonts w:eastAsia="仿宋_GB2312"/>
      <w:sz w:val="32"/>
    </w:rPr>
  </w:style>
  <w:style w:type="paragraph" w:customStyle="1" w:styleId="226">
    <w:name w:val="xl65"/>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227">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28">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2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3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szCs w:val="24"/>
    </w:rPr>
  </w:style>
  <w:style w:type="paragraph" w:customStyle="1" w:styleId="23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character" w:customStyle="1" w:styleId="232">
    <w:name w:val="标题 3 Char1"/>
    <w:autoRedefine/>
    <w:qFormat/>
    <w:uiPriority w:val="0"/>
    <w:rPr>
      <w:rFonts w:eastAsia="宋体"/>
      <w:b/>
      <w:bCs/>
      <w:kern w:val="2"/>
      <w:sz w:val="32"/>
      <w:szCs w:val="32"/>
      <w:lang w:val="en-US" w:eastAsia="zh-CN" w:bidi="ar-SA"/>
    </w:rPr>
  </w:style>
  <w:style w:type="character" w:customStyle="1" w:styleId="233">
    <w:name w:val="正文文本 Char1"/>
    <w:autoRedefine/>
    <w:qFormat/>
    <w:uiPriority w:val="0"/>
    <w:rPr>
      <w:kern w:val="2"/>
      <w:sz w:val="21"/>
    </w:rPr>
  </w:style>
  <w:style w:type="character" w:customStyle="1" w:styleId="234">
    <w:name w:val="正文文本缩进 Char1"/>
    <w:autoRedefine/>
    <w:uiPriority w:val="0"/>
    <w:rPr>
      <w:rFonts w:eastAsia="方正书宋简体"/>
      <w:kern w:val="2"/>
      <w:sz w:val="24"/>
      <w:lang w:val="en-US" w:eastAsia="zh-CN" w:bidi="ar-SA"/>
    </w:rPr>
  </w:style>
  <w:style w:type="character" w:customStyle="1" w:styleId="235">
    <w:name w:val="标题 2 Char1"/>
    <w:autoRedefine/>
    <w:qFormat/>
    <w:uiPriority w:val="0"/>
    <w:rPr>
      <w:rFonts w:ascii="Arial" w:hAnsi="Arial" w:eastAsia="黑体"/>
      <w:b/>
      <w:bCs/>
      <w:kern w:val="2"/>
      <w:sz w:val="32"/>
      <w:szCs w:val="32"/>
      <w:lang w:val="en-US" w:eastAsia="zh-CN" w:bidi="ar-SA"/>
    </w:rPr>
  </w:style>
  <w:style w:type="paragraph" w:customStyle="1" w:styleId="236">
    <w:name w:val="Table Paragraph"/>
    <w:basedOn w:val="1"/>
    <w:autoRedefine/>
    <w:qFormat/>
    <w:uiPriority w:val="1"/>
    <w:rPr>
      <w:rFonts w:ascii="宋体" w:hAnsi="宋体" w:cs="宋体"/>
      <w:szCs w:val="24"/>
      <w:lang w:val="zh-CN" w:bidi="zh-CN"/>
    </w:rPr>
  </w:style>
  <w:style w:type="character" w:customStyle="1" w:styleId="237">
    <w:name w:val="样式1 Char Char"/>
    <w:link w:val="238"/>
    <w:autoRedefine/>
    <w:qFormat/>
    <w:uiPriority w:val="0"/>
    <w:rPr>
      <w:rFonts w:ascii="黑体" w:hAnsi="黑体" w:eastAsia="黑体"/>
      <w:b/>
      <w:bCs/>
      <w:sz w:val="32"/>
      <w:szCs w:val="32"/>
    </w:rPr>
  </w:style>
  <w:style w:type="paragraph" w:customStyle="1" w:styleId="238">
    <w:name w:val="样式1"/>
    <w:basedOn w:val="3"/>
    <w:link w:val="237"/>
    <w:autoRedefine/>
    <w:qFormat/>
    <w:uiPriority w:val="0"/>
    <w:pPr>
      <w:spacing w:before="0" w:after="0" w:line="360" w:lineRule="auto"/>
    </w:pPr>
    <w:rPr>
      <w:rFonts w:ascii="黑体" w:hAnsi="黑体" w:cstheme="minorBidi"/>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D7562-22EA-441B-900A-B059250352FC}">
  <ds:schemaRefs/>
</ds:datastoreItem>
</file>

<file path=docProps/app.xml><?xml version="1.0" encoding="utf-8"?>
<Properties xmlns="http://schemas.openxmlformats.org/officeDocument/2006/extended-properties" xmlns:vt="http://schemas.openxmlformats.org/officeDocument/2006/docPropsVTypes">
  <Template>Normal</Template>
  <Pages>52</Pages>
  <Words>5255</Words>
  <Characters>29954</Characters>
  <Lines>249</Lines>
  <Paragraphs>70</Paragraphs>
  <TotalTime>15</TotalTime>
  <ScaleCrop>false</ScaleCrop>
  <LinksUpToDate>false</LinksUpToDate>
  <CharactersWithSpaces>35139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2022-04-13T06:06:00Z</dcterms:created>
  <dc:creator>admin</dc:creator>
  <cp:lastModifiedBy>周全</cp:lastModifiedBy>
  <cp:lastPrinted>2022-01-20T03:46:00Z</cp:lastPrinted>
  <dcterms:modified xsi:type="dcterms:W3CDTF">2024-04-22T07:11:09Z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F7F2F5184EBF4A26AD3983C126AAEB37_13</vt:lpwstr>
  </property>
</Properties>
</file>