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5" w:beforeLines="50"/>
        <w:rPr>
          <w:rFonts w:hint="eastAsia" w:ascii="宋体" w:hAnsi="宋体" w:cs="宋体"/>
          <w:color w:val="auto"/>
          <w:sz w:val="72"/>
          <w:szCs w:val="72"/>
          <w:highlight w:val="none"/>
        </w:rPr>
      </w:pPr>
      <w:bookmarkStart w:id="49" w:name="_GoBack"/>
      <w:bookmarkEnd w:id="49"/>
      <w:r>
        <w:rPr>
          <w:rFonts w:hint="eastAsia" w:ascii="宋体" w:hAnsi="宋体" w:cs="宋体"/>
          <w:color w:val="auto"/>
          <w:highlight w:val="none"/>
        </w:rPr>
        <w:t xml:space="preserve"> </w:t>
      </w:r>
      <w:r>
        <w:rPr>
          <w:rFonts w:hint="eastAsia" w:ascii="宋体" w:hAnsi="宋体" w:cs="宋体"/>
          <w:color w:val="auto"/>
          <w:highlight w:val="none"/>
        </w:rPr>
        <w:tab/>
      </w:r>
    </w:p>
    <w:p>
      <w:pPr>
        <w:adjustRightInd w:val="0"/>
        <w:snapToGrid w:val="0"/>
        <w:spacing w:before="195" w:beforeLines="50" w:after="195" w:afterLines="50"/>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政府采购招标文件</w:t>
      </w:r>
    </w:p>
    <w:p>
      <w:pPr>
        <w:snapToGrid w:val="0"/>
        <w:spacing w:before="195" w:beforeLines="50" w:line="360" w:lineRule="auto"/>
        <w:rPr>
          <w:rFonts w:hint="eastAsia" w:ascii="宋体" w:hAnsi="宋体" w:cs="宋体"/>
          <w:color w:val="auto"/>
          <w:sz w:val="30"/>
          <w:szCs w:val="72"/>
          <w:highlight w:val="none"/>
        </w:rPr>
      </w:pPr>
    </w:p>
    <w:p>
      <w:pPr>
        <w:pStyle w:val="10"/>
        <w:snapToGrid w:val="0"/>
        <w:spacing w:before="156" w:after="156" w:line="360" w:lineRule="auto"/>
        <w:rPr>
          <w:rFonts w:hint="eastAsia" w:hAnsi="宋体" w:cs="宋体"/>
          <w:b/>
          <w:bCs/>
          <w:color w:val="auto"/>
          <w:sz w:val="30"/>
          <w:szCs w:val="30"/>
          <w:highlight w:val="none"/>
        </w:rPr>
      </w:pPr>
    </w:p>
    <w:p>
      <w:pPr>
        <w:snapToGrid w:val="0"/>
        <w:spacing w:before="195" w:beforeLines="50" w:line="520" w:lineRule="exact"/>
        <w:rPr>
          <w:rFonts w:hint="eastAsia" w:ascii="宋体" w:hAnsi="宋体" w:cs="宋体"/>
          <w:b/>
          <w:color w:val="auto"/>
          <w:sz w:val="30"/>
          <w:szCs w:val="72"/>
          <w:highlight w:val="none"/>
        </w:rPr>
      </w:pPr>
    </w:p>
    <w:p>
      <w:pPr>
        <w:widowControl/>
        <w:spacing w:line="600" w:lineRule="exact"/>
        <w:ind w:firstLine="301" w:firstLineChars="100"/>
        <w:jc w:val="left"/>
        <w:rPr>
          <w:rFonts w:hint="eastAsia" w:ascii="宋体" w:hAnsi="宋体" w:cs="宋体"/>
          <w:b/>
          <w:color w:val="auto"/>
          <w:sz w:val="30"/>
          <w:szCs w:val="72"/>
          <w:highlight w:val="none"/>
        </w:rPr>
      </w:pPr>
      <w:r>
        <w:rPr>
          <w:rFonts w:hint="eastAsia" w:ascii="宋体" w:hAnsi="宋体" w:cs="宋体"/>
          <w:b/>
          <w:color w:val="auto"/>
          <w:sz w:val="30"/>
          <w:szCs w:val="72"/>
          <w:highlight w:val="none"/>
        </w:rPr>
        <w:t>项目编</w:t>
      </w:r>
      <w:r>
        <w:rPr>
          <w:rFonts w:hint="eastAsia" w:ascii="宋体" w:hAnsi="宋体" w:cs="宋体"/>
          <w:b/>
          <w:color w:val="auto"/>
          <w:sz w:val="30"/>
          <w:szCs w:val="72"/>
          <w:highlight w:val="none"/>
        </w:rPr>
        <w:t>号：</w:t>
      </w:r>
      <w:r>
        <w:rPr>
          <w:rFonts w:hint="default" w:ascii="宋体" w:hAnsi="宋体" w:cs="宋体"/>
          <w:b/>
          <w:color w:val="auto"/>
          <w:sz w:val="30"/>
          <w:szCs w:val="72"/>
          <w:highlight w:val="none"/>
        </w:rPr>
        <w:fldChar w:fldCharType="begin"/>
      </w:r>
      <w:r>
        <w:rPr>
          <w:rFonts w:hint="default" w:ascii="宋体" w:hAnsi="宋体" w:cs="宋体"/>
          <w:b/>
          <w:color w:val="auto"/>
          <w:sz w:val="30"/>
          <w:szCs w:val="72"/>
          <w:highlight w:val="none"/>
        </w:rPr>
        <w:instrText xml:space="preserve"> HYPERLINK "https://pay.zcygov.cn/purchaseplan_front/" \l "/plan/list/detail?id=1000000000004667687&amp;encrypt=82d9494f84cf2909d02a6ff76f21ba78" \t "https://www.zcygov.cn/bidding-entrust/_blank" </w:instrText>
      </w:r>
      <w:r>
        <w:rPr>
          <w:rFonts w:hint="default" w:ascii="宋体" w:hAnsi="宋体" w:cs="宋体"/>
          <w:b/>
          <w:color w:val="auto"/>
          <w:sz w:val="30"/>
          <w:szCs w:val="72"/>
          <w:highlight w:val="none"/>
        </w:rPr>
        <w:fldChar w:fldCharType="separate"/>
      </w:r>
      <w:r>
        <w:rPr>
          <w:rFonts w:hint="default" w:ascii="宋体" w:hAnsi="宋体" w:cs="宋体"/>
          <w:b/>
          <w:color w:val="auto"/>
          <w:sz w:val="30"/>
          <w:szCs w:val="72"/>
          <w:highlight w:val="none"/>
        </w:rPr>
        <w:t>CXZFCG[2021]330282001175942号</w:t>
      </w:r>
      <w:r>
        <w:rPr>
          <w:rFonts w:hint="default" w:ascii="宋体" w:hAnsi="宋体" w:cs="宋体"/>
          <w:b/>
          <w:color w:val="auto"/>
          <w:sz w:val="30"/>
          <w:szCs w:val="72"/>
          <w:highlight w:val="none"/>
        </w:rPr>
        <w:fldChar w:fldCharType="end"/>
      </w:r>
    </w:p>
    <w:p>
      <w:pPr>
        <w:widowControl/>
        <w:spacing w:line="600" w:lineRule="exact"/>
        <w:ind w:firstLine="602" w:firstLineChars="200"/>
        <w:jc w:val="left"/>
        <w:rPr>
          <w:rFonts w:hint="eastAsia" w:ascii="宋体" w:hAnsi="宋体" w:cs="宋体"/>
          <w:b/>
          <w:color w:val="auto"/>
          <w:sz w:val="30"/>
          <w:szCs w:val="72"/>
          <w:highlight w:val="none"/>
        </w:rPr>
      </w:pPr>
    </w:p>
    <w:p>
      <w:pPr>
        <w:widowControl/>
        <w:spacing w:line="600" w:lineRule="exact"/>
        <w:ind w:firstLine="301" w:firstLineChars="100"/>
        <w:jc w:val="left"/>
        <w:rPr>
          <w:rFonts w:hint="eastAsia" w:ascii="宋体" w:hAnsi="宋体" w:cs="宋体"/>
          <w:b/>
          <w:color w:val="auto"/>
          <w:sz w:val="30"/>
          <w:szCs w:val="72"/>
          <w:highlight w:val="none"/>
        </w:rPr>
      </w:pPr>
      <w:r>
        <w:rPr>
          <w:rFonts w:hint="eastAsia" w:ascii="宋体" w:hAnsi="宋体" w:cs="宋体"/>
          <w:b/>
          <w:color w:val="auto"/>
          <w:sz w:val="30"/>
          <w:szCs w:val="72"/>
          <w:highlight w:val="none"/>
        </w:rPr>
        <w:t>项目名称：2021年度慈溪市环杭州湾创新中心**室辅勤采购项目</w:t>
      </w:r>
    </w:p>
    <w:p>
      <w:pPr>
        <w:pStyle w:val="10"/>
        <w:snapToGrid w:val="0"/>
        <w:spacing w:before="156" w:after="156" w:line="360" w:lineRule="auto"/>
        <w:rPr>
          <w:rFonts w:hint="eastAsia" w:hAnsi="宋体" w:cs="宋体"/>
          <w:b/>
          <w:bCs/>
          <w:color w:val="auto"/>
          <w:w w:val="95"/>
          <w:sz w:val="30"/>
          <w:szCs w:val="30"/>
          <w:highlight w:val="none"/>
        </w:rPr>
      </w:pPr>
    </w:p>
    <w:p>
      <w:pPr>
        <w:pStyle w:val="10"/>
        <w:snapToGrid w:val="0"/>
        <w:spacing w:before="156" w:after="156" w:line="360" w:lineRule="auto"/>
        <w:rPr>
          <w:rFonts w:hint="eastAsia" w:hAnsi="宋体" w:cs="宋体"/>
          <w:b/>
          <w:bCs/>
          <w:color w:val="auto"/>
          <w:w w:val="95"/>
          <w:sz w:val="30"/>
          <w:szCs w:val="30"/>
          <w:highlight w:val="none"/>
        </w:rPr>
      </w:pPr>
    </w:p>
    <w:p>
      <w:pPr>
        <w:pStyle w:val="10"/>
        <w:snapToGrid w:val="0"/>
        <w:spacing w:before="156" w:after="156" w:line="520" w:lineRule="exact"/>
        <w:rPr>
          <w:rFonts w:hint="eastAsia" w:hAnsi="宋体" w:cs="宋体"/>
          <w:b/>
          <w:bCs/>
          <w:color w:val="auto"/>
          <w:w w:val="95"/>
          <w:sz w:val="30"/>
          <w:szCs w:val="30"/>
          <w:highlight w:val="none"/>
        </w:rPr>
      </w:pPr>
    </w:p>
    <w:p>
      <w:pPr>
        <w:pStyle w:val="10"/>
        <w:snapToGrid w:val="0"/>
        <w:spacing w:before="156" w:after="156" w:line="520" w:lineRule="exact"/>
        <w:rPr>
          <w:rFonts w:hint="eastAsia" w:hAnsi="宋体" w:cs="宋体"/>
          <w:b/>
          <w:bCs/>
          <w:color w:val="auto"/>
          <w:w w:val="95"/>
          <w:sz w:val="30"/>
          <w:szCs w:val="30"/>
          <w:highlight w:val="none"/>
        </w:rPr>
      </w:pPr>
    </w:p>
    <w:p>
      <w:pPr>
        <w:pStyle w:val="10"/>
        <w:snapToGrid w:val="0"/>
        <w:spacing w:before="156" w:after="156" w:line="520" w:lineRule="exact"/>
        <w:rPr>
          <w:rFonts w:hint="eastAsia" w:hAnsi="宋体" w:cs="宋体"/>
          <w:b/>
          <w:bCs/>
          <w:color w:val="auto"/>
          <w:w w:val="95"/>
          <w:sz w:val="30"/>
          <w:szCs w:val="30"/>
          <w:highlight w:val="none"/>
        </w:rPr>
      </w:pPr>
    </w:p>
    <w:p>
      <w:pPr>
        <w:widowControl/>
        <w:spacing w:line="600" w:lineRule="exact"/>
        <w:ind w:firstLine="1205" w:firstLineChars="400"/>
        <w:jc w:val="left"/>
        <w:rPr>
          <w:rFonts w:hint="eastAsia" w:ascii="宋体" w:hAnsi="宋体" w:cs="宋体"/>
          <w:b/>
          <w:color w:val="auto"/>
          <w:sz w:val="30"/>
          <w:szCs w:val="72"/>
          <w:highlight w:val="none"/>
        </w:rPr>
      </w:pPr>
      <w:r>
        <w:rPr>
          <w:rFonts w:hint="eastAsia" w:ascii="宋体" w:hAnsi="宋体" w:cs="宋体"/>
          <w:b/>
          <w:color w:val="auto"/>
          <w:sz w:val="30"/>
          <w:szCs w:val="72"/>
          <w:highlight w:val="none"/>
        </w:rPr>
        <w:t>采购单位：</w:t>
      </w:r>
      <w:r>
        <w:rPr>
          <w:rFonts w:hint="eastAsia" w:ascii="宋体" w:hAnsi="宋体" w:cs="宋体"/>
          <w:b/>
          <w:color w:val="auto"/>
          <w:sz w:val="32"/>
          <w:szCs w:val="32"/>
          <w:highlight w:val="none"/>
        </w:rPr>
        <w:t>慈溪市环杭州湾创新中心</w:t>
      </w:r>
    </w:p>
    <w:p>
      <w:pPr>
        <w:widowControl/>
        <w:spacing w:line="600" w:lineRule="exact"/>
        <w:ind w:firstLine="1205" w:firstLineChars="400"/>
        <w:jc w:val="left"/>
        <w:rPr>
          <w:rFonts w:hint="eastAsia" w:ascii="宋体" w:hAnsi="宋体" w:cs="宋体"/>
          <w:b/>
          <w:color w:val="auto"/>
          <w:sz w:val="30"/>
          <w:szCs w:val="72"/>
          <w:highlight w:val="none"/>
        </w:rPr>
      </w:pPr>
    </w:p>
    <w:p>
      <w:pPr>
        <w:widowControl/>
        <w:spacing w:line="600" w:lineRule="exact"/>
        <w:ind w:firstLine="1205" w:firstLineChars="400"/>
        <w:jc w:val="left"/>
        <w:rPr>
          <w:rFonts w:hint="eastAsia" w:ascii="宋体" w:hAnsi="宋体" w:cs="宋体"/>
          <w:b/>
          <w:color w:val="auto"/>
          <w:sz w:val="30"/>
          <w:szCs w:val="72"/>
          <w:highlight w:val="none"/>
        </w:rPr>
      </w:pPr>
      <w:r>
        <w:rPr>
          <w:rFonts w:hint="eastAsia" w:ascii="宋体" w:hAnsi="宋体" w:cs="宋体"/>
          <w:b/>
          <w:color w:val="auto"/>
          <w:sz w:val="30"/>
          <w:szCs w:val="72"/>
          <w:highlight w:val="none"/>
        </w:rPr>
        <w:t>招标代理机构：宁波安全三江工程咨询招标代理有限公司</w:t>
      </w:r>
    </w:p>
    <w:p>
      <w:pPr>
        <w:widowControl/>
        <w:ind w:firstLine="1205" w:firstLineChars="400"/>
        <w:jc w:val="left"/>
        <w:rPr>
          <w:rFonts w:hint="eastAsia" w:ascii="宋体" w:hAnsi="宋体" w:cs="宋体"/>
          <w:b/>
          <w:color w:val="auto"/>
          <w:sz w:val="30"/>
          <w:szCs w:val="72"/>
          <w:highlight w:val="none"/>
        </w:rPr>
      </w:pPr>
    </w:p>
    <w:p>
      <w:pPr>
        <w:widowControl/>
        <w:jc w:val="center"/>
        <w:rPr>
          <w:rFonts w:hint="eastAsia" w:ascii="宋体" w:hAnsi="宋体" w:cs="宋体"/>
          <w:b/>
          <w:bCs/>
          <w:color w:val="auto"/>
          <w:sz w:val="36"/>
          <w:szCs w:val="32"/>
          <w:highlight w:val="none"/>
        </w:rPr>
        <w:sectPr>
          <w:pgSz w:w="11906" w:h="16838"/>
          <w:pgMar w:top="1440" w:right="1080" w:bottom="1440" w:left="1080" w:header="851" w:footer="992" w:gutter="0"/>
          <w:cols w:space="720" w:num="1"/>
          <w:docGrid w:type="lines" w:linePitch="391" w:charSpace="0"/>
        </w:sectPr>
      </w:pPr>
      <w:r>
        <w:rPr>
          <w:rFonts w:hint="eastAsia" w:ascii="宋体" w:hAnsi="宋体" w:cs="宋体"/>
          <w:b/>
          <w:color w:val="auto"/>
          <w:sz w:val="30"/>
          <w:szCs w:val="72"/>
          <w:highlight w:val="none"/>
        </w:rPr>
        <w:t>2021年</w:t>
      </w:r>
      <w:r>
        <w:rPr>
          <w:rFonts w:hint="eastAsia" w:ascii="宋体" w:hAnsi="宋体" w:cs="宋体"/>
          <w:b/>
          <w:color w:val="auto"/>
          <w:sz w:val="30"/>
          <w:szCs w:val="72"/>
          <w:highlight w:val="none"/>
          <w:lang w:val="en-US" w:eastAsia="zh-CN"/>
        </w:rPr>
        <w:t>4</w:t>
      </w:r>
      <w:r>
        <w:rPr>
          <w:rFonts w:hint="eastAsia" w:ascii="宋体" w:hAnsi="宋体" w:cs="宋体"/>
          <w:b/>
          <w:color w:val="auto"/>
          <w:sz w:val="30"/>
          <w:szCs w:val="72"/>
          <w:highlight w:val="none"/>
        </w:rPr>
        <w:t>月</w:t>
      </w:r>
      <w:bookmarkStart w:id="0" w:name="_Toc15035_WPSOffice_Type1"/>
    </w:p>
    <w:p>
      <w:pPr>
        <w:jc w:val="center"/>
        <w:rPr>
          <w:rFonts w:hint="eastAsia" w:ascii="宋体" w:hAnsi="宋体" w:cs="宋体"/>
          <w:b/>
          <w:bCs/>
          <w:color w:val="auto"/>
          <w:sz w:val="36"/>
          <w:szCs w:val="32"/>
          <w:highlight w:val="none"/>
        </w:rPr>
      </w:pPr>
      <w:r>
        <w:rPr>
          <w:rFonts w:hint="eastAsia" w:ascii="宋体" w:hAnsi="宋体" w:cs="宋体"/>
          <w:b/>
          <w:bCs/>
          <w:color w:val="auto"/>
          <w:sz w:val="36"/>
          <w:szCs w:val="32"/>
          <w:highlight w:val="none"/>
        </w:rPr>
        <w:t>目  录</w:t>
      </w:r>
    </w:p>
    <w:p>
      <w:pPr>
        <w:pStyle w:val="9"/>
        <w:ind w:left="1470" w:right="1470"/>
        <w:rPr>
          <w:rFonts w:hint="eastAsia" w:ascii="宋体" w:hAnsi="宋体" w:cs="宋体"/>
          <w:color w:val="auto"/>
          <w:highlight w:val="none"/>
        </w:rPr>
      </w:pPr>
    </w:p>
    <w:bookmarkEnd w:id="0"/>
    <w:p>
      <w:pPr>
        <w:pStyle w:val="66"/>
        <w:tabs>
          <w:tab w:val="right" w:leader="dot" w:pos="9660"/>
        </w:tabs>
        <w:spacing w:line="600" w:lineRule="exact"/>
        <w:rPr>
          <w:rFonts w:hint="eastAsia" w:ascii="宋体" w:hAnsi="宋体" w:cs="宋体"/>
          <w:color w:val="auto"/>
          <w:sz w:val="22"/>
          <w:szCs w:val="24"/>
          <w:highlight w:val="none"/>
        </w:rPr>
      </w:pPr>
      <w:r>
        <w:rPr>
          <w:rFonts w:hint="eastAsia" w:ascii="宋体" w:hAnsi="宋体" w:cs="宋体"/>
          <w:color w:val="auto"/>
          <w:sz w:val="22"/>
          <w:szCs w:val="24"/>
          <w:highlight w:val="none"/>
        </w:rPr>
        <w:fldChar w:fldCharType="begin"/>
      </w:r>
      <w:r>
        <w:rPr>
          <w:rFonts w:hint="eastAsia" w:ascii="宋体" w:hAnsi="宋体" w:cs="宋体"/>
          <w:color w:val="auto"/>
          <w:sz w:val="22"/>
          <w:szCs w:val="24"/>
          <w:highlight w:val="none"/>
        </w:rPr>
        <w:instrText xml:space="preserve"> HYPERLINK \l _Toc2541_WPSOffice_Level1 </w:instrText>
      </w:r>
      <w:r>
        <w:rPr>
          <w:rFonts w:hint="eastAsia" w:ascii="宋体" w:hAnsi="宋体" w:cs="宋体"/>
          <w:color w:val="auto"/>
          <w:sz w:val="22"/>
          <w:szCs w:val="24"/>
          <w:highlight w:val="none"/>
        </w:rPr>
        <w:fldChar w:fldCharType="separate"/>
      </w:r>
      <w:r>
        <w:rPr>
          <w:rFonts w:hint="eastAsia" w:ascii="宋体" w:hAnsi="宋体" w:cs="宋体"/>
          <w:color w:val="auto"/>
          <w:sz w:val="22"/>
          <w:szCs w:val="24"/>
          <w:highlight w:val="none"/>
        </w:rPr>
        <w:t>第一章  招标公告</w:t>
      </w:r>
      <w:r>
        <w:rPr>
          <w:rFonts w:hint="eastAsia" w:ascii="宋体" w:hAnsi="宋体" w:cs="宋体"/>
          <w:color w:val="auto"/>
          <w:sz w:val="22"/>
          <w:szCs w:val="24"/>
          <w:highlight w:val="none"/>
        </w:rPr>
        <w:tab/>
      </w:r>
      <w:bookmarkStart w:id="1" w:name="_Toc2541_WPSOffice_Level1Page"/>
      <w:r>
        <w:rPr>
          <w:rFonts w:hint="eastAsia" w:ascii="宋体" w:hAnsi="宋体" w:cs="宋体"/>
          <w:color w:val="auto"/>
          <w:sz w:val="22"/>
          <w:szCs w:val="24"/>
          <w:highlight w:val="none"/>
        </w:rPr>
        <w:t>1</w:t>
      </w:r>
      <w:bookmarkEnd w:id="1"/>
      <w:r>
        <w:rPr>
          <w:rFonts w:hint="eastAsia" w:ascii="宋体" w:hAnsi="宋体" w:cs="宋体"/>
          <w:color w:val="auto"/>
          <w:sz w:val="22"/>
          <w:szCs w:val="24"/>
          <w:highlight w:val="none"/>
        </w:rPr>
        <w:fldChar w:fldCharType="end"/>
      </w:r>
    </w:p>
    <w:p>
      <w:pPr>
        <w:pStyle w:val="66"/>
        <w:tabs>
          <w:tab w:val="right" w:leader="dot" w:pos="9660"/>
        </w:tabs>
        <w:spacing w:line="600" w:lineRule="exact"/>
        <w:rPr>
          <w:rFonts w:hint="eastAsia" w:ascii="宋体" w:hAnsi="宋体" w:cs="宋体"/>
          <w:color w:val="auto"/>
          <w:sz w:val="22"/>
          <w:szCs w:val="24"/>
          <w:highlight w:val="none"/>
        </w:rPr>
      </w:pPr>
      <w:r>
        <w:rPr>
          <w:rFonts w:hint="eastAsia" w:ascii="宋体" w:hAnsi="宋体" w:cs="宋体"/>
          <w:color w:val="auto"/>
          <w:sz w:val="22"/>
          <w:szCs w:val="24"/>
          <w:highlight w:val="none"/>
        </w:rPr>
        <w:fldChar w:fldCharType="begin"/>
      </w:r>
      <w:r>
        <w:rPr>
          <w:rFonts w:hint="eastAsia" w:ascii="宋体" w:hAnsi="宋体" w:cs="宋体"/>
          <w:color w:val="auto"/>
          <w:sz w:val="22"/>
          <w:szCs w:val="24"/>
          <w:highlight w:val="none"/>
        </w:rPr>
        <w:instrText xml:space="preserve"> HYPERLINK \l _Toc8613_WPSOffice_Level1 </w:instrText>
      </w:r>
      <w:r>
        <w:rPr>
          <w:rFonts w:hint="eastAsia" w:ascii="宋体" w:hAnsi="宋体" w:cs="宋体"/>
          <w:color w:val="auto"/>
          <w:sz w:val="22"/>
          <w:szCs w:val="24"/>
          <w:highlight w:val="none"/>
        </w:rPr>
        <w:fldChar w:fldCharType="separate"/>
      </w:r>
      <w:r>
        <w:rPr>
          <w:rFonts w:hint="eastAsia" w:ascii="宋体" w:hAnsi="宋体" w:cs="宋体"/>
          <w:color w:val="auto"/>
          <w:sz w:val="22"/>
          <w:szCs w:val="24"/>
          <w:highlight w:val="none"/>
        </w:rPr>
        <w:t>第二章  招标需求</w:t>
      </w:r>
      <w:r>
        <w:rPr>
          <w:rFonts w:hint="eastAsia" w:ascii="宋体" w:hAnsi="宋体" w:cs="宋体"/>
          <w:color w:val="auto"/>
          <w:sz w:val="22"/>
          <w:szCs w:val="24"/>
          <w:highlight w:val="none"/>
        </w:rPr>
        <w:tab/>
      </w:r>
      <w:r>
        <w:rPr>
          <w:rFonts w:hint="eastAsia" w:ascii="宋体" w:hAnsi="宋体" w:cs="宋体"/>
          <w:color w:val="auto"/>
          <w:sz w:val="22"/>
          <w:szCs w:val="24"/>
          <w:highlight w:val="none"/>
        </w:rPr>
        <w:fldChar w:fldCharType="end"/>
      </w:r>
      <w:r>
        <w:rPr>
          <w:rFonts w:hint="eastAsia" w:ascii="宋体" w:hAnsi="宋体" w:cs="宋体"/>
          <w:color w:val="auto"/>
          <w:sz w:val="22"/>
          <w:szCs w:val="24"/>
          <w:highlight w:val="none"/>
        </w:rPr>
        <w:t>6</w:t>
      </w:r>
    </w:p>
    <w:p>
      <w:pPr>
        <w:pStyle w:val="66"/>
        <w:tabs>
          <w:tab w:val="right" w:leader="dot" w:pos="9660"/>
        </w:tabs>
        <w:spacing w:line="600" w:lineRule="exact"/>
        <w:rPr>
          <w:rFonts w:hint="eastAsia" w:ascii="宋体" w:hAnsi="宋体" w:cs="宋体"/>
          <w:color w:val="auto"/>
          <w:sz w:val="22"/>
          <w:szCs w:val="24"/>
          <w:highlight w:val="none"/>
        </w:rPr>
      </w:pPr>
      <w:r>
        <w:rPr>
          <w:rFonts w:hint="eastAsia" w:ascii="宋体" w:hAnsi="宋体" w:cs="宋体"/>
          <w:color w:val="auto"/>
          <w:sz w:val="22"/>
          <w:szCs w:val="24"/>
          <w:highlight w:val="none"/>
        </w:rPr>
        <w:fldChar w:fldCharType="begin"/>
      </w:r>
      <w:r>
        <w:rPr>
          <w:rFonts w:hint="eastAsia" w:ascii="宋体" w:hAnsi="宋体" w:cs="宋体"/>
          <w:color w:val="auto"/>
          <w:sz w:val="22"/>
          <w:szCs w:val="24"/>
          <w:highlight w:val="none"/>
        </w:rPr>
        <w:instrText xml:space="preserve"> HYPERLINK \l _Toc11796_WPSOffice_Level1 </w:instrText>
      </w:r>
      <w:r>
        <w:rPr>
          <w:rFonts w:hint="eastAsia" w:ascii="宋体" w:hAnsi="宋体" w:cs="宋体"/>
          <w:color w:val="auto"/>
          <w:sz w:val="22"/>
          <w:szCs w:val="24"/>
          <w:highlight w:val="none"/>
        </w:rPr>
        <w:fldChar w:fldCharType="separate"/>
      </w:r>
      <w:r>
        <w:rPr>
          <w:rFonts w:hint="eastAsia" w:ascii="宋体" w:hAnsi="宋体" w:cs="宋体"/>
          <w:color w:val="auto"/>
          <w:sz w:val="22"/>
          <w:szCs w:val="24"/>
          <w:highlight w:val="none"/>
        </w:rPr>
        <w:t>第三章  投标人须知</w:t>
      </w:r>
      <w:r>
        <w:rPr>
          <w:rFonts w:hint="eastAsia" w:ascii="宋体" w:hAnsi="宋体" w:cs="宋体"/>
          <w:color w:val="auto"/>
          <w:sz w:val="22"/>
          <w:szCs w:val="24"/>
          <w:highlight w:val="none"/>
        </w:rPr>
        <w:tab/>
      </w:r>
      <w:r>
        <w:rPr>
          <w:rFonts w:hint="eastAsia" w:ascii="宋体" w:hAnsi="宋体" w:cs="宋体"/>
          <w:color w:val="auto"/>
          <w:sz w:val="22"/>
          <w:szCs w:val="24"/>
          <w:highlight w:val="none"/>
        </w:rPr>
        <w:t>1</w:t>
      </w:r>
      <w:r>
        <w:rPr>
          <w:rFonts w:hint="eastAsia" w:ascii="宋体" w:hAnsi="宋体" w:cs="宋体"/>
          <w:color w:val="auto"/>
          <w:sz w:val="22"/>
          <w:szCs w:val="24"/>
          <w:highlight w:val="none"/>
        </w:rPr>
        <w:fldChar w:fldCharType="end"/>
      </w:r>
      <w:r>
        <w:rPr>
          <w:rFonts w:hint="eastAsia" w:ascii="宋体" w:hAnsi="宋体" w:cs="宋体"/>
          <w:color w:val="auto"/>
          <w:sz w:val="22"/>
          <w:szCs w:val="24"/>
          <w:highlight w:val="none"/>
        </w:rPr>
        <w:t>0</w:t>
      </w:r>
    </w:p>
    <w:p>
      <w:pPr>
        <w:pStyle w:val="66"/>
        <w:tabs>
          <w:tab w:val="right" w:leader="dot" w:pos="9660"/>
        </w:tabs>
        <w:spacing w:line="600" w:lineRule="exact"/>
        <w:rPr>
          <w:rFonts w:hint="eastAsia" w:ascii="宋体" w:hAnsi="宋体" w:cs="宋体"/>
          <w:color w:val="auto"/>
          <w:sz w:val="22"/>
          <w:szCs w:val="24"/>
          <w:highlight w:val="none"/>
        </w:rPr>
      </w:pPr>
      <w:r>
        <w:rPr>
          <w:rFonts w:hint="eastAsia" w:ascii="宋体" w:hAnsi="宋体" w:cs="宋体"/>
          <w:color w:val="auto"/>
          <w:sz w:val="22"/>
          <w:szCs w:val="24"/>
          <w:highlight w:val="none"/>
        </w:rPr>
        <w:fldChar w:fldCharType="begin"/>
      </w:r>
      <w:r>
        <w:rPr>
          <w:rFonts w:hint="eastAsia" w:ascii="宋体" w:hAnsi="宋体" w:cs="宋体"/>
          <w:color w:val="auto"/>
          <w:sz w:val="22"/>
          <w:szCs w:val="24"/>
          <w:highlight w:val="none"/>
        </w:rPr>
        <w:instrText xml:space="preserve"> HYPERLINK \l _Toc12084_WPSOffice_Level1 </w:instrText>
      </w:r>
      <w:r>
        <w:rPr>
          <w:rFonts w:hint="eastAsia" w:ascii="宋体" w:hAnsi="宋体" w:cs="宋体"/>
          <w:color w:val="auto"/>
          <w:sz w:val="22"/>
          <w:szCs w:val="24"/>
          <w:highlight w:val="none"/>
        </w:rPr>
        <w:fldChar w:fldCharType="separate"/>
      </w:r>
      <w:r>
        <w:rPr>
          <w:rFonts w:hint="eastAsia" w:ascii="宋体" w:hAnsi="宋体" w:cs="宋体"/>
          <w:color w:val="auto"/>
          <w:sz w:val="22"/>
          <w:szCs w:val="24"/>
          <w:highlight w:val="none"/>
        </w:rPr>
        <w:t>第四章  评标办法及评分标准</w:t>
      </w:r>
      <w:r>
        <w:rPr>
          <w:rFonts w:hint="eastAsia" w:ascii="宋体" w:hAnsi="宋体" w:cs="宋体"/>
          <w:color w:val="auto"/>
          <w:sz w:val="22"/>
          <w:szCs w:val="24"/>
          <w:highlight w:val="none"/>
        </w:rPr>
        <w:tab/>
      </w:r>
      <w:r>
        <w:rPr>
          <w:rFonts w:hint="eastAsia" w:ascii="宋体" w:hAnsi="宋体" w:cs="宋体"/>
          <w:color w:val="auto"/>
          <w:sz w:val="22"/>
          <w:szCs w:val="24"/>
          <w:highlight w:val="none"/>
        </w:rPr>
        <w:fldChar w:fldCharType="end"/>
      </w:r>
      <w:r>
        <w:rPr>
          <w:rFonts w:hint="eastAsia" w:ascii="宋体" w:hAnsi="宋体" w:cs="宋体"/>
          <w:color w:val="auto"/>
          <w:sz w:val="22"/>
          <w:szCs w:val="24"/>
          <w:highlight w:val="none"/>
        </w:rPr>
        <w:t>26</w:t>
      </w:r>
    </w:p>
    <w:p>
      <w:pPr>
        <w:pStyle w:val="66"/>
        <w:tabs>
          <w:tab w:val="right" w:leader="dot" w:pos="9660"/>
        </w:tabs>
        <w:spacing w:line="600" w:lineRule="exact"/>
        <w:rPr>
          <w:rFonts w:hint="eastAsia" w:ascii="宋体" w:hAnsi="宋体" w:cs="宋体"/>
          <w:color w:val="auto"/>
          <w:sz w:val="22"/>
          <w:szCs w:val="24"/>
          <w:highlight w:val="none"/>
        </w:rPr>
      </w:pPr>
      <w:r>
        <w:rPr>
          <w:rFonts w:hint="eastAsia" w:ascii="宋体" w:hAnsi="宋体" w:cs="宋体"/>
          <w:color w:val="auto"/>
          <w:sz w:val="22"/>
          <w:szCs w:val="24"/>
          <w:highlight w:val="none"/>
        </w:rPr>
        <w:fldChar w:fldCharType="begin"/>
      </w:r>
      <w:r>
        <w:rPr>
          <w:rFonts w:hint="eastAsia" w:ascii="宋体" w:hAnsi="宋体" w:cs="宋体"/>
          <w:color w:val="auto"/>
          <w:sz w:val="22"/>
          <w:szCs w:val="24"/>
          <w:highlight w:val="none"/>
        </w:rPr>
        <w:instrText xml:space="preserve"> HYPERLINK \l _Toc5373_WPSOffice_Level1 </w:instrText>
      </w:r>
      <w:r>
        <w:rPr>
          <w:rFonts w:hint="eastAsia" w:ascii="宋体" w:hAnsi="宋体" w:cs="宋体"/>
          <w:color w:val="auto"/>
          <w:sz w:val="22"/>
          <w:szCs w:val="24"/>
          <w:highlight w:val="none"/>
        </w:rPr>
        <w:fldChar w:fldCharType="separate"/>
      </w:r>
      <w:r>
        <w:rPr>
          <w:rFonts w:hint="eastAsia" w:ascii="宋体" w:hAnsi="宋体" w:cs="宋体"/>
          <w:color w:val="auto"/>
          <w:sz w:val="22"/>
          <w:szCs w:val="24"/>
          <w:highlight w:val="none"/>
        </w:rPr>
        <w:t>第五章  合同主要条款</w:t>
      </w:r>
      <w:r>
        <w:rPr>
          <w:rFonts w:hint="eastAsia" w:ascii="宋体" w:hAnsi="宋体" w:cs="宋体"/>
          <w:color w:val="auto"/>
          <w:sz w:val="22"/>
          <w:szCs w:val="24"/>
          <w:highlight w:val="none"/>
        </w:rPr>
        <w:tab/>
      </w:r>
      <w:r>
        <w:rPr>
          <w:rFonts w:hint="eastAsia" w:ascii="宋体" w:hAnsi="宋体" w:cs="宋体"/>
          <w:color w:val="auto"/>
          <w:sz w:val="22"/>
          <w:szCs w:val="24"/>
          <w:highlight w:val="none"/>
        </w:rPr>
        <w:fldChar w:fldCharType="end"/>
      </w:r>
      <w:r>
        <w:rPr>
          <w:rFonts w:hint="eastAsia" w:ascii="宋体" w:hAnsi="宋体" w:cs="宋体"/>
          <w:color w:val="auto"/>
          <w:sz w:val="22"/>
          <w:szCs w:val="24"/>
          <w:highlight w:val="none"/>
        </w:rPr>
        <w:t>35</w:t>
      </w:r>
    </w:p>
    <w:p>
      <w:pPr>
        <w:pStyle w:val="66"/>
        <w:tabs>
          <w:tab w:val="right" w:leader="dot" w:pos="9660"/>
        </w:tabs>
        <w:spacing w:line="600" w:lineRule="exact"/>
        <w:rPr>
          <w:rFonts w:hint="eastAsia" w:ascii="宋体" w:hAnsi="宋体" w:cs="宋体"/>
          <w:color w:val="auto"/>
          <w:sz w:val="22"/>
          <w:szCs w:val="24"/>
          <w:highlight w:val="none"/>
        </w:rPr>
      </w:pPr>
      <w:r>
        <w:rPr>
          <w:rFonts w:hint="eastAsia" w:ascii="宋体" w:hAnsi="宋体" w:cs="宋体"/>
          <w:color w:val="auto"/>
          <w:sz w:val="22"/>
          <w:szCs w:val="24"/>
          <w:highlight w:val="none"/>
        </w:rPr>
        <w:fldChar w:fldCharType="begin"/>
      </w:r>
      <w:r>
        <w:rPr>
          <w:rFonts w:hint="eastAsia" w:ascii="宋体" w:hAnsi="宋体" w:cs="宋体"/>
          <w:color w:val="auto"/>
          <w:sz w:val="22"/>
          <w:szCs w:val="24"/>
          <w:highlight w:val="none"/>
        </w:rPr>
        <w:instrText xml:space="preserve"> HYPERLINK \l _Toc21201_WPSOffice_Level1 </w:instrText>
      </w:r>
      <w:r>
        <w:rPr>
          <w:rFonts w:hint="eastAsia" w:ascii="宋体" w:hAnsi="宋体" w:cs="宋体"/>
          <w:color w:val="auto"/>
          <w:sz w:val="22"/>
          <w:szCs w:val="24"/>
          <w:highlight w:val="none"/>
        </w:rPr>
        <w:fldChar w:fldCharType="separate"/>
      </w:r>
      <w:r>
        <w:rPr>
          <w:rFonts w:hint="eastAsia" w:ascii="宋体" w:hAnsi="宋体" w:cs="宋体"/>
          <w:color w:val="auto"/>
          <w:sz w:val="22"/>
          <w:szCs w:val="24"/>
          <w:highlight w:val="none"/>
        </w:rPr>
        <w:t>第六章  商务条款</w:t>
      </w:r>
      <w:r>
        <w:rPr>
          <w:rFonts w:hint="eastAsia" w:ascii="宋体" w:hAnsi="宋体" w:cs="宋体"/>
          <w:color w:val="auto"/>
          <w:sz w:val="22"/>
          <w:szCs w:val="24"/>
          <w:highlight w:val="none"/>
        </w:rPr>
        <w:tab/>
      </w:r>
      <w:r>
        <w:rPr>
          <w:rFonts w:hint="eastAsia" w:ascii="宋体" w:hAnsi="宋体" w:cs="宋体"/>
          <w:color w:val="auto"/>
          <w:sz w:val="22"/>
          <w:szCs w:val="24"/>
          <w:highlight w:val="none"/>
        </w:rPr>
        <w:fldChar w:fldCharType="end"/>
      </w:r>
      <w:r>
        <w:rPr>
          <w:rFonts w:hint="eastAsia" w:ascii="宋体" w:hAnsi="宋体" w:cs="宋体"/>
          <w:color w:val="auto"/>
          <w:sz w:val="22"/>
          <w:szCs w:val="24"/>
          <w:highlight w:val="none"/>
        </w:rPr>
        <w:t>39</w:t>
      </w:r>
    </w:p>
    <w:p>
      <w:pPr>
        <w:pStyle w:val="66"/>
        <w:tabs>
          <w:tab w:val="right" w:leader="dot" w:pos="9660"/>
        </w:tabs>
        <w:spacing w:line="600" w:lineRule="exact"/>
        <w:rPr>
          <w:rFonts w:hint="eastAsia" w:ascii="宋体" w:hAnsi="宋体" w:cs="宋体"/>
          <w:color w:val="auto"/>
          <w:sz w:val="22"/>
          <w:szCs w:val="24"/>
          <w:highlight w:val="none"/>
        </w:rPr>
      </w:pPr>
      <w:r>
        <w:rPr>
          <w:rFonts w:hint="eastAsia" w:ascii="宋体" w:hAnsi="宋体" w:cs="宋体"/>
          <w:color w:val="auto"/>
          <w:sz w:val="22"/>
          <w:szCs w:val="24"/>
          <w:highlight w:val="none"/>
        </w:rPr>
        <w:fldChar w:fldCharType="begin"/>
      </w:r>
      <w:r>
        <w:rPr>
          <w:rFonts w:hint="eastAsia" w:ascii="宋体" w:hAnsi="宋体" w:cs="宋体"/>
          <w:color w:val="auto"/>
          <w:sz w:val="22"/>
          <w:szCs w:val="24"/>
          <w:highlight w:val="none"/>
        </w:rPr>
        <w:instrText xml:space="preserve"> HYPERLINK \l _Toc3000_WPSOffice_Level1 </w:instrText>
      </w:r>
      <w:r>
        <w:rPr>
          <w:rFonts w:hint="eastAsia" w:ascii="宋体" w:hAnsi="宋体" w:cs="宋体"/>
          <w:color w:val="auto"/>
          <w:sz w:val="22"/>
          <w:szCs w:val="24"/>
          <w:highlight w:val="none"/>
        </w:rPr>
        <w:fldChar w:fldCharType="separate"/>
      </w:r>
      <w:r>
        <w:rPr>
          <w:rFonts w:hint="eastAsia" w:ascii="宋体" w:hAnsi="宋体" w:cs="宋体"/>
          <w:color w:val="auto"/>
          <w:sz w:val="22"/>
          <w:szCs w:val="24"/>
          <w:highlight w:val="none"/>
        </w:rPr>
        <w:t>第七章  投标文件格式</w:t>
      </w:r>
      <w:r>
        <w:rPr>
          <w:rFonts w:hint="eastAsia" w:ascii="宋体" w:hAnsi="宋体" w:cs="宋体"/>
          <w:color w:val="auto"/>
          <w:sz w:val="22"/>
          <w:szCs w:val="24"/>
          <w:highlight w:val="none"/>
        </w:rPr>
        <w:tab/>
      </w:r>
      <w:r>
        <w:rPr>
          <w:rFonts w:hint="eastAsia" w:ascii="宋体" w:hAnsi="宋体" w:cs="宋体"/>
          <w:color w:val="auto"/>
          <w:sz w:val="22"/>
          <w:szCs w:val="24"/>
          <w:highlight w:val="none"/>
        </w:rPr>
        <w:fldChar w:fldCharType="end"/>
      </w:r>
      <w:r>
        <w:rPr>
          <w:rFonts w:hint="eastAsia" w:ascii="宋体" w:hAnsi="宋体" w:cs="宋体"/>
          <w:color w:val="auto"/>
          <w:sz w:val="22"/>
          <w:szCs w:val="24"/>
          <w:highlight w:val="none"/>
        </w:rPr>
        <w:t>41</w:t>
      </w:r>
    </w:p>
    <w:p>
      <w:pPr>
        <w:pStyle w:val="66"/>
        <w:tabs>
          <w:tab w:val="right" w:leader="dot" w:pos="9660"/>
        </w:tabs>
        <w:rPr>
          <w:rFonts w:hint="eastAsia" w:ascii="宋体" w:hAnsi="宋体" w:cs="宋体"/>
          <w:color w:val="auto"/>
          <w:highlight w:val="none"/>
        </w:rPr>
      </w:pPr>
    </w:p>
    <w:p>
      <w:pPr>
        <w:pStyle w:val="4"/>
        <w:keepNext w:val="0"/>
        <w:keepLines w:val="0"/>
        <w:tabs>
          <w:tab w:val="left" w:pos="0"/>
          <w:tab w:val="left" w:pos="1935"/>
          <w:tab w:val="center" w:pos="4252"/>
        </w:tabs>
        <w:spacing w:before="0" w:after="0" w:line="360" w:lineRule="auto"/>
        <w:ind w:left="0" w:firstLine="0"/>
        <w:rPr>
          <w:rFonts w:hint="eastAsia" w:ascii="宋体" w:hAnsi="宋体" w:cs="宋体"/>
          <w:b w:val="0"/>
          <w:color w:val="auto"/>
          <w:sz w:val="28"/>
          <w:szCs w:val="28"/>
          <w:highlight w:val="none"/>
        </w:rPr>
        <w:sectPr>
          <w:footerReference r:id="rId3" w:type="default"/>
          <w:pgSz w:w="11906" w:h="16838"/>
          <w:pgMar w:top="1440" w:right="1123" w:bottom="1440" w:left="1123" w:header="851" w:footer="992" w:gutter="0"/>
          <w:pgNumType w:start="1"/>
          <w:cols w:space="720" w:num="1"/>
          <w:docGrid w:type="lines" w:linePitch="391" w:charSpace="0"/>
        </w:sectPr>
      </w:pPr>
    </w:p>
    <w:p>
      <w:pPr>
        <w:pStyle w:val="4"/>
        <w:keepNext w:val="0"/>
        <w:keepLines w:val="0"/>
        <w:tabs>
          <w:tab w:val="left" w:pos="0"/>
          <w:tab w:val="left" w:pos="1935"/>
          <w:tab w:val="center" w:pos="4252"/>
        </w:tabs>
        <w:spacing w:before="0" w:after="0" w:line="360" w:lineRule="auto"/>
        <w:ind w:left="0" w:firstLine="0"/>
        <w:rPr>
          <w:rFonts w:hint="eastAsia" w:ascii="宋体" w:hAnsi="宋体" w:cs="宋体"/>
          <w:color w:val="auto"/>
          <w:sz w:val="32"/>
          <w:szCs w:val="32"/>
          <w:highlight w:val="none"/>
        </w:rPr>
      </w:pPr>
      <w:bookmarkStart w:id="2" w:name="_Toc2541_WPSOffice_Level1"/>
      <w:bookmarkStart w:id="3" w:name="_Toc32572_WPSOffice_Level1"/>
      <w:r>
        <w:rPr>
          <w:rFonts w:hint="eastAsia" w:ascii="宋体" w:hAnsi="宋体" w:cs="宋体"/>
          <w:color w:val="auto"/>
          <w:sz w:val="32"/>
          <w:szCs w:val="32"/>
          <w:highlight w:val="none"/>
        </w:rPr>
        <w:t>第一章 招标公告</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3" w:type="dxa"/>
            <w:noWrap w:val="0"/>
            <w:vAlign w:val="center"/>
          </w:tcPr>
          <w:p>
            <w:pPr>
              <w:snapToGrid w:val="0"/>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项目概况</w:t>
            </w:r>
          </w:p>
          <w:p>
            <w:pPr>
              <w:snapToGrid w:val="0"/>
              <w:spacing w:line="400" w:lineRule="exact"/>
              <w:ind w:firstLine="431" w:firstLineChars="196"/>
              <w:rPr>
                <w:rFonts w:hint="eastAsia" w:ascii="宋体" w:hAnsi="宋体" w:cs="宋体"/>
                <w:color w:val="auto"/>
                <w:sz w:val="28"/>
                <w:szCs w:val="28"/>
                <w:highlight w:val="none"/>
              </w:rPr>
            </w:pPr>
            <w:r>
              <w:rPr>
                <w:rFonts w:hint="eastAsia" w:ascii="宋体" w:hAnsi="宋体" w:cs="宋体"/>
                <w:color w:val="auto"/>
                <w:sz w:val="22"/>
                <w:szCs w:val="22"/>
                <w:highlight w:val="none"/>
                <w:u w:val="single"/>
              </w:rPr>
              <w:t>2021年度慈溪市环杭州湾创新中心**室辅勤采购项目</w:t>
            </w:r>
            <w:r>
              <w:rPr>
                <w:rFonts w:hint="eastAsia" w:ascii="宋体" w:hAnsi="宋体" w:cs="宋体"/>
                <w:color w:val="auto"/>
                <w:sz w:val="22"/>
                <w:szCs w:val="22"/>
                <w:highlight w:val="none"/>
              </w:rPr>
              <w:t>的潜在投标人应在</w:t>
            </w:r>
            <w:r>
              <w:rPr>
                <w:rFonts w:hint="eastAsia" w:ascii="宋体" w:hAnsi="宋体" w:cs="宋体"/>
                <w:color w:val="auto"/>
                <w:sz w:val="22"/>
                <w:szCs w:val="22"/>
                <w:highlight w:val="none"/>
                <w:u w:val="single"/>
              </w:rPr>
              <w:t>浙江政府采购云平台（http://www.zcygov.cn/）</w:t>
            </w:r>
            <w:r>
              <w:rPr>
                <w:rFonts w:hint="eastAsia" w:ascii="宋体" w:hAnsi="宋体" w:cs="宋体"/>
                <w:color w:val="auto"/>
                <w:sz w:val="22"/>
                <w:szCs w:val="22"/>
                <w:highlight w:val="none"/>
              </w:rPr>
              <w:t>获取招标文件，并于</w:t>
            </w:r>
            <w:r>
              <w:rPr>
                <w:rFonts w:hint="eastAsia" w:ascii="宋体" w:hAnsi="宋体" w:cs="宋体"/>
                <w:color w:val="auto"/>
                <w:sz w:val="22"/>
                <w:szCs w:val="22"/>
                <w:highlight w:val="none"/>
                <w:u w:val="single"/>
              </w:rPr>
              <w:t xml:space="preserve"> 2021 </w:t>
            </w:r>
            <w:r>
              <w:rPr>
                <w:rFonts w:hint="eastAsia" w:ascii="宋体" w:hAnsi="宋体" w:cs="宋体"/>
                <w:color w:val="auto"/>
                <w:sz w:val="22"/>
                <w:szCs w:val="22"/>
                <w:highlight w:val="none"/>
              </w:rPr>
              <w:t>年</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4</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月</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23</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日</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9</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点</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30</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分（北京时间）前递交投标文件。</w:t>
            </w:r>
          </w:p>
        </w:tc>
      </w:tr>
    </w:tbl>
    <w:p>
      <w:pPr>
        <w:pStyle w:val="1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20"/>
          <w:rFonts w:ascii="黑体" w:hAnsi="宋体" w:eastAsia="黑体" w:cs="黑体"/>
          <w:sz w:val="27"/>
          <w:szCs w:val="27"/>
        </w:rPr>
        <w:t>一、项目基本情况</w:t>
      </w:r>
      <w:r>
        <w:rPr>
          <w:rFonts w:ascii="黑体" w:hAnsi="宋体" w:eastAsia="黑体" w:cs="黑体"/>
          <w:sz w:val="27"/>
          <w:szCs w:val="27"/>
        </w:rPr>
        <w:t>                             </w:t>
      </w:r>
    </w:p>
    <w:p>
      <w:pPr>
        <w:pStyle w:val="15"/>
        <w:keepNext w:val="0"/>
        <w:keepLines w:val="0"/>
        <w:widowControl/>
        <w:suppressLineNumbers w:val="0"/>
        <w:spacing w:line="300" w:lineRule="atLeast"/>
      </w:pPr>
      <w:r>
        <w:rPr>
          <w:rFonts w:ascii="仿宋" w:hAnsi="仿宋" w:eastAsia="仿宋" w:cs="仿宋"/>
          <w:sz w:val="27"/>
          <w:szCs w:val="27"/>
        </w:rPr>
        <w:t>    项目编号：</w:t>
      </w:r>
      <w:r>
        <w:rPr>
          <w:rFonts w:hint="eastAsia" w:ascii="仿宋" w:hAnsi="仿宋" w:eastAsia="仿宋" w:cs="仿宋"/>
          <w:sz w:val="27"/>
          <w:szCs w:val="27"/>
        </w:rPr>
        <w:t>CXZFCG[2021]330282001175942号 </w:t>
      </w:r>
    </w:p>
    <w:p>
      <w:pPr>
        <w:pStyle w:val="15"/>
        <w:keepNext w:val="0"/>
        <w:keepLines w:val="0"/>
        <w:widowControl/>
        <w:suppressLineNumbers w:val="0"/>
        <w:spacing w:line="300" w:lineRule="atLeast"/>
      </w:pPr>
      <w:r>
        <w:rPr>
          <w:rFonts w:hint="eastAsia" w:ascii="仿宋" w:hAnsi="仿宋" w:eastAsia="仿宋" w:cs="仿宋"/>
          <w:sz w:val="27"/>
          <w:szCs w:val="27"/>
        </w:rPr>
        <w:t>    项目名称：2021年度慈溪市环杭州湾创新中心**室辅勤采购项目</w:t>
      </w:r>
    </w:p>
    <w:p>
      <w:pPr>
        <w:pStyle w:val="15"/>
        <w:keepNext w:val="0"/>
        <w:keepLines w:val="0"/>
        <w:widowControl/>
        <w:suppressLineNumbers w:val="0"/>
        <w:spacing w:line="300" w:lineRule="atLeast"/>
      </w:pPr>
      <w:r>
        <w:rPr>
          <w:rFonts w:hint="eastAsia" w:ascii="仿宋" w:hAnsi="仿宋" w:eastAsia="仿宋" w:cs="仿宋"/>
          <w:sz w:val="27"/>
          <w:szCs w:val="27"/>
        </w:rPr>
        <w:t>    预算金额（元）：2100000 </w:t>
      </w:r>
      <w:r>
        <w:rPr>
          <w:rFonts w:hint="eastAsia" w:ascii="仿宋" w:hAnsi="仿宋" w:eastAsia="仿宋" w:cs="仿宋"/>
        </w:rPr>
        <w:t> </w:t>
      </w:r>
    </w:p>
    <w:p>
      <w:pPr>
        <w:pStyle w:val="15"/>
        <w:keepNext w:val="0"/>
        <w:keepLines w:val="0"/>
        <w:widowControl/>
        <w:suppressLineNumbers w:val="0"/>
        <w:spacing w:line="300" w:lineRule="atLeast"/>
      </w:pPr>
      <w:r>
        <w:rPr>
          <w:rFonts w:hint="eastAsia" w:ascii="仿宋" w:hAnsi="仿宋" w:eastAsia="仿宋" w:cs="仿宋"/>
          <w:sz w:val="27"/>
          <w:szCs w:val="27"/>
        </w:rPr>
        <w:t>    最高限价（元）：2097625 </w:t>
      </w:r>
    </w:p>
    <w:p>
      <w:pPr>
        <w:pStyle w:val="15"/>
        <w:keepNext w:val="0"/>
        <w:keepLines w:val="0"/>
        <w:widowControl/>
        <w:suppressLineNumbers w:val="0"/>
        <w:spacing w:line="300" w:lineRule="atLeast"/>
      </w:pPr>
      <w:r>
        <w:rPr>
          <w:rFonts w:hint="eastAsia" w:ascii="仿宋" w:hAnsi="仿宋" w:eastAsia="仿宋" w:cs="仿宋"/>
          <w:sz w:val="27"/>
          <w:szCs w:val="27"/>
        </w:rPr>
        <w:t>    采购需求：</w:t>
      </w:r>
    </w:p>
    <w:p>
      <w:pPr>
        <w:pStyle w:val="15"/>
        <w:keepNext w:val="0"/>
        <w:keepLines w:val="0"/>
        <w:widowControl/>
        <w:suppressLineNumbers w:val="0"/>
        <w:spacing w:line="315" w:lineRule="atLeast"/>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标项名称: 2021年度慈溪市环杭州湾创新中心**室辅勤采购项目 </w:t>
      </w:r>
      <w:r>
        <w:rPr>
          <w:rFonts w:hint="eastAsia" w:ascii="仿宋" w:hAnsi="仿宋" w:eastAsia="仿宋" w:cs="仿宋"/>
          <w:sz w:val="27"/>
          <w:szCs w:val="27"/>
        </w:rPr>
        <w:br w:type="textWrapping"/>
      </w:r>
      <w:r>
        <w:rPr>
          <w:rFonts w:hint="eastAsia" w:ascii="仿宋" w:hAnsi="仿宋" w:eastAsia="仿宋" w:cs="仿宋"/>
          <w:sz w:val="27"/>
          <w:szCs w:val="27"/>
        </w:rPr>
        <w:t>    数量: 1  </w:t>
      </w:r>
      <w:r>
        <w:rPr>
          <w:rFonts w:hint="eastAsia" w:ascii="仿宋" w:hAnsi="仿宋" w:eastAsia="仿宋" w:cs="仿宋"/>
          <w:sz w:val="27"/>
          <w:szCs w:val="27"/>
        </w:rPr>
        <w:br w:type="textWrapping"/>
      </w:r>
      <w:r>
        <w:rPr>
          <w:rFonts w:hint="eastAsia" w:ascii="仿宋" w:hAnsi="仿宋" w:eastAsia="仿宋" w:cs="仿宋"/>
          <w:sz w:val="27"/>
          <w:szCs w:val="27"/>
        </w:rPr>
        <w:t>    预算金额（元）: 2100000 </w:t>
      </w:r>
      <w:r>
        <w:rPr>
          <w:rFonts w:hint="eastAsia" w:ascii="仿宋" w:hAnsi="仿宋" w:eastAsia="仿宋" w:cs="仿宋"/>
          <w:sz w:val="27"/>
          <w:szCs w:val="27"/>
        </w:rPr>
        <w:br w:type="textWrapping"/>
      </w:r>
      <w:r>
        <w:rPr>
          <w:rFonts w:hint="eastAsia" w:ascii="仿宋" w:hAnsi="仿宋" w:eastAsia="仿宋" w:cs="仿宋"/>
          <w:sz w:val="27"/>
          <w:szCs w:val="27"/>
        </w:rPr>
        <w:t>    简要规格描述或项目基本概况介绍、用途：慈溪市环杭州湾创新中心**室辅勤采购，共需21名 </w:t>
      </w:r>
      <w:r>
        <w:rPr>
          <w:rFonts w:hint="eastAsia" w:ascii="仿宋" w:hAnsi="仿宋" w:eastAsia="仿宋" w:cs="仿宋"/>
          <w:sz w:val="27"/>
          <w:szCs w:val="27"/>
        </w:rPr>
        <w:br w:type="textWrapping"/>
      </w:r>
      <w:r>
        <w:rPr>
          <w:rFonts w:hint="eastAsia" w:ascii="仿宋" w:hAnsi="仿宋" w:eastAsia="仿宋" w:cs="仿宋"/>
          <w:sz w:val="27"/>
          <w:szCs w:val="27"/>
        </w:rPr>
        <w:t>    备注：无</w:t>
      </w:r>
      <w:r>
        <w:rPr>
          <w:rFonts w:hint="eastAsia" w:ascii="仿宋" w:hAnsi="仿宋" w:eastAsia="仿宋" w:cs="仿宋"/>
        </w:rPr>
        <w:t> </w:t>
      </w:r>
    </w:p>
    <w:p>
      <w:pPr>
        <w:pStyle w:val="15"/>
        <w:keepNext w:val="0"/>
        <w:keepLines w:val="0"/>
        <w:widowControl/>
        <w:suppressLineNumbers w:val="0"/>
        <w:spacing w:line="300" w:lineRule="atLeast"/>
      </w:pPr>
      <w:r>
        <w:rPr>
          <w:rFonts w:hint="eastAsia" w:ascii="仿宋" w:hAnsi="仿宋" w:eastAsia="仿宋" w:cs="仿宋"/>
          <w:sz w:val="27"/>
          <w:szCs w:val="27"/>
        </w:rPr>
        <w:t>    合同履约期限：标项 1，一年，经采购人考核合格后，下一年度合同经费符合政府采购预算安排要求，申报政府采购计划并批准，双方同意后，方可续签下一年度的合同，最多续签2年。采购人在合同到期前填报采购项目计划审批表（采购方式一栏选择“其他—其他”），并将中标通知书、初次合同、上一年度考核情况等资料的影印件作为附件一并上传，在取得行政主管部门、财政部门、市公共资源交管办同意后，才能与供应商续签下一年采购合同，续签合同上传至“政采云平台”。</w:t>
      </w:r>
    </w:p>
    <w:p>
      <w:pPr>
        <w:pStyle w:val="15"/>
        <w:keepNext w:val="0"/>
        <w:keepLines w:val="0"/>
        <w:widowControl/>
        <w:suppressLineNumbers w:val="0"/>
        <w:spacing w:line="300" w:lineRule="atLeast"/>
      </w:pPr>
      <w:r>
        <w:rPr>
          <w:rFonts w:hint="eastAsia" w:ascii="仿宋" w:hAnsi="仿宋" w:eastAsia="仿宋" w:cs="仿宋"/>
          <w:sz w:val="27"/>
          <w:szCs w:val="27"/>
        </w:rPr>
        <w:t>    本项目（否）接受联合体投标。</w:t>
      </w:r>
    </w:p>
    <w:p>
      <w:pPr>
        <w:pStyle w:val="15"/>
        <w:keepNext w:val="0"/>
        <w:keepLines w:val="0"/>
        <w:widowControl/>
        <w:suppressLineNumbers w:val="0"/>
        <w:spacing w:before="225" w:beforeAutospacing="0" w:after="225" w:afterAutospacing="0" w:line="300" w:lineRule="atLeast"/>
      </w:pPr>
      <w:r>
        <w:rPr>
          <w:rStyle w:val="20"/>
          <w:rFonts w:ascii="黑体" w:hAnsi="宋体" w:eastAsia="黑体" w:cs="黑体"/>
          <w:sz w:val="27"/>
          <w:szCs w:val="27"/>
        </w:rPr>
        <w:t>二、申请人的资格要求：</w:t>
      </w:r>
    </w:p>
    <w:p>
      <w:pPr>
        <w:pStyle w:val="15"/>
        <w:keepNext w:val="0"/>
        <w:keepLines w:val="0"/>
        <w:widowControl/>
        <w:suppressLineNumbers w:val="0"/>
        <w:spacing w:line="300" w:lineRule="atLeast"/>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widowControl/>
        <w:suppressLineNumbers w:val="0"/>
        <w:spacing w:line="300" w:lineRule="atLeast"/>
      </w:pPr>
      <w:r>
        <w:rPr>
          <w:rFonts w:hint="eastAsia" w:ascii="仿宋" w:hAnsi="仿宋" w:eastAsia="仿宋" w:cs="仿宋"/>
          <w:sz w:val="27"/>
          <w:szCs w:val="27"/>
        </w:rPr>
        <w:t>    2.落实政府采购政策需满足的资格要求：无 </w:t>
      </w:r>
    </w:p>
    <w:p>
      <w:pPr>
        <w:pStyle w:val="15"/>
        <w:keepNext w:val="0"/>
        <w:keepLines w:val="0"/>
        <w:widowControl/>
        <w:suppressLineNumbers w:val="0"/>
        <w:spacing w:line="300" w:lineRule="atLeast"/>
      </w:pPr>
      <w:r>
        <w:rPr>
          <w:rFonts w:hint="eastAsia" w:ascii="仿宋" w:hAnsi="仿宋" w:eastAsia="仿宋" w:cs="仿宋"/>
          <w:sz w:val="27"/>
          <w:szCs w:val="27"/>
        </w:rPr>
        <w:t>    3.本项目的特定资格要求：无 </w:t>
      </w:r>
    </w:p>
    <w:p>
      <w:pPr>
        <w:pStyle w:val="1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20"/>
          <w:rFonts w:ascii="黑体" w:hAnsi="宋体" w:eastAsia="黑体" w:cs="黑体"/>
          <w:sz w:val="27"/>
          <w:szCs w:val="27"/>
        </w:rPr>
        <w:t>三、获取招标文件</w:t>
      </w:r>
      <w:r>
        <w:rPr>
          <w:rFonts w:ascii="黑体" w:hAnsi="宋体" w:eastAsia="黑体" w:cs="黑体"/>
          <w:sz w:val="27"/>
          <w:szCs w:val="27"/>
        </w:rPr>
        <w:t> </w:t>
      </w:r>
    </w:p>
    <w:p>
      <w:pPr>
        <w:pStyle w:val="15"/>
        <w:keepNext w:val="0"/>
        <w:keepLines w:val="0"/>
        <w:widowControl/>
        <w:suppressLineNumbers w:val="0"/>
        <w:spacing w:line="300" w:lineRule="atLeast"/>
      </w:pPr>
      <w:r>
        <w:rPr>
          <w:rFonts w:hint="eastAsia" w:ascii="仿宋" w:hAnsi="仿宋" w:eastAsia="仿宋" w:cs="仿宋"/>
          <w:sz w:val="27"/>
          <w:szCs w:val="27"/>
        </w:rPr>
        <w:t xml:space="preserve">    </w:t>
      </w:r>
      <w:r>
        <w:rPr>
          <w:rFonts w:hint="eastAsia" w:ascii="仿宋" w:hAnsi="仿宋" w:eastAsia="仿宋" w:cs="仿宋"/>
          <w:sz w:val="27"/>
          <w:szCs w:val="27"/>
          <w:u w:val="none"/>
        </w:rPr>
        <w:t>时间：2021年04月02日至2021年04月12日 ，每天上午00:00至12:00 ，下午12:00至23:59（北京时间，线上获取法定节假日均可，线下获取文件法定节假日除外）</w:t>
      </w:r>
    </w:p>
    <w:p>
      <w:pPr>
        <w:pStyle w:val="15"/>
        <w:keepNext w:val="0"/>
        <w:keepLines w:val="0"/>
        <w:widowControl/>
        <w:suppressLineNumbers w:val="0"/>
        <w:spacing w:line="300" w:lineRule="atLeast"/>
      </w:pPr>
      <w:r>
        <w:rPr>
          <w:rFonts w:hint="eastAsia" w:ascii="仿宋" w:hAnsi="仿宋" w:eastAsia="仿宋" w:cs="仿宋"/>
          <w:sz w:val="27"/>
          <w:szCs w:val="27"/>
        </w:rPr>
        <w:t>    地点（网址）：供应商直接登陆“浙江政府采购云平台”（http://www.zcygov.cn/）进行网上获取并下载电子采购文件。 </w:t>
      </w:r>
    </w:p>
    <w:p>
      <w:pPr>
        <w:pStyle w:val="15"/>
        <w:keepNext w:val="0"/>
        <w:keepLines w:val="0"/>
        <w:widowControl/>
        <w:suppressLineNumbers w:val="0"/>
        <w:spacing w:line="300" w:lineRule="atLeast"/>
      </w:pPr>
      <w:r>
        <w:rPr>
          <w:rFonts w:hint="eastAsia" w:ascii="仿宋" w:hAnsi="仿宋" w:eastAsia="仿宋" w:cs="仿宋"/>
          <w:sz w:val="27"/>
          <w:szCs w:val="27"/>
        </w:rPr>
        <w:t>    方式：（1）本项目不提供纸制版招标文件，供应商可通过“浙江政府采购网”在线获取（采购公告下方选取“潜在供应商”处“获取招标文件”）；供应商只有在“浙江政府采购网”完成获取招标文件申请并下载了招标文件后才视作依法获取招标文件（法律法规所指的供应商获取招标文件时间以供应商完成获取招标文件申请后下载招标文件的时间为准）；供应商网上报名操作指南： http://zfcg.czt.zj.gov.cn/bs_other/2018-03-30/12002.html?_=2018-03-30 11:40:47。 （2）通过本公告下方“游客，浏览招标文件”下载的招标文件仅供浏览，不视作依法获取招标文件，不得就招标文件提出质疑投诉,未按规定获取招标文件者的投标将被拒绝。 （3）招标文件及更正补充公告请自行登录浙江政府采购网，在招标公告及更正公告页面中下载。 </w:t>
      </w:r>
    </w:p>
    <w:p>
      <w:pPr>
        <w:pStyle w:val="15"/>
        <w:keepNext w:val="0"/>
        <w:keepLines w:val="0"/>
        <w:widowControl/>
        <w:suppressLineNumbers w:val="0"/>
        <w:spacing w:line="300" w:lineRule="atLeast"/>
      </w:pPr>
      <w:r>
        <w:rPr>
          <w:rFonts w:hint="eastAsia" w:ascii="仿宋" w:hAnsi="仿宋" w:eastAsia="仿宋" w:cs="仿宋"/>
          <w:sz w:val="27"/>
          <w:szCs w:val="27"/>
        </w:rPr>
        <w:t>    售价（元）：0</w:t>
      </w:r>
      <w:r>
        <w:rPr>
          <w:rFonts w:hint="eastAsia" w:ascii="仿宋" w:hAnsi="仿宋" w:eastAsia="仿宋" w:cs="仿宋"/>
        </w:rPr>
        <w:t> </w:t>
      </w:r>
    </w:p>
    <w:p>
      <w:pPr>
        <w:pStyle w:val="1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20"/>
          <w:rFonts w:ascii="黑体" w:hAnsi="宋体" w:eastAsia="黑体" w:cs="黑体"/>
          <w:sz w:val="27"/>
          <w:szCs w:val="27"/>
        </w:rPr>
        <w:t>四、提交投标文件截止时间、开标时间和地点</w:t>
      </w:r>
    </w:p>
    <w:p>
      <w:pPr>
        <w:pStyle w:val="15"/>
        <w:keepNext w:val="0"/>
        <w:keepLines w:val="0"/>
        <w:widowControl/>
        <w:suppressLineNumbers w:val="0"/>
        <w:spacing w:line="300" w:lineRule="atLeast"/>
      </w:pPr>
      <w:r>
        <w:rPr>
          <w:rFonts w:hint="eastAsia" w:ascii="仿宋" w:hAnsi="仿宋" w:eastAsia="仿宋" w:cs="仿宋"/>
          <w:sz w:val="27"/>
          <w:szCs w:val="27"/>
        </w:rPr>
        <w:t>   </w:t>
      </w:r>
      <w:r>
        <w:rPr>
          <w:rFonts w:hint="eastAsia" w:ascii="仿宋" w:hAnsi="仿宋" w:eastAsia="仿宋" w:cs="仿宋"/>
          <w:sz w:val="27"/>
          <w:szCs w:val="27"/>
          <w:u w:val="none"/>
        </w:rPr>
        <w:t xml:space="preserve"> 提交投标文件截止时间：2021年04月23日 09:30（北京时间）</w:t>
      </w:r>
    </w:p>
    <w:p>
      <w:pPr>
        <w:pStyle w:val="15"/>
        <w:keepNext w:val="0"/>
        <w:keepLines w:val="0"/>
        <w:widowControl/>
        <w:suppressLineNumbers w:val="0"/>
        <w:spacing w:line="300" w:lineRule="atLeast"/>
      </w:pPr>
      <w:r>
        <w:rPr>
          <w:rFonts w:hint="eastAsia" w:ascii="仿宋" w:hAnsi="仿宋" w:eastAsia="仿宋" w:cs="仿宋"/>
          <w:sz w:val="27"/>
          <w:szCs w:val="27"/>
        </w:rPr>
        <w:t>   </w:t>
      </w:r>
      <w:r>
        <w:rPr>
          <w:rFonts w:hint="eastAsia" w:ascii="仿宋" w:hAnsi="仿宋" w:eastAsia="仿宋" w:cs="仿宋"/>
          <w:sz w:val="27"/>
          <w:szCs w:val="27"/>
          <w:u w:val="none"/>
        </w:rPr>
        <w:t xml:space="preserve"> 投标地点（网址）：慈溪市公共资源交易中心二楼第四开标室（慈溪市南二环东路1355号）</w:t>
      </w:r>
      <w:r>
        <w:rPr>
          <w:rFonts w:hint="eastAsia" w:ascii="仿宋" w:hAnsi="仿宋" w:eastAsia="仿宋" w:cs="仿宋"/>
        </w:rPr>
        <w:t> </w:t>
      </w:r>
    </w:p>
    <w:p>
      <w:pPr>
        <w:pStyle w:val="15"/>
        <w:keepNext w:val="0"/>
        <w:keepLines w:val="0"/>
        <w:widowControl/>
        <w:suppressLineNumbers w:val="0"/>
        <w:spacing w:line="300" w:lineRule="atLeast"/>
      </w:pPr>
      <w:r>
        <w:rPr>
          <w:rFonts w:hint="eastAsia" w:ascii="仿宋" w:hAnsi="仿宋" w:eastAsia="仿宋" w:cs="仿宋"/>
          <w:sz w:val="27"/>
          <w:szCs w:val="27"/>
          <w:u w:val="none"/>
        </w:rPr>
        <w:t>    开标时间：2021年04月23日 09:30</w:t>
      </w:r>
      <w:r>
        <w:rPr>
          <w:rFonts w:hint="eastAsia" w:ascii="仿宋" w:hAnsi="仿宋" w:eastAsia="仿宋" w:cs="仿宋"/>
        </w:rPr>
        <w:t> </w:t>
      </w:r>
    </w:p>
    <w:p>
      <w:pPr>
        <w:pStyle w:val="15"/>
        <w:keepNext w:val="0"/>
        <w:keepLines w:val="0"/>
        <w:widowControl/>
        <w:suppressLineNumbers w:val="0"/>
        <w:spacing w:line="300" w:lineRule="atLeast"/>
      </w:pPr>
      <w:r>
        <w:rPr>
          <w:rFonts w:hint="eastAsia" w:ascii="仿宋" w:hAnsi="仿宋" w:eastAsia="仿宋" w:cs="仿宋"/>
          <w:sz w:val="27"/>
          <w:szCs w:val="27"/>
          <w:u w:val="none"/>
        </w:rPr>
        <w:t>    开标地点（网址）：慈溪市公共资源交易中心二楼第四开标室（慈溪市南二环东路1355号）</w:t>
      </w:r>
      <w:r>
        <w:rPr>
          <w:rFonts w:hint="eastAsia" w:ascii="仿宋" w:hAnsi="仿宋" w:eastAsia="仿宋" w:cs="仿宋"/>
        </w:rPr>
        <w:t>  </w:t>
      </w:r>
    </w:p>
    <w:p>
      <w:pPr>
        <w:pStyle w:val="15"/>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20"/>
          <w:rFonts w:ascii="黑体" w:hAnsi="宋体" w:eastAsia="黑体" w:cs="黑体"/>
          <w:sz w:val="27"/>
          <w:szCs w:val="27"/>
        </w:rPr>
        <w:t>五、公告期限</w:t>
      </w:r>
      <w:r>
        <w:rPr>
          <w:rFonts w:ascii="黑体" w:hAnsi="宋体" w:eastAsia="黑体" w:cs="黑体"/>
          <w:sz w:val="31"/>
          <w:szCs w:val="31"/>
        </w:rPr>
        <w:t> </w:t>
      </w:r>
    </w:p>
    <w:p>
      <w:pPr>
        <w:pStyle w:val="15"/>
        <w:keepNext w:val="0"/>
        <w:keepLines w:val="0"/>
        <w:widowControl/>
        <w:suppressLineNumbers w:val="0"/>
      </w:pPr>
      <w:r>
        <w:rPr>
          <w:rFonts w:hint="eastAsia" w:ascii="仿宋" w:hAnsi="仿宋" w:eastAsia="仿宋" w:cs="仿宋"/>
          <w:sz w:val="27"/>
          <w:szCs w:val="27"/>
        </w:rPr>
        <w:t>    自本公告发布之日起5个工作日。</w:t>
      </w:r>
    </w:p>
    <w:p>
      <w:pPr>
        <w:pStyle w:val="1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20"/>
          <w:rFonts w:ascii="黑体" w:hAnsi="宋体" w:eastAsia="黑体" w:cs="黑体"/>
          <w:sz w:val="27"/>
          <w:szCs w:val="27"/>
        </w:rPr>
        <w:t>六、其他补充事宜</w:t>
      </w:r>
    </w:p>
    <w:p>
      <w:pPr>
        <w:pStyle w:val="15"/>
        <w:keepNext w:val="0"/>
        <w:keepLines w:val="0"/>
        <w:widowControl/>
        <w:suppressLineNumbers w:val="0"/>
        <w:spacing w:line="315" w:lineRule="atLeast"/>
      </w:pPr>
      <w:r>
        <w:rPr>
          <w:rFonts w:hint="eastAsia" w:ascii="仿宋" w:hAnsi="仿宋" w:eastAsia="仿宋" w:cs="仿宋"/>
          <w:sz w:val="27"/>
          <w:szCs w:val="27"/>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sz w:val="27"/>
          <w:szCs w:val="27"/>
        </w:rPr>
        <w:br w:type="textWrapping"/>
      </w:r>
      <w:r>
        <w:rPr>
          <w:rFonts w:hint="eastAsia" w:ascii="仿宋" w:hAnsi="仿宋" w:eastAsia="仿宋" w:cs="仿宋"/>
          <w:sz w:val="27"/>
          <w:szCs w:val="27"/>
        </w:rPr>
        <w:t>    2.其他事项：2.1投标注意事项： （1）投标形式：本项目实行网上投标，采用电子投标文件。若供应商参与投标，自行承担投标一切费用。 电子交易管理操作指南（含投标文件制作等）详见“政府采购项目电子交易管理操作指南-供应商”（https://service.zcygov.cn/#/knowledges/CW1EtGwBFdiHxlNd6I3m/6IMVAG0BFdiHxlNdQ8Na）。 （2）标前准备：标前准备：各供应商应在开标前应确保成为浙江省政府采购网正式注册入库供应商，并完成CA数字证书办理（供应商CA申领操作指南：https://help.zcygov.cn/web/site_2/2018/11-29/2452.html，完成CA数字证书办理预计一周左右，请供应商自行把握时间）。因未注册入库、未办理CA数字证书等原因造成无法获取采购文件、无法投标或投标失败等后果由供应商自行承担。 2.2投标文件制作： （1）应按照本项目招标文件和政采云平台的要求编制、加密并递交投标文件。供应商在使用系统进行投标的过程中遇到涉及平台使用的任何问题，可致电政采云平台技术支持热线400-881-7190或政采云服务专员电话0574-63917219。 （2）投标人通过政采云平台电子投标工具制作投标文件，电子投标工具请供应商自行前往浙江省政府采购网下载并安装，下载网址：http://zfcg.czt.zj.gov.cn/bidClientTemplate/2019-05-27/12946.html，供应商投标文件制作及电子交易操作指南：https://help.zcygov.cn/web/site_2/2019/08-20/3406.html（手机观看）、https://service.zcygov.cn/#/knowledges/CW1EtGwBFdiHxlNd6I3m/7GyLXW0BXgMSmLUuYuPM（电脑登录账号后观看）、https://help.zcygov.cn/web/site_2/2018/12-28/2575.html（PDF操作指南） （3）本项目供应商可以以U盘存储的数据电文形式的备份电子投标文件1份，按政采云平台项目采购-电子招投标操作指南中上传的电子投标文件格式，以用于异常情况处理。 2.3投标与开标注意事项： （1）供应商应于提交投标文件截止时间前将电子加密投标文件上传到政府采购云平台（www.zcygov.cn），未上传电子投标文件，视为供应商放弃投标。 （2）供应商在“政府采购云平台”完成“电子加密投标文件”的上传递交之外，还可以（邮寄形式或派人现场提交，以招标代理机构联系人签收时间为准）在投标截止时间前提交以介质（U盘）存储的数据电文形式的“备份投标文件”，备份投标文件递交可采用现场递交或邮寄的方式：方式一：现场递交方式，供应商可安排一名“甬行码”为绿色的授权代表在投标截止时间前将响应文件送至开标地点：慈溪市公共资源交易中心（慈溪市白沙路街道南二环东路1355号）二楼（具体受理场所见当日公告栏）。响应文件递交时须同时递交供应商的法定代表人（或其授权代表）联系方式，并保证投标期间联系方式畅通。方式二：邮寄送达，送达地址：宁波安全三江工程咨询招标代理有限公司（慈溪市剧院路77号凯玛大厦13楼）联系人:王锗，联系方式0574-63009689、18858029318。供应商邮寄后须将邮件单号发送至代理机构电子邮箱（电子邮箱：695235001@qq.com），并致电采购代理机构，以便采购代理机构查询物流记录。各供应商应当确保电子备份响应文件的密封包装在邮寄过程保持完好，并在邮寄包裹上注明项目名称、采购编号，因邮寄造成电子备份响应文件密封破损而不符合招标文件对响应文件的密封要求、或邮寄过程中导致电子备份响应文件未在投标截止时间前送达的，代理机构将拒绝其电子备份响应文件。各供应商自行考虑邮寄在途时间，电子备份响应文件送达时间以代理机构工作人员实际签收时间为准。 （3）开标时间后30分钟内供应商应当登录政采云平台，用“项目采购-开标评标”功能进行解密投标文件。若供应商在规定时间内无法解密或解密失败，可以以备份投标文件作为依据，若备份投标文件与政采云平台上传的投标文件被识别为不一致的则投标无效；供应商按时在线解密投标文件的，以在线解密的投标文件作为评审依据，采购代理机构于开评标结束后将备份投标文件退回给供应商。若供应商在规定时间内无法解密或解密失败且未提供备份投标文件的，视为投标人放弃投标。 2.4单位负责人为同一人或者存在直接控股、管理关系的不同供应商，不得参加同一标项的投标。 2.5为本项目提供整体设计、规范编制或者项目管理、监理、检测等服务的供应商，不得再参加本项目的投标。 2.6 落实政府采购政策：《政府采购促进中小企业发展管理办法》（财库〔2020〕46号）、《关于政府采购支持监狱企业发展有关问题的通知》(财库[2014]68号)、《关于促进残疾人就业政府采购政策的通知》（财库[2017]141号）。 2.7疫情防控期间，不要求投标人员必须到场参加现场开标，若投标人员需参加现场开标，应全程佩戴口罩等防护用具，自觉接受体温检测、接受疫情询问，并如实报告相关情况。请各供应商遵守慈溪市公共资源交易中心各项防疫措施规定。由于疫情防控的影响，请提早安排送标时间。  </w:t>
      </w:r>
    </w:p>
    <w:p>
      <w:pPr>
        <w:pStyle w:val="15"/>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20"/>
          <w:rFonts w:ascii="黑体" w:hAnsi="宋体" w:eastAsia="黑体" w:cs="黑体"/>
          <w:sz w:val="27"/>
          <w:szCs w:val="27"/>
        </w:rPr>
        <w:t>七、对本次采购提出询问、质疑、投诉，请按以下方式联系</w:t>
      </w:r>
    </w:p>
    <w:p>
      <w:pPr>
        <w:pStyle w:val="15"/>
        <w:keepNext w:val="0"/>
        <w:keepLines w:val="0"/>
        <w:widowControl/>
        <w:suppressLineNumbers w:val="0"/>
        <w:spacing w:line="300" w:lineRule="atLeast"/>
      </w:pPr>
      <w:r>
        <w:rPr>
          <w:rFonts w:hint="eastAsia" w:ascii="仿宋" w:hAnsi="仿宋" w:eastAsia="仿宋" w:cs="仿宋"/>
          <w:sz w:val="27"/>
          <w:szCs w:val="27"/>
        </w:rPr>
        <w:t>    1.采购人信息</w:t>
      </w:r>
    </w:p>
    <w:p>
      <w:pPr>
        <w:pStyle w:val="15"/>
        <w:keepNext w:val="0"/>
        <w:keepLines w:val="0"/>
        <w:widowControl/>
        <w:suppressLineNumbers w:val="0"/>
        <w:spacing w:line="300" w:lineRule="atLeast"/>
      </w:pPr>
      <w:r>
        <w:rPr>
          <w:rFonts w:hint="eastAsia" w:ascii="仿宋" w:hAnsi="仿宋" w:eastAsia="仿宋" w:cs="仿宋"/>
          <w:sz w:val="27"/>
          <w:szCs w:val="27"/>
        </w:rPr>
        <w:t>    名    称：慈溪市环杭州湾创新中心 </w:t>
      </w:r>
    </w:p>
    <w:p>
      <w:pPr>
        <w:pStyle w:val="15"/>
        <w:keepNext w:val="0"/>
        <w:keepLines w:val="0"/>
        <w:widowControl/>
        <w:suppressLineNumbers w:val="0"/>
        <w:spacing w:line="300" w:lineRule="atLeast"/>
      </w:pPr>
      <w:r>
        <w:rPr>
          <w:rFonts w:hint="eastAsia" w:ascii="仿宋" w:hAnsi="仿宋" w:eastAsia="仿宋" w:cs="仿宋"/>
          <w:sz w:val="27"/>
          <w:szCs w:val="27"/>
        </w:rPr>
        <w:t>    地    址：慈溪市白沙路街道顺昌大厦（前湾人才大厦）辅楼 </w:t>
      </w:r>
    </w:p>
    <w:p>
      <w:pPr>
        <w:pStyle w:val="15"/>
        <w:keepNext w:val="0"/>
        <w:keepLines w:val="0"/>
        <w:widowControl/>
        <w:suppressLineNumbers w:val="0"/>
        <w:spacing w:line="300" w:lineRule="atLeast"/>
      </w:pPr>
      <w:r>
        <w:rPr>
          <w:rFonts w:hint="eastAsia" w:ascii="仿宋" w:hAnsi="仿宋" w:eastAsia="仿宋" w:cs="仿宋"/>
          <w:sz w:val="27"/>
          <w:szCs w:val="27"/>
        </w:rPr>
        <w:t>    传    真：/ </w:t>
      </w:r>
      <w:r>
        <w:rPr>
          <w:rFonts w:hint="eastAsia" w:ascii="仿宋" w:hAnsi="仿宋" w:eastAsia="仿宋" w:cs="仿宋"/>
        </w:rPr>
        <w:t> </w:t>
      </w:r>
    </w:p>
    <w:p>
      <w:pPr>
        <w:pStyle w:val="15"/>
        <w:keepNext w:val="0"/>
        <w:keepLines w:val="0"/>
        <w:widowControl/>
        <w:suppressLineNumbers w:val="0"/>
        <w:spacing w:line="300" w:lineRule="atLeast"/>
      </w:pPr>
      <w:r>
        <w:rPr>
          <w:rFonts w:hint="eastAsia" w:ascii="仿宋" w:hAnsi="仿宋" w:eastAsia="仿宋" w:cs="仿宋"/>
          <w:sz w:val="27"/>
          <w:szCs w:val="27"/>
        </w:rPr>
        <w:t>    项目联系人（询问）：岑老师 </w:t>
      </w:r>
      <w:r>
        <w:rPr>
          <w:rFonts w:hint="eastAsia" w:ascii="仿宋" w:hAnsi="仿宋" w:eastAsia="仿宋" w:cs="仿宋"/>
        </w:rPr>
        <w:t> </w:t>
      </w:r>
    </w:p>
    <w:p>
      <w:pPr>
        <w:pStyle w:val="15"/>
        <w:keepNext w:val="0"/>
        <w:keepLines w:val="0"/>
        <w:widowControl/>
        <w:suppressLineNumbers w:val="0"/>
        <w:spacing w:line="300" w:lineRule="atLeast"/>
      </w:pPr>
      <w:r>
        <w:rPr>
          <w:rFonts w:hint="eastAsia" w:ascii="仿宋" w:hAnsi="仿宋" w:eastAsia="仿宋" w:cs="仿宋"/>
          <w:sz w:val="27"/>
          <w:szCs w:val="27"/>
        </w:rPr>
        <w:t>    项目联系方式（询问）：(0574) 639-89023 </w:t>
      </w:r>
    </w:p>
    <w:p>
      <w:pPr>
        <w:pStyle w:val="15"/>
        <w:keepNext w:val="0"/>
        <w:keepLines w:val="0"/>
        <w:widowControl/>
        <w:suppressLineNumbers w:val="0"/>
        <w:spacing w:line="300" w:lineRule="atLeast"/>
      </w:pPr>
      <w:r>
        <w:rPr>
          <w:rFonts w:hint="eastAsia" w:ascii="仿宋" w:hAnsi="仿宋" w:eastAsia="仿宋" w:cs="仿宋"/>
          <w:sz w:val="27"/>
          <w:szCs w:val="27"/>
        </w:rPr>
        <w:t>    质疑联系人：蒋丽敏 </w:t>
      </w:r>
      <w:r>
        <w:rPr>
          <w:rFonts w:hint="eastAsia" w:ascii="仿宋" w:hAnsi="仿宋" w:eastAsia="仿宋" w:cs="仿宋"/>
        </w:rPr>
        <w:t>   </w:t>
      </w:r>
    </w:p>
    <w:p>
      <w:pPr>
        <w:pStyle w:val="15"/>
        <w:keepNext w:val="0"/>
        <w:keepLines w:val="0"/>
        <w:widowControl/>
        <w:suppressLineNumbers w:val="0"/>
        <w:spacing w:line="300" w:lineRule="atLeast"/>
      </w:pPr>
      <w:r>
        <w:rPr>
          <w:rFonts w:hint="eastAsia" w:ascii="仿宋" w:hAnsi="仿宋" w:eastAsia="仿宋" w:cs="仿宋"/>
          <w:sz w:val="27"/>
          <w:szCs w:val="27"/>
        </w:rPr>
        <w:t>    质疑联系方式：0574-63989007 </w:t>
      </w:r>
    </w:p>
    <w:p>
      <w:pPr>
        <w:pStyle w:val="15"/>
        <w:keepNext w:val="0"/>
        <w:keepLines w:val="0"/>
        <w:widowControl/>
        <w:suppressLineNumbers w:val="0"/>
        <w:spacing w:line="300" w:lineRule="atLeast"/>
      </w:pPr>
      <w:r>
        <w:rPr>
          <w:rFonts w:hint="eastAsia" w:ascii="仿宋" w:hAnsi="仿宋" w:eastAsia="仿宋" w:cs="仿宋"/>
          <w:sz w:val="27"/>
          <w:szCs w:val="27"/>
        </w:rPr>
        <w:t xml:space="preserve">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名    称：宁波安全三江工程咨询招标代理有限公司 </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地    址：慈溪市剧院路77号凯玛大厦13楼 </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传    真：/ </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项目联系人（询问）：王锗  </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项目联系方式（询问）：0574-63009689 </w:t>
      </w:r>
    </w:p>
    <w:p>
      <w:pPr>
        <w:pStyle w:val="15"/>
        <w:keepNext w:val="0"/>
        <w:keepLines w:val="0"/>
        <w:widowControl/>
        <w:suppressLineNumbers w:val="0"/>
        <w:spacing w:line="300" w:lineRule="atLeast"/>
      </w:pPr>
      <w:r>
        <w:rPr>
          <w:rFonts w:hint="eastAsia" w:ascii="仿宋" w:hAnsi="仿宋" w:eastAsia="仿宋" w:cs="仿宋"/>
          <w:sz w:val="27"/>
          <w:szCs w:val="27"/>
        </w:rPr>
        <w:t>    质疑联系人：吴启训 </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质疑联系方式：0574-63009688 　　　　　　</w:t>
      </w:r>
      <w:r>
        <w:rPr>
          <w:rFonts w:hint="eastAsia" w:ascii="仿宋" w:hAnsi="仿宋" w:eastAsia="仿宋" w:cs="仿宋"/>
        </w:rPr>
        <w:t>     </w:t>
      </w:r>
    </w:p>
    <w:p>
      <w:pPr>
        <w:pStyle w:val="15"/>
        <w:keepNext w:val="0"/>
        <w:keepLines w:val="0"/>
        <w:widowControl/>
        <w:suppressLineNumbers w:val="0"/>
        <w:spacing w:line="300" w:lineRule="atLeast"/>
      </w:pPr>
      <w:r>
        <w:rPr>
          <w:rFonts w:hint="eastAsia" w:ascii="仿宋" w:hAnsi="仿宋" w:eastAsia="仿宋" w:cs="仿宋"/>
          <w:sz w:val="27"/>
          <w:szCs w:val="27"/>
        </w:rPr>
        <w:t xml:space="preserve">    </w:t>
      </w:r>
      <w:r>
        <w:rPr>
          <w:rFonts w:hint="eastAsia" w:ascii="仿宋" w:hAnsi="仿宋" w:eastAsia="仿宋" w:cs="仿宋"/>
          <w:sz w:val="27"/>
          <w:szCs w:val="27"/>
        </w:rPr>
        <w:br w:type="textWrapping"/>
      </w:r>
      <w:r>
        <w:rPr>
          <w:rFonts w:hint="eastAsia" w:ascii="仿宋" w:hAnsi="仿宋" w:eastAsia="仿宋" w:cs="仿宋"/>
          <w:sz w:val="27"/>
          <w:szCs w:val="27"/>
        </w:rPr>
        <w:t>    3.同级政府采购监督管理部门</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名    称：慈溪市公共资源交易管理办公室 </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地    址：慈溪市南二环东路1355号 </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传    真：0574-63032032 </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联系人 ：赵先生 </w:t>
      </w:r>
      <w:r>
        <w:rPr>
          <w:rFonts w:hint="eastAsia" w:ascii="仿宋" w:hAnsi="仿宋" w:eastAsia="仿宋" w:cs="仿宋"/>
        </w:rPr>
        <w:t xml:space="preserve">            </w:t>
      </w:r>
    </w:p>
    <w:p>
      <w:pPr>
        <w:pStyle w:val="15"/>
        <w:keepNext w:val="0"/>
        <w:keepLines w:val="0"/>
        <w:widowControl/>
        <w:suppressLineNumbers w:val="0"/>
        <w:spacing w:line="300" w:lineRule="atLeast"/>
      </w:pPr>
      <w:r>
        <w:rPr>
          <w:rFonts w:hint="eastAsia" w:ascii="仿宋" w:hAnsi="仿宋" w:eastAsia="仿宋" w:cs="仿宋"/>
          <w:sz w:val="27"/>
          <w:szCs w:val="27"/>
        </w:rPr>
        <w:t>    监督投诉电话：0574-63032252 </w:t>
      </w:r>
      <w:r>
        <w:rPr>
          <w:rFonts w:hint="eastAsia" w:ascii="仿宋" w:hAnsi="仿宋" w:eastAsia="仿宋" w:cs="仿宋"/>
        </w:rPr>
        <w:t xml:space="preserve">          </w:t>
      </w:r>
      <w:r>
        <w:rPr>
          <w:rFonts w:hint="eastAsia" w:ascii="仿宋" w:hAnsi="仿宋" w:eastAsia="仿宋" w:cs="仿宋"/>
        </w:rPr>
        <w:br w:type="textWrapping"/>
      </w:r>
      <w:r>
        <w:rPr>
          <w:rFonts w:hint="eastAsia" w:ascii="仿宋" w:hAnsi="仿宋" w:eastAsia="仿宋" w:cs="仿宋"/>
        </w:rPr>
        <w:t>         </w:t>
      </w:r>
    </w:p>
    <w:p>
      <w:pPr>
        <w:pStyle w:val="15"/>
        <w:keepNext w:val="0"/>
        <w:keepLines w:val="0"/>
        <w:widowControl/>
        <w:suppressLineNumbers w:val="0"/>
      </w:pP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widowControl/>
        <w:jc w:val="left"/>
        <w:rPr>
          <w:rFonts w:hint="eastAsia" w:ascii="宋体" w:hAnsi="宋体" w:cs="宋体"/>
          <w:color w:val="auto"/>
          <w:sz w:val="24"/>
          <w:szCs w:val="24"/>
          <w:highlight w:val="none"/>
        </w:rPr>
      </w:pPr>
    </w:p>
    <w:p>
      <w:pPr>
        <w:snapToGrid w:val="0"/>
        <w:spacing w:line="480" w:lineRule="exact"/>
        <w:ind w:firstLine="420" w:firstLineChars="200"/>
        <w:rPr>
          <w:rFonts w:hint="eastAsia" w:ascii="宋体" w:hAnsi="宋体" w:cs="宋体"/>
          <w:color w:val="auto"/>
          <w:szCs w:val="21"/>
          <w:highlight w:val="none"/>
        </w:rPr>
      </w:pPr>
    </w:p>
    <w:p>
      <w:pPr>
        <w:pStyle w:val="9"/>
        <w:ind w:left="1470" w:right="1470"/>
        <w:rPr>
          <w:rFonts w:hint="eastAsia" w:ascii="宋体" w:hAnsi="宋体" w:cs="宋体"/>
          <w:color w:val="auto"/>
          <w:highlight w:val="none"/>
        </w:rPr>
      </w:pPr>
    </w:p>
    <w:p>
      <w:pPr>
        <w:pStyle w:val="4"/>
        <w:keepNext w:val="0"/>
        <w:keepLines w:val="0"/>
        <w:tabs>
          <w:tab w:val="left" w:pos="0"/>
          <w:tab w:val="left" w:pos="1935"/>
          <w:tab w:val="center" w:pos="4252"/>
        </w:tabs>
        <w:spacing w:before="0" w:after="0" w:line="360" w:lineRule="auto"/>
        <w:ind w:left="0" w:firstLine="0"/>
        <w:rPr>
          <w:rFonts w:hint="eastAsia" w:ascii="宋体" w:hAnsi="宋体" w:cs="宋体"/>
          <w:color w:val="auto"/>
          <w:sz w:val="28"/>
          <w:szCs w:val="28"/>
          <w:highlight w:val="none"/>
          <w:u w:val="single"/>
        </w:rPr>
      </w:pPr>
    </w:p>
    <w:p>
      <w:pPr>
        <w:pStyle w:val="4"/>
        <w:keepNext w:val="0"/>
        <w:keepLines w:val="0"/>
        <w:tabs>
          <w:tab w:val="left" w:pos="0"/>
          <w:tab w:val="left" w:pos="1935"/>
          <w:tab w:val="center" w:pos="4252"/>
        </w:tabs>
        <w:spacing w:before="0" w:after="0" w:line="360" w:lineRule="auto"/>
        <w:ind w:left="0" w:firstLine="0"/>
        <w:rPr>
          <w:rFonts w:hint="eastAsia" w:ascii="宋体" w:hAnsi="宋体" w:cs="宋体"/>
          <w:color w:val="auto"/>
          <w:sz w:val="28"/>
          <w:szCs w:val="28"/>
          <w:highlight w:val="none"/>
          <w:u w:val="single"/>
        </w:rPr>
      </w:pPr>
    </w:p>
    <w:p>
      <w:pPr>
        <w:pStyle w:val="4"/>
        <w:keepNext w:val="0"/>
        <w:keepLines w:val="0"/>
        <w:tabs>
          <w:tab w:val="left" w:pos="0"/>
          <w:tab w:val="left" w:pos="1935"/>
          <w:tab w:val="center" w:pos="4252"/>
        </w:tabs>
        <w:spacing w:before="0" w:after="0" w:line="360" w:lineRule="auto"/>
        <w:ind w:left="0" w:firstLine="0"/>
        <w:rPr>
          <w:rFonts w:hint="eastAsia" w:ascii="宋体" w:hAnsi="宋体" w:cs="宋体"/>
          <w:color w:val="auto"/>
          <w:sz w:val="28"/>
          <w:szCs w:val="28"/>
          <w:highlight w:val="none"/>
          <w:u w:val="single"/>
        </w:rPr>
      </w:pPr>
    </w:p>
    <w:bookmarkEnd w:id="2"/>
    <w:bookmarkEnd w:id="3"/>
    <w:p>
      <w:pPr>
        <w:pStyle w:val="4"/>
        <w:keepNext w:val="0"/>
        <w:keepLines w:val="0"/>
        <w:tabs>
          <w:tab w:val="left" w:pos="0"/>
          <w:tab w:val="left" w:pos="1935"/>
          <w:tab w:val="center" w:pos="4252"/>
        </w:tabs>
        <w:spacing w:before="0" w:after="0" w:line="360" w:lineRule="auto"/>
        <w:ind w:left="0" w:firstLine="0"/>
        <w:jc w:val="both"/>
        <w:rPr>
          <w:rFonts w:hint="eastAsia" w:ascii="宋体" w:hAnsi="宋体" w:cs="宋体"/>
          <w:color w:val="auto"/>
          <w:sz w:val="32"/>
          <w:szCs w:val="32"/>
          <w:highlight w:val="none"/>
        </w:rPr>
      </w:pPr>
      <w:bookmarkStart w:id="4" w:name="_Toc30206_WPSOffice_Level1"/>
      <w:bookmarkStart w:id="5" w:name="_Toc8613_WPSOffice_Level1"/>
    </w:p>
    <w:p>
      <w:pPr>
        <w:pStyle w:val="4"/>
        <w:keepNext w:val="0"/>
        <w:keepLines w:val="0"/>
        <w:tabs>
          <w:tab w:val="left" w:pos="0"/>
          <w:tab w:val="left" w:pos="1935"/>
          <w:tab w:val="center" w:pos="4252"/>
        </w:tabs>
        <w:spacing w:before="0" w:after="0" w:line="360" w:lineRule="auto"/>
        <w:ind w:left="0" w:firstLine="0"/>
        <w:rPr>
          <w:rFonts w:hint="eastAsia" w:ascii="宋体" w:hAnsi="宋体" w:cs="宋体"/>
          <w:color w:val="auto"/>
          <w:sz w:val="32"/>
          <w:szCs w:val="32"/>
          <w:highlight w:val="none"/>
        </w:rPr>
      </w:pPr>
      <w:r>
        <w:rPr>
          <w:rFonts w:hint="eastAsia" w:ascii="宋体" w:hAnsi="宋体" w:cs="宋体"/>
          <w:color w:val="auto"/>
          <w:sz w:val="32"/>
          <w:szCs w:val="32"/>
          <w:highlight w:val="none"/>
        </w:rPr>
        <w:br w:type="page"/>
      </w:r>
      <w:r>
        <w:rPr>
          <w:rFonts w:hint="eastAsia" w:ascii="宋体" w:hAnsi="宋体" w:cs="宋体"/>
          <w:color w:val="auto"/>
          <w:sz w:val="32"/>
          <w:szCs w:val="32"/>
          <w:highlight w:val="none"/>
        </w:rPr>
        <w:t>第二章</w:t>
      </w:r>
      <w:bookmarkEnd w:id="4"/>
      <w:bookmarkEnd w:id="5"/>
      <w:r>
        <w:rPr>
          <w:rFonts w:hint="eastAsia" w:ascii="宋体" w:hAnsi="宋体" w:cs="宋体"/>
          <w:color w:val="auto"/>
          <w:sz w:val="32"/>
          <w:szCs w:val="32"/>
          <w:highlight w:val="none"/>
        </w:rPr>
        <w:t xml:space="preserve"> 招标需求</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本次服务采购项目所需人员主要负责协助慈溪市环杭州湾创新中心**室协勤管理工作，须听从慈溪市环杭州湾创新中心、白沙路街道***及慈溪市环杭州湾创新中心**室工作安排及指导工作，项目人员日常管理由中标单位负责。</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▲一、辅勤队员人数：合计21名</w:t>
      </w:r>
      <w:r>
        <w:rPr>
          <w:rFonts w:hint="eastAsia" w:ascii="宋体" w:hAnsi="宋体" w:cs="宋体"/>
          <w:color w:val="auto"/>
          <w:szCs w:val="21"/>
          <w:highlight w:val="none"/>
          <w:lang w:eastAsia="zh-CN"/>
        </w:rPr>
        <w:t>。</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秩序维护人员要求：</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1、设置经理（队长）1人，大专（含大专）以上学历、持有退伍军人证书、中共党员和具备保安员二级及以上证书者优先；副队长1人；其他秩序维护人员中须有2名人员持B1机动车驾驶证，2名人员持C1机动车驾驶证。</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2、男性身高175cm以上；女性身高160cm以上，女性一般不多于3人。</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3、年龄40周岁以下（首次招录必须为40周岁以下，以后如遇合同续签，（续签合同的）辅勤人员年龄可相应增加。新招的年龄必须为40周岁以下。特殊岗位经环杭州湾创新中心及辖区**室审批可放宽至45周岁）。</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4、所需人员中全日制大专及以上学历者不少于3人，退役军人可放宽至初中以上学历，其余人员需高中以上学历（含职业类高中）。</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5、所有人员均无犯罪记录，身体健康，五官端正，裸眼矫正视力需在0.8和1.0之间。</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6、持有建（构）筑物消防员证或保安员上岗证的优先考虑。</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 xml:space="preserve">▲二、工作时间（暂定）： </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早班8:00-16:00 经理（队长）1人、班长1人、队员4人 。</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中班16:00-00：00 副队长1人  班长1人 队员5人。</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晚班00:00-08:00  班长1人  队员4人。</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每日轮休3人，除队长双休以外，其余人员均做六休一。</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如遇特殊情况，慈溪市环杭州湾创新中心和慈溪市环杭州湾创新中心**室有权对工作时间作相应调整，中标单位需无条件执行。（员工工作时间的增加，原则上用调休的方式弥补调整，但如遇重大活动需大量增加工作时间的须另签合同）</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▲三、主要工作内容：</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1、开展全天24小时所管辖区域治安巡逻、治安执勤、设卡守候等治安防范工作，预防和制止各类违法犯罪活动；</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2、参与慈溪市环杭州湾创新中心的各项创建活动，协助慈溪市环杭州湾创新中心**室开展防盗、防爆防火、防治安灾害事故的“四防”教育和检査；</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3、协助搞好管辖区域内的治安防范工作，落实各项防范措施，协助采集信息，掌握辖区的不稳定因素，不安全隐患并及时报告；</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4、协助慈溪市环杭州湾创新中心做好**室档案资料的收集、整理、归档工作；</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5、协助慈溪市环杭州湾创新中心**室维护社会治安秩序，参加抢险救灾工作，应对突发事件，帮助群众排忧解难，保护公私财产安全和人民群众的人身安全；</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6、及时制服现行的违法犯罪嫌疑人并扭送公安机关处理；如发现刑事、治安案件或治安灾害事故，立即组织保护现场，并迅速报告慈溪市环杭州湾创新中心及慈溪市环杭州湾创新中心**室；</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7、协助维持大型活动现场秩序；</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8、完成慈溪市环杭州湾创新中心**室及慈溪市环杭州湾创新中心布置的其他综合治理工作任务。</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队员应遵守以下纪律：</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1、严格遵守党和国家的政策法令，遵守公民道德和各项规章制度，依法办事，秉公办事；</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2、爱岗敬业，吃苦耐劳，认真负责，服从命令，听从指挥，忠于职守；</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3、按规定着装，讲究仪表，文明执勤，礼貌待人，谦虚谨慎，接受监督；</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4、不准以权谋私、假公济私、贪赃枉法、包庇坏人；不准白吃白占白拿，侵犯群众利益；</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5、严格遵守“理性，平和，文明，规范”的准则开展工作，态度热情，耐心细致，不准骂人、打人、体罚人；不准乱用警械；严禁虚报假报或隐情不报；</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6、严守保密规定，不该问的不问，不该说的不说，不该看的不看，不该传的不传；</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7、队员未经**室允许不得配备警械、武器，不得进入重要的涉案岗位、行政执法和刑事司法岗位、刑事技术岗位及其他法律、法规、规章规定必须由人民警察从事的岗位；</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8、队员不得参与涉及治安行政处罚、限制公民人身自由的刑事侦査、执行强制措施的执法工作；不得参与调查取证、制作和使用法律文书、审讯和看管违法犯罪嫌疑人、刑事技术鉴定、消防监督工作及其他法律、法规、规章规定必须由人民警察担任的工作；</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四、车辆及其他费用约定</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1、中标单位提供10万元左右电动汽车一辆（5座三箱款式），供工作中使用。投标单位在报价中自行测算车辆</w:t>
      </w:r>
      <w:r>
        <w:rPr>
          <w:rFonts w:hint="eastAsia" w:ascii="宋体" w:hAnsi="宋体" w:cs="宋体"/>
          <w:color w:val="auto"/>
          <w:szCs w:val="21"/>
          <w:highlight w:val="none"/>
          <w:lang w:eastAsia="zh-CN"/>
        </w:rPr>
        <w:t>的</w:t>
      </w:r>
      <w:r>
        <w:rPr>
          <w:rFonts w:hint="eastAsia" w:ascii="宋体" w:hAnsi="宋体" w:cs="宋体"/>
          <w:color w:val="auto"/>
          <w:szCs w:val="21"/>
          <w:highlight w:val="none"/>
        </w:rPr>
        <w:t>购买</w:t>
      </w:r>
      <w:r>
        <w:rPr>
          <w:rFonts w:hint="eastAsia" w:ascii="宋体" w:hAnsi="宋体" w:cs="宋体"/>
          <w:color w:val="auto"/>
          <w:szCs w:val="21"/>
          <w:highlight w:val="none"/>
          <w:lang w:eastAsia="zh-CN"/>
        </w:rPr>
        <w:t>或租赁</w:t>
      </w:r>
      <w:r>
        <w:rPr>
          <w:rFonts w:hint="eastAsia" w:ascii="宋体" w:hAnsi="宋体" w:cs="宋体"/>
          <w:color w:val="auto"/>
          <w:szCs w:val="21"/>
          <w:highlight w:val="none"/>
        </w:rPr>
        <w:t>、折旧、车辆保险及其他维修费用等，投标时费用按年包干使用，结算不做调整。</w:t>
      </w:r>
    </w:p>
    <w:p>
      <w:pPr>
        <w:spacing w:line="420" w:lineRule="exact"/>
        <w:ind w:firstLine="420"/>
        <w:rPr>
          <w:color w:val="auto"/>
          <w:highlight w:val="none"/>
        </w:rPr>
      </w:pPr>
      <w:r>
        <w:rPr>
          <w:rFonts w:hint="eastAsia" w:ascii="宋体" w:hAnsi="宋体" w:cs="宋体"/>
          <w:color w:val="auto"/>
          <w:szCs w:val="21"/>
          <w:highlight w:val="none"/>
        </w:rPr>
        <w:t>2、中标单位提供14座防爆运兵车一辆（福特、依维柯、金龙、江铃等品牌），供工作中使用。投标单位在报价中自行测算车辆</w:t>
      </w:r>
      <w:r>
        <w:rPr>
          <w:rFonts w:hint="eastAsia" w:ascii="宋体" w:hAnsi="宋体" w:cs="宋体"/>
          <w:color w:val="auto"/>
          <w:szCs w:val="21"/>
          <w:highlight w:val="none"/>
          <w:lang w:eastAsia="zh-CN"/>
        </w:rPr>
        <w:t>的</w:t>
      </w:r>
      <w:r>
        <w:rPr>
          <w:rFonts w:hint="eastAsia" w:ascii="宋体" w:hAnsi="宋体" w:cs="宋体"/>
          <w:color w:val="auto"/>
          <w:szCs w:val="21"/>
          <w:highlight w:val="none"/>
        </w:rPr>
        <w:t>购买</w:t>
      </w:r>
      <w:r>
        <w:rPr>
          <w:rFonts w:hint="eastAsia" w:ascii="宋体" w:hAnsi="宋体" w:cs="宋体"/>
          <w:color w:val="auto"/>
          <w:szCs w:val="21"/>
          <w:highlight w:val="none"/>
          <w:lang w:eastAsia="zh-CN"/>
        </w:rPr>
        <w:t>或租赁</w:t>
      </w:r>
      <w:r>
        <w:rPr>
          <w:rFonts w:hint="eastAsia" w:ascii="宋体" w:hAnsi="宋体" w:cs="宋体"/>
          <w:color w:val="auto"/>
          <w:szCs w:val="21"/>
          <w:highlight w:val="none"/>
        </w:rPr>
        <w:t>、折旧、油费、车辆保险及其他维修费用等，投标时费用按年包干，结算不做调整。</w:t>
      </w:r>
    </w:p>
    <w:p>
      <w:pPr>
        <w:spacing w:line="420" w:lineRule="exact"/>
        <w:ind w:firstLine="420"/>
        <w:rPr>
          <w:rFonts w:hint="eastAsia" w:ascii="宋体" w:hAnsi="宋体" w:cs="宋体"/>
          <w:color w:val="auto"/>
          <w:szCs w:val="21"/>
          <w:highlight w:val="none"/>
        </w:rPr>
      </w:pPr>
      <w:r>
        <w:rPr>
          <w:rFonts w:hint="eastAsia" w:ascii="宋体" w:hAnsi="宋体" w:eastAsia="宋体" w:cs="宋体"/>
          <w:color w:val="auto"/>
          <w:sz w:val="21"/>
          <w:szCs w:val="21"/>
          <w:highlight w:val="none"/>
          <w:lang w:val="en-US" w:eastAsia="zh-CN"/>
        </w:rPr>
        <w:t>3、中标单位提供16辆两轮电动车（附参考外观图片，规格参数），共工作使用。</w:t>
      </w:r>
      <w:r>
        <w:rPr>
          <w:rFonts w:hint="eastAsia" w:ascii="宋体" w:hAnsi="宋体" w:cs="宋体"/>
          <w:color w:val="auto"/>
          <w:szCs w:val="21"/>
          <w:highlight w:val="none"/>
        </w:rPr>
        <w:t>投标单位在报价中自行测算车辆</w:t>
      </w:r>
      <w:r>
        <w:rPr>
          <w:rFonts w:hint="eastAsia" w:ascii="宋体" w:hAnsi="宋体" w:cs="宋体"/>
          <w:color w:val="auto"/>
          <w:szCs w:val="21"/>
          <w:highlight w:val="none"/>
          <w:lang w:eastAsia="zh-CN"/>
        </w:rPr>
        <w:t>的</w:t>
      </w:r>
      <w:r>
        <w:rPr>
          <w:rFonts w:hint="eastAsia" w:ascii="宋体" w:hAnsi="宋体" w:cs="宋体"/>
          <w:color w:val="auto"/>
          <w:szCs w:val="21"/>
          <w:highlight w:val="none"/>
        </w:rPr>
        <w:t>购买</w:t>
      </w:r>
      <w:r>
        <w:rPr>
          <w:rFonts w:hint="eastAsia" w:ascii="宋体" w:hAnsi="宋体" w:cs="宋体"/>
          <w:color w:val="auto"/>
          <w:szCs w:val="21"/>
          <w:highlight w:val="none"/>
          <w:lang w:eastAsia="zh-CN"/>
        </w:rPr>
        <w:t>或租赁</w:t>
      </w:r>
      <w:r>
        <w:rPr>
          <w:rFonts w:hint="eastAsia" w:ascii="宋体" w:hAnsi="宋体" w:cs="宋体"/>
          <w:color w:val="auto"/>
          <w:szCs w:val="21"/>
          <w:highlight w:val="none"/>
        </w:rPr>
        <w:t>、折旧、车辆保险及其他维修费用等，投标时费用按年包干，结算不做调整。</w:t>
      </w:r>
    </w:p>
    <w:p>
      <w:pPr>
        <w:pStyle w:val="16"/>
        <w:rPr>
          <w:rFonts w:hint="eastAsia" w:ascii="宋体" w:hAnsi="宋体" w:cs="宋体"/>
          <w:color w:val="auto"/>
          <w:szCs w:val="21"/>
          <w:highlight w:val="none"/>
        </w:rPr>
      </w:pPr>
    </w:p>
    <w:p>
      <w:pPr>
        <w:pStyle w:val="16"/>
        <w:rPr>
          <w:rFonts w:hint="eastAsia" w:ascii="宋体" w:hAnsi="宋体" w:cs="宋体"/>
          <w:color w:val="auto"/>
          <w:szCs w:val="21"/>
          <w:highlight w:val="none"/>
        </w:rPr>
      </w:pPr>
    </w:p>
    <w:p>
      <w:pPr>
        <w:pStyle w:val="16"/>
        <w:rPr>
          <w:rFonts w:hint="eastAsia" w:ascii="宋体" w:hAnsi="宋体" w:cs="宋体"/>
          <w:color w:val="auto"/>
          <w:szCs w:val="21"/>
          <w:highlight w:val="none"/>
        </w:rPr>
      </w:pPr>
    </w:p>
    <w:p>
      <w:pPr>
        <w:pStyle w:val="16"/>
        <w:rPr>
          <w:rFonts w:hint="eastAsia" w:ascii="宋体" w:hAnsi="宋体" w:cs="宋体"/>
          <w:color w:val="auto"/>
          <w:szCs w:val="21"/>
          <w:highlight w:val="none"/>
        </w:rPr>
      </w:pPr>
    </w:p>
    <w:p>
      <w:pPr>
        <w:pStyle w:val="16"/>
        <w:rPr>
          <w:rFonts w:hint="eastAsia" w:ascii="宋体" w:hAnsi="宋体" w:cs="宋体"/>
          <w:color w:val="auto"/>
          <w:szCs w:val="21"/>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806"/>
        <w:gridCol w:w="3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5806" w:type="dxa"/>
            <w:noWrap w:val="0"/>
            <w:vAlign w:val="center"/>
          </w:tcPr>
          <w:p>
            <w:pPr>
              <w:spacing w:line="420" w:lineRule="exact"/>
              <w:ind w:firstLine="420"/>
              <w:jc w:val="both"/>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参考款式</w:t>
            </w:r>
          </w:p>
        </w:tc>
        <w:tc>
          <w:tcPr>
            <w:tcW w:w="3614" w:type="dxa"/>
            <w:noWrap w:val="0"/>
            <w:vAlign w:val="center"/>
          </w:tcPr>
          <w:p>
            <w:pPr>
              <w:spacing w:line="420" w:lineRule="exact"/>
              <w:ind w:firstLine="420"/>
              <w:jc w:val="both"/>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621" w:hRule="atLeast"/>
          <w:jc w:val="center"/>
        </w:trPr>
        <w:tc>
          <w:tcPr>
            <w:tcW w:w="5806" w:type="dxa"/>
            <w:noWrap w:val="0"/>
            <w:vAlign w:val="center"/>
          </w:tcPr>
          <w:p>
            <w:pPr>
              <w:pStyle w:val="16"/>
              <w:jc w:val="both"/>
              <w:rPr>
                <w:rFonts w:hint="eastAsia" w:ascii="宋体" w:hAnsi="宋体" w:eastAsia="宋体" w:cs="宋体"/>
                <w:color w:val="auto"/>
                <w:szCs w:val="21"/>
                <w:highlight w:val="none"/>
                <w:vertAlign w:val="baseline"/>
                <w:lang w:eastAsia="zh-CN"/>
              </w:rPr>
            </w:pPr>
            <w:r>
              <w:rPr>
                <w:rFonts w:hint="eastAsia" w:ascii="宋体" w:hAnsi="宋体" w:eastAsia="宋体" w:cs="宋体"/>
                <w:color w:val="auto"/>
                <w:szCs w:val="21"/>
                <w:highlight w:val="none"/>
                <w:vertAlign w:val="baseline"/>
                <w:lang w:eastAsia="zh-CN"/>
              </w:rPr>
              <w:drawing>
                <wp:inline distT="0" distB="0" distL="114300" distR="114300">
                  <wp:extent cx="3086100" cy="1543050"/>
                  <wp:effectExtent l="0" t="0" r="0" b="0"/>
                  <wp:docPr id="1" name="图片 1" descr="1616117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6117009(1)"/>
                          <pic:cNvPicPr>
                            <a:picLocks noChangeAspect="1"/>
                          </pic:cNvPicPr>
                        </pic:nvPicPr>
                        <pic:blipFill>
                          <a:blip r:embed="rId12"/>
                          <a:stretch>
                            <a:fillRect/>
                          </a:stretch>
                        </pic:blipFill>
                        <pic:spPr>
                          <a:xfrm>
                            <a:off x="0" y="0"/>
                            <a:ext cx="3086100" cy="1543050"/>
                          </a:xfrm>
                          <a:prstGeom prst="rect">
                            <a:avLst/>
                          </a:prstGeom>
                          <a:noFill/>
                          <a:ln>
                            <a:noFill/>
                          </a:ln>
                        </pic:spPr>
                      </pic:pic>
                    </a:graphicData>
                  </a:graphic>
                </wp:inline>
              </w:drawing>
            </w:r>
          </w:p>
        </w:tc>
        <w:tc>
          <w:tcPr>
            <w:tcW w:w="3614" w:type="dxa"/>
            <w:noWrap w:val="0"/>
            <w:vAlign w:val="center"/>
          </w:tcPr>
          <w:p>
            <w:pPr>
              <w:numPr>
                <w:ilvl w:val="0"/>
                <w:numId w:val="2"/>
              </w:numPr>
              <w:spacing w:line="420" w:lineRule="exact"/>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黑白色</w:t>
            </w:r>
          </w:p>
          <w:p>
            <w:pPr>
              <w:numPr>
                <w:ilvl w:val="0"/>
                <w:numId w:val="2"/>
              </w:numPr>
              <w:spacing w:line="420" w:lineRule="exact"/>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铝电池</w:t>
            </w:r>
          </w:p>
          <w:p>
            <w:pPr>
              <w:spacing w:line="420" w:lineRule="exact"/>
              <w:jc w:val="both"/>
              <w:rPr>
                <w:rFonts w:hint="eastAsia" w:ascii="宋体" w:hAnsi="宋体" w:cs="宋体"/>
                <w:color w:val="auto"/>
                <w:szCs w:val="21"/>
                <w:highlight w:val="none"/>
                <w:vertAlign w:val="baseline"/>
                <w:lang w:val="en-US" w:eastAsia="zh-CN"/>
              </w:rPr>
            </w:pPr>
            <w:r>
              <w:rPr>
                <w:rFonts w:hint="eastAsia" w:ascii="宋体" w:hAnsi="宋体" w:cs="宋体"/>
                <w:color w:val="auto"/>
                <w:szCs w:val="21"/>
                <w:highlight w:val="none"/>
                <w:lang w:val="en-US" w:eastAsia="zh-CN"/>
              </w:rPr>
              <w:t>2、续航里程≥50km</w:t>
            </w:r>
          </w:p>
        </w:tc>
      </w:tr>
    </w:tbl>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、办公经费暂按一年63000元计，一年服务期满后按实际支出结算，最多不得超过63000元。</w:t>
      </w:r>
    </w:p>
    <w:p>
      <w:pPr>
        <w:spacing w:line="420" w:lineRule="exact"/>
        <w:ind w:firstLine="420"/>
        <w:rPr>
          <w:rFonts w:hint="default"/>
          <w:b/>
          <w:bCs/>
          <w:color w:val="auto"/>
          <w:highlight w:val="none"/>
          <w:lang w:val="en-US" w:eastAsia="zh-CN"/>
        </w:rPr>
      </w:pPr>
      <w:r>
        <w:rPr>
          <w:rFonts w:hint="eastAsia" w:ascii="宋体" w:hAnsi="宋体" w:cs="宋体"/>
          <w:color w:val="auto"/>
          <w:szCs w:val="21"/>
          <w:highlight w:val="none"/>
          <w:lang w:val="en-US" w:eastAsia="zh-CN"/>
        </w:rPr>
        <w:t>5、设备装备费用中对讲机和执法记录仪的费用只计一次，合同履约结束对讲机和执法记录仪产权归采购人所有。今后如遇合同续签，对讲机和执法记录仪的费用不再另计费；执法记录仪流量费仍计入续签合同。</w:t>
      </w:r>
      <w:r>
        <w:rPr>
          <w:rFonts w:hint="eastAsia" w:ascii="宋体" w:hAnsi="宋体" w:cs="宋体"/>
          <w:b/>
          <w:bCs/>
          <w:color w:val="auto"/>
          <w:szCs w:val="21"/>
          <w:highlight w:val="none"/>
          <w:lang w:val="en-US" w:eastAsia="zh-CN"/>
        </w:rPr>
        <w:t>特别注意：对讲机和执法记录仪</w:t>
      </w:r>
      <w:r>
        <w:rPr>
          <w:rFonts w:hint="eastAsia"/>
          <w:b/>
          <w:bCs/>
          <w:color w:val="auto"/>
          <w:szCs w:val="22"/>
          <w:highlight w:val="none"/>
          <w:lang w:val="en-US" w:eastAsia="zh-CN"/>
        </w:rPr>
        <w:t>必须与公安**系统相兼容，并符合当地公安部门的入网要求。</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五、 监督考核实施办法</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为加强招标方治安、车辆等管理，保持项目管理区域的整体形象及风貌，提高辅勤人员的工作责任心，促进各项工作的有序开展，制订以下考核细则：</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092"/>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55"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序号</w:t>
            </w:r>
          </w:p>
        </w:tc>
        <w:tc>
          <w:tcPr>
            <w:tcW w:w="6092" w:type="dxa"/>
            <w:noWrap w:val="0"/>
            <w:vAlign w:val="center"/>
          </w:tcPr>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考核内容</w:t>
            </w:r>
          </w:p>
        </w:tc>
        <w:tc>
          <w:tcPr>
            <w:tcW w:w="2267" w:type="dxa"/>
            <w:noWrap w:val="0"/>
            <w:vAlign w:val="center"/>
          </w:tcPr>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处罚内容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5"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6092"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上班脱岗、缺岗、串岗，上班时间做与工作无关之事。</w:t>
            </w:r>
          </w:p>
        </w:tc>
        <w:tc>
          <w:tcPr>
            <w:tcW w:w="2267"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发现一次扣3分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55"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6092"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未听从慈溪市环杭州湾创新中心及慈溪市环杭州湾创新中心**室工作安排的。（如有上级公安机关工作指令则以上级公关机关工作指令为主）</w:t>
            </w:r>
          </w:p>
        </w:tc>
        <w:tc>
          <w:tcPr>
            <w:tcW w:w="2267"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55"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6092"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队员未遵守本招标文件采购需求中规定的纪律的。</w:t>
            </w:r>
          </w:p>
        </w:tc>
        <w:tc>
          <w:tcPr>
            <w:tcW w:w="2267"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55"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6092"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工作人员频繁非合理原因换人。</w:t>
            </w:r>
          </w:p>
        </w:tc>
        <w:tc>
          <w:tcPr>
            <w:tcW w:w="2267"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55"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6092"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其他违规情况。</w:t>
            </w:r>
          </w:p>
        </w:tc>
        <w:tc>
          <w:tcPr>
            <w:tcW w:w="2267"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发现一次扣3分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55"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6092" w:type="dxa"/>
            <w:noWrap w:val="0"/>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工作期间饮酒、酒后驾驶巡逻车</w:t>
            </w:r>
            <w:r>
              <w:rPr>
                <w:rFonts w:hint="eastAsia" w:ascii="宋体" w:hAnsi="宋体" w:cs="宋体"/>
                <w:color w:val="auto"/>
                <w:szCs w:val="21"/>
                <w:highlight w:val="none"/>
                <w:lang w:val="en-US" w:eastAsia="zh-CN"/>
              </w:rPr>
              <w:t>。</w:t>
            </w:r>
          </w:p>
        </w:tc>
        <w:tc>
          <w:tcPr>
            <w:tcW w:w="2267" w:type="dxa"/>
            <w:noWrap w:val="0"/>
            <w:vAlign w:val="center"/>
          </w:tcPr>
          <w:p>
            <w:pPr>
              <w:spacing w:line="420" w:lineRule="exact"/>
              <w:rPr>
                <w:rFonts w:hint="eastAsia" w:ascii="宋体" w:hAnsi="宋体" w:cs="宋体"/>
                <w:color w:val="auto"/>
                <w:szCs w:val="21"/>
                <w:highlight w:val="none"/>
                <w:lang w:eastAsia="zh-CN"/>
              </w:rPr>
            </w:pPr>
            <w:r>
              <w:rPr>
                <w:rFonts w:hint="eastAsia" w:ascii="宋体" w:hAnsi="宋体" w:cs="宋体"/>
                <w:color w:val="auto"/>
                <w:szCs w:val="21"/>
                <w:highlight w:val="none"/>
              </w:rPr>
              <w:t>发现一次扣5分</w:t>
            </w:r>
            <w:r>
              <w:rPr>
                <w:rFonts w:hint="eastAsia" w:ascii="宋体" w:hAnsi="宋体" w:cs="宋体"/>
                <w:color w:val="auto"/>
                <w:szCs w:val="21"/>
                <w:highlight w:val="none"/>
                <w:lang w:eastAsia="zh-CN"/>
              </w:rPr>
              <w:t>，</w:t>
            </w:r>
          </w:p>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当事人开除处理。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55"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6092" w:type="dxa"/>
            <w:noWrap w:val="0"/>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交接班记录不详细。</w:t>
            </w:r>
          </w:p>
        </w:tc>
        <w:tc>
          <w:tcPr>
            <w:tcW w:w="2267"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55" w:type="dxa"/>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6092"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工作责任心不强，发生责任差错的，言行举止有损单位形象。</w:t>
            </w:r>
          </w:p>
        </w:tc>
        <w:tc>
          <w:tcPr>
            <w:tcW w:w="2267" w:type="dxa"/>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发现一次扣3分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55" w:type="dxa"/>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6092" w:type="dxa"/>
            <w:noWrap w:val="0"/>
            <w:vAlign w:val="center"/>
          </w:tcPr>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被公安机关督查扣分的。</w:t>
            </w:r>
          </w:p>
        </w:tc>
        <w:tc>
          <w:tcPr>
            <w:tcW w:w="2267" w:type="dxa"/>
            <w:noWrap w:val="0"/>
            <w:vAlign w:val="center"/>
          </w:tcPr>
          <w:p>
            <w:pPr>
              <w:spacing w:line="420" w:lineRule="exact"/>
              <w:rPr>
                <w:rFonts w:hint="default" w:ascii="宋体" w:hAnsi="宋体" w:eastAsia="宋体" w:cs="宋体"/>
                <w:color w:val="auto"/>
                <w:szCs w:val="21"/>
                <w:highlight w:val="none"/>
                <w:lang w:val="en-US" w:eastAsia="zh-CN"/>
              </w:rPr>
            </w:pPr>
            <w:r>
              <w:rPr>
                <w:rFonts w:hint="eastAsia"/>
                <w:color w:val="auto"/>
                <w:highlight w:val="none"/>
                <w:lang w:eastAsia="zh-CN"/>
              </w:rPr>
              <w:t>发现一次扣</w:t>
            </w:r>
            <w:r>
              <w:rPr>
                <w:rFonts w:hint="eastAsia"/>
                <w:color w:val="auto"/>
                <w:highlight w:val="none"/>
                <w:lang w:val="en-US" w:eastAsia="zh-CN"/>
              </w:rPr>
              <w:t>5分。</w:t>
            </w:r>
          </w:p>
        </w:tc>
      </w:tr>
    </w:tbl>
    <w:p>
      <w:pPr>
        <w:numPr>
          <w:ilvl w:val="0"/>
          <w:numId w:val="3"/>
        </w:numPr>
        <w:spacing w:line="520" w:lineRule="exact"/>
        <w:ind w:firstLine="420"/>
        <w:rPr>
          <w:rFonts w:ascii="宋体" w:hAnsi="宋体" w:cs="宋体"/>
          <w:color w:val="auto"/>
          <w:szCs w:val="21"/>
          <w:highlight w:val="none"/>
        </w:rPr>
      </w:pPr>
      <w:r>
        <w:rPr>
          <w:rFonts w:hint="eastAsia" w:ascii="宋体" w:hAnsi="宋体" w:cs="宋体"/>
          <w:color w:val="auto"/>
          <w:szCs w:val="21"/>
          <w:highlight w:val="none"/>
        </w:rPr>
        <w:t>乙方应无条件接受甲方定期或不定期检查监督，按招标文件考核细则按每季度进行打分考核，满分为100分。考核合格标准为80分， 低于80分的为不合格，暂停发放管理服务费。待问题项整改完成后发放，并</w:t>
      </w:r>
      <w:r>
        <w:rPr>
          <w:rFonts w:hint="eastAsia" w:ascii="宋体" w:hAnsi="宋体" w:cs="宋体"/>
          <w:color w:val="auto"/>
          <w:szCs w:val="21"/>
          <w:highlight w:val="none"/>
          <w:lang w:eastAsia="zh-CN"/>
        </w:rPr>
        <w:t>单独</w:t>
      </w:r>
      <w:r>
        <w:rPr>
          <w:rFonts w:hint="eastAsia" w:ascii="宋体" w:hAnsi="宋体" w:cs="宋体"/>
          <w:color w:val="auto"/>
          <w:szCs w:val="21"/>
          <w:highlight w:val="none"/>
        </w:rPr>
        <w:t>处以 2万元人民币的罚款</w:t>
      </w:r>
      <w:r>
        <w:rPr>
          <w:rFonts w:hint="eastAsia" w:ascii="宋体" w:hAnsi="宋体" w:cs="宋体"/>
          <w:color w:val="auto"/>
          <w:szCs w:val="21"/>
          <w:highlight w:val="none"/>
          <w:lang w:eastAsia="zh-CN"/>
        </w:rPr>
        <w:t>，罚款随当期服务费一并结算</w:t>
      </w:r>
      <w:r>
        <w:rPr>
          <w:rFonts w:hint="eastAsia" w:ascii="宋体" w:hAnsi="宋体" w:cs="宋体"/>
          <w:color w:val="auto"/>
          <w:szCs w:val="21"/>
          <w:highlight w:val="none"/>
        </w:rPr>
        <w:t>。如果乙方管理混乱，连续两次季度考核不合格，则甲方有权终止合同，并罚没其相对应的履约保证金（分别为质量为40%、安全为40%、人员到位为10%、廉政为10%）。</w:t>
      </w:r>
    </w:p>
    <w:p>
      <w:pPr>
        <w:numPr>
          <w:ilvl w:val="0"/>
          <w:numId w:val="3"/>
        </w:numPr>
        <w:spacing w:line="520" w:lineRule="exact"/>
        <w:ind w:firstLine="420"/>
        <w:rPr>
          <w:rFonts w:ascii="宋体" w:hAnsi="宋体" w:cs="宋体"/>
          <w:color w:val="auto"/>
          <w:szCs w:val="21"/>
          <w:highlight w:val="none"/>
        </w:rPr>
      </w:pPr>
      <w:r>
        <w:rPr>
          <w:rFonts w:hint="eastAsia" w:ascii="宋体" w:hAnsi="宋体" w:cs="宋体"/>
          <w:color w:val="auto"/>
          <w:szCs w:val="21"/>
          <w:highlight w:val="none"/>
        </w:rPr>
        <w:t>在慈溪市环杭州湾创新中心检查中，按检查要求发现问题每扣1分，扣人民币500元，总分95分以上的，允许按时整改不扣罚，不能按时整改的，按上述标准扣罚；总分95分以下的，即按上述标准扣罚。不管总分如何，检查中发现的问题均需按时整改，若不能按时整改完成，业主单位将下发通知单函告整改，函告整改以二次为限，函告二次仍不能完成整改，业主方有权解除合同。</w:t>
      </w:r>
      <w:r>
        <w:rPr>
          <w:rFonts w:hint="eastAsia" w:ascii="宋体" w:hAnsi="宋体" w:cs="宋体"/>
          <w:color w:val="auto"/>
          <w:szCs w:val="21"/>
          <w:highlight w:val="none"/>
          <w:lang w:eastAsia="zh-CN"/>
        </w:rPr>
        <w:t>该</w:t>
      </w:r>
      <w:r>
        <w:rPr>
          <w:rFonts w:hint="eastAsia" w:ascii="宋体" w:hAnsi="宋体" w:cs="宋体"/>
          <w:color w:val="auto"/>
          <w:szCs w:val="21"/>
          <w:highlight w:val="none"/>
        </w:rPr>
        <w:t>扣罚款项</w:t>
      </w:r>
      <w:r>
        <w:rPr>
          <w:rFonts w:hint="eastAsia" w:ascii="宋体" w:hAnsi="宋体" w:cs="宋体"/>
          <w:color w:val="auto"/>
          <w:szCs w:val="21"/>
          <w:highlight w:val="none"/>
          <w:lang w:eastAsia="zh-CN"/>
        </w:rPr>
        <w:t>从相应的履约保证金中扣除。</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六、其他说明</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1.政府采购合同履行过程中，若遇社会保障保险缴费基数上调，经采购人同意结合财政审批情况，予以调整合同金额或者招标方需增加合同标的相同服务的，在不改变合同其他条款的前提下，与中标方协商签订补充合同，但所有补充合同的采购金额不得超过原合同采购金额的10%。</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2.招标方根据中标方实际服务质量，认为按招标文件人员配置仍不能达到招标文件中采购质量要求的，招标方有权要求中标方增派人员以确保服务质量，但不得增加费用。</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3.中标方的工作人员在服务过程中，因工作失职造成的损失，由中标方全责承担。</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4.因中标方所派遣的辅勤人员因纪律松懈、工作不力或其他不能胜任的原因，用人单位提出要求更换辅勤人员的，中标方须在3日之内无条件更换到位。</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5、中标成交单位需配合业主单位和慈溪市环杭州湾创新中心城市公共空间一体化管理服务单位，并听从业主单位的调度与指挥。</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6、本项目实施期间，由慈溪市环杭州湾创新中心相关部门会同环杭州湾创新中心**室等相关单位进行监督考核，并对辖区内的管理服务工作进行指导和监督。</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7.所有参与投标的公司在投标文件中均要有报价明细表。</w:t>
      </w:r>
    </w:p>
    <w:p>
      <w:pPr>
        <w:pStyle w:val="4"/>
        <w:keepNext w:val="0"/>
        <w:keepLines w:val="0"/>
        <w:tabs>
          <w:tab w:val="left" w:pos="0"/>
          <w:tab w:val="left" w:pos="1935"/>
          <w:tab w:val="center" w:pos="4252"/>
        </w:tabs>
        <w:spacing w:before="0" w:after="0" w:line="360" w:lineRule="auto"/>
        <w:ind w:left="0" w:firstLine="0"/>
        <w:rPr>
          <w:rFonts w:hint="eastAsia" w:ascii="宋体" w:hAnsi="宋体" w:cs="宋体"/>
          <w:color w:val="auto"/>
          <w:sz w:val="32"/>
          <w:szCs w:val="32"/>
          <w:highlight w:val="none"/>
        </w:rPr>
      </w:pPr>
      <w:r>
        <w:rPr>
          <w:rFonts w:hint="eastAsia" w:ascii="宋体" w:hAnsi="宋体" w:cs="宋体"/>
          <w:color w:val="auto"/>
          <w:sz w:val="32"/>
          <w:szCs w:val="32"/>
          <w:highlight w:val="none"/>
        </w:rPr>
        <w:br w:type="page"/>
      </w:r>
      <w:r>
        <w:rPr>
          <w:rFonts w:hint="eastAsia" w:ascii="宋体" w:hAnsi="宋体" w:cs="宋体"/>
          <w:color w:val="auto"/>
          <w:sz w:val="32"/>
          <w:szCs w:val="32"/>
          <w:highlight w:val="none"/>
        </w:rPr>
        <w:t>第三章 投标须知</w:t>
      </w:r>
    </w:p>
    <w:p>
      <w:pPr>
        <w:snapToGrid w:val="0"/>
        <w:spacing w:line="480" w:lineRule="exact"/>
        <w:rPr>
          <w:rFonts w:hint="eastAsia" w:ascii="宋体" w:hAnsi="宋体" w:cs="宋体"/>
          <w:b/>
          <w:bCs/>
          <w:color w:val="auto"/>
          <w:szCs w:val="21"/>
          <w:highlight w:val="none"/>
        </w:rPr>
      </w:pPr>
      <w:r>
        <w:rPr>
          <w:rFonts w:hint="eastAsia" w:ascii="宋体" w:hAnsi="宋体" w:cs="宋体"/>
          <w:b/>
          <w:bCs/>
          <w:color w:val="auto"/>
          <w:szCs w:val="21"/>
          <w:highlight w:val="none"/>
        </w:rPr>
        <w:t>一、投标须知前附表</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6"/>
        <w:gridCol w:w="8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8914"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内容、要求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8914" w:type="dxa"/>
            <w:noWrap w:val="0"/>
            <w:vAlign w:val="center"/>
          </w:tcPr>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项目名称：2021年度慈溪市环杭州湾创新中心**室辅勤采购项目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8914" w:type="dxa"/>
            <w:noWrap w:val="0"/>
            <w:vAlign w:val="center"/>
          </w:tcPr>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采购方式：公开招标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8914" w:type="dxa"/>
            <w:noWrap w:val="0"/>
            <w:vAlign w:val="center"/>
          </w:tcPr>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投标报价及费用：本项目采购预算价（最高限价）</w:t>
            </w:r>
            <w:r>
              <w:rPr>
                <w:rFonts w:hint="eastAsia" w:ascii="宋体" w:hAnsi="宋体" w:cs="宋体"/>
                <w:color w:val="auto"/>
                <w:szCs w:val="21"/>
                <w:highlight w:val="none"/>
                <w:lang w:eastAsia="zh-CN"/>
              </w:rPr>
              <w:t>2097625</w:t>
            </w:r>
            <w:r>
              <w:rPr>
                <w:rFonts w:hint="eastAsia" w:ascii="宋体" w:hAnsi="宋体" w:cs="宋体"/>
                <w:color w:val="auto"/>
                <w:szCs w:val="21"/>
                <w:highlight w:val="none"/>
              </w:rPr>
              <w:t>元，超出的作无效标处理。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8914" w:type="dxa"/>
            <w:noWrap w:val="0"/>
            <w:vAlign w:val="center"/>
          </w:tcPr>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投标保证金：本项目不收取投标保证金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8914" w:type="dxa"/>
            <w:noWrap w:val="0"/>
            <w:vAlign w:val="center"/>
          </w:tcPr>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现场踏勘（如有）：本项目不统一组织现场勘察，投标人可自行对本项目现场和周围环境进行勘察。勘察现场所发生的费用由投标人自己承担。不论何种原因所造成，在勘察过程中，投标人自行对由此次踏勘现场而造成的死亡、人身伤害、财产损失、损害以及任何其它损失、损害和引起的费用和开支承担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8914" w:type="dxa"/>
            <w:noWrap w:val="0"/>
            <w:vAlign w:val="center"/>
          </w:tcPr>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演示时间及地点（如有）：无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8914" w:type="dxa"/>
            <w:noWrap w:val="0"/>
            <w:vAlign w:val="center"/>
          </w:tcPr>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投标文件组成：本项目实行电子投标。</w:t>
            </w:r>
          </w:p>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供应商应准备电子投标文件、备份电子投标文件二类：</w:t>
            </w:r>
          </w:p>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（1）电子投标文件，按政采云平台项目采购-电子招投标操作指南及本招标文件要求制作、加密并递交。</w:t>
            </w:r>
          </w:p>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（2）备份电子投标文件，即电子投标文件按“政采云供应商项目采购-电子招投标操作指南”制作的备份文件，以U盘或DVD光盘等介质存储的数据电文形式提供。数量为1份。</w:t>
            </w:r>
          </w:p>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（3）投标文件启用顺序和效力。投标文件的启用，按先后顺位分别为电子投标文件、备份电子投标文件。在下一顺位的投标文件启用时，前一顺位的投标文件自动失效。</w:t>
            </w:r>
          </w:p>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（4）投标、响应文件未按时解密，供应商提供了备份投标、响应文件的，以备份投标、响应文件作为依据，否则视为投标、响应文件撤回。投标、响应文件已按时解密的，备份投标、响应文件自动失效。</w:t>
            </w:r>
          </w:p>
          <w:p>
            <w:pPr>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▲未传输递交电子投标文件的，投标无效。▲未按规定提供相应的备份投标文件，造成项目开评标活动无法进行下去的，投标无效。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8914" w:type="dxa"/>
            <w:noWrap w:val="0"/>
            <w:vAlign w:val="center"/>
          </w:tcPr>
          <w:p>
            <w:pPr>
              <w:spacing w:line="300" w:lineRule="exact"/>
              <w:rPr>
                <w:rFonts w:hint="eastAsia" w:ascii="宋体" w:hAnsi="宋体" w:cs="宋体"/>
                <w:bCs/>
                <w:color w:val="auto"/>
                <w:szCs w:val="21"/>
                <w:highlight w:val="none"/>
              </w:rPr>
            </w:pPr>
            <w:r>
              <w:rPr>
                <w:rFonts w:hint="eastAsia" w:ascii="宋体" w:hAnsi="宋体" w:cs="宋体"/>
                <w:bCs/>
                <w:color w:val="auto"/>
                <w:szCs w:val="21"/>
                <w:highlight w:val="none"/>
              </w:rPr>
              <w:t>投标截止时间及地点：同招标公告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8914" w:type="dxa"/>
            <w:noWrap w:val="0"/>
            <w:vAlign w:val="center"/>
          </w:tcPr>
          <w:p>
            <w:pPr>
              <w:spacing w:line="300" w:lineRule="exact"/>
              <w:rPr>
                <w:rFonts w:hint="eastAsia" w:ascii="宋体" w:hAnsi="宋体" w:cs="宋体"/>
                <w:bCs/>
                <w:color w:val="auto"/>
                <w:szCs w:val="21"/>
                <w:highlight w:val="none"/>
              </w:rPr>
            </w:pPr>
            <w:r>
              <w:rPr>
                <w:rFonts w:hint="eastAsia" w:ascii="宋体" w:hAnsi="宋体" w:cs="宋体"/>
                <w:bCs/>
                <w:color w:val="auto"/>
                <w:szCs w:val="21"/>
                <w:highlight w:val="none"/>
              </w:rPr>
              <w:t>开标时间及地点：同招标公告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11</w:t>
            </w:r>
          </w:p>
        </w:tc>
        <w:tc>
          <w:tcPr>
            <w:tcW w:w="8914" w:type="dxa"/>
            <w:noWrap w:val="0"/>
            <w:vAlign w:val="center"/>
          </w:tcPr>
          <w:p>
            <w:pPr>
              <w:spacing w:line="300" w:lineRule="exact"/>
              <w:rPr>
                <w:rFonts w:hint="eastAsia" w:ascii="宋体" w:hAnsi="宋体" w:cs="宋体"/>
                <w:bCs/>
                <w:color w:val="auto"/>
                <w:szCs w:val="21"/>
                <w:highlight w:val="none"/>
              </w:rPr>
            </w:pPr>
            <w:r>
              <w:rPr>
                <w:rFonts w:hint="eastAsia" w:ascii="宋体" w:hAnsi="宋体" w:cs="宋体"/>
                <w:bCs/>
                <w:color w:val="auto"/>
                <w:szCs w:val="21"/>
                <w:highlight w:val="none"/>
              </w:rPr>
              <w:t>评标办法及评分标准：详见第四章评标办法及评分标准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12</w:t>
            </w:r>
          </w:p>
        </w:tc>
        <w:tc>
          <w:tcPr>
            <w:tcW w:w="8914" w:type="dxa"/>
            <w:noWrap w:val="0"/>
            <w:vAlign w:val="center"/>
          </w:tcPr>
          <w:p>
            <w:pPr>
              <w:spacing w:line="300" w:lineRule="exact"/>
              <w:rPr>
                <w:rFonts w:hint="eastAsia" w:ascii="宋体" w:hAnsi="宋体" w:cs="宋体"/>
                <w:bCs/>
                <w:color w:val="auto"/>
                <w:szCs w:val="21"/>
                <w:highlight w:val="none"/>
              </w:rPr>
            </w:pPr>
            <w:r>
              <w:rPr>
                <w:rFonts w:hint="eastAsia" w:ascii="宋体" w:hAnsi="宋体" w:cs="宋体"/>
                <w:bCs/>
                <w:color w:val="auto"/>
                <w:szCs w:val="21"/>
                <w:highlight w:val="none"/>
              </w:rPr>
              <w:t>签订合同时间：中标通知书发出后30日内。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13</w:t>
            </w:r>
          </w:p>
        </w:tc>
        <w:tc>
          <w:tcPr>
            <w:tcW w:w="8914" w:type="dxa"/>
            <w:noWrap w:val="0"/>
            <w:vAlign w:val="center"/>
          </w:tcPr>
          <w:p>
            <w:pPr>
              <w:spacing w:line="300" w:lineRule="exact"/>
              <w:rPr>
                <w:rFonts w:hint="eastAsia" w:ascii="宋体" w:hAnsi="宋体" w:cs="宋体"/>
                <w:bCs/>
                <w:color w:val="auto"/>
                <w:szCs w:val="21"/>
                <w:highlight w:val="none"/>
              </w:rPr>
            </w:pPr>
            <w:r>
              <w:rPr>
                <w:rFonts w:hint="eastAsia" w:ascii="宋体" w:hAnsi="宋体" w:cs="宋体"/>
                <w:bCs/>
                <w:color w:val="auto"/>
                <w:szCs w:val="21"/>
                <w:highlight w:val="none"/>
              </w:rPr>
              <w:t>履约保证金：中标后，中标方可采用银行转账、银行保函、保险包含等多种形式提交履约保证金，履约保证金为合同总价的5%。履约保证金有效期到中标方按合同要求完成合同义务后终止，履约保证金于有效期止后10天内无息退还</w:t>
            </w:r>
            <w:r>
              <w:rPr>
                <w:rFonts w:hint="eastAsia" w:ascii="宋体" w:hAnsi="宋体" w:cs="宋体"/>
                <w:bCs/>
                <w:color w:val="auto"/>
                <w:szCs w:val="21"/>
                <w:highlight w:val="none"/>
                <w:lang w:eastAsia="zh-CN"/>
              </w:rPr>
              <w:t>（扣除应扣款项）</w:t>
            </w:r>
            <w:r>
              <w:rPr>
                <w:rFonts w:hint="eastAsia" w:ascii="宋体" w:hAnsi="宋体" w:cs="宋体"/>
                <w:bCs/>
                <w:color w:val="auto"/>
                <w:szCs w:val="21"/>
                <w:highlight w:val="none"/>
              </w:rPr>
              <w:t>；但如果存在合同履行争议且尚未解决，则履约保证金有效期等争议最终解决且理赔完毕后终止。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▲15</w:t>
            </w:r>
          </w:p>
        </w:tc>
        <w:tc>
          <w:tcPr>
            <w:tcW w:w="8914" w:type="dxa"/>
            <w:noWrap w:val="0"/>
            <w:vAlign w:val="center"/>
          </w:tcPr>
          <w:p>
            <w:pPr>
              <w:spacing w:line="300" w:lineRule="exact"/>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付款方式：</w:t>
            </w:r>
          </w:p>
          <w:p>
            <w:pPr>
              <w:spacing w:line="300" w:lineRule="exact"/>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合同签订后支付合同金的</w:t>
            </w:r>
            <w:r>
              <w:rPr>
                <w:rFonts w:hint="eastAsia" w:ascii="宋体" w:hAnsi="宋体" w:cs="宋体"/>
                <w:bCs/>
                <w:color w:val="auto"/>
                <w:szCs w:val="21"/>
                <w:highlight w:val="none"/>
              </w:rPr>
              <w:t>30%，第二季度服务期满</w:t>
            </w:r>
            <w:r>
              <w:rPr>
                <w:rFonts w:hint="eastAsia" w:ascii="宋体" w:hAnsi="宋体" w:cs="宋体"/>
                <w:bCs/>
                <w:color w:val="auto"/>
                <w:szCs w:val="21"/>
                <w:highlight w:val="none"/>
                <w:lang w:val="zh-CN"/>
              </w:rPr>
              <w:t>后十个工作日内</w:t>
            </w:r>
            <w:r>
              <w:rPr>
                <w:rFonts w:hint="eastAsia" w:ascii="宋体" w:hAnsi="宋体" w:cs="宋体"/>
                <w:bCs/>
                <w:color w:val="auto"/>
                <w:szCs w:val="21"/>
                <w:highlight w:val="none"/>
              </w:rPr>
              <w:t>支付合同金的20%</w:t>
            </w:r>
            <w:r>
              <w:rPr>
                <w:rFonts w:hint="eastAsia" w:ascii="宋体" w:hAnsi="宋体" w:cs="宋体"/>
                <w:bCs/>
                <w:color w:val="auto"/>
                <w:szCs w:val="21"/>
                <w:highlight w:val="none"/>
                <w:lang w:val="zh-CN"/>
              </w:rPr>
              <w:t>（扣除应扣款项）</w:t>
            </w:r>
            <w:r>
              <w:rPr>
                <w:rFonts w:hint="eastAsia" w:ascii="宋体" w:hAnsi="宋体" w:cs="宋体"/>
                <w:bCs/>
                <w:color w:val="auto"/>
                <w:szCs w:val="21"/>
                <w:highlight w:val="none"/>
              </w:rPr>
              <w:t>，第三季度服务期满</w:t>
            </w:r>
            <w:r>
              <w:rPr>
                <w:rFonts w:hint="eastAsia" w:ascii="宋体" w:hAnsi="宋体" w:cs="宋体"/>
                <w:bCs/>
                <w:color w:val="auto"/>
                <w:szCs w:val="21"/>
                <w:highlight w:val="none"/>
                <w:lang w:val="zh-CN"/>
              </w:rPr>
              <w:t>后十个工作日内</w:t>
            </w:r>
            <w:r>
              <w:rPr>
                <w:rFonts w:hint="eastAsia" w:ascii="宋体" w:hAnsi="宋体" w:cs="宋体"/>
                <w:bCs/>
                <w:color w:val="auto"/>
                <w:szCs w:val="21"/>
                <w:highlight w:val="none"/>
              </w:rPr>
              <w:t>支付合同金的25%</w:t>
            </w:r>
            <w:r>
              <w:rPr>
                <w:rFonts w:hint="eastAsia" w:ascii="宋体" w:hAnsi="宋体" w:cs="宋体"/>
                <w:bCs/>
                <w:color w:val="auto"/>
                <w:szCs w:val="21"/>
                <w:highlight w:val="none"/>
                <w:lang w:val="zh-CN"/>
              </w:rPr>
              <w:t>（扣除应扣款项）</w:t>
            </w:r>
            <w:r>
              <w:rPr>
                <w:rFonts w:hint="eastAsia" w:ascii="宋体" w:hAnsi="宋体" w:cs="宋体"/>
                <w:bCs/>
                <w:color w:val="auto"/>
                <w:szCs w:val="21"/>
                <w:highlight w:val="none"/>
              </w:rPr>
              <w:t>，</w:t>
            </w:r>
            <w:r>
              <w:rPr>
                <w:rFonts w:hint="eastAsia" w:ascii="宋体" w:hAnsi="宋体" w:cs="宋体"/>
                <w:bCs/>
                <w:color w:val="auto"/>
                <w:szCs w:val="21"/>
                <w:highlight w:val="none"/>
                <w:lang w:val="zh-CN"/>
              </w:rPr>
              <w:t>一年期满后十个工作日内付清全款（扣除应扣款项）。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16</w:t>
            </w:r>
          </w:p>
        </w:tc>
        <w:tc>
          <w:tcPr>
            <w:tcW w:w="8914" w:type="dxa"/>
            <w:noWrap w:val="0"/>
            <w:vAlign w:val="center"/>
          </w:tcPr>
          <w:p>
            <w:pPr>
              <w:spacing w:line="300" w:lineRule="exact"/>
              <w:rPr>
                <w:rFonts w:hint="eastAsia" w:ascii="宋体" w:hAnsi="宋体" w:cs="宋体"/>
                <w:bCs/>
                <w:color w:val="auto"/>
                <w:szCs w:val="21"/>
                <w:highlight w:val="none"/>
                <w:lang w:val="zh-CN"/>
              </w:rPr>
            </w:pPr>
            <w:r>
              <w:rPr>
                <w:rFonts w:hint="eastAsia" w:ascii="宋体" w:hAnsi="宋体" w:cs="宋体"/>
                <w:bCs/>
                <w:color w:val="auto"/>
                <w:szCs w:val="21"/>
                <w:highlight w:val="none"/>
              </w:rPr>
              <w:t>服务期</w:t>
            </w:r>
            <w:r>
              <w:rPr>
                <w:rFonts w:hint="eastAsia" w:ascii="宋体" w:hAnsi="宋体" w:cs="宋体"/>
                <w:bCs/>
                <w:color w:val="auto"/>
                <w:szCs w:val="21"/>
                <w:highlight w:val="none"/>
                <w:lang w:val="zh-CN"/>
              </w:rPr>
              <w:t>：一年，经采购人考核合格后，下一年度合同经费符合政府采购预算安排要求，申报政府采购计划并批准，双方同意后，方可续签下一年度的合同，最多续签2年。采购人在合同到期前填报采购项目计划审批表（采购方式一栏选择“其他—其他”），并将中标通知书、初次合同、上一年度考核情况等资料的影印件作为附件一并上传，在取得行政主管部门、财政部门、市公共资源交管办同意后，才能与供应商续签下一年采购合同，续签合同上传至“政采云平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17</w:t>
            </w:r>
          </w:p>
        </w:tc>
        <w:tc>
          <w:tcPr>
            <w:tcW w:w="8914" w:type="dxa"/>
            <w:noWrap w:val="0"/>
            <w:vAlign w:val="center"/>
          </w:tcPr>
          <w:p>
            <w:pPr>
              <w:spacing w:line="300" w:lineRule="exact"/>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投标文件有效期：投标截止日起90天。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▲18</w:t>
            </w:r>
          </w:p>
        </w:tc>
        <w:tc>
          <w:tcPr>
            <w:tcW w:w="8914" w:type="dxa"/>
            <w:noWrap w:val="0"/>
            <w:vAlign w:val="center"/>
          </w:tcPr>
          <w:p>
            <w:pPr>
              <w:spacing w:line="300" w:lineRule="exact"/>
              <w:rPr>
                <w:rFonts w:hint="eastAsia" w:ascii="宋体" w:hAnsi="宋体" w:cs="宋体"/>
                <w:bCs/>
                <w:color w:val="auto"/>
                <w:szCs w:val="21"/>
                <w:highlight w:val="none"/>
              </w:rPr>
            </w:pPr>
            <w:r>
              <w:rPr>
                <w:rFonts w:hint="eastAsia" w:ascii="宋体" w:hAnsi="宋体" w:cs="宋体"/>
                <w:bCs/>
                <w:color w:val="auto"/>
                <w:szCs w:val="21"/>
                <w:highlight w:val="none"/>
                <w:lang w:val="zh-CN"/>
              </w:rPr>
              <w:t>中标服务费：按宁波中介网中选价格</w:t>
            </w:r>
            <w:r>
              <w:rPr>
                <w:rFonts w:hint="eastAsia" w:ascii="宋体" w:hAnsi="宋体" w:cs="宋体"/>
                <w:bCs/>
                <w:color w:val="auto"/>
                <w:szCs w:val="21"/>
                <w:highlight w:val="none"/>
              </w:rPr>
              <w:t>20000元，向中标供应商收取。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19</w:t>
            </w:r>
          </w:p>
        </w:tc>
        <w:tc>
          <w:tcPr>
            <w:tcW w:w="8914" w:type="dxa"/>
            <w:noWrap w:val="0"/>
            <w:vAlign w:val="center"/>
          </w:tcPr>
          <w:p>
            <w:pPr>
              <w:pStyle w:val="14"/>
              <w:spacing w:line="300" w:lineRule="exact"/>
              <w:ind w:firstLine="0" w:firstLineChars="0"/>
              <w:rPr>
                <w:rFonts w:hint="eastAsia" w:ascii="宋体" w:eastAsia="宋体" w:cs="宋体"/>
                <w:color w:val="auto"/>
                <w:sz w:val="21"/>
                <w:szCs w:val="21"/>
                <w:highlight w:val="none"/>
              </w:rPr>
            </w:pPr>
            <w:r>
              <w:rPr>
                <w:rFonts w:hint="eastAsia" w:ascii="宋体" w:eastAsia="宋体" w:cs="宋体"/>
                <w:bCs/>
                <w:color w:val="auto"/>
                <w:sz w:val="21"/>
                <w:szCs w:val="21"/>
                <w:highlight w:val="none"/>
              </w:rPr>
              <w:t xml:space="preserve">对招标文件的异议:投标人如对招标文件有异议，应当在投标截止时间10日前，以书面形式向招标采购单位提出，投标人未按约定时间提出异议的，采购人或采购代理机构可以不接受异议。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20</w:t>
            </w:r>
          </w:p>
        </w:tc>
        <w:tc>
          <w:tcPr>
            <w:tcW w:w="8914" w:type="dxa"/>
            <w:noWrap w:val="0"/>
            <w:vAlign w:val="center"/>
          </w:tcPr>
          <w:p>
            <w:pPr>
              <w:spacing w:line="300" w:lineRule="exact"/>
              <w:rPr>
                <w:rFonts w:hint="eastAsia" w:ascii="宋体" w:hAnsi="宋体" w:cs="宋体"/>
                <w:bCs/>
                <w:color w:val="auto"/>
                <w:szCs w:val="21"/>
                <w:highlight w:val="none"/>
              </w:rPr>
            </w:pPr>
            <w:r>
              <w:rPr>
                <w:rFonts w:hint="eastAsia" w:ascii="宋体" w:hAnsi="宋体" w:cs="宋体"/>
                <w:bCs/>
                <w:color w:val="auto"/>
                <w:szCs w:val="21"/>
                <w:highlight w:val="none"/>
              </w:rPr>
              <w:t>解释：本招标文件的解释权属于招标采购单位。</w:t>
            </w:r>
          </w:p>
        </w:tc>
      </w:tr>
    </w:tbl>
    <w:p>
      <w:pPr>
        <w:pStyle w:val="6"/>
        <w:ind w:firstLine="0" w:firstLineChars="0"/>
        <w:rPr>
          <w:rFonts w:hint="eastAsia" w:ascii="宋体" w:hAnsi="宋体" w:cs="宋体"/>
          <w:color w:val="auto"/>
          <w:highlight w:val="none"/>
        </w:rPr>
      </w:pPr>
    </w:p>
    <w:p>
      <w:pPr>
        <w:pStyle w:val="6"/>
        <w:ind w:firstLine="0" w:firstLineChars="0"/>
        <w:rPr>
          <w:rFonts w:hint="eastAsia" w:ascii="宋体" w:hAnsi="宋体" w:cs="宋体"/>
          <w:color w:val="auto"/>
          <w:highlight w:val="none"/>
        </w:rPr>
      </w:pPr>
    </w:p>
    <w:p>
      <w:pPr>
        <w:pStyle w:val="10"/>
        <w:snapToGrid w:val="0"/>
        <w:spacing w:before="156" w:after="156" w:line="420" w:lineRule="exact"/>
        <w:rPr>
          <w:rFonts w:hint="eastAsia" w:hAnsi="宋体" w:cs="宋体"/>
          <w:b/>
          <w:bCs/>
          <w:color w:val="auto"/>
          <w:szCs w:val="21"/>
          <w:highlight w:val="none"/>
        </w:rPr>
      </w:pPr>
    </w:p>
    <w:p>
      <w:pPr>
        <w:pStyle w:val="10"/>
        <w:snapToGrid w:val="0"/>
        <w:spacing w:before="156" w:after="156" w:line="420" w:lineRule="exact"/>
        <w:rPr>
          <w:rFonts w:hint="eastAsia" w:hAnsi="宋体" w:cs="宋体"/>
          <w:b/>
          <w:bCs/>
          <w:color w:val="auto"/>
          <w:szCs w:val="21"/>
          <w:highlight w:val="none"/>
        </w:rPr>
      </w:pPr>
    </w:p>
    <w:p>
      <w:pPr>
        <w:pStyle w:val="10"/>
        <w:snapToGrid w:val="0"/>
        <w:spacing w:before="156" w:after="156" w:line="420" w:lineRule="exact"/>
        <w:rPr>
          <w:rFonts w:hint="eastAsia" w:hAnsi="宋体" w:cs="宋体"/>
          <w:b/>
          <w:bCs/>
          <w:color w:val="auto"/>
          <w:szCs w:val="21"/>
          <w:highlight w:val="none"/>
        </w:rPr>
      </w:pPr>
    </w:p>
    <w:p>
      <w:pPr>
        <w:pStyle w:val="10"/>
        <w:snapToGrid w:val="0"/>
        <w:spacing w:before="156" w:after="156" w:line="420" w:lineRule="exact"/>
        <w:rPr>
          <w:rFonts w:hint="eastAsia" w:hAnsi="宋体" w:cs="宋体"/>
          <w:b/>
          <w:bCs/>
          <w:color w:val="auto"/>
          <w:szCs w:val="21"/>
          <w:highlight w:val="none"/>
        </w:rPr>
      </w:pPr>
    </w:p>
    <w:p>
      <w:pPr>
        <w:pStyle w:val="10"/>
        <w:snapToGrid w:val="0"/>
        <w:spacing w:line="480" w:lineRule="exact"/>
        <w:rPr>
          <w:rFonts w:hint="eastAsia" w:hAnsi="宋体" w:cs="宋体"/>
          <w:b/>
          <w:bCs/>
          <w:color w:val="auto"/>
          <w:szCs w:val="21"/>
          <w:highlight w:val="none"/>
        </w:rPr>
      </w:pPr>
      <w:r>
        <w:rPr>
          <w:rFonts w:hint="eastAsia" w:hAnsi="宋体" w:cs="宋体"/>
          <w:b/>
          <w:bCs/>
          <w:color w:val="auto"/>
          <w:szCs w:val="21"/>
          <w:highlight w:val="none"/>
        </w:rPr>
        <w:br w:type="page"/>
      </w:r>
      <w:r>
        <w:rPr>
          <w:rFonts w:hint="eastAsia" w:hAnsi="宋体" w:cs="宋体"/>
          <w:b/>
          <w:bCs/>
          <w:color w:val="auto"/>
          <w:szCs w:val="21"/>
          <w:highlight w:val="none"/>
        </w:rPr>
        <w:t>二、总则</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（一）适用范围</w:t>
      </w:r>
    </w:p>
    <w:p>
      <w:pPr>
        <w:snapToGrid w:val="0"/>
        <w:spacing w:line="48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本招标文件适用于本项目的招标、投标、评标、定标、验收、合同履约、付款等行为（法律、法规另有规定的，从其规定）。</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（二）定义</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1、招标采购单位系指组织本次招标的代理机构和采购单位。</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2、“投标人”系指向招标方提交投标文件的单位或个人。</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3、“同级政府采购监管部门”系指慈溪市公共资源交易管理办公室。</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4、“产品”系指供方按招标文件规定，须向采购人提供的一切设备、保险、税金、备品备件、工具、手册及其它有关技术资料和材料。</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5、“服务”系指招标文件规定投标人须承担的安装、调试、技术协助、校准、培训、技术指导以及其他类似的义务。</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6、“项目”系指投标人按招标文件规定向采购人提供的产品和服务。</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7、“书面形式”包括信函、传真、电报、电子邮件等。</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8、“▲”系指实质性要求条款。</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（三）采购方式</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详见招标文第三章《投标人须知》前附表。</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（四）投标委托</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1、投标文件的签署人应当为投标人的法定代表人或其授权的代表。投标文件的签署人为投标人的法定代表人时，投标文件中必须提供法定代表人身份证正反面复印件；投标文件的签署人非投标人的法定代表人时，投标文件中必须提供投标人的法定代表人出具的授权委托书及法定代表人授权代表的身份证正反面复印件。</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2、 根据政府采购相关法律、法规、规章、文件规定并满足招标文件规定资格条件的区域性分支机构、个体工商户、个人独资企业、合伙企业参加本项目投标并由单位负责人签署的相关投标资料与招标文件规定由法定代表人签署的的文件材料具有同等效力。</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（五）投标费用</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不论投标结果如何，投标人均应自行承担所有与投标有关的全部费用。</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（六）联合体投标</w:t>
      </w:r>
    </w:p>
    <w:p>
      <w:pPr>
        <w:snapToGrid w:val="0"/>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本项目不接受联合体投标。</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（七）转包与分包</w:t>
      </w:r>
    </w:p>
    <w:p>
      <w:pPr>
        <w:snapToGrid w:val="0"/>
        <w:spacing w:line="48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1、本项目不允许转包；</w:t>
      </w:r>
    </w:p>
    <w:p>
      <w:pPr>
        <w:snapToGrid w:val="0"/>
        <w:spacing w:line="48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2、本项目不允许分包。</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（八）特别说明：</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▲1.投标人投标所使用的资格、信誉、荣誉、业绩与企业认证必须为本法人所拥有。投标人投标所使用的采购项目实施人员必须为本法人员工。</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▲2.不得将属于供应商母公司（总机构）或者同一母公司下属的其他子公司（同一总机构下属的其他分支机构）的人员、业绩、荣誉、知识产权、项目案例等，作为该供应商的资信文件予以确认或审查通过。</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▲3.投标人应仔细阅读招标文件的所有内容，按照招标文件的要求提交投标文件，并对所提供的全部资料的真实性承担法律责任。</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 xml:space="preserve">▲4.投标人在投标活动中提供任何虚假材料,其投标无效，并报监管部门查处； </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（九）质疑和投诉</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1、供应商认为采购文件、采购过程、中标或者成交结果使自己的权益受到损害的，可以在知道或者应知其权益受到损害之日起7个工作日内，以书面形式或通过“政采云”系统向采购人、采购代理机构提出质疑。</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2、供应商应在法定质疑期内一次性提出针对同一采购程序环节的质疑。</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3、提出质疑的供应商应当是参与所质疑项目采购活动的供应商。</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4、潜在供应商已依法获取其可质疑的采购文件的，可以对该文件提出质疑。对采购文件提出质疑的，应当在获取采购文件或者采购文件公告期限届满之日起7个工作日内提出。</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5、采用书面形式质疑的，供应商为自然人的，应当由本人签字；供应商为法人或者其他组织的，应当由法定代表人、主要负责人，或者其授权代表签字或者盖章，并加盖公章。采用网上质疑的，在政采云系统上按“政采云”系统程序提出。</w:t>
      </w:r>
    </w:p>
    <w:p>
      <w:pPr>
        <w:snapToGrid w:val="0"/>
        <w:spacing w:line="480" w:lineRule="exact"/>
        <w:ind w:firstLine="420" w:firstLineChars="200"/>
        <w:rPr>
          <w:rFonts w:hint="eastAsia" w:ascii="宋体" w:hAnsi="宋体" w:cs="宋体"/>
          <w:color w:val="auto"/>
          <w:kern w:val="0"/>
          <w:szCs w:val="22"/>
          <w:highlight w:val="none"/>
        </w:rPr>
      </w:pPr>
      <w:r>
        <w:rPr>
          <w:rFonts w:hint="eastAsia" w:ascii="宋体" w:hAnsi="宋体" w:cs="宋体"/>
          <w:color w:val="auto"/>
          <w:kern w:val="0"/>
          <w:szCs w:val="22"/>
          <w:highlight w:val="none"/>
        </w:rPr>
        <w:t>6、文件具体要求详见中华人民共和国财政部令第94号——《政府采购质疑和投诉办法》。</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（十）关于知识产权</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2、投标报价应包含所有应向所有权人支付的专利权、商标权或其它知识产权的一切相关费用。</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3、系统软件、通用软件必须是具有在中国境内的合法使用权或版权的正版软件，涉及到第三方提出侵权或知识产权的起诉及支付版税等费用由投标人承担所有责任及费用。</w:t>
      </w:r>
    </w:p>
    <w:p>
      <w:pPr>
        <w:pStyle w:val="10"/>
        <w:snapToGrid w:val="0"/>
        <w:spacing w:line="480" w:lineRule="exact"/>
        <w:outlineLvl w:val="0"/>
        <w:rPr>
          <w:rFonts w:hint="eastAsia" w:hAnsi="宋体" w:cs="宋体"/>
          <w:b/>
          <w:bCs/>
          <w:color w:val="auto"/>
          <w:szCs w:val="21"/>
          <w:highlight w:val="none"/>
        </w:rPr>
      </w:pPr>
      <w:r>
        <w:rPr>
          <w:rFonts w:hint="eastAsia" w:hAnsi="宋体" w:cs="宋体"/>
          <w:b/>
          <w:bCs/>
          <w:color w:val="auto"/>
          <w:szCs w:val="21"/>
          <w:highlight w:val="none"/>
        </w:rPr>
        <w:t>三、招标文件</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（一）招标文件的构成。本招标文件由以下部份组成：</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1、招标公告</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2、招标需求</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3、投标人须知</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4、评标办法及评分标准</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5、合同主要条款</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6、商务条款</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7、投标文件格式</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8、本项目招标文件的澄清、答复、修改、补充的内容</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（二）投标人的风险</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投标人没有按照招标文件要求提供全部资料，或者投标人没有对招标文件在各方面作出实质性响应是投标人的风险，并可能导致其投标被拒绝。</w:t>
      </w:r>
    </w:p>
    <w:p>
      <w:pPr>
        <w:snapToGrid w:val="0"/>
        <w:spacing w:line="480" w:lineRule="exact"/>
        <w:ind w:firstLine="422" w:firstLineChars="200"/>
        <w:jc w:val="left"/>
        <w:rPr>
          <w:rFonts w:hint="eastAsia" w:ascii="宋体" w:hAnsi="宋体" w:cs="宋体"/>
          <w:b/>
          <w:bCs/>
          <w:color w:val="auto"/>
          <w:szCs w:val="22"/>
          <w:highlight w:val="none"/>
        </w:rPr>
      </w:pPr>
      <w:r>
        <w:rPr>
          <w:rFonts w:hint="eastAsia" w:ascii="宋体" w:hAnsi="宋体" w:cs="宋体"/>
          <w:b/>
          <w:bCs/>
          <w:color w:val="auto"/>
          <w:szCs w:val="22"/>
          <w:highlight w:val="none"/>
        </w:rPr>
        <w:t>（三）招标文件的澄清与修改</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3、招标文件澄清、答复、修改、补充的内容为招标文件的组成部分。当招标文件与招标文件的答复、澄清、修改、补充通知就同一内容的表述不一致时，以最后发出的书面文件为准。</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10"/>
        <w:snapToGrid w:val="0"/>
        <w:spacing w:line="480" w:lineRule="exact"/>
        <w:outlineLvl w:val="0"/>
        <w:rPr>
          <w:rFonts w:hint="eastAsia" w:hAnsi="宋体" w:cs="宋体"/>
          <w:b/>
          <w:bCs/>
          <w:color w:val="auto"/>
          <w:szCs w:val="21"/>
          <w:highlight w:val="none"/>
        </w:rPr>
      </w:pPr>
      <w:r>
        <w:rPr>
          <w:rFonts w:hint="eastAsia" w:hAnsi="宋体" w:cs="宋体"/>
          <w:b/>
          <w:bCs/>
          <w:color w:val="auto"/>
          <w:szCs w:val="21"/>
          <w:highlight w:val="none"/>
        </w:rPr>
        <w:t>四、投标文件的编制</w:t>
      </w:r>
    </w:p>
    <w:p>
      <w:pPr>
        <w:pStyle w:val="5"/>
        <w:numPr>
          <w:ilvl w:val="0"/>
          <w:numId w:val="0"/>
        </w:numPr>
        <w:tabs>
          <w:tab w:val="left" w:pos="454"/>
          <w:tab w:val="left" w:pos="720"/>
        </w:tabs>
        <w:snapToGrid w:val="0"/>
        <w:spacing w:line="480" w:lineRule="exact"/>
        <w:ind w:left="279"/>
        <w:rPr>
          <w:rFonts w:hint="eastAsia" w:ascii="宋体" w:hAnsi="宋体" w:cs="宋体"/>
          <w:b/>
          <w:bCs/>
          <w:color w:val="auto"/>
          <w:szCs w:val="22"/>
          <w:highlight w:val="none"/>
        </w:rPr>
      </w:pPr>
      <w:r>
        <w:rPr>
          <w:rFonts w:hint="eastAsia" w:ascii="宋体" w:hAnsi="宋体" w:cs="宋体"/>
          <w:b/>
          <w:bCs/>
          <w:color w:val="auto"/>
          <w:szCs w:val="22"/>
          <w:highlight w:val="none"/>
        </w:rPr>
        <w:t>（一）投标文件的组成</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投标文件由资格审查文件、技术商务文件、报价文件资格组成。</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1、资格审查文件：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w:t>
      </w:r>
      <w:r>
        <w:rPr>
          <w:rFonts w:hint="eastAsia" w:hAnsi="宋体" w:cs="宋体"/>
          <w:b/>
          <w:bCs/>
          <w:color w:val="auto"/>
          <w:szCs w:val="21"/>
          <w:highlight w:val="none"/>
        </w:rPr>
        <w:t>具有独立承担民事责任的能力：</w:t>
      </w:r>
      <w:r>
        <w:rPr>
          <w:rFonts w:hint="eastAsia" w:hAnsi="宋体" w:cs="宋体"/>
          <w:color w:val="auto"/>
          <w:szCs w:val="21"/>
          <w:highlight w:val="none"/>
        </w:rPr>
        <w:t>提供有效的企业法人营业执照（或事业法人登记证）或其他组织（个体工商户）的营业执照或者民办非企业单位登记证书复印件加盖公章，如为自然人的需附身份证明并签字；</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w:t>
      </w:r>
      <w:r>
        <w:rPr>
          <w:rFonts w:hint="eastAsia" w:hAnsi="宋体" w:cs="宋体"/>
          <w:b/>
          <w:bCs/>
          <w:color w:val="auto"/>
          <w:szCs w:val="21"/>
          <w:highlight w:val="none"/>
        </w:rPr>
        <w:t>具有良好的商业信誉和健全的财务会计制度：</w:t>
      </w:r>
      <w:r>
        <w:rPr>
          <w:rFonts w:hint="eastAsia" w:hAnsi="宋体" w:cs="宋体"/>
          <w:color w:val="auto"/>
          <w:szCs w:val="21"/>
          <w:highlight w:val="none"/>
        </w:rPr>
        <w:t>提供开标前六个月任意一个月财务会计报表复印件加盖供应商公章；</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w:t>
      </w:r>
      <w:r>
        <w:rPr>
          <w:rFonts w:hint="eastAsia" w:hAnsi="宋体" w:cs="宋体"/>
          <w:b/>
          <w:bCs/>
          <w:color w:val="auto"/>
          <w:szCs w:val="21"/>
          <w:highlight w:val="none"/>
        </w:rPr>
        <w:t>具有履行合同所必需的设备和专业技术能力：</w:t>
      </w:r>
      <w:r>
        <w:rPr>
          <w:rFonts w:hint="eastAsia" w:hAnsi="宋体" w:cs="宋体"/>
          <w:color w:val="auto"/>
          <w:szCs w:val="21"/>
          <w:highlight w:val="none"/>
        </w:rPr>
        <w:t>提供具有履行合同所必需的设备和专业技术能力的书面声明（格式见附件）；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w:t>
      </w:r>
      <w:r>
        <w:rPr>
          <w:rFonts w:hint="eastAsia" w:hAnsi="宋体" w:cs="宋体"/>
          <w:b/>
          <w:bCs/>
          <w:color w:val="auto"/>
          <w:szCs w:val="21"/>
          <w:highlight w:val="none"/>
        </w:rPr>
        <w:t>有依法缴纳税收和社会保障资金的良好记录：</w:t>
      </w:r>
      <w:r>
        <w:rPr>
          <w:rFonts w:hint="eastAsia" w:hAnsi="宋体" w:cs="宋体"/>
          <w:color w:val="auto"/>
          <w:szCs w:val="21"/>
          <w:highlight w:val="none"/>
        </w:rPr>
        <w:t>提供开标前六个月中任意一个月依法纳税的完税凭证复印件加盖公章，无完税记录的提供投标方所在地国税、地税部门出具的《依法纳税或依法免税证明》复印件加盖公章；提供开标前六个月中任意一个月缴纳社保的凭证复印件加盖公章，无缴费记录的提供投标方所有地社保部门出具的《依法缴纳或免缴社保费证明》复印件加盖公章；</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w:t>
      </w:r>
      <w:r>
        <w:rPr>
          <w:rFonts w:hint="eastAsia" w:hAnsi="宋体" w:cs="宋体"/>
          <w:b/>
          <w:bCs/>
          <w:color w:val="auto"/>
          <w:szCs w:val="21"/>
          <w:highlight w:val="none"/>
        </w:rPr>
        <w:t>参加政府采购活动前三年内，在经营活动中没有重大违法记录：</w:t>
      </w:r>
      <w:r>
        <w:rPr>
          <w:rFonts w:hint="eastAsia" w:hAnsi="宋体" w:cs="宋体"/>
          <w:color w:val="auto"/>
          <w:szCs w:val="21"/>
          <w:highlight w:val="none"/>
        </w:rPr>
        <w:t>提供参加政府采购活动前3年内在经营活动中没有重大违法记录的书面声明（格式见附件）；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（6）其他资格要求需提供的声明函；</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（7）采购文件要求的其他资格条件证明材料（如有）。</w:t>
      </w:r>
    </w:p>
    <w:p>
      <w:pPr>
        <w:snapToGrid w:val="0"/>
        <w:spacing w:line="480" w:lineRule="exact"/>
        <w:ind w:firstLine="411" w:firstLineChars="196"/>
        <w:jc w:val="left"/>
        <w:rPr>
          <w:rFonts w:hint="eastAsia" w:ascii="宋体" w:hAnsi="宋体" w:cs="宋体"/>
          <w:color w:val="auto"/>
          <w:highlight w:val="none"/>
        </w:rPr>
      </w:pPr>
      <w:r>
        <w:rPr>
          <w:rFonts w:hint="eastAsia" w:ascii="宋体" w:hAnsi="宋体" w:cs="宋体"/>
          <w:color w:val="auto"/>
          <w:highlight w:val="none"/>
        </w:rPr>
        <w:t>2、技术商务文件包括以下内容：</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（1）自评分表（格式见附件）；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（2）投标函（格式见附件）；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（3）法定代表人身份证明（格式见附件）；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（4）法定代表人授权书（投标文件由授权代表签字的须提供，附授权代表开标前近四个月内（除开标当月）任意一个月投标人为其缴纳过的社保证明资料）（格式见附件）；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（5）供应商一般情况表（格式见附件）；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（6）商务条款响应表（格式见附件）；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（7）技术条款响应表（格式见附件）；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（8）</w:t>
      </w:r>
      <w:r>
        <w:rPr>
          <w:rFonts w:hint="eastAsia" w:hAnsi="宋体" w:cs="宋体"/>
          <w:color w:val="auto"/>
          <w:highlight w:val="none"/>
        </w:rPr>
        <w:t>投标方提供项目业绩合同复印件；（复印件加盖投标方公章）</w:t>
      </w:r>
      <w:r>
        <w:rPr>
          <w:rFonts w:hint="eastAsia" w:hAnsi="宋体" w:cs="宋体"/>
          <w:color w:val="auto"/>
          <w:szCs w:val="21"/>
          <w:highlight w:val="none"/>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（9）</w:t>
      </w:r>
      <w:r>
        <w:rPr>
          <w:rFonts w:hint="eastAsia" w:hAnsi="宋体" w:cs="宋体"/>
          <w:bCs/>
          <w:color w:val="auto"/>
          <w:szCs w:val="21"/>
          <w:highlight w:val="none"/>
        </w:rPr>
        <w:t>投标方提供有效的质量管理体系认证、环境管理体系认证、职业健康安全管理</w:t>
      </w:r>
      <w:r>
        <w:rPr>
          <w:rFonts w:hint="eastAsia" w:hAnsi="宋体" w:cs="宋体"/>
          <w:bCs/>
          <w:color w:val="auto"/>
          <w:szCs w:val="21"/>
          <w:highlight w:val="none"/>
          <w:lang w:eastAsia="zh-CN"/>
        </w:rPr>
        <w:t>、</w:t>
      </w:r>
      <w:r>
        <w:rPr>
          <w:rFonts w:hint="eastAsia" w:ascii="宋体" w:hAnsi="宋体" w:cs="宋体"/>
          <w:color w:val="auto"/>
          <w:szCs w:val="21"/>
          <w:highlight w:val="none"/>
        </w:rPr>
        <w:t>能源管理体系认证证书</w:t>
      </w:r>
      <w:r>
        <w:rPr>
          <w:rFonts w:hint="eastAsia" w:hAnsi="宋体" w:cs="宋体"/>
          <w:bCs/>
          <w:color w:val="auto"/>
          <w:szCs w:val="21"/>
          <w:highlight w:val="none"/>
        </w:rPr>
        <w:t>等体系认证证书复印件；（复印件加盖投标方公章）</w:t>
      </w:r>
      <w:r>
        <w:rPr>
          <w:rFonts w:hint="eastAsia" w:hAnsi="宋体" w:cs="宋体"/>
          <w:color w:val="auto"/>
          <w:szCs w:val="21"/>
          <w:highlight w:val="none"/>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（10）投标方本地化服务能力及其组织情况证明</w:t>
      </w:r>
      <w:r>
        <w:rPr>
          <w:rFonts w:hint="eastAsia" w:hAnsi="宋体" w:cs="宋体"/>
          <w:bCs/>
          <w:color w:val="auto"/>
          <w:szCs w:val="21"/>
          <w:highlight w:val="none"/>
        </w:rPr>
        <w:t>（复印件加盖投标方公章）</w:t>
      </w:r>
      <w:r>
        <w:rPr>
          <w:rFonts w:hint="eastAsia" w:hAnsi="宋体" w:cs="宋体"/>
          <w:color w:val="auto"/>
          <w:szCs w:val="21"/>
          <w:highlight w:val="none"/>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（11）</w:t>
      </w:r>
      <w:r>
        <w:rPr>
          <w:rFonts w:hint="eastAsia" w:hAnsi="宋体" w:cs="宋体"/>
          <w:bCs/>
          <w:color w:val="auto"/>
          <w:szCs w:val="21"/>
          <w:highlight w:val="none"/>
        </w:rPr>
        <w:t>技术方案：服务管理整体设想及策划、</w:t>
      </w:r>
      <w:r>
        <w:rPr>
          <w:rFonts w:hint="eastAsia" w:hAnsi="宋体" w:cs="宋体"/>
          <w:color w:val="auto"/>
          <w:szCs w:val="21"/>
          <w:highlight w:val="none"/>
        </w:rPr>
        <w:t>项目分析及解决方案、</w:t>
      </w:r>
      <w:r>
        <w:rPr>
          <w:rFonts w:hint="eastAsia" w:hAnsi="宋体" w:cs="宋体"/>
          <w:bCs/>
          <w:color w:val="auto"/>
          <w:szCs w:val="21"/>
          <w:highlight w:val="none"/>
        </w:rPr>
        <w:t>人员的配置、设备装备计划、制度和档案的建立与管理、项目的服务与管理、</w:t>
      </w:r>
      <w:r>
        <w:rPr>
          <w:rFonts w:hint="eastAsia" w:hAnsi="宋体" w:cs="宋体"/>
          <w:color w:val="auto"/>
          <w:szCs w:val="21"/>
          <w:highlight w:val="none"/>
        </w:rPr>
        <w:t>突发事件应急处理措施；</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（12）投标供应商认为需要提供的其他资料（如有需提供）。</w:t>
      </w:r>
    </w:p>
    <w:p>
      <w:pPr>
        <w:snapToGrid w:val="0"/>
        <w:spacing w:line="480" w:lineRule="exact"/>
        <w:ind w:firstLine="413" w:firstLineChars="196"/>
        <w:jc w:val="left"/>
        <w:outlineLvl w:val="0"/>
        <w:rPr>
          <w:rFonts w:hint="eastAsia" w:ascii="宋体" w:hAnsi="宋体" w:cs="宋体"/>
          <w:b/>
          <w:bCs/>
          <w:color w:val="auto"/>
          <w:highlight w:val="none"/>
        </w:rPr>
      </w:pPr>
      <w:r>
        <w:rPr>
          <w:rFonts w:hint="eastAsia" w:ascii="宋体" w:hAnsi="宋体" w:cs="宋体"/>
          <w:b/>
          <w:bCs/>
          <w:color w:val="auto"/>
          <w:highlight w:val="none"/>
        </w:rPr>
        <w:t>▲注：商务技术文件中不能出现报价，否则作无效标处理。</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3、报价文件包括以下内容：</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（1）开标一览表（格式附后）；</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（2）投标报价明细表</w:t>
      </w:r>
      <w:r>
        <w:rPr>
          <w:rFonts w:hint="eastAsia" w:hAnsi="宋体" w:cs="宋体"/>
          <w:color w:val="auto"/>
          <w:szCs w:val="21"/>
          <w:highlight w:val="none"/>
          <w:lang w:eastAsia="zh-CN"/>
        </w:rPr>
        <w:t>一</w:t>
      </w:r>
      <w:r>
        <w:rPr>
          <w:rFonts w:hint="eastAsia" w:hAnsi="宋体" w:cs="宋体"/>
          <w:color w:val="auto"/>
          <w:szCs w:val="21"/>
          <w:highlight w:val="none"/>
        </w:rPr>
        <w:t>（格式附后）；</w:t>
      </w:r>
    </w:p>
    <w:p>
      <w:pPr>
        <w:pStyle w:val="10"/>
        <w:snapToGrid w:val="0"/>
        <w:spacing w:line="480" w:lineRule="exact"/>
        <w:ind w:left="2" w:leftChars="1" w:firstLine="420" w:firstLineChars="200"/>
        <w:rPr>
          <w:rFonts w:hint="eastAsia" w:hAnsi="宋体" w:eastAsia="宋体" w:cs="宋体"/>
          <w:color w:val="auto"/>
          <w:szCs w:val="21"/>
          <w:highlight w:val="none"/>
          <w:lang w:eastAsia="zh-CN"/>
        </w:rPr>
      </w:pPr>
      <w:r>
        <w:rPr>
          <w:rFonts w:hint="eastAsia" w:hAnsi="宋体" w:cs="宋体"/>
          <w:color w:val="auto"/>
          <w:szCs w:val="21"/>
          <w:highlight w:val="none"/>
        </w:rPr>
        <w:t>（3）投标报价明细表</w:t>
      </w:r>
      <w:r>
        <w:rPr>
          <w:rFonts w:hint="eastAsia" w:hAnsi="宋体" w:cs="宋体"/>
          <w:color w:val="auto"/>
          <w:szCs w:val="21"/>
          <w:highlight w:val="none"/>
          <w:lang w:eastAsia="zh-CN"/>
        </w:rPr>
        <w:t>二（人员费用）</w:t>
      </w:r>
      <w:r>
        <w:rPr>
          <w:rFonts w:hint="eastAsia" w:hAnsi="宋体" w:cs="宋体"/>
          <w:color w:val="auto"/>
          <w:szCs w:val="21"/>
          <w:highlight w:val="none"/>
        </w:rPr>
        <w:t>（格式附后）</w:t>
      </w:r>
      <w:r>
        <w:rPr>
          <w:rFonts w:hint="eastAsia" w:hAnsi="宋体" w:cs="宋体"/>
          <w:color w:val="auto"/>
          <w:szCs w:val="21"/>
          <w:highlight w:val="none"/>
          <w:lang w:eastAsia="zh-CN"/>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lang w:eastAsia="zh-CN"/>
        </w:rPr>
        <w:t>（</w:t>
      </w:r>
      <w:r>
        <w:rPr>
          <w:rFonts w:hint="eastAsia" w:hAnsi="宋体" w:cs="宋体"/>
          <w:color w:val="auto"/>
          <w:szCs w:val="21"/>
          <w:highlight w:val="none"/>
          <w:lang w:val="en-US" w:eastAsia="zh-CN"/>
        </w:rPr>
        <w:t>4</w:t>
      </w:r>
      <w:r>
        <w:rPr>
          <w:rFonts w:hint="eastAsia" w:hAnsi="宋体" w:cs="宋体"/>
          <w:color w:val="auto"/>
          <w:szCs w:val="21"/>
          <w:highlight w:val="none"/>
          <w:lang w:eastAsia="zh-CN"/>
        </w:rPr>
        <w:t>）</w:t>
      </w:r>
      <w:r>
        <w:rPr>
          <w:rFonts w:hint="eastAsia" w:hAnsi="宋体" w:cs="宋体"/>
          <w:color w:val="auto"/>
          <w:szCs w:val="21"/>
          <w:highlight w:val="none"/>
        </w:rPr>
        <w:t>中小企业声明函（格式附后）；</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w:t>
      </w:r>
      <w:r>
        <w:rPr>
          <w:rFonts w:hint="eastAsia" w:hAnsi="宋体" w:cs="宋体"/>
          <w:color w:val="auto"/>
          <w:szCs w:val="21"/>
          <w:highlight w:val="none"/>
          <w:lang w:val="en-US" w:eastAsia="zh-CN"/>
        </w:rPr>
        <w:t>5</w:t>
      </w:r>
      <w:r>
        <w:rPr>
          <w:rFonts w:hint="eastAsia" w:hAnsi="宋体" w:cs="宋体"/>
          <w:color w:val="auto"/>
          <w:szCs w:val="21"/>
          <w:highlight w:val="none"/>
        </w:rPr>
        <w:t>）残疾人福利性单位声明函（格式附后）；</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w:t>
      </w:r>
      <w:r>
        <w:rPr>
          <w:rFonts w:hint="eastAsia" w:hAnsi="宋体" w:cs="宋体"/>
          <w:color w:val="auto"/>
          <w:szCs w:val="21"/>
          <w:highlight w:val="none"/>
          <w:lang w:val="en-US" w:eastAsia="zh-CN"/>
        </w:rPr>
        <w:t>6</w:t>
      </w:r>
      <w:r>
        <w:rPr>
          <w:rFonts w:hint="eastAsia" w:hAnsi="宋体" w:cs="宋体"/>
          <w:color w:val="auto"/>
          <w:szCs w:val="21"/>
          <w:highlight w:val="none"/>
        </w:rPr>
        <w:t>）投标供应商认为需要提供的其他资料（如有需提供）。</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本项目实行网上投标，供应商于“政采云”上提供电子投标文件，开标现场提供备份电子招标文件。</w:t>
      </w:r>
    </w:p>
    <w:p>
      <w:pPr>
        <w:snapToGrid w:val="0"/>
        <w:spacing w:line="480" w:lineRule="exact"/>
        <w:ind w:firstLine="413" w:firstLineChars="196"/>
        <w:jc w:val="left"/>
        <w:outlineLvl w:val="0"/>
        <w:rPr>
          <w:rFonts w:hint="eastAsia" w:ascii="宋体" w:hAnsi="宋体" w:cs="宋体"/>
          <w:b/>
          <w:bCs/>
          <w:color w:val="auto"/>
          <w:highlight w:val="none"/>
        </w:rPr>
      </w:pPr>
      <w:r>
        <w:rPr>
          <w:rFonts w:hint="eastAsia" w:ascii="宋体" w:hAnsi="宋体" w:cs="宋体"/>
          <w:b/>
          <w:bCs/>
          <w:color w:val="auto"/>
          <w:highlight w:val="none"/>
        </w:rPr>
        <w:t>（二）投标文件的语言及计量</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▲1投标文件以及投标方与招标方就有关投标事宜的所有来往函电，均应以中文汉语书写。除签名、盖章、专用名称等特殊情形外，以中文汉语以外的文字表述的投标文件视同未提供。</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480" w:lineRule="exact"/>
        <w:ind w:firstLine="413" w:firstLineChars="196"/>
        <w:jc w:val="left"/>
        <w:outlineLvl w:val="0"/>
        <w:rPr>
          <w:rFonts w:hint="eastAsia" w:ascii="宋体" w:hAnsi="宋体" w:cs="宋体"/>
          <w:b/>
          <w:bCs/>
          <w:color w:val="auto"/>
          <w:highlight w:val="none"/>
        </w:rPr>
      </w:pPr>
      <w:r>
        <w:rPr>
          <w:rFonts w:hint="eastAsia" w:ascii="宋体" w:hAnsi="宋体" w:cs="宋体"/>
          <w:b/>
          <w:bCs/>
          <w:color w:val="auto"/>
          <w:highlight w:val="none"/>
        </w:rPr>
        <w:t>（三）投标报价</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1.投标报价应按招标文件中相关附表格式填写。</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2.报价要求：详见招标文第三章《投标人须知》前附表。</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▲3.投标文件只允许有一个报价，有选择的或有条件的报价将不予接受。</w:t>
      </w:r>
    </w:p>
    <w:p>
      <w:pPr>
        <w:pStyle w:val="5"/>
        <w:numPr>
          <w:ilvl w:val="0"/>
          <w:numId w:val="0"/>
        </w:numPr>
        <w:tabs>
          <w:tab w:val="left" w:pos="454"/>
          <w:tab w:val="left" w:pos="720"/>
        </w:tabs>
        <w:snapToGrid w:val="0"/>
        <w:spacing w:line="480" w:lineRule="exact"/>
        <w:ind w:left="279"/>
        <w:rPr>
          <w:rFonts w:hint="eastAsia" w:ascii="宋体" w:hAnsi="宋体" w:cs="宋体"/>
          <w:b/>
          <w:bCs/>
          <w:color w:val="auto"/>
          <w:highlight w:val="none"/>
        </w:rPr>
      </w:pPr>
      <w:r>
        <w:rPr>
          <w:rFonts w:hint="eastAsia" w:ascii="宋体" w:hAnsi="宋体" w:cs="宋体"/>
          <w:b/>
          <w:bCs/>
          <w:color w:val="auto"/>
          <w:highlight w:val="none"/>
        </w:rPr>
        <w:t>（四）投标文件的有效期</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▲1.自投标截止日起</w:t>
      </w:r>
      <w:r>
        <w:rPr>
          <w:rFonts w:hint="eastAsia" w:hAnsi="宋体" w:cs="宋体"/>
          <w:b/>
          <w:bCs/>
          <w:color w:val="auto"/>
          <w:szCs w:val="21"/>
          <w:highlight w:val="none"/>
        </w:rPr>
        <w:t>90</w:t>
      </w:r>
      <w:r>
        <w:rPr>
          <w:rFonts w:hint="eastAsia" w:hAnsi="宋体" w:cs="宋体"/>
          <w:color w:val="auto"/>
          <w:szCs w:val="21"/>
          <w:highlight w:val="none"/>
        </w:rPr>
        <w:t>天投标文件应保持有效。有效期不足的投标文件将被拒绝。</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2、在特殊情况下，招标人可与投标人协商延长投标书的有效期，这种要求和答复均以书面形式进行。</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3、投标人可拒绝接受延期要求。同意延长有效期的投标人不能修改投标文件。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4.中标人的投标文件自开标之日起至合同履行完毕止均应保持有效。</w:t>
      </w:r>
    </w:p>
    <w:p>
      <w:pPr>
        <w:snapToGrid w:val="0"/>
        <w:spacing w:line="480" w:lineRule="exact"/>
        <w:ind w:firstLine="413" w:firstLineChars="196"/>
        <w:jc w:val="left"/>
        <w:outlineLvl w:val="0"/>
        <w:rPr>
          <w:rFonts w:hint="eastAsia" w:ascii="宋体" w:hAnsi="宋体" w:cs="宋体"/>
          <w:b/>
          <w:bCs/>
          <w:color w:val="auto"/>
          <w:highlight w:val="none"/>
        </w:rPr>
      </w:pPr>
      <w:r>
        <w:rPr>
          <w:rFonts w:hint="eastAsia" w:ascii="宋体" w:hAnsi="宋体" w:cs="宋体"/>
          <w:b/>
          <w:bCs/>
          <w:color w:val="auto"/>
          <w:highlight w:val="none"/>
        </w:rPr>
        <w:t>（五）投标保证金：本项目无投标保证金。</w:t>
      </w:r>
    </w:p>
    <w:p>
      <w:pPr>
        <w:snapToGrid w:val="0"/>
        <w:spacing w:line="480" w:lineRule="exact"/>
        <w:ind w:firstLine="413" w:firstLineChars="196"/>
        <w:jc w:val="left"/>
        <w:outlineLvl w:val="0"/>
        <w:rPr>
          <w:rFonts w:hint="eastAsia" w:ascii="宋体" w:hAnsi="宋体" w:cs="宋体"/>
          <w:b/>
          <w:bCs/>
          <w:color w:val="auto"/>
          <w:highlight w:val="none"/>
        </w:rPr>
      </w:pPr>
      <w:r>
        <w:rPr>
          <w:rFonts w:hint="eastAsia" w:ascii="宋体" w:hAnsi="宋体" w:cs="宋体"/>
          <w:b/>
          <w:bCs/>
          <w:color w:val="auto"/>
          <w:highlight w:val="none"/>
        </w:rPr>
        <w:t>（六）投标文件的签署和份数</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本项目实行网上投标，供应商应准备以下投标文件：电子投标文件和备份电子投标文件各1份。</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1、电子投标文件，供应商于“政采云”上提供电子投标文件，按政采云平台项目采购-电子招投标操作指南及本招标文件要求制作、加密并递交。</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2、备份电子投标文件，即电子投标文件按“政采云供应商项目采购-电子招投标操作指南”制作的备份文件，以U盘或DVD光盘等介质存储的数据电文形式提供，备份电子投标文件数量1份 （开标现场提交）。</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3、投标文件启用顺序和效力。投标文件的启用，按先后顺位分别为电子投标文件、备份电子投标文件。在下一顺位的投标文件启用时，前一顺位的投标文件自动失效。</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4、投标、响应文件未按时解密，供应商提供了备份投标、响应文件的，以备份投标、响应文件作为依据，否则视为投标、响应文件撤回。投标、响应文件已按时解密的，备份投标、响应文件自动失效。</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5、</w:t>
      </w:r>
      <w:r>
        <w:rPr>
          <w:rFonts w:hint="eastAsia" w:hAnsi="宋体" w:cs="宋体"/>
          <w:color w:val="auto"/>
          <w:szCs w:val="21"/>
          <w:highlight w:val="none"/>
        </w:rPr>
        <w:t>▲</w:t>
      </w:r>
      <w:r>
        <w:rPr>
          <w:rFonts w:hint="eastAsia" w:hAnsi="宋体" w:cs="宋体"/>
          <w:b/>
          <w:bCs/>
          <w:color w:val="auto"/>
          <w:szCs w:val="21"/>
          <w:highlight w:val="none"/>
        </w:rPr>
        <w:t>未传输递交电子投标文件的，投标无效。</w:t>
      </w:r>
      <w:r>
        <w:rPr>
          <w:rFonts w:hint="eastAsia" w:hAnsi="宋体" w:cs="宋体"/>
          <w:color w:val="auto"/>
          <w:szCs w:val="21"/>
          <w:highlight w:val="none"/>
        </w:rPr>
        <w:t>▲</w:t>
      </w:r>
      <w:r>
        <w:rPr>
          <w:rFonts w:hint="eastAsia" w:hAnsi="宋体" w:cs="宋体"/>
          <w:b/>
          <w:bCs/>
          <w:color w:val="auto"/>
          <w:szCs w:val="21"/>
          <w:highlight w:val="none"/>
        </w:rPr>
        <w:t>未按规定提供相应的备份投标文件，造成项目开评标活动无法进行下去的，投标无效。</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供应商应根据“政采云供应商项目采购-电子招投标操作指南”及本招标文件规定的格式和顺序编制电子投标文件并进行关联定位。投标文件内容不完整、编排混乱导致投标文件被误读、漏读或者查找不到相关内容的，是投标供应商的责任。</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7、以介质存储的数据电文形式的备份投标文件部分：电子投标文件的备份文件，以U盘或DVD光盘等介质存储的数据电文形式存储，并单独密封递交。</w:t>
      </w:r>
    </w:p>
    <w:p>
      <w:pPr>
        <w:pStyle w:val="10"/>
        <w:snapToGrid w:val="0"/>
        <w:spacing w:line="480" w:lineRule="exact"/>
        <w:ind w:left="2" w:leftChars="1" w:firstLine="420" w:firstLineChars="200"/>
        <w:rPr>
          <w:rFonts w:hint="eastAsia" w:hAnsi="宋体" w:cs="宋体"/>
          <w:b/>
          <w:bCs/>
          <w:color w:val="auto"/>
          <w:szCs w:val="21"/>
          <w:highlight w:val="none"/>
        </w:rPr>
      </w:pPr>
      <w:r>
        <w:rPr>
          <w:rFonts w:hint="eastAsia" w:hAnsi="宋体" w:cs="宋体"/>
          <w:color w:val="auto"/>
          <w:szCs w:val="21"/>
          <w:highlight w:val="none"/>
        </w:rPr>
        <w:t>8、投标文件须由投标供应商在规定位置盖章并由投标供应商法定代表人（负责人）或投标供应商法定代表人（负责人）的授权委托人签署，投标供应商应写全称。</w:t>
      </w:r>
      <w:r>
        <w:rPr>
          <w:rFonts w:hint="eastAsia" w:hAnsi="宋体" w:cs="宋体"/>
          <w:b/>
          <w:bCs/>
          <w:color w:val="auto"/>
          <w:szCs w:val="21"/>
          <w:highlight w:val="none"/>
        </w:rPr>
        <w:t>电子投标文件中需要盖章的位置均需采用CA签章。</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9、投标文件不得涂改，若有修改错漏处，须加盖投标供应商公章或者投标供应商法定代表人（或授权代表）签名或盖章。投标文件因字迹潦草或表达不清所引起的后果由投标供应商负责。</w:t>
      </w:r>
    </w:p>
    <w:p>
      <w:pPr>
        <w:snapToGrid w:val="0"/>
        <w:spacing w:line="480" w:lineRule="exact"/>
        <w:ind w:firstLine="413" w:firstLineChars="196"/>
        <w:jc w:val="left"/>
        <w:outlineLvl w:val="0"/>
        <w:rPr>
          <w:rFonts w:hint="eastAsia" w:ascii="宋体" w:hAnsi="宋体" w:cs="宋体"/>
          <w:b/>
          <w:bCs/>
          <w:color w:val="auto"/>
          <w:szCs w:val="22"/>
          <w:highlight w:val="none"/>
        </w:rPr>
      </w:pPr>
      <w:r>
        <w:rPr>
          <w:rFonts w:hint="eastAsia" w:ascii="宋体" w:hAnsi="宋体" w:cs="宋体"/>
          <w:b/>
          <w:bCs/>
          <w:color w:val="auto"/>
          <w:szCs w:val="22"/>
          <w:highlight w:val="none"/>
        </w:rPr>
        <w:t>（七）备份电子投标文件的包装</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1、投标文件的“ 备份电子投标文件”按要求用封袋密封，在封袋上注明：</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（1）注明：</w:t>
      </w:r>
      <w:r>
        <w:rPr>
          <w:rFonts w:hint="eastAsia" w:hAnsi="宋体" w:cs="宋体"/>
          <w:color w:val="auto"/>
          <w:szCs w:val="21"/>
          <w:highlight w:val="none"/>
          <w:u w:val="single"/>
        </w:rPr>
        <w:t xml:space="preserve">           投标文件          </w:t>
      </w:r>
      <w:r>
        <w:rPr>
          <w:rFonts w:hint="eastAsia" w:hAnsi="宋体" w:cs="宋体"/>
          <w:color w:val="auto"/>
          <w:szCs w:val="21"/>
          <w:highlight w:val="none"/>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（2）注明：</w:t>
      </w:r>
      <w:r>
        <w:rPr>
          <w:rFonts w:hint="eastAsia" w:hAnsi="宋体" w:cs="宋体"/>
          <w:color w:val="auto"/>
          <w:szCs w:val="21"/>
          <w:highlight w:val="none"/>
          <w:u w:val="single"/>
        </w:rPr>
        <w:t xml:space="preserve">     “备份电子投标文件”    </w:t>
      </w:r>
      <w:r>
        <w:rPr>
          <w:rFonts w:hint="eastAsia" w:hAnsi="宋体" w:cs="宋体"/>
          <w:color w:val="auto"/>
          <w:szCs w:val="21"/>
          <w:highlight w:val="none"/>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（3）采购编号：</w:t>
      </w:r>
      <w:r>
        <w:rPr>
          <w:rFonts w:hint="eastAsia" w:hAnsi="宋体" w:cs="宋体"/>
          <w:color w:val="auto"/>
          <w:szCs w:val="21"/>
          <w:highlight w:val="none"/>
          <w:u w:val="single"/>
        </w:rPr>
        <w:t xml:space="preserve">                                            </w:t>
      </w:r>
      <w:r>
        <w:rPr>
          <w:rFonts w:hint="eastAsia" w:hAnsi="宋体" w:cs="宋体"/>
          <w:color w:val="auto"/>
          <w:szCs w:val="21"/>
          <w:highlight w:val="none"/>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（4）项目名称：</w:t>
      </w:r>
      <w:r>
        <w:rPr>
          <w:rFonts w:hint="eastAsia" w:hAnsi="宋体" w:cs="宋体"/>
          <w:color w:val="auto"/>
          <w:szCs w:val="21"/>
          <w:highlight w:val="none"/>
          <w:u w:val="single"/>
        </w:rPr>
        <w:t xml:space="preserve">                                            </w:t>
      </w:r>
      <w:r>
        <w:rPr>
          <w:rFonts w:hint="eastAsia" w:hAnsi="宋体" w:cs="宋体"/>
          <w:color w:val="auto"/>
          <w:szCs w:val="21"/>
          <w:highlight w:val="none"/>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（5）所投标项：</w:t>
      </w:r>
      <w:r>
        <w:rPr>
          <w:rFonts w:hint="eastAsia" w:hAnsi="宋体" w:cs="宋体"/>
          <w:color w:val="auto"/>
          <w:szCs w:val="21"/>
          <w:highlight w:val="none"/>
          <w:u w:val="single"/>
        </w:rPr>
        <w:t xml:space="preserve">                                </w:t>
      </w:r>
      <w:r>
        <w:rPr>
          <w:rFonts w:hint="eastAsia" w:hAnsi="宋体" w:cs="宋体"/>
          <w:color w:val="auto"/>
          <w:szCs w:val="21"/>
          <w:highlight w:val="none"/>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（6）在</w:t>
      </w:r>
      <w:r>
        <w:rPr>
          <w:rFonts w:hint="eastAsia" w:hAnsi="宋体" w:cs="宋体"/>
          <w:color w:val="auto"/>
          <w:szCs w:val="21"/>
          <w:highlight w:val="none"/>
          <w:u w:val="single"/>
        </w:rPr>
        <w:t xml:space="preserve">     </w:t>
      </w:r>
      <w:r>
        <w:rPr>
          <w:rFonts w:hint="eastAsia" w:hAnsi="宋体" w:cs="宋体"/>
          <w:color w:val="auto"/>
          <w:szCs w:val="21"/>
          <w:highlight w:val="none"/>
        </w:rPr>
        <w:t>年</w:t>
      </w:r>
      <w:r>
        <w:rPr>
          <w:rFonts w:hint="eastAsia" w:hAnsi="宋体" w:cs="宋体"/>
          <w:color w:val="auto"/>
          <w:szCs w:val="21"/>
          <w:highlight w:val="none"/>
          <w:u w:val="single"/>
        </w:rPr>
        <w:t xml:space="preserve">     </w:t>
      </w:r>
      <w:r>
        <w:rPr>
          <w:rFonts w:hint="eastAsia" w:hAnsi="宋体" w:cs="宋体"/>
          <w:color w:val="auto"/>
          <w:szCs w:val="21"/>
          <w:highlight w:val="none"/>
        </w:rPr>
        <w:t>月</w:t>
      </w:r>
      <w:r>
        <w:rPr>
          <w:rFonts w:hint="eastAsia" w:hAnsi="宋体" w:cs="宋体"/>
          <w:color w:val="auto"/>
          <w:szCs w:val="21"/>
          <w:highlight w:val="none"/>
          <w:u w:val="single"/>
        </w:rPr>
        <w:t xml:space="preserve">    </w:t>
      </w:r>
      <w:r>
        <w:rPr>
          <w:rFonts w:hint="eastAsia" w:hAnsi="宋体" w:cs="宋体"/>
          <w:color w:val="auto"/>
          <w:szCs w:val="21"/>
          <w:highlight w:val="none"/>
        </w:rPr>
        <w:t>日</w:t>
      </w:r>
      <w:r>
        <w:rPr>
          <w:rFonts w:hint="eastAsia" w:hAnsi="宋体" w:cs="宋体"/>
          <w:color w:val="auto"/>
          <w:szCs w:val="21"/>
          <w:highlight w:val="none"/>
          <w:u w:val="single"/>
        </w:rPr>
        <w:t xml:space="preserve">     </w:t>
      </w:r>
      <w:r>
        <w:rPr>
          <w:rFonts w:hint="eastAsia" w:hAnsi="宋体" w:cs="宋体"/>
          <w:color w:val="auto"/>
          <w:szCs w:val="21"/>
          <w:highlight w:val="none"/>
        </w:rPr>
        <w:t>时</w:t>
      </w:r>
      <w:r>
        <w:rPr>
          <w:rFonts w:hint="eastAsia" w:hAnsi="宋体" w:cs="宋体"/>
          <w:color w:val="auto"/>
          <w:szCs w:val="21"/>
          <w:highlight w:val="none"/>
          <w:u w:val="single"/>
        </w:rPr>
        <w:t xml:space="preserve">     </w:t>
      </w:r>
      <w:r>
        <w:rPr>
          <w:rFonts w:hint="eastAsia" w:hAnsi="宋体" w:cs="宋体"/>
          <w:color w:val="auto"/>
          <w:szCs w:val="21"/>
          <w:highlight w:val="none"/>
        </w:rPr>
        <w:t>分（规定的开标日期和时间）前不得起封；</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（7）供应商的名称：</w:t>
      </w:r>
      <w:r>
        <w:rPr>
          <w:rFonts w:hint="eastAsia" w:hAnsi="宋体" w:cs="宋体"/>
          <w:color w:val="auto"/>
          <w:szCs w:val="21"/>
          <w:highlight w:val="none"/>
          <w:u w:val="single"/>
        </w:rPr>
        <w:t xml:space="preserve">                   </w:t>
      </w:r>
      <w:r>
        <w:rPr>
          <w:rFonts w:hint="eastAsia" w:hAnsi="宋体" w:cs="宋体"/>
          <w:color w:val="auto"/>
          <w:szCs w:val="21"/>
          <w:highlight w:val="none"/>
        </w:rPr>
        <w:t>。</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2、供应商必须在包封上加盖投标供应商公章或由其法定代表人（或授权代表）签字。</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3、如果投标供应商未加写标记，采购人对投标文件的误投和提前启封不负责任。</w:t>
      </w:r>
    </w:p>
    <w:p>
      <w:pPr>
        <w:snapToGrid w:val="0"/>
        <w:spacing w:line="480" w:lineRule="exact"/>
        <w:ind w:firstLine="413" w:firstLineChars="196"/>
        <w:jc w:val="left"/>
        <w:outlineLvl w:val="0"/>
        <w:rPr>
          <w:rFonts w:hint="eastAsia" w:ascii="宋体" w:hAnsi="宋体" w:cs="宋体"/>
          <w:b/>
          <w:bCs/>
          <w:color w:val="auto"/>
          <w:szCs w:val="22"/>
          <w:highlight w:val="none"/>
        </w:rPr>
      </w:pPr>
      <w:r>
        <w:rPr>
          <w:rFonts w:hint="eastAsia" w:ascii="宋体" w:hAnsi="宋体" w:cs="宋体"/>
          <w:b/>
          <w:bCs/>
          <w:color w:val="auto"/>
          <w:szCs w:val="22"/>
          <w:highlight w:val="none"/>
        </w:rPr>
        <w:t>（八）投标文件的递交、补充和修改</w:t>
      </w:r>
    </w:p>
    <w:p>
      <w:pPr>
        <w:pStyle w:val="10"/>
        <w:snapToGrid w:val="0"/>
        <w:spacing w:line="480" w:lineRule="exact"/>
        <w:ind w:left="2" w:leftChars="1" w:firstLine="420" w:firstLineChars="200"/>
        <w:rPr>
          <w:rFonts w:hint="eastAsia" w:hAnsi="宋体" w:cs="宋体"/>
          <w:b/>
          <w:bCs/>
          <w:color w:val="auto"/>
          <w:szCs w:val="21"/>
          <w:highlight w:val="none"/>
        </w:rPr>
      </w:pPr>
      <w:r>
        <w:rPr>
          <w:rFonts w:hint="eastAsia" w:hAnsi="宋体" w:cs="宋体"/>
          <w:color w:val="auto"/>
          <w:szCs w:val="21"/>
          <w:highlight w:val="none"/>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文件，将被拒收。▲</w:t>
      </w:r>
      <w:r>
        <w:rPr>
          <w:rFonts w:hint="eastAsia" w:hAnsi="宋体" w:cs="宋体"/>
          <w:b/>
          <w:bCs/>
          <w:color w:val="auto"/>
          <w:szCs w:val="21"/>
          <w:highlight w:val="none"/>
        </w:rPr>
        <w:t>未传输递交电子投标文件的，投标无效。</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2、采购机构可以视情况延长投标文件提交的截止时间。在上述情况下，采购机构与投标人以前在投标截止期方面的全部权利、责任和义务，将适用于延长至新的投标截止期。</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3、采购人接受投标供应商标书时间：采用线上电子投标，线下不接受投标文件。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4、投标文件填写字迹必须清楚、工整，对不同文字文本投标文件的解释发生异议的，以中文文本为准。</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5、在开标后规定的投标有效期内，投标人不能撤销投标文件。</w:t>
      </w:r>
    </w:p>
    <w:p>
      <w:pPr>
        <w:snapToGrid w:val="0"/>
        <w:spacing w:line="480" w:lineRule="exact"/>
        <w:ind w:firstLine="413" w:firstLineChars="196"/>
        <w:outlineLvl w:val="2"/>
        <w:rPr>
          <w:rFonts w:hint="eastAsia" w:ascii="宋体" w:hAnsi="宋体" w:cs="宋体"/>
          <w:b/>
          <w:bCs/>
          <w:color w:val="auto"/>
          <w:highlight w:val="none"/>
        </w:rPr>
      </w:pPr>
      <w:r>
        <w:rPr>
          <w:rFonts w:hint="eastAsia" w:ascii="宋体" w:hAnsi="宋体" w:cs="宋体"/>
          <w:b/>
          <w:bCs/>
          <w:color w:val="auto"/>
          <w:highlight w:val="none"/>
        </w:rPr>
        <w:t>（九）投标无效的情形</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评审时如发现投标人存在下列情况之一的，投标无效：</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1、未按照招标文件的要求密封、签署、盖章的；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2、不具备招标文件中规定资格要求的；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3、报价超过招标文件中规定的预算金额或者最高限价的；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4、投标文件载明的招标项目完成期限超过招标文件规定的期限；</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5、带“▲”的款项不能满足招标文件要求的；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6、投标供应商在投标活动中提供任何虚假材料或从事其他违法活动的；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7、投标文件附有招标人不能接受的条件；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8、标项以赠送方式投标的，对一个标项提供两个投标方案的；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9、经评标委员会评审技术方案不可行的；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10、评委会一致认为报价明显不合理的；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11、违返公平竞争的原则或恶意串通或妨碍其他投标人的竞争行为或损害采购人或者其他投标人的合法权益的；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12、投标文件报价出现前后不一致，经按招标文件规定修正后，投标人对修正后的报价不确认的；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13、电子投标文件解密失败的；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14、不符合法律、法规和招标文件中规定的其他实质性要求的；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15、评审时如发现下列情形之一的，视为投标人串通投标，其投标无效：</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（1）不同投标人的投标文件由同一单位或者个人编制；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（2）不同投标人委托同一单位或者个人办理投标事宜；</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（3）不同投标人的投标文件载明的项目管理成员或者联系人员为同一人；</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（4）不同投标人的投标文件异常一致或者投标报价呈规律性差异；</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（5）不同投标人的投标文件相互混装；</w:t>
      </w:r>
    </w:p>
    <w:p>
      <w:pPr>
        <w:pStyle w:val="3"/>
        <w:snapToGrid w:val="0"/>
        <w:spacing w:line="480" w:lineRule="exact"/>
        <w:ind w:firstLine="0"/>
        <w:outlineLvl w:val="1"/>
        <w:rPr>
          <w:rFonts w:hint="eastAsia" w:ascii="宋体" w:hAnsi="宋体" w:cs="宋体"/>
          <w:b/>
          <w:bCs/>
          <w:snapToGrid w:val="0"/>
          <w:color w:val="auto"/>
          <w:sz w:val="21"/>
          <w:szCs w:val="21"/>
          <w:highlight w:val="none"/>
        </w:rPr>
      </w:pPr>
      <w:r>
        <w:rPr>
          <w:rFonts w:hint="eastAsia" w:ascii="宋体" w:hAnsi="宋体" w:cs="宋体"/>
          <w:b/>
          <w:bCs/>
          <w:color w:val="auto"/>
          <w:sz w:val="21"/>
          <w:szCs w:val="21"/>
          <w:highlight w:val="none"/>
        </w:rPr>
        <w:t>五、开标</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（一）开标准备</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采购人在招标文件规定的时间和地点公开开标，邀请投标人参加，投标人未参加开标的，视同认可开标结果。</w:t>
      </w:r>
      <w:r>
        <w:rPr>
          <w:rFonts w:hint="eastAsia" w:hAnsi="宋体" w:cs="宋体"/>
          <w:b/>
          <w:bCs/>
          <w:color w:val="auto"/>
          <w:szCs w:val="21"/>
          <w:highlight w:val="none"/>
        </w:rPr>
        <w:t>疫情防控期间，不要求投标人员必须到场参加现场开标，若投标人员需参加现场开标，应全程佩戴口罩等防护用具，自觉接受体温检测、接受疫情询问，并如实报告相关情况。请各投标人员遵守慈溪市公共资源交易中心各项防疫措施规定。</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（二） 开标程序</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电子招投标开标及评审程序</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1、投标截止时间后，供应商登录政采云平台，用“项目采购-开标评标”功能对电子投标文件进行在线解密。</w:t>
      </w:r>
      <w:r>
        <w:rPr>
          <w:rFonts w:hint="eastAsia" w:hAnsi="宋体" w:cs="宋体"/>
          <w:b/>
          <w:bCs/>
          <w:color w:val="auto"/>
          <w:szCs w:val="21"/>
          <w:highlight w:val="none"/>
        </w:rPr>
        <w:t>在线解密电子投标文件时间为开标时间起30分钟内。</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2、采购人或代理机构对供应商的资格进行审查；</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3、评标委员会对商务技术响应文件进行评审；</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4、在系统上公开资格和商务技术评审结果；</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5、在系统上公开报价开标情况；</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6、评标委员会对报价情况进行评审；</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7、在系统上公布评审结果；</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特别说明：政采云公司如对电子化开标及评审程序有调整的，按调整后的程序操作。</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8、本项目原则上采用政采云电子招投标开标及评审程序，但有下情形之一的，按以下情况处理：</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（1）若供应商在规定时间内无法解密或解密失败，招标人将开启所有供应商递交的以介质存储的数据电文形式的备份投标文件，上传至政采云平台项目采购模块，以完成开标，电子投标文件自动失效。</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（2）若因政采云平台原因无法读取或电子开评标无法正常进行，采购人将中止电子交易活动。</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（3）采购过程中出现以下情形，导致电子交易平台无法正常运行，或者无法保证电子交易的公平、公正和安全时，采购组织机构可中止电子交易活动：</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 xml:space="preserve">①电子交易平台发生故障而无法登录访问的； </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②电子交易平台应用或数据库出现错误，不能进行正常操作的；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③电子交易平台发现严重安全漏洞，有潜在泄密危险的；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 xml:space="preserve">④病毒发作导致不能进行正常操作的； </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 xml:space="preserve">⑤其他无法保证电子交易的公平、公正和安全的情况。 </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出现前款规定情形，不影响采购公平、公正性的，采购组织机构可以待上述情形消除后继续组织电子交易活动。</w:t>
      </w:r>
    </w:p>
    <w:p>
      <w:pPr>
        <w:pStyle w:val="10"/>
        <w:snapToGrid w:val="0"/>
        <w:spacing w:line="480" w:lineRule="exact"/>
        <w:outlineLvl w:val="1"/>
        <w:rPr>
          <w:rFonts w:hint="eastAsia" w:hAnsi="宋体" w:cs="宋体"/>
          <w:b/>
          <w:bCs/>
          <w:color w:val="auto"/>
          <w:szCs w:val="21"/>
          <w:highlight w:val="none"/>
        </w:rPr>
      </w:pPr>
      <w:r>
        <w:rPr>
          <w:rFonts w:hint="eastAsia" w:hAnsi="宋体" w:cs="宋体"/>
          <w:b/>
          <w:bCs/>
          <w:color w:val="auto"/>
          <w:szCs w:val="21"/>
          <w:highlight w:val="none"/>
        </w:rPr>
        <w:t>六、评标</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（一）组建评标委员会</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采购人依据《中华人民共和国政府采购法》、《政府采购货物和服务招标投标管理办法》等有关规定组建评标委员会。评标委员会由采购人代表和专家组成，负责本项目的评标工作。</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（二）评标的方式</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本项目采用不公开方式评标，评标的依据为招标文件和投标文件。</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（三）组织评标程序</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采购代理机构将按照招标文件规定的时间、地点和程序组织评标，各评审专家及相关人员应参加评审活动并接受核验、签到，无关人员不得进入评审现场。</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1、核验出席评审活动现场的评审小组各成员和相关监督人员身份，并要求其分别登记、签到，按规定统一收缴、保存其通讯工具，无关人员一律拒绝其进入评审现场。</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2、介绍评审现场的人员情况，宣布评审工作纪律，告知评审人员应当回避情形；组织推选评审小组组长。</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3、宣读提交投标文件的供应商名单，组织评审小组各位成员签订《政府采购评审人员廉洁自律承诺书》。</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评审小组组长组织评审人员独立评审。评审小组对拟认定为投标文件无效、供应商资格不符合的，应组织相关供应商代表进行陈述、澄清或申辩；采购代理机构可协助评审小组组长对打分结果进行校对、核对并汇总统计；对明显畸高、畸低的评分，评审小组组长应提醒相关评审人员进行复核或书面说明理由，评审人员拒绝说明的，由现场监督员据实记录；评审人员的评审、修改记录应保留原件，随项目其他资料一并存档。</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6、做好评审现场相关记录，协助评审小组组长做好评审报告起草、有关内容电脑文字录入等工作，并要求评审小组各成员签字确认。</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7、评审结束后，采购代理机构应对评审小组各成员的专业水平、职业道德、遵纪守法等情况进行评价；同时按规定向评审专家发放评审费，并交还评审人员及其他现场相关人员的通讯工具。</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（四）评标委员评审程序</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1、在评审专家中推选评审小组组长。</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3、评审人员对各供应商投标文件的有效性、完整性和响应程度进行审查，确定是否对招标文件作出实质性响应。</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4、评审人员按招标文件规定的评审方法和评审标准，依法独立对供应商投标文件进行评估、比较，并给予评价或打分，不受任何单位和个人的干预。</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评审人员对各供应商投标文件非实质性内容有疑议或异议，或者审查发现明显的文字或计算错误等，及时向评审小组组长提出。经评审小组商议认为需要供应商作出必要澄清或说明的，应通知该供应商以书面形式作出澄清或说明。书面通知及澄清说明文件应作为政府采购项目档案归档留存。</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评审人员需对采购代理机构工作人员唱票或统计的评审结果进行确认，现场监督员应对评审结果签署监督意见。如发现分值汇总计算错误、分项评分超出评分标准范围、客观评分不一致情形的，应由相关人员当场改正或作出说明；拒不改正又不作说明的，由现场监督员如实记载后存入项目档案资料。</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7、评审小组根据评审汇总情况和招标文件规定确定中标候选供应商排序名单。</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8、起草评审报告，所有评审人员须在评审报告上签字确认。</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（五）错误修正</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投标文件如果出现计算或表达上的错误，修正错误的原则如下：</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1、投标文件中开标一览表内容与投标文件中分项报价表内容不一致的，以开标一览表为准；</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2、投标文件的大写金额和小写金额不一致的，以大写金额为准；</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3、单价金额小数点有明显错位的，应以总价为准，并修改单价；</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4、总价金额与按单价汇总金额不一致的，以单价金额计算结果为准。</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（六）评标原则和评标办法</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4、评标办法。本项目评标办法详见《第四章：评标办法及评分标准》。</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（七）评标过程的监控</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本项目评标过程实行全程录音、录像监控，投标人在评标过程中所进行的试图影响评标结果的不公正活动，可能导致其投标被拒绝。</w:t>
      </w:r>
    </w:p>
    <w:p>
      <w:pPr>
        <w:pStyle w:val="10"/>
        <w:snapToGrid w:val="0"/>
        <w:spacing w:line="480" w:lineRule="exact"/>
        <w:rPr>
          <w:rFonts w:hint="eastAsia" w:hAnsi="宋体" w:cs="宋体"/>
          <w:b/>
          <w:bCs/>
          <w:color w:val="auto"/>
          <w:szCs w:val="21"/>
          <w:highlight w:val="none"/>
        </w:rPr>
      </w:pPr>
      <w:r>
        <w:rPr>
          <w:rFonts w:hint="eastAsia" w:hAnsi="宋体" w:cs="宋体"/>
          <w:b/>
          <w:bCs/>
          <w:color w:val="auto"/>
          <w:szCs w:val="21"/>
          <w:highlight w:val="none"/>
        </w:rPr>
        <w:t>七、采购方式变更</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至投标截止时间或在评审期间，出现参与投标或者对招标文件作出实质性响应的供应商不足3家的情况，招标采购单位有权全部或部分终止招标。经相关政府采购管理部门批准，招标采购单位可以按照原招标文件确定的采购方式进行，或者改用竞争性谈判或者单一来源方式采购。</w:t>
      </w:r>
    </w:p>
    <w:p>
      <w:pPr>
        <w:pStyle w:val="10"/>
        <w:snapToGrid w:val="0"/>
        <w:spacing w:line="480" w:lineRule="exact"/>
        <w:rPr>
          <w:rFonts w:hint="eastAsia" w:hAnsi="宋体" w:cs="宋体"/>
          <w:b/>
          <w:bCs/>
          <w:color w:val="auto"/>
          <w:szCs w:val="21"/>
          <w:highlight w:val="none"/>
        </w:rPr>
      </w:pPr>
      <w:r>
        <w:rPr>
          <w:rFonts w:hint="eastAsia" w:hAnsi="宋体" w:cs="宋体"/>
          <w:b/>
          <w:bCs/>
          <w:color w:val="auto"/>
          <w:szCs w:val="21"/>
          <w:highlight w:val="none"/>
        </w:rPr>
        <w:t>八、中标</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1、采购代理机构应当在评标结束后2个工作日内将评标报告送采购人。</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3、采购人自行组织招标的，应当在评标结束后5个工作日内确定中标人。</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4、采购人在收到评标报告5个工作日内未按评标报告推荐的中标候选人顺序确定中标人，又不能说明合法理由的，视同按评标报告推荐的顺序确定排名第一的中标候选人为中标人。</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5、采购人或者采购代理机构应当自中标人确定之日起2个工作日内，在省级以上财政部门指定的媒体上公告中标结果。</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6、中标公告期限为1个工作日。</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8、在公告中标结果的同时，采购人或者采购代理机构应当向中标人发出中标通知书.。</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9、中标通知书发出后，采购人不得违法改变中标结果，中标人无正当理由不得放弃中标。</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10、若中标人被投诉有效以及其他原因导致中标无效，或者拒不签订合同的，采购人将在评标委员会推荐的中标候选人中确定排名其次的中标候选人为本项目的中标人或重新招标。</w:t>
      </w:r>
    </w:p>
    <w:p>
      <w:pPr>
        <w:pStyle w:val="10"/>
        <w:snapToGrid w:val="0"/>
        <w:spacing w:line="480" w:lineRule="exact"/>
        <w:rPr>
          <w:rFonts w:hint="eastAsia" w:hAnsi="宋体" w:cs="宋体"/>
          <w:b/>
          <w:bCs/>
          <w:color w:val="auto"/>
          <w:szCs w:val="21"/>
          <w:highlight w:val="none"/>
        </w:rPr>
      </w:pPr>
      <w:r>
        <w:rPr>
          <w:rFonts w:hint="eastAsia" w:hAnsi="宋体" w:cs="宋体"/>
          <w:b/>
          <w:bCs/>
          <w:color w:val="auto"/>
          <w:szCs w:val="21"/>
          <w:highlight w:val="none"/>
        </w:rPr>
        <w:t>九、合同授予</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（一）签订合同</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2、采购人不得向中标人提出任何不合理的要求作为签订合同的条件。</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3、采购人与中标人应当根据合同的约定依法履行合同义务。</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4、政府采购合同的履行、违约责任和解决争议的方法等适用《中华人民共和国合同法》。</w:t>
      </w:r>
    </w:p>
    <w:p>
      <w:pPr>
        <w:pStyle w:val="10"/>
        <w:snapToGrid w:val="0"/>
        <w:spacing w:line="480" w:lineRule="exact"/>
        <w:ind w:left="2" w:leftChars="1" w:firstLine="422" w:firstLineChars="200"/>
        <w:rPr>
          <w:rFonts w:hint="eastAsia" w:hAnsi="宋体" w:cs="宋体"/>
          <w:b/>
          <w:bCs/>
          <w:color w:val="auto"/>
          <w:szCs w:val="21"/>
          <w:highlight w:val="none"/>
        </w:rPr>
      </w:pPr>
      <w:r>
        <w:rPr>
          <w:rFonts w:hint="eastAsia" w:hAnsi="宋体" w:cs="宋体"/>
          <w:b/>
          <w:bCs/>
          <w:color w:val="auto"/>
          <w:szCs w:val="21"/>
          <w:highlight w:val="none"/>
        </w:rPr>
        <w:t>（二）履约保证金</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1.中标人应根据招标文件确定的履约保证金的金额，向采购人交纳履约保证金。并保证按照投标承诺及时签订合同并履约，若违背承诺，接受在政府采购指定媒体上公告曝光处理并按约定承但违约责任。</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2.签订合同后，如中标人不按双方合同约定履约，则没收其全部履约保证金，履约保证金不足以赔偿损失的，按实际损失赔偿。</w:t>
      </w:r>
    </w:p>
    <w:p>
      <w:pPr>
        <w:pStyle w:val="10"/>
        <w:snapToGrid w:val="0"/>
        <w:spacing w:line="480" w:lineRule="exact"/>
        <w:rPr>
          <w:rFonts w:hint="eastAsia" w:hAnsi="宋体" w:cs="宋体"/>
          <w:b/>
          <w:bCs/>
          <w:color w:val="auto"/>
          <w:szCs w:val="21"/>
          <w:highlight w:val="none"/>
        </w:rPr>
      </w:pPr>
      <w:r>
        <w:rPr>
          <w:rFonts w:hint="eastAsia" w:hAnsi="宋体" w:cs="宋体"/>
          <w:b/>
          <w:bCs/>
          <w:color w:val="auto"/>
          <w:szCs w:val="21"/>
          <w:highlight w:val="none"/>
        </w:rPr>
        <w:t>十、特别说明</w:t>
      </w:r>
    </w:p>
    <w:p>
      <w:pPr>
        <w:spacing w:line="380" w:lineRule="exact"/>
        <w:ind w:firstLine="420" w:firstLineChars="200"/>
        <w:rPr>
          <w:rFonts w:hint="eastAsia" w:ascii="宋体" w:hAnsi="宋体" w:cs="宋体"/>
          <w:color w:val="auto"/>
          <w:szCs w:val="21"/>
          <w:highlight w:val="none"/>
          <w:lang w:bidi="ar"/>
        </w:rPr>
      </w:pPr>
      <w:bookmarkStart w:id="6" w:name="_Toc441316546"/>
      <w:bookmarkStart w:id="7" w:name="_Toc436408700"/>
      <w:bookmarkStart w:id="8" w:name="_Toc419729150"/>
      <w:r>
        <w:rPr>
          <w:rFonts w:hint="eastAsia" w:ascii="宋体" w:hAnsi="宋体" w:cs="宋体"/>
          <w:color w:val="auto"/>
          <w:szCs w:val="21"/>
          <w:highlight w:val="none"/>
          <w:lang w:bidi="ar"/>
        </w:rPr>
        <w:t>1、执行财政部、工业和信息化部《政府采购促进中小企业发展管理办法》（财库〔2020〕46号）。政府采购活动中有关中小企业的相关规定如下：</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符合中小企业划分标准的个体工商户，在政府采购活动中视同中小企业。</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（2）在政府采购活动中，供应商提供的货物、工程或者服务符合下列情形的，享受《政府采购促进中小企业发展管理办法》规定的中小企业扶持政策：</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①在货物采购项目中，货物由中小企业制造，即货物由中小企业生产且使用该中小企业商号或者注册商标；</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②在工程采购项目中，工程由中小企业承建，即工程施工单位为中小企业；</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③在服务采购项目中，服务由中小企业承接，即提供服务的人员为中小企业依照《中华人民共和国劳动合同法》订立劳动合同的从业人员。</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在货物采购项目中，供应商提供的货物既有中小企业制造货物，也有大型企业制造货物的，不享受《政府采购促进中小企业发展管理办法》规定的中小企业扶持政策。</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以联合体形式参加政府采购活动，联合体各方均为中小企业的，联合体视同中小企业。其中，联合体各方均为小微企业的，联合体视同小微企业。</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（3）中小企业参加政府采购活动，应当出具《政府采购促进中小企业发展管理办法》规定的《中小企业声明函》（格式见第七章），否则不得享受相关中小企业扶持政策。</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供应商提供声明函内容不实的，属于提供虚假材料谋取中标、成交，依照《中华人民共和国政府采购法》等国家有关规定追究相应责任。</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适用招标投标法的政府采购工程建设项目，投标人提供声明函内容不实的，属于弄虚作假骗取中标，依照《中华人民共和国招标投标法》等国家有关规定追究相应责任。</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（5）《中小企业声明函》由参加投标的供应商提交，如供应商为代理商，须自行采集制造商的中小企业划分类型信息填入相应栏目并对其真实性负责。</w:t>
      </w:r>
    </w:p>
    <w:bookmarkEnd w:id="6"/>
    <w:bookmarkEnd w:id="7"/>
    <w:bookmarkEnd w:id="8"/>
    <w:p>
      <w:pPr>
        <w:pStyle w:val="10"/>
        <w:snapToGrid w:val="0"/>
        <w:spacing w:line="480" w:lineRule="exact"/>
        <w:ind w:left="2" w:leftChars="1" w:firstLine="420" w:firstLineChars="200"/>
        <w:rPr>
          <w:rFonts w:hint="eastAsia" w:hAnsi="宋体" w:cs="宋体"/>
          <w:color w:val="auto"/>
          <w:szCs w:val="21"/>
          <w:highlight w:val="none"/>
        </w:rPr>
      </w:pPr>
      <w:bookmarkStart w:id="9" w:name="_Toc495244277"/>
      <w:r>
        <w:rPr>
          <w:rFonts w:hint="eastAsia" w:hAnsi="宋体" w:cs="宋体"/>
          <w:color w:val="auto"/>
          <w:szCs w:val="21"/>
          <w:highlight w:val="none"/>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9"/>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4、</w:t>
      </w:r>
      <w:bookmarkStart w:id="10" w:name="_Toc419729158"/>
      <w:r>
        <w:rPr>
          <w:rFonts w:hint="eastAsia" w:hAnsi="宋体" w:cs="宋体"/>
          <w:color w:val="auto"/>
          <w:szCs w:val="21"/>
          <w:highlight w:val="none"/>
        </w:rPr>
        <w:t>本项目不组织潜在供应商现场考察或者召开开标前答疑。</w:t>
      </w:r>
    </w:p>
    <w:p>
      <w:pPr>
        <w:pStyle w:val="10"/>
        <w:snapToGrid w:val="0"/>
        <w:spacing w:line="48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5、本文件未及事项，在签订合同时供需及使用方友好商定。</w:t>
      </w:r>
      <w:bookmarkEnd w:id="10"/>
    </w:p>
    <w:p>
      <w:pPr>
        <w:pStyle w:val="10"/>
        <w:snapToGrid w:val="0"/>
        <w:spacing w:line="480" w:lineRule="exact"/>
        <w:ind w:left="2" w:leftChars="1" w:firstLine="420" w:firstLineChars="200"/>
        <w:rPr>
          <w:rFonts w:hint="eastAsia" w:hAnsi="宋体" w:cs="宋体"/>
          <w:color w:val="auto"/>
          <w:szCs w:val="21"/>
          <w:highlight w:val="none"/>
        </w:rPr>
      </w:pPr>
      <w:bookmarkStart w:id="11" w:name="_Toc419729159"/>
      <w:r>
        <w:rPr>
          <w:rFonts w:hint="eastAsia" w:hAnsi="宋体" w:cs="宋体"/>
          <w:color w:val="auto"/>
          <w:szCs w:val="21"/>
          <w:highlight w:val="none"/>
        </w:rPr>
        <w:t>6、招标文件的解释权属于采购人和招标代理机构。</w:t>
      </w:r>
      <w:bookmarkEnd w:id="11"/>
    </w:p>
    <w:p>
      <w:pPr>
        <w:spacing w:line="360" w:lineRule="auto"/>
        <w:jc w:val="center"/>
        <w:outlineLvl w:val="0"/>
        <w:rPr>
          <w:rFonts w:hint="eastAsia" w:ascii="宋体" w:hAnsi="宋体" w:cs="宋体"/>
          <w:b/>
          <w:color w:val="auto"/>
          <w:spacing w:val="-2"/>
          <w:sz w:val="28"/>
          <w:szCs w:val="36"/>
          <w:highlight w:val="none"/>
        </w:rPr>
      </w:pPr>
      <w:r>
        <w:rPr>
          <w:rFonts w:hint="eastAsia" w:ascii="宋体" w:hAnsi="宋体" w:cs="宋体"/>
          <w:color w:val="auto"/>
          <w:szCs w:val="21"/>
          <w:highlight w:val="none"/>
          <w:lang w:bidi="ar"/>
        </w:rPr>
        <w:br w:type="page"/>
      </w:r>
      <w:bookmarkStart w:id="12" w:name="_Toc11796_WPSOffice_Level1"/>
      <w:bookmarkStart w:id="13" w:name="_Toc3932_WPSOffice_Level1"/>
      <w:r>
        <w:rPr>
          <w:rStyle w:val="49"/>
          <w:rFonts w:hint="eastAsia" w:ascii="宋体" w:hAnsi="宋体" w:cs="宋体"/>
          <w:color w:val="auto"/>
          <w:sz w:val="32"/>
          <w:szCs w:val="32"/>
          <w:highlight w:val="none"/>
        </w:rPr>
        <w:t>第四章  评分办法及标准</w:t>
      </w:r>
      <w:bookmarkEnd w:id="12"/>
      <w:bookmarkEnd w:id="13"/>
    </w:p>
    <w:p>
      <w:pPr>
        <w:adjustRightInd w:val="0"/>
        <w:snapToGrid w:val="0"/>
        <w:spacing w:line="480" w:lineRule="exact"/>
        <w:jc w:val="center"/>
        <w:rPr>
          <w:rFonts w:hint="eastAsia" w:ascii="宋体" w:hAnsi="宋体" w:cs="宋体"/>
          <w:color w:val="auto"/>
          <w:highlight w:val="none"/>
        </w:rPr>
      </w:pPr>
      <w:r>
        <w:rPr>
          <w:rFonts w:hint="eastAsia" w:ascii="宋体" w:hAnsi="宋体" w:cs="宋体"/>
          <w:color w:val="auto"/>
          <w:highlight w:val="none"/>
        </w:rPr>
        <w:t>（综合评分法）</w:t>
      </w:r>
    </w:p>
    <w:p>
      <w:pPr>
        <w:widowControl/>
        <w:spacing w:line="48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本办法严格遵照《中华人民共和国政府采购法》、《政府采购货物和服务招标投标管理办法》、《宁波市政府采购招标采购方式暂行实施规程》，结合项目所在地政府有关政府采购规定和项目的实际情况制定。</w:t>
      </w:r>
    </w:p>
    <w:p>
      <w:pPr>
        <w:widowControl/>
        <w:spacing w:line="480" w:lineRule="exact"/>
        <w:jc w:val="left"/>
        <w:rPr>
          <w:rFonts w:hint="eastAsia" w:ascii="宋体" w:hAnsi="宋体" w:cs="宋体"/>
          <w:b/>
          <w:bCs/>
          <w:color w:val="auto"/>
          <w:highlight w:val="none"/>
        </w:rPr>
      </w:pPr>
      <w:r>
        <w:rPr>
          <w:rFonts w:hint="eastAsia" w:ascii="宋体" w:hAnsi="宋体" w:cs="宋体"/>
          <w:b/>
          <w:bCs/>
          <w:color w:val="auto"/>
          <w:highlight w:val="none"/>
        </w:rPr>
        <w:t>一、总则</w:t>
      </w:r>
    </w:p>
    <w:p>
      <w:pPr>
        <w:widowControl/>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1、招标活动遵循公平、公正、科学、择优的原则依法进行，招标活动及当事人接受依法实施的监督。</w:t>
      </w:r>
    </w:p>
    <w:p>
      <w:pPr>
        <w:widowControl/>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2、综合评分法评，采用百分制，总分100分。供应商的综合得分为商务和技术得分与报价得分之和。按综合得分由高到低的排序，推荐中标候选人。若供应商的综合得分相等，则投标报价低者列前；若投标报价也相同时，采取随机抽签的方式确定排序。</w:t>
      </w:r>
    </w:p>
    <w:p>
      <w:pPr>
        <w:widowControl/>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3、本项目需要落实的政府采购政策：《关于促进残疾人就业政府采购政策的通知》（财库[2017]141号）、</w:t>
      </w:r>
      <w:r>
        <w:rPr>
          <w:rFonts w:hint="eastAsia" w:ascii="宋体" w:hAnsi="宋体" w:cs="宋体"/>
          <w:color w:val="auto"/>
          <w:szCs w:val="22"/>
          <w:highlight w:val="none"/>
          <w:lang w:eastAsia="zh-CN"/>
        </w:rPr>
        <w:t>《政府采购促进中小企业发展管理办法》</w:t>
      </w:r>
      <w:r>
        <w:rPr>
          <w:rFonts w:hint="eastAsia" w:ascii="宋体" w:hAnsi="宋体" w:cs="宋体"/>
          <w:color w:val="auto"/>
          <w:szCs w:val="22"/>
          <w:highlight w:val="none"/>
        </w:rPr>
        <w:t>（</w:t>
      </w:r>
      <w:r>
        <w:rPr>
          <w:rFonts w:hint="eastAsia" w:ascii="宋体" w:hAnsi="宋体" w:cs="宋体"/>
          <w:color w:val="auto"/>
          <w:szCs w:val="22"/>
          <w:highlight w:val="none"/>
          <w:lang w:eastAsia="zh-CN"/>
        </w:rPr>
        <w:t>财库〔2020〕46号</w:t>
      </w:r>
      <w:r>
        <w:rPr>
          <w:rFonts w:hint="eastAsia" w:ascii="宋体" w:hAnsi="宋体" w:cs="宋体"/>
          <w:color w:val="auto"/>
          <w:szCs w:val="22"/>
          <w:highlight w:val="none"/>
        </w:rPr>
        <w:t>）、《关于政府采购支持监狱企业发展有关问题的通知》（财库[2014]68号）。</w:t>
      </w:r>
    </w:p>
    <w:p>
      <w:pPr>
        <w:widowControl/>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4、本次采购为非专门面向中小企业，本次评标将对符合小微企业的价格给予6%的扣除，用扣除后的价格参与评审。价格扣除只用于评审过程，如中标，中标价格仍按照其投标价格进行公示。</w:t>
      </w:r>
    </w:p>
    <w:p>
      <w:pPr>
        <w:widowControl/>
        <w:spacing w:line="480" w:lineRule="exact"/>
        <w:ind w:firstLine="420" w:firstLineChars="200"/>
        <w:jc w:val="left"/>
        <w:rPr>
          <w:rFonts w:hint="eastAsia" w:ascii="宋体" w:hAnsi="宋体" w:cs="宋体"/>
          <w:color w:val="auto"/>
          <w:szCs w:val="22"/>
          <w:highlight w:val="none"/>
        </w:rPr>
      </w:pPr>
      <w:r>
        <w:rPr>
          <w:rFonts w:hint="eastAsia" w:ascii="宋体" w:hAnsi="宋体" w:cs="宋体"/>
          <w:color w:val="auto"/>
          <w:szCs w:val="22"/>
          <w:highlight w:val="none"/>
        </w:rPr>
        <w:t>5、评标委员会成员对需要共同认定的事项存在争议的，应当按照少数服从多数的原则作出结论。</w:t>
      </w:r>
    </w:p>
    <w:p>
      <w:pPr>
        <w:widowControl/>
        <w:spacing w:line="480" w:lineRule="exact"/>
        <w:jc w:val="left"/>
        <w:rPr>
          <w:rFonts w:hint="eastAsia" w:ascii="宋体" w:hAnsi="宋体" w:cs="宋体"/>
          <w:b/>
          <w:bCs/>
          <w:color w:val="auto"/>
          <w:highlight w:val="none"/>
        </w:rPr>
      </w:pPr>
      <w:r>
        <w:rPr>
          <w:rFonts w:hint="eastAsia" w:ascii="宋体" w:hAnsi="宋体" w:cs="宋体"/>
          <w:b/>
          <w:bCs/>
          <w:color w:val="auto"/>
          <w:highlight w:val="none"/>
        </w:rPr>
        <w:t>二、评标过程</w:t>
      </w:r>
    </w:p>
    <w:p>
      <w:pPr>
        <w:spacing w:line="480" w:lineRule="exact"/>
        <w:ind w:firstLine="422" w:firstLineChars="200"/>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1、资格审查文件评审</w:t>
      </w:r>
    </w:p>
    <w:p>
      <w:pPr>
        <w:spacing w:line="4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资格性审查是指采购人或代理机构根据“附表1资格审查表”的要求对投标文件逐一进行评审。</w:t>
      </w:r>
      <w:r>
        <w:rPr>
          <w:rFonts w:hint="eastAsia" w:ascii="宋体" w:hAnsi="宋体" w:cs="宋体"/>
          <w:b/>
          <w:color w:val="auto"/>
          <w:szCs w:val="21"/>
          <w:highlight w:val="none"/>
          <w:lang w:bidi="ar"/>
        </w:rPr>
        <w:t>资格性审查中，有任意一项审查结论不合格的，作无效标处理。</w:t>
      </w:r>
    </w:p>
    <w:p>
      <w:pPr>
        <w:spacing w:line="480" w:lineRule="exact"/>
        <w:ind w:firstLine="422" w:firstLineChars="200"/>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2、商务技术文件评审：</w:t>
      </w:r>
    </w:p>
    <w:p>
      <w:pPr>
        <w:spacing w:line="4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2.1商务技术文件符合性审查：评标委员会根据“附表2商务技术文件符合性审查表”的要求对投标文件逐一进行评审。</w:t>
      </w:r>
      <w:r>
        <w:rPr>
          <w:rFonts w:hint="eastAsia" w:ascii="宋体" w:hAnsi="宋体" w:cs="宋体"/>
          <w:b/>
          <w:color w:val="auto"/>
          <w:szCs w:val="21"/>
          <w:highlight w:val="none"/>
          <w:lang w:bidi="ar"/>
        </w:rPr>
        <w:t>商务技术文件符合性审查中，有任意一项审查结论不合格的，作无效标处理。</w:t>
      </w:r>
    </w:p>
    <w:p>
      <w:pPr>
        <w:spacing w:line="480" w:lineRule="exact"/>
        <w:ind w:firstLine="420" w:firstLineChars="200"/>
        <w:jc w:val="left"/>
        <w:rPr>
          <w:rFonts w:hint="eastAsia" w:ascii="宋体" w:hAnsi="宋体" w:cs="宋体"/>
          <w:color w:val="auto"/>
          <w:szCs w:val="21"/>
          <w:highlight w:val="none"/>
          <w:lang w:val="zh-CN"/>
        </w:rPr>
      </w:pPr>
      <w:r>
        <w:rPr>
          <w:rFonts w:hint="eastAsia" w:ascii="宋体" w:hAnsi="宋体" w:cs="宋体"/>
          <w:color w:val="auto"/>
          <w:szCs w:val="21"/>
          <w:highlight w:val="none"/>
          <w:lang w:bidi="ar"/>
        </w:rPr>
        <w:t>2.2</w:t>
      </w:r>
      <w:r>
        <w:rPr>
          <w:rFonts w:hint="eastAsia" w:ascii="宋体" w:hAnsi="宋体" w:cs="宋体"/>
          <w:color w:val="auto"/>
          <w:szCs w:val="21"/>
          <w:highlight w:val="none"/>
          <w:lang w:val="zh-CN" w:bidi="ar"/>
        </w:rPr>
        <w:t>比较与评价：</w:t>
      </w:r>
      <w:r>
        <w:rPr>
          <w:rFonts w:hint="eastAsia" w:ascii="宋体" w:hAnsi="宋体" w:cs="宋体"/>
          <w:color w:val="auto"/>
          <w:szCs w:val="21"/>
          <w:highlight w:val="none"/>
          <w:lang w:bidi="ar"/>
        </w:rPr>
        <w:t>评标委员会根据“附表3商务技术评分表”的要求，</w:t>
      </w:r>
      <w:r>
        <w:rPr>
          <w:rFonts w:hint="eastAsia" w:ascii="宋体" w:hAnsi="宋体" w:cs="宋体"/>
          <w:color w:val="auto"/>
          <w:szCs w:val="21"/>
          <w:highlight w:val="none"/>
          <w:lang w:val="zh-CN" w:bidi="ar"/>
        </w:rPr>
        <w:t>对照投标文件的应答进行比较，判定其偏差性质和程度，</w:t>
      </w:r>
      <w:r>
        <w:rPr>
          <w:rFonts w:hint="eastAsia" w:ascii="宋体" w:hAnsi="宋体" w:cs="宋体"/>
          <w:color w:val="auto"/>
          <w:szCs w:val="21"/>
          <w:highlight w:val="none"/>
          <w:lang w:bidi="ar"/>
        </w:rPr>
        <w:t>由评标委员会成员在分值范围内自行评分</w:t>
      </w:r>
      <w:r>
        <w:rPr>
          <w:rFonts w:hint="eastAsia" w:ascii="宋体" w:hAnsi="宋体" w:cs="宋体"/>
          <w:color w:val="auto"/>
          <w:szCs w:val="21"/>
          <w:highlight w:val="none"/>
          <w:lang w:val="zh-CN" w:bidi="ar"/>
        </w:rPr>
        <w:t>。</w:t>
      </w:r>
      <w:r>
        <w:rPr>
          <w:rFonts w:hint="eastAsia" w:ascii="宋体" w:hAnsi="宋体" w:cs="宋体"/>
          <w:color w:val="auto"/>
          <w:highlight w:val="none"/>
        </w:rPr>
        <w:t>评委打分参照：评分标准。评委打分采用记名方式进行独立打分，汇总所有评委会成员评分取算术平均值（小数点后保留二位数）为该投标人的商务技术得分。</w:t>
      </w:r>
    </w:p>
    <w:p>
      <w:pPr>
        <w:spacing w:line="480" w:lineRule="exact"/>
        <w:ind w:firstLine="420" w:firstLineChars="200"/>
        <w:jc w:val="left"/>
        <w:rPr>
          <w:rFonts w:hint="eastAsia" w:ascii="宋体" w:hAnsi="宋体" w:cs="宋体"/>
          <w:color w:val="auto"/>
          <w:szCs w:val="21"/>
          <w:highlight w:val="none"/>
          <w:lang w:val="zh-CN" w:bidi="ar"/>
        </w:rPr>
      </w:pPr>
      <w:r>
        <w:rPr>
          <w:rFonts w:hint="eastAsia" w:ascii="宋体" w:hAnsi="宋体" w:cs="宋体"/>
          <w:color w:val="auto"/>
          <w:szCs w:val="21"/>
          <w:highlight w:val="none"/>
          <w:lang w:bidi="ar"/>
        </w:rPr>
        <w:t>2.3</w:t>
      </w:r>
      <w:r>
        <w:rPr>
          <w:rFonts w:hint="eastAsia" w:ascii="宋体" w:hAnsi="宋体" w:cs="宋体"/>
          <w:color w:val="auto"/>
          <w:szCs w:val="21"/>
          <w:highlight w:val="none"/>
          <w:lang w:val="zh-CN" w:bidi="ar"/>
        </w:rPr>
        <w:t>采购代理机构可协助评标委员会组长对打分结果进行校对、核对并汇总统计；评标委员会成员的评审、修改记录应保留原件，随项目其他资料一并存档。</w:t>
      </w:r>
    </w:p>
    <w:p>
      <w:pPr>
        <w:spacing w:line="480" w:lineRule="exact"/>
        <w:ind w:firstLine="422" w:firstLineChars="200"/>
        <w:jc w:val="left"/>
        <w:rPr>
          <w:rFonts w:hint="eastAsia" w:ascii="宋体" w:hAnsi="宋体" w:cs="宋体"/>
          <w:color w:val="auto"/>
          <w:szCs w:val="21"/>
          <w:highlight w:val="none"/>
          <w:lang w:val="zh-CN"/>
        </w:rPr>
      </w:pPr>
      <w:r>
        <w:rPr>
          <w:rFonts w:hint="eastAsia" w:ascii="宋体" w:hAnsi="宋体" w:cs="宋体"/>
          <w:b/>
          <w:color w:val="auto"/>
          <w:szCs w:val="21"/>
          <w:highlight w:val="none"/>
          <w:lang w:bidi="ar"/>
        </w:rPr>
        <w:t>3、报价文件评审</w:t>
      </w:r>
    </w:p>
    <w:p>
      <w:pPr>
        <w:spacing w:line="480" w:lineRule="exact"/>
        <w:ind w:firstLine="42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3.1在开启报价文件时，发现投标人报价与电子投标文件开标一栏表报价不一致的，应以电子投标文件中的开标一栏表为准。同时修改系统中的报价。</w:t>
      </w:r>
    </w:p>
    <w:p>
      <w:pPr>
        <w:spacing w:line="480" w:lineRule="exact"/>
        <w:ind w:firstLine="42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3.2报价文件符合性审查：评标委员会根据“附表4报价文件符合性审查表”的要求对供应商报价文件逐一进行评审。</w:t>
      </w:r>
      <w:r>
        <w:rPr>
          <w:rFonts w:hint="eastAsia" w:ascii="宋体" w:hAnsi="宋体" w:cs="宋体"/>
          <w:b/>
          <w:bCs/>
          <w:color w:val="auto"/>
          <w:szCs w:val="21"/>
          <w:highlight w:val="none"/>
          <w:lang w:bidi="ar"/>
        </w:rPr>
        <w:t>报价文件符合性审查中，</w:t>
      </w:r>
      <w:r>
        <w:rPr>
          <w:rFonts w:hint="eastAsia" w:ascii="宋体" w:hAnsi="宋体" w:cs="宋体"/>
          <w:b/>
          <w:color w:val="auto"/>
          <w:szCs w:val="21"/>
          <w:highlight w:val="none"/>
          <w:lang w:bidi="ar"/>
        </w:rPr>
        <w:t>有任意一项审查结论不合格的</w:t>
      </w:r>
      <w:r>
        <w:rPr>
          <w:rFonts w:hint="eastAsia" w:ascii="宋体" w:hAnsi="宋体" w:cs="宋体"/>
          <w:b/>
          <w:bCs/>
          <w:color w:val="auto"/>
          <w:szCs w:val="21"/>
          <w:highlight w:val="none"/>
          <w:lang w:bidi="ar"/>
        </w:rPr>
        <w:t>，作无效标处理。</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3.3在评标过程中，发现的价格计算错误按第三章“错误修正”条款修正。</w:t>
      </w:r>
    </w:p>
    <w:p>
      <w:pPr>
        <w:spacing w:line="480" w:lineRule="exact"/>
        <w:ind w:firstLine="42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3.4评标委员会根据“附表5价格评分表”的规定，计算供应商报价得分（小数点后保留二位数）。</w:t>
      </w:r>
    </w:p>
    <w:p>
      <w:pPr>
        <w:spacing w:line="480" w:lineRule="exact"/>
        <w:ind w:firstLine="42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3.5参加采购响应的供应商中，有两家或两家以上供应商的单位负责人为同一人或者存在直接控股、管理关系的，应当按一个供应商认定。评审时，取其中通过资格审查、符合性审查后的报价最低一家为有效供应商；当报价相同时，则以技术标最优一家为有效供应商；均相同时，由评标委员会集体决定，并以书面记录评标委员会的决定理由。</w:t>
      </w:r>
    </w:p>
    <w:p>
      <w:pPr>
        <w:spacing w:line="4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4、综合评估</w:t>
      </w:r>
    </w:p>
    <w:p>
      <w:pPr>
        <w:spacing w:line="4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bidi="ar"/>
        </w:rPr>
        <w:t>汇总商务技术得分和报价得分之和，计算各投标供应商的综合得分（小数点后保留二位数）。</w:t>
      </w:r>
    </w:p>
    <w:p>
      <w:pPr>
        <w:spacing w:line="4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5、推荐中标候选人</w:t>
      </w:r>
    </w:p>
    <w:p>
      <w:pPr>
        <w:widowControl/>
        <w:spacing w:line="440" w:lineRule="exact"/>
        <w:ind w:firstLine="420" w:firstLineChars="200"/>
        <w:jc w:val="left"/>
        <w:rPr>
          <w:rFonts w:hint="eastAsia" w:ascii="宋体" w:hAnsi="宋体" w:cs="宋体"/>
          <w:color w:val="auto"/>
          <w:szCs w:val="21"/>
          <w:highlight w:val="none"/>
          <w:lang w:bidi="ar"/>
        </w:rPr>
      </w:pPr>
      <w:r>
        <w:rPr>
          <w:rFonts w:hint="eastAsia" w:ascii="宋体" w:hAnsi="宋体" w:cs="宋体"/>
          <w:color w:val="auto"/>
          <w:highlight w:val="none"/>
        </w:rPr>
        <w:t>评标委员会根据投标人的综合得分由高到低的排序，推荐中标候选人。若供应商的综合得分相等，则投标报价低者列前；若投标报价也相同时，采取随机抽签的方式确定排序。</w:t>
      </w:r>
    </w:p>
    <w:p>
      <w:pPr>
        <w:spacing w:line="4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6、中标结果</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6.1本项目由采购人确定中标人。</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6.2采购代理机构在评标结束后2个工作日内将评标报告交采购人确认，采购人自收到评标报告之日起5个工作日内在评标报告推荐的中标候选人中按顺序确定中标人，并在发布招标公告的网站上对中标结果进行公示，公告期限为1个工作日。</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6.3若中标人放弃中标、或事后查询为失信被执行人的、或因不可抗力提出不能履行合同被依法撤销中标资格，则招标人可确定排名其次的中标候选人为中标人，或重新组织招标。</w:t>
      </w:r>
    </w:p>
    <w:p>
      <w:pPr>
        <w:spacing w:line="480" w:lineRule="exact"/>
        <w:rPr>
          <w:rFonts w:hint="eastAsia" w:ascii="宋体" w:hAnsi="宋体" w:cs="宋体"/>
          <w:b/>
          <w:color w:val="auto"/>
          <w:szCs w:val="21"/>
          <w:highlight w:val="none"/>
        </w:rPr>
      </w:pPr>
      <w:r>
        <w:rPr>
          <w:rFonts w:hint="eastAsia" w:ascii="宋体" w:hAnsi="宋体" w:cs="宋体"/>
          <w:b/>
          <w:color w:val="auto"/>
          <w:szCs w:val="21"/>
          <w:highlight w:val="none"/>
          <w:lang w:bidi="ar"/>
        </w:rPr>
        <w:t>三、投标的澄清</w:t>
      </w:r>
    </w:p>
    <w:p>
      <w:pPr>
        <w:spacing w:line="4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1、对投标文件审查中发现的投标文件表达含义不明确、同类问题表述不一致或者有明显文字和计算错误的内容，评标委员会应当书面形式要求供应商作出必要的澄清、说明或者补正；</w:t>
      </w:r>
      <w:r>
        <w:rPr>
          <w:rFonts w:hint="eastAsia" w:ascii="宋体" w:hAnsi="宋体" w:cs="宋体"/>
          <w:b/>
          <w:color w:val="auto"/>
          <w:szCs w:val="21"/>
          <w:highlight w:val="none"/>
        </w:rPr>
        <w:t>供应商代表未在开标现场的可以按规定以网上远程电子形式进行答复。</w:t>
      </w:r>
    </w:p>
    <w:p>
      <w:pPr>
        <w:spacing w:line="4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2、供应商的现场澄清、说明或者补正应当采用书面形式，并加盖公章，或者由法定代表人或其委托代理人的签字。供应商的澄清、说明或者补正不得超出投标文件的范围或者改变投标文件的实质性内容。</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3、若供应商未响应澄清安排的通知到场或网上电子形式进行答疑和澄清，将被视作自动放弃。</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4、网上电子澄清方式</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4.1评标委员会对投标文件存在疑问的地方，可以进行询标，供应商代表未在开标现场的可以进行远程询标，要求投标人在合理时间内（至多30分钟，以开始网上接收时间为准）发送有关证明资料电子版，以便核验。</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4.2供应商在截止时间前，根据标项回复询标函。路径：用户中心—项目采购—询标澄清。</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（1）政采云平台通过待办事项和短信提醒供应商在截止时间前完成澄清。</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（2）供应商在“询标澄清-待办理”标签页下选择状态为“待澄清”的项目，点击操作栏【澄清】。</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（3）查看询标函内容，在澄清截止时间前上传澄清文件并对澄清文件进行签章。（注：澄清文件必须以 PDF 格式上传，文件大小：50M。）</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（4）签章完成，文件名称处显示“已签章”，供应商可“撤回签章”修改澄清函和“查看文件”。</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（5）确认澄清文件内容后，点击右上角【提交】；（注：供应商未对澄清文件签章，提交时，弹框提醒“澄清文件未签章，请进行签章操作”，如遇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完成状态：供应商澄清文件提交成功后，在“询标澄清-全部”标签页下显示状态为“已澄清”。</w:t>
      </w:r>
    </w:p>
    <w:p>
      <w:pPr>
        <w:widowControl/>
        <w:spacing w:line="480" w:lineRule="exact"/>
        <w:jc w:val="left"/>
        <w:rPr>
          <w:rFonts w:hint="eastAsia" w:ascii="宋体" w:hAnsi="宋体" w:cs="宋体"/>
          <w:b/>
          <w:color w:val="auto"/>
          <w:szCs w:val="21"/>
          <w:highlight w:val="none"/>
        </w:rPr>
      </w:pPr>
      <w:r>
        <w:rPr>
          <w:rFonts w:hint="eastAsia" w:ascii="宋体" w:hAnsi="宋体" w:cs="宋体"/>
          <w:b/>
          <w:color w:val="auto"/>
          <w:szCs w:val="21"/>
          <w:highlight w:val="none"/>
          <w:lang w:bidi="ar"/>
        </w:rPr>
        <w:t>四、特别声明：价格是评标的重要因素之一，但最低价不是中标的唯一依据。</w:t>
      </w:r>
    </w:p>
    <w:p>
      <w:pPr>
        <w:spacing w:line="480" w:lineRule="exact"/>
        <w:jc w:val="left"/>
        <w:rPr>
          <w:rFonts w:hint="eastAsia" w:ascii="宋体" w:hAnsi="宋体" w:cs="宋体"/>
          <w:b/>
          <w:color w:val="auto"/>
          <w:szCs w:val="21"/>
          <w:highlight w:val="none"/>
        </w:rPr>
      </w:pPr>
      <w:r>
        <w:rPr>
          <w:rFonts w:hint="eastAsia" w:ascii="宋体" w:hAnsi="宋体" w:cs="宋体"/>
          <w:b/>
          <w:color w:val="auto"/>
          <w:szCs w:val="21"/>
          <w:highlight w:val="none"/>
          <w:lang w:bidi="ar"/>
        </w:rPr>
        <w:t>五、重新招标</w:t>
      </w:r>
    </w:p>
    <w:p>
      <w:pPr>
        <w:spacing w:line="4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有下列情形之一的，采购人将重新招标：</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6.1投标截止时间止，供应商少于3个的；</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6.2评标委员会评标过程中，有效供应商少于3个的；</w:t>
      </w:r>
    </w:p>
    <w:p>
      <w:pPr>
        <w:spacing w:line="4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6.3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招标活动。</w:t>
      </w:r>
    </w:p>
    <w:p>
      <w:pPr>
        <w:spacing w:line="480" w:lineRule="exact"/>
        <w:rPr>
          <w:rFonts w:hint="eastAsia" w:ascii="宋体" w:hAnsi="宋体" w:cs="宋体"/>
          <w:b/>
          <w:color w:val="auto"/>
          <w:szCs w:val="21"/>
          <w:highlight w:val="none"/>
          <w:lang w:bidi="ar"/>
        </w:rPr>
      </w:pPr>
    </w:p>
    <w:p>
      <w:pPr>
        <w:spacing w:line="480" w:lineRule="exact"/>
        <w:rPr>
          <w:rFonts w:hint="eastAsia" w:ascii="宋体" w:hAnsi="宋体" w:cs="宋体"/>
          <w:b/>
          <w:color w:val="auto"/>
          <w:szCs w:val="21"/>
          <w:highlight w:val="none"/>
          <w:lang w:bidi="ar"/>
        </w:rPr>
      </w:pPr>
    </w:p>
    <w:p>
      <w:pPr>
        <w:spacing w:line="480" w:lineRule="exact"/>
        <w:rPr>
          <w:rFonts w:hint="eastAsia" w:ascii="宋体" w:hAnsi="宋体" w:cs="宋体"/>
          <w:b/>
          <w:color w:val="auto"/>
          <w:szCs w:val="21"/>
          <w:highlight w:val="none"/>
          <w:lang w:bidi="ar"/>
        </w:rPr>
      </w:pPr>
    </w:p>
    <w:p>
      <w:pPr>
        <w:pStyle w:val="16"/>
        <w:ind w:firstLine="560"/>
        <w:rPr>
          <w:rFonts w:hint="eastAsia" w:ascii="宋体" w:hAnsi="宋体" w:cs="宋体"/>
          <w:color w:val="auto"/>
          <w:highlight w:val="none"/>
        </w:rPr>
      </w:pPr>
    </w:p>
    <w:p>
      <w:pPr>
        <w:pStyle w:val="16"/>
        <w:ind w:firstLine="560"/>
        <w:rPr>
          <w:rFonts w:hint="eastAsia" w:ascii="宋体" w:hAnsi="宋体" w:cs="宋体"/>
          <w:color w:val="auto"/>
          <w:highlight w:val="none"/>
        </w:rPr>
      </w:pPr>
    </w:p>
    <w:p>
      <w:pPr>
        <w:spacing w:line="480" w:lineRule="exact"/>
        <w:rPr>
          <w:rFonts w:hint="eastAsia" w:ascii="宋体" w:hAnsi="宋体" w:cs="宋体"/>
          <w:b/>
          <w:bCs/>
          <w:color w:val="auto"/>
          <w:szCs w:val="21"/>
          <w:highlight w:val="none"/>
          <w:lang w:bidi="ar"/>
        </w:rPr>
      </w:pPr>
      <w:r>
        <w:rPr>
          <w:rFonts w:hint="eastAsia" w:ascii="宋体" w:hAnsi="宋体" w:cs="宋体"/>
          <w:b/>
          <w:color w:val="auto"/>
          <w:szCs w:val="21"/>
          <w:highlight w:val="none"/>
          <w:lang w:bidi="ar"/>
        </w:rPr>
        <w:t>附表1：</w:t>
      </w:r>
    </w:p>
    <w:p>
      <w:pPr>
        <w:spacing w:line="480" w:lineRule="exact"/>
        <w:jc w:val="center"/>
        <w:rPr>
          <w:rFonts w:hint="eastAsia" w:ascii="宋体" w:hAnsi="宋体" w:cs="宋体"/>
          <w:b/>
          <w:color w:val="auto"/>
          <w:szCs w:val="21"/>
          <w:highlight w:val="none"/>
          <w:lang w:bidi="ar"/>
        </w:rPr>
      </w:pPr>
      <w:r>
        <w:rPr>
          <w:rFonts w:hint="eastAsia" w:ascii="宋体" w:hAnsi="宋体" w:cs="宋体"/>
          <w:b/>
          <w:color w:val="auto"/>
          <w:szCs w:val="21"/>
          <w:highlight w:val="none"/>
          <w:lang w:bidi="ar"/>
        </w:rPr>
        <w:t>资格审查表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26"/>
        <w:gridCol w:w="3812"/>
        <w:gridCol w:w="5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826" w:type="dxa"/>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3812" w:type="dxa"/>
            <w:noWrap w:val="0"/>
            <w:vAlign w:val="center"/>
          </w:tcPr>
          <w:p>
            <w:pPr>
              <w:adjustRightInd w:val="0"/>
              <w:snapToGrid w:val="0"/>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要求</w:t>
            </w:r>
          </w:p>
        </w:tc>
        <w:tc>
          <w:tcPr>
            <w:tcW w:w="5218" w:type="dxa"/>
            <w:noWrap w:val="0"/>
            <w:vAlign w:val="center"/>
          </w:tcPr>
          <w:p>
            <w:pPr>
              <w:adjustRightInd w:val="0"/>
              <w:snapToGrid w:val="0"/>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审查项目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70" w:hRule="atLeast"/>
          <w:jc w:val="center"/>
        </w:trPr>
        <w:tc>
          <w:tcPr>
            <w:tcW w:w="826" w:type="dxa"/>
            <w:noWrap w:val="0"/>
            <w:vAlign w:val="center"/>
          </w:tcPr>
          <w:p>
            <w:pPr>
              <w:spacing w:line="36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1</w:t>
            </w:r>
          </w:p>
        </w:tc>
        <w:tc>
          <w:tcPr>
            <w:tcW w:w="3812" w:type="dxa"/>
            <w:noWrap w:val="0"/>
            <w:vAlign w:val="center"/>
          </w:tcPr>
          <w:p>
            <w:pPr>
              <w:adjustRightInd w:val="0"/>
              <w:snapToGrid w:val="0"/>
              <w:spacing w:line="360" w:lineRule="exact"/>
              <w:rPr>
                <w:rStyle w:val="20"/>
                <w:rFonts w:hint="eastAsia" w:ascii="宋体" w:hAnsi="宋体" w:cs="宋体"/>
                <w:color w:val="auto"/>
                <w:szCs w:val="21"/>
                <w:highlight w:val="none"/>
              </w:rPr>
            </w:pPr>
            <w:r>
              <w:rPr>
                <w:rFonts w:hint="eastAsia" w:ascii="宋体" w:hAnsi="宋体" w:cs="宋体"/>
                <w:color w:val="auto"/>
                <w:szCs w:val="21"/>
                <w:highlight w:val="none"/>
              </w:rPr>
              <w:t>具有独立承担民事责任的能力。</w:t>
            </w:r>
          </w:p>
        </w:tc>
        <w:tc>
          <w:tcPr>
            <w:tcW w:w="5218" w:type="dxa"/>
            <w:noWrap w:val="0"/>
            <w:vAlign w:val="center"/>
          </w:tcPr>
          <w:p>
            <w:pPr>
              <w:adjustRightInd w:val="0"/>
              <w:snapToGrid w:val="0"/>
              <w:spacing w:line="360" w:lineRule="exact"/>
              <w:rPr>
                <w:rFonts w:hint="eastAsia" w:ascii="宋体" w:hAnsi="宋体" w:cs="宋体"/>
                <w:color w:val="auto"/>
                <w:szCs w:val="21"/>
                <w:highlight w:val="none"/>
              </w:rPr>
            </w:pPr>
            <w:r>
              <w:rPr>
                <w:rFonts w:hint="eastAsia" w:ascii="宋体" w:hAnsi="宋体" w:cs="宋体"/>
                <w:color w:val="auto"/>
                <w:szCs w:val="21"/>
                <w:highlight w:val="none"/>
              </w:rPr>
              <w:t>有效的企业法人营业执照（或事业法人登记证）或其他组织（个体工商户）的营业执照或者民办非企业单位登记证书复印件加盖公章，如为自然人的需附身份证明并签字；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70" w:hRule="atLeast"/>
          <w:jc w:val="center"/>
        </w:trPr>
        <w:tc>
          <w:tcPr>
            <w:tcW w:w="826" w:type="dxa"/>
            <w:noWrap w:val="0"/>
            <w:vAlign w:val="center"/>
          </w:tcPr>
          <w:p>
            <w:pPr>
              <w:pStyle w:val="65"/>
              <w:adjustRightInd w:val="0"/>
              <w:snapToGrid w:val="0"/>
              <w:spacing w:before="0" w:beforeAutospacing="0" w:after="0" w:afterAutospacing="0" w:line="360" w:lineRule="exact"/>
              <w:jc w:val="center"/>
              <w:rPr>
                <w:rFonts w:hint="eastAsia" w:cs="宋体"/>
                <w:bCs/>
                <w:color w:val="auto"/>
                <w:sz w:val="21"/>
                <w:szCs w:val="21"/>
                <w:highlight w:val="none"/>
              </w:rPr>
            </w:pPr>
            <w:r>
              <w:rPr>
                <w:rFonts w:hint="eastAsia" w:cs="宋体"/>
                <w:bCs/>
                <w:color w:val="auto"/>
                <w:sz w:val="21"/>
                <w:szCs w:val="21"/>
                <w:highlight w:val="none"/>
              </w:rPr>
              <w:t>2</w:t>
            </w:r>
          </w:p>
        </w:tc>
        <w:tc>
          <w:tcPr>
            <w:tcW w:w="3812" w:type="dxa"/>
            <w:noWrap w:val="0"/>
            <w:vAlign w:val="center"/>
          </w:tcPr>
          <w:p>
            <w:pPr>
              <w:adjustRightInd w:val="0"/>
              <w:snapToGrid w:val="0"/>
              <w:spacing w:line="360" w:lineRule="exact"/>
              <w:rPr>
                <w:rFonts w:hint="eastAsia" w:ascii="宋体" w:hAnsi="宋体" w:cs="宋体"/>
                <w:color w:val="auto"/>
                <w:szCs w:val="21"/>
                <w:highlight w:val="none"/>
              </w:rPr>
            </w:pPr>
            <w:r>
              <w:rPr>
                <w:rFonts w:hint="eastAsia" w:ascii="宋体" w:hAnsi="宋体" w:cs="宋体"/>
                <w:color w:val="auto"/>
                <w:szCs w:val="21"/>
                <w:highlight w:val="none"/>
              </w:rPr>
              <w:t>具有良好的商业信誉和健全的财务会计制度。</w:t>
            </w:r>
          </w:p>
        </w:tc>
        <w:tc>
          <w:tcPr>
            <w:tcW w:w="5218" w:type="dxa"/>
            <w:noWrap w:val="0"/>
            <w:vAlign w:val="center"/>
          </w:tcPr>
          <w:p>
            <w:pPr>
              <w:pStyle w:val="10"/>
              <w:snapToGrid w:val="0"/>
              <w:spacing w:line="480" w:lineRule="exact"/>
              <w:rPr>
                <w:rFonts w:hint="eastAsia" w:hAnsi="宋体" w:cs="宋体"/>
                <w:color w:val="auto"/>
                <w:szCs w:val="21"/>
                <w:highlight w:val="none"/>
              </w:rPr>
            </w:pPr>
            <w:r>
              <w:rPr>
                <w:rFonts w:hint="eastAsia" w:hAnsi="宋体" w:cs="宋体"/>
                <w:color w:val="auto"/>
                <w:szCs w:val="21"/>
                <w:highlight w:val="none"/>
              </w:rPr>
              <w:t>提供开标前六个月任意一个月财务会计报表复印件加盖供应商公章；</w:t>
            </w:r>
          </w:p>
          <w:p>
            <w:pPr>
              <w:adjustRightInd w:val="0"/>
              <w:snapToGrid w:val="0"/>
              <w:spacing w:line="3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70" w:hRule="atLeast"/>
          <w:jc w:val="center"/>
        </w:trPr>
        <w:tc>
          <w:tcPr>
            <w:tcW w:w="826" w:type="dxa"/>
            <w:noWrap w:val="0"/>
            <w:vAlign w:val="center"/>
          </w:tcPr>
          <w:p>
            <w:pPr>
              <w:pStyle w:val="65"/>
              <w:adjustRightInd w:val="0"/>
              <w:snapToGrid w:val="0"/>
              <w:spacing w:before="0" w:beforeAutospacing="0" w:after="0" w:afterAutospacing="0" w:line="360" w:lineRule="exact"/>
              <w:jc w:val="center"/>
              <w:rPr>
                <w:rFonts w:hint="eastAsia" w:cs="宋体"/>
                <w:bCs/>
                <w:color w:val="auto"/>
                <w:sz w:val="21"/>
                <w:szCs w:val="21"/>
                <w:highlight w:val="none"/>
              </w:rPr>
            </w:pPr>
            <w:r>
              <w:rPr>
                <w:rFonts w:hint="eastAsia" w:cs="宋体"/>
                <w:bCs/>
                <w:color w:val="auto"/>
                <w:sz w:val="21"/>
                <w:szCs w:val="21"/>
                <w:highlight w:val="none"/>
              </w:rPr>
              <w:t>3</w:t>
            </w:r>
          </w:p>
        </w:tc>
        <w:tc>
          <w:tcPr>
            <w:tcW w:w="3812" w:type="dxa"/>
            <w:noWrap w:val="0"/>
            <w:vAlign w:val="center"/>
          </w:tcPr>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具有履行合同所必需的设备和专业技术能力。</w:t>
            </w:r>
          </w:p>
        </w:tc>
        <w:tc>
          <w:tcPr>
            <w:tcW w:w="5218" w:type="dxa"/>
            <w:noWrap w:val="0"/>
            <w:vAlign w:val="center"/>
          </w:tcPr>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具有履行合同所必需的设备和专业技术能力的声明函</w:t>
            </w:r>
            <w:r>
              <w:rPr>
                <w:rFonts w:hint="eastAsia" w:ascii="宋体" w:hAnsi="宋体" w:cs="宋体"/>
                <w:bCs/>
                <w:color w:val="auto"/>
                <w:szCs w:val="21"/>
                <w:highlight w:val="none"/>
              </w:rPr>
              <w:t>（格式见附件）</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70" w:hRule="atLeast"/>
          <w:jc w:val="center"/>
        </w:trPr>
        <w:tc>
          <w:tcPr>
            <w:tcW w:w="826" w:type="dxa"/>
            <w:noWrap w:val="0"/>
            <w:vAlign w:val="center"/>
          </w:tcPr>
          <w:p>
            <w:pPr>
              <w:pStyle w:val="65"/>
              <w:adjustRightInd w:val="0"/>
              <w:snapToGrid w:val="0"/>
              <w:spacing w:before="0" w:beforeAutospacing="0" w:after="0" w:afterAutospacing="0" w:line="360" w:lineRule="exact"/>
              <w:jc w:val="center"/>
              <w:rPr>
                <w:rFonts w:hint="eastAsia" w:cs="宋体"/>
                <w:bCs/>
                <w:color w:val="auto"/>
                <w:sz w:val="21"/>
                <w:szCs w:val="21"/>
                <w:highlight w:val="none"/>
              </w:rPr>
            </w:pPr>
            <w:r>
              <w:rPr>
                <w:rFonts w:hint="eastAsia" w:cs="宋体"/>
                <w:bCs/>
                <w:color w:val="auto"/>
                <w:sz w:val="21"/>
                <w:szCs w:val="21"/>
                <w:highlight w:val="none"/>
              </w:rPr>
              <w:t>4</w:t>
            </w:r>
          </w:p>
        </w:tc>
        <w:tc>
          <w:tcPr>
            <w:tcW w:w="3812" w:type="dxa"/>
            <w:noWrap w:val="0"/>
            <w:vAlign w:val="center"/>
          </w:tcPr>
          <w:p>
            <w:pPr>
              <w:adjustRightInd w:val="0"/>
              <w:snapToGrid w:val="0"/>
              <w:spacing w:line="360" w:lineRule="exact"/>
              <w:rPr>
                <w:rFonts w:hint="eastAsia" w:ascii="宋体" w:hAnsi="宋体" w:cs="宋体"/>
                <w:color w:val="auto"/>
                <w:szCs w:val="21"/>
                <w:highlight w:val="none"/>
              </w:rPr>
            </w:pPr>
            <w:r>
              <w:rPr>
                <w:rFonts w:hint="eastAsia" w:ascii="宋体" w:hAnsi="宋体" w:cs="宋体"/>
                <w:color w:val="auto"/>
                <w:szCs w:val="21"/>
                <w:highlight w:val="none"/>
              </w:rPr>
              <w:t>有依法缴纳税收和社会保障资金的良好记录。</w:t>
            </w:r>
          </w:p>
        </w:tc>
        <w:tc>
          <w:tcPr>
            <w:tcW w:w="5218" w:type="dxa"/>
            <w:noWrap w:val="0"/>
            <w:vAlign w:val="center"/>
          </w:tcPr>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①开标前六个月中任意一个月依法纳税的完税凭证复印件加盖公章，无完税记录的提供投标方所在地国税、地税部门出具的《依法纳税或依法免税证明》复印件加盖公章；</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②提供开标前六个月中任意一个月缴纳社保的凭证复印件加盖公章，无缴费记录的提供投标方所有地社保部门出具的《依法缴纳或免缴社保费证明》复印件加盖公章；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70" w:hRule="atLeast"/>
          <w:jc w:val="center"/>
        </w:trPr>
        <w:tc>
          <w:tcPr>
            <w:tcW w:w="826" w:type="dxa"/>
            <w:noWrap w:val="0"/>
            <w:vAlign w:val="center"/>
          </w:tcPr>
          <w:p>
            <w:pPr>
              <w:pStyle w:val="65"/>
              <w:adjustRightInd w:val="0"/>
              <w:snapToGrid w:val="0"/>
              <w:spacing w:before="0" w:beforeAutospacing="0" w:after="0" w:afterAutospacing="0" w:line="360" w:lineRule="exact"/>
              <w:jc w:val="center"/>
              <w:rPr>
                <w:rFonts w:hint="eastAsia" w:cs="宋体"/>
                <w:bCs/>
                <w:color w:val="auto"/>
                <w:sz w:val="21"/>
                <w:szCs w:val="21"/>
                <w:highlight w:val="none"/>
              </w:rPr>
            </w:pPr>
            <w:r>
              <w:rPr>
                <w:rFonts w:hint="eastAsia" w:cs="宋体"/>
                <w:bCs/>
                <w:color w:val="auto"/>
                <w:sz w:val="21"/>
                <w:szCs w:val="21"/>
                <w:highlight w:val="none"/>
              </w:rPr>
              <w:t>5</w:t>
            </w:r>
          </w:p>
        </w:tc>
        <w:tc>
          <w:tcPr>
            <w:tcW w:w="3812" w:type="dxa"/>
            <w:noWrap w:val="0"/>
            <w:vAlign w:val="center"/>
          </w:tcPr>
          <w:p>
            <w:pPr>
              <w:adjustRightInd w:val="0"/>
              <w:snapToGrid w:val="0"/>
              <w:spacing w:line="360" w:lineRule="exact"/>
              <w:rPr>
                <w:rFonts w:hint="eastAsia" w:ascii="宋体" w:hAnsi="宋体" w:cs="宋体"/>
                <w:color w:val="auto"/>
                <w:szCs w:val="21"/>
                <w:highlight w:val="none"/>
              </w:rPr>
            </w:pPr>
            <w:r>
              <w:rPr>
                <w:rFonts w:hint="eastAsia" w:ascii="宋体" w:hAnsi="宋体" w:cs="宋体"/>
                <w:color w:val="auto"/>
                <w:szCs w:val="21"/>
                <w:highlight w:val="none"/>
              </w:rPr>
              <w:t>参加政府采购活动前三年内，在经营活动中没有重大违法记录。</w:t>
            </w:r>
          </w:p>
        </w:tc>
        <w:tc>
          <w:tcPr>
            <w:tcW w:w="5218" w:type="dxa"/>
            <w:noWrap w:val="0"/>
            <w:vAlign w:val="center"/>
          </w:tcPr>
          <w:p>
            <w:pPr>
              <w:adjustRightInd w:val="0"/>
              <w:snapToGrid w:val="0"/>
              <w:spacing w:line="360" w:lineRule="exact"/>
              <w:rPr>
                <w:rFonts w:hint="eastAsia" w:ascii="宋体" w:hAnsi="宋体" w:cs="宋体"/>
                <w:color w:val="auto"/>
                <w:kern w:val="0"/>
                <w:szCs w:val="21"/>
                <w:highlight w:val="none"/>
              </w:rPr>
            </w:pPr>
            <w:r>
              <w:rPr>
                <w:rFonts w:hint="eastAsia" w:ascii="宋体" w:hAnsi="宋体" w:cs="宋体"/>
                <w:color w:val="auto"/>
                <w:szCs w:val="21"/>
                <w:highlight w:val="none"/>
              </w:rPr>
              <w:t>无重大违法记录的声明函</w:t>
            </w:r>
            <w:r>
              <w:rPr>
                <w:rFonts w:hint="eastAsia" w:ascii="宋体" w:hAnsi="宋体" w:cs="宋体"/>
                <w:bCs/>
                <w:color w:val="auto"/>
                <w:szCs w:val="21"/>
                <w:highlight w:val="none"/>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70" w:hRule="atLeast"/>
          <w:jc w:val="center"/>
        </w:trPr>
        <w:tc>
          <w:tcPr>
            <w:tcW w:w="826" w:type="dxa"/>
            <w:noWrap w:val="0"/>
            <w:vAlign w:val="center"/>
          </w:tcPr>
          <w:p>
            <w:pPr>
              <w:pStyle w:val="65"/>
              <w:adjustRightInd w:val="0"/>
              <w:snapToGrid w:val="0"/>
              <w:spacing w:before="0" w:beforeAutospacing="0" w:after="0" w:afterAutospacing="0" w:line="360" w:lineRule="exact"/>
              <w:jc w:val="center"/>
              <w:rPr>
                <w:rFonts w:hint="eastAsia" w:cs="宋体"/>
                <w:bCs/>
                <w:color w:val="auto"/>
                <w:sz w:val="21"/>
                <w:szCs w:val="21"/>
                <w:highlight w:val="none"/>
              </w:rPr>
            </w:pPr>
            <w:r>
              <w:rPr>
                <w:rFonts w:hint="eastAsia" w:cs="宋体"/>
                <w:bCs/>
                <w:color w:val="auto"/>
                <w:sz w:val="21"/>
                <w:szCs w:val="21"/>
                <w:highlight w:val="none"/>
              </w:rPr>
              <w:t>6</w:t>
            </w:r>
          </w:p>
        </w:tc>
        <w:tc>
          <w:tcPr>
            <w:tcW w:w="3812" w:type="dxa"/>
            <w:noWrap w:val="0"/>
            <w:vAlign w:val="center"/>
          </w:tcPr>
          <w:p>
            <w:pPr>
              <w:spacing w:line="400" w:lineRule="exact"/>
              <w:jc w:val="left"/>
              <w:rPr>
                <w:rFonts w:hint="eastAsia" w:ascii="宋体" w:hAnsi="宋体" w:cs="宋体"/>
                <w:color w:val="auto"/>
                <w:szCs w:val="21"/>
                <w:highlight w:val="none"/>
              </w:rPr>
            </w:pPr>
            <w:r>
              <w:rPr>
                <w:rFonts w:hint="eastAsia" w:ascii="宋体" w:hAnsi="宋体" w:cs="宋体"/>
                <w:color w:val="auto"/>
                <w:szCs w:val="21"/>
                <w:highlight w:val="none"/>
              </w:rPr>
              <w:t>法律、行政法规规定的其他条件。</w:t>
            </w:r>
          </w:p>
        </w:tc>
        <w:tc>
          <w:tcPr>
            <w:tcW w:w="5218" w:type="dxa"/>
            <w:noWrap w:val="0"/>
            <w:vAlign w:val="center"/>
          </w:tcPr>
          <w:p>
            <w:pPr>
              <w:spacing w:line="400" w:lineRule="exact"/>
              <w:jc w:val="left"/>
              <w:rPr>
                <w:rFonts w:hint="eastAsia" w:ascii="宋体" w:hAnsi="宋体" w:cs="宋体"/>
                <w:color w:val="auto"/>
                <w:szCs w:val="21"/>
                <w:highlight w:val="none"/>
              </w:rPr>
            </w:pPr>
            <w:r>
              <w:rPr>
                <w:rFonts w:hint="eastAsia" w:ascii="宋体" w:hAnsi="宋体" w:cs="宋体"/>
                <w:color w:val="auto"/>
                <w:szCs w:val="21"/>
                <w:highlight w:val="none"/>
              </w:rPr>
              <w:t>提供“其他资格要求需提供的声明函”。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70" w:hRule="atLeast"/>
          <w:jc w:val="center"/>
        </w:trPr>
        <w:tc>
          <w:tcPr>
            <w:tcW w:w="826" w:type="dxa"/>
            <w:noWrap w:val="0"/>
            <w:vAlign w:val="center"/>
          </w:tcPr>
          <w:p>
            <w:pPr>
              <w:pStyle w:val="65"/>
              <w:adjustRightInd w:val="0"/>
              <w:snapToGrid w:val="0"/>
              <w:spacing w:before="0" w:beforeAutospacing="0" w:after="0" w:afterAutospacing="0" w:line="360" w:lineRule="exact"/>
              <w:jc w:val="center"/>
              <w:rPr>
                <w:rFonts w:hint="eastAsia" w:cs="宋体"/>
                <w:bCs/>
                <w:color w:val="auto"/>
                <w:sz w:val="21"/>
                <w:szCs w:val="21"/>
                <w:highlight w:val="none"/>
              </w:rPr>
            </w:pPr>
            <w:r>
              <w:rPr>
                <w:rFonts w:hint="eastAsia" w:cs="宋体"/>
                <w:bCs/>
                <w:color w:val="auto"/>
                <w:sz w:val="21"/>
                <w:szCs w:val="21"/>
                <w:highlight w:val="none"/>
              </w:rPr>
              <w:t>7</w:t>
            </w:r>
          </w:p>
        </w:tc>
        <w:tc>
          <w:tcPr>
            <w:tcW w:w="3812" w:type="dxa"/>
            <w:noWrap w:val="0"/>
            <w:vAlign w:val="center"/>
          </w:tcPr>
          <w:p>
            <w:pPr>
              <w:adjustRightInd w:val="0"/>
              <w:snapToGrid w:val="0"/>
              <w:spacing w:line="360" w:lineRule="exact"/>
              <w:rPr>
                <w:rFonts w:hint="eastAsia" w:ascii="宋体" w:hAnsi="宋体" w:cs="宋体"/>
                <w:color w:val="auto"/>
                <w:szCs w:val="21"/>
                <w:highlight w:val="none"/>
              </w:rPr>
            </w:pPr>
            <w:r>
              <w:rPr>
                <w:rFonts w:hint="eastAsia" w:ascii="宋体" w:hAnsi="宋体" w:cs="宋体"/>
                <w:color w:val="auto"/>
                <w:szCs w:val="21"/>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tc>
        <w:tc>
          <w:tcPr>
            <w:tcW w:w="5218" w:type="dxa"/>
            <w:noWrap w:val="0"/>
            <w:vAlign w:val="center"/>
          </w:tcPr>
          <w:p>
            <w:pPr>
              <w:adjustRightInd w:val="0"/>
              <w:snapToGrid w:val="0"/>
              <w:spacing w:line="360" w:lineRule="exact"/>
              <w:rPr>
                <w:rFonts w:hint="eastAsia" w:ascii="宋体" w:hAnsi="宋体" w:cs="宋体"/>
                <w:color w:val="auto"/>
                <w:szCs w:val="21"/>
                <w:highlight w:val="none"/>
              </w:rPr>
            </w:pPr>
            <w:r>
              <w:rPr>
                <w:rFonts w:hint="eastAsia" w:ascii="宋体" w:hAnsi="宋体" w:cs="宋体"/>
                <w:color w:val="auto"/>
                <w:szCs w:val="21"/>
                <w:highlight w:val="none"/>
              </w:rPr>
              <w:t>提供“其他资格要求需提供的声明函”。</w:t>
            </w:r>
          </w:p>
          <w:p>
            <w:pPr>
              <w:adjustRightInd w:val="0"/>
              <w:snapToGrid w:val="0"/>
              <w:spacing w:line="360" w:lineRule="exact"/>
              <w:rPr>
                <w:rFonts w:hint="eastAsia" w:ascii="宋体" w:hAnsi="宋体" w:cs="宋体"/>
                <w:color w:val="auto"/>
                <w:szCs w:val="21"/>
                <w:highlight w:val="none"/>
              </w:rPr>
            </w:pPr>
            <w:r>
              <w:rPr>
                <w:rFonts w:hint="eastAsia" w:ascii="宋体" w:hAnsi="宋体" w:cs="宋体"/>
                <w:color w:val="auto"/>
                <w:szCs w:val="21"/>
                <w:highlight w:val="none"/>
              </w:rPr>
              <w:t>（以采购代理机构于投标截止日当天在信用中国网站及中国政府采购网查询结果为准；若在开标当天因不可抗力事件导致无法查询且一时无法恢复查询的，可在中标公告前对中标候选人进行事后查询。中标候选人被列入失信被执行人、重大税收违法案件当事人名单或政府采购严重违法失信名单、政府采购严重违法失信行为记录名单处罚结果确定为禁止参加政府采购活动期间的，采购人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70" w:hRule="atLeast"/>
          <w:jc w:val="center"/>
        </w:trPr>
        <w:tc>
          <w:tcPr>
            <w:tcW w:w="826" w:type="dxa"/>
            <w:noWrap w:val="0"/>
            <w:vAlign w:val="center"/>
          </w:tcPr>
          <w:p>
            <w:pPr>
              <w:pStyle w:val="65"/>
              <w:adjustRightInd w:val="0"/>
              <w:snapToGrid w:val="0"/>
              <w:spacing w:before="0" w:beforeAutospacing="0" w:after="0" w:afterAutospacing="0" w:line="360" w:lineRule="exact"/>
              <w:jc w:val="center"/>
              <w:rPr>
                <w:rFonts w:hint="eastAsia" w:cs="宋体"/>
                <w:bCs/>
                <w:color w:val="auto"/>
                <w:sz w:val="21"/>
                <w:szCs w:val="21"/>
                <w:highlight w:val="none"/>
              </w:rPr>
            </w:pPr>
            <w:r>
              <w:rPr>
                <w:rFonts w:hint="eastAsia" w:cs="宋体"/>
                <w:bCs/>
                <w:color w:val="auto"/>
                <w:sz w:val="21"/>
                <w:szCs w:val="21"/>
                <w:highlight w:val="none"/>
              </w:rPr>
              <w:t>8</w:t>
            </w:r>
          </w:p>
        </w:tc>
        <w:tc>
          <w:tcPr>
            <w:tcW w:w="3812" w:type="dxa"/>
            <w:noWrap w:val="0"/>
            <w:vAlign w:val="center"/>
          </w:tcPr>
          <w:p>
            <w:pPr>
              <w:adjustRightInd w:val="0"/>
              <w:snapToGrid w:val="0"/>
              <w:spacing w:line="280" w:lineRule="exact"/>
              <w:rPr>
                <w:rFonts w:hint="eastAsia" w:ascii="宋体" w:hAnsi="宋体" w:cs="宋体"/>
                <w:color w:val="auto"/>
                <w:szCs w:val="21"/>
                <w:highlight w:val="none"/>
              </w:rPr>
            </w:pPr>
            <w:r>
              <w:rPr>
                <w:rFonts w:hint="eastAsia" w:ascii="宋体" w:hAnsi="宋体" w:cs="宋体"/>
                <w:color w:val="auto"/>
                <w:szCs w:val="21"/>
                <w:highlight w:val="none"/>
              </w:rPr>
              <w:t>本项目不接受联合体投标。</w:t>
            </w:r>
          </w:p>
        </w:tc>
        <w:tc>
          <w:tcPr>
            <w:tcW w:w="5218" w:type="dxa"/>
            <w:noWrap w:val="0"/>
            <w:vAlign w:val="center"/>
          </w:tcPr>
          <w:p>
            <w:pPr>
              <w:adjustRightInd w:val="0"/>
              <w:snapToGrid w:val="0"/>
              <w:spacing w:line="280" w:lineRule="exact"/>
              <w:rPr>
                <w:rFonts w:hint="eastAsia" w:ascii="宋体" w:hAnsi="宋体" w:cs="宋体"/>
                <w:color w:val="auto"/>
                <w:szCs w:val="21"/>
                <w:highlight w:val="none"/>
              </w:rPr>
            </w:pPr>
            <w:r>
              <w:rPr>
                <w:rFonts w:hint="eastAsia" w:ascii="宋体" w:hAnsi="宋体" w:cs="宋体"/>
                <w:color w:val="auto"/>
                <w:szCs w:val="21"/>
                <w:highlight w:val="none"/>
              </w:rPr>
              <w:t>提供“其他资格要求需提供的声明函”。</w:t>
            </w:r>
          </w:p>
        </w:tc>
      </w:tr>
    </w:tbl>
    <w:p>
      <w:pPr>
        <w:spacing w:line="480" w:lineRule="exact"/>
        <w:ind w:firstLine="361" w:firstLineChars="200"/>
        <w:rPr>
          <w:rFonts w:hint="eastAsia" w:ascii="宋体" w:hAnsi="宋体" w:cs="宋体"/>
          <w:b/>
          <w:bCs/>
          <w:color w:val="auto"/>
          <w:sz w:val="18"/>
          <w:szCs w:val="18"/>
          <w:highlight w:val="none"/>
          <w:lang w:bidi="ar"/>
        </w:rPr>
      </w:pPr>
      <w:r>
        <w:rPr>
          <w:rFonts w:hint="eastAsia" w:ascii="宋体" w:hAnsi="宋体" w:cs="宋体"/>
          <w:b/>
          <w:bCs/>
          <w:color w:val="auto"/>
          <w:sz w:val="18"/>
          <w:szCs w:val="18"/>
          <w:highlight w:val="none"/>
          <w:lang w:bidi="ar"/>
        </w:rPr>
        <w:t>注：（1）上述审查内容中，任意一项不符合的，资格审查不合格。</w:t>
      </w:r>
    </w:p>
    <w:p>
      <w:pPr>
        <w:spacing w:line="340" w:lineRule="exact"/>
        <w:rPr>
          <w:rFonts w:hint="eastAsia" w:ascii="宋体" w:hAnsi="宋体" w:cs="宋体"/>
          <w:b/>
          <w:bCs/>
          <w:color w:val="auto"/>
          <w:szCs w:val="21"/>
          <w:highlight w:val="none"/>
          <w:lang w:bidi="ar"/>
        </w:rPr>
      </w:pPr>
    </w:p>
    <w:p>
      <w:pPr>
        <w:spacing w:line="480" w:lineRule="exact"/>
        <w:rPr>
          <w:rFonts w:hint="eastAsia" w:ascii="宋体" w:hAnsi="宋体" w:cs="宋体"/>
          <w:b/>
          <w:color w:val="auto"/>
          <w:szCs w:val="21"/>
          <w:highlight w:val="none"/>
          <w:lang w:bidi="ar"/>
        </w:rPr>
      </w:pPr>
      <w:r>
        <w:rPr>
          <w:rFonts w:hint="eastAsia" w:ascii="宋体" w:hAnsi="宋体" w:cs="宋体"/>
          <w:b/>
          <w:color w:val="auto"/>
          <w:szCs w:val="21"/>
          <w:highlight w:val="none"/>
          <w:lang w:bidi="ar"/>
        </w:rPr>
        <w:t>附表2：</w:t>
      </w:r>
    </w:p>
    <w:p>
      <w:pPr>
        <w:spacing w:line="480" w:lineRule="exact"/>
        <w:jc w:val="center"/>
        <w:rPr>
          <w:rFonts w:hint="eastAsia" w:ascii="宋体" w:hAnsi="宋体" w:cs="宋体"/>
          <w:b/>
          <w:color w:val="auto"/>
          <w:szCs w:val="21"/>
          <w:highlight w:val="none"/>
          <w:lang w:bidi="ar"/>
        </w:rPr>
      </w:pPr>
      <w:r>
        <w:rPr>
          <w:rFonts w:hint="eastAsia" w:ascii="宋体" w:hAnsi="宋体" w:cs="宋体"/>
          <w:b/>
          <w:color w:val="auto"/>
          <w:szCs w:val="21"/>
          <w:highlight w:val="none"/>
          <w:lang w:bidi="ar"/>
        </w:rPr>
        <w:t>商务技术文件符合性审查表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499"/>
        <w:gridCol w:w="5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20" w:type="dxa"/>
            <w:noWrap w:val="0"/>
            <w:vAlign w:val="top"/>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4499" w:type="dxa"/>
            <w:noWrap w:val="0"/>
            <w:vAlign w:val="top"/>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审查项目</w:t>
            </w:r>
          </w:p>
        </w:tc>
        <w:tc>
          <w:tcPr>
            <w:tcW w:w="5105" w:type="dxa"/>
            <w:noWrap w:val="0"/>
            <w:vAlign w:val="top"/>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4499"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投标有效期：符合招标文件的要求。</w:t>
            </w:r>
          </w:p>
        </w:tc>
        <w:tc>
          <w:tcPr>
            <w:tcW w:w="510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提供“投标函”。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4499"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法定代表人身份证明、法定代表人授权书。</w:t>
            </w:r>
          </w:p>
        </w:tc>
        <w:tc>
          <w:tcPr>
            <w:tcW w:w="510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（1）投标文件由法定代表人签字的，提供“法定代表人身份证明”。</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（2）投标文件由授权代表签字的，提供“法定代表人身份证明”和“法定代表人授权书”。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4499"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投标文件的签署盖章</w:t>
            </w:r>
          </w:p>
        </w:tc>
        <w:tc>
          <w:tcPr>
            <w:tcW w:w="510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符合第三章“投标须知”第四条第（六）款的要求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restart"/>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4499" w:type="dxa"/>
            <w:vMerge w:val="restart"/>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其他</w:t>
            </w:r>
          </w:p>
        </w:tc>
        <w:tc>
          <w:tcPr>
            <w:tcW w:w="510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对同个子包不允许提供两个投标方案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noWrap w:val="0"/>
            <w:vAlign w:val="center"/>
          </w:tcPr>
          <w:p>
            <w:pPr>
              <w:spacing w:line="400" w:lineRule="exact"/>
              <w:jc w:val="center"/>
              <w:rPr>
                <w:rFonts w:hint="eastAsia" w:ascii="宋体" w:hAnsi="宋体" w:cs="宋体"/>
                <w:color w:val="auto"/>
                <w:szCs w:val="21"/>
                <w:highlight w:val="none"/>
              </w:rPr>
            </w:pPr>
          </w:p>
        </w:tc>
        <w:tc>
          <w:tcPr>
            <w:tcW w:w="4499" w:type="dxa"/>
            <w:vMerge w:val="continue"/>
            <w:noWrap w:val="0"/>
            <w:vAlign w:val="center"/>
          </w:tcPr>
          <w:p>
            <w:pPr>
              <w:spacing w:line="400" w:lineRule="exact"/>
              <w:rPr>
                <w:rFonts w:hint="eastAsia" w:ascii="宋体" w:hAnsi="宋体" w:cs="宋体"/>
                <w:color w:val="auto"/>
                <w:szCs w:val="21"/>
                <w:highlight w:val="none"/>
              </w:rPr>
            </w:pPr>
          </w:p>
        </w:tc>
        <w:tc>
          <w:tcPr>
            <w:tcW w:w="510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不允许出现与招标文件有重大偏离的投标文件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20" w:type="dxa"/>
            <w:vMerge w:val="continue"/>
            <w:noWrap w:val="0"/>
            <w:vAlign w:val="center"/>
          </w:tcPr>
          <w:p>
            <w:pPr>
              <w:spacing w:line="400" w:lineRule="exact"/>
              <w:jc w:val="center"/>
              <w:rPr>
                <w:rFonts w:hint="eastAsia" w:ascii="宋体" w:hAnsi="宋体" w:cs="宋体"/>
                <w:color w:val="auto"/>
                <w:szCs w:val="21"/>
                <w:highlight w:val="none"/>
              </w:rPr>
            </w:pPr>
          </w:p>
        </w:tc>
        <w:tc>
          <w:tcPr>
            <w:tcW w:w="4499" w:type="dxa"/>
            <w:vMerge w:val="continue"/>
            <w:noWrap w:val="0"/>
            <w:vAlign w:val="center"/>
          </w:tcPr>
          <w:p>
            <w:pPr>
              <w:spacing w:line="400" w:lineRule="exact"/>
              <w:rPr>
                <w:rFonts w:hint="eastAsia" w:ascii="宋体" w:hAnsi="宋体" w:cs="宋体"/>
                <w:color w:val="auto"/>
                <w:szCs w:val="21"/>
                <w:highlight w:val="none"/>
              </w:rPr>
            </w:pPr>
          </w:p>
        </w:tc>
        <w:tc>
          <w:tcPr>
            <w:tcW w:w="510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供应商不得在采购活动中提供任何虚假材料或从事其他违法活动的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noWrap w:val="0"/>
            <w:vAlign w:val="center"/>
          </w:tcPr>
          <w:p>
            <w:pPr>
              <w:spacing w:line="400" w:lineRule="exact"/>
              <w:jc w:val="center"/>
              <w:rPr>
                <w:rFonts w:hint="eastAsia" w:ascii="宋体" w:hAnsi="宋体" w:cs="宋体"/>
                <w:color w:val="auto"/>
                <w:szCs w:val="21"/>
                <w:highlight w:val="none"/>
              </w:rPr>
            </w:pPr>
          </w:p>
        </w:tc>
        <w:tc>
          <w:tcPr>
            <w:tcW w:w="4499" w:type="dxa"/>
            <w:vMerge w:val="continue"/>
            <w:noWrap w:val="0"/>
            <w:vAlign w:val="center"/>
          </w:tcPr>
          <w:p>
            <w:pPr>
              <w:spacing w:line="400" w:lineRule="exact"/>
              <w:rPr>
                <w:rFonts w:hint="eastAsia" w:ascii="宋体" w:hAnsi="宋体" w:cs="宋体"/>
                <w:color w:val="auto"/>
                <w:szCs w:val="21"/>
                <w:highlight w:val="none"/>
              </w:rPr>
            </w:pPr>
          </w:p>
        </w:tc>
        <w:tc>
          <w:tcPr>
            <w:tcW w:w="510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符合法律、法规和招标文件中规定的其他实质性要求（实质性要求招标文件中“▲”标记）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9" w:type="dxa"/>
            <w:gridSpan w:val="2"/>
            <w:noWrap w:val="0"/>
            <w:vAlign w:val="center"/>
          </w:tcPr>
          <w:p>
            <w:pPr>
              <w:spacing w:line="400" w:lineRule="exact"/>
              <w:jc w:val="center"/>
              <w:rPr>
                <w:rFonts w:hint="eastAsia" w:ascii="宋体" w:hAnsi="宋体" w:cs="宋体"/>
                <w:color w:val="auto"/>
                <w:highlight w:val="none"/>
              </w:rPr>
            </w:pPr>
            <w:r>
              <w:rPr>
                <w:rFonts w:hint="eastAsia" w:ascii="宋体" w:hAnsi="宋体" w:cs="宋体"/>
                <w:b/>
                <w:color w:val="auto"/>
                <w:szCs w:val="21"/>
                <w:highlight w:val="none"/>
              </w:rPr>
              <w:t>符合性审查结论</w:t>
            </w:r>
          </w:p>
        </w:tc>
        <w:tc>
          <w:tcPr>
            <w:tcW w:w="5105" w:type="dxa"/>
            <w:noWrap w:val="0"/>
            <w:vAlign w:val="center"/>
          </w:tcPr>
          <w:p>
            <w:pPr>
              <w:spacing w:line="400" w:lineRule="exact"/>
              <w:rPr>
                <w:rFonts w:hint="eastAsia" w:ascii="宋体" w:hAnsi="宋体" w:cs="宋体"/>
                <w:color w:val="auto"/>
                <w:szCs w:val="21"/>
                <w:highlight w:val="none"/>
              </w:rPr>
            </w:pPr>
          </w:p>
        </w:tc>
      </w:tr>
    </w:tbl>
    <w:p>
      <w:pPr>
        <w:pStyle w:val="2"/>
        <w:rPr>
          <w:rFonts w:hint="eastAsia" w:ascii="宋体" w:hAnsi="宋体" w:cs="宋体"/>
          <w:color w:val="auto"/>
          <w:highlight w:val="none"/>
        </w:rPr>
      </w:pPr>
    </w:p>
    <w:p>
      <w:pPr>
        <w:spacing w:line="400" w:lineRule="exact"/>
        <w:ind w:firstLine="632" w:firstLineChars="300"/>
        <w:rPr>
          <w:rFonts w:hint="eastAsia" w:ascii="宋体" w:hAnsi="宋体" w:cs="宋体"/>
          <w:b/>
          <w:color w:val="auto"/>
          <w:szCs w:val="22"/>
          <w:highlight w:val="none"/>
          <w:lang w:bidi="ar"/>
        </w:rPr>
      </w:pPr>
      <w:r>
        <w:rPr>
          <w:rFonts w:hint="eastAsia" w:ascii="宋体" w:hAnsi="宋体" w:cs="宋体"/>
          <w:b/>
          <w:color w:val="auto"/>
          <w:szCs w:val="22"/>
          <w:highlight w:val="none"/>
          <w:lang w:bidi="ar"/>
        </w:rPr>
        <w:t>注：1、上述审查项目中，任意一项不符合的，商务技术文件符合性审查不合格。</w:t>
      </w:r>
    </w:p>
    <w:p>
      <w:pPr>
        <w:spacing w:line="360" w:lineRule="exact"/>
        <w:ind w:firstLine="843" w:firstLineChars="400"/>
        <w:rPr>
          <w:rFonts w:hint="eastAsia" w:ascii="宋体" w:hAnsi="宋体" w:cs="宋体"/>
          <w:b/>
          <w:color w:val="auto"/>
          <w:highlight w:val="none"/>
        </w:rPr>
      </w:pPr>
      <w:r>
        <w:rPr>
          <w:rFonts w:hint="eastAsia" w:ascii="宋体" w:hAnsi="宋体" w:cs="宋体"/>
          <w:b/>
          <w:color w:val="auto"/>
          <w:highlight w:val="none"/>
        </w:rPr>
        <w:t>2、上述审查项目中，第3项和第4项，无需在政采云中设置关联点。</w:t>
      </w:r>
    </w:p>
    <w:p>
      <w:pPr>
        <w:spacing w:line="400" w:lineRule="exact"/>
        <w:rPr>
          <w:rFonts w:hint="eastAsia" w:ascii="宋体" w:hAnsi="宋体" w:cs="宋体"/>
          <w:b/>
          <w:bCs/>
          <w:color w:val="auto"/>
          <w:szCs w:val="21"/>
          <w:highlight w:val="none"/>
          <w:lang w:bidi="ar"/>
        </w:rPr>
      </w:pPr>
    </w:p>
    <w:p>
      <w:pPr>
        <w:spacing w:line="400" w:lineRule="exact"/>
        <w:rPr>
          <w:rFonts w:hint="eastAsia" w:ascii="宋体" w:hAnsi="宋体" w:cs="宋体"/>
          <w:b/>
          <w:bCs/>
          <w:color w:val="auto"/>
          <w:szCs w:val="21"/>
          <w:highlight w:val="none"/>
          <w:lang w:bidi="ar"/>
        </w:rPr>
      </w:pPr>
    </w:p>
    <w:p>
      <w:pPr>
        <w:spacing w:line="400" w:lineRule="exact"/>
        <w:rPr>
          <w:rFonts w:hint="eastAsia" w:ascii="宋体" w:hAnsi="宋体" w:cs="宋体"/>
          <w:b/>
          <w:bCs/>
          <w:color w:val="auto"/>
          <w:szCs w:val="21"/>
          <w:highlight w:val="none"/>
          <w:lang w:bidi="ar"/>
        </w:rPr>
      </w:pPr>
    </w:p>
    <w:p>
      <w:pPr>
        <w:spacing w:line="400" w:lineRule="exact"/>
        <w:rPr>
          <w:rFonts w:hint="eastAsia" w:ascii="宋体" w:hAnsi="宋体" w:cs="宋体"/>
          <w:b/>
          <w:bCs/>
          <w:color w:val="auto"/>
          <w:szCs w:val="21"/>
          <w:highlight w:val="none"/>
          <w:lang w:bidi="ar"/>
        </w:rPr>
      </w:pPr>
    </w:p>
    <w:p>
      <w:pPr>
        <w:pStyle w:val="16"/>
        <w:ind w:firstLine="560"/>
        <w:rPr>
          <w:rFonts w:hint="eastAsia" w:ascii="宋体" w:hAnsi="宋体" w:cs="宋体"/>
          <w:color w:val="auto"/>
          <w:highlight w:val="none"/>
        </w:rPr>
      </w:pPr>
    </w:p>
    <w:p>
      <w:pPr>
        <w:spacing w:line="400" w:lineRule="exact"/>
        <w:rPr>
          <w:rFonts w:hint="eastAsia" w:ascii="宋体" w:hAnsi="宋体" w:cs="宋体"/>
          <w:b/>
          <w:bCs/>
          <w:color w:val="auto"/>
          <w:szCs w:val="21"/>
          <w:highlight w:val="none"/>
          <w:lang w:bidi="ar"/>
        </w:rPr>
      </w:pPr>
    </w:p>
    <w:p>
      <w:pPr>
        <w:spacing w:line="400" w:lineRule="exact"/>
        <w:rPr>
          <w:rFonts w:hint="eastAsia" w:ascii="宋体" w:hAnsi="宋体" w:cs="宋体"/>
          <w:b/>
          <w:bCs/>
          <w:color w:val="auto"/>
          <w:szCs w:val="21"/>
          <w:highlight w:val="none"/>
          <w:lang w:bidi="ar"/>
        </w:rPr>
      </w:pPr>
    </w:p>
    <w:p>
      <w:pPr>
        <w:spacing w:line="400" w:lineRule="exact"/>
        <w:rPr>
          <w:rFonts w:hint="eastAsia" w:ascii="宋体" w:hAnsi="宋体" w:cs="宋体"/>
          <w:b/>
          <w:bCs/>
          <w:color w:val="auto"/>
          <w:szCs w:val="21"/>
          <w:highlight w:val="none"/>
        </w:rPr>
      </w:pPr>
      <w:r>
        <w:rPr>
          <w:rFonts w:hint="eastAsia" w:ascii="宋体" w:hAnsi="宋体" w:cs="宋体"/>
          <w:b/>
          <w:bCs/>
          <w:color w:val="auto"/>
          <w:szCs w:val="21"/>
          <w:highlight w:val="none"/>
          <w:lang w:bidi="ar"/>
        </w:rPr>
        <w:t>附表3：</w:t>
      </w:r>
    </w:p>
    <w:p>
      <w:pPr>
        <w:spacing w:line="400" w:lineRule="exact"/>
        <w:jc w:val="center"/>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2021年度慈溪市环杭州湾创新中心**室辅勤采购项目商务技术评分表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820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color w:val="auto"/>
                <w:kern w:val="0"/>
                <w:szCs w:val="21"/>
                <w:highlight w:val="none"/>
              </w:rPr>
            </w:pPr>
            <w:r>
              <w:rPr>
                <w:rFonts w:hint="eastAsia" w:ascii="宋体" w:hAnsi="宋体" w:cs="宋体"/>
                <w:color w:val="auto"/>
                <w:kern w:val="0"/>
                <w:szCs w:val="21"/>
                <w:highlight w:val="none"/>
              </w:rPr>
              <w:t>评分项</w:t>
            </w:r>
          </w:p>
        </w:tc>
        <w:tc>
          <w:tcPr>
            <w:tcW w:w="82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4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评分内容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宋体" w:hAnsi="宋体" w:cs="宋体"/>
                <w:color w:val="auto"/>
                <w:kern w:val="0"/>
                <w:szCs w:val="21"/>
                <w:highlight w:val="none"/>
              </w:rPr>
            </w:pPr>
            <w:r>
              <w:rPr>
                <w:rFonts w:hint="eastAsia" w:ascii="宋体" w:hAnsi="宋体" w:cs="宋体"/>
                <w:color w:val="auto"/>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979" w:type="dxa"/>
            <w:vMerge w:val="restart"/>
            <w:tcBorders>
              <w:top w:val="single" w:color="auto" w:sz="4" w:space="0"/>
              <w:left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商分</w:t>
            </w:r>
          </w:p>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20分</w:t>
            </w:r>
          </w:p>
        </w:tc>
        <w:tc>
          <w:tcPr>
            <w:tcW w:w="8206" w:type="dxa"/>
            <w:tcBorders>
              <w:top w:val="single" w:color="auto" w:sz="4" w:space="0"/>
              <w:left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1、业绩：</w:t>
            </w:r>
          </w:p>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（1）2018年1月1日（以合同签订日期为准）至今投标人具有机关事业单位、公共空间等公建项目业绩的，（服务内容中必须包含安保或秩序管理相关内容），每提供一个业绩得2分，最多得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r>
              <w:rPr>
                <w:rFonts w:hint="eastAsia" w:ascii="宋体" w:hAnsi="宋体" w:cs="宋体"/>
                <w:color w:val="auto"/>
                <w:szCs w:val="21"/>
                <w:highlight w:val="none"/>
              </w:rPr>
              <w:br w:type="textWrapping"/>
            </w:r>
            <w:r>
              <w:rPr>
                <w:rFonts w:hint="eastAsia" w:ascii="宋体" w:hAnsi="宋体" w:cs="宋体"/>
                <w:color w:val="auto"/>
                <w:szCs w:val="21"/>
                <w:highlight w:val="none"/>
              </w:rPr>
              <w:t>（2）2018年1月1日（以合同签订日期为准）至今投标人具有**室</w:t>
            </w:r>
            <w:r>
              <w:rPr>
                <w:rStyle w:val="25"/>
                <w:rFonts w:hint="eastAsia"/>
                <w:color w:val="auto"/>
                <w:highlight w:val="none"/>
              </w:rPr>
              <w:t>或公安、***</w:t>
            </w:r>
            <w:r>
              <w:rPr>
                <w:rFonts w:hint="eastAsia" w:ascii="宋体" w:hAnsi="宋体" w:cs="宋体"/>
                <w:color w:val="auto"/>
                <w:szCs w:val="21"/>
                <w:highlight w:val="none"/>
              </w:rPr>
              <w:t>辅勤相关项目业绩的，</w:t>
            </w:r>
            <w:r>
              <w:rPr>
                <w:rFonts w:hint="eastAsia" w:ascii="宋体" w:hAnsi="宋体" w:cs="宋体"/>
                <w:color w:val="auto"/>
                <w:szCs w:val="21"/>
                <w:highlight w:val="none"/>
                <w:lang w:eastAsia="zh-CN"/>
              </w:rPr>
              <w:t>每提供一个得</w:t>
            </w:r>
            <w:r>
              <w:rPr>
                <w:rFonts w:hint="eastAsia" w:ascii="宋体" w:hAnsi="宋体" w:cs="宋体"/>
                <w:color w:val="auto"/>
                <w:szCs w:val="21"/>
                <w:highlight w:val="none"/>
                <w:lang w:val="en-US" w:eastAsia="zh-CN"/>
              </w:rPr>
              <w:t>4分，最高</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spacing w:line="300" w:lineRule="exact"/>
              <w:rPr>
                <w:rFonts w:hint="eastAsia" w:ascii="宋体" w:hAnsi="宋体" w:cs="宋体"/>
                <w:color w:val="auto"/>
                <w:szCs w:val="21"/>
                <w:highlight w:val="none"/>
              </w:rPr>
            </w:pPr>
            <w:r>
              <w:rPr>
                <w:rFonts w:hint="eastAsia" w:ascii="宋体" w:hAnsi="宋体" w:cs="宋体"/>
                <w:b/>
                <w:bCs/>
                <w:color w:val="auto"/>
                <w:szCs w:val="21"/>
                <w:highlight w:val="none"/>
              </w:rPr>
              <w:t>备注：同一项目续签合同按一个业绩计分，投标文件中提供业绩合同复印件并加盖投标人公章。</w:t>
            </w:r>
          </w:p>
        </w:tc>
        <w:tc>
          <w:tcPr>
            <w:tcW w:w="709" w:type="dxa"/>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79" w:type="dxa"/>
            <w:vMerge w:val="continue"/>
            <w:tcBorders>
              <w:left w:val="single" w:color="auto" w:sz="4" w:space="0"/>
              <w:right w:val="single" w:color="auto" w:sz="4" w:space="0"/>
            </w:tcBorders>
            <w:noWrap w:val="0"/>
            <w:vAlign w:val="center"/>
          </w:tcPr>
          <w:p>
            <w:pPr>
              <w:widowControl/>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2、投标方具有有效的质量管理体系认证、环境管理体系认证、职业健康安全管理体系认证、能源管理体系认证证书的，每提供一份得1分，最多得4分。</w:t>
            </w:r>
          </w:p>
          <w:p>
            <w:pPr>
              <w:spacing w:line="300" w:lineRule="exact"/>
              <w:rPr>
                <w:rFonts w:hint="eastAsia" w:ascii="宋体" w:hAnsi="宋体" w:cs="宋体"/>
                <w:color w:val="auto"/>
                <w:szCs w:val="21"/>
                <w:highlight w:val="none"/>
              </w:rPr>
            </w:pPr>
            <w:r>
              <w:rPr>
                <w:rFonts w:hint="eastAsia" w:ascii="宋体" w:hAnsi="宋体" w:cs="宋体"/>
                <w:b/>
                <w:bCs/>
                <w:color w:val="auto"/>
                <w:szCs w:val="21"/>
                <w:highlight w:val="none"/>
              </w:rPr>
              <w:t>备注：投标文件中提供证书复印件并加盖投标人公章。</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79" w:type="dxa"/>
            <w:vMerge w:val="continue"/>
            <w:tcBorders>
              <w:left w:val="single" w:color="auto" w:sz="4" w:space="0"/>
              <w:right w:val="single" w:color="auto" w:sz="4" w:space="0"/>
            </w:tcBorders>
            <w:noWrap w:val="0"/>
            <w:vAlign w:val="center"/>
          </w:tcPr>
          <w:p>
            <w:pPr>
              <w:widowControl/>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3、2018年1月1日（以荣誉证书或文件颁发的时间为准）以来投标方管理过的服务项目获得行政管理部门颁发的荣誉（优秀、示范等）的，</w:t>
            </w:r>
            <w:r>
              <w:rPr>
                <w:rFonts w:hint="eastAsia" w:ascii="宋体" w:hAnsi="宋体" w:cs="宋体"/>
                <w:color w:val="auto"/>
                <w:szCs w:val="21"/>
                <w:highlight w:val="none"/>
                <w:lang w:eastAsia="zh-CN"/>
              </w:rPr>
              <w:t>县级及以上荣誉得</w:t>
            </w:r>
            <w:r>
              <w:rPr>
                <w:rFonts w:hint="eastAsia" w:ascii="宋体" w:hAnsi="宋体" w:cs="宋体"/>
                <w:color w:val="auto"/>
                <w:szCs w:val="21"/>
                <w:highlight w:val="none"/>
                <w:lang w:val="en-US" w:eastAsia="zh-CN"/>
              </w:rPr>
              <w:t>1分</w:t>
            </w:r>
            <w:r>
              <w:rPr>
                <w:rFonts w:hint="eastAsia" w:ascii="宋体" w:hAnsi="宋体" w:cs="宋体"/>
                <w:color w:val="auto"/>
                <w:szCs w:val="21"/>
                <w:highlight w:val="none"/>
              </w:rPr>
              <w:t>,</w:t>
            </w:r>
            <w:r>
              <w:rPr>
                <w:rFonts w:hint="eastAsia" w:ascii="宋体" w:hAnsi="宋体" w:cs="宋体"/>
                <w:color w:val="auto"/>
                <w:szCs w:val="21"/>
                <w:highlight w:val="none"/>
                <w:lang w:eastAsia="zh-CN"/>
              </w:rPr>
              <w:t>省</w:t>
            </w:r>
            <w:r>
              <w:rPr>
                <w:rFonts w:hint="eastAsia" w:ascii="宋体" w:hAnsi="宋体" w:cs="宋体"/>
                <w:color w:val="auto"/>
                <w:szCs w:val="21"/>
                <w:highlight w:val="none"/>
              </w:rPr>
              <w:t>级及以以上荣誉得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分。本项最多得4分。(同一项目同时具有不同级别的荣誉按照最高荣誉标准计分，提供相关的荣誉复印件加盖公章）。</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79" w:type="dxa"/>
            <w:vMerge w:val="continue"/>
            <w:tcBorders>
              <w:left w:val="single" w:color="auto" w:sz="4" w:space="0"/>
              <w:right w:val="single" w:color="auto" w:sz="4" w:space="0"/>
            </w:tcBorders>
            <w:noWrap w:val="0"/>
            <w:vAlign w:val="center"/>
          </w:tcPr>
          <w:p>
            <w:pPr>
              <w:widowControl/>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4、人员配置要求：</w:t>
            </w:r>
          </w:p>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1）拟派经理（队长）满足以下条件：①大专（含大专）以上学历；②持有退伍军人证书；③中共党员身份；④具备人社部门颁发的保安员二级及以上证书。全部满足得2分，缺少一项得1分，缺少二项及以上不得分。</w:t>
            </w:r>
          </w:p>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（2）拟派人员相关证书要求：拟派辅勤人员中，具有行业主管部门颁发的建（构）筑物消防员证或保安员上岗证的，按一名辅勤人员得0.5分，最多的2分。</w:t>
            </w:r>
          </w:p>
          <w:p>
            <w:pPr>
              <w:rPr>
                <w:rFonts w:hint="eastAsia" w:ascii="宋体" w:hAnsi="宋体" w:cs="宋体"/>
                <w:color w:val="auto"/>
                <w:szCs w:val="21"/>
                <w:highlight w:val="none"/>
              </w:rPr>
            </w:pPr>
            <w:r>
              <w:rPr>
                <w:rFonts w:hint="eastAsia" w:ascii="宋体" w:hAnsi="宋体" w:cs="宋体"/>
                <w:color w:val="auto"/>
                <w:szCs w:val="21"/>
                <w:highlight w:val="none"/>
              </w:rPr>
              <w:t>（同一人同时具有2种证书按一人计，投标文件内提供证书复印件及该人员在投标单位缴纳近三个月以上的社保证明复印件）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firstLine="199" w:firstLineChars="95"/>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979" w:type="dxa"/>
            <w:vMerge w:val="restart"/>
            <w:tcBorders>
              <w:left w:val="single" w:color="auto" w:sz="4" w:space="0"/>
              <w:right w:val="single" w:color="auto" w:sz="4" w:space="0"/>
            </w:tcBorders>
            <w:noWrap w:val="0"/>
            <w:vAlign w:val="center"/>
          </w:tcPr>
          <w:p>
            <w:pPr>
              <w:widowControl/>
              <w:snapToGrid w:val="0"/>
              <w:rPr>
                <w:rFonts w:hint="eastAsia" w:ascii="宋体" w:hAnsi="宋体" w:cs="宋体"/>
                <w:color w:val="auto"/>
                <w:kern w:val="0"/>
                <w:szCs w:val="21"/>
                <w:highlight w:val="none"/>
              </w:rPr>
            </w:pPr>
            <w:r>
              <w:rPr>
                <w:rFonts w:hint="eastAsia" w:ascii="宋体" w:hAnsi="宋体" w:cs="宋体"/>
                <w:color w:val="auto"/>
                <w:kern w:val="0"/>
                <w:szCs w:val="21"/>
                <w:highlight w:val="none"/>
              </w:rPr>
              <w:t>技术分60分</w:t>
            </w:r>
          </w:p>
        </w:tc>
        <w:tc>
          <w:tcPr>
            <w:tcW w:w="82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1、服务管理整体设想及策划：针对本项目详细说明整体保障措施、专业化管理及规范的管理手段进行评定，合理科学的得10-6分，基本合理的得6-4分，存在缺陷的4-0分。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firstLine="210" w:firstLineChars="100"/>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979" w:type="dxa"/>
            <w:vMerge w:val="continue"/>
            <w:tcBorders>
              <w:left w:val="single" w:color="auto" w:sz="4" w:space="0"/>
              <w:right w:val="single" w:color="auto" w:sz="4" w:space="0"/>
            </w:tcBorders>
            <w:noWrap w:val="0"/>
            <w:vAlign w:val="center"/>
          </w:tcPr>
          <w:p>
            <w:pPr>
              <w:widowControl/>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2、项目分析及解决方案：针对本项目的重点、特点、难点分析到位，解决方案可行的得7-5分，针对本项目的重点、特点、难点分析基本到位，解决方案基本可行的得5-3分，针对本项目的重点、特点、难点分析欠到位，解决方案欠可行的得3-0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firstLine="199" w:firstLineChars="95"/>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979" w:type="dxa"/>
            <w:vMerge w:val="continue"/>
            <w:tcBorders>
              <w:left w:val="single" w:color="auto" w:sz="4" w:space="0"/>
              <w:right w:val="single" w:color="auto" w:sz="4" w:space="0"/>
            </w:tcBorders>
            <w:noWrap w:val="0"/>
            <w:vAlign w:val="center"/>
          </w:tcPr>
          <w:p>
            <w:pPr>
              <w:widowControl/>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3、人员的配置（至少包括姓名、年龄、职称（如有）、文化程度、工作经历、岗位证书）、培训与管理措施；针对本项目详细说明项目的整体人员配置的合理性及优越性进行评定；</w:t>
            </w:r>
          </w:p>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人员配置优越、培训与管理措施合理的得7-5分，人员配置、培训与管理措施基本合理的得5-3分，人员配置、培训与管理措施欠合理的得3-0分。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firstLine="199" w:firstLineChars="95"/>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979" w:type="dxa"/>
            <w:vMerge w:val="continue"/>
            <w:tcBorders>
              <w:left w:val="single" w:color="auto" w:sz="4" w:space="0"/>
              <w:right w:val="single" w:color="auto" w:sz="4" w:space="0"/>
            </w:tcBorders>
            <w:noWrap w:val="0"/>
            <w:vAlign w:val="center"/>
          </w:tcPr>
          <w:p>
            <w:pPr>
              <w:widowControl/>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4、设备装备计划：针对本项目的整体安保物资配置的合理性进行评定；配置合理，安保物资齐备得7-5分；配置基本合理，安保物资齐备基本齐备得5-3分；配置不够合理，安保物资齐备未齐备得3-0分。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firstLine="199" w:firstLineChars="95"/>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79" w:type="dxa"/>
            <w:vMerge w:val="continue"/>
            <w:tcBorders>
              <w:left w:val="single" w:color="auto" w:sz="4" w:space="0"/>
              <w:right w:val="single" w:color="auto" w:sz="4" w:space="0"/>
            </w:tcBorders>
            <w:noWrap w:val="0"/>
            <w:vAlign w:val="center"/>
          </w:tcPr>
          <w:p>
            <w:pPr>
              <w:widowControl/>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5、制度和档案的建立与管理：针对本项目说明各服务管理制度的完善性及可操作性进行评定；管理制度完善且可操作性强的得7-5分；管理制度基本完善且具有可操作性的得5-3分；管理制度欠完善且可操作性欠缺的得3-0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firstLine="199" w:firstLineChars="95"/>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979" w:type="dxa"/>
            <w:vMerge w:val="continue"/>
            <w:tcBorders>
              <w:left w:val="single" w:color="auto" w:sz="4" w:space="0"/>
              <w:right w:val="single" w:color="auto" w:sz="4" w:space="0"/>
            </w:tcBorders>
            <w:noWrap w:val="0"/>
            <w:vAlign w:val="center"/>
          </w:tcPr>
          <w:p>
            <w:pPr>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6、项目的服务与管理：针对本项目说明辅勤服务管理项目的保障措施进行评定；保障措施可操作性强的得7-5分；保障措施可操作性一般的得5-3分；保障措施可操作性欠缺的得3-0分；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firstLine="199" w:firstLineChars="95"/>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979" w:type="dxa"/>
            <w:vMerge w:val="continue"/>
            <w:tcBorders>
              <w:left w:val="single" w:color="auto" w:sz="4" w:space="0"/>
              <w:right w:val="single" w:color="auto" w:sz="4" w:space="0"/>
            </w:tcBorders>
            <w:noWrap w:val="0"/>
            <w:vAlign w:val="center"/>
          </w:tcPr>
          <w:p>
            <w:pPr>
              <w:widowControl/>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7、突发事件应急处理措施：针对本项目的特性及针对本行业制订的紧急预案与配备的应急响应装备，并具有可操作性进行评定；紧急预案可操作性强，配备的应急响应装备齐备得10-6分；紧急预案基本具有可操作性，配备的应急响应装备基本齐备得6-4分；紧急预案操作性欠缺，配备的应急响应装备未齐备得4-0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979" w:type="dxa"/>
            <w:vMerge w:val="continue"/>
            <w:tcBorders>
              <w:left w:val="single" w:color="auto" w:sz="4" w:space="0"/>
              <w:right w:val="single" w:color="auto" w:sz="4" w:space="0"/>
            </w:tcBorders>
            <w:noWrap w:val="0"/>
            <w:vAlign w:val="center"/>
          </w:tcPr>
          <w:p>
            <w:pPr>
              <w:widowControl/>
              <w:snapToGrid w:val="0"/>
              <w:ind w:firstLine="420"/>
              <w:jc w:val="center"/>
              <w:rPr>
                <w:rFonts w:hint="eastAsia" w:ascii="宋体" w:hAnsi="宋体" w:cs="宋体"/>
                <w:color w:val="auto"/>
                <w:kern w:val="0"/>
                <w:szCs w:val="21"/>
                <w:highlight w:val="none"/>
              </w:rPr>
            </w:pPr>
          </w:p>
        </w:tc>
        <w:tc>
          <w:tcPr>
            <w:tcW w:w="82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8、投标方本地化服务能力及其组织情况，由评委根据各投标方提供的本地化服务方案进行评定；</w:t>
            </w:r>
            <w:r>
              <w:rPr>
                <w:rFonts w:hint="eastAsia" w:ascii="宋体" w:hAnsi="宋体" w:cs="宋体"/>
                <w:color w:val="auto"/>
                <w:kern w:val="0"/>
                <w:szCs w:val="21"/>
                <w:highlight w:val="none"/>
              </w:rPr>
              <w:t>服务体系完善且具有本地化服务并能及时响应的得5-4分，本地化服务体系基本具备、响应时间满足要求的得4-2分，服务体系有所欠缺的的2-0分。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firstLine="199" w:firstLineChars="95"/>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r>
    </w:tbl>
    <w:p>
      <w:pPr>
        <w:spacing w:line="400" w:lineRule="exact"/>
        <w:rPr>
          <w:rFonts w:hint="eastAsia" w:ascii="宋体" w:hAnsi="宋体" w:cs="宋体"/>
          <w:b/>
          <w:bCs/>
          <w:color w:val="auto"/>
          <w:sz w:val="20"/>
          <w:highlight w:val="none"/>
          <w:lang w:bidi="ar"/>
        </w:rPr>
      </w:pPr>
      <w:r>
        <w:rPr>
          <w:rFonts w:hint="eastAsia" w:ascii="宋体" w:hAnsi="宋体" w:cs="宋体"/>
          <w:b/>
          <w:bCs/>
          <w:color w:val="auto"/>
          <w:sz w:val="20"/>
          <w:highlight w:val="none"/>
          <w:lang w:bidi="ar"/>
        </w:rPr>
        <w:t>注：各评委根据评标情况进行独立评估打分，小数点后保留一位（上限包括本数，下限不包括本数）。</w:t>
      </w:r>
    </w:p>
    <w:p>
      <w:pPr>
        <w:pStyle w:val="2"/>
        <w:rPr>
          <w:rFonts w:hint="eastAsia" w:ascii="宋体" w:hAnsi="宋体" w:cs="宋体"/>
          <w:color w:val="auto"/>
          <w:highlight w:val="none"/>
        </w:rPr>
      </w:pPr>
    </w:p>
    <w:p>
      <w:pPr>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评委签名：                                              </w:t>
      </w:r>
    </w:p>
    <w:p>
      <w:pPr>
        <w:pStyle w:val="2"/>
        <w:ind w:firstLine="480"/>
        <w:rPr>
          <w:rFonts w:hint="eastAsia" w:ascii="宋体" w:hAnsi="宋体" w:cs="宋体"/>
          <w:color w:val="auto"/>
          <w:highlight w:val="none"/>
        </w:rPr>
      </w:pPr>
    </w:p>
    <w:p>
      <w:pPr>
        <w:jc w:val="righ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 年    月    日  </w:t>
      </w:r>
    </w:p>
    <w:p>
      <w:pPr>
        <w:widowControl/>
        <w:spacing w:line="340" w:lineRule="exact"/>
        <w:rPr>
          <w:rFonts w:hint="eastAsia" w:ascii="宋体" w:hAnsi="宋体" w:cs="宋体"/>
          <w:color w:val="auto"/>
          <w:szCs w:val="21"/>
          <w:highlight w:val="none"/>
          <w:lang w:bidi="ar"/>
        </w:rPr>
      </w:pPr>
    </w:p>
    <w:p>
      <w:pPr>
        <w:widowControl/>
        <w:spacing w:line="340" w:lineRule="exact"/>
        <w:rPr>
          <w:rFonts w:hint="eastAsia" w:ascii="宋体" w:hAnsi="宋体" w:cs="宋体"/>
          <w:color w:val="auto"/>
          <w:szCs w:val="21"/>
          <w:highlight w:val="none"/>
          <w:lang w:bidi="ar"/>
        </w:rPr>
      </w:pPr>
    </w:p>
    <w:p>
      <w:pPr>
        <w:pStyle w:val="9"/>
        <w:ind w:left="1470" w:right="1470"/>
        <w:rPr>
          <w:rFonts w:hint="eastAsia" w:ascii="宋体" w:hAnsi="宋体" w:cs="宋体"/>
          <w:color w:val="auto"/>
          <w:szCs w:val="21"/>
          <w:highlight w:val="none"/>
          <w:lang w:bidi="ar"/>
        </w:rPr>
      </w:pPr>
    </w:p>
    <w:p>
      <w:pPr>
        <w:pStyle w:val="9"/>
        <w:ind w:left="1470" w:right="1470"/>
        <w:rPr>
          <w:rFonts w:hint="eastAsia" w:ascii="宋体" w:hAnsi="宋体" w:cs="宋体"/>
          <w:color w:val="auto"/>
          <w:szCs w:val="21"/>
          <w:highlight w:val="none"/>
          <w:lang w:bidi="ar"/>
        </w:rPr>
      </w:pPr>
    </w:p>
    <w:p>
      <w:pPr>
        <w:spacing w:line="400" w:lineRule="exac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br w:type="page"/>
      </w:r>
      <w:r>
        <w:rPr>
          <w:rFonts w:hint="eastAsia" w:ascii="宋体" w:hAnsi="宋体" w:cs="宋体"/>
          <w:b/>
          <w:bCs/>
          <w:color w:val="auto"/>
          <w:szCs w:val="21"/>
          <w:highlight w:val="none"/>
          <w:lang w:bidi="ar"/>
        </w:rPr>
        <w:t>附表4</w:t>
      </w:r>
    </w:p>
    <w:p>
      <w:pPr>
        <w:spacing w:line="400" w:lineRule="exact"/>
        <w:jc w:val="center"/>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报价文件符合性审查表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8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5859" w:type="dxa"/>
            <w:noWrap w:val="0"/>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要求说明</w:t>
            </w:r>
          </w:p>
        </w:tc>
        <w:tc>
          <w:tcPr>
            <w:tcW w:w="2836" w:type="dxa"/>
            <w:noWrap w:val="0"/>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5859" w:type="dxa"/>
            <w:noWrap w:val="0"/>
            <w:vAlign w:val="top"/>
          </w:tcPr>
          <w:p>
            <w:pPr>
              <w:spacing w:line="400" w:lineRule="exact"/>
              <w:jc w:val="left"/>
              <w:rPr>
                <w:rFonts w:hint="eastAsia" w:ascii="宋体" w:hAnsi="宋体" w:cs="宋体"/>
                <w:color w:val="auto"/>
                <w:szCs w:val="21"/>
                <w:highlight w:val="none"/>
              </w:rPr>
            </w:pPr>
            <w:r>
              <w:rPr>
                <w:rFonts w:hint="eastAsia" w:ascii="宋体" w:hAnsi="宋体" w:cs="宋体"/>
                <w:color w:val="auto"/>
                <w:szCs w:val="21"/>
                <w:highlight w:val="none"/>
              </w:rPr>
              <w:t>本项目设有预算价，预算价为：</w:t>
            </w:r>
            <w:r>
              <w:rPr>
                <w:rFonts w:hint="eastAsia" w:ascii="宋体" w:hAnsi="宋体" w:cs="宋体"/>
                <w:color w:val="auto"/>
                <w:szCs w:val="21"/>
                <w:highlight w:val="none"/>
                <w:lang w:eastAsia="zh-CN"/>
              </w:rPr>
              <w:t>2097625</w:t>
            </w:r>
            <w:r>
              <w:rPr>
                <w:rFonts w:hint="eastAsia" w:ascii="宋体" w:hAnsi="宋体" w:cs="宋体"/>
                <w:color w:val="auto"/>
                <w:szCs w:val="21"/>
                <w:highlight w:val="none"/>
              </w:rPr>
              <w:t>元人民币。投标报价（最后报价）超过预算价的，作无效报价处理。</w:t>
            </w:r>
          </w:p>
        </w:tc>
        <w:tc>
          <w:tcPr>
            <w:tcW w:w="2836"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提供“报价一览表”。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5859"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投标文件的签署盖章。</w:t>
            </w:r>
          </w:p>
        </w:tc>
        <w:tc>
          <w:tcPr>
            <w:tcW w:w="2836"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符合第三章“投标须知”第四条第（六）款的要求。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5859"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评审小组认为供应商的报价明显低于其他通过第一阶段评审供应商的报价，有可能影响产品质量或者不能诚信履约的，应当要求其在评审现场合理的时间内提供书面说明，必要时提交相关证明材料；供应商不能证明其报价合理性的，评审小组应当将其作为无效报价处理。</w:t>
            </w:r>
          </w:p>
        </w:tc>
        <w:tc>
          <w:tcPr>
            <w:tcW w:w="2836"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5859"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符合法律、法规和招标文件中规定的其他实质性要求（实质性要求招标文件中“</w:t>
            </w:r>
            <w:r>
              <w:rPr>
                <w:rFonts w:hint="eastAsia" w:ascii="宋体" w:hAnsi="宋体" w:cs="宋体"/>
                <w:b/>
                <w:color w:val="auto"/>
                <w:sz w:val="24"/>
                <w:highlight w:val="none"/>
              </w:rPr>
              <w:t>▲</w:t>
            </w:r>
            <w:r>
              <w:rPr>
                <w:rFonts w:hint="eastAsia" w:ascii="宋体" w:hAnsi="宋体" w:cs="宋体"/>
                <w:color w:val="auto"/>
                <w:szCs w:val="21"/>
                <w:highlight w:val="none"/>
              </w:rPr>
              <w:t>”标记）</w:t>
            </w:r>
          </w:p>
        </w:tc>
        <w:tc>
          <w:tcPr>
            <w:tcW w:w="2836"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9" w:type="dxa"/>
            <w:gridSpan w:val="2"/>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b/>
                <w:color w:val="auto"/>
                <w:szCs w:val="21"/>
                <w:highlight w:val="none"/>
              </w:rPr>
              <w:t>报价审查结论</w:t>
            </w:r>
          </w:p>
        </w:tc>
        <w:tc>
          <w:tcPr>
            <w:tcW w:w="2836" w:type="dxa"/>
            <w:noWrap w:val="0"/>
            <w:vAlign w:val="center"/>
          </w:tcPr>
          <w:p>
            <w:pPr>
              <w:spacing w:line="400" w:lineRule="exact"/>
              <w:rPr>
                <w:rFonts w:hint="eastAsia" w:ascii="宋体" w:hAnsi="宋体" w:cs="宋体"/>
                <w:color w:val="auto"/>
                <w:szCs w:val="21"/>
                <w:highlight w:val="none"/>
              </w:rPr>
            </w:pPr>
          </w:p>
        </w:tc>
      </w:tr>
    </w:tbl>
    <w:p>
      <w:pPr>
        <w:spacing w:line="400" w:lineRule="exac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注：1、上述审查项目中，任意一项不符合的，报价文件符合性审查不合格。</w:t>
      </w:r>
    </w:p>
    <w:p>
      <w:pPr>
        <w:spacing w:line="360" w:lineRule="exact"/>
        <w:ind w:firstLine="422" w:firstLineChars="200"/>
        <w:rPr>
          <w:rFonts w:hint="eastAsia" w:ascii="宋体" w:hAnsi="宋体" w:cs="宋体"/>
          <w:b/>
          <w:color w:val="auto"/>
          <w:highlight w:val="none"/>
        </w:rPr>
      </w:pPr>
      <w:r>
        <w:rPr>
          <w:rFonts w:hint="eastAsia" w:ascii="宋体" w:hAnsi="宋体" w:cs="宋体"/>
          <w:b/>
          <w:color w:val="auto"/>
          <w:highlight w:val="none"/>
        </w:rPr>
        <w:t>2、上述审查项目中的第2项至第4项，无需在政采云中设置关联点。</w:t>
      </w:r>
    </w:p>
    <w:p>
      <w:pPr>
        <w:spacing w:line="400" w:lineRule="exact"/>
        <w:rPr>
          <w:rFonts w:hint="eastAsia" w:ascii="宋体" w:hAnsi="宋体" w:cs="宋体"/>
          <w:b/>
          <w:bCs/>
          <w:color w:val="auto"/>
          <w:szCs w:val="21"/>
          <w:highlight w:val="none"/>
          <w:lang w:bidi="ar"/>
        </w:rPr>
      </w:pPr>
    </w:p>
    <w:p>
      <w:pPr>
        <w:spacing w:line="400" w:lineRule="exact"/>
        <w:rPr>
          <w:rFonts w:hint="eastAsia" w:ascii="宋体" w:hAnsi="宋体" w:cs="宋体"/>
          <w:b/>
          <w:bCs/>
          <w:color w:val="auto"/>
          <w:szCs w:val="21"/>
          <w:highlight w:val="none"/>
          <w:lang w:bidi="ar"/>
        </w:rPr>
      </w:pPr>
    </w:p>
    <w:p>
      <w:pPr>
        <w:spacing w:line="400" w:lineRule="exact"/>
        <w:rPr>
          <w:rFonts w:hint="eastAsia" w:ascii="宋体" w:hAnsi="宋体" w:cs="宋体"/>
          <w:b/>
          <w:bCs/>
          <w:color w:val="auto"/>
          <w:szCs w:val="21"/>
          <w:highlight w:val="none"/>
          <w:lang w:bidi="ar"/>
        </w:rPr>
      </w:pPr>
    </w:p>
    <w:p>
      <w:pPr>
        <w:spacing w:line="400" w:lineRule="exac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附表5</w:t>
      </w:r>
    </w:p>
    <w:p>
      <w:pPr>
        <w:spacing w:line="400" w:lineRule="exact"/>
        <w:jc w:val="center"/>
        <w:rPr>
          <w:rFonts w:hint="eastAsia" w:ascii="宋体" w:hAnsi="宋体" w:cs="宋体"/>
          <w:color w:val="auto"/>
          <w:highlight w:val="none"/>
        </w:rPr>
      </w:pPr>
      <w:r>
        <w:rPr>
          <w:rFonts w:hint="eastAsia" w:ascii="宋体" w:hAnsi="宋体" w:cs="宋体"/>
          <w:b/>
          <w:bCs/>
          <w:color w:val="auto"/>
          <w:szCs w:val="21"/>
          <w:highlight w:val="none"/>
          <w:lang w:bidi="ar"/>
        </w:rPr>
        <w:t>价格评分表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750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420"/>
              <w:jc w:val="center"/>
              <w:rPr>
                <w:rFonts w:hint="eastAsia" w:ascii="宋体" w:hAnsi="宋体" w:cs="宋体"/>
                <w:color w:val="auto"/>
                <w:szCs w:val="21"/>
                <w:highlight w:val="none"/>
              </w:rPr>
            </w:pPr>
            <w:bookmarkStart w:id="14" w:name="_Toc32514_WPSOffice_Level1"/>
            <w:bookmarkStart w:id="15" w:name="_Toc12084_WPSOffice_Level1"/>
            <w:r>
              <w:rPr>
                <w:rFonts w:hint="eastAsia" w:ascii="宋体" w:hAnsi="宋体" w:cs="宋体"/>
                <w:color w:val="auto"/>
                <w:szCs w:val="21"/>
                <w:highlight w:val="none"/>
              </w:rPr>
              <w:t>投标供应商分值</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0"/>
                <w:highlight w:val="none"/>
              </w:rPr>
            </w:pPr>
            <w:r>
              <w:rPr>
                <w:rFonts w:hint="eastAsia" w:ascii="宋体" w:hAnsi="宋体" w:cs="宋体"/>
                <w:color w:val="auto"/>
                <w:sz w:val="20"/>
                <w:highlight w:val="none"/>
              </w:rPr>
              <w:t>投标报价（20分）</w:t>
            </w:r>
          </w:p>
        </w:tc>
        <w:tc>
          <w:tcPr>
            <w:tcW w:w="75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auto"/>
                <w:sz w:val="20"/>
                <w:highlight w:val="none"/>
              </w:rPr>
            </w:pPr>
            <w:r>
              <w:rPr>
                <w:rFonts w:hint="eastAsia" w:ascii="宋体" w:hAnsi="宋体" w:cs="宋体"/>
                <w:color w:val="auto"/>
                <w:sz w:val="20"/>
                <w:highlight w:val="none"/>
              </w:rPr>
              <w:t>参与评审的价格=投标报价-小微企业价格扣除优惠值6%。</w:t>
            </w:r>
          </w:p>
          <w:p>
            <w:pPr>
              <w:spacing w:line="360" w:lineRule="exact"/>
              <w:rPr>
                <w:rFonts w:hint="eastAsia" w:ascii="宋体" w:hAnsi="宋体" w:cs="宋体"/>
                <w:color w:val="auto"/>
                <w:sz w:val="20"/>
                <w:highlight w:val="none"/>
              </w:rPr>
            </w:pPr>
            <w:r>
              <w:rPr>
                <w:rFonts w:hint="eastAsia" w:ascii="宋体" w:hAnsi="宋体" w:cs="宋体"/>
                <w:color w:val="auto"/>
                <w:sz w:val="20"/>
                <w:highlight w:val="none"/>
              </w:rPr>
              <w:t>评标基准价=满足招标文件要求且“参与评审的价格”中最低的价格为评标基准价。</w:t>
            </w:r>
          </w:p>
          <w:p>
            <w:pPr>
              <w:spacing w:line="360" w:lineRule="exact"/>
              <w:rPr>
                <w:rFonts w:hint="eastAsia" w:ascii="宋体" w:hAnsi="宋体" w:cs="宋体"/>
                <w:color w:val="auto"/>
                <w:sz w:val="20"/>
                <w:highlight w:val="none"/>
              </w:rPr>
            </w:pPr>
            <w:r>
              <w:rPr>
                <w:rFonts w:hint="eastAsia" w:ascii="宋体" w:hAnsi="宋体" w:cs="宋体"/>
                <w:color w:val="auto"/>
                <w:sz w:val="20"/>
                <w:highlight w:val="none"/>
              </w:rPr>
              <w:t>基准价得分为满分20分，其他投标报价得分计算公式如下：</w:t>
            </w:r>
          </w:p>
          <w:p>
            <w:pPr>
              <w:spacing w:line="360" w:lineRule="exact"/>
              <w:rPr>
                <w:rFonts w:hint="eastAsia" w:ascii="宋体" w:hAnsi="宋体" w:cs="宋体"/>
                <w:color w:val="auto"/>
                <w:sz w:val="20"/>
                <w:highlight w:val="none"/>
              </w:rPr>
            </w:pPr>
            <w:r>
              <w:rPr>
                <w:rFonts w:hint="eastAsia" w:ascii="宋体" w:hAnsi="宋体" w:cs="宋体"/>
                <w:color w:val="auto"/>
                <w:sz w:val="20"/>
                <w:highlight w:val="none"/>
              </w:rPr>
              <w:t>投标报价得分=(评标基准价/参与评审的价格)×20%×100</w:t>
            </w:r>
          </w:p>
          <w:p>
            <w:pPr>
              <w:spacing w:line="360" w:lineRule="exact"/>
              <w:rPr>
                <w:rFonts w:hint="eastAsia" w:ascii="宋体" w:hAnsi="宋体" w:cs="宋体"/>
                <w:color w:val="auto"/>
                <w:sz w:val="20"/>
                <w:highlight w:val="none"/>
              </w:rPr>
            </w:pPr>
            <w:r>
              <w:rPr>
                <w:rFonts w:hint="eastAsia" w:ascii="宋体" w:hAnsi="宋体" w:cs="宋体"/>
                <w:color w:val="auto"/>
                <w:sz w:val="20"/>
                <w:highlight w:val="none"/>
              </w:rPr>
              <w:t>得分四舍五入保留到小数点后两位。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总分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20</w:t>
            </w:r>
          </w:p>
        </w:tc>
      </w:tr>
    </w:tbl>
    <w:p>
      <w:pPr>
        <w:spacing w:line="360" w:lineRule="auto"/>
        <w:jc w:val="center"/>
        <w:outlineLvl w:val="0"/>
        <w:rPr>
          <w:rStyle w:val="58"/>
          <w:rFonts w:hint="eastAsia" w:ascii="宋体" w:hAnsi="宋体" w:cs="宋体"/>
          <w:color w:val="auto"/>
          <w:sz w:val="32"/>
          <w:szCs w:val="32"/>
          <w:highlight w:val="none"/>
        </w:rPr>
      </w:pPr>
    </w:p>
    <w:p>
      <w:pPr>
        <w:spacing w:line="360" w:lineRule="auto"/>
        <w:jc w:val="center"/>
        <w:outlineLvl w:val="0"/>
        <w:rPr>
          <w:rFonts w:hint="eastAsia" w:ascii="宋体" w:hAnsi="宋体" w:cs="宋体"/>
          <w:b/>
          <w:bCs/>
          <w:color w:val="auto"/>
          <w:sz w:val="18"/>
          <w:szCs w:val="18"/>
          <w:highlight w:val="none"/>
        </w:rPr>
      </w:pPr>
      <w:r>
        <w:rPr>
          <w:rStyle w:val="58"/>
          <w:rFonts w:hint="eastAsia" w:ascii="宋体" w:hAnsi="宋体" w:cs="宋体"/>
          <w:color w:val="auto"/>
          <w:sz w:val="32"/>
          <w:szCs w:val="32"/>
          <w:highlight w:val="none"/>
        </w:rPr>
        <w:br w:type="page"/>
      </w:r>
      <w:r>
        <w:rPr>
          <w:rStyle w:val="58"/>
          <w:rFonts w:hint="eastAsia" w:ascii="宋体" w:hAnsi="宋体" w:cs="宋体"/>
          <w:color w:val="auto"/>
          <w:sz w:val="32"/>
          <w:szCs w:val="32"/>
          <w:highlight w:val="none"/>
        </w:rPr>
        <w:t>第五章 合同主要条款</w:t>
      </w:r>
      <w:bookmarkEnd w:id="14"/>
      <w:bookmarkEnd w:id="15"/>
    </w:p>
    <w:p>
      <w:pPr>
        <w:spacing w:before="195" w:beforeLines="50"/>
        <w:ind w:firstLine="1446" w:firstLineChars="600"/>
        <w:rPr>
          <w:rFonts w:hint="eastAsia" w:ascii="宋体" w:hAnsi="宋体" w:cs="宋体"/>
          <w:color w:val="auto"/>
          <w:highlight w:val="none"/>
        </w:rPr>
      </w:pPr>
      <w:bookmarkStart w:id="16" w:name="_Toc10406_WPSOffice_Level1"/>
      <w:bookmarkStart w:id="17" w:name="_Toc21201_WPSOffice_Level1"/>
      <w:r>
        <w:rPr>
          <w:rFonts w:hint="eastAsia" w:ascii="宋体" w:hAnsi="宋体" w:cs="宋体"/>
          <w:b/>
          <w:color w:val="auto"/>
          <w:sz w:val="24"/>
          <w:highlight w:val="none"/>
        </w:rPr>
        <w:t>（本合同为合同样稿，最终稿由甲乙双方协商后确定）</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甲方：（招标方）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乙方：（中标方）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经过公开招标，确定</w:t>
      </w:r>
      <w:r>
        <w:rPr>
          <w:rFonts w:hint="eastAsia" w:ascii="宋体" w:hAnsi="宋体" w:cs="宋体"/>
          <w:color w:val="auto"/>
          <w:szCs w:val="21"/>
          <w:highlight w:val="none"/>
          <w:u w:val="single"/>
        </w:rPr>
        <w:t xml:space="preserve">  （乙方）</w:t>
      </w:r>
      <w:r>
        <w:rPr>
          <w:rFonts w:hint="eastAsia" w:ascii="宋体" w:hAnsi="宋体" w:cs="宋体"/>
          <w:color w:val="auto"/>
          <w:szCs w:val="21"/>
          <w:highlight w:val="none"/>
        </w:rPr>
        <w:t>为</w:t>
      </w: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rPr>
        <w:t>的中标方，双方在自愿、平等、协商一致的基础上，特订立本合同。</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第一条  合同事项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本合同就甲方委托乙方管理的事项仅做如下简要说明，具体详见甲方发出的“慈溪市环杭州湾创新中心**室辅勤服务采购项目”招标文件及乙方针对本项目的投标文件。</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第二条  合同文件组成及解释顺序</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1、下列文件一起组成本合同文件：</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（1）本采购合同及其补充协议（如有）；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（2）中标通知书；</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（3）招标文件及其修改、补充文件（如有）；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（4）询标承诺、询疑答复；</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（5）投标文件及其补充文件；</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（6）双方来函</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合同文件组成的所有内容是构成合同不可分割的部分，与合同具有同等法律效力。上述文件相互补充和解释，如有不明确或不一致之处，以上述次序在先者为准。除上述合同顺序外，合同文件之间有矛盾的，以较后时间制定的为准。</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第三条  服务期限</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1、服务期限为壹年，自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r>
        <w:rPr>
          <w:rFonts w:hint="eastAsia" w:ascii="宋体" w:hAnsi="宋体" w:cs="宋体"/>
          <w:color w:val="auto"/>
          <w:kern w:val="0"/>
          <w:szCs w:val="21"/>
          <w:highlight w:val="none"/>
        </w:rPr>
        <w:t>每年经采购人考核合格后，每年合同经费应符合政府采购预算安排要求，申报政府采购计划并批准，双方同意后，方可续签下一年度的合同，最多续签2年</w:t>
      </w:r>
      <w:r>
        <w:rPr>
          <w:rFonts w:hint="eastAsia" w:ascii="宋体" w:hAnsi="宋体" w:cs="宋体"/>
          <w:color w:val="auto"/>
          <w:szCs w:val="21"/>
          <w:highlight w:val="none"/>
        </w:rPr>
        <w:t>。</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第四条  合同金额及费用支付</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1、合同金额：本合同金额为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元/年。 </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（1）项目费用为完成本项目一年期的</w:t>
      </w:r>
      <w:r>
        <w:rPr>
          <w:rFonts w:hint="eastAsia" w:ascii="宋体" w:hAnsi="宋体" w:cs="宋体"/>
          <w:b/>
          <w:bCs/>
          <w:color w:val="auto"/>
          <w:szCs w:val="21"/>
          <w:highlight w:val="none"/>
        </w:rPr>
        <w:t>①辅勤人员的工资及福利等（包括人工工资、社会保险</w:t>
      </w:r>
      <w:r>
        <w:rPr>
          <w:rFonts w:hint="eastAsia" w:ascii="宋体" w:hAnsi="宋体" w:cs="宋体"/>
          <w:b/>
          <w:bCs/>
          <w:color w:val="auto"/>
          <w:szCs w:val="21"/>
          <w:highlight w:val="none"/>
          <w:lang w:eastAsia="zh-CN"/>
        </w:rPr>
        <w:t>及各类保险</w:t>
      </w:r>
      <w:r>
        <w:rPr>
          <w:rFonts w:hint="eastAsia" w:ascii="宋体" w:hAnsi="宋体" w:cs="宋体"/>
          <w:b/>
          <w:bCs/>
          <w:color w:val="auto"/>
          <w:szCs w:val="21"/>
          <w:highlight w:val="none"/>
        </w:rPr>
        <w:t>、人员福利费（含餐费</w:t>
      </w:r>
      <w:r>
        <w:rPr>
          <w:rFonts w:hint="eastAsia" w:ascii="宋体" w:hAnsi="宋体" w:cs="宋体"/>
          <w:b/>
          <w:bCs/>
          <w:color w:val="auto"/>
          <w:szCs w:val="21"/>
          <w:highlight w:val="none"/>
          <w:lang w:eastAsia="zh-CN"/>
        </w:rPr>
        <w:t>补贴</w:t>
      </w:r>
      <w:r>
        <w:rPr>
          <w:rFonts w:hint="eastAsia" w:ascii="宋体" w:hAnsi="宋体" w:cs="宋体"/>
          <w:b/>
          <w:bCs/>
          <w:color w:val="auto"/>
          <w:szCs w:val="21"/>
          <w:highlight w:val="none"/>
        </w:rPr>
        <w:t>、节日福利</w:t>
      </w:r>
      <w:r>
        <w:rPr>
          <w:rFonts w:hint="eastAsia" w:ascii="宋体" w:hAnsi="宋体" w:cs="宋体"/>
          <w:b/>
          <w:bCs/>
          <w:color w:val="auto"/>
          <w:szCs w:val="21"/>
          <w:highlight w:val="none"/>
          <w:lang w:eastAsia="zh-CN"/>
        </w:rPr>
        <w:t>等</w:t>
      </w:r>
      <w:r>
        <w:rPr>
          <w:rFonts w:hint="eastAsia" w:ascii="宋体" w:hAnsi="宋体" w:cs="宋体"/>
          <w:b/>
          <w:bCs/>
          <w:color w:val="auto"/>
          <w:szCs w:val="21"/>
          <w:highlight w:val="none"/>
        </w:rPr>
        <w:t>）、</w:t>
      </w:r>
      <w:r>
        <w:rPr>
          <w:rFonts w:hint="eastAsia" w:ascii="宋体" w:hAnsi="宋体" w:cs="宋体"/>
          <w:b/>
          <w:bCs/>
          <w:color w:val="auto"/>
          <w:szCs w:val="21"/>
          <w:highlight w:val="none"/>
          <w:lang w:eastAsia="zh-CN"/>
        </w:rPr>
        <w:t>各类</w:t>
      </w:r>
      <w:r>
        <w:rPr>
          <w:rFonts w:hint="eastAsia" w:ascii="宋体" w:hAnsi="宋体" w:cs="宋体"/>
          <w:b/>
          <w:bCs/>
          <w:color w:val="auto"/>
          <w:szCs w:val="21"/>
          <w:highlight w:val="none"/>
        </w:rPr>
        <w:t>奖金、服装费、</w:t>
      </w:r>
      <w:r>
        <w:rPr>
          <w:rFonts w:hint="eastAsia" w:ascii="宋体" w:hAnsi="宋体" w:cs="宋体"/>
          <w:b/>
          <w:bCs/>
          <w:color w:val="auto"/>
          <w:szCs w:val="21"/>
          <w:highlight w:val="none"/>
          <w:lang w:eastAsia="zh-CN"/>
        </w:rPr>
        <w:t>节假日加班费</w:t>
      </w:r>
      <w:r>
        <w:rPr>
          <w:rFonts w:hint="eastAsia" w:ascii="宋体" w:hAnsi="宋体" w:cs="宋体"/>
          <w:b/>
          <w:bCs/>
          <w:color w:val="auto"/>
          <w:szCs w:val="21"/>
          <w:highlight w:val="none"/>
        </w:rPr>
        <w:t>、高温补</w:t>
      </w:r>
      <w:r>
        <w:rPr>
          <w:rFonts w:hint="eastAsia" w:ascii="宋体" w:hAnsi="宋体" w:cs="宋体"/>
          <w:b/>
          <w:color w:val="auto"/>
          <w:szCs w:val="21"/>
          <w:highlight w:val="none"/>
        </w:rPr>
        <w:t>贴、差旅费等所有费用）②办公经费（暂按一年63000元计，一年服务期满后按实际支出结算，最多不得超过63000元）③车辆</w:t>
      </w:r>
      <w:r>
        <w:rPr>
          <w:rFonts w:hint="eastAsia" w:ascii="宋体" w:hAnsi="宋体" w:cs="宋体"/>
          <w:b/>
          <w:color w:val="auto"/>
          <w:szCs w:val="21"/>
          <w:highlight w:val="none"/>
          <w:lang w:eastAsia="zh-CN"/>
        </w:rPr>
        <w:t>购买或租赁、</w:t>
      </w:r>
      <w:r>
        <w:rPr>
          <w:rFonts w:hint="eastAsia" w:ascii="宋体" w:hAnsi="宋体" w:cs="宋体"/>
          <w:b/>
          <w:color w:val="auto"/>
          <w:szCs w:val="21"/>
          <w:highlight w:val="none"/>
        </w:rPr>
        <w:t>折旧、保险、维修和油费等（一年包干）</w:t>
      </w:r>
      <w:r>
        <w:rPr>
          <w:rFonts w:hint="eastAsia" w:ascii="宋体" w:hAnsi="宋体" w:cs="宋体"/>
          <w:b/>
          <w:color w:val="auto"/>
          <w:szCs w:val="21"/>
          <w:highlight w:val="none"/>
        </w:rPr>
        <w:t>④设备装备费用</w:t>
      </w:r>
      <w:r>
        <w:rPr>
          <w:rFonts w:hint="eastAsia" w:ascii="宋体" w:hAnsi="宋体" w:cs="宋体"/>
          <w:b/>
          <w:color w:val="auto"/>
          <w:szCs w:val="21"/>
          <w:highlight w:val="none"/>
          <w:lang w:eastAsia="zh-CN"/>
        </w:rPr>
        <w:t>（其中对讲机和执法记录仪的费用只计一次，合同履约结束对讲机和执法记录仪产权归采购人所有。今后如遇合同续签，对讲机和执法记录仪的费用不再另计费；执法记录仪流量费仍计入续签合同。）</w:t>
      </w:r>
      <w:r>
        <w:rPr>
          <w:rFonts w:hint="eastAsia" w:ascii="宋体" w:hAnsi="宋体" w:cs="宋体"/>
          <w:b/>
          <w:color w:val="auto"/>
          <w:szCs w:val="21"/>
          <w:highlight w:val="none"/>
        </w:rPr>
        <w:t>⑤公司管理费⑥利润</w:t>
      </w:r>
      <w:r>
        <w:rPr>
          <w:rFonts w:hint="eastAsia" w:ascii="宋体" w:hAnsi="宋体"/>
          <w:b/>
          <w:color w:val="auto"/>
          <w:szCs w:val="21"/>
          <w:highlight w:val="none"/>
        </w:rPr>
        <w:t>⑦</w:t>
      </w:r>
      <w:r>
        <w:rPr>
          <w:rFonts w:hint="eastAsia" w:ascii="宋体" w:hAnsi="宋体" w:cs="宋体"/>
          <w:b/>
          <w:color w:val="auto"/>
          <w:szCs w:val="21"/>
          <w:highlight w:val="none"/>
        </w:rPr>
        <w:t>税金等</w:t>
      </w:r>
      <w:r>
        <w:rPr>
          <w:rFonts w:hint="eastAsia" w:ascii="宋体" w:hAnsi="宋体" w:cs="宋体"/>
          <w:color w:val="auto"/>
          <w:szCs w:val="21"/>
          <w:highlight w:val="none"/>
        </w:rPr>
        <w:t>。除以上费用外，涉及重大活动保障的甲方要求乙方提供额外人员到场执勤的费用可另计，价格按投标人员工资单价。</w:t>
      </w:r>
    </w:p>
    <w:p>
      <w:pPr>
        <w:spacing w:line="420" w:lineRule="exact"/>
        <w:ind w:firstLine="420"/>
        <w:rPr>
          <w:rFonts w:hint="eastAsia" w:ascii="宋体" w:hAnsi="宋体" w:cs="宋体"/>
          <w:color w:val="auto"/>
          <w:szCs w:val="21"/>
          <w:highlight w:val="none"/>
        </w:rPr>
      </w:pPr>
      <w:bookmarkStart w:id="18" w:name="_Hlk10544831"/>
      <w:r>
        <w:rPr>
          <w:rFonts w:hint="eastAsia" w:ascii="宋体" w:hAnsi="宋体" w:cs="宋体"/>
          <w:color w:val="auto"/>
          <w:szCs w:val="21"/>
          <w:highlight w:val="none"/>
        </w:rPr>
        <w:t>服务期内服务人员工资福利、社保等不得违反慈溪市政府及当地劳动部门相关规定，合同期遇社保或最低基本工资调整，相应差价报甲方审核后可作相应调整。</w:t>
      </w:r>
    </w:p>
    <w:bookmarkEnd w:id="18"/>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（2）政府采购合同履行过程中，甲方需增加合同标的相同服务的，在不改变合同其他条款的前提下，与乙方协商签订补充合同，但所有补充合同的采购金额不得超过原合同采购金额的10%。</w:t>
      </w:r>
    </w:p>
    <w:p>
      <w:pPr>
        <w:spacing w:line="500" w:lineRule="exact"/>
        <w:ind w:firstLine="414"/>
        <w:rPr>
          <w:rFonts w:hint="eastAsia" w:ascii="宋体" w:hAnsi="宋体" w:cs="宋体"/>
          <w:b/>
          <w:color w:val="auto"/>
          <w:szCs w:val="21"/>
          <w:highlight w:val="none"/>
        </w:rPr>
      </w:pPr>
      <w:r>
        <w:rPr>
          <w:rFonts w:hint="eastAsia" w:ascii="宋体" w:hAnsi="宋体" w:cs="宋体"/>
          <w:color w:val="auto"/>
          <w:szCs w:val="21"/>
          <w:highlight w:val="none"/>
        </w:rPr>
        <w:t>2、费用支付：</w:t>
      </w:r>
      <w:r>
        <w:rPr>
          <w:rFonts w:hint="eastAsia" w:ascii="宋体" w:hAnsi="宋体" w:cs="宋体"/>
          <w:b/>
          <w:color w:val="auto"/>
          <w:szCs w:val="21"/>
          <w:highlight w:val="none"/>
        </w:rPr>
        <w:t>合同签订后支付合同金的30%，第二季度服务期满后十个工作日内支付合同金的20%（扣除应扣款项），第三季度服务期满后十个工作日内支付合同金的25%（扣除应扣款项），一年期满后十个工作日内付清全款（扣除应扣款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因乙方原因，人员配置仍不能达到招标文件中采购质量要求的，甲方有权要求乙方增派人员以确保服务质量，但不得增加费用。</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第五条  履约保证</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本合同履约保证金为合同总价的5%，计￥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元，（安全管理40%、服务质量40%、人员到位10%、廉政10%）乙方在签订合同前提交。履约保证金有效期到中标方按合同要求完成合同义务后终止，履约保证金于有效期止后10天内无息退还</w:t>
      </w:r>
      <w:r>
        <w:rPr>
          <w:rFonts w:hint="eastAsia" w:ascii="宋体" w:hAnsi="宋体" w:cs="宋体"/>
          <w:b/>
          <w:color w:val="auto"/>
          <w:szCs w:val="21"/>
          <w:highlight w:val="none"/>
        </w:rPr>
        <w:t>（扣除应扣款项）</w:t>
      </w:r>
      <w:r>
        <w:rPr>
          <w:rFonts w:hint="eastAsia" w:ascii="宋体" w:hAnsi="宋体" w:cs="宋体"/>
          <w:color w:val="auto"/>
          <w:szCs w:val="21"/>
          <w:highlight w:val="none"/>
        </w:rPr>
        <w:t>；但如果存在合同履行争议且尚未解决，则履约保证金有效期等争议最终解决且理赔完毕后终止。</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第六条  甲、乙双方的权利和义务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1、甲方的权利和义务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（1）代表和维护甲方的合法权益；审定乙方制定的管理服务方案、制度；</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（2）检查监督乙方根据招标文件、投标文件及管理方案的实施和制度的实行情况；</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（3）审议乙方制订的服务年度计划等；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（4）按本合同的规定支付费用；</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（5）负责对乙方执行日常工作的监督及乙方派驻现场的工作人员的监督；</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（6）协助乙方做好服务工作和服务的宣传工作；</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（7）处理合同期间在管理服务工作中需甲方出面协调的问题；</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（8）配合乙方共同协调处理相关问题；</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（9）对乙方违反法规、规章的行为，提请有关部门处理；</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（10）负责对乙方管理服务工作质量的考核，考核标准详见招标文件。</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2、乙方权利和义务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根据有关法律、法规及招标文件、投标文件等的约定，制定管理服务方案及实施方案，按方案书的承诺履行合同，并配合甲方监管人员的业务检查，接受服务监管考核制度的约束，其考核结果作为费用正常支付和续签合同的重要依据；</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（2）需建立健全项目管理档案资料，如安保工作记录以及其他需要记录在案的文档，并做好各项保密工作；</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（3）应认真听取甲方提出的建议和意见，并接受甲方的考核管理规定，对在服务管理中出现的问题和薄弱环节应立即整改；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（4）对服务人员违反法规、规章的行为，根据情节轻重，采取批评、规劝、警告、制止等措施或提请有关部门处理；</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（5）加强治安形势教育和加强内部管理，根据项目开展的工作进度适时调整管理办法；</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（6）项目实施过程中服务年度计划、月度人员排班计划，以及人员调动情况需及时上报甲方备案；</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（7）所有项目人员必须经严格培训，经考核合格后上岗，要求身体健康，无犯罪等不良记录；</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（8）乙方应按照甲方要求做好日常节能工作；</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（9）本合同终止时，乙方必须向甲方移交全部甲方资产及全部的管理档案资料；</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（10）乙方不得将整体或部分管理责任及利益对外转让或发包，不得将未征得甲方同意的服务业务对外分包或转包。</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 xml:space="preserve">第七条 </w:t>
      </w:r>
      <w:bookmarkStart w:id="19" w:name="_Hlk10545471"/>
      <w:r>
        <w:rPr>
          <w:rFonts w:hint="eastAsia" w:ascii="宋体" w:hAnsi="宋体" w:cs="宋体"/>
          <w:color w:val="auto"/>
          <w:szCs w:val="21"/>
          <w:highlight w:val="none"/>
        </w:rPr>
        <w:t xml:space="preserve"> 甲、乙双方责任限定</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1、乙方工作人员在服务过程中，因其工作失职造成甲方损失的．乙方应承担相应的经济赔偿。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2、甲方禁止安排乙方工作人员参与违反法律法规及工作职责以外的活动，违者由甲方承担法律和经济责任。</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乙方派遣至甲方的所有工作人员，其食宿、着装、社会保险、意外伤害保险、培训等各类费用及发生的各种工伤事故和意外事故均由乙方承担，乙方按有关规定按实足额支付工资加班费用并为全体员工缴纳社会保险、人身意外伤害险等，乙方如有违反，由劳动保障部门按有关规定处理，与甲方无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4、乙方在服务期间如遇招工困难，造成项目人员数量配置不足，应在5个工作日内及时补齐，并扣除缺岗人员的所有费用。缺岗人数累加超过20人次的，甲方有权终止合同，并罚没其履约保证金。</w:t>
      </w:r>
    </w:p>
    <w:bookmarkEnd w:id="19"/>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第八条  合同的变更、终止及违约责任</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1、甲方在乙方存在如下违约情况时，有权单方面终止全部或部分合同，乙方所交的履约保证金不予退还，并保留进一步追究乙方责任的权利（包括经济赔偿）。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（1）乙方未能履行合同规定的义务；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（2）有严重影响项目正常工作及甲方形象；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（3）乙方存在与招标文件不符合的做法，或不履行其响应文件的承诺；</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（4）乙方存在其他违约行为经甲方书面催告后仍不改正的；</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（5）在合同有效期内，对本合同范围内的工作内容乙方擅自委托或转包给其它单位或个人。</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2、乙方如要提前中止合同，需提前3个月，并征得甲方同意，否则按合同执行。</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除不可抗力以外，如发生乙方不能履行合同义务，或甲方发生中途终止合同等情况，应及时以书面形式通知对方。甲乙双方应本着友好的态度进行协商，妥善解决。如协商无效，按下列规定计算并支付违约金，违约金在款项支付中直接扣除：</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（1）乙方不能履行合同义务，应按未履行部分合同价格的10%向甲方偿付违约金，同时履约保证金不予退还。</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（2）如乙方未能履行合同规定的任何一项义务，甲方均有权从履约保证金中得到补偿。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（3）经双方协商可终止部分或全部合同的，无须承担违约责任。</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4、乙方因工作疏忽而造成甲方财产损失的，乙方应按损失的价值照价赔偿。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乙方工作人员在工作时间违反甲方的管理制度造成安全事故、综治事件、造成甲方的名誉和形象受损的，乙方应立即采取有效措施，恢复甲方的名誉并向甲方支付违约金，若乙方造成甲方损失的，应予赔偿。违约金和赔偿金由甲方依据安全事故的性质、程度以及甲方的名誉、形象受损的范围和程度确定，并在支付合同款时在合同款中扣除。</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6、考核：</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乙方应无条件接受甲方定期或不定期检查监督，按招标文件考核细则按每季度进行打分考核，满分为100分。季度打分低于80分，则本季度管理考核为不合格，将处以 2万元人民的罚款</w:t>
      </w:r>
      <w:r>
        <w:rPr>
          <w:rFonts w:hint="eastAsia" w:ascii="宋体" w:hAnsi="宋体" w:cs="宋体"/>
          <w:color w:val="auto"/>
          <w:szCs w:val="21"/>
          <w:highlight w:val="none"/>
          <w:lang w:eastAsia="zh-CN"/>
        </w:rPr>
        <w:t>，该罚款从从项目进度款中扣除</w:t>
      </w:r>
      <w:r>
        <w:rPr>
          <w:rFonts w:hint="eastAsia" w:ascii="宋体" w:hAnsi="宋体" w:cs="宋体"/>
          <w:color w:val="auto"/>
          <w:szCs w:val="21"/>
          <w:highlight w:val="none"/>
        </w:rPr>
        <w:t>，且不得续签下年度服务合同。如果乙方管理混乱，连续两次考核不合格，则甲方有权终止合同，并罚没其履约保证金。</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在慈溪市环杭州湾创新中心检查中，按检查要求发现问题每扣1分，扣人民币500元，总分95分以上的，允许按时整改不扣罚，不能按时整改的，按上述标准扣罚；总分95分以下的，即按上述标准扣罚。不管总分如何，检查中发现的问题均需按时整改，若不能按时整改完成，业主单位将下发通知单函告整改，函告整改以二次为限，函告二次仍不能完成整改，业主方有权解除合同。</w:t>
      </w:r>
      <w:r>
        <w:rPr>
          <w:rFonts w:hint="eastAsia" w:ascii="宋体" w:hAnsi="宋体" w:cs="宋体"/>
          <w:color w:val="auto"/>
          <w:szCs w:val="21"/>
          <w:highlight w:val="none"/>
          <w:lang w:eastAsia="zh-CN"/>
        </w:rPr>
        <w:t>该</w:t>
      </w:r>
      <w:r>
        <w:rPr>
          <w:rFonts w:hint="eastAsia" w:ascii="宋体" w:hAnsi="宋体" w:cs="宋体"/>
          <w:color w:val="auto"/>
          <w:szCs w:val="21"/>
          <w:highlight w:val="none"/>
        </w:rPr>
        <w:t>扣罚款项</w:t>
      </w:r>
      <w:r>
        <w:rPr>
          <w:rFonts w:hint="eastAsia" w:ascii="宋体" w:hAnsi="宋体" w:cs="宋体"/>
          <w:color w:val="auto"/>
          <w:szCs w:val="21"/>
          <w:highlight w:val="none"/>
          <w:lang w:eastAsia="zh-CN"/>
        </w:rPr>
        <w:t>从相应的履约保证金中扣除。</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7、其他违约情形：</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（1）乙方未确保响应承诺的人员到位，或人员素质不符合招标文件要求，或与响应承诺不一致的，按实际缺席天数扣除人员费用，一周后仍没到位，加扣当月服务费的50%。</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（2）甲方要求乙方变动或更换人员，乙方未在规定时间内变动或更换的，每人次扣1000元。</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（3）乙方未按投标文件承诺配置设备及耗材的，或配置设备及耗材质量、数量不能满足日常需要的，每次扣1000元。</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第九条  不可抗力事件处理</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1、在合同有效期内，任何一方因不可抗力事件导致不能履行合同，则合同履行期可延长，其延长期与不可抗力影响期相同。</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2、不可抗力事件发生后，应立即通知对方，并寄送有关权威机构出具的证明。</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3、不可抗力事件延续10天及以上，双方应通过友好协商，确定是否继续履行合同。</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第十条  其他事项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1、自本合同生效之日起15个自然日内，根据甲方委托管理事项，办理完交接验收手续。</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2、甲、乙方对《招标文件》以外的服务项目，可根据实际情况另行签订补充协议。补充协议和本合同的附件与本合同具有同等效力。</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3、本合同在履行过程中发生争议时，当事人双方应及时协调解决。协商不成时，向慈溪市人民法院起诉。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如遇突发或重大事件，乙方管理人员应在第一时间报告**室负责人和甲方负责人，乙方相关负责人应在第一时间到达现场，及时处理或协助处理有关问题；如甲方认为情况危及到内部人员的安定管理，乙方应无条件同意甲方直接调配乙方资源直至危机结束。</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5、由于乙方原因而损坏设施设备的，由乙方负责赔偿。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6、如因政策性调整，乙方在服务期间因国家相关政策调整致使中途服务停止，乙方不得提出任何索赔。</w:t>
      </w:r>
    </w:p>
    <w:p>
      <w:pPr>
        <w:spacing w:line="420" w:lineRule="exact"/>
        <w:ind w:firstLine="420"/>
        <w:rPr>
          <w:rFonts w:hint="eastAsia"/>
          <w:color w:val="auto"/>
          <w:highlight w:val="none"/>
        </w:rPr>
      </w:pPr>
      <w:r>
        <w:rPr>
          <w:rFonts w:hint="eastAsia" w:ascii="宋体" w:hAnsi="宋体" w:cs="宋体"/>
          <w:color w:val="auto"/>
          <w:szCs w:val="21"/>
          <w:highlight w:val="none"/>
        </w:rPr>
        <w:t>7、采购人有权根据区域整体工作部署，终止或继续履行合同。乙方在投标前应当充分考虑由此带来的风险，乙方不得提出任何索赔。</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第十一条  合同生效及其他</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1、合同经双方法定代表人或授权代表签字加盖单位公章，且乙方提交履约保证金后生效。</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2、本合同未尽事宜，经双方协商一致，签订补充协议，补充协议与本协议书具有同等效力。</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3、本合同一式六份，甲、乙双方各执三份，均具有同等效力。</w:t>
      </w:r>
    </w:p>
    <w:p>
      <w:pPr>
        <w:spacing w:line="420" w:lineRule="exact"/>
        <w:ind w:firstLine="420"/>
        <w:rPr>
          <w:rFonts w:hint="eastAsia" w:ascii="宋体" w:hAnsi="宋体" w:cs="宋体"/>
          <w:color w:val="auto"/>
          <w:szCs w:val="21"/>
          <w:highlight w:val="none"/>
        </w:rPr>
      </w:pPr>
    </w:p>
    <w:p>
      <w:pPr>
        <w:spacing w:line="420" w:lineRule="exact"/>
        <w:ind w:firstLine="420"/>
        <w:rPr>
          <w:rFonts w:hint="eastAsia" w:ascii="宋体" w:hAnsi="宋体" w:cs="宋体"/>
          <w:color w:val="auto"/>
          <w:szCs w:val="21"/>
          <w:highlight w:val="none"/>
        </w:rPr>
      </w:pPr>
    </w:p>
    <w:p>
      <w:pPr>
        <w:spacing w:line="420" w:lineRule="exact"/>
        <w:ind w:firstLine="420"/>
        <w:rPr>
          <w:rFonts w:hint="eastAsia" w:ascii="宋体" w:hAnsi="宋体" w:cs="宋体"/>
          <w:color w:val="auto"/>
          <w:szCs w:val="21"/>
          <w:highlight w:val="none"/>
        </w:rPr>
      </w:pPr>
    </w:p>
    <w:tbl>
      <w:tblPr>
        <w:tblStyle w:val="17"/>
        <w:tblW w:w="0" w:type="auto"/>
        <w:jc w:val="center"/>
        <w:tblLayout w:type="fixed"/>
        <w:tblCellMar>
          <w:top w:w="0" w:type="dxa"/>
          <w:left w:w="108" w:type="dxa"/>
          <w:bottom w:w="0" w:type="dxa"/>
          <w:right w:w="108" w:type="dxa"/>
        </w:tblCellMar>
      </w:tblPr>
      <w:tblGrid>
        <w:gridCol w:w="1526"/>
        <w:gridCol w:w="3120"/>
        <w:gridCol w:w="1559"/>
        <w:gridCol w:w="3084"/>
      </w:tblGrid>
      <w:tr>
        <w:tblPrEx>
          <w:tblCellMar>
            <w:top w:w="0" w:type="dxa"/>
            <w:left w:w="108" w:type="dxa"/>
            <w:bottom w:w="0" w:type="dxa"/>
            <w:right w:w="108" w:type="dxa"/>
          </w:tblCellMar>
        </w:tblPrEx>
        <w:trPr>
          <w:trHeight w:val="535" w:hRule="atLeast"/>
          <w:jc w:val="center"/>
        </w:trPr>
        <w:tc>
          <w:tcPr>
            <w:tcW w:w="1526"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甲  方</w:t>
            </w:r>
          </w:p>
        </w:tc>
        <w:tc>
          <w:tcPr>
            <w:tcW w:w="3120" w:type="dxa"/>
            <w:noWrap w:val="0"/>
            <w:vAlign w:val="center"/>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（盖章）</w:t>
            </w:r>
          </w:p>
        </w:tc>
        <w:tc>
          <w:tcPr>
            <w:tcW w:w="1559"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乙  方</w:t>
            </w:r>
          </w:p>
        </w:tc>
        <w:tc>
          <w:tcPr>
            <w:tcW w:w="3084" w:type="dxa"/>
            <w:noWrap w:val="0"/>
            <w:vAlign w:val="center"/>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（盖章）</w:t>
            </w: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3120" w:type="dxa"/>
            <w:vMerge w:val="restart"/>
            <w:noWrap w:val="0"/>
            <w:vAlign w:val="center"/>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（签字）</w:t>
            </w:r>
          </w:p>
        </w:tc>
        <w:tc>
          <w:tcPr>
            <w:tcW w:w="1559" w:type="dxa"/>
            <w:noWrap w:val="0"/>
            <w:vAlign w:val="top"/>
          </w:tcPr>
          <w:p>
            <w:pPr>
              <w:spacing w:line="520" w:lineRule="exact"/>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3084" w:type="dxa"/>
            <w:vMerge w:val="restart"/>
            <w:noWrap w:val="0"/>
            <w:vAlign w:val="center"/>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（签字）</w:t>
            </w: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rPr>
                <w:rFonts w:hint="eastAsia" w:ascii="宋体" w:hAnsi="宋体" w:cs="宋体"/>
                <w:color w:val="auto"/>
                <w:szCs w:val="21"/>
                <w:highlight w:val="none"/>
              </w:rPr>
            </w:pPr>
            <w:r>
              <w:rPr>
                <w:rFonts w:hint="eastAsia" w:ascii="宋体" w:hAnsi="宋体" w:cs="宋体"/>
                <w:color w:val="auto"/>
                <w:szCs w:val="21"/>
                <w:highlight w:val="none"/>
              </w:rPr>
              <w:t>或受委托人</w:t>
            </w:r>
          </w:p>
        </w:tc>
        <w:tc>
          <w:tcPr>
            <w:tcW w:w="3120" w:type="dxa"/>
            <w:vMerge w:val="continue"/>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rPr>
                <w:rFonts w:hint="eastAsia" w:ascii="宋体" w:hAnsi="宋体" w:cs="宋体"/>
                <w:color w:val="auto"/>
                <w:szCs w:val="21"/>
                <w:highlight w:val="none"/>
              </w:rPr>
            </w:pPr>
            <w:r>
              <w:rPr>
                <w:rFonts w:hint="eastAsia" w:ascii="宋体" w:hAnsi="宋体" w:cs="宋体"/>
                <w:color w:val="auto"/>
                <w:szCs w:val="21"/>
                <w:highlight w:val="none"/>
              </w:rPr>
              <w:t>或受委托人</w:t>
            </w:r>
          </w:p>
        </w:tc>
        <w:tc>
          <w:tcPr>
            <w:tcW w:w="3084" w:type="dxa"/>
            <w:vMerge w:val="continue"/>
            <w:noWrap w:val="0"/>
            <w:vAlign w:val="top"/>
          </w:tcPr>
          <w:p>
            <w:pPr>
              <w:spacing w:line="520" w:lineRule="exact"/>
              <w:ind w:firstLine="42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地  址：</w:t>
            </w:r>
          </w:p>
        </w:tc>
        <w:tc>
          <w:tcPr>
            <w:tcW w:w="3120" w:type="dxa"/>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地 址：</w:t>
            </w:r>
          </w:p>
        </w:tc>
        <w:tc>
          <w:tcPr>
            <w:tcW w:w="3084" w:type="dxa"/>
            <w:noWrap w:val="0"/>
            <w:vAlign w:val="top"/>
          </w:tcPr>
          <w:p>
            <w:pPr>
              <w:spacing w:line="520" w:lineRule="exact"/>
              <w:ind w:firstLine="42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3120" w:type="dxa"/>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3084" w:type="dxa"/>
            <w:noWrap w:val="0"/>
            <w:vAlign w:val="top"/>
          </w:tcPr>
          <w:p>
            <w:pPr>
              <w:spacing w:line="520" w:lineRule="exact"/>
              <w:ind w:firstLine="42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rPr>
                <w:rFonts w:hint="eastAsia" w:ascii="宋体" w:hAnsi="宋体" w:cs="宋体"/>
                <w:color w:val="auto"/>
                <w:szCs w:val="21"/>
                <w:highlight w:val="none"/>
              </w:rPr>
            </w:pPr>
            <w:r>
              <w:rPr>
                <w:rFonts w:hint="eastAsia" w:ascii="宋体" w:hAnsi="宋体" w:cs="宋体"/>
                <w:color w:val="auto"/>
                <w:szCs w:val="21"/>
                <w:highlight w:val="none"/>
              </w:rPr>
              <w:t>开户银行：</w:t>
            </w:r>
          </w:p>
        </w:tc>
        <w:tc>
          <w:tcPr>
            <w:tcW w:w="3120" w:type="dxa"/>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rPr>
                <w:rFonts w:hint="eastAsia" w:ascii="宋体" w:hAnsi="宋体" w:cs="宋体"/>
                <w:color w:val="auto"/>
                <w:szCs w:val="21"/>
                <w:highlight w:val="none"/>
              </w:rPr>
            </w:pPr>
            <w:r>
              <w:rPr>
                <w:rFonts w:hint="eastAsia" w:ascii="宋体" w:hAnsi="宋体" w:cs="宋体"/>
                <w:color w:val="auto"/>
                <w:szCs w:val="21"/>
                <w:highlight w:val="none"/>
              </w:rPr>
              <w:t>开户银行：</w:t>
            </w:r>
          </w:p>
        </w:tc>
        <w:tc>
          <w:tcPr>
            <w:tcW w:w="3084" w:type="dxa"/>
            <w:noWrap w:val="0"/>
            <w:vAlign w:val="top"/>
          </w:tcPr>
          <w:p>
            <w:pPr>
              <w:spacing w:line="520" w:lineRule="exact"/>
              <w:ind w:firstLine="42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帐  号：</w:t>
            </w:r>
          </w:p>
        </w:tc>
        <w:tc>
          <w:tcPr>
            <w:tcW w:w="3120" w:type="dxa"/>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帐  号：</w:t>
            </w:r>
          </w:p>
        </w:tc>
        <w:tc>
          <w:tcPr>
            <w:tcW w:w="3084" w:type="dxa"/>
            <w:noWrap w:val="0"/>
            <w:vAlign w:val="top"/>
          </w:tcPr>
          <w:p>
            <w:pPr>
              <w:spacing w:line="520" w:lineRule="exact"/>
              <w:ind w:firstLine="420"/>
              <w:rPr>
                <w:rFonts w:hint="eastAsia" w:ascii="宋体" w:hAnsi="宋体" w:cs="宋体"/>
                <w:color w:val="auto"/>
                <w:szCs w:val="21"/>
                <w:highlight w:val="none"/>
              </w:rPr>
            </w:pPr>
          </w:p>
        </w:tc>
      </w:tr>
    </w:tbl>
    <w:p>
      <w:pPr>
        <w:pStyle w:val="64"/>
        <w:widowControl w:val="0"/>
        <w:snapToGrid w:val="0"/>
        <w:spacing w:line="500" w:lineRule="exact"/>
        <w:ind w:firstLine="554"/>
        <w:outlineLvl w:val="0"/>
        <w:rPr>
          <w:rStyle w:val="58"/>
          <w:rFonts w:hint="eastAsia" w:hAnsi="宋体" w:cs="宋体"/>
          <w:b/>
          <w:color w:val="auto"/>
          <w:sz w:val="28"/>
          <w:szCs w:val="28"/>
          <w:highlight w:val="none"/>
        </w:rPr>
      </w:pPr>
    </w:p>
    <w:p>
      <w:pPr>
        <w:ind w:firstLine="420"/>
        <w:rPr>
          <w:rFonts w:hint="eastAsia" w:ascii="宋体" w:hAnsi="宋体" w:cs="宋体"/>
          <w:color w:val="auto"/>
          <w:highlight w:val="none"/>
        </w:rPr>
      </w:pPr>
    </w:p>
    <w:p>
      <w:pPr>
        <w:spacing w:before="195" w:beforeLines="50" w:after="195" w:afterLines="50"/>
        <w:jc w:val="center"/>
        <w:outlineLvl w:val="0"/>
        <w:rPr>
          <w:rFonts w:hint="eastAsia" w:ascii="宋体" w:hAnsi="宋体" w:cs="宋体"/>
          <w:color w:val="auto"/>
          <w:highlight w:val="none"/>
        </w:rPr>
      </w:pPr>
      <w:r>
        <w:rPr>
          <w:rStyle w:val="40"/>
          <w:rFonts w:hint="eastAsia" w:ascii="宋体" w:hAnsi="宋体" w:cs="宋体"/>
          <w:color w:val="auto"/>
          <w:sz w:val="32"/>
          <w:highlight w:val="none"/>
        </w:rPr>
        <w:br w:type="page"/>
      </w:r>
      <w:r>
        <w:rPr>
          <w:rStyle w:val="40"/>
          <w:rFonts w:hint="eastAsia" w:ascii="宋体" w:hAnsi="宋体" w:cs="宋体"/>
          <w:color w:val="auto"/>
          <w:sz w:val="32"/>
          <w:highlight w:val="none"/>
        </w:rPr>
        <w:t>第六章  商务条款</w:t>
      </w:r>
      <w:bookmarkEnd w:id="16"/>
      <w:bookmarkEnd w:id="17"/>
    </w:p>
    <w:p>
      <w:pPr>
        <w:spacing w:line="500" w:lineRule="exact"/>
        <w:ind w:firstLine="414"/>
        <w:rPr>
          <w:rFonts w:hint="eastAsia" w:ascii="宋体" w:hAnsi="宋体" w:cs="宋体"/>
          <w:b/>
          <w:color w:val="auto"/>
          <w:szCs w:val="21"/>
          <w:highlight w:val="none"/>
        </w:rPr>
      </w:pPr>
      <w:r>
        <w:rPr>
          <w:rFonts w:hint="eastAsia" w:ascii="宋体" w:hAnsi="宋体" w:cs="宋体"/>
          <w:b/>
          <w:color w:val="auto"/>
          <w:spacing w:val="-2"/>
          <w:szCs w:val="21"/>
          <w:highlight w:val="none"/>
        </w:rPr>
        <w:t>▲</w:t>
      </w:r>
      <w:r>
        <w:rPr>
          <w:rFonts w:hint="eastAsia" w:ascii="宋体" w:hAnsi="宋体" w:cs="宋体"/>
          <w:b/>
          <w:color w:val="auto"/>
          <w:szCs w:val="21"/>
          <w:highlight w:val="none"/>
        </w:rPr>
        <w:t>一、付款方式：</w:t>
      </w:r>
      <w:bookmarkStart w:id="20" w:name="_Hlk10544900"/>
      <w:r>
        <w:rPr>
          <w:rFonts w:hint="eastAsia" w:ascii="宋体" w:hAnsi="宋体" w:cs="宋体"/>
          <w:b/>
          <w:color w:val="auto"/>
          <w:szCs w:val="21"/>
          <w:highlight w:val="none"/>
        </w:rPr>
        <w:t>合同签订后支付合同金的30%，第二季度服务期满后十个工作日内支付合同金的20%（扣除应扣款项），第三季度服务期满后十个工作日内支付合同金的25%（扣除应扣款项），一年期满后十个工作日内付清全款（扣除应扣款项）。</w:t>
      </w:r>
    </w:p>
    <w:bookmarkEnd w:id="20"/>
    <w:p>
      <w:pPr>
        <w:spacing w:line="500" w:lineRule="exact"/>
        <w:ind w:firstLine="414"/>
        <w:rPr>
          <w:rFonts w:hint="eastAsia" w:ascii="宋体" w:hAnsi="宋体" w:cs="宋体"/>
          <w:b/>
          <w:color w:val="auto"/>
          <w:szCs w:val="21"/>
          <w:highlight w:val="none"/>
        </w:rPr>
      </w:pPr>
      <w:r>
        <w:rPr>
          <w:rFonts w:hint="eastAsia" w:ascii="宋体" w:hAnsi="宋体" w:cs="宋体"/>
          <w:b/>
          <w:color w:val="auto"/>
          <w:spacing w:val="-2"/>
          <w:szCs w:val="21"/>
          <w:highlight w:val="none"/>
        </w:rPr>
        <w:t>▲</w:t>
      </w:r>
      <w:r>
        <w:rPr>
          <w:rFonts w:hint="eastAsia" w:ascii="宋体" w:hAnsi="宋体" w:cs="宋体"/>
          <w:b/>
          <w:color w:val="auto"/>
          <w:szCs w:val="21"/>
          <w:highlight w:val="none"/>
        </w:rPr>
        <w:t>二、履约保证金：中标后，中标方可采用银行转账、银行保函、保险包含等多种形式提交履约保证金，履约保证金为合同总价的5%。履约保证金有效期到中标方按合同要求完成合同义务后终止，履约保证金于有效期止后10天内无息退还</w:t>
      </w:r>
      <w:r>
        <w:rPr>
          <w:rFonts w:hint="eastAsia" w:ascii="宋体" w:hAnsi="宋体" w:cs="宋体"/>
          <w:b/>
          <w:color w:val="auto"/>
          <w:szCs w:val="21"/>
          <w:highlight w:val="none"/>
        </w:rPr>
        <w:t>（扣除应扣款项）</w:t>
      </w:r>
      <w:r>
        <w:rPr>
          <w:rFonts w:hint="eastAsia" w:ascii="宋体" w:hAnsi="宋体" w:cs="宋体"/>
          <w:b/>
          <w:color w:val="auto"/>
          <w:szCs w:val="21"/>
          <w:highlight w:val="none"/>
        </w:rPr>
        <w:t>；但如果存在合同履行争议且尚未解决，则履约保证金有效期等争议最终解决且理赔完毕后终止。</w:t>
      </w:r>
    </w:p>
    <w:p>
      <w:pPr>
        <w:tabs>
          <w:tab w:val="left" w:pos="1243"/>
        </w:tabs>
        <w:autoSpaceDE w:val="0"/>
        <w:autoSpaceDN w:val="0"/>
        <w:adjustRightInd w:val="0"/>
        <w:snapToGrid w:val="0"/>
        <w:spacing w:line="500" w:lineRule="exact"/>
        <w:ind w:firstLine="420"/>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三、服务期</w:t>
      </w:r>
    </w:p>
    <w:p>
      <w:pPr>
        <w:tabs>
          <w:tab w:val="left" w:pos="1243"/>
        </w:tabs>
        <w:autoSpaceDE w:val="0"/>
        <w:autoSpaceDN w:val="0"/>
        <w:adjustRightInd w:val="0"/>
        <w:snapToGrid w:val="0"/>
        <w:spacing w:line="500" w:lineRule="exact"/>
        <w:ind w:firstLine="420"/>
        <w:textAlignment w:val="bottom"/>
        <w:rPr>
          <w:rFonts w:hint="eastAsia" w:ascii="宋体" w:hAnsi="宋体" w:cs="宋体"/>
          <w:color w:val="auto"/>
          <w:kern w:val="0"/>
          <w:szCs w:val="21"/>
          <w:highlight w:val="none"/>
        </w:rPr>
      </w:pPr>
      <w:r>
        <w:rPr>
          <w:rFonts w:hint="eastAsia" w:ascii="宋体" w:hAnsi="宋体" w:cs="宋体"/>
          <w:color w:val="auto"/>
          <w:kern w:val="0"/>
          <w:szCs w:val="21"/>
          <w:highlight w:val="none"/>
        </w:rPr>
        <w:t>一年，经采购人考核合格后，下一年度合同经费符合政府采购预算安排要求，申报政府采购计划并批准，双方同意后，方可续签下一年度的合同，最多续签2年。采购人在合同到期前填报采购项目计划审批表（采购方式一栏选择“其他—其他”），并将中标通知书、初次合同、上一年度考核情况等资料的影印件作为附件一并上传，在取得行政主管部门、财政部门、市公共资源交管办同意后，才能与供应商续签下一年采购合同，续签合同上传至“政采云平台”。</w:t>
      </w:r>
    </w:p>
    <w:p>
      <w:pPr>
        <w:tabs>
          <w:tab w:val="left" w:pos="1243"/>
        </w:tabs>
        <w:autoSpaceDE w:val="0"/>
        <w:autoSpaceDN w:val="0"/>
        <w:adjustRightInd w:val="0"/>
        <w:snapToGrid w:val="0"/>
        <w:spacing w:line="500" w:lineRule="exact"/>
        <w:ind w:firstLine="420"/>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四、考核</w:t>
      </w:r>
    </w:p>
    <w:p>
      <w:pPr>
        <w:tabs>
          <w:tab w:val="left" w:pos="1243"/>
        </w:tabs>
        <w:autoSpaceDE w:val="0"/>
        <w:autoSpaceDN w:val="0"/>
        <w:adjustRightInd w:val="0"/>
        <w:snapToGrid w:val="0"/>
        <w:spacing w:line="500" w:lineRule="exact"/>
        <w:ind w:firstLine="420"/>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按招标文件采购需求中的“监督考核实施办法”执行。</w:t>
      </w:r>
    </w:p>
    <w:p>
      <w:pPr>
        <w:tabs>
          <w:tab w:val="left" w:pos="1243"/>
        </w:tabs>
        <w:autoSpaceDE w:val="0"/>
        <w:autoSpaceDN w:val="0"/>
        <w:adjustRightInd w:val="0"/>
        <w:snapToGrid w:val="0"/>
        <w:spacing w:line="500" w:lineRule="exact"/>
        <w:ind w:firstLine="422"/>
        <w:textAlignment w:val="bottom"/>
        <w:rPr>
          <w:rFonts w:hint="eastAsia" w:ascii="宋体" w:hAnsi="宋体" w:cs="宋体"/>
          <w:b/>
          <w:color w:val="auto"/>
          <w:szCs w:val="21"/>
          <w:highlight w:val="none"/>
        </w:rPr>
      </w:pPr>
      <w:r>
        <w:rPr>
          <w:rFonts w:hint="eastAsia" w:ascii="宋体" w:hAnsi="宋体" w:cs="宋体"/>
          <w:b/>
          <w:color w:val="auto"/>
          <w:szCs w:val="21"/>
          <w:highlight w:val="none"/>
        </w:rPr>
        <w:t>五、其他说明</w:t>
      </w:r>
    </w:p>
    <w:p>
      <w:pPr>
        <w:tabs>
          <w:tab w:val="left" w:pos="1243"/>
        </w:tabs>
        <w:autoSpaceDE w:val="0"/>
        <w:autoSpaceDN w:val="0"/>
        <w:adjustRightInd w:val="0"/>
        <w:snapToGrid w:val="0"/>
        <w:spacing w:line="500" w:lineRule="exact"/>
        <w:ind w:firstLine="422"/>
        <w:textAlignment w:val="bottom"/>
        <w:rPr>
          <w:rFonts w:hint="eastAsia" w:ascii="宋体" w:hAnsi="宋体" w:cs="宋体"/>
          <w:b/>
          <w:color w:val="auto"/>
          <w:szCs w:val="21"/>
          <w:highlight w:val="none"/>
        </w:rPr>
      </w:pPr>
      <w:r>
        <w:rPr>
          <w:rFonts w:hint="eastAsia" w:ascii="宋体" w:hAnsi="宋体" w:cs="宋体"/>
          <w:b/>
          <w:color w:val="auto"/>
          <w:szCs w:val="21"/>
          <w:highlight w:val="none"/>
        </w:rPr>
        <w:t>▲1、在中标通知书发出后30日历天内，与采购人签订服务合同，否则招标方有权取消中标方的中标资格，推荐排序居次的中标候选人为中标方。</w:t>
      </w:r>
    </w:p>
    <w:p>
      <w:pPr>
        <w:tabs>
          <w:tab w:val="left" w:pos="1243"/>
        </w:tabs>
        <w:autoSpaceDE w:val="0"/>
        <w:autoSpaceDN w:val="0"/>
        <w:adjustRightInd w:val="0"/>
        <w:snapToGrid w:val="0"/>
        <w:spacing w:line="500" w:lineRule="exact"/>
        <w:ind w:firstLine="420"/>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2、投标方要制订用工计划并加强劳动用工管理，必须符合劳动法、劳动合同法等法律法规的要求，与员工签订正规的劳动合同，负责支付上岗人员的工资、津贴、社会保险及根据国家规定应支付的各项费用、承担体检、培训费用。</w:t>
      </w:r>
    </w:p>
    <w:p>
      <w:pPr>
        <w:tabs>
          <w:tab w:val="left" w:pos="1243"/>
        </w:tabs>
        <w:autoSpaceDE w:val="0"/>
        <w:autoSpaceDN w:val="0"/>
        <w:adjustRightInd w:val="0"/>
        <w:snapToGrid w:val="0"/>
        <w:spacing w:line="500" w:lineRule="exact"/>
        <w:ind w:firstLine="420"/>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3、如发生劳动纠纷，招标方不承担连带责任，用工调整须报招标方备案。</w:t>
      </w:r>
    </w:p>
    <w:p>
      <w:pPr>
        <w:tabs>
          <w:tab w:val="left" w:pos="1243"/>
        </w:tabs>
        <w:autoSpaceDE w:val="0"/>
        <w:autoSpaceDN w:val="0"/>
        <w:adjustRightInd w:val="0"/>
        <w:snapToGrid w:val="0"/>
        <w:spacing w:line="500" w:lineRule="exact"/>
        <w:ind w:firstLine="420"/>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4、中标方不得将本项目转包或分包，否则招标方视中标方单方面违约，招标方可单方面终止合同，中标方承担违约赔偿责任，并没收履约保证金。</w:t>
      </w:r>
    </w:p>
    <w:p>
      <w:pPr>
        <w:tabs>
          <w:tab w:val="left" w:pos="1243"/>
        </w:tabs>
        <w:autoSpaceDE w:val="0"/>
        <w:autoSpaceDN w:val="0"/>
        <w:adjustRightInd w:val="0"/>
        <w:snapToGrid w:val="0"/>
        <w:spacing w:line="500" w:lineRule="exact"/>
        <w:ind w:firstLine="420"/>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5、中标方须遵守招标方的各项规章制度，参加和接受招标方的日常检查与考评，考评结果直接与经济挂钩。管理未能达到招标文件和投标文件中承诺的目标，中标方承担违约的赔偿责任，并没收履约保证金。</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区域辅勤工作受多方制约，如因整体工作计划调整，采购人有权根据区域整体工作部署，终止或继续履行合同。投标供应商在投标前应当充分考虑由此带来的风险，若合同提前终止，相关费用根据合同报价按实结算，投标方不得提出其他索赔。</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7、本次投标报价为一年合同服务费用，并要求提供详细费用测算细目（备注：所有物料、工具、器械办公经费、设备维护保养费、皆由投标方按辅勤工作需要采购到位、费用列入投标报价，并包干使用；要求详细的测算细目不粗于以下项目进行分别报价，</w:t>
      </w:r>
      <w:r>
        <w:rPr>
          <w:rFonts w:hint="eastAsia" w:ascii="宋体" w:hAnsi="宋体" w:cs="宋体"/>
          <w:b/>
          <w:bCs/>
          <w:color w:val="auto"/>
          <w:szCs w:val="21"/>
          <w:highlight w:val="none"/>
        </w:rPr>
        <w:t>①辅勤人员的工资及福利等（包括人工工资、社会保险</w:t>
      </w:r>
      <w:r>
        <w:rPr>
          <w:rFonts w:hint="eastAsia" w:ascii="宋体" w:hAnsi="宋体" w:cs="宋体"/>
          <w:b/>
          <w:bCs/>
          <w:color w:val="auto"/>
          <w:szCs w:val="21"/>
          <w:highlight w:val="none"/>
          <w:lang w:eastAsia="zh-CN"/>
        </w:rPr>
        <w:t>及各类保险</w:t>
      </w:r>
      <w:r>
        <w:rPr>
          <w:rFonts w:hint="eastAsia" w:ascii="宋体" w:hAnsi="宋体" w:cs="宋体"/>
          <w:b/>
          <w:bCs/>
          <w:color w:val="auto"/>
          <w:szCs w:val="21"/>
          <w:highlight w:val="none"/>
        </w:rPr>
        <w:t>、人员福利费（含餐费</w:t>
      </w:r>
      <w:r>
        <w:rPr>
          <w:rFonts w:hint="eastAsia" w:ascii="宋体" w:hAnsi="宋体" w:cs="宋体"/>
          <w:b/>
          <w:bCs/>
          <w:color w:val="auto"/>
          <w:szCs w:val="21"/>
          <w:highlight w:val="none"/>
          <w:lang w:eastAsia="zh-CN"/>
        </w:rPr>
        <w:t>补贴</w:t>
      </w:r>
      <w:r>
        <w:rPr>
          <w:rFonts w:hint="eastAsia" w:ascii="宋体" w:hAnsi="宋体" w:cs="宋体"/>
          <w:b/>
          <w:bCs/>
          <w:color w:val="auto"/>
          <w:szCs w:val="21"/>
          <w:highlight w:val="none"/>
        </w:rPr>
        <w:t>、节日福利</w:t>
      </w:r>
      <w:r>
        <w:rPr>
          <w:rFonts w:hint="eastAsia" w:ascii="宋体" w:hAnsi="宋体" w:cs="宋体"/>
          <w:b/>
          <w:bCs/>
          <w:color w:val="auto"/>
          <w:szCs w:val="21"/>
          <w:highlight w:val="none"/>
          <w:lang w:eastAsia="zh-CN"/>
        </w:rPr>
        <w:t>等</w:t>
      </w:r>
      <w:r>
        <w:rPr>
          <w:rFonts w:hint="eastAsia" w:ascii="宋体" w:hAnsi="宋体" w:cs="宋体"/>
          <w:b/>
          <w:bCs/>
          <w:color w:val="auto"/>
          <w:szCs w:val="21"/>
          <w:highlight w:val="none"/>
        </w:rPr>
        <w:t>）、</w:t>
      </w:r>
      <w:r>
        <w:rPr>
          <w:rFonts w:hint="eastAsia" w:ascii="宋体" w:hAnsi="宋体" w:cs="宋体"/>
          <w:b/>
          <w:bCs/>
          <w:color w:val="auto"/>
          <w:szCs w:val="21"/>
          <w:highlight w:val="none"/>
          <w:lang w:eastAsia="zh-CN"/>
        </w:rPr>
        <w:t>各类</w:t>
      </w:r>
      <w:r>
        <w:rPr>
          <w:rFonts w:hint="eastAsia" w:ascii="宋体" w:hAnsi="宋体" w:cs="宋体"/>
          <w:b/>
          <w:bCs/>
          <w:color w:val="auto"/>
          <w:szCs w:val="21"/>
          <w:highlight w:val="none"/>
        </w:rPr>
        <w:t>奖金、服装费、</w:t>
      </w:r>
      <w:r>
        <w:rPr>
          <w:rFonts w:hint="eastAsia" w:ascii="宋体" w:hAnsi="宋体" w:cs="宋体"/>
          <w:b/>
          <w:bCs/>
          <w:color w:val="auto"/>
          <w:szCs w:val="21"/>
          <w:highlight w:val="none"/>
          <w:lang w:eastAsia="zh-CN"/>
        </w:rPr>
        <w:t>节假日加班费</w:t>
      </w:r>
      <w:r>
        <w:rPr>
          <w:rFonts w:hint="eastAsia" w:ascii="宋体" w:hAnsi="宋体" w:cs="宋体"/>
          <w:b/>
          <w:bCs/>
          <w:color w:val="auto"/>
          <w:szCs w:val="21"/>
          <w:highlight w:val="none"/>
        </w:rPr>
        <w:t>、高温补</w:t>
      </w:r>
      <w:r>
        <w:rPr>
          <w:rFonts w:hint="eastAsia" w:ascii="宋体" w:hAnsi="宋体" w:cs="宋体"/>
          <w:b/>
          <w:color w:val="auto"/>
          <w:szCs w:val="21"/>
          <w:highlight w:val="none"/>
        </w:rPr>
        <w:t>贴、差旅费等所有费用）②办公经费（暂按一年63000元计，一年服务期满后按实际支出结算，最多不得超过63000元）③车辆</w:t>
      </w:r>
      <w:r>
        <w:rPr>
          <w:rFonts w:hint="eastAsia" w:ascii="宋体" w:hAnsi="宋体" w:cs="宋体"/>
          <w:b/>
          <w:color w:val="auto"/>
          <w:szCs w:val="21"/>
          <w:highlight w:val="none"/>
          <w:lang w:eastAsia="zh-CN"/>
        </w:rPr>
        <w:t>购买或租赁、</w:t>
      </w:r>
      <w:r>
        <w:rPr>
          <w:rFonts w:hint="eastAsia" w:ascii="宋体" w:hAnsi="宋体" w:cs="宋体"/>
          <w:b/>
          <w:color w:val="auto"/>
          <w:szCs w:val="21"/>
          <w:highlight w:val="none"/>
        </w:rPr>
        <w:t>折旧、保险、维修和油费等（一年包干）④设备装备费用</w:t>
      </w:r>
      <w:r>
        <w:rPr>
          <w:rFonts w:hint="eastAsia" w:ascii="宋体" w:hAnsi="宋体" w:cs="宋体"/>
          <w:b/>
          <w:color w:val="auto"/>
          <w:szCs w:val="21"/>
          <w:highlight w:val="none"/>
          <w:lang w:eastAsia="zh-CN"/>
        </w:rPr>
        <w:t>（其中对讲机和执法记录仪的费用只计一次，合同履约结束对讲机和执法记录仪产权归采购人所有。今后如遇合同续签，对讲机和执法记录仪的费用不再另计费；执法记录仪流量费仍计入续签合同。）</w:t>
      </w:r>
      <w:r>
        <w:rPr>
          <w:rFonts w:hint="eastAsia" w:ascii="宋体" w:hAnsi="宋体" w:cs="宋体"/>
          <w:b/>
          <w:color w:val="auto"/>
          <w:szCs w:val="21"/>
          <w:highlight w:val="none"/>
        </w:rPr>
        <w:t>⑤公司管理费⑥利润</w:t>
      </w:r>
      <w:r>
        <w:rPr>
          <w:rFonts w:hint="eastAsia" w:ascii="宋体" w:hAnsi="宋体"/>
          <w:b/>
          <w:color w:val="auto"/>
          <w:szCs w:val="21"/>
          <w:highlight w:val="none"/>
        </w:rPr>
        <w:t>⑦</w:t>
      </w:r>
      <w:r>
        <w:rPr>
          <w:rFonts w:hint="eastAsia" w:ascii="宋体" w:hAnsi="宋体" w:cs="宋体"/>
          <w:b/>
          <w:color w:val="auto"/>
          <w:szCs w:val="21"/>
          <w:highlight w:val="none"/>
        </w:rPr>
        <w:t>税金等</w:t>
      </w:r>
      <w:r>
        <w:rPr>
          <w:rFonts w:hint="eastAsia" w:ascii="宋体" w:hAnsi="宋体" w:cs="宋体"/>
          <w:color w:val="auto"/>
          <w:szCs w:val="21"/>
          <w:highlight w:val="none"/>
        </w:rPr>
        <w:t>。除以上费用外，涉及重大活动保障的甲方要求乙方提供额外人员到场执勤的费用可另计，价格按投标人员工资单价。</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服务期内服务人员工资不得低于慈溪市政府规定的当年最低工资标准，所有人员必须交纳包括养老、工伤、失业、生育、医疗等在内的社会保险和意外伤害保险，服务期内不得低于慈溪市政府规定的当年社保缴费基数。</w:t>
      </w:r>
    </w:p>
    <w:p>
      <w:pPr>
        <w:pStyle w:val="9"/>
        <w:ind w:left="1470" w:right="1470"/>
        <w:rPr>
          <w:rFonts w:hint="eastAsia" w:ascii="宋体" w:hAnsi="宋体" w:cs="宋体"/>
          <w:color w:val="auto"/>
          <w:highlight w:val="none"/>
          <w:lang w:val="zh-CN"/>
        </w:rPr>
      </w:pPr>
    </w:p>
    <w:p>
      <w:pPr>
        <w:spacing w:line="360" w:lineRule="auto"/>
        <w:jc w:val="center"/>
        <w:outlineLvl w:val="0"/>
        <w:rPr>
          <w:rStyle w:val="40"/>
          <w:rFonts w:hint="eastAsia" w:ascii="宋体" w:hAnsi="宋体" w:cs="宋体"/>
          <w:color w:val="auto"/>
          <w:sz w:val="32"/>
          <w:szCs w:val="22"/>
          <w:highlight w:val="none"/>
        </w:rPr>
      </w:pPr>
      <w:bookmarkStart w:id="21" w:name="_Toc3000_WPSOffice_Level1"/>
      <w:bookmarkStart w:id="22" w:name="_Toc16258_WPSOffice_Level1"/>
      <w:r>
        <w:rPr>
          <w:rStyle w:val="40"/>
          <w:rFonts w:hint="eastAsia" w:ascii="宋体" w:hAnsi="宋体" w:cs="宋体"/>
          <w:color w:val="auto"/>
          <w:sz w:val="32"/>
          <w:szCs w:val="22"/>
          <w:highlight w:val="none"/>
        </w:rPr>
        <w:br w:type="page"/>
      </w:r>
      <w:r>
        <w:rPr>
          <w:rStyle w:val="40"/>
          <w:rFonts w:hint="eastAsia" w:ascii="宋体" w:hAnsi="宋体" w:cs="宋体"/>
          <w:color w:val="auto"/>
          <w:sz w:val="32"/>
          <w:szCs w:val="22"/>
          <w:highlight w:val="none"/>
        </w:rPr>
        <w:t xml:space="preserve">第七章 </w:t>
      </w:r>
      <w:bookmarkEnd w:id="21"/>
      <w:bookmarkEnd w:id="22"/>
      <w:r>
        <w:rPr>
          <w:rStyle w:val="40"/>
          <w:rFonts w:hint="eastAsia" w:ascii="宋体" w:hAnsi="宋体" w:cs="宋体"/>
          <w:color w:val="auto"/>
          <w:sz w:val="32"/>
          <w:szCs w:val="22"/>
          <w:highlight w:val="none"/>
        </w:rPr>
        <w:t>投标文件格式</w:t>
      </w:r>
    </w:p>
    <w:p>
      <w:pPr>
        <w:autoSpaceDE w:val="0"/>
        <w:autoSpaceDN w:val="0"/>
        <w:adjustRightInd w:val="0"/>
        <w:jc w:val="center"/>
        <w:outlineLvl w:val="1"/>
        <w:rPr>
          <w:rStyle w:val="58"/>
          <w:rFonts w:hint="eastAsia" w:ascii="宋体" w:hAnsi="宋体" w:cs="宋体"/>
          <w:color w:val="auto"/>
          <w:sz w:val="32"/>
          <w:szCs w:val="32"/>
          <w:highlight w:val="none"/>
        </w:rPr>
      </w:pPr>
      <w:r>
        <w:rPr>
          <w:rStyle w:val="58"/>
          <w:rFonts w:hint="eastAsia" w:ascii="宋体" w:hAnsi="宋体" w:cs="宋体"/>
          <w:color w:val="auto"/>
          <w:sz w:val="32"/>
          <w:szCs w:val="32"/>
          <w:highlight w:val="none"/>
        </w:rPr>
        <w:t>1、资格审查文件</w:t>
      </w:r>
    </w:p>
    <w:p>
      <w:pPr>
        <w:spacing w:line="360" w:lineRule="auto"/>
        <w:rPr>
          <w:rFonts w:hint="eastAsia" w:ascii="宋体" w:hAnsi="宋体" w:cs="宋体"/>
          <w:b/>
          <w:color w:val="auto"/>
          <w:sz w:val="32"/>
          <w:szCs w:val="32"/>
          <w:highlight w:val="none"/>
        </w:rPr>
      </w:pPr>
      <w:bookmarkStart w:id="23" w:name="_Toc2572_WPSOffice_Level1"/>
      <w:bookmarkStart w:id="24" w:name="_Toc14649_WPSOffice_Level1"/>
      <w:bookmarkStart w:id="25" w:name="_Toc21700_WPSOffice_Level1"/>
      <w:r>
        <w:rPr>
          <w:rFonts w:hint="eastAsia" w:ascii="宋体" w:hAnsi="宋体" w:cs="宋体"/>
          <w:b/>
          <w:color w:val="auto"/>
          <w:sz w:val="32"/>
          <w:szCs w:val="32"/>
          <w:highlight w:val="none"/>
        </w:rPr>
        <w:t>封面</w:t>
      </w:r>
      <w:bookmarkEnd w:id="23"/>
      <w:bookmarkEnd w:id="24"/>
      <w:bookmarkEnd w:id="25"/>
    </w:p>
    <w:p>
      <w:pPr>
        <w:spacing w:line="360" w:lineRule="auto"/>
        <w:jc w:val="right"/>
        <w:rPr>
          <w:rFonts w:hint="eastAsia" w:ascii="宋体" w:hAnsi="宋体" w:cs="宋体"/>
          <w:b/>
          <w:bCs/>
          <w:color w:val="auto"/>
          <w:sz w:val="32"/>
          <w:szCs w:val="32"/>
          <w:highlight w:val="none"/>
        </w:rPr>
      </w:pPr>
    </w:p>
    <w:p>
      <w:pPr>
        <w:rPr>
          <w:rFonts w:hint="eastAsia" w:ascii="宋体" w:hAnsi="宋体" w:cs="宋体"/>
          <w:color w:val="auto"/>
          <w:sz w:val="32"/>
          <w:szCs w:val="32"/>
          <w:highlight w:val="none"/>
        </w:rPr>
      </w:pPr>
      <w:r>
        <w:rPr>
          <w:rFonts w:hint="eastAsia" w:ascii="宋体" w:hAnsi="宋体" w:cs="宋体"/>
          <w:color w:val="auto"/>
          <w:sz w:val="32"/>
          <w:szCs w:val="32"/>
          <w:highlight w:val="none"/>
        </w:rPr>
        <w:t>采购人：</w:t>
      </w:r>
      <w:r>
        <w:rPr>
          <w:rFonts w:hint="eastAsia" w:ascii="宋体" w:hAnsi="宋体" w:cs="宋体"/>
          <w:color w:val="auto"/>
          <w:sz w:val="32"/>
          <w:szCs w:val="32"/>
          <w:highlight w:val="none"/>
          <w:u w:val="single"/>
        </w:rPr>
        <w:t xml:space="preserve">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项目名称：</w:t>
      </w:r>
      <w:r>
        <w:rPr>
          <w:rFonts w:hint="eastAsia" w:ascii="宋体" w:hAnsi="宋体" w:cs="宋体"/>
          <w:color w:val="auto"/>
          <w:sz w:val="32"/>
          <w:szCs w:val="32"/>
          <w:highlight w:val="none"/>
          <w:u w:val="single"/>
        </w:rPr>
        <w:t xml:space="preserve">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招标编号：</w:t>
      </w:r>
      <w:r>
        <w:rPr>
          <w:rFonts w:hint="eastAsia" w:ascii="宋体" w:hAnsi="宋体" w:cs="宋体"/>
          <w:color w:val="auto"/>
          <w:sz w:val="32"/>
          <w:szCs w:val="32"/>
          <w:highlight w:val="none"/>
          <w:u w:val="single"/>
        </w:rPr>
        <w:t xml:space="preserve">                                            </w:t>
      </w:r>
    </w:p>
    <w:p>
      <w:pPr>
        <w:jc w:val="center"/>
        <w:rPr>
          <w:rFonts w:hint="eastAsia" w:ascii="宋体" w:hAnsi="宋体" w:cs="宋体"/>
          <w:color w:val="auto"/>
          <w:highlight w:val="none"/>
        </w:rPr>
      </w:pPr>
      <w:r>
        <w:rPr>
          <w:rFonts w:hint="eastAsia" w:ascii="宋体" w:hAnsi="宋体" w:cs="宋体"/>
          <w:color w:val="auto"/>
          <w:sz w:val="32"/>
          <w:szCs w:val="32"/>
          <w:highlight w:val="none"/>
        </w:rPr>
        <w:t>（资格审查文件）</w:t>
      </w:r>
    </w:p>
    <w:p>
      <w:pPr>
        <w:jc w:val="center"/>
        <w:rPr>
          <w:rFonts w:hint="eastAsia" w:ascii="宋体" w:hAnsi="宋体" w:cs="宋体"/>
          <w:color w:val="auto"/>
          <w:sz w:val="52"/>
          <w:szCs w:val="52"/>
          <w:highlight w:val="none"/>
        </w:rPr>
      </w:pPr>
      <w:r>
        <w:rPr>
          <w:rFonts w:hint="eastAsia" w:ascii="宋体" w:hAnsi="宋体" w:cs="宋体"/>
          <w:color w:val="auto"/>
          <w:sz w:val="52"/>
          <w:szCs w:val="52"/>
          <w:highlight w:val="none"/>
        </w:rPr>
        <w:t>投</w:t>
      </w:r>
    </w:p>
    <w:p>
      <w:pPr>
        <w:jc w:val="center"/>
        <w:rPr>
          <w:rFonts w:hint="eastAsia" w:ascii="宋体" w:hAnsi="宋体" w:cs="宋体"/>
          <w:color w:val="auto"/>
          <w:sz w:val="52"/>
          <w:szCs w:val="52"/>
          <w:highlight w:val="none"/>
        </w:rPr>
      </w:pPr>
      <w:r>
        <w:rPr>
          <w:rFonts w:hint="eastAsia" w:ascii="宋体" w:hAnsi="宋体" w:cs="宋体"/>
          <w:color w:val="auto"/>
          <w:sz w:val="52"/>
          <w:szCs w:val="52"/>
          <w:highlight w:val="none"/>
        </w:rPr>
        <w:t>标</w:t>
      </w:r>
    </w:p>
    <w:p>
      <w:pPr>
        <w:jc w:val="center"/>
        <w:rPr>
          <w:rFonts w:hint="eastAsia" w:ascii="宋体" w:hAnsi="宋体" w:cs="宋体"/>
          <w:color w:val="auto"/>
          <w:sz w:val="52"/>
          <w:szCs w:val="52"/>
          <w:highlight w:val="none"/>
        </w:rPr>
      </w:pPr>
      <w:r>
        <w:rPr>
          <w:rFonts w:hint="eastAsia" w:ascii="宋体" w:hAnsi="宋体" w:cs="宋体"/>
          <w:color w:val="auto"/>
          <w:sz w:val="52"/>
          <w:szCs w:val="52"/>
          <w:highlight w:val="none"/>
        </w:rPr>
        <w:t>文</w:t>
      </w:r>
    </w:p>
    <w:p>
      <w:pPr>
        <w:jc w:val="center"/>
        <w:rPr>
          <w:rFonts w:hint="eastAsia" w:ascii="宋体" w:hAnsi="宋体" w:cs="宋体"/>
          <w:color w:val="auto"/>
          <w:sz w:val="52"/>
          <w:szCs w:val="52"/>
          <w:highlight w:val="none"/>
        </w:rPr>
      </w:pPr>
      <w:r>
        <w:rPr>
          <w:rFonts w:hint="eastAsia" w:ascii="宋体" w:hAnsi="宋体" w:cs="宋体"/>
          <w:color w:val="auto"/>
          <w:sz w:val="52"/>
          <w:szCs w:val="52"/>
          <w:highlight w:val="none"/>
        </w:rPr>
        <w:t>件</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投标供应商名称：</w:t>
      </w:r>
      <w:r>
        <w:rPr>
          <w:rFonts w:hint="eastAsia" w:ascii="宋体" w:hAnsi="宋体" w:cs="宋体"/>
          <w:color w:val="auto"/>
          <w:sz w:val="32"/>
          <w:szCs w:val="32"/>
          <w:highlight w:val="none"/>
          <w:u w:val="single"/>
        </w:rPr>
        <w:t xml:space="preserve">              （加盖单位公章）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通讯地址：</w:t>
      </w:r>
      <w:r>
        <w:rPr>
          <w:rFonts w:hint="eastAsia" w:ascii="宋体" w:hAnsi="宋体" w:cs="宋体"/>
          <w:color w:val="auto"/>
          <w:sz w:val="32"/>
          <w:szCs w:val="32"/>
          <w:highlight w:val="none"/>
          <w:u w:val="single"/>
        </w:rPr>
        <w:t xml:space="preserve">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投标联系人及联系方式：</w:t>
      </w:r>
      <w:r>
        <w:rPr>
          <w:rFonts w:hint="eastAsia" w:ascii="宋体" w:hAnsi="宋体" w:cs="宋体"/>
          <w:color w:val="auto"/>
          <w:sz w:val="32"/>
          <w:szCs w:val="32"/>
          <w:highlight w:val="none"/>
          <w:u w:val="single"/>
        </w:rPr>
        <w:t xml:space="preserve">                                       </w:t>
      </w:r>
    </w:p>
    <w:p>
      <w:pPr>
        <w:ind w:firstLine="2240" w:firstLineChars="700"/>
        <w:rPr>
          <w:rFonts w:hint="eastAsia" w:ascii="宋体" w:hAnsi="宋体" w:cs="宋体"/>
          <w:b/>
          <w:color w:val="auto"/>
          <w:szCs w:val="21"/>
          <w:highlight w:val="none"/>
        </w:rPr>
      </w:pPr>
      <w:r>
        <w:rPr>
          <w:rFonts w:hint="eastAsia" w:ascii="宋体" w:hAnsi="宋体" w:cs="宋体"/>
          <w:color w:val="auto"/>
          <w:sz w:val="32"/>
          <w:szCs w:val="32"/>
          <w:highlight w:val="none"/>
        </w:rPr>
        <w:t>在  年  月  日 时 分前不得开启</w:t>
      </w:r>
    </w:p>
    <w:p>
      <w:pPr>
        <w:pStyle w:val="10"/>
        <w:widowControl w:val="0"/>
        <w:overflowPunct/>
        <w:autoSpaceDE/>
        <w:autoSpaceDN/>
        <w:adjustRightInd/>
        <w:textAlignment w:val="auto"/>
        <w:rPr>
          <w:rFonts w:hint="eastAsia" w:hAnsi="宋体" w:cs="宋体"/>
          <w:bCs/>
          <w:color w:val="auto"/>
          <w:szCs w:val="21"/>
          <w:highlight w:val="none"/>
        </w:rPr>
      </w:pPr>
    </w:p>
    <w:p>
      <w:pPr>
        <w:pStyle w:val="10"/>
        <w:widowControl w:val="0"/>
        <w:overflowPunct/>
        <w:autoSpaceDE/>
        <w:autoSpaceDN/>
        <w:adjustRightInd/>
        <w:textAlignment w:val="auto"/>
        <w:rPr>
          <w:rFonts w:hint="eastAsia" w:hAnsi="宋体" w:cs="宋体"/>
          <w:b/>
          <w:color w:val="auto"/>
          <w:szCs w:val="21"/>
          <w:highlight w:val="none"/>
        </w:rPr>
        <w:sectPr>
          <w:footerReference r:id="rId4" w:type="default"/>
          <w:pgSz w:w="11906" w:h="16838"/>
          <w:pgMar w:top="1440" w:right="1123" w:bottom="1440" w:left="1123" w:header="851" w:footer="992" w:gutter="0"/>
          <w:pgNumType w:start="1"/>
          <w:cols w:space="720" w:num="1"/>
          <w:docGrid w:type="lines" w:linePitch="391" w:charSpace="0"/>
        </w:sectPr>
      </w:pPr>
    </w:p>
    <w:p>
      <w:pPr>
        <w:snapToGrid w:val="0"/>
        <w:spacing w:line="500" w:lineRule="exact"/>
        <w:rPr>
          <w:rFonts w:hint="eastAsia" w:ascii="宋体" w:hAnsi="宋体" w:cs="宋体"/>
          <w:color w:val="auto"/>
          <w:sz w:val="24"/>
          <w:szCs w:val="24"/>
          <w:highlight w:val="none"/>
        </w:rPr>
      </w:pPr>
      <w:r>
        <w:rPr>
          <w:rFonts w:hint="eastAsia" w:ascii="宋体" w:hAnsi="宋体" w:cs="宋体"/>
          <w:b/>
          <w:color w:val="auto"/>
          <w:sz w:val="24"/>
          <w:szCs w:val="24"/>
          <w:highlight w:val="none"/>
        </w:rPr>
        <w:t>（1）具</w:t>
      </w:r>
      <w:r>
        <w:rPr>
          <w:rFonts w:hint="eastAsia" w:ascii="宋体" w:hAnsi="宋体" w:cs="宋体"/>
          <w:b/>
          <w:bCs/>
          <w:color w:val="auto"/>
          <w:sz w:val="24"/>
          <w:szCs w:val="24"/>
          <w:highlight w:val="none"/>
        </w:rPr>
        <w:t>有独立承担民事责任的能力：</w:t>
      </w:r>
      <w:r>
        <w:rPr>
          <w:rFonts w:hint="eastAsia" w:ascii="宋体" w:hAnsi="宋体" w:cs="宋体"/>
          <w:color w:val="auto"/>
          <w:sz w:val="24"/>
          <w:szCs w:val="24"/>
          <w:highlight w:val="none"/>
        </w:rPr>
        <w:t>提供有效的企业法人营业执照（或事业法人登记证）或其他组织（个体工商户）的营业执照或者民办非企业单位登记证书复印件加盖公章，如为自然人的需附身份证明并签字；</w:t>
      </w:r>
    </w:p>
    <w:p>
      <w:pPr>
        <w:pStyle w:val="10"/>
        <w:snapToGrid w:val="0"/>
        <w:spacing w:line="480" w:lineRule="exact"/>
        <w:ind w:left="2" w:leftChars="1" w:firstLine="482" w:firstLineChars="200"/>
        <w:rPr>
          <w:rFonts w:hint="eastAsia" w:hAnsi="宋体" w:cs="宋体"/>
          <w:color w:val="auto"/>
          <w:szCs w:val="21"/>
          <w:highlight w:val="none"/>
        </w:rPr>
      </w:pPr>
      <w:r>
        <w:rPr>
          <w:rFonts w:hint="eastAsia" w:hAnsi="宋体" w:cs="宋体"/>
          <w:b/>
          <w:bCs/>
          <w:color w:val="auto"/>
          <w:sz w:val="24"/>
          <w:szCs w:val="24"/>
          <w:highlight w:val="none"/>
        </w:rPr>
        <w:t>（2）具有良好的商业信誉和健全的财务会计制度：</w:t>
      </w:r>
      <w:r>
        <w:rPr>
          <w:rFonts w:hint="eastAsia" w:hAnsi="宋体" w:cs="宋体"/>
          <w:color w:val="auto"/>
          <w:szCs w:val="21"/>
          <w:highlight w:val="none"/>
        </w:rPr>
        <w:t>提供开标前六个月任意一个月财务会计报表复印件加盖供应商公章；</w:t>
      </w:r>
    </w:p>
    <w:p>
      <w:pPr>
        <w:snapToGrid w:val="0"/>
        <w:spacing w:line="500" w:lineRule="exact"/>
        <w:rPr>
          <w:rFonts w:hint="eastAsia" w:ascii="宋体" w:hAnsi="宋体" w:cs="宋体"/>
          <w:b/>
          <w:bCs/>
          <w:color w:val="auto"/>
          <w:sz w:val="24"/>
          <w:szCs w:val="24"/>
          <w:highlight w:val="none"/>
        </w:rPr>
      </w:pPr>
    </w:p>
    <w:p>
      <w:pPr>
        <w:snapToGrid w:val="0"/>
        <w:spacing w:line="500" w:lineRule="exact"/>
        <w:ind w:firstLine="422" w:firstLineChars="200"/>
        <w:rPr>
          <w:rFonts w:hint="eastAsia" w:ascii="宋体" w:hAnsi="宋体" w:cs="宋体"/>
          <w:b/>
          <w:bCs/>
          <w:color w:val="auto"/>
          <w:szCs w:val="21"/>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jc w:val="center"/>
        <w:rPr>
          <w:rFonts w:hint="eastAsia" w:ascii="宋体" w:hAnsi="宋体" w:cs="宋体"/>
          <w:b/>
          <w:bCs/>
          <w:color w:val="auto"/>
          <w:sz w:val="24"/>
          <w:szCs w:val="24"/>
          <w:highlight w:val="none"/>
        </w:rPr>
      </w:pPr>
    </w:p>
    <w:p>
      <w:pPr>
        <w:snapToGrid w:val="0"/>
        <w:spacing w:line="500" w:lineRule="exact"/>
        <w:jc w:val="center"/>
        <w:rPr>
          <w:rFonts w:hint="eastAsia" w:ascii="宋体" w:hAnsi="宋体" w:cs="宋体"/>
          <w:b/>
          <w:bCs/>
          <w:color w:val="auto"/>
          <w:sz w:val="24"/>
          <w:szCs w:val="24"/>
          <w:highlight w:val="none"/>
        </w:rPr>
      </w:pPr>
    </w:p>
    <w:p>
      <w:pPr>
        <w:snapToGrid w:val="0"/>
        <w:spacing w:line="500" w:lineRule="exact"/>
        <w:jc w:val="center"/>
        <w:rPr>
          <w:rFonts w:hint="eastAsia" w:ascii="宋体" w:hAnsi="宋体" w:cs="宋体"/>
          <w:b/>
          <w:bCs/>
          <w:color w:val="auto"/>
          <w:sz w:val="24"/>
          <w:szCs w:val="24"/>
          <w:highlight w:val="none"/>
        </w:rPr>
      </w:pPr>
    </w:p>
    <w:p>
      <w:pPr>
        <w:snapToGrid w:val="0"/>
        <w:spacing w:line="500" w:lineRule="exact"/>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（3）具备履行合同所需的设备和专业技术能力的声明</w:t>
      </w:r>
    </w:p>
    <w:p>
      <w:pPr>
        <w:snapToGrid w:val="0"/>
        <w:spacing w:line="500" w:lineRule="exact"/>
        <w:ind w:firstLine="480" w:firstLineChars="200"/>
        <w:rPr>
          <w:rFonts w:hint="eastAsia" w:ascii="宋体" w:hAnsi="宋体" w:cs="宋体"/>
          <w:color w:val="auto"/>
          <w:sz w:val="24"/>
          <w:szCs w:val="24"/>
          <w:highlight w:val="none"/>
        </w:rPr>
      </w:pPr>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我公司（单位）具备履行合同所需的设备和专业技术能力，具体情况介绍如下：</w:t>
      </w:r>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（内容包括：主要设备、专业技术人员、公司资质等）</w:t>
      </w:r>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特此承诺。</w:t>
      </w: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9"/>
        <w:ind w:left="1470" w:right="1470"/>
        <w:rPr>
          <w:rFonts w:hint="eastAsia" w:ascii="宋体" w:hAnsi="宋体" w:cs="宋体"/>
          <w:bCs/>
          <w:color w:val="auto"/>
          <w:sz w:val="22"/>
          <w:szCs w:val="22"/>
          <w:highlight w:val="none"/>
        </w:rPr>
      </w:pPr>
    </w:p>
    <w:p>
      <w:pPr>
        <w:snapToGrid w:val="0"/>
        <w:spacing w:line="500" w:lineRule="exact"/>
        <w:rPr>
          <w:rFonts w:hint="eastAsia" w:ascii="宋体" w:hAnsi="宋体" w:cs="宋体"/>
          <w:b/>
          <w:bCs/>
          <w:color w:val="auto"/>
          <w:sz w:val="24"/>
          <w:szCs w:val="24"/>
          <w:highlight w:val="none"/>
        </w:rPr>
      </w:pPr>
    </w:p>
    <w:p>
      <w:pPr>
        <w:pStyle w:val="9"/>
        <w:ind w:left="1470" w:right="1470"/>
        <w:rPr>
          <w:rFonts w:hint="eastAsia" w:ascii="宋体" w:hAnsi="宋体" w:cs="宋体"/>
          <w:color w:val="auto"/>
          <w:highlight w:val="none"/>
        </w:rPr>
      </w:pPr>
    </w:p>
    <w:p>
      <w:pPr>
        <w:snapToGrid w:val="0"/>
        <w:spacing w:line="500" w:lineRule="exact"/>
        <w:rPr>
          <w:rFonts w:hint="eastAsia" w:ascii="宋体" w:hAnsi="宋体" w:cs="宋体"/>
          <w:b/>
          <w:bCs/>
          <w:color w:val="auto"/>
          <w:szCs w:val="21"/>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2"/>
          <w:szCs w:val="22"/>
          <w:highlight w:val="none"/>
        </w:rPr>
      </w:pPr>
    </w:p>
    <w:p>
      <w:pPr>
        <w:snapToGrid w:val="0"/>
        <w:spacing w:line="50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（4）有依法缴纳税收和社会保障资金的良好记录：</w:t>
      </w:r>
      <w:r>
        <w:rPr>
          <w:rFonts w:hint="eastAsia" w:ascii="宋体" w:hAnsi="宋体" w:cs="宋体"/>
          <w:color w:val="auto"/>
          <w:sz w:val="24"/>
          <w:szCs w:val="24"/>
          <w:highlight w:val="none"/>
        </w:rPr>
        <w:t>提供开标前六个月中任意一个月依法纳税的完税凭证复印件加盖公章，无完税记录的提供投标方所在地国税、地税部门出具的《依法纳税或依法免税证明》复印件加盖公章；提供开标前六个月中任意一个月缴纳社保的凭证复印件加盖公章，无缴费记录的提供投标方所有地社保部门出具的《依法缴纳或免缴社保费证明》复印件加盖公章；</w:t>
      </w:r>
    </w:p>
    <w:p>
      <w:pPr>
        <w:spacing w:line="360" w:lineRule="auto"/>
        <w:ind w:firstLine="422" w:firstLineChars="200"/>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jc w:val="center"/>
        <w:rPr>
          <w:rFonts w:hint="eastAsia" w:ascii="宋体" w:hAnsi="宋体" w:cs="宋体"/>
          <w:b/>
          <w:bCs/>
          <w:color w:val="auto"/>
          <w:sz w:val="24"/>
          <w:szCs w:val="24"/>
          <w:highlight w:val="none"/>
        </w:rPr>
      </w:pPr>
    </w:p>
    <w:p>
      <w:pPr>
        <w:spacing w:line="360" w:lineRule="auto"/>
        <w:jc w:val="center"/>
        <w:rPr>
          <w:rFonts w:hint="eastAsia" w:ascii="宋体" w:hAnsi="宋体" w:cs="宋体"/>
          <w:b/>
          <w:color w:val="auto"/>
          <w:sz w:val="36"/>
          <w:szCs w:val="36"/>
          <w:highlight w:val="none"/>
        </w:rPr>
      </w:pPr>
      <w:r>
        <w:rPr>
          <w:rFonts w:hint="eastAsia" w:ascii="宋体" w:hAnsi="宋体" w:cs="宋体"/>
          <w:b/>
          <w:bCs/>
          <w:color w:val="auto"/>
          <w:sz w:val="24"/>
          <w:szCs w:val="24"/>
          <w:highlight w:val="none"/>
        </w:rPr>
        <w:t>（5）参加政府采购活动前三年内，在经营活动中没有重大违法记录：</w:t>
      </w:r>
    </w:p>
    <w:p>
      <w:pPr>
        <w:snapToGrid w:val="0"/>
        <w:spacing w:line="500" w:lineRule="exact"/>
        <w:ind w:firstLine="482" w:firstLineChars="200"/>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无重大违法记录的声明函</w:t>
      </w:r>
    </w:p>
    <w:p>
      <w:pPr>
        <w:snapToGrid w:val="0"/>
        <w:spacing w:line="50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（采购人）</w:t>
      </w:r>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本单位承诺：</w:t>
      </w:r>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我单位 参加政府采购活动前三年内，在经营活动中没有重大违法记录。</w:t>
      </w:r>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我单位对上述声明的真实性负责。如有虚假，将依法承担相应法律责任。</w:t>
      </w:r>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特此声明。</w:t>
      </w:r>
    </w:p>
    <w:p>
      <w:pPr>
        <w:pStyle w:val="9"/>
        <w:ind w:left="1470" w:right="1470"/>
        <w:rPr>
          <w:rFonts w:hint="eastAsia" w:ascii="宋体" w:hAnsi="宋体" w:cs="宋体"/>
          <w:color w:val="auto"/>
          <w:sz w:val="24"/>
          <w:szCs w:val="22"/>
          <w:highlight w:val="none"/>
        </w:rPr>
      </w:pPr>
    </w:p>
    <w:p>
      <w:pPr>
        <w:snapToGrid w:val="0"/>
        <w:spacing w:line="500" w:lineRule="exact"/>
        <w:ind w:firstLine="480" w:firstLineChars="200"/>
        <w:rPr>
          <w:rFonts w:hint="eastAsia" w:ascii="宋体" w:hAnsi="宋体" w:cs="宋体"/>
          <w:color w:val="auto"/>
          <w:sz w:val="24"/>
          <w:szCs w:val="24"/>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9"/>
        <w:spacing w:line="360" w:lineRule="auto"/>
        <w:ind w:left="1470" w:right="1470"/>
        <w:rPr>
          <w:rFonts w:hint="eastAsia" w:ascii="宋体" w:hAnsi="宋体" w:cs="宋体"/>
          <w:color w:val="auto"/>
          <w:sz w:val="24"/>
          <w:szCs w:val="24"/>
          <w:highlight w:val="none"/>
        </w:rPr>
      </w:pPr>
    </w:p>
    <w:p>
      <w:pPr>
        <w:pStyle w:val="9"/>
        <w:ind w:left="1470" w:right="1470"/>
        <w:rPr>
          <w:rFonts w:hint="eastAsia" w:ascii="宋体" w:hAnsi="宋体" w:cs="宋体"/>
          <w:color w:val="auto"/>
          <w:sz w:val="24"/>
          <w:szCs w:val="24"/>
          <w:highlight w:val="none"/>
        </w:rPr>
      </w:pPr>
    </w:p>
    <w:p>
      <w:pPr>
        <w:snapToGrid w:val="0"/>
        <w:spacing w:line="500" w:lineRule="exact"/>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注：1、供应商注册成立不足三年的，应就供应商单位成立至参加政府采购活动时段进行承诺。</w:t>
      </w:r>
    </w:p>
    <w:p>
      <w:pPr>
        <w:snapToGrid w:val="0"/>
        <w:spacing w:line="500" w:lineRule="exact"/>
        <w:ind w:firstLine="422" w:firstLineChars="200"/>
        <w:rPr>
          <w:rFonts w:hint="eastAsia" w:ascii="宋体" w:hAnsi="宋体" w:cs="宋体"/>
          <w:b/>
          <w:bCs/>
          <w:color w:val="auto"/>
          <w:szCs w:val="21"/>
          <w:highlight w:val="none"/>
        </w:rPr>
      </w:pPr>
    </w:p>
    <w:p>
      <w:pPr>
        <w:jc w:val="left"/>
        <w:rPr>
          <w:rFonts w:hint="eastAsia" w:ascii="宋体" w:hAnsi="宋体" w:cs="宋体"/>
          <w:color w:val="auto"/>
          <w:highlight w:val="none"/>
        </w:rPr>
        <w:sectPr>
          <w:footerReference r:id="rId5" w:type="default"/>
          <w:pgSz w:w="11906" w:h="16838"/>
          <w:pgMar w:top="1440" w:right="1123" w:bottom="1440" w:left="1123" w:header="851" w:footer="992" w:gutter="0"/>
          <w:cols w:space="720" w:num="1"/>
          <w:docGrid w:type="lines" w:linePitch="391" w:charSpace="0"/>
        </w:sectPr>
      </w:pPr>
    </w:p>
    <w:p>
      <w:pPr>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（6）其他资格要求需提供的声明函</w:t>
      </w:r>
    </w:p>
    <w:p>
      <w:pPr>
        <w:spacing w:line="400" w:lineRule="exact"/>
        <w:rPr>
          <w:rFonts w:hint="eastAsia" w:ascii="宋体" w:hAnsi="宋体" w:cs="宋体"/>
          <w:color w:val="auto"/>
          <w:szCs w:val="21"/>
          <w:highlight w:val="none"/>
        </w:rPr>
      </w:pPr>
    </w:p>
    <w:p>
      <w:pPr>
        <w:spacing w:line="400" w:lineRule="exact"/>
        <w:rPr>
          <w:rFonts w:hint="eastAsia" w:ascii="宋体" w:hAnsi="宋体" w:cs="宋体"/>
          <w:b/>
          <w:color w:val="auto"/>
          <w:szCs w:val="21"/>
          <w:highlight w:val="none"/>
          <w:u w:val="singl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（采购人 ）          </w:t>
      </w:r>
    </w:p>
    <w:p>
      <w:pPr>
        <w:spacing w:line="400" w:lineRule="exact"/>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我单位承诺：</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1、我单位符合法律、行政法规规定的其他条件。</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我单位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3、本项目我单位非联合体投标。</w:t>
      </w:r>
    </w:p>
    <w:p>
      <w:pPr>
        <w:spacing w:line="400" w:lineRule="exact"/>
        <w:ind w:firstLine="420" w:firstLineChars="200"/>
        <w:rPr>
          <w:rFonts w:hint="eastAsia" w:ascii="宋体" w:hAnsi="宋体" w:cs="宋体"/>
          <w:color w:val="auto"/>
          <w:szCs w:val="21"/>
          <w:highlight w:val="none"/>
        </w:rPr>
      </w:pP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特此承诺。</w:t>
      </w:r>
    </w:p>
    <w:p>
      <w:pPr>
        <w:pStyle w:val="15"/>
        <w:spacing w:before="0" w:beforeAutospacing="0" w:after="0" w:afterAutospacing="0" w:line="400" w:lineRule="exact"/>
        <w:ind w:right="159" w:firstLine="660"/>
        <w:jc w:val="both"/>
        <w:rPr>
          <w:rFonts w:hint="eastAsia" w:hAnsi="宋体" w:cs="宋体"/>
          <w:bCs/>
          <w:color w:val="auto"/>
          <w:sz w:val="21"/>
          <w:szCs w:val="21"/>
          <w:highlight w:val="none"/>
        </w:rPr>
      </w:pPr>
    </w:p>
    <w:p>
      <w:pPr>
        <w:pStyle w:val="15"/>
        <w:spacing w:before="0" w:beforeAutospacing="0" w:after="0" w:afterAutospacing="0" w:line="400" w:lineRule="exact"/>
        <w:ind w:right="159" w:firstLine="660"/>
        <w:jc w:val="both"/>
        <w:rPr>
          <w:rFonts w:hint="eastAsia" w:hAnsi="宋体" w:cs="宋体"/>
          <w:bCs/>
          <w:color w:val="auto"/>
          <w:sz w:val="21"/>
          <w:szCs w:val="21"/>
          <w:highlight w:val="none"/>
        </w:rPr>
      </w:pPr>
    </w:p>
    <w:p>
      <w:pPr>
        <w:spacing w:line="400" w:lineRule="exact"/>
        <w:rPr>
          <w:rFonts w:hint="eastAsia" w:ascii="宋体" w:hAnsi="宋体" w:cs="宋体"/>
          <w:color w:val="auto"/>
          <w:kern w:val="0"/>
          <w:szCs w:val="21"/>
          <w:highlight w:val="none"/>
        </w:rPr>
      </w:pPr>
    </w:p>
    <w:p>
      <w:pPr>
        <w:spacing w:line="400" w:lineRule="exact"/>
        <w:rPr>
          <w:rFonts w:hint="eastAsia" w:ascii="宋体" w:hAnsi="宋体" w:cs="宋体"/>
          <w:color w:val="auto"/>
          <w:kern w:val="0"/>
          <w:szCs w:val="21"/>
          <w:highlight w:val="none"/>
        </w:rPr>
      </w:pPr>
    </w:p>
    <w:p>
      <w:pPr>
        <w:spacing w:line="400" w:lineRule="exact"/>
        <w:rPr>
          <w:rFonts w:hint="eastAsia" w:ascii="宋体" w:hAnsi="宋体" w:cs="宋体"/>
          <w:color w:val="auto"/>
          <w:kern w:val="0"/>
          <w:szCs w:val="21"/>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napToGrid w:val="0"/>
        <w:spacing w:line="500" w:lineRule="exact"/>
        <w:rPr>
          <w:rFonts w:hint="eastAsia" w:ascii="宋体" w:hAnsi="宋体" w:cs="宋体"/>
          <w:b/>
          <w:bCs/>
          <w:color w:val="auto"/>
          <w:sz w:val="24"/>
          <w:szCs w:val="24"/>
          <w:highlight w:val="none"/>
        </w:rPr>
        <w:sectPr>
          <w:pgSz w:w="11906" w:h="16838"/>
          <w:pgMar w:top="1440" w:right="1123" w:bottom="1440" w:left="1123" w:header="851" w:footer="992" w:gutter="0"/>
          <w:cols w:space="720" w:num="1"/>
          <w:docGrid w:type="lines" w:linePitch="391" w:charSpace="0"/>
        </w:sectPr>
      </w:pPr>
    </w:p>
    <w:p>
      <w:pPr>
        <w:adjustRightInd w:val="0"/>
        <w:spacing w:line="276" w:lineRule="auto"/>
        <w:rPr>
          <w:rFonts w:hint="eastAsia" w:ascii="宋体" w:hAnsi="宋体" w:cs="宋体"/>
          <w:b/>
          <w:color w:val="auto"/>
          <w:sz w:val="28"/>
          <w:szCs w:val="28"/>
          <w:highlight w:val="none"/>
        </w:rPr>
      </w:pPr>
    </w:p>
    <w:p>
      <w:pPr>
        <w:snapToGrid w:val="0"/>
        <w:spacing w:line="500" w:lineRule="exact"/>
        <w:rPr>
          <w:rFonts w:hint="eastAsia" w:ascii="宋体" w:hAnsi="宋体" w:cs="宋体"/>
          <w:b/>
          <w:bCs/>
          <w:color w:val="auto"/>
          <w:sz w:val="24"/>
          <w:szCs w:val="24"/>
          <w:highlight w:val="none"/>
        </w:rPr>
        <w:sectPr>
          <w:pgSz w:w="11906" w:h="16838"/>
          <w:pgMar w:top="1440" w:right="1123" w:bottom="1440" w:left="1123" w:header="851" w:footer="992" w:gutter="0"/>
          <w:cols w:space="720" w:num="1"/>
          <w:docGrid w:type="lines" w:linePitch="391" w:charSpace="0"/>
        </w:sectPr>
      </w:pPr>
      <w:r>
        <w:rPr>
          <w:rFonts w:hint="eastAsia" w:ascii="宋体" w:hAnsi="宋体" w:cs="宋体"/>
          <w:b/>
          <w:bCs/>
          <w:color w:val="auto"/>
          <w:sz w:val="24"/>
          <w:szCs w:val="24"/>
          <w:highlight w:val="none"/>
        </w:rPr>
        <w:t>（7）采购文件要求的其他资格条件证明材料（如有）</w:t>
      </w:r>
    </w:p>
    <w:p>
      <w:pPr>
        <w:jc w:val="center"/>
        <w:rPr>
          <w:rStyle w:val="58"/>
          <w:rFonts w:hint="eastAsia" w:ascii="宋体" w:hAnsi="宋体" w:cs="宋体"/>
          <w:color w:val="auto"/>
          <w:sz w:val="32"/>
          <w:szCs w:val="32"/>
          <w:highlight w:val="none"/>
        </w:rPr>
      </w:pPr>
      <w:r>
        <w:rPr>
          <w:rStyle w:val="58"/>
          <w:rFonts w:hint="eastAsia" w:ascii="宋体" w:hAnsi="宋体" w:cs="宋体"/>
          <w:color w:val="auto"/>
          <w:sz w:val="32"/>
          <w:szCs w:val="32"/>
          <w:highlight w:val="none"/>
        </w:rPr>
        <w:t>2、商务技术文件</w:t>
      </w:r>
    </w:p>
    <w:p>
      <w:pPr>
        <w:spacing w:line="360" w:lineRule="auto"/>
        <w:rPr>
          <w:rFonts w:hint="eastAsia" w:ascii="宋体" w:hAnsi="宋体" w:cs="宋体"/>
          <w:b/>
          <w:color w:val="auto"/>
          <w:sz w:val="32"/>
          <w:szCs w:val="32"/>
          <w:highlight w:val="none"/>
        </w:rPr>
      </w:pPr>
      <w:bookmarkStart w:id="26" w:name="_Toc2703_WPSOffice_Level1"/>
      <w:bookmarkStart w:id="27" w:name="_Toc11276_WPSOffice_Level1"/>
      <w:bookmarkStart w:id="28" w:name="_Toc11589_WPSOffice_Level1"/>
      <w:r>
        <w:rPr>
          <w:rFonts w:hint="eastAsia" w:ascii="宋体" w:hAnsi="宋体" w:cs="宋体"/>
          <w:b/>
          <w:color w:val="auto"/>
          <w:sz w:val="32"/>
          <w:szCs w:val="32"/>
          <w:highlight w:val="none"/>
        </w:rPr>
        <w:t>封面</w:t>
      </w:r>
      <w:bookmarkEnd w:id="26"/>
      <w:bookmarkEnd w:id="27"/>
      <w:bookmarkEnd w:id="28"/>
      <w:r>
        <w:rPr>
          <w:rFonts w:hint="eastAsia" w:ascii="宋体" w:hAnsi="宋体" w:cs="宋体"/>
          <w:b/>
          <w:color w:val="auto"/>
          <w:sz w:val="32"/>
          <w:szCs w:val="32"/>
          <w:highlight w:val="none"/>
        </w:rPr>
        <w:t xml:space="preserve">                                       </w:t>
      </w:r>
    </w:p>
    <w:p>
      <w:pPr>
        <w:rPr>
          <w:rFonts w:hint="eastAsia" w:ascii="宋体" w:hAnsi="宋体" w:cs="宋体"/>
          <w:color w:val="auto"/>
          <w:sz w:val="32"/>
          <w:szCs w:val="32"/>
          <w:highlight w:val="none"/>
        </w:rPr>
      </w:pPr>
    </w:p>
    <w:p>
      <w:pPr>
        <w:rPr>
          <w:rFonts w:hint="eastAsia" w:ascii="宋体" w:hAnsi="宋体" w:cs="宋体"/>
          <w:color w:val="auto"/>
          <w:sz w:val="32"/>
          <w:szCs w:val="32"/>
          <w:highlight w:val="none"/>
        </w:rPr>
      </w:pPr>
      <w:r>
        <w:rPr>
          <w:rFonts w:hint="eastAsia" w:ascii="宋体" w:hAnsi="宋体" w:cs="宋体"/>
          <w:color w:val="auto"/>
          <w:sz w:val="32"/>
          <w:szCs w:val="32"/>
          <w:highlight w:val="none"/>
        </w:rPr>
        <w:t>采购人：</w:t>
      </w:r>
      <w:r>
        <w:rPr>
          <w:rFonts w:hint="eastAsia" w:ascii="宋体" w:hAnsi="宋体" w:cs="宋体"/>
          <w:color w:val="auto"/>
          <w:sz w:val="32"/>
          <w:szCs w:val="32"/>
          <w:highlight w:val="none"/>
          <w:u w:val="single"/>
        </w:rPr>
        <w:t xml:space="preserve">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项目名称：</w:t>
      </w:r>
      <w:r>
        <w:rPr>
          <w:rFonts w:hint="eastAsia" w:ascii="宋体" w:hAnsi="宋体" w:cs="宋体"/>
          <w:color w:val="auto"/>
          <w:sz w:val="32"/>
          <w:szCs w:val="32"/>
          <w:highlight w:val="none"/>
          <w:u w:val="single"/>
        </w:rPr>
        <w:t xml:space="preserve">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招标编号：</w:t>
      </w:r>
      <w:r>
        <w:rPr>
          <w:rFonts w:hint="eastAsia" w:ascii="宋体" w:hAnsi="宋体" w:cs="宋体"/>
          <w:color w:val="auto"/>
          <w:sz w:val="32"/>
          <w:szCs w:val="32"/>
          <w:highlight w:val="none"/>
          <w:u w:val="single"/>
        </w:rPr>
        <w:t xml:space="preserve">                                            </w:t>
      </w:r>
    </w:p>
    <w:p>
      <w:pPr>
        <w:jc w:val="center"/>
        <w:rPr>
          <w:rFonts w:hint="eastAsia" w:ascii="宋体" w:hAnsi="宋体" w:cs="宋体"/>
          <w:color w:val="auto"/>
          <w:highlight w:val="none"/>
        </w:rPr>
      </w:pPr>
      <w:r>
        <w:rPr>
          <w:rFonts w:hint="eastAsia" w:ascii="宋体" w:hAnsi="宋体" w:cs="宋体"/>
          <w:color w:val="auto"/>
          <w:sz w:val="32"/>
          <w:szCs w:val="32"/>
          <w:highlight w:val="none"/>
        </w:rPr>
        <w:t>（商务技术文件）</w:t>
      </w:r>
    </w:p>
    <w:p>
      <w:pPr>
        <w:jc w:val="center"/>
        <w:rPr>
          <w:rFonts w:hint="eastAsia" w:ascii="宋体" w:hAnsi="宋体" w:cs="宋体"/>
          <w:color w:val="auto"/>
          <w:sz w:val="84"/>
          <w:highlight w:val="none"/>
        </w:rPr>
      </w:pPr>
      <w:r>
        <w:rPr>
          <w:rFonts w:hint="eastAsia" w:ascii="宋体" w:hAnsi="宋体" w:cs="宋体"/>
          <w:color w:val="auto"/>
          <w:sz w:val="84"/>
          <w:highlight w:val="none"/>
        </w:rPr>
        <w:t>投</w:t>
      </w:r>
    </w:p>
    <w:p>
      <w:pPr>
        <w:jc w:val="center"/>
        <w:rPr>
          <w:rFonts w:hint="eastAsia" w:ascii="宋体" w:hAnsi="宋体" w:cs="宋体"/>
          <w:color w:val="auto"/>
          <w:sz w:val="84"/>
          <w:highlight w:val="none"/>
        </w:rPr>
      </w:pPr>
      <w:r>
        <w:rPr>
          <w:rFonts w:hint="eastAsia" w:ascii="宋体" w:hAnsi="宋体" w:cs="宋体"/>
          <w:color w:val="auto"/>
          <w:sz w:val="84"/>
          <w:highlight w:val="none"/>
        </w:rPr>
        <w:t>标</w:t>
      </w:r>
    </w:p>
    <w:p>
      <w:pPr>
        <w:jc w:val="center"/>
        <w:rPr>
          <w:rFonts w:hint="eastAsia" w:ascii="宋体" w:hAnsi="宋体" w:cs="宋体"/>
          <w:color w:val="auto"/>
          <w:sz w:val="84"/>
          <w:highlight w:val="none"/>
        </w:rPr>
      </w:pPr>
      <w:r>
        <w:rPr>
          <w:rFonts w:hint="eastAsia" w:ascii="宋体" w:hAnsi="宋体" w:cs="宋体"/>
          <w:color w:val="auto"/>
          <w:sz w:val="84"/>
          <w:highlight w:val="none"/>
        </w:rPr>
        <w:t>文</w:t>
      </w:r>
    </w:p>
    <w:p>
      <w:pPr>
        <w:jc w:val="center"/>
        <w:rPr>
          <w:rFonts w:hint="eastAsia" w:ascii="宋体" w:hAnsi="宋体" w:cs="宋体"/>
          <w:color w:val="auto"/>
          <w:sz w:val="24"/>
          <w:highlight w:val="none"/>
        </w:rPr>
      </w:pPr>
      <w:r>
        <w:rPr>
          <w:rFonts w:hint="eastAsia" w:ascii="宋体" w:hAnsi="宋体" w:cs="宋体"/>
          <w:color w:val="auto"/>
          <w:sz w:val="84"/>
          <w:highlight w:val="none"/>
        </w:rPr>
        <w:t>件</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投标供应商名称：</w:t>
      </w:r>
      <w:r>
        <w:rPr>
          <w:rFonts w:hint="eastAsia" w:ascii="宋体" w:hAnsi="宋体" w:cs="宋体"/>
          <w:color w:val="auto"/>
          <w:sz w:val="32"/>
          <w:szCs w:val="32"/>
          <w:highlight w:val="none"/>
          <w:u w:val="single"/>
        </w:rPr>
        <w:t xml:space="preserve">               （加盖单位公章）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通讯地址：</w:t>
      </w:r>
      <w:r>
        <w:rPr>
          <w:rFonts w:hint="eastAsia" w:ascii="宋体" w:hAnsi="宋体" w:cs="宋体"/>
          <w:color w:val="auto"/>
          <w:sz w:val="32"/>
          <w:szCs w:val="32"/>
          <w:highlight w:val="none"/>
          <w:u w:val="single"/>
        </w:rPr>
        <w:t xml:space="preserve">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投标联系人及联系方式：</w:t>
      </w:r>
      <w:r>
        <w:rPr>
          <w:rFonts w:hint="eastAsia" w:ascii="宋体" w:hAnsi="宋体" w:cs="宋体"/>
          <w:color w:val="auto"/>
          <w:sz w:val="32"/>
          <w:szCs w:val="32"/>
          <w:highlight w:val="none"/>
          <w:u w:val="single"/>
        </w:rPr>
        <w:t xml:space="preserve">                                       </w:t>
      </w:r>
    </w:p>
    <w:p>
      <w:pPr>
        <w:ind w:firstLine="2240" w:firstLineChars="700"/>
        <w:rPr>
          <w:rFonts w:hint="eastAsia" w:ascii="宋体" w:hAnsi="宋体" w:cs="宋体"/>
          <w:b/>
          <w:color w:val="auto"/>
          <w:szCs w:val="21"/>
          <w:highlight w:val="none"/>
        </w:rPr>
      </w:pPr>
      <w:r>
        <w:rPr>
          <w:rFonts w:hint="eastAsia" w:ascii="宋体" w:hAnsi="宋体" w:cs="宋体"/>
          <w:color w:val="auto"/>
          <w:sz w:val="32"/>
          <w:szCs w:val="32"/>
          <w:highlight w:val="none"/>
        </w:rPr>
        <w:t>在  年  月  日 时 分前不得开启</w:t>
      </w:r>
    </w:p>
    <w:p>
      <w:pPr>
        <w:pStyle w:val="10"/>
        <w:widowControl w:val="0"/>
        <w:overflowPunct/>
        <w:autoSpaceDE/>
        <w:autoSpaceDN/>
        <w:adjustRightInd/>
        <w:textAlignment w:val="auto"/>
        <w:rPr>
          <w:rFonts w:hint="eastAsia" w:hAnsi="宋体" w:cs="宋体"/>
          <w:bCs/>
          <w:color w:val="auto"/>
          <w:szCs w:val="21"/>
          <w:highlight w:val="none"/>
        </w:rPr>
      </w:pPr>
    </w:p>
    <w:p>
      <w:pPr>
        <w:spacing w:line="480" w:lineRule="exact"/>
        <w:jc w:val="center"/>
        <w:rPr>
          <w:rFonts w:hint="eastAsia" w:ascii="宋体" w:hAnsi="宋体" w:cs="宋体"/>
          <w:b/>
          <w:color w:val="auto"/>
          <w:sz w:val="24"/>
          <w:szCs w:val="28"/>
          <w:highlight w:val="none"/>
        </w:rPr>
      </w:pPr>
      <w:bookmarkStart w:id="29" w:name="_Toc30405_WPSOffice_Level1"/>
      <w:bookmarkStart w:id="30" w:name="_Toc2228_WPSOffice_Level1"/>
      <w:bookmarkStart w:id="31" w:name="_Toc9982_WPSOffice_Level1"/>
      <w:r>
        <w:rPr>
          <w:rFonts w:hint="eastAsia" w:ascii="宋体" w:hAnsi="宋体" w:cs="宋体"/>
          <w:b/>
          <w:color w:val="auto"/>
          <w:sz w:val="24"/>
          <w:szCs w:val="28"/>
          <w:highlight w:val="none"/>
        </w:rPr>
        <w:t>（1）自评分表</w:t>
      </w:r>
    </w:p>
    <w:p>
      <w:pPr>
        <w:rPr>
          <w:rFonts w:hint="eastAsia" w:ascii="宋体" w:hAnsi="宋体" w:cs="宋体"/>
          <w:color w:val="auto"/>
          <w:highlight w:val="none"/>
        </w:rPr>
      </w:pPr>
    </w:p>
    <w:tbl>
      <w:tblPr>
        <w:tblStyle w:val="17"/>
        <w:tblW w:w="0" w:type="auto"/>
        <w:jc w:val="center"/>
        <w:tblLayout w:type="fixed"/>
        <w:tblCellMar>
          <w:top w:w="0" w:type="dxa"/>
          <w:left w:w="108" w:type="dxa"/>
          <w:bottom w:w="0" w:type="dxa"/>
          <w:right w:w="108" w:type="dxa"/>
        </w:tblCellMar>
      </w:tblPr>
      <w:tblGrid>
        <w:gridCol w:w="662"/>
        <w:gridCol w:w="5708"/>
        <w:gridCol w:w="1685"/>
        <w:gridCol w:w="1683"/>
      </w:tblGrid>
      <w:tr>
        <w:tblPrEx>
          <w:tblCellMar>
            <w:top w:w="0" w:type="dxa"/>
            <w:left w:w="108" w:type="dxa"/>
            <w:bottom w:w="0" w:type="dxa"/>
            <w:right w:w="108" w:type="dxa"/>
          </w:tblCellMar>
        </w:tblPrEx>
        <w:trPr>
          <w:trHeight w:val="799"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序号</w:t>
            </w:r>
          </w:p>
        </w:tc>
        <w:tc>
          <w:tcPr>
            <w:tcW w:w="5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评审内容</w:t>
            </w:r>
          </w:p>
        </w:tc>
        <w:tc>
          <w:tcPr>
            <w:tcW w:w="16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证明文件</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自评分</w:t>
            </w:r>
          </w:p>
        </w:tc>
      </w:tr>
      <w:tr>
        <w:tblPrEx>
          <w:tblCellMar>
            <w:top w:w="0" w:type="dxa"/>
            <w:left w:w="108" w:type="dxa"/>
            <w:bottom w:w="0" w:type="dxa"/>
            <w:right w:w="108" w:type="dxa"/>
          </w:tblCellMar>
        </w:tblPrEx>
        <w:trPr>
          <w:trHeight w:val="611" w:hRule="atLeast"/>
          <w:jc w:val="center"/>
        </w:trPr>
        <w:tc>
          <w:tcPr>
            <w:tcW w:w="66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631" w:hRule="atLeast"/>
          <w:jc w:val="center"/>
        </w:trPr>
        <w:tc>
          <w:tcPr>
            <w:tcW w:w="66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538" w:hRule="atLeast"/>
          <w:jc w:val="center"/>
        </w:trPr>
        <w:tc>
          <w:tcPr>
            <w:tcW w:w="66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549" w:hRule="atLeast"/>
          <w:jc w:val="center"/>
        </w:trPr>
        <w:tc>
          <w:tcPr>
            <w:tcW w:w="66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625"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633"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633"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633"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633"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633"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626"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r>
        <w:tblPrEx>
          <w:tblCellMar>
            <w:top w:w="0" w:type="dxa"/>
            <w:left w:w="108" w:type="dxa"/>
            <w:bottom w:w="0" w:type="dxa"/>
            <w:right w:w="108" w:type="dxa"/>
          </w:tblCellMar>
        </w:tblPrEx>
        <w:trPr>
          <w:trHeight w:val="787"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5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p>
        </w:tc>
        <w:tc>
          <w:tcPr>
            <w:tcW w:w="16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见（  ）页</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highlight w:val="none"/>
              </w:rPr>
            </w:pPr>
          </w:p>
        </w:tc>
      </w:tr>
    </w:tbl>
    <w:p>
      <w:pPr>
        <w:rPr>
          <w:rFonts w:hint="eastAsia" w:ascii="宋体" w:hAnsi="宋体" w:cs="宋体"/>
          <w:b/>
          <w:color w:val="auto"/>
          <w:highlight w:val="none"/>
        </w:rPr>
      </w:pPr>
      <w:r>
        <w:rPr>
          <w:rFonts w:hint="eastAsia" w:ascii="宋体" w:hAnsi="宋体" w:cs="宋体"/>
          <w:b/>
          <w:color w:val="auto"/>
          <w:highlight w:val="none"/>
        </w:rPr>
        <w:t>根据评分标准逐条填写（除价格分外）。</w:t>
      </w:r>
    </w:p>
    <w:p>
      <w:pPr>
        <w:rPr>
          <w:rFonts w:hint="eastAsia" w:ascii="宋体" w:hAnsi="宋体" w:cs="宋体"/>
          <w:color w:val="auto"/>
          <w:highlight w:val="none"/>
        </w:rPr>
      </w:pPr>
    </w:p>
    <w:p>
      <w:pPr>
        <w:rPr>
          <w:rFonts w:hint="eastAsia" w:ascii="宋体" w:hAnsi="宋体" w:cs="宋体"/>
          <w:color w:val="auto"/>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jc w:val="center"/>
        <w:rPr>
          <w:rFonts w:hint="eastAsia" w:ascii="宋体" w:hAnsi="宋体" w:cs="宋体"/>
          <w:b/>
          <w:color w:val="auto"/>
          <w:sz w:val="28"/>
          <w:szCs w:val="32"/>
          <w:highlight w:val="none"/>
        </w:rPr>
      </w:pPr>
    </w:p>
    <w:p>
      <w:pPr>
        <w:spacing w:line="360" w:lineRule="auto"/>
        <w:jc w:val="center"/>
        <w:rPr>
          <w:rFonts w:hint="eastAsia" w:ascii="宋体" w:hAnsi="宋体" w:cs="宋体"/>
          <w:b/>
          <w:color w:val="auto"/>
          <w:sz w:val="28"/>
          <w:szCs w:val="32"/>
          <w:highlight w:val="none"/>
        </w:rPr>
      </w:pPr>
    </w:p>
    <w:p>
      <w:pPr>
        <w:spacing w:line="360" w:lineRule="auto"/>
        <w:jc w:val="center"/>
        <w:rPr>
          <w:rFonts w:hint="eastAsia" w:ascii="宋体" w:hAnsi="宋体" w:cs="宋体"/>
          <w:b/>
          <w:color w:val="auto"/>
          <w:sz w:val="28"/>
          <w:szCs w:val="32"/>
          <w:highlight w:val="none"/>
        </w:rPr>
      </w:pPr>
    </w:p>
    <w:p>
      <w:pPr>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32"/>
          <w:highlight w:val="none"/>
        </w:rPr>
        <w:br w:type="page"/>
      </w:r>
      <w:r>
        <w:rPr>
          <w:rFonts w:hint="eastAsia" w:ascii="宋体" w:hAnsi="宋体" w:cs="宋体"/>
          <w:b/>
          <w:color w:val="auto"/>
          <w:sz w:val="28"/>
          <w:szCs w:val="32"/>
          <w:highlight w:val="none"/>
        </w:rPr>
        <w:t>（2）投标</w:t>
      </w:r>
      <w:bookmarkEnd w:id="29"/>
      <w:r>
        <w:rPr>
          <w:rFonts w:hint="eastAsia" w:ascii="宋体" w:hAnsi="宋体" w:cs="宋体"/>
          <w:b/>
          <w:color w:val="auto"/>
          <w:sz w:val="28"/>
          <w:szCs w:val="32"/>
          <w:highlight w:val="none"/>
        </w:rPr>
        <w:t>函</w:t>
      </w:r>
      <w:bookmarkEnd w:id="30"/>
      <w:bookmarkEnd w:id="31"/>
    </w:p>
    <w:p>
      <w:pPr>
        <w:spacing w:line="520" w:lineRule="exact"/>
        <w:rPr>
          <w:rFonts w:hint="eastAsia"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（招标方）</w:t>
      </w:r>
    </w:p>
    <w:p>
      <w:pPr>
        <w:spacing w:line="5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(投标供应商全称)　</w:t>
      </w:r>
      <w:r>
        <w:rPr>
          <w:rFonts w:hint="eastAsia" w:ascii="宋体" w:hAnsi="宋体" w:cs="宋体"/>
          <w:color w:val="auto"/>
          <w:szCs w:val="21"/>
          <w:highlight w:val="none"/>
        </w:rPr>
        <w:t>授权</w:t>
      </w:r>
      <w:r>
        <w:rPr>
          <w:rFonts w:hint="eastAsia" w:ascii="宋体" w:hAnsi="宋体" w:cs="宋体"/>
          <w:color w:val="auto"/>
          <w:szCs w:val="21"/>
          <w:highlight w:val="none"/>
          <w:u w:val="single"/>
        </w:rPr>
        <w:t xml:space="preserve">  （全名、职务）  </w:t>
      </w:r>
      <w:r>
        <w:rPr>
          <w:rFonts w:hint="eastAsia" w:ascii="宋体" w:hAnsi="宋体" w:cs="宋体"/>
          <w:color w:val="auto"/>
          <w:szCs w:val="21"/>
          <w:highlight w:val="none"/>
        </w:rPr>
        <w:t>为全权代表，参加贵方组织的</w:t>
      </w: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rPr>
        <w:t>项目（项目编号：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）招标活动并投标，为便于贵方公正、择优地确定中标供应商及其投标产品和服务，我方就本次投标有关事项郑重声明如下：</w:t>
      </w:r>
    </w:p>
    <w:p>
      <w:pPr>
        <w:snapToGrid w:val="0"/>
        <w:spacing w:line="5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1.我方向贵方提交的所有投标文件、资料都是准确的和真实的。</w:t>
      </w:r>
    </w:p>
    <w:p>
      <w:pPr>
        <w:spacing w:line="5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2、若中标，投标供应商将按招标文件规定履行合同责任和义务。</w:t>
      </w:r>
    </w:p>
    <w:p>
      <w:pPr>
        <w:snapToGrid w:val="0"/>
        <w:spacing w:line="5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3、我方不是采购人的附属机构；在获知本项目采购信息后，与招标方聘请的为此项目提供咨询服务的公司及其附属机构没有任何联系。</w:t>
      </w:r>
    </w:p>
    <w:p>
      <w:pPr>
        <w:spacing w:line="5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4、我方符合招标方提出的资格要求。</w:t>
      </w:r>
    </w:p>
    <w:p>
      <w:pPr>
        <w:spacing w:line="520" w:lineRule="exact"/>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5、投标文件有效期为开标之日起</w:t>
      </w:r>
      <w:r>
        <w:rPr>
          <w:rFonts w:hint="eastAsia" w:ascii="宋体" w:hAnsi="宋体" w:cs="宋体"/>
          <w:b/>
          <w:bCs/>
          <w:color w:val="auto"/>
          <w:szCs w:val="21"/>
          <w:highlight w:val="none"/>
          <w:u w:val="single"/>
        </w:rPr>
        <w:t xml:space="preserve"> 90 </w:t>
      </w:r>
      <w:r>
        <w:rPr>
          <w:rFonts w:hint="eastAsia" w:ascii="宋体" w:hAnsi="宋体" w:cs="宋体"/>
          <w:b/>
          <w:bCs/>
          <w:color w:val="auto"/>
          <w:szCs w:val="21"/>
          <w:highlight w:val="none"/>
        </w:rPr>
        <w:t>个工作日。</w:t>
      </w:r>
    </w:p>
    <w:p>
      <w:pPr>
        <w:snapToGrid w:val="0"/>
        <w:spacing w:line="5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6.以上事项如有虚假或隐瞒，我方愿意承担一切后果，并不再寻求任何旨在减轻或免除法律责任的辩解。</w:t>
      </w:r>
    </w:p>
    <w:p>
      <w:pPr>
        <w:spacing w:line="5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7、我方与本投标有关的一切正式来往通讯请寄：</w:t>
      </w:r>
    </w:p>
    <w:p>
      <w:pPr>
        <w:spacing w:line="5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single"/>
        </w:rPr>
        <w:t xml:space="preserve">                 </w:t>
      </w:r>
    </w:p>
    <w:p>
      <w:pPr>
        <w:spacing w:line="5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520" w:lineRule="exact"/>
        <w:ind w:left="540" w:firstLine="30"/>
        <w:jc w:val="left"/>
        <w:rPr>
          <w:rFonts w:hint="eastAsia" w:ascii="宋体" w:hAnsi="宋体" w:cs="宋体"/>
          <w:color w:val="auto"/>
          <w:szCs w:val="21"/>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 xml:space="preserve"> 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520" w:lineRule="exact"/>
        <w:ind w:firstLine="3360" w:firstLineChars="1600"/>
        <w:jc w:val="right"/>
        <w:rPr>
          <w:rFonts w:hint="eastAsia" w:ascii="宋体" w:hAnsi="宋体" w:cs="宋体"/>
          <w:color w:val="auto"/>
          <w:szCs w:val="21"/>
          <w:highlight w:val="none"/>
        </w:rPr>
      </w:pPr>
    </w:p>
    <w:p>
      <w:pPr>
        <w:jc w:val="center"/>
        <w:rPr>
          <w:rFonts w:hint="eastAsia" w:ascii="宋体" w:hAnsi="宋体" w:cs="宋体"/>
          <w:b/>
          <w:color w:val="auto"/>
          <w:sz w:val="32"/>
          <w:szCs w:val="32"/>
          <w:highlight w:val="none"/>
        </w:rPr>
      </w:pPr>
    </w:p>
    <w:p>
      <w:pPr>
        <w:jc w:val="center"/>
        <w:rPr>
          <w:rFonts w:hint="eastAsia" w:ascii="宋体" w:hAnsi="宋体" w:cs="宋体"/>
          <w:b/>
          <w:color w:val="auto"/>
          <w:sz w:val="32"/>
          <w:szCs w:val="32"/>
          <w:highlight w:val="none"/>
        </w:rPr>
      </w:pPr>
    </w:p>
    <w:p>
      <w:pPr>
        <w:snapToGrid w:val="0"/>
        <w:spacing w:before="50" w:after="50"/>
        <w:rPr>
          <w:rFonts w:hint="eastAsia" w:ascii="宋体" w:hAnsi="宋体" w:cs="宋体"/>
          <w:b/>
          <w:color w:val="auto"/>
          <w:szCs w:val="21"/>
          <w:highlight w:val="none"/>
        </w:rPr>
      </w:pPr>
    </w:p>
    <w:p>
      <w:pPr>
        <w:spacing w:line="360" w:lineRule="auto"/>
        <w:jc w:val="left"/>
        <w:rPr>
          <w:rFonts w:hint="eastAsia" w:ascii="宋体" w:hAnsi="宋体" w:cs="宋体"/>
          <w:b/>
          <w:bCs/>
          <w:color w:val="auto"/>
          <w:szCs w:val="21"/>
          <w:highlight w:val="none"/>
        </w:rPr>
      </w:pPr>
    </w:p>
    <w:p>
      <w:pPr>
        <w:spacing w:line="400" w:lineRule="exact"/>
        <w:jc w:val="center"/>
        <w:rPr>
          <w:rFonts w:hint="eastAsia" w:ascii="宋体" w:hAnsi="宋体" w:cs="宋体"/>
          <w:b/>
          <w:color w:val="auto"/>
          <w:sz w:val="32"/>
          <w:szCs w:val="32"/>
          <w:highlight w:val="none"/>
        </w:rPr>
      </w:pPr>
    </w:p>
    <w:p>
      <w:pPr>
        <w:jc w:val="center"/>
        <w:rPr>
          <w:rFonts w:hint="eastAsia" w:ascii="宋体" w:hAnsi="宋体" w:cs="宋体"/>
          <w:b/>
          <w:color w:val="auto"/>
          <w:sz w:val="24"/>
          <w:szCs w:val="24"/>
          <w:highlight w:val="none"/>
        </w:rPr>
      </w:pPr>
    </w:p>
    <w:p>
      <w:pPr>
        <w:spacing w:line="360" w:lineRule="auto"/>
        <w:jc w:val="center"/>
        <w:rPr>
          <w:rFonts w:hint="eastAsia" w:ascii="宋体" w:hAnsi="宋体" w:cs="宋体"/>
          <w:b/>
          <w:color w:val="auto"/>
          <w:sz w:val="28"/>
          <w:szCs w:val="32"/>
          <w:highlight w:val="none"/>
        </w:rPr>
      </w:pPr>
      <w:r>
        <w:rPr>
          <w:rFonts w:hint="eastAsia" w:ascii="宋体" w:hAnsi="宋体" w:cs="宋体"/>
          <w:b/>
          <w:color w:val="auto"/>
          <w:sz w:val="28"/>
          <w:szCs w:val="32"/>
          <w:highlight w:val="none"/>
        </w:rPr>
        <w:br w:type="page"/>
      </w:r>
      <w:r>
        <w:rPr>
          <w:rFonts w:hint="eastAsia" w:ascii="宋体" w:hAnsi="宋体" w:cs="宋体"/>
          <w:b/>
          <w:color w:val="auto"/>
          <w:sz w:val="28"/>
          <w:szCs w:val="32"/>
          <w:highlight w:val="none"/>
        </w:rPr>
        <w:t>（3）法定代表人身份证明</w:t>
      </w:r>
    </w:p>
    <w:p>
      <w:pPr>
        <w:spacing w:line="48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供应商名称：</w:t>
      </w:r>
      <w:r>
        <w:rPr>
          <w:rFonts w:hint="eastAsia" w:ascii="宋体" w:hAnsi="宋体" w:cs="宋体"/>
          <w:color w:val="auto"/>
          <w:szCs w:val="21"/>
          <w:highlight w:val="none"/>
          <w:u w:val="single"/>
        </w:rPr>
        <w:t xml:space="preserve">                                      </w:t>
      </w:r>
    </w:p>
    <w:p>
      <w:pPr>
        <w:spacing w:line="48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8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spacing w:line="48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8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8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周岁  </w:t>
      </w:r>
      <w:r>
        <w:rPr>
          <w:rFonts w:hint="eastAsia" w:ascii="宋体" w:hAnsi="宋体" w:cs="宋体"/>
          <w:color w:val="auto"/>
          <w:szCs w:val="21"/>
          <w:highlight w:val="none"/>
        </w:rPr>
        <w:t xml:space="preserve">职务：       </w:t>
      </w:r>
    </w:p>
    <w:p>
      <w:pPr>
        <w:spacing w:line="48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48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w:t>
      </w:r>
    </w:p>
    <w:p>
      <w:pPr>
        <w:spacing w:line="48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特此证明。</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hint="eastAsia" w:ascii="宋体" w:hAnsi="宋体" w:cs="宋体"/>
          <w:color w:val="auto"/>
          <w:sz w:val="24"/>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8"/>
        <w:gridCol w:w="4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4" w:hRule="atLeast"/>
        </w:trPr>
        <w:tc>
          <w:tcPr>
            <w:tcW w:w="4938" w:type="dxa"/>
            <w:noWrap w:val="0"/>
            <w:vAlign w:val="top"/>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法定代表人身份证正面</w:t>
            </w:r>
          </w:p>
        </w:tc>
        <w:tc>
          <w:tcPr>
            <w:tcW w:w="4938" w:type="dxa"/>
            <w:noWrap w:val="0"/>
            <w:vAlign w:val="top"/>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法定代表人身份证反面</w:t>
            </w:r>
          </w:p>
        </w:tc>
      </w:tr>
    </w:tbl>
    <w:p>
      <w:pPr>
        <w:rPr>
          <w:rFonts w:hint="eastAsia" w:ascii="宋体" w:hAnsi="宋体" w:cs="宋体"/>
          <w:b/>
          <w:color w:val="auto"/>
          <w:szCs w:val="21"/>
          <w:highlight w:val="none"/>
        </w:rPr>
      </w:pPr>
      <w:bookmarkStart w:id="32" w:name="_Toc19149_WPSOffice_Level1"/>
    </w:p>
    <w:p>
      <w:pPr>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（4）法定代表人授权委托书</w:t>
      </w:r>
      <w:bookmarkEnd w:id="32"/>
    </w:p>
    <w:p>
      <w:pPr>
        <w:jc w:val="center"/>
        <w:rPr>
          <w:rFonts w:hint="eastAsia" w:ascii="宋体" w:hAnsi="宋体" w:cs="宋体"/>
          <w:b/>
          <w:color w:val="auto"/>
          <w:sz w:val="32"/>
          <w:szCs w:val="32"/>
          <w:highlight w:val="none"/>
        </w:rPr>
      </w:pPr>
      <w:bookmarkStart w:id="33" w:name="_Toc24133_WPSOffice_Level1"/>
      <w:r>
        <w:rPr>
          <w:rFonts w:hint="eastAsia" w:ascii="宋体" w:hAnsi="宋体" w:cs="宋体"/>
          <w:bCs/>
          <w:color w:val="auto"/>
          <w:sz w:val="24"/>
          <w:highlight w:val="none"/>
        </w:rPr>
        <w:t>（</w:t>
      </w:r>
      <w:r>
        <w:rPr>
          <w:rFonts w:hint="eastAsia" w:ascii="宋体" w:hAnsi="宋体" w:cs="宋体"/>
          <w:color w:val="auto"/>
          <w:szCs w:val="21"/>
          <w:highlight w:val="none"/>
        </w:rPr>
        <w:t>投标文件由授权代表签字的须提供</w:t>
      </w:r>
      <w:r>
        <w:rPr>
          <w:rFonts w:hint="eastAsia" w:ascii="宋体" w:hAnsi="宋体" w:cs="宋体"/>
          <w:bCs/>
          <w:color w:val="auto"/>
          <w:sz w:val="24"/>
          <w:highlight w:val="none"/>
        </w:rPr>
        <w:t>）</w:t>
      </w:r>
      <w:bookmarkEnd w:id="33"/>
    </w:p>
    <w:p>
      <w:pPr>
        <w:snapToGrid w:val="0"/>
        <w:spacing w:line="360" w:lineRule="auto"/>
        <w:rPr>
          <w:rFonts w:hint="eastAsia" w:ascii="宋体" w:hAnsi="宋体" w:cs="宋体"/>
          <w:bCs/>
          <w:color w:val="auto"/>
          <w:sz w:val="24"/>
          <w:highlight w:val="none"/>
        </w:rPr>
      </w:pPr>
    </w:p>
    <w:p>
      <w:pPr>
        <w:snapToGrid w:val="0"/>
        <w:spacing w:line="360" w:lineRule="auto"/>
        <w:rPr>
          <w:rFonts w:hint="eastAsia"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w:t>
      </w:r>
    </w:p>
    <w:p>
      <w:pPr>
        <w:snapToGri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（供应商名称）的法定代表人，现授权委托本单位在职职工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我方对授权代表的签名事项负全部责任。</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授权代表无转委托权，特此委托。</w:t>
      </w: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授权代表签名或盖章：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法定代表人签名或盖章：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授权代表身份证号码：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rPr>
          <w:rFonts w:hint="eastAsia" w:ascii="宋体" w:hAnsi="宋体" w:cs="宋体"/>
          <w:color w:val="auto"/>
          <w:szCs w:val="21"/>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hint="eastAsia" w:ascii="宋体" w:hAnsi="宋体" w:cs="宋体"/>
          <w:b/>
          <w:color w:val="auto"/>
          <w:szCs w:val="21"/>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8"/>
        <w:gridCol w:w="4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4" w:hRule="atLeast"/>
        </w:trPr>
        <w:tc>
          <w:tcPr>
            <w:tcW w:w="4938" w:type="dxa"/>
            <w:noWrap w:val="0"/>
            <w:vAlign w:val="top"/>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授权代表人身份证正面</w:t>
            </w:r>
          </w:p>
        </w:tc>
        <w:tc>
          <w:tcPr>
            <w:tcW w:w="4938" w:type="dxa"/>
            <w:noWrap w:val="0"/>
            <w:vAlign w:val="top"/>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授权代表人身份证反面</w:t>
            </w:r>
          </w:p>
        </w:tc>
      </w:tr>
    </w:tbl>
    <w:p>
      <w:pPr>
        <w:spacing w:line="400" w:lineRule="exact"/>
        <w:jc w:val="center"/>
        <w:rPr>
          <w:rFonts w:hint="eastAsia" w:ascii="宋体" w:hAnsi="宋体" w:cs="宋体"/>
          <w:b/>
          <w:color w:val="auto"/>
          <w:sz w:val="32"/>
          <w:szCs w:val="32"/>
          <w:highlight w:val="none"/>
        </w:rPr>
      </w:pPr>
    </w:p>
    <w:p>
      <w:pPr>
        <w:spacing w:line="400" w:lineRule="exact"/>
        <w:jc w:val="center"/>
        <w:rPr>
          <w:rFonts w:hint="eastAsia" w:ascii="宋体" w:hAnsi="宋体" w:cs="宋体"/>
          <w:b/>
          <w:color w:val="auto"/>
          <w:sz w:val="32"/>
          <w:szCs w:val="32"/>
          <w:highlight w:val="none"/>
        </w:rPr>
      </w:pPr>
    </w:p>
    <w:p>
      <w:pPr>
        <w:spacing w:line="400" w:lineRule="exact"/>
        <w:jc w:val="center"/>
        <w:rPr>
          <w:rFonts w:hint="eastAsia" w:ascii="宋体" w:hAnsi="宋体" w:cs="宋体"/>
          <w:b/>
          <w:color w:val="auto"/>
          <w:sz w:val="28"/>
          <w:szCs w:val="28"/>
          <w:highlight w:val="none"/>
        </w:rPr>
      </w:pPr>
      <w:r>
        <w:rPr>
          <w:rFonts w:hint="eastAsia" w:ascii="宋体" w:hAnsi="宋体" w:cs="宋体"/>
          <w:b/>
          <w:color w:val="auto"/>
          <w:sz w:val="32"/>
          <w:szCs w:val="32"/>
          <w:highlight w:val="none"/>
        </w:rPr>
        <w:t>（5）</w:t>
      </w:r>
      <w:r>
        <w:rPr>
          <w:rFonts w:hint="eastAsia" w:ascii="宋体" w:hAnsi="宋体" w:cs="宋体"/>
          <w:b/>
          <w:color w:val="auto"/>
          <w:sz w:val="28"/>
          <w:szCs w:val="28"/>
          <w:highlight w:val="none"/>
        </w:rPr>
        <w:t>供应商一般情况</w:t>
      </w:r>
    </w:p>
    <w:p>
      <w:pPr>
        <w:spacing w:line="400" w:lineRule="exact"/>
        <w:jc w:val="center"/>
        <w:rPr>
          <w:rFonts w:hint="eastAsia" w:ascii="宋体" w:hAnsi="宋体" w:cs="宋体"/>
          <w:b/>
          <w:color w:val="auto"/>
          <w:sz w:val="28"/>
          <w:szCs w:val="28"/>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传  真：</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注册地：</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公司的资质等级（若有，请附上有关证书的复印件并加盖公章）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公司（是否通过，何种）体系认证（若有，请附上有关证书的复印件并加盖公章）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从业人员数量</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营业收入</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11</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其他需要说明的情况</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p>
        </w:tc>
      </w:tr>
    </w:tbl>
    <w:p>
      <w:pPr>
        <w:spacing w:line="400" w:lineRule="exact"/>
        <w:jc w:val="center"/>
        <w:rPr>
          <w:rFonts w:hint="eastAsia" w:ascii="宋体" w:hAnsi="宋体" w:cs="宋体"/>
          <w:color w:val="auto"/>
          <w:szCs w:val="21"/>
          <w:highlight w:val="none"/>
        </w:rPr>
      </w:pPr>
    </w:p>
    <w:p>
      <w:pPr>
        <w:spacing w:line="400" w:lineRule="exact"/>
        <w:jc w:val="left"/>
        <w:rPr>
          <w:rFonts w:hint="eastAsia" w:ascii="宋体" w:hAnsi="宋体" w:cs="宋体"/>
          <w:color w:val="auto"/>
          <w:szCs w:val="21"/>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40" w:lineRule="exact"/>
        <w:jc w:val="center"/>
        <w:rPr>
          <w:rFonts w:hint="eastAsia" w:ascii="宋体" w:hAnsi="宋体" w:cs="宋体"/>
          <w:b/>
          <w:color w:val="auto"/>
          <w:sz w:val="32"/>
          <w:szCs w:val="32"/>
          <w:highlight w:val="none"/>
        </w:rPr>
      </w:pPr>
    </w:p>
    <w:p>
      <w:pPr>
        <w:spacing w:line="440" w:lineRule="exact"/>
        <w:jc w:val="center"/>
        <w:rPr>
          <w:rFonts w:hint="eastAsia" w:ascii="宋体" w:hAnsi="宋体" w:cs="宋体"/>
          <w:b/>
          <w:color w:val="auto"/>
          <w:sz w:val="32"/>
          <w:szCs w:val="32"/>
          <w:highlight w:val="none"/>
        </w:rPr>
      </w:pPr>
    </w:p>
    <w:p>
      <w:pPr>
        <w:spacing w:line="44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（6）商务条款响应表</w:t>
      </w:r>
    </w:p>
    <w:p>
      <w:pPr>
        <w:spacing w:line="360" w:lineRule="auto"/>
        <w:rPr>
          <w:rFonts w:hint="eastAsia" w:ascii="宋体" w:hAnsi="宋体" w:cs="宋体"/>
          <w:b/>
          <w:color w:val="auto"/>
          <w:sz w:val="28"/>
          <w:szCs w:val="30"/>
          <w:highlight w:val="none"/>
        </w:rPr>
      </w:pPr>
    </w:p>
    <w:p>
      <w:pPr>
        <w:adjustRightInd w:val="0"/>
        <w:snapToGrid w:val="0"/>
        <w:spacing w:line="360" w:lineRule="auto"/>
        <w:rPr>
          <w:rFonts w:hint="eastAsia" w:ascii="宋体" w:hAnsi="宋体" w:cs="宋体"/>
          <w:color w:val="auto"/>
          <w:spacing w:val="20"/>
          <w:szCs w:val="21"/>
          <w:highlight w:val="none"/>
        </w:rPr>
      </w:pPr>
      <w:bookmarkStart w:id="34" w:name="_Hlk515225193"/>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pacing w:val="20"/>
          <w:szCs w:val="21"/>
          <w:highlight w:val="none"/>
        </w:rPr>
        <w:t xml:space="preserve">   </w:t>
      </w:r>
    </w:p>
    <w:tbl>
      <w:tblPr>
        <w:tblStyle w:val="17"/>
        <w:tblpPr w:leftFromText="180" w:rightFromText="180" w:vertAnchor="text" w:horzAnchor="page" w:tblpX="1528" w:tblpY="20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794"/>
        <w:gridCol w:w="2166"/>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序号</w:t>
            </w:r>
          </w:p>
        </w:tc>
        <w:tc>
          <w:tcPr>
            <w:tcW w:w="1794" w:type="dxa"/>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pacing w:val="20"/>
                <w:szCs w:val="21"/>
                <w:highlight w:val="none"/>
              </w:rPr>
              <w:t>内 容</w:t>
            </w:r>
          </w:p>
        </w:tc>
        <w:tc>
          <w:tcPr>
            <w:tcW w:w="2166"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招标要求</w:t>
            </w: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投标响应</w:t>
            </w: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794" w:type="dxa"/>
            <w:noWrap w:val="0"/>
            <w:vAlign w:val="center"/>
          </w:tcPr>
          <w:p>
            <w:pPr>
              <w:adjustRightInd w:val="0"/>
              <w:snapToGrid w:val="0"/>
              <w:jc w:val="center"/>
              <w:rPr>
                <w:rFonts w:hint="eastAsia" w:ascii="宋体" w:hAnsi="宋体" w:cs="宋体"/>
                <w:color w:val="auto"/>
                <w:szCs w:val="21"/>
                <w:highlight w:val="none"/>
              </w:rPr>
            </w:pPr>
          </w:p>
        </w:tc>
        <w:tc>
          <w:tcPr>
            <w:tcW w:w="2166"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794" w:type="dxa"/>
            <w:noWrap w:val="0"/>
            <w:vAlign w:val="center"/>
          </w:tcPr>
          <w:p>
            <w:pPr>
              <w:adjustRightInd w:val="0"/>
              <w:snapToGrid w:val="0"/>
              <w:jc w:val="center"/>
              <w:rPr>
                <w:rFonts w:hint="eastAsia" w:ascii="宋体" w:hAnsi="宋体" w:cs="宋体"/>
                <w:color w:val="auto"/>
                <w:szCs w:val="21"/>
                <w:highlight w:val="none"/>
              </w:rPr>
            </w:pPr>
          </w:p>
        </w:tc>
        <w:tc>
          <w:tcPr>
            <w:tcW w:w="2166"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794" w:type="dxa"/>
            <w:noWrap w:val="0"/>
            <w:vAlign w:val="center"/>
          </w:tcPr>
          <w:p>
            <w:pPr>
              <w:adjustRightInd w:val="0"/>
              <w:snapToGrid w:val="0"/>
              <w:jc w:val="center"/>
              <w:rPr>
                <w:rFonts w:hint="eastAsia" w:ascii="宋体" w:hAnsi="宋体" w:cs="宋体"/>
                <w:color w:val="auto"/>
                <w:szCs w:val="21"/>
                <w:highlight w:val="none"/>
              </w:rPr>
            </w:pPr>
          </w:p>
        </w:tc>
        <w:tc>
          <w:tcPr>
            <w:tcW w:w="2166"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794" w:type="dxa"/>
            <w:noWrap w:val="0"/>
            <w:vAlign w:val="center"/>
          </w:tcPr>
          <w:p>
            <w:pPr>
              <w:adjustRightInd w:val="0"/>
              <w:snapToGrid w:val="0"/>
              <w:jc w:val="center"/>
              <w:rPr>
                <w:rFonts w:hint="eastAsia" w:ascii="宋体" w:hAnsi="宋体" w:cs="宋体"/>
                <w:color w:val="auto"/>
                <w:szCs w:val="21"/>
                <w:highlight w:val="none"/>
              </w:rPr>
            </w:pPr>
          </w:p>
        </w:tc>
        <w:tc>
          <w:tcPr>
            <w:tcW w:w="2166"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794" w:type="dxa"/>
            <w:noWrap w:val="0"/>
            <w:vAlign w:val="center"/>
          </w:tcPr>
          <w:p>
            <w:pPr>
              <w:adjustRightInd w:val="0"/>
              <w:snapToGrid w:val="0"/>
              <w:jc w:val="center"/>
              <w:rPr>
                <w:rFonts w:hint="eastAsia" w:ascii="宋体" w:hAnsi="宋体" w:cs="宋体"/>
                <w:color w:val="auto"/>
                <w:szCs w:val="21"/>
                <w:highlight w:val="none"/>
              </w:rPr>
            </w:pPr>
          </w:p>
        </w:tc>
        <w:tc>
          <w:tcPr>
            <w:tcW w:w="2166"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794" w:type="dxa"/>
            <w:noWrap w:val="0"/>
            <w:vAlign w:val="center"/>
          </w:tcPr>
          <w:p>
            <w:pPr>
              <w:adjustRightInd w:val="0"/>
              <w:snapToGrid w:val="0"/>
              <w:jc w:val="center"/>
              <w:rPr>
                <w:rFonts w:hint="eastAsia" w:ascii="宋体" w:hAnsi="宋体" w:cs="宋体"/>
                <w:color w:val="auto"/>
                <w:szCs w:val="21"/>
                <w:highlight w:val="none"/>
              </w:rPr>
            </w:pPr>
          </w:p>
        </w:tc>
        <w:tc>
          <w:tcPr>
            <w:tcW w:w="2166"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794" w:type="dxa"/>
            <w:noWrap w:val="0"/>
            <w:vAlign w:val="center"/>
          </w:tcPr>
          <w:p>
            <w:pPr>
              <w:adjustRightInd w:val="0"/>
              <w:snapToGrid w:val="0"/>
              <w:jc w:val="center"/>
              <w:rPr>
                <w:rFonts w:hint="eastAsia" w:ascii="宋体" w:hAnsi="宋体" w:cs="宋体"/>
                <w:color w:val="auto"/>
                <w:szCs w:val="21"/>
                <w:highlight w:val="none"/>
              </w:rPr>
            </w:pPr>
          </w:p>
        </w:tc>
        <w:tc>
          <w:tcPr>
            <w:tcW w:w="2166"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cs="宋体"/>
                <w:color w:val="auto"/>
                <w:spacing w:val="20"/>
                <w:szCs w:val="21"/>
                <w:highlight w:val="none"/>
              </w:rPr>
            </w:pPr>
          </w:p>
        </w:tc>
        <w:tc>
          <w:tcPr>
            <w:tcW w:w="1794" w:type="dxa"/>
            <w:noWrap w:val="0"/>
            <w:vAlign w:val="center"/>
          </w:tcPr>
          <w:p>
            <w:pPr>
              <w:adjustRightInd w:val="0"/>
              <w:snapToGrid w:val="0"/>
              <w:jc w:val="center"/>
              <w:rPr>
                <w:rFonts w:hint="eastAsia" w:ascii="宋体" w:hAnsi="宋体" w:cs="宋体"/>
                <w:color w:val="auto"/>
                <w:szCs w:val="21"/>
                <w:highlight w:val="none"/>
              </w:rPr>
            </w:pPr>
          </w:p>
        </w:tc>
        <w:tc>
          <w:tcPr>
            <w:tcW w:w="2166" w:type="dxa"/>
            <w:noWrap w:val="0"/>
            <w:vAlign w:val="center"/>
          </w:tcPr>
          <w:p>
            <w:pPr>
              <w:adjustRightInd w:val="0"/>
              <w:snapToGrid w:val="0"/>
              <w:jc w:val="center"/>
              <w:rPr>
                <w:rFonts w:hint="eastAsia" w:ascii="宋体" w:hAnsi="宋体" w:cs="宋体"/>
                <w:color w:val="auto"/>
                <w:spacing w:val="20"/>
                <w:szCs w:val="21"/>
                <w:highlight w:val="none"/>
              </w:rPr>
            </w:pPr>
          </w:p>
        </w:tc>
        <w:tc>
          <w:tcPr>
            <w:tcW w:w="2700" w:type="dxa"/>
            <w:noWrap w:val="0"/>
            <w:vAlign w:val="center"/>
          </w:tcPr>
          <w:p>
            <w:pPr>
              <w:adjustRightInd w:val="0"/>
              <w:snapToGrid w:val="0"/>
              <w:jc w:val="center"/>
              <w:rPr>
                <w:rFonts w:hint="eastAsia" w:ascii="宋体" w:hAnsi="宋体" w:cs="宋体"/>
                <w:color w:val="auto"/>
                <w:spacing w:val="20"/>
                <w:szCs w:val="21"/>
                <w:highlight w:val="none"/>
              </w:rPr>
            </w:pPr>
          </w:p>
        </w:tc>
        <w:tc>
          <w:tcPr>
            <w:tcW w:w="1356" w:type="dxa"/>
            <w:noWrap w:val="0"/>
            <w:vAlign w:val="center"/>
          </w:tcPr>
          <w:p>
            <w:pPr>
              <w:adjustRightInd w:val="0"/>
              <w:snapToGrid w:val="0"/>
              <w:jc w:val="center"/>
              <w:rPr>
                <w:rFonts w:hint="eastAsia" w:ascii="宋体" w:hAnsi="宋体" w:cs="宋体"/>
                <w:color w:val="auto"/>
                <w:spacing w:val="20"/>
                <w:szCs w:val="21"/>
                <w:highlight w:val="none"/>
              </w:rPr>
            </w:pPr>
          </w:p>
        </w:tc>
      </w:tr>
    </w:tbl>
    <w:p>
      <w:pPr>
        <w:adjustRightInd w:val="0"/>
        <w:snapToGrid w:val="0"/>
        <w:spacing w:line="360" w:lineRule="auto"/>
        <w:rPr>
          <w:rFonts w:hint="eastAsia" w:ascii="宋体" w:hAnsi="宋体" w:cs="宋体"/>
          <w:color w:val="auto"/>
          <w:spacing w:val="20"/>
          <w:szCs w:val="21"/>
          <w:highlight w:val="none"/>
        </w:rPr>
      </w:pPr>
      <w:r>
        <w:rPr>
          <w:rFonts w:hint="eastAsia" w:ascii="宋体" w:hAnsi="宋体" w:cs="宋体"/>
          <w:color w:val="auto"/>
          <w:spacing w:val="20"/>
          <w:szCs w:val="21"/>
          <w:highlight w:val="none"/>
        </w:rPr>
        <w:t>注：对照商务条款逐项比较填写</w:t>
      </w:r>
    </w:p>
    <w:p>
      <w:pPr>
        <w:adjustRightInd w:val="0"/>
        <w:snapToGrid w:val="0"/>
        <w:spacing w:line="360" w:lineRule="auto"/>
        <w:rPr>
          <w:rFonts w:hint="eastAsia" w:ascii="宋体" w:hAnsi="宋体" w:cs="宋体"/>
          <w:color w:val="auto"/>
          <w:spacing w:val="20"/>
          <w:szCs w:val="21"/>
          <w:highlight w:val="none"/>
        </w:rPr>
      </w:pPr>
    </w:p>
    <w:bookmarkEnd w:id="34"/>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10"/>
        <w:rPr>
          <w:rFonts w:hint="eastAsia" w:hAnsi="宋体" w:cs="宋体"/>
          <w:color w:val="auto"/>
          <w:highlight w:val="none"/>
        </w:rPr>
      </w:pPr>
    </w:p>
    <w:p>
      <w:pPr>
        <w:spacing w:line="44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（7）技术条款响应表</w:t>
      </w:r>
    </w:p>
    <w:p>
      <w:pPr>
        <w:adjustRightInd w:val="0"/>
        <w:spacing w:line="360" w:lineRule="auto"/>
        <w:ind w:left="420"/>
        <w:rPr>
          <w:rFonts w:hint="eastAsia" w:ascii="宋体" w:hAnsi="宋体" w:cs="宋体"/>
          <w:bCs/>
          <w:color w:val="auto"/>
          <w:szCs w:val="21"/>
          <w:highlight w:val="none"/>
        </w:rPr>
      </w:pPr>
    </w:p>
    <w:p>
      <w:pPr>
        <w:adjustRightInd w:val="0"/>
        <w:snapToGrid w:val="0"/>
        <w:spacing w:line="360" w:lineRule="auto"/>
        <w:rPr>
          <w:rFonts w:hint="eastAsia" w:ascii="宋体" w:hAnsi="宋体" w:cs="宋体"/>
          <w:color w:val="auto"/>
          <w:spacing w:val="20"/>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pacing w:val="20"/>
          <w:szCs w:val="21"/>
          <w:highlight w:val="none"/>
        </w:rPr>
        <w:t xml:space="preserve">   </w:t>
      </w:r>
    </w:p>
    <w:p>
      <w:pPr>
        <w:adjustRightInd w:val="0"/>
        <w:snapToGrid w:val="0"/>
        <w:spacing w:line="360" w:lineRule="auto"/>
        <w:rPr>
          <w:rFonts w:hint="eastAsia" w:ascii="宋体" w:hAnsi="宋体" w:cs="宋体"/>
          <w:color w:val="auto"/>
          <w:spacing w:val="20"/>
          <w:szCs w:val="21"/>
          <w:highlight w:val="none"/>
        </w:rPr>
      </w:pPr>
      <w:bookmarkStart w:id="35" w:name="_Hlk16684754"/>
      <w:r>
        <w:rPr>
          <w:rFonts w:hint="eastAsia" w:ascii="宋体" w:hAnsi="宋体" w:cs="宋体"/>
          <w:color w:val="auto"/>
          <w:spacing w:val="20"/>
          <w:szCs w:val="21"/>
          <w:highlight w:val="none"/>
        </w:rPr>
        <w:t>注：1、对照“第二章 招标需求”中条款逐项比较填写。</w:t>
      </w:r>
      <w:bookmarkEnd w:id="35"/>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936"/>
        <w:gridCol w:w="2338"/>
        <w:gridCol w:w="2914"/>
        <w:gridCol w:w="14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087"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序号</w:t>
            </w:r>
          </w:p>
        </w:tc>
        <w:tc>
          <w:tcPr>
            <w:tcW w:w="1936" w:type="dxa"/>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pacing w:val="20"/>
                <w:szCs w:val="21"/>
                <w:highlight w:val="none"/>
              </w:rPr>
              <w:t>内 容</w:t>
            </w:r>
          </w:p>
        </w:tc>
        <w:tc>
          <w:tcPr>
            <w:tcW w:w="2338"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招标要求</w:t>
            </w:r>
          </w:p>
        </w:tc>
        <w:tc>
          <w:tcPr>
            <w:tcW w:w="2914"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响应情况</w:t>
            </w:r>
          </w:p>
        </w:tc>
        <w:tc>
          <w:tcPr>
            <w:tcW w:w="1463" w:type="dxa"/>
            <w:noWrap w:val="0"/>
            <w:vAlign w:val="center"/>
          </w:tcPr>
          <w:p>
            <w:pPr>
              <w:adjustRightInd w:val="0"/>
              <w:snapToGrid w:val="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偏离程度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087" w:type="dxa"/>
            <w:noWrap w:val="0"/>
            <w:vAlign w:val="center"/>
          </w:tcPr>
          <w:p>
            <w:pPr>
              <w:adjustRightInd w:val="0"/>
              <w:snapToGrid w:val="0"/>
              <w:jc w:val="center"/>
              <w:rPr>
                <w:rFonts w:hint="eastAsia" w:ascii="宋体" w:hAnsi="宋体" w:cs="宋体"/>
                <w:color w:val="auto"/>
                <w:spacing w:val="20"/>
                <w:szCs w:val="21"/>
                <w:highlight w:val="none"/>
              </w:rPr>
            </w:pPr>
          </w:p>
        </w:tc>
        <w:tc>
          <w:tcPr>
            <w:tcW w:w="1936" w:type="dxa"/>
            <w:noWrap w:val="0"/>
            <w:vAlign w:val="center"/>
          </w:tcPr>
          <w:p>
            <w:pPr>
              <w:adjustRightInd w:val="0"/>
              <w:snapToGrid w:val="0"/>
              <w:jc w:val="center"/>
              <w:rPr>
                <w:rFonts w:hint="eastAsia" w:ascii="宋体" w:hAnsi="宋体" w:cs="宋体"/>
                <w:color w:val="auto"/>
                <w:szCs w:val="21"/>
                <w:highlight w:val="none"/>
              </w:rPr>
            </w:pPr>
          </w:p>
        </w:tc>
        <w:tc>
          <w:tcPr>
            <w:tcW w:w="2338" w:type="dxa"/>
            <w:noWrap w:val="0"/>
            <w:vAlign w:val="center"/>
          </w:tcPr>
          <w:p>
            <w:pPr>
              <w:adjustRightInd w:val="0"/>
              <w:snapToGrid w:val="0"/>
              <w:jc w:val="center"/>
              <w:rPr>
                <w:rFonts w:hint="eastAsia" w:ascii="宋体" w:hAnsi="宋体" w:cs="宋体"/>
                <w:color w:val="auto"/>
                <w:spacing w:val="20"/>
                <w:szCs w:val="21"/>
                <w:highlight w:val="none"/>
              </w:rPr>
            </w:pPr>
          </w:p>
        </w:tc>
        <w:tc>
          <w:tcPr>
            <w:tcW w:w="2914" w:type="dxa"/>
            <w:noWrap w:val="0"/>
            <w:vAlign w:val="center"/>
          </w:tcPr>
          <w:p>
            <w:pPr>
              <w:adjustRightInd w:val="0"/>
              <w:snapToGrid w:val="0"/>
              <w:jc w:val="center"/>
              <w:rPr>
                <w:rFonts w:hint="eastAsia" w:ascii="宋体" w:hAnsi="宋体" w:cs="宋体"/>
                <w:color w:val="auto"/>
                <w:spacing w:val="20"/>
                <w:szCs w:val="21"/>
                <w:highlight w:val="none"/>
              </w:rPr>
            </w:pPr>
          </w:p>
        </w:tc>
        <w:tc>
          <w:tcPr>
            <w:tcW w:w="1463"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087" w:type="dxa"/>
            <w:noWrap w:val="0"/>
            <w:vAlign w:val="center"/>
          </w:tcPr>
          <w:p>
            <w:pPr>
              <w:adjustRightInd w:val="0"/>
              <w:snapToGrid w:val="0"/>
              <w:jc w:val="center"/>
              <w:rPr>
                <w:rFonts w:hint="eastAsia" w:ascii="宋体" w:hAnsi="宋体" w:cs="宋体"/>
                <w:color w:val="auto"/>
                <w:spacing w:val="20"/>
                <w:szCs w:val="21"/>
                <w:highlight w:val="none"/>
              </w:rPr>
            </w:pPr>
          </w:p>
        </w:tc>
        <w:tc>
          <w:tcPr>
            <w:tcW w:w="1936" w:type="dxa"/>
            <w:noWrap w:val="0"/>
            <w:vAlign w:val="center"/>
          </w:tcPr>
          <w:p>
            <w:pPr>
              <w:adjustRightInd w:val="0"/>
              <w:snapToGrid w:val="0"/>
              <w:jc w:val="center"/>
              <w:rPr>
                <w:rFonts w:hint="eastAsia" w:ascii="宋体" w:hAnsi="宋体" w:cs="宋体"/>
                <w:color w:val="auto"/>
                <w:szCs w:val="21"/>
                <w:highlight w:val="none"/>
              </w:rPr>
            </w:pPr>
          </w:p>
        </w:tc>
        <w:tc>
          <w:tcPr>
            <w:tcW w:w="2338" w:type="dxa"/>
            <w:noWrap w:val="0"/>
            <w:vAlign w:val="center"/>
          </w:tcPr>
          <w:p>
            <w:pPr>
              <w:adjustRightInd w:val="0"/>
              <w:snapToGrid w:val="0"/>
              <w:jc w:val="center"/>
              <w:rPr>
                <w:rFonts w:hint="eastAsia" w:ascii="宋体" w:hAnsi="宋体" w:cs="宋体"/>
                <w:color w:val="auto"/>
                <w:spacing w:val="20"/>
                <w:szCs w:val="21"/>
                <w:highlight w:val="none"/>
              </w:rPr>
            </w:pPr>
          </w:p>
        </w:tc>
        <w:tc>
          <w:tcPr>
            <w:tcW w:w="2914" w:type="dxa"/>
            <w:noWrap w:val="0"/>
            <w:vAlign w:val="center"/>
          </w:tcPr>
          <w:p>
            <w:pPr>
              <w:adjustRightInd w:val="0"/>
              <w:snapToGrid w:val="0"/>
              <w:jc w:val="center"/>
              <w:rPr>
                <w:rFonts w:hint="eastAsia" w:ascii="宋体" w:hAnsi="宋体" w:cs="宋体"/>
                <w:color w:val="auto"/>
                <w:spacing w:val="20"/>
                <w:szCs w:val="21"/>
                <w:highlight w:val="none"/>
              </w:rPr>
            </w:pPr>
          </w:p>
        </w:tc>
        <w:tc>
          <w:tcPr>
            <w:tcW w:w="1463"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6" w:hRule="atLeast"/>
        </w:trPr>
        <w:tc>
          <w:tcPr>
            <w:tcW w:w="1087" w:type="dxa"/>
            <w:noWrap w:val="0"/>
            <w:vAlign w:val="center"/>
          </w:tcPr>
          <w:p>
            <w:pPr>
              <w:adjustRightInd w:val="0"/>
              <w:snapToGrid w:val="0"/>
              <w:jc w:val="center"/>
              <w:rPr>
                <w:rFonts w:hint="eastAsia" w:ascii="宋体" w:hAnsi="宋体" w:cs="宋体"/>
                <w:color w:val="auto"/>
                <w:spacing w:val="20"/>
                <w:szCs w:val="21"/>
                <w:highlight w:val="none"/>
              </w:rPr>
            </w:pPr>
          </w:p>
        </w:tc>
        <w:tc>
          <w:tcPr>
            <w:tcW w:w="1936" w:type="dxa"/>
            <w:noWrap w:val="0"/>
            <w:vAlign w:val="center"/>
          </w:tcPr>
          <w:p>
            <w:pPr>
              <w:adjustRightInd w:val="0"/>
              <w:snapToGrid w:val="0"/>
              <w:jc w:val="center"/>
              <w:rPr>
                <w:rFonts w:hint="eastAsia" w:ascii="宋体" w:hAnsi="宋体" w:cs="宋体"/>
                <w:color w:val="auto"/>
                <w:szCs w:val="21"/>
                <w:highlight w:val="none"/>
              </w:rPr>
            </w:pPr>
          </w:p>
        </w:tc>
        <w:tc>
          <w:tcPr>
            <w:tcW w:w="2338" w:type="dxa"/>
            <w:noWrap w:val="0"/>
            <w:vAlign w:val="center"/>
          </w:tcPr>
          <w:p>
            <w:pPr>
              <w:adjustRightInd w:val="0"/>
              <w:snapToGrid w:val="0"/>
              <w:jc w:val="center"/>
              <w:rPr>
                <w:rFonts w:hint="eastAsia" w:ascii="宋体" w:hAnsi="宋体" w:cs="宋体"/>
                <w:color w:val="auto"/>
                <w:spacing w:val="20"/>
                <w:szCs w:val="21"/>
                <w:highlight w:val="none"/>
              </w:rPr>
            </w:pPr>
          </w:p>
        </w:tc>
        <w:tc>
          <w:tcPr>
            <w:tcW w:w="2914" w:type="dxa"/>
            <w:noWrap w:val="0"/>
            <w:vAlign w:val="center"/>
          </w:tcPr>
          <w:p>
            <w:pPr>
              <w:adjustRightInd w:val="0"/>
              <w:snapToGrid w:val="0"/>
              <w:jc w:val="center"/>
              <w:rPr>
                <w:rFonts w:hint="eastAsia" w:ascii="宋体" w:hAnsi="宋体" w:cs="宋体"/>
                <w:color w:val="auto"/>
                <w:spacing w:val="20"/>
                <w:szCs w:val="21"/>
                <w:highlight w:val="none"/>
              </w:rPr>
            </w:pPr>
          </w:p>
        </w:tc>
        <w:tc>
          <w:tcPr>
            <w:tcW w:w="1463"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087" w:type="dxa"/>
            <w:noWrap w:val="0"/>
            <w:vAlign w:val="center"/>
          </w:tcPr>
          <w:p>
            <w:pPr>
              <w:adjustRightInd w:val="0"/>
              <w:snapToGrid w:val="0"/>
              <w:jc w:val="center"/>
              <w:rPr>
                <w:rFonts w:hint="eastAsia" w:ascii="宋体" w:hAnsi="宋体" w:cs="宋体"/>
                <w:color w:val="auto"/>
                <w:spacing w:val="20"/>
                <w:szCs w:val="21"/>
                <w:highlight w:val="none"/>
              </w:rPr>
            </w:pPr>
          </w:p>
        </w:tc>
        <w:tc>
          <w:tcPr>
            <w:tcW w:w="1936" w:type="dxa"/>
            <w:noWrap w:val="0"/>
            <w:vAlign w:val="center"/>
          </w:tcPr>
          <w:p>
            <w:pPr>
              <w:adjustRightInd w:val="0"/>
              <w:snapToGrid w:val="0"/>
              <w:jc w:val="center"/>
              <w:rPr>
                <w:rFonts w:hint="eastAsia" w:ascii="宋体" w:hAnsi="宋体" w:cs="宋体"/>
                <w:color w:val="auto"/>
                <w:szCs w:val="21"/>
                <w:highlight w:val="none"/>
              </w:rPr>
            </w:pPr>
          </w:p>
        </w:tc>
        <w:tc>
          <w:tcPr>
            <w:tcW w:w="2338" w:type="dxa"/>
            <w:noWrap w:val="0"/>
            <w:vAlign w:val="center"/>
          </w:tcPr>
          <w:p>
            <w:pPr>
              <w:adjustRightInd w:val="0"/>
              <w:snapToGrid w:val="0"/>
              <w:jc w:val="center"/>
              <w:rPr>
                <w:rFonts w:hint="eastAsia" w:ascii="宋体" w:hAnsi="宋体" w:cs="宋体"/>
                <w:color w:val="auto"/>
                <w:spacing w:val="20"/>
                <w:szCs w:val="21"/>
                <w:highlight w:val="none"/>
              </w:rPr>
            </w:pPr>
          </w:p>
        </w:tc>
        <w:tc>
          <w:tcPr>
            <w:tcW w:w="2914" w:type="dxa"/>
            <w:noWrap w:val="0"/>
            <w:vAlign w:val="center"/>
          </w:tcPr>
          <w:p>
            <w:pPr>
              <w:adjustRightInd w:val="0"/>
              <w:snapToGrid w:val="0"/>
              <w:jc w:val="center"/>
              <w:rPr>
                <w:rFonts w:hint="eastAsia" w:ascii="宋体" w:hAnsi="宋体" w:cs="宋体"/>
                <w:color w:val="auto"/>
                <w:spacing w:val="20"/>
                <w:szCs w:val="21"/>
                <w:highlight w:val="none"/>
              </w:rPr>
            </w:pPr>
          </w:p>
        </w:tc>
        <w:tc>
          <w:tcPr>
            <w:tcW w:w="1463"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087" w:type="dxa"/>
            <w:noWrap w:val="0"/>
            <w:vAlign w:val="center"/>
          </w:tcPr>
          <w:p>
            <w:pPr>
              <w:adjustRightInd w:val="0"/>
              <w:snapToGrid w:val="0"/>
              <w:jc w:val="center"/>
              <w:rPr>
                <w:rFonts w:hint="eastAsia" w:ascii="宋体" w:hAnsi="宋体" w:cs="宋体"/>
                <w:color w:val="auto"/>
                <w:spacing w:val="20"/>
                <w:szCs w:val="21"/>
                <w:highlight w:val="none"/>
              </w:rPr>
            </w:pPr>
          </w:p>
        </w:tc>
        <w:tc>
          <w:tcPr>
            <w:tcW w:w="1936" w:type="dxa"/>
            <w:noWrap w:val="0"/>
            <w:vAlign w:val="center"/>
          </w:tcPr>
          <w:p>
            <w:pPr>
              <w:adjustRightInd w:val="0"/>
              <w:snapToGrid w:val="0"/>
              <w:jc w:val="center"/>
              <w:rPr>
                <w:rFonts w:hint="eastAsia" w:ascii="宋体" w:hAnsi="宋体" w:cs="宋体"/>
                <w:color w:val="auto"/>
                <w:szCs w:val="21"/>
                <w:highlight w:val="none"/>
              </w:rPr>
            </w:pPr>
          </w:p>
        </w:tc>
        <w:tc>
          <w:tcPr>
            <w:tcW w:w="2338" w:type="dxa"/>
            <w:noWrap w:val="0"/>
            <w:vAlign w:val="center"/>
          </w:tcPr>
          <w:p>
            <w:pPr>
              <w:adjustRightInd w:val="0"/>
              <w:snapToGrid w:val="0"/>
              <w:jc w:val="center"/>
              <w:rPr>
                <w:rFonts w:hint="eastAsia" w:ascii="宋体" w:hAnsi="宋体" w:cs="宋体"/>
                <w:color w:val="auto"/>
                <w:spacing w:val="20"/>
                <w:szCs w:val="21"/>
                <w:highlight w:val="none"/>
              </w:rPr>
            </w:pPr>
          </w:p>
        </w:tc>
        <w:tc>
          <w:tcPr>
            <w:tcW w:w="2914" w:type="dxa"/>
            <w:noWrap w:val="0"/>
            <w:vAlign w:val="center"/>
          </w:tcPr>
          <w:p>
            <w:pPr>
              <w:adjustRightInd w:val="0"/>
              <w:snapToGrid w:val="0"/>
              <w:jc w:val="center"/>
              <w:rPr>
                <w:rFonts w:hint="eastAsia" w:ascii="宋体" w:hAnsi="宋体" w:cs="宋体"/>
                <w:color w:val="auto"/>
                <w:spacing w:val="20"/>
                <w:szCs w:val="21"/>
                <w:highlight w:val="none"/>
              </w:rPr>
            </w:pPr>
          </w:p>
        </w:tc>
        <w:tc>
          <w:tcPr>
            <w:tcW w:w="1463"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087" w:type="dxa"/>
            <w:noWrap w:val="0"/>
            <w:vAlign w:val="center"/>
          </w:tcPr>
          <w:p>
            <w:pPr>
              <w:adjustRightInd w:val="0"/>
              <w:snapToGrid w:val="0"/>
              <w:jc w:val="center"/>
              <w:rPr>
                <w:rFonts w:hint="eastAsia" w:ascii="宋体" w:hAnsi="宋体" w:cs="宋体"/>
                <w:color w:val="auto"/>
                <w:spacing w:val="20"/>
                <w:szCs w:val="21"/>
                <w:highlight w:val="none"/>
              </w:rPr>
            </w:pPr>
          </w:p>
        </w:tc>
        <w:tc>
          <w:tcPr>
            <w:tcW w:w="1936" w:type="dxa"/>
            <w:noWrap w:val="0"/>
            <w:vAlign w:val="center"/>
          </w:tcPr>
          <w:p>
            <w:pPr>
              <w:adjustRightInd w:val="0"/>
              <w:snapToGrid w:val="0"/>
              <w:jc w:val="center"/>
              <w:rPr>
                <w:rFonts w:hint="eastAsia" w:ascii="宋体" w:hAnsi="宋体" w:cs="宋体"/>
                <w:color w:val="auto"/>
                <w:szCs w:val="21"/>
                <w:highlight w:val="none"/>
              </w:rPr>
            </w:pPr>
          </w:p>
        </w:tc>
        <w:tc>
          <w:tcPr>
            <w:tcW w:w="2338" w:type="dxa"/>
            <w:noWrap w:val="0"/>
            <w:vAlign w:val="center"/>
          </w:tcPr>
          <w:p>
            <w:pPr>
              <w:adjustRightInd w:val="0"/>
              <w:snapToGrid w:val="0"/>
              <w:jc w:val="center"/>
              <w:rPr>
                <w:rFonts w:hint="eastAsia" w:ascii="宋体" w:hAnsi="宋体" w:cs="宋体"/>
                <w:color w:val="auto"/>
                <w:spacing w:val="20"/>
                <w:szCs w:val="21"/>
                <w:highlight w:val="none"/>
              </w:rPr>
            </w:pPr>
          </w:p>
        </w:tc>
        <w:tc>
          <w:tcPr>
            <w:tcW w:w="2914" w:type="dxa"/>
            <w:noWrap w:val="0"/>
            <w:vAlign w:val="center"/>
          </w:tcPr>
          <w:p>
            <w:pPr>
              <w:adjustRightInd w:val="0"/>
              <w:snapToGrid w:val="0"/>
              <w:jc w:val="center"/>
              <w:rPr>
                <w:rFonts w:hint="eastAsia" w:ascii="宋体" w:hAnsi="宋体" w:cs="宋体"/>
                <w:color w:val="auto"/>
                <w:spacing w:val="20"/>
                <w:szCs w:val="21"/>
                <w:highlight w:val="none"/>
              </w:rPr>
            </w:pPr>
          </w:p>
        </w:tc>
        <w:tc>
          <w:tcPr>
            <w:tcW w:w="1463"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087" w:type="dxa"/>
            <w:noWrap w:val="0"/>
            <w:vAlign w:val="center"/>
          </w:tcPr>
          <w:p>
            <w:pPr>
              <w:adjustRightInd w:val="0"/>
              <w:snapToGrid w:val="0"/>
              <w:jc w:val="center"/>
              <w:rPr>
                <w:rFonts w:hint="eastAsia" w:ascii="宋体" w:hAnsi="宋体" w:cs="宋体"/>
                <w:color w:val="auto"/>
                <w:spacing w:val="20"/>
                <w:szCs w:val="21"/>
                <w:highlight w:val="none"/>
              </w:rPr>
            </w:pPr>
          </w:p>
        </w:tc>
        <w:tc>
          <w:tcPr>
            <w:tcW w:w="1936" w:type="dxa"/>
            <w:noWrap w:val="0"/>
            <w:vAlign w:val="center"/>
          </w:tcPr>
          <w:p>
            <w:pPr>
              <w:adjustRightInd w:val="0"/>
              <w:snapToGrid w:val="0"/>
              <w:jc w:val="center"/>
              <w:rPr>
                <w:rFonts w:hint="eastAsia" w:ascii="宋体" w:hAnsi="宋体" w:cs="宋体"/>
                <w:color w:val="auto"/>
                <w:szCs w:val="21"/>
                <w:highlight w:val="none"/>
              </w:rPr>
            </w:pPr>
          </w:p>
        </w:tc>
        <w:tc>
          <w:tcPr>
            <w:tcW w:w="2338" w:type="dxa"/>
            <w:noWrap w:val="0"/>
            <w:vAlign w:val="center"/>
          </w:tcPr>
          <w:p>
            <w:pPr>
              <w:adjustRightInd w:val="0"/>
              <w:snapToGrid w:val="0"/>
              <w:jc w:val="center"/>
              <w:rPr>
                <w:rFonts w:hint="eastAsia" w:ascii="宋体" w:hAnsi="宋体" w:cs="宋体"/>
                <w:color w:val="auto"/>
                <w:spacing w:val="20"/>
                <w:szCs w:val="21"/>
                <w:highlight w:val="none"/>
              </w:rPr>
            </w:pPr>
          </w:p>
        </w:tc>
        <w:tc>
          <w:tcPr>
            <w:tcW w:w="2914" w:type="dxa"/>
            <w:noWrap w:val="0"/>
            <w:vAlign w:val="center"/>
          </w:tcPr>
          <w:p>
            <w:pPr>
              <w:adjustRightInd w:val="0"/>
              <w:snapToGrid w:val="0"/>
              <w:jc w:val="center"/>
              <w:rPr>
                <w:rFonts w:hint="eastAsia" w:ascii="宋体" w:hAnsi="宋体" w:cs="宋体"/>
                <w:color w:val="auto"/>
                <w:spacing w:val="20"/>
                <w:szCs w:val="21"/>
                <w:highlight w:val="none"/>
              </w:rPr>
            </w:pPr>
          </w:p>
        </w:tc>
        <w:tc>
          <w:tcPr>
            <w:tcW w:w="1463" w:type="dxa"/>
            <w:noWrap w:val="0"/>
            <w:vAlign w:val="center"/>
          </w:tcPr>
          <w:p>
            <w:pPr>
              <w:adjustRightInd w:val="0"/>
              <w:snapToGrid w:val="0"/>
              <w:jc w:val="center"/>
              <w:rPr>
                <w:rFonts w:hint="eastAsia" w:ascii="宋体" w:hAnsi="宋体" w:cs="宋体"/>
                <w:color w:val="auto"/>
                <w:spacing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1087" w:type="dxa"/>
            <w:noWrap w:val="0"/>
            <w:vAlign w:val="center"/>
          </w:tcPr>
          <w:p>
            <w:pPr>
              <w:adjustRightInd w:val="0"/>
              <w:snapToGrid w:val="0"/>
              <w:jc w:val="center"/>
              <w:rPr>
                <w:rFonts w:hint="eastAsia" w:ascii="宋体" w:hAnsi="宋体" w:cs="宋体"/>
                <w:color w:val="auto"/>
                <w:spacing w:val="20"/>
                <w:szCs w:val="21"/>
                <w:highlight w:val="none"/>
              </w:rPr>
            </w:pPr>
          </w:p>
        </w:tc>
        <w:tc>
          <w:tcPr>
            <w:tcW w:w="1936" w:type="dxa"/>
            <w:noWrap w:val="0"/>
            <w:vAlign w:val="center"/>
          </w:tcPr>
          <w:p>
            <w:pPr>
              <w:adjustRightInd w:val="0"/>
              <w:snapToGrid w:val="0"/>
              <w:jc w:val="center"/>
              <w:rPr>
                <w:rFonts w:hint="eastAsia" w:ascii="宋体" w:hAnsi="宋体" w:cs="宋体"/>
                <w:color w:val="auto"/>
                <w:szCs w:val="21"/>
                <w:highlight w:val="none"/>
              </w:rPr>
            </w:pPr>
          </w:p>
        </w:tc>
        <w:tc>
          <w:tcPr>
            <w:tcW w:w="2338" w:type="dxa"/>
            <w:noWrap w:val="0"/>
            <w:vAlign w:val="center"/>
          </w:tcPr>
          <w:p>
            <w:pPr>
              <w:adjustRightInd w:val="0"/>
              <w:snapToGrid w:val="0"/>
              <w:jc w:val="center"/>
              <w:rPr>
                <w:rFonts w:hint="eastAsia" w:ascii="宋体" w:hAnsi="宋体" w:cs="宋体"/>
                <w:color w:val="auto"/>
                <w:spacing w:val="20"/>
                <w:szCs w:val="21"/>
                <w:highlight w:val="none"/>
              </w:rPr>
            </w:pPr>
          </w:p>
        </w:tc>
        <w:tc>
          <w:tcPr>
            <w:tcW w:w="2914" w:type="dxa"/>
            <w:noWrap w:val="0"/>
            <w:vAlign w:val="center"/>
          </w:tcPr>
          <w:p>
            <w:pPr>
              <w:adjustRightInd w:val="0"/>
              <w:snapToGrid w:val="0"/>
              <w:jc w:val="center"/>
              <w:rPr>
                <w:rFonts w:hint="eastAsia" w:ascii="宋体" w:hAnsi="宋体" w:cs="宋体"/>
                <w:color w:val="auto"/>
                <w:spacing w:val="20"/>
                <w:szCs w:val="21"/>
                <w:highlight w:val="none"/>
              </w:rPr>
            </w:pPr>
          </w:p>
        </w:tc>
        <w:tc>
          <w:tcPr>
            <w:tcW w:w="1463" w:type="dxa"/>
            <w:noWrap w:val="0"/>
            <w:vAlign w:val="center"/>
          </w:tcPr>
          <w:p>
            <w:pPr>
              <w:adjustRightInd w:val="0"/>
              <w:snapToGrid w:val="0"/>
              <w:jc w:val="center"/>
              <w:rPr>
                <w:rFonts w:hint="eastAsia" w:ascii="宋体" w:hAnsi="宋体" w:cs="宋体"/>
                <w:color w:val="auto"/>
                <w:spacing w:val="20"/>
                <w:szCs w:val="21"/>
                <w:highlight w:val="none"/>
              </w:rPr>
            </w:pPr>
          </w:p>
        </w:tc>
      </w:tr>
    </w:tbl>
    <w:p>
      <w:pPr>
        <w:pStyle w:val="63"/>
        <w:ind w:firstLine="420"/>
        <w:rPr>
          <w:rFonts w:hint="eastAsia" w:ascii="宋体" w:hAnsi="宋体" w:cs="宋体"/>
          <w:color w:val="auto"/>
          <w:szCs w:val="21"/>
          <w:highlight w:val="none"/>
        </w:rPr>
      </w:pPr>
      <w:r>
        <w:rPr>
          <w:rFonts w:hint="eastAsia" w:ascii="宋体" w:hAnsi="宋体" w:cs="宋体"/>
          <w:color w:val="auto"/>
          <w:highlight w:val="none"/>
        </w:rPr>
        <w:t>2、</w:t>
      </w:r>
      <w:r>
        <w:rPr>
          <w:rFonts w:hint="eastAsia" w:ascii="宋体" w:hAnsi="宋体" w:cs="宋体"/>
          <w:b/>
          <w:color w:val="auto"/>
          <w:highlight w:val="none"/>
        </w:rPr>
        <w:t>偏离程度中逐项加以说明“正偏离（优于采购文件的要求）”或“负偏离（低于采购文件的要求或无此项技术要求或功能）”、“无偏离（与采购文件要求基本一致）”</w:t>
      </w:r>
    </w:p>
    <w:p>
      <w:pPr>
        <w:pStyle w:val="2"/>
        <w:rPr>
          <w:rFonts w:hint="eastAsia" w:ascii="宋体" w:hAnsi="宋体" w:cs="宋体"/>
          <w:color w:val="auto"/>
          <w:highlight w:val="none"/>
        </w:rPr>
      </w:pPr>
    </w:p>
    <w:p>
      <w:pPr>
        <w:pStyle w:val="2"/>
        <w:rPr>
          <w:rFonts w:hint="eastAsia" w:ascii="宋体" w:hAnsi="宋体" w:cs="宋体"/>
          <w:color w:val="auto"/>
          <w:spacing w:val="20"/>
          <w:szCs w:val="21"/>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9"/>
        <w:ind w:left="1470" w:right="1470"/>
        <w:rPr>
          <w:rFonts w:hint="eastAsia" w:ascii="宋体" w:hAnsi="宋体" w:cs="宋体"/>
          <w:color w:val="auto"/>
          <w:szCs w:val="21"/>
          <w:highlight w:val="none"/>
        </w:rPr>
      </w:pPr>
    </w:p>
    <w:p>
      <w:pPr>
        <w:pStyle w:val="9"/>
        <w:ind w:left="1470" w:right="1470"/>
        <w:rPr>
          <w:rFonts w:hint="eastAsia" w:ascii="宋体" w:hAnsi="宋体" w:cs="宋体"/>
          <w:color w:val="auto"/>
          <w:szCs w:val="21"/>
          <w:highlight w:val="none"/>
        </w:rPr>
      </w:pPr>
    </w:p>
    <w:p>
      <w:pPr>
        <w:pStyle w:val="9"/>
        <w:ind w:left="1470" w:right="1470"/>
        <w:rPr>
          <w:rFonts w:hint="eastAsia" w:ascii="宋体" w:hAnsi="宋体" w:cs="宋体"/>
          <w:color w:val="auto"/>
          <w:szCs w:val="21"/>
          <w:highlight w:val="none"/>
        </w:rPr>
      </w:pPr>
    </w:p>
    <w:p>
      <w:pPr>
        <w:pStyle w:val="9"/>
        <w:ind w:left="1470" w:right="1470"/>
        <w:rPr>
          <w:rFonts w:hint="eastAsia" w:ascii="宋体" w:hAnsi="宋体" w:cs="宋体"/>
          <w:color w:val="auto"/>
          <w:szCs w:val="21"/>
          <w:highlight w:val="none"/>
        </w:rPr>
      </w:pPr>
    </w:p>
    <w:p>
      <w:pPr>
        <w:pStyle w:val="9"/>
        <w:ind w:left="1470" w:right="1470"/>
        <w:rPr>
          <w:rFonts w:hint="eastAsia" w:ascii="宋体" w:hAnsi="宋体" w:cs="宋体"/>
          <w:color w:val="auto"/>
          <w:szCs w:val="21"/>
          <w:highlight w:val="none"/>
        </w:rPr>
      </w:pPr>
    </w:p>
    <w:p>
      <w:pPr>
        <w:pStyle w:val="9"/>
        <w:ind w:left="1470" w:right="1470"/>
        <w:rPr>
          <w:rFonts w:hint="eastAsia" w:ascii="宋体" w:hAnsi="宋体" w:cs="宋体"/>
          <w:color w:val="auto"/>
          <w:szCs w:val="21"/>
          <w:highlight w:val="none"/>
        </w:rPr>
      </w:pPr>
    </w:p>
    <w:p>
      <w:pPr>
        <w:pStyle w:val="9"/>
        <w:ind w:left="0" w:leftChars="0" w:right="1470"/>
        <w:rPr>
          <w:rFonts w:hint="eastAsia" w:ascii="宋体" w:hAnsi="宋体" w:cs="宋体"/>
          <w:color w:val="auto"/>
          <w:highlight w:val="none"/>
        </w:rPr>
      </w:pPr>
    </w:p>
    <w:p>
      <w:pPr>
        <w:pStyle w:val="9"/>
        <w:ind w:left="0" w:leftChars="0" w:right="1470"/>
        <w:rPr>
          <w:rFonts w:hint="eastAsia" w:ascii="宋体" w:hAnsi="宋体" w:cs="宋体"/>
          <w:color w:val="auto"/>
          <w:highlight w:val="none"/>
        </w:rPr>
      </w:pPr>
    </w:p>
    <w:p>
      <w:pPr>
        <w:spacing w:line="360" w:lineRule="auto"/>
        <w:rPr>
          <w:rFonts w:hint="eastAsia" w:ascii="宋体" w:hAnsi="宋体" w:cs="宋体"/>
          <w:b/>
          <w:color w:val="auto"/>
          <w:sz w:val="22"/>
          <w:szCs w:val="22"/>
          <w:highlight w:val="none"/>
        </w:rPr>
      </w:pPr>
      <w:r>
        <w:rPr>
          <w:rFonts w:hint="eastAsia" w:ascii="宋体" w:hAnsi="宋体" w:cs="宋体"/>
          <w:b/>
          <w:color w:val="auto"/>
          <w:sz w:val="22"/>
          <w:szCs w:val="22"/>
          <w:highlight w:val="none"/>
        </w:rPr>
        <w:t>（8）投标方提供项目业绩合同复印件；</w:t>
      </w:r>
    </w:p>
    <w:p>
      <w:pPr>
        <w:spacing w:line="360" w:lineRule="auto"/>
        <w:rPr>
          <w:rFonts w:hint="eastAsia" w:ascii="宋体" w:hAnsi="宋体" w:cs="宋体"/>
          <w:b/>
          <w:color w:val="auto"/>
          <w:sz w:val="22"/>
          <w:szCs w:val="22"/>
          <w:highlight w:val="none"/>
        </w:rPr>
      </w:pPr>
      <w:r>
        <w:rPr>
          <w:rFonts w:hint="eastAsia" w:ascii="宋体" w:hAnsi="宋体" w:cs="宋体"/>
          <w:b/>
          <w:color w:val="auto"/>
          <w:sz w:val="22"/>
          <w:szCs w:val="22"/>
          <w:highlight w:val="none"/>
        </w:rPr>
        <w:t>（</w:t>
      </w:r>
      <w:r>
        <w:rPr>
          <w:rFonts w:hint="eastAsia" w:ascii="宋体" w:hAnsi="宋体" w:cs="宋体"/>
          <w:b/>
          <w:color w:val="auto"/>
          <w:sz w:val="22"/>
          <w:szCs w:val="22"/>
          <w:highlight w:val="none"/>
        </w:rPr>
        <w:t>9）投标方提供有效的质量管理体系认证、环境管理体系认证、职业健康安全管理</w:t>
      </w: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rPr>
        <w:t>能源管理体系认证证书等体系认证证书复印件；</w:t>
      </w:r>
    </w:p>
    <w:p>
      <w:pPr>
        <w:spacing w:line="360" w:lineRule="auto"/>
        <w:rPr>
          <w:rFonts w:hint="eastAsia" w:ascii="宋体" w:hAnsi="宋体" w:cs="宋体"/>
          <w:b/>
          <w:color w:val="auto"/>
          <w:sz w:val="22"/>
          <w:szCs w:val="22"/>
          <w:highlight w:val="none"/>
        </w:rPr>
      </w:pPr>
      <w:r>
        <w:rPr>
          <w:rFonts w:hint="eastAsia" w:ascii="宋体" w:hAnsi="宋体" w:cs="宋体"/>
          <w:b/>
          <w:color w:val="auto"/>
          <w:sz w:val="22"/>
          <w:szCs w:val="22"/>
          <w:highlight w:val="none"/>
        </w:rPr>
        <w:t>（10）投标方本地化服务能力及其组织情况证明；</w:t>
      </w:r>
    </w:p>
    <w:p>
      <w:pPr>
        <w:spacing w:line="360" w:lineRule="auto"/>
        <w:rPr>
          <w:rFonts w:hint="eastAsia" w:ascii="宋体" w:hAnsi="宋体" w:cs="宋体"/>
          <w:b/>
          <w:color w:val="auto"/>
          <w:sz w:val="22"/>
          <w:szCs w:val="22"/>
          <w:highlight w:val="none"/>
        </w:rPr>
      </w:pPr>
      <w:r>
        <w:rPr>
          <w:rFonts w:hint="eastAsia" w:ascii="宋体" w:hAnsi="宋体" w:cs="宋体"/>
          <w:b/>
          <w:color w:val="auto"/>
          <w:sz w:val="22"/>
          <w:szCs w:val="22"/>
          <w:highlight w:val="none"/>
        </w:rPr>
        <w:t>（11）技术方案：服务管理整体设想及策划、项目分析及解决方案、人员的配置、设备装备计划、制度和档案的建立与管理、项目的服务与管理、突发事件应急处理措施；</w:t>
      </w:r>
    </w:p>
    <w:p>
      <w:pPr>
        <w:spacing w:line="360" w:lineRule="auto"/>
        <w:rPr>
          <w:rFonts w:hint="eastAsia" w:ascii="宋体" w:hAnsi="宋体" w:cs="宋体"/>
          <w:b/>
          <w:color w:val="auto"/>
          <w:sz w:val="22"/>
          <w:szCs w:val="22"/>
          <w:highlight w:val="none"/>
        </w:rPr>
      </w:pPr>
      <w:r>
        <w:rPr>
          <w:rFonts w:hint="eastAsia" w:ascii="宋体" w:hAnsi="宋体" w:cs="宋体"/>
          <w:b/>
          <w:color w:val="auto"/>
          <w:sz w:val="22"/>
          <w:szCs w:val="22"/>
          <w:highlight w:val="none"/>
        </w:rPr>
        <w:t>（12）投标供应商认为需要提供的其他资料（如有需提供）。</w:t>
      </w:r>
    </w:p>
    <w:p>
      <w:pPr>
        <w:autoSpaceDE w:val="0"/>
        <w:autoSpaceDN w:val="0"/>
        <w:adjustRightInd w:val="0"/>
        <w:ind w:firstLine="7350" w:firstLineChars="3500"/>
        <w:jc w:val="left"/>
        <w:outlineLvl w:val="1"/>
        <w:rPr>
          <w:rFonts w:hint="eastAsia" w:ascii="宋体" w:hAnsi="宋体" w:cs="宋体"/>
          <w:color w:val="auto"/>
          <w:szCs w:val="21"/>
          <w:highlight w:val="none"/>
        </w:rPr>
      </w:pPr>
    </w:p>
    <w:p>
      <w:pPr>
        <w:autoSpaceDE w:val="0"/>
        <w:autoSpaceDN w:val="0"/>
        <w:adjustRightInd w:val="0"/>
        <w:jc w:val="center"/>
        <w:outlineLvl w:val="1"/>
        <w:rPr>
          <w:rStyle w:val="58"/>
          <w:rFonts w:hint="eastAsia" w:ascii="宋体" w:hAnsi="宋体" w:cs="宋体"/>
          <w:color w:val="auto"/>
          <w:sz w:val="32"/>
          <w:szCs w:val="32"/>
          <w:highlight w:val="none"/>
        </w:rPr>
      </w:pPr>
      <w:r>
        <w:rPr>
          <w:rStyle w:val="58"/>
          <w:rFonts w:hint="eastAsia" w:ascii="宋体" w:hAnsi="宋体" w:cs="宋体"/>
          <w:color w:val="auto"/>
          <w:sz w:val="32"/>
          <w:szCs w:val="32"/>
          <w:highlight w:val="none"/>
        </w:rPr>
        <w:br w:type="page"/>
      </w:r>
      <w:r>
        <w:rPr>
          <w:rStyle w:val="58"/>
          <w:rFonts w:hint="eastAsia" w:ascii="宋体" w:hAnsi="宋体" w:cs="宋体"/>
          <w:color w:val="auto"/>
          <w:sz w:val="32"/>
          <w:szCs w:val="32"/>
          <w:highlight w:val="none"/>
        </w:rPr>
        <w:t>3、报价文件</w:t>
      </w:r>
    </w:p>
    <w:p>
      <w:pPr>
        <w:spacing w:line="360" w:lineRule="auto"/>
        <w:ind w:firstLine="964" w:firstLineChars="300"/>
        <w:rPr>
          <w:rFonts w:hint="eastAsia" w:ascii="宋体" w:hAnsi="宋体" w:cs="宋体"/>
          <w:b/>
          <w:color w:val="auto"/>
          <w:sz w:val="32"/>
          <w:szCs w:val="32"/>
          <w:highlight w:val="none"/>
        </w:rPr>
      </w:pPr>
      <w:bookmarkStart w:id="36" w:name="_Toc16096_WPSOffice_Level1"/>
      <w:bookmarkStart w:id="37" w:name="_Toc28319_WPSOffice_Level1"/>
      <w:bookmarkStart w:id="38" w:name="_Toc22460_WPSOffice_Level1"/>
      <w:r>
        <w:rPr>
          <w:rFonts w:hint="eastAsia" w:ascii="宋体" w:hAnsi="宋体" w:cs="宋体"/>
          <w:b/>
          <w:color w:val="auto"/>
          <w:sz w:val="32"/>
          <w:szCs w:val="32"/>
          <w:highlight w:val="none"/>
        </w:rPr>
        <w:t>封面</w:t>
      </w:r>
      <w:bookmarkEnd w:id="36"/>
      <w:bookmarkEnd w:id="37"/>
      <w:bookmarkEnd w:id="38"/>
      <w:r>
        <w:rPr>
          <w:rFonts w:hint="eastAsia" w:ascii="宋体" w:hAnsi="宋体" w:cs="宋体"/>
          <w:b/>
          <w:color w:val="auto"/>
          <w:sz w:val="32"/>
          <w:szCs w:val="32"/>
          <w:highlight w:val="none"/>
        </w:rPr>
        <w:t xml:space="preserve">                                       </w:t>
      </w:r>
    </w:p>
    <w:p>
      <w:pPr>
        <w:spacing w:line="360" w:lineRule="auto"/>
        <w:jc w:val="right"/>
        <w:rPr>
          <w:rFonts w:hint="eastAsia" w:ascii="宋体" w:hAnsi="宋体" w:cs="宋体"/>
          <w:b/>
          <w:bCs/>
          <w:color w:val="auto"/>
          <w:sz w:val="32"/>
          <w:szCs w:val="32"/>
          <w:highlight w:val="none"/>
        </w:rPr>
      </w:pPr>
    </w:p>
    <w:p>
      <w:pPr>
        <w:rPr>
          <w:rFonts w:hint="eastAsia" w:ascii="宋体" w:hAnsi="宋体" w:cs="宋体"/>
          <w:color w:val="auto"/>
          <w:sz w:val="32"/>
          <w:szCs w:val="32"/>
          <w:highlight w:val="none"/>
        </w:rPr>
      </w:pPr>
      <w:r>
        <w:rPr>
          <w:rFonts w:hint="eastAsia" w:ascii="宋体" w:hAnsi="宋体" w:cs="宋体"/>
          <w:color w:val="auto"/>
          <w:sz w:val="32"/>
          <w:szCs w:val="32"/>
          <w:highlight w:val="none"/>
        </w:rPr>
        <w:t>采购人：</w:t>
      </w:r>
      <w:r>
        <w:rPr>
          <w:rFonts w:hint="eastAsia" w:ascii="宋体" w:hAnsi="宋体" w:cs="宋体"/>
          <w:color w:val="auto"/>
          <w:sz w:val="32"/>
          <w:szCs w:val="32"/>
          <w:highlight w:val="none"/>
          <w:u w:val="single"/>
        </w:rPr>
        <w:t xml:space="preserve">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项目名称：</w:t>
      </w:r>
      <w:r>
        <w:rPr>
          <w:rFonts w:hint="eastAsia" w:ascii="宋体" w:hAnsi="宋体" w:cs="宋体"/>
          <w:color w:val="auto"/>
          <w:sz w:val="32"/>
          <w:szCs w:val="32"/>
          <w:highlight w:val="none"/>
          <w:u w:val="single"/>
        </w:rPr>
        <w:t xml:space="preserve">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招标编号：</w:t>
      </w:r>
      <w:r>
        <w:rPr>
          <w:rFonts w:hint="eastAsia" w:ascii="宋体" w:hAnsi="宋体" w:cs="宋体"/>
          <w:color w:val="auto"/>
          <w:sz w:val="32"/>
          <w:szCs w:val="32"/>
          <w:highlight w:val="none"/>
          <w:u w:val="single"/>
        </w:rPr>
        <w:t xml:space="preserve">                                            </w:t>
      </w:r>
    </w:p>
    <w:p>
      <w:pPr>
        <w:jc w:val="center"/>
        <w:rPr>
          <w:rFonts w:hint="eastAsia" w:ascii="宋体" w:hAnsi="宋体" w:cs="宋体"/>
          <w:color w:val="auto"/>
          <w:highlight w:val="none"/>
        </w:rPr>
      </w:pPr>
      <w:r>
        <w:rPr>
          <w:rFonts w:hint="eastAsia" w:ascii="宋体" w:hAnsi="宋体" w:cs="宋体"/>
          <w:color w:val="auto"/>
          <w:sz w:val="32"/>
          <w:szCs w:val="32"/>
          <w:highlight w:val="none"/>
        </w:rPr>
        <w:t>（报价文件）</w:t>
      </w:r>
    </w:p>
    <w:p>
      <w:pPr>
        <w:jc w:val="center"/>
        <w:rPr>
          <w:rFonts w:hint="eastAsia" w:ascii="宋体" w:hAnsi="宋体" w:cs="宋体"/>
          <w:color w:val="auto"/>
          <w:sz w:val="84"/>
          <w:highlight w:val="none"/>
        </w:rPr>
      </w:pPr>
      <w:r>
        <w:rPr>
          <w:rFonts w:hint="eastAsia" w:ascii="宋体" w:hAnsi="宋体" w:cs="宋体"/>
          <w:color w:val="auto"/>
          <w:sz w:val="84"/>
          <w:highlight w:val="none"/>
        </w:rPr>
        <w:t>投</w:t>
      </w:r>
    </w:p>
    <w:p>
      <w:pPr>
        <w:jc w:val="center"/>
        <w:rPr>
          <w:rFonts w:hint="eastAsia" w:ascii="宋体" w:hAnsi="宋体" w:cs="宋体"/>
          <w:color w:val="auto"/>
          <w:sz w:val="84"/>
          <w:highlight w:val="none"/>
        </w:rPr>
      </w:pPr>
      <w:r>
        <w:rPr>
          <w:rFonts w:hint="eastAsia" w:ascii="宋体" w:hAnsi="宋体" w:cs="宋体"/>
          <w:color w:val="auto"/>
          <w:sz w:val="84"/>
          <w:highlight w:val="none"/>
        </w:rPr>
        <w:t>标</w:t>
      </w:r>
    </w:p>
    <w:p>
      <w:pPr>
        <w:jc w:val="center"/>
        <w:rPr>
          <w:rFonts w:hint="eastAsia" w:ascii="宋体" w:hAnsi="宋体" w:cs="宋体"/>
          <w:color w:val="auto"/>
          <w:sz w:val="84"/>
          <w:highlight w:val="none"/>
        </w:rPr>
      </w:pPr>
      <w:r>
        <w:rPr>
          <w:rFonts w:hint="eastAsia" w:ascii="宋体" w:hAnsi="宋体" w:cs="宋体"/>
          <w:color w:val="auto"/>
          <w:sz w:val="84"/>
          <w:highlight w:val="none"/>
        </w:rPr>
        <w:t>文</w:t>
      </w:r>
    </w:p>
    <w:p>
      <w:pPr>
        <w:jc w:val="center"/>
        <w:rPr>
          <w:rFonts w:hint="eastAsia" w:ascii="宋体" w:hAnsi="宋体" w:cs="宋体"/>
          <w:color w:val="auto"/>
          <w:sz w:val="24"/>
          <w:highlight w:val="none"/>
        </w:rPr>
      </w:pPr>
      <w:r>
        <w:rPr>
          <w:rFonts w:hint="eastAsia" w:ascii="宋体" w:hAnsi="宋体" w:cs="宋体"/>
          <w:color w:val="auto"/>
          <w:sz w:val="84"/>
          <w:highlight w:val="none"/>
        </w:rPr>
        <w:t>件</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投标供应商名称：</w:t>
      </w:r>
      <w:r>
        <w:rPr>
          <w:rFonts w:hint="eastAsia" w:ascii="宋体" w:hAnsi="宋体" w:cs="宋体"/>
          <w:color w:val="auto"/>
          <w:sz w:val="32"/>
          <w:szCs w:val="32"/>
          <w:highlight w:val="none"/>
          <w:u w:val="single"/>
        </w:rPr>
        <w:t xml:space="preserve">              （加盖单位公章）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通讯地址：</w:t>
      </w:r>
      <w:r>
        <w:rPr>
          <w:rFonts w:hint="eastAsia" w:ascii="宋体" w:hAnsi="宋体" w:cs="宋体"/>
          <w:color w:val="auto"/>
          <w:sz w:val="32"/>
          <w:szCs w:val="32"/>
          <w:highlight w:val="none"/>
          <w:u w:val="single"/>
        </w:rPr>
        <w:t xml:space="preserve">                                                   </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投标联系人及联系方式：</w:t>
      </w:r>
      <w:r>
        <w:rPr>
          <w:rFonts w:hint="eastAsia" w:ascii="宋体" w:hAnsi="宋体" w:cs="宋体"/>
          <w:color w:val="auto"/>
          <w:sz w:val="32"/>
          <w:szCs w:val="32"/>
          <w:highlight w:val="none"/>
          <w:u w:val="single"/>
        </w:rPr>
        <w:t xml:space="preserve">                                       </w:t>
      </w:r>
    </w:p>
    <w:p>
      <w:pPr>
        <w:ind w:firstLine="2240" w:firstLineChars="700"/>
        <w:rPr>
          <w:rFonts w:hint="eastAsia" w:ascii="宋体" w:hAnsi="宋体" w:cs="宋体"/>
          <w:b/>
          <w:color w:val="auto"/>
          <w:szCs w:val="21"/>
          <w:highlight w:val="none"/>
        </w:rPr>
      </w:pPr>
      <w:r>
        <w:rPr>
          <w:rFonts w:hint="eastAsia" w:ascii="宋体" w:hAnsi="宋体" w:cs="宋体"/>
          <w:color w:val="auto"/>
          <w:sz w:val="32"/>
          <w:szCs w:val="32"/>
          <w:highlight w:val="none"/>
        </w:rPr>
        <w:t>在  年  月  日 时 分前不得开启</w:t>
      </w:r>
    </w:p>
    <w:p>
      <w:pPr>
        <w:pStyle w:val="10"/>
        <w:widowControl w:val="0"/>
        <w:overflowPunct/>
        <w:autoSpaceDE/>
        <w:autoSpaceDN/>
        <w:adjustRightInd/>
        <w:textAlignment w:val="auto"/>
        <w:rPr>
          <w:rFonts w:hint="eastAsia" w:hAnsi="宋体" w:cs="宋体"/>
          <w:bCs/>
          <w:color w:val="auto"/>
          <w:szCs w:val="21"/>
          <w:highlight w:val="none"/>
        </w:rPr>
      </w:pPr>
    </w:p>
    <w:p>
      <w:pPr>
        <w:pStyle w:val="10"/>
        <w:widowControl w:val="0"/>
        <w:overflowPunct/>
        <w:autoSpaceDE/>
        <w:autoSpaceDN/>
        <w:adjustRightInd/>
        <w:textAlignment w:val="auto"/>
        <w:rPr>
          <w:rFonts w:hint="eastAsia" w:hAnsi="宋体" w:cs="宋体"/>
          <w:b/>
          <w:color w:val="auto"/>
          <w:szCs w:val="21"/>
          <w:highlight w:val="none"/>
        </w:rPr>
        <w:sectPr>
          <w:footerReference r:id="rId6" w:type="default"/>
          <w:pgSz w:w="11906" w:h="16838"/>
          <w:pgMar w:top="1440" w:right="1123" w:bottom="1440" w:left="1123" w:header="851" w:footer="992" w:gutter="0"/>
          <w:cols w:space="720" w:num="1"/>
          <w:docGrid w:type="lines" w:linePitch="391" w:charSpace="0"/>
        </w:sectPr>
      </w:pPr>
    </w:p>
    <w:p>
      <w:pPr>
        <w:spacing w:line="360" w:lineRule="auto"/>
        <w:jc w:val="center"/>
        <w:rPr>
          <w:rFonts w:hint="eastAsia" w:ascii="宋体" w:hAnsi="宋体" w:cs="宋体"/>
          <w:b/>
          <w:color w:val="auto"/>
          <w:sz w:val="28"/>
          <w:szCs w:val="32"/>
          <w:highlight w:val="none"/>
        </w:rPr>
      </w:pPr>
      <w:bookmarkStart w:id="39" w:name="_Toc8491_WPSOffice_Level1"/>
      <w:bookmarkStart w:id="40" w:name="_Toc3784_WPSOffice_Level1"/>
      <w:bookmarkStart w:id="41" w:name="_Toc1407_WPSOffice_Level1"/>
      <w:r>
        <w:rPr>
          <w:rFonts w:hint="eastAsia" w:ascii="宋体" w:hAnsi="宋体" w:cs="宋体"/>
          <w:b/>
          <w:color w:val="auto"/>
          <w:sz w:val="28"/>
          <w:szCs w:val="32"/>
          <w:highlight w:val="none"/>
        </w:rPr>
        <w:t>（1）开标一览表</w:t>
      </w:r>
      <w:bookmarkEnd w:id="39"/>
      <w:bookmarkEnd w:id="40"/>
      <w:bookmarkEnd w:id="41"/>
    </w:p>
    <w:p>
      <w:pPr>
        <w:adjustRightInd w:val="0"/>
        <w:snapToGrid w:val="0"/>
        <w:spacing w:after="120" w:afterLines="50"/>
        <w:rPr>
          <w:rFonts w:hint="eastAsia" w:ascii="宋体" w:hAnsi="宋体" w:cs="宋体"/>
          <w:color w:val="auto"/>
          <w:kern w:val="0"/>
          <w:szCs w:val="21"/>
          <w:highlight w:val="none"/>
        </w:rPr>
      </w:pPr>
    </w:p>
    <w:p>
      <w:pPr>
        <w:adjustRightInd w:val="0"/>
        <w:snapToGrid w:val="0"/>
        <w:spacing w:after="120" w:afterLines="50"/>
        <w:rPr>
          <w:rFonts w:hint="eastAsia" w:ascii="宋体" w:hAnsi="宋体" w:cs="宋体"/>
          <w:color w:val="auto"/>
          <w:szCs w:val="21"/>
          <w:highlight w:val="none"/>
          <w:u w:val="single"/>
        </w:rPr>
      </w:pPr>
      <w:r>
        <w:rPr>
          <w:rFonts w:hint="eastAsia" w:ascii="宋体" w:hAnsi="宋体" w:cs="宋体"/>
          <w:color w:val="auto"/>
          <w:kern w:val="0"/>
          <w:szCs w:val="21"/>
          <w:highlight w:val="none"/>
        </w:rPr>
        <w:t>项目名称：</w:t>
      </w:r>
      <w:r>
        <w:rPr>
          <w:rFonts w:hint="eastAsia" w:ascii="宋体" w:hAnsi="宋体" w:cs="宋体"/>
          <w:color w:val="auto"/>
          <w:szCs w:val="21"/>
          <w:highlight w:val="none"/>
          <w:u w:val="single"/>
        </w:rPr>
        <w:t>2021年度慈溪市环杭州湾创新中心**室辅勤采购项目</w:t>
      </w:r>
    </w:p>
    <w:p>
      <w:pPr>
        <w:adjustRightInd w:val="0"/>
        <w:snapToGrid w:val="0"/>
        <w:spacing w:after="120" w:afterLines="50"/>
        <w:rPr>
          <w:rFonts w:hint="eastAsia" w:ascii="宋体" w:hAnsi="宋体" w:cs="宋体"/>
          <w:color w:val="auto"/>
          <w:szCs w:val="21"/>
          <w:highlight w:val="none"/>
          <w:u w:val="single"/>
        </w:rPr>
      </w:pPr>
      <w:r>
        <w:rPr>
          <w:rFonts w:hint="eastAsia" w:ascii="宋体" w:hAnsi="宋体" w:cs="宋体"/>
          <w:color w:val="auto"/>
          <w:kern w:val="0"/>
          <w:szCs w:val="21"/>
          <w:highlight w:val="none"/>
        </w:rPr>
        <w:t>项目编号：</w:t>
      </w:r>
      <w:r>
        <w:rPr>
          <w:rFonts w:hint="eastAsia" w:ascii="宋体" w:hAnsi="宋体" w:cs="宋体"/>
          <w:color w:val="auto"/>
          <w:szCs w:val="21"/>
          <w:highlight w:val="none"/>
        </w:rPr>
        <w:t xml:space="preserve"> </w:t>
      </w:r>
    </w:p>
    <w:tbl>
      <w:tblPr>
        <w:tblStyle w:val="17"/>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1987"/>
        <w:gridCol w:w="244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4652" w:type="dxa"/>
            <w:noWrap w:val="0"/>
            <w:vAlign w:val="center"/>
          </w:tcPr>
          <w:p>
            <w:pPr>
              <w:spacing w:line="54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1987" w:type="dxa"/>
            <w:noWrap w:val="0"/>
            <w:vAlign w:val="center"/>
          </w:tcPr>
          <w:p>
            <w:pPr>
              <w:spacing w:line="540" w:lineRule="exact"/>
              <w:jc w:val="center"/>
              <w:rPr>
                <w:rFonts w:hint="eastAsia" w:ascii="宋体" w:hAnsi="宋体" w:cs="宋体"/>
                <w:color w:val="auto"/>
                <w:szCs w:val="21"/>
                <w:highlight w:val="none"/>
              </w:rPr>
            </w:pPr>
            <w:r>
              <w:rPr>
                <w:rFonts w:hint="eastAsia" w:ascii="宋体" w:hAnsi="宋体" w:cs="宋体"/>
                <w:color w:val="auto"/>
                <w:szCs w:val="21"/>
                <w:highlight w:val="none"/>
              </w:rPr>
              <w:t>一年服务费（元）</w:t>
            </w:r>
          </w:p>
        </w:tc>
        <w:tc>
          <w:tcPr>
            <w:tcW w:w="2440" w:type="dxa"/>
            <w:noWrap w:val="0"/>
            <w:vAlign w:val="center"/>
          </w:tcPr>
          <w:p>
            <w:pPr>
              <w:spacing w:line="540" w:lineRule="exact"/>
              <w:jc w:val="center"/>
              <w:rPr>
                <w:rFonts w:hint="eastAsia" w:ascii="宋体" w:hAnsi="宋体" w:cs="宋体"/>
                <w:color w:val="auto"/>
                <w:szCs w:val="21"/>
                <w:highlight w:val="none"/>
              </w:rPr>
            </w:pPr>
            <w:r>
              <w:rPr>
                <w:rFonts w:hint="eastAsia" w:ascii="宋体" w:hAnsi="宋体" w:cs="宋体"/>
                <w:color w:val="auto"/>
                <w:szCs w:val="21"/>
                <w:highlight w:val="none"/>
              </w:rPr>
              <w:t>服务期限</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4652" w:type="dxa"/>
            <w:noWrap w:val="0"/>
            <w:vAlign w:val="top"/>
          </w:tcPr>
          <w:p>
            <w:pPr>
              <w:spacing w:line="540" w:lineRule="exact"/>
              <w:rPr>
                <w:rFonts w:hint="eastAsia" w:ascii="宋体" w:hAnsi="宋体" w:cs="宋体"/>
                <w:color w:val="auto"/>
                <w:szCs w:val="21"/>
                <w:highlight w:val="none"/>
              </w:rPr>
            </w:pPr>
            <w:r>
              <w:rPr>
                <w:rFonts w:hint="eastAsia" w:ascii="宋体" w:hAnsi="宋体" w:cs="宋体"/>
                <w:color w:val="auto"/>
                <w:szCs w:val="21"/>
                <w:highlight w:val="none"/>
              </w:rPr>
              <w:t>2021年度慈溪市环杭州湾创新中心**室辅勤采购项目</w:t>
            </w:r>
          </w:p>
        </w:tc>
        <w:tc>
          <w:tcPr>
            <w:tcW w:w="1987" w:type="dxa"/>
            <w:noWrap w:val="0"/>
            <w:vAlign w:val="top"/>
          </w:tcPr>
          <w:p>
            <w:pPr>
              <w:spacing w:line="540" w:lineRule="exact"/>
              <w:rPr>
                <w:rFonts w:hint="eastAsia" w:ascii="宋体" w:hAnsi="宋体" w:cs="宋体"/>
                <w:color w:val="auto"/>
                <w:szCs w:val="21"/>
                <w:highlight w:val="none"/>
              </w:rPr>
            </w:pPr>
          </w:p>
        </w:tc>
        <w:tc>
          <w:tcPr>
            <w:tcW w:w="2440" w:type="dxa"/>
            <w:noWrap w:val="0"/>
            <w:vAlign w:val="center"/>
          </w:tcPr>
          <w:p>
            <w:pPr>
              <w:spacing w:line="540" w:lineRule="exact"/>
              <w:rPr>
                <w:rFonts w:hint="eastAsia" w:ascii="宋体" w:hAnsi="宋体" w:cs="宋体"/>
                <w:color w:val="auto"/>
                <w:szCs w:val="21"/>
                <w:highlight w:val="none"/>
              </w:rPr>
            </w:pPr>
          </w:p>
        </w:tc>
      </w:tr>
    </w:tbl>
    <w:p>
      <w:pPr>
        <w:spacing w:line="540" w:lineRule="exact"/>
        <w:ind w:left="539" w:firstLine="420"/>
        <w:rPr>
          <w:rFonts w:hint="eastAsia" w:ascii="宋体" w:hAnsi="宋体" w:cs="宋体"/>
          <w:color w:val="auto"/>
          <w:szCs w:val="21"/>
          <w:highlight w:val="none"/>
        </w:rPr>
      </w:pPr>
      <w:r>
        <w:rPr>
          <w:rFonts w:hint="eastAsia" w:ascii="宋体" w:hAnsi="宋体" w:cs="宋体"/>
          <w:color w:val="auto"/>
          <w:szCs w:val="21"/>
          <w:highlight w:val="none"/>
        </w:rPr>
        <w:t>备注： 公开招标实行一次性报价，投标价即为最终有效价。</w:t>
      </w:r>
    </w:p>
    <w:p>
      <w:pPr>
        <w:spacing w:line="540" w:lineRule="exact"/>
        <w:ind w:left="539" w:firstLine="420"/>
        <w:rPr>
          <w:rFonts w:hint="eastAsia" w:ascii="宋体" w:hAnsi="宋体" w:cs="宋体"/>
          <w:color w:val="auto"/>
          <w:szCs w:val="21"/>
          <w:highlight w:val="none"/>
        </w:rPr>
      </w:pPr>
    </w:p>
    <w:p>
      <w:pPr>
        <w:spacing w:line="500" w:lineRule="exact"/>
        <w:ind w:left="170" w:firstLine="1680" w:firstLineChars="800"/>
        <w:jc w:val="right"/>
        <w:rPr>
          <w:rFonts w:hint="eastAsia" w:ascii="宋体" w:hAnsi="宋体" w:cs="宋体"/>
          <w:color w:val="auto"/>
          <w:szCs w:val="21"/>
          <w:highlight w:val="none"/>
        </w:rPr>
      </w:pPr>
    </w:p>
    <w:p>
      <w:pPr>
        <w:spacing w:line="520" w:lineRule="exact"/>
        <w:ind w:firstLine="3360" w:firstLineChars="1600"/>
        <w:jc w:val="right"/>
        <w:rPr>
          <w:rFonts w:hint="eastAsia" w:ascii="宋体" w:hAnsi="宋体" w:cs="宋体"/>
          <w:color w:val="auto"/>
          <w:szCs w:val="21"/>
          <w:highlight w:val="none"/>
        </w:rPr>
      </w:pPr>
      <w:bookmarkStart w:id="42" w:name="_Toc23264_WPSOffice_Level1"/>
      <w:bookmarkStart w:id="43" w:name="_Toc8595_WPSOffice_Level1"/>
      <w:bookmarkStart w:id="44" w:name="_Toc32724_WPSOffice_Level1"/>
      <w:bookmarkStart w:id="45" w:name="_Toc2531_WPSOffice_Level1"/>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jc w:val="center"/>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rPr>
        <w:br w:type="page"/>
      </w:r>
      <w:r>
        <w:rPr>
          <w:rFonts w:hint="eastAsia" w:ascii="宋体" w:hAnsi="宋体" w:cs="宋体"/>
          <w:b/>
          <w:color w:val="auto"/>
          <w:sz w:val="28"/>
          <w:szCs w:val="28"/>
          <w:highlight w:val="none"/>
        </w:rPr>
        <w:t>（2）投标报价明细表</w:t>
      </w:r>
      <w:bookmarkEnd w:id="42"/>
      <w:bookmarkEnd w:id="43"/>
      <w:r>
        <w:rPr>
          <w:rFonts w:hint="eastAsia" w:ascii="宋体" w:hAnsi="宋体" w:cs="宋体"/>
          <w:b/>
          <w:color w:val="auto"/>
          <w:sz w:val="28"/>
          <w:szCs w:val="28"/>
          <w:highlight w:val="none"/>
          <w:lang w:eastAsia="zh-CN"/>
        </w:rPr>
        <w:t>一</w:t>
      </w:r>
    </w:p>
    <w:p>
      <w:pPr>
        <w:pStyle w:val="2"/>
        <w:ind w:firstLine="0"/>
        <w:rPr>
          <w:rFonts w:hint="eastAsia" w:ascii="宋体" w:hAnsi="宋体" w:cs="宋体"/>
          <w:color w:val="auto"/>
          <w:highlight w:val="none"/>
        </w:rPr>
      </w:pPr>
    </w:p>
    <w:p>
      <w:pPr>
        <w:adjustRightInd w:val="0"/>
        <w:snapToGrid w:val="0"/>
        <w:spacing w:after="120" w:afterLines="50"/>
        <w:ind w:firstLine="210" w:firstLineChars="100"/>
        <w:rPr>
          <w:rFonts w:hint="eastAsia" w:ascii="宋体" w:hAnsi="宋体" w:cs="宋体"/>
          <w:color w:val="auto"/>
          <w:szCs w:val="21"/>
          <w:highlight w:val="none"/>
          <w:u w:val="single"/>
        </w:rPr>
      </w:pPr>
      <w:r>
        <w:rPr>
          <w:rFonts w:hint="eastAsia" w:ascii="宋体" w:hAnsi="宋体" w:cs="宋体"/>
          <w:color w:val="auto"/>
          <w:kern w:val="0"/>
          <w:szCs w:val="21"/>
          <w:highlight w:val="none"/>
        </w:rPr>
        <w:t>项目名称：</w:t>
      </w:r>
      <w:r>
        <w:rPr>
          <w:rFonts w:hint="eastAsia" w:ascii="宋体" w:hAnsi="宋体" w:cs="宋体"/>
          <w:color w:val="auto"/>
          <w:kern w:val="0"/>
          <w:szCs w:val="21"/>
          <w:highlight w:val="none"/>
          <w:u w:val="single"/>
        </w:rPr>
        <w:t>2021年度慈溪市环杭州湾创新中心**室辅勤采购项目</w:t>
      </w:r>
    </w:p>
    <w:p>
      <w:pPr>
        <w:adjustRightInd w:val="0"/>
        <w:snapToGrid w:val="0"/>
        <w:spacing w:after="120" w:afterLines="50"/>
        <w:ind w:firstLine="210" w:firstLineChars="100"/>
        <w:rPr>
          <w:rFonts w:hint="eastAsia" w:ascii="宋体" w:hAnsi="宋体" w:cs="宋体"/>
          <w:b/>
          <w:color w:val="auto"/>
          <w:spacing w:val="20"/>
          <w:szCs w:val="21"/>
          <w:highlight w:val="none"/>
        </w:rPr>
      </w:pPr>
      <w:r>
        <w:rPr>
          <w:rFonts w:hint="eastAsia" w:ascii="宋体" w:hAnsi="宋体" w:cs="宋体"/>
          <w:color w:val="auto"/>
          <w:kern w:val="0"/>
          <w:szCs w:val="21"/>
          <w:highlight w:val="none"/>
        </w:rPr>
        <w:t>项目编号：</w:t>
      </w:r>
    </w:p>
    <w:tbl>
      <w:tblPr>
        <w:tblStyle w:val="17"/>
        <w:tblW w:w="10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744"/>
        <w:gridCol w:w="1278"/>
        <w:gridCol w:w="861"/>
        <w:gridCol w:w="792"/>
        <w:gridCol w:w="1236"/>
        <w:gridCol w:w="1589"/>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7" w:type="dxa"/>
            <w:noWrap w:val="0"/>
            <w:vAlign w:val="center"/>
          </w:tcPr>
          <w:p>
            <w:pPr>
              <w:rPr>
                <w:rFonts w:hint="eastAsia" w:ascii="宋体" w:hAnsi="宋体" w:cs="宋体"/>
                <w:color w:val="auto"/>
                <w:highlight w:val="none"/>
              </w:rPr>
            </w:pPr>
            <w:r>
              <w:rPr>
                <w:rFonts w:hint="eastAsia" w:ascii="宋体" w:hAnsi="宋体" w:cs="宋体"/>
                <w:color w:val="auto"/>
                <w:highlight w:val="none"/>
              </w:rPr>
              <w:t>序号</w:t>
            </w:r>
          </w:p>
        </w:tc>
        <w:tc>
          <w:tcPr>
            <w:tcW w:w="2022" w:type="dxa"/>
            <w:gridSpan w:val="2"/>
            <w:noWrap w:val="0"/>
            <w:vAlign w:val="center"/>
          </w:tcPr>
          <w:p>
            <w:pPr>
              <w:ind w:left="420"/>
              <w:rPr>
                <w:rFonts w:hint="eastAsia" w:ascii="宋体" w:hAnsi="宋体" w:cs="宋体"/>
                <w:color w:val="auto"/>
                <w:highlight w:val="none"/>
              </w:rPr>
            </w:pPr>
            <w:r>
              <w:rPr>
                <w:rFonts w:hint="eastAsia" w:ascii="宋体" w:hAnsi="宋体" w:cs="宋体"/>
                <w:color w:val="auto"/>
                <w:highlight w:val="none"/>
              </w:rPr>
              <w:t>名  称</w:t>
            </w:r>
          </w:p>
        </w:tc>
        <w:tc>
          <w:tcPr>
            <w:tcW w:w="861"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单位</w:t>
            </w:r>
          </w:p>
        </w:tc>
        <w:tc>
          <w:tcPr>
            <w:tcW w:w="792"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数量</w:t>
            </w:r>
          </w:p>
        </w:tc>
        <w:tc>
          <w:tcPr>
            <w:tcW w:w="1236" w:type="dxa"/>
            <w:noWrap w:val="0"/>
            <w:vAlign w:val="center"/>
          </w:tcPr>
          <w:p>
            <w:pPr>
              <w:rPr>
                <w:rFonts w:hint="eastAsia" w:ascii="宋体" w:hAnsi="宋体" w:cs="宋体"/>
                <w:color w:val="auto"/>
                <w:highlight w:val="none"/>
              </w:rPr>
            </w:pPr>
            <w:r>
              <w:rPr>
                <w:rFonts w:hint="eastAsia" w:ascii="宋体" w:hAnsi="宋体" w:cs="宋体"/>
                <w:color w:val="auto"/>
                <w:highlight w:val="none"/>
              </w:rPr>
              <w:t>单价（元）</w:t>
            </w:r>
          </w:p>
        </w:tc>
        <w:tc>
          <w:tcPr>
            <w:tcW w:w="1589" w:type="dxa"/>
            <w:noWrap w:val="0"/>
            <w:vAlign w:val="center"/>
          </w:tcPr>
          <w:p>
            <w:pPr>
              <w:rPr>
                <w:rFonts w:hint="eastAsia" w:ascii="宋体" w:hAnsi="宋体" w:cs="宋体"/>
                <w:color w:val="auto"/>
                <w:highlight w:val="none"/>
              </w:rPr>
            </w:pPr>
            <w:r>
              <w:rPr>
                <w:rFonts w:hint="eastAsia" w:ascii="宋体" w:hAnsi="宋体" w:cs="宋体"/>
                <w:color w:val="auto"/>
                <w:highlight w:val="none"/>
              </w:rPr>
              <w:t>合价（元）</w:t>
            </w:r>
          </w:p>
        </w:tc>
        <w:tc>
          <w:tcPr>
            <w:tcW w:w="1536" w:type="dxa"/>
            <w:noWrap w:val="0"/>
            <w:vAlign w:val="center"/>
          </w:tcPr>
          <w:p>
            <w:pPr>
              <w:ind w:left="420"/>
              <w:rPr>
                <w:rFonts w:hint="eastAsia" w:ascii="宋体" w:hAnsi="宋体" w:cs="宋体"/>
                <w:color w:val="auto"/>
                <w:highlight w:val="none"/>
              </w:rPr>
            </w:pPr>
            <w:r>
              <w:rPr>
                <w:rFonts w:hint="eastAsia" w:ascii="宋体" w:hAnsi="宋体" w:cs="宋体"/>
                <w:color w:val="auto"/>
                <w:highlight w:val="none"/>
              </w:rPr>
              <w:t>备注</w:t>
            </w:r>
          </w:p>
        </w:tc>
        <w:tc>
          <w:tcPr>
            <w:tcW w:w="1536" w:type="dxa"/>
            <w:noWrap w:val="0"/>
            <w:vAlign w:val="center"/>
          </w:tcPr>
          <w:p>
            <w:pP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87" w:type="dxa"/>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1</w:t>
            </w:r>
          </w:p>
        </w:tc>
        <w:tc>
          <w:tcPr>
            <w:tcW w:w="2022" w:type="dxa"/>
            <w:gridSpan w:val="2"/>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人员费用（含工资、社保、公积金、福利、差旅费等人工涉及的费用）</w:t>
            </w:r>
          </w:p>
        </w:tc>
        <w:tc>
          <w:tcPr>
            <w:tcW w:w="861" w:type="dxa"/>
            <w:shd w:val="clear" w:color="FFFFFF" w:fill="auto"/>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人</w:t>
            </w:r>
          </w:p>
        </w:tc>
        <w:tc>
          <w:tcPr>
            <w:tcW w:w="792" w:type="dxa"/>
            <w:shd w:val="clear" w:color="FFFFFF" w:fill="auto"/>
            <w:noWrap w:val="0"/>
            <w:vAlign w:val="center"/>
          </w:tcPr>
          <w:p>
            <w:pPr>
              <w:jc w:val="center"/>
              <w:rPr>
                <w:rFonts w:hint="eastAsia" w:ascii="宋体" w:hAnsi="宋体" w:cs="宋体"/>
                <w:color w:val="auto"/>
                <w:szCs w:val="22"/>
                <w:highlight w:val="none"/>
              </w:rPr>
            </w:pPr>
            <w:r>
              <w:rPr>
                <w:rFonts w:hint="eastAsia" w:ascii="宋体" w:hAnsi="宋体" w:cs="宋体"/>
                <w:color w:val="auto"/>
                <w:szCs w:val="22"/>
                <w:highlight w:val="none"/>
              </w:rPr>
              <w:t>21</w:t>
            </w:r>
          </w:p>
        </w:tc>
        <w:tc>
          <w:tcPr>
            <w:tcW w:w="1236" w:type="dxa"/>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589" w:type="dxa"/>
            <w:noWrap w:val="0"/>
            <w:vAlign w:val="center"/>
          </w:tcPr>
          <w:p>
            <w:pPr>
              <w:ind w:left="420"/>
              <w:rPr>
                <w:rFonts w:hint="eastAsia" w:ascii="宋体" w:hAnsi="宋体" w:cs="宋体"/>
                <w:color w:val="auto"/>
                <w:highlight w:val="none"/>
              </w:rPr>
            </w:pPr>
          </w:p>
        </w:tc>
        <w:tc>
          <w:tcPr>
            <w:tcW w:w="1536" w:type="dxa"/>
            <w:noWrap w:val="0"/>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lang w:eastAsia="zh-CN"/>
              </w:rPr>
              <w:t>按《</w:t>
            </w:r>
            <w:r>
              <w:rPr>
                <w:rFonts w:hint="eastAsia" w:ascii="宋体" w:hAnsi="宋体" w:eastAsia="宋体" w:cs="宋体"/>
                <w:color w:val="auto"/>
                <w:highlight w:val="none"/>
                <w:lang w:eastAsia="zh-CN"/>
              </w:rPr>
              <w:t>投标报价明细表</w:t>
            </w:r>
            <w:r>
              <w:rPr>
                <w:rFonts w:hint="eastAsia" w:ascii="宋体" w:hAnsi="宋体" w:cs="宋体"/>
                <w:color w:val="auto"/>
                <w:highlight w:val="none"/>
                <w:lang w:eastAsia="zh-CN"/>
              </w:rPr>
              <w:t>二（人员费用）》的总价填报。</w:t>
            </w:r>
          </w:p>
        </w:tc>
        <w:tc>
          <w:tcPr>
            <w:tcW w:w="1536" w:type="dxa"/>
            <w:vMerge w:val="restart"/>
            <w:noWrap w:val="0"/>
            <w:vAlign w:val="center"/>
          </w:tcPr>
          <w:p>
            <w:pPr>
              <w:rPr>
                <w:rFonts w:hint="default" w:ascii="宋体" w:hAnsi="宋体" w:cs="宋体"/>
                <w:color w:val="auto"/>
                <w:highlight w:val="none"/>
                <w:lang w:val="en-US" w:eastAsia="zh-CN"/>
              </w:rPr>
            </w:pPr>
            <w:r>
              <w:rPr>
                <w:rFonts w:hint="eastAsia" w:ascii="宋体" w:hAnsi="宋体" w:cs="宋体"/>
                <w:b/>
                <w:bCs/>
                <w:color w:val="auto"/>
                <w:highlight w:val="none"/>
                <w:lang w:val="en-US" w:eastAsia="zh-CN"/>
              </w:rPr>
              <w:t>1、2、3项合计费用最高限价为人民币1635107元。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7" w:type="dxa"/>
            <w:shd w:val="clear" w:color="FFFFFF" w:fill="auto"/>
            <w:noWrap w:val="0"/>
            <w:vAlign w:val="center"/>
          </w:tcPr>
          <w:p>
            <w:pPr>
              <w:rPr>
                <w:rFonts w:hint="eastAsia" w:ascii="宋体" w:hAnsi="宋体" w:cs="宋体"/>
                <w:color w:val="auto"/>
                <w:highlight w:val="none"/>
              </w:rPr>
            </w:pPr>
            <w:r>
              <w:rPr>
                <w:rFonts w:hint="eastAsia" w:ascii="宋体" w:hAnsi="宋体" w:cs="宋体"/>
                <w:color w:val="auto"/>
                <w:szCs w:val="22"/>
                <w:highlight w:val="none"/>
              </w:rPr>
              <w:t>▲</w:t>
            </w:r>
            <w:r>
              <w:rPr>
                <w:rFonts w:hint="eastAsia" w:ascii="宋体" w:hAnsi="宋体" w:cs="宋体"/>
                <w:color w:val="auto"/>
                <w:highlight w:val="none"/>
              </w:rPr>
              <w:t>2</w:t>
            </w:r>
          </w:p>
        </w:tc>
        <w:tc>
          <w:tcPr>
            <w:tcW w:w="2022" w:type="dxa"/>
            <w:gridSpan w:val="2"/>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办公经费</w:t>
            </w:r>
          </w:p>
        </w:tc>
        <w:tc>
          <w:tcPr>
            <w:tcW w:w="861" w:type="dxa"/>
            <w:shd w:val="clear" w:color="FFFFFF" w:fill="auto"/>
            <w:noWrap w:val="0"/>
            <w:vAlign w:val="center"/>
          </w:tcPr>
          <w:p>
            <w:pPr>
              <w:jc w:val="center"/>
              <w:rPr>
                <w:rFonts w:hint="eastAsia" w:ascii="宋体" w:hAnsi="宋体" w:cs="宋体"/>
                <w:color w:val="auto"/>
                <w:szCs w:val="22"/>
                <w:highlight w:val="none"/>
              </w:rPr>
            </w:pPr>
            <w:r>
              <w:rPr>
                <w:rFonts w:hint="eastAsia" w:ascii="宋体" w:hAnsi="宋体" w:cs="宋体"/>
                <w:color w:val="auto"/>
                <w:szCs w:val="22"/>
                <w:highlight w:val="none"/>
              </w:rPr>
              <w:t>年</w:t>
            </w:r>
          </w:p>
        </w:tc>
        <w:tc>
          <w:tcPr>
            <w:tcW w:w="792" w:type="dxa"/>
            <w:shd w:val="clear" w:color="FFFFFF" w:fill="auto"/>
            <w:noWrap w:val="0"/>
            <w:vAlign w:val="center"/>
          </w:tcPr>
          <w:p>
            <w:pPr>
              <w:jc w:val="center"/>
              <w:rPr>
                <w:rFonts w:hint="eastAsia" w:ascii="宋体" w:hAnsi="宋体" w:cs="宋体"/>
                <w:color w:val="auto"/>
                <w:szCs w:val="22"/>
                <w:highlight w:val="none"/>
              </w:rPr>
            </w:pPr>
            <w:r>
              <w:rPr>
                <w:rFonts w:hint="eastAsia" w:ascii="宋体" w:hAnsi="宋体" w:cs="宋体"/>
                <w:color w:val="auto"/>
                <w:szCs w:val="22"/>
                <w:highlight w:val="none"/>
              </w:rPr>
              <w:t>1</w:t>
            </w:r>
          </w:p>
        </w:tc>
        <w:tc>
          <w:tcPr>
            <w:tcW w:w="1236" w:type="dxa"/>
            <w:noWrap w:val="0"/>
            <w:vAlign w:val="center"/>
          </w:tcPr>
          <w:p>
            <w:pPr>
              <w:jc w:val="center"/>
              <w:rPr>
                <w:rFonts w:hint="eastAsia" w:ascii="宋体" w:hAnsi="宋体" w:cs="宋体"/>
                <w:color w:val="auto"/>
                <w:szCs w:val="22"/>
                <w:highlight w:val="none"/>
              </w:rPr>
            </w:pPr>
            <w:r>
              <w:rPr>
                <w:rFonts w:hint="eastAsia" w:ascii="宋体" w:hAnsi="宋体" w:cs="宋体"/>
                <w:color w:val="auto"/>
                <w:szCs w:val="22"/>
                <w:highlight w:val="none"/>
              </w:rPr>
              <w:t>63000</w:t>
            </w:r>
          </w:p>
        </w:tc>
        <w:tc>
          <w:tcPr>
            <w:tcW w:w="1589" w:type="dxa"/>
            <w:noWrap w:val="0"/>
            <w:vAlign w:val="center"/>
          </w:tcPr>
          <w:p>
            <w:pPr>
              <w:jc w:val="center"/>
              <w:rPr>
                <w:rFonts w:hint="eastAsia" w:ascii="宋体" w:hAnsi="宋体" w:cs="宋体"/>
                <w:color w:val="auto"/>
                <w:szCs w:val="22"/>
                <w:highlight w:val="none"/>
              </w:rPr>
            </w:pPr>
            <w:r>
              <w:rPr>
                <w:rFonts w:hint="eastAsia" w:ascii="宋体" w:hAnsi="宋体" w:cs="宋体"/>
                <w:color w:val="auto"/>
                <w:szCs w:val="22"/>
                <w:highlight w:val="none"/>
              </w:rPr>
              <w:t>63000</w:t>
            </w:r>
          </w:p>
        </w:tc>
        <w:tc>
          <w:tcPr>
            <w:tcW w:w="1536" w:type="dxa"/>
            <w:noWrap w:val="0"/>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rPr>
              <w:t>暂</w:t>
            </w:r>
            <w:r>
              <w:rPr>
                <w:rFonts w:hint="eastAsia" w:ascii="宋体" w:hAnsi="宋体" w:cs="宋体"/>
                <w:color w:val="auto"/>
                <w:szCs w:val="22"/>
                <w:highlight w:val="none"/>
              </w:rPr>
              <w:t>定费用，不可更改报价，最终按实际支出结算，最多不得超过63000元</w:t>
            </w:r>
            <w:r>
              <w:rPr>
                <w:rFonts w:hint="eastAsia" w:ascii="宋体" w:hAnsi="宋体" w:cs="宋体"/>
                <w:color w:val="auto"/>
                <w:szCs w:val="22"/>
                <w:highlight w:val="none"/>
                <w:lang w:eastAsia="zh-CN"/>
              </w:rPr>
              <w:t>。</w:t>
            </w:r>
          </w:p>
        </w:tc>
        <w:tc>
          <w:tcPr>
            <w:tcW w:w="1536" w:type="dxa"/>
            <w:vMerge w:val="continue"/>
            <w:noWrap w:val="0"/>
            <w:vAlign w:val="center"/>
          </w:tcPr>
          <w:p>
            <w:pP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687" w:type="dxa"/>
            <w:vMerge w:val="restart"/>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3</w:t>
            </w:r>
          </w:p>
        </w:tc>
        <w:tc>
          <w:tcPr>
            <w:tcW w:w="744" w:type="dxa"/>
            <w:vMerge w:val="restart"/>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车辆</w:t>
            </w:r>
          </w:p>
        </w:tc>
        <w:tc>
          <w:tcPr>
            <w:tcW w:w="1278" w:type="dxa"/>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防爆运兵车（14座）</w:t>
            </w:r>
          </w:p>
        </w:tc>
        <w:tc>
          <w:tcPr>
            <w:tcW w:w="861" w:type="dxa"/>
            <w:shd w:val="clear" w:color="FFFFFF" w:fill="auto"/>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辆</w:t>
            </w:r>
          </w:p>
        </w:tc>
        <w:tc>
          <w:tcPr>
            <w:tcW w:w="792" w:type="dxa"/>
            <w:shd w:val="clear" w:color="FFFFFF" w:fill="auto"/>
            <w:noWrap w:val="0"/>
            <w:vAlign w:val="center"/>
          </w:tcPr>
          <w:p>
            <w:pPr>
              <w:jc w:val="center"/>
              <w:rPr>
                <w:rFonts w:hint="eastAsia" w:ascii="宋体" w:hAnsi="宋体" w:cs="宋体"/>
                <w:color w:val="auto"/>
                <w:szCs w:val="22"/>
                <w:highlight w:val="none"/>
              </w:rPr>
            </w:pPr>
            <w:r>
              <w:rPr>
                <w:rFonts w:hint="eastAsia" w:ascii="宋体" w:hAnsi="宋体" w:cs="宋体"/>
                <w:color w:val="auto"/>
                <w:szCs w:val="22"/>
                <w:highlight w:val="none"/>
              </w:rPr>
              <w:t>1</w:t>
            </w:r>
          </w:p>
        </w:tc>
        <w:tc>
          <w:tcPr>
            <w:tcW w:w="1236" w:type="dxa"/>
            <w:noWrap w:val="0"/>
            <w:vAlign w:val="center"/>
          </w:tcPr>
          <w:p>
            <w:pPr>
              <w:ind w:left="420"/>
              <w:rPr>
                <w:rFonts w:hint="eastAsia" w:ascii="宋体" w:hAnsi="宋体" w:cs="宋体"/>
                <w:color w:val="auto"/>
                <w:highlight w:val="none"/>
              </w:rPr>
            </w:pPr>
          </w:p>
        </w:tc>
        <w:tc>
          <w:tcPr>
            <w:tcW w:w="1589" w:type="dxa"/>
            <w:noWrap w:val="0"/>
            <w:vAlign w:val="center"/>
          </w:tcPr>
          <w:p>
            <w:pPr>
              <w:ind w:left="420"/>
              <w:rPr>
                <w:rFonts w:hint="eastAsia" w:ascii="宋体" w:hAnsi="宋体" w:cs="宋体"/>
                <w:color w:val="auto"/>
                <w:highlight w:val="none"/>
              </w:rPr>
            </w:pPr>
          </w:p>
        </w:tc>
        <w:tc>
          <w:tcPr>
            <w:tcW w:w="1536" w:type="dxa"/>
            <w:vMerge w:val="restart"/>
            <w:noWrap w:val="0"/>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rPr>
              <w:t>按年报价，所有费用一次性包干</w:t>
            </w:r>
            <w:r>
              <w:rPr>
                <w:rFonts w:hint="eastAsia" w:ascii="宋体" w:hAnsi="宋体" w:cs="宋体"/>
                <w:color w:val="auto"/>
                <w:highlight w:val="none"/>
                <w:lang w:eastAsia="zh-CN"/>
              </w:rPr>
              <w:t>。</w:t>
            </w:r>
          </w:p>
        </w:tc>
        <w:tc>
          <w:tcPr>
            <w:tcW w:w="1536" w:type="dxa"/>
            <w:vMerge w:val="continue"/>
            <w:noWrap w:val="0"/>
            <w:vAlign w:val="center"/>
          </w:tcPr>
          <w:p>
            <w:pP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687" w:type="dxa"/>
            <w:vMerge w:val="continue"/>
            <w:shd w:val="clear" w:color="FFFFFF" w:fill="auto"/>
            <w:noWrap w:val="0"/>
            <w:vAlign w:val="center"/>
          </w:tcPr>
          <w:p>
            <w:pPr>
              <w:ind w:left="420"/>
              <w:rPr>
                <w:rFonts w:hint="eastAsia" w:ascii="宋体" w:hAnsi="宋体" w:cs="宋体"/>
                <w:color w:val="auto"/>
                <w:highlight w:val="none"/>
              </w:rPr>
            </w:pPr>
          </w:p>
        </w:tc>
        <w:tc>
          <w:tcPr>
            <w:tcW w:w="744" w:type="dxa"/>
            <w:vMerge w:val="continue"/>
            <w:shd w:val="clear" w:color="FFFFFF" w:fill="auto"/>
            <w:noWrap w:val="0"/>
            <w:vAlign w:val="center"/>
          </w:tcPr>
          <w:p>
            <w:pPr>
              <w:ind w:left="420"/>
              <w:rPr>
                <w:rFonts w:hint="eastAsia" w:ascii="宋体" w:hAnsi="宋体" w:cs="宋体"/>
                <w:color w:val="auto"/>
                <w:highlight w:val="none"/>
              </w:rPr>
            </w:pPr>
          </w:p>
        </w:tc>
        <w:tc>
          <w:tcPr>
            <w:tcW w:w="1278" w:type="dxa"/>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电动汽车（5座三箱款式）</w:t>
            </w:r>
          </w:p>
        </w:tc>
        <w:tc>
          <w:tcPr>
            <w:tcW w:w="861" w:type="dxa"/>
            <w:shd w:val="clear" w:color="FFFFFF" w:fill="auto"/>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辆</w:t>
            </w:r>
          </w:p>
        </w:tc>
        <w:tc>
          <w:tcPr>
            <w:tcW w:w="792" w:type="dxa"/>
            <w:shd w:val="clear" w:color="FFFFFF" w:fill="auto"/>
            <w:noWrap w:val="0"/>
            <w:vAlign w:val="center"/>
          </w:tcPr>
          <w:p>
            <w:pPr>
              <w:jc w:val="center"/>
              <w:rPr>
                <w:rFonts w:hint="eastAsia" w:ascii="宋体" w:hAnsi="宋体" w:cs="宋体"/>
                <w:color w:val="auto"/>
                <w:szCs w:val="22"/>
                <w:highlight w:val="none"/>
              </w:rPr>
            </w:pPr>
            <w:r>
              <w:rPr>
                <w:rFonts w:hint="eastAsia" w:ascii="宋体" w:hAnsi="宋体" w:cs="宋体"/>
                <w:color w:val="auto"/>
                <w:szCs w:val="22"/>
                <w:highlight w:val="none"/>
              </w:rPr>
              <w:t>1</w:t>
            </w:r>
          </w:p>
        </w:tc>
        <w:tc>
          <w:tcPr>
            <w:tcW w:w="1236" w:type="dxa"/>
            <w:noWrap w:val="0"/>
            <w:vAlign w:val="center"/>
          </w:tcPr>
          <w:p>
            <w:pPr>
              <w:ind w:left="420"/>
              <w:rPr>
                <w:rFonts w:hint="eastAsia" w:ascii="宋体" w:hAnsi="宋体" w:cs="宋体"/>
                <w:color w:val="auto"/>
                <w:highlight w:val="none"/>
              </w:rPr>
            </w:pPr>
          </w:p>
        </w:tc>
        <w:tc>
          <w:tcPr>
            <w:tcW w:w="1589" w:type="dxa"/>
            <w:noWrap w:val="0"/>
            <w:vAlign w:val="center"/>
          </w:tcPr>
          <w:p>
            <w:pPr>
              <w:ind w:left="420"/>
              <w:rPr>
                <w:rFonts w:hint="eastAsia" w:ascii="宋体" w:hAnsi="宋体" w:cs="宋体"/>
                <w:color w:val="auto"/>
                <w:highlight w:val="none"/>
              </w:rPr>
            </w:pPr>
          </w:p>
        </w:tc>
        <w:tc>
          <w:tcPr>
            <w:tcW w:w="1536" w:type="dxa"/>
            <w:vMerge w:val="continue"/>
            <w:noWrap w:val="0"/>
            <w:vAlign w:val="center"/>
          </w:tcPr>
          <w:p>
            <w:pPr>
              <w:ind w:left="420"/>
              <w:rPr>
                <w:rFonts w:hint="eastAsia" w:ascii="宋体" w:hAnsi="宋体" w:cs="宋体"/>
                <w:color w:val="auto"/>
                <w:highlight w:val="none"/>
              </w:rPr>
            </w:pPr>
          </w:p>
        </w:tc>
        <w:tc>
          <w:tcPr>
            <w:tcW w:w="1536" w:type="dxa"/>
            <w:vMerge w:val="continue"/>
            <w:noWrap w:val="0"/>
            <w:vAlign w:val="center"/>
          </w:tcPr>
          <w:p>
            <w:pPr>
              <w:ind w:left="420"/>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687" w:type="dxa"/>
            <w:vMerge w:val="continue"/>
            <w:shd w:val="clear" w:color="FFFFFF" w:fill="auto"/>
            <w:noWrap w:val="0"/>
            <w:vAlign w:val="center"/>
          </w:tcPr>
          <w:p>
            <w:pPr>
              <w:ind w:left="420"/>
              <w:rPr>
                <w:rFonts w:hint="eastAsia" w:ascii="宋体" w:hAnsi="宋体" w:cs="宋体"/>
                <w:color w:val="auto"/>
                <w:highlight w:val="none"/>
              </w:rPr>
            </w:pPr>
          </w:p>
        </w:tc>
        <w:tc>
          <w:tcPr>
            <w:tcW w:w="744" w:type="dxa"/>
            <w:vMerge w:val="continue"/>
            <w:shd w:val="clear" w:color="FFFFFF" w:fill="auto"/>
            <w:noWrap w:val="0"/>
            <w:vAlign w:val="center"/>
          </w:tcPr>
          <w:p>
            <w:pPr>
              <w:ind w:left="420"/>
              <w:rPr>
                <w:rFonts w:hint="eastAsia" w:ascii="宋体" w:hAnsi="宋体" w:cs="宋体"/>
                <w:color w:val="auto"/>
                <w:highlight w:val="none"/>
              </w:rPr>
            </w:pPr>
          </w:p>
        </w:tc>
        <w:tc>
          <w:tcPr>
            <w:tcW w:w="1278" w:type="dxa"/>
            <w:shd w:val="clear" w:color="FFFFFF" w:fill="auto"/>
            <w:noWrap w:val="0"/>
            <w:vAlign w:val="center"/>
          </w:tcPr>
          <w:p>
            <w:pPr>
              <w:rPr>
                <w:rFonts w:hint="eastAsia" w:ascii="宋体" w:hAnsi="宋体" w:cs="宋体"/>
                <w:color w:val="auto"/>
                <w:highlight w:val="none"/>
              </w:rPr>
            </w:pPr>
            <w:r>
              <w:rPr>
                <w:rFonts w:hint="eastAsia" w:ascii="宋体" w:hAnsi="宋体" w:eastAsia="宋体" w:cs="宋体"/>
                <w:color w:val="auto"/>
                <w:sz w:val="21"/>
                <w:szCs w:val="21"/>
                <w:highlight w:val="none"/>
                <w:lang w:val="en-US" w:eastAsia="zh-CN"/>
              </w:rPr>
              <w:t>两轮电动车</w:t>
            </w:r>
          </w:p>
        </w:tc>
        <w:tc>
          <w:tcPr>
            <w:tcW w:w="861" w:type="dxa"/>
            <w:shd w:val="clear" w:color="FFFFFF" w:fill="auto"/>
            <w:noWrap w:val="0"/>
            <w:vAlign w:val="center"/>
          </w:tcPr>
          <w:p>
            <w:pPr>
              <w:jc w:val="center"/>
              <w:rPr>
                <w:rFonts w:hint="eastAsia" w:ascii="宋体" w:hAnsi="宋体" w:cs="宋体"/>
                <w:color w:val="auto"/>
                <w:kern w:val="2"/>
                <w:sz w:val="21"/>
                <w:highlight w:val="none"/>
                <w:lang w:val="en-US" w:eastAsia="zh-CN" w:bidi="ar-SA"/>
              </w:rPr>
            </w:pPr>
            <w:r>
              <w:rPr>
                <w:rFonts w:hint="eastAsia" w:ascii="宋体" w:hAnsi="宋体" w:cs="宋体"/>
                <w:color w:val="auto"/>
                <w:highlight w:val="none"/>
              </w:rPr>
              <w:t>辆</w:t>
            </w:r>
          </w:p>
        </w:tc>
        <w:tc>
          <w:tcPr>
            <w:tcW w:w="792" w:type="dxa"/>
            <w:shd w:val="clear" w:color="FFFFFF" w:fill="auto"/>
            <w:noWrap w:val="0"/>
            <w:vAlign w:val="center"/>
          </w:tcPr>
          <w:p>
            <w:pPr>
              <w:jc w:val="center"/>
              <w:rPr>
                <w:rFonts w:hint="eastAsia" w:ascii="宋体" w:hAnsi="宋体" w:cs="宋体"/>
                <w:color w:val="auto"/>
                <w:kern w:val="2"/>
                <w:sz w:val="21"/>
                <w:szCs w:val="22"/>
                <w:highlight w:val="none"/>
                <w:lang w:val="en-US" w:eastAsia="zh-CN" w:bidi="ar-SA"/>
              </w:rPr>
            </w:pPr>
            <w:r>
              <w:rPr>
                <w:rFonts w:hint="eastAsia" w:ascii="宋体" w:hAnsi="宋体" w:cs="宋体"/>
                <w:color w:val="auto"/>
                <w:szCs w:val="22"/>
                <w:highlight w:val="none"/>
                <w:lang w:val="en-US" w:eastAsia="zh-CN"/>
              </w:rPr>
              <w:t>16</w:t>
            </w:r>
          </w:p>
        </w:tc>
        <w:tc>
          <w:tcPr>
            <w:tcW w:w="1236" w:type="dxa"/>
            <w:noWrap w:val="0"/>
            <w:vAlign w:val="center"/>
          </w:tcPr>
          <w:p>
            <w:pPr>
              <w:ind w:left="420"/>
              <w:rPr>
                <w:rFonts w:hint="eastAsia" w:ascii="宋体" w:hAnsi="宋体" w:cs="宋体"/>
                <w:color w:val="auto"/>
                <w:highlight w:val="none"/>
              </w:rPr>
            </w:pPr>
          </w:p>
        </w:tc>
        <w:tc>
          <w:tcPr>
            <w:tcW w:w="1589" w:type="dxa"/>
            <w:noWrap w:val="0"/>
            <w:vAlign w:val="center"/>
          </w:tcPr>
          <w:p>
            <w:pPr>
              <w:ind w:left="420"/>
              <w:rPr>
                <w:rFonts w:hint="eastAsia" w:ascii="宋体" w:hAnsi="宋体" w:cs="宋体"/>
                <w:color w:val="auto"/>
                <w:highlight w:val="none"/>
              </w:rPr>
            </w:pPr>
          </w:p>
        </w:tc>
        <w:tc>
          <w:tcPr>
            <w:tcW w:w="1536" w:type="dxa"/>
            <w:vMerge w:val="continue"/>
            <w:noWrap w:val="0"/>
            <w:vAlign w:val="center"/>
          </w:tcPr>
          <w:p>
            <w:pPr>
              <w:ind w:left="420"/>
              <w:rPr>
                <w:rFonts w:hint="eastAsia" w:ascii="宋体" w:hAnsi="宋体" w:cs="宋体"/>
                <w:color w:val="auto"/>
                <w:highlight w:val="none"/>
              </w:rPr>
            </w:pPr>
          </w:p>
        </w:tc>
        <w:tc>
          <w:tcPr>
            <w:tcW w:w="1536" w:type="dxa"/>
            <w:vMerge w:val="continue"/>
            <w:noWrap w:val="0"/>
            <w:vAlign w:val="center"/>
          </w:tcPr>
          <w:p>
            <w:pPr>
              <w:ind w:left="420"/>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87" w:type="dxa"/>
            <w:vMerge w:val="restart"/>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4</w:t>
            </w:r>
          </w:p>
        </w:tc>
        <w:tc>
          <w:tcPr>
            <w:tcW w:w="744" w:type="dxa"/>
            <w:vMerge w:val="restart"/>
            <w:shd w:val="clear" w:color="FFFFFF" w:fill="auto"/>
            <w:noWrap w:val="0"/>
            <w:vAlign w:val="center"/>
          </w:tcPr>
          <w:p>
            <w:pPr>
              <w:keepNext w:val="0"/>
              <w:keepLines w:val="0"/>
              <w:widowControl/>
              <w:suppressLineNumbers w:val="0"/>
              <w:jc w:val="center"/>
              <w:textAlignment w:val="center"/>
              <w:rPr>
                <w:rFonts w:hint="eastAsia" w:ascii="宋体" w:hAnsi="宋体" w:cs="宋体"/>
                <w:color w:val="auto"/>
                <w:highlight w:val="none"/>
              </w:rPr>
            </w:pPr>
            <w:r>
              <w:rPr>
                <w:rFonts w:hint="eastAsia" w:ascii="宋体" w:hAnsi="宋体" w:eastAsia="宋体" w:cs="宋体"/>
                <w:i w:val="0"/>
                <w:color w:val="auto"/>
                <w:kern w:val="0"/>
                <w:sz w:val="24"/>
                <w:szCs w:val="24"/>
                <w:highlight w:val="none"/>
                <w:u w:val="none"/>
                <w:lang w:val="en-US" w:eastAsia="zh-CN" w:bidi="ar"/>
              </w:rPr>
              <w:t>设备装备</w:t>
            </w:r>
          </w:p>
        </w:tc>
        <w:tc>
          <w:tcPr>
            <w:tcW w:w="1278" w:type="dxa"/>
            <w:shd w:val="clear" w:color="FFFFFF" w:fill="auto"/>
            <w:noWrap w:val="0"/>
            <w:vAlign w:val="center"/>
          </w:tcPr>
          <w:p>
            <w:pPr>
              <w:keepNext w:val="0"/>
              <w:keepLines w:val="0"/>
              <w:widowControl/>
              <w:suppressLineNumbers w:val="0"/>
              <w:jc w:val="center"/>
              <w:textAlignment w:val="center"/>
              <w:rPr>
                <w:rFonts w:hint="eastAsia" w:ascii="宋体" w:hAnsi="宋体" w:cs="宋体"/>
                <w:color w:val="auto"/>
                <w:highlight w:val="none"/>
              </w:rPr>
            </w:pPr>
            <w:r>
              <w:rPr>
                <w:rFonts w:hint="eastAsia" w:ascii="宋体" w:hAnsi="宋体" w:eastAsia="宋体" w:cs="宋体"/>
                <w:i w:val="0"/>
                <w:color w:val="auto"/>
                <w:kern w:val="0"/>
                <w:sz w:val="24"/>
                <w:szCs w:val="24"/>
                <w:highlight w:val="none"/>
                <w:u w:val="none"/>
                <w:lang w:val="en-US" w:eastAsia="zh-CN" w:bidi="ar"/>
              </w:rPr>
              <w:t>对讲机</w:t>
            </w:r>
          </w:p>
        </w:tc>
        <w:tc>
          <w:tcPr>
            <w:tcW w:w="861" w:type="dxa"/>
            <w:shd w:val="clear" w:color="FFFFFF" w:fill="auto"/>
            <w:noWrap w:val="0"/>
            <w:vAlign w:val="center"/>
          </w:tcPr>
          <w:p>
            <w:pPr>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套</w:t>
            </w:r>
          </w:p>
        </w:tc>
        <w:tc>
          <w:tcPr>
            <w:tcW w:w="792" w:type="dxa"/>
            <w:shd w:val="clear" w:color="FFFFFF" w:fill="auto"/>
            <w:noWrap w:val="0"/>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29</w:t>
            </w:r>
          </w:p>
        </w:tc>
        <w:tc>
          <w:tcPr>
            <w:tcW w:w="1236" w:type="dxa"/>
            <w:noWrap w:val="0"/>
            <w:vAlign w:val="center"/>
          </w:tcPr>
          <w:p>
            <w:pPr>
              <w:ind w:left="420"/>
              <w:rPr>
                <w:rFonts w:hint="eastAsia" w:ascii="宋体" w:hAnsi="宋体" w:cs="宋体"/>
                <w:color w:val="auto"/>
                <w:highlight w:val="none"/>
              </w:rPr>
            </w:pPr>
          </w:p>
        </w:tc>
        <w:tc>
          <w:tcPr>
            <w:tcW w:w="1589" w:type="dxa"/>
            <w:noWrap w:val="0"/>
            <w:vAlign w:val="center"/>
          </w:tcPr>
          <w:p>
            <w:pPr>
              <w:ind w:left="420"/>
              <w:rPr>
                <w:rFonts w:hint="eastAsia" w:ascii="宋体" w:hAnsi="宋体" w:cs="宋体"/>
                <w:color w:val="auto"/>
                <w:highlight w:val="none"/>
              </w:rPr>
            </w:pPr>
          </w:p>
        </w:tc>
        <w:tc>
          <w:tcPr>
            <w:tcW w:w="1536" w:type="dxa"/>
            <w:vMerge w:val="restart"/>
            <w:noWrap w:val="0"/>
            <w:vAlign w:val="center"/>
          </w:tcPr>
          <w:p>
            <w:pP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按设备投入费用一次性报价，服务期满设备归采购人所有。</w:t>
            </w:r>
          </w:p>
        </w:tc>
        <w:tc>
          <w:tcPr>
            <w:tcW w:w="1536" w:type="dxa"/>
            <w:noWrap w:val="0"/>
            <w:vAlign w:val="center"/>
          </w:tcPr>
          <w:p>
            <w:pPr>
              <w:keepNext w:val="0"/>
              <w:keepLines w:val="0"/>
              <w:widowControl/>
              <w:suppressLineNumbers w:val="0"/>
              <w:jc w:val="center"/>
              <w:textAlignment w:val="center"/>
              <w:rPr>
                <w:rFonts w:hint="eastAsia" w:ascii="宋体" w:hAnsi="宋体" w:cs="宋体"/>
                <w:b/>
                <w:bCs/>
                <w:color w:val="auto"/>
                <w:highlight w:val="none"/>
              </w:rPr>
            </w:pPr>
            <w:r>
              <w:rPr>
                <w:rFonts w:hint="eastAsia" w:ascii="宋体" w:hAnsi="宋体" w:eastAsia="宋体" w:cs="宋体"/>
                <w:b/>
                <w:bCs/>
                <w:i w:val="0"/>
                <w:color w:val="auto"/>
                <w:kern w:val="0"/>
                <w:sz w:val="21"/>
                <w:szCs w:val="21"/>
                <w:highlight w:val="none"/>
                <w:u w:val="none"/>
                <w:lang w:val="en-US" w:eastAsia="zh-CN" w:bidi="ar"/>
              </w:rPr>
              <w:t>110200元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87" w:type="dxa"/>
            <w:vMerge w:val="continue"/>
            <w:shd w:val="clear" w:color="FFFFFF" w:fill="auto"/>
            <w:noWrap w:val="0"/>
            <w:vAlign w:val="center"/>
          </w:tcPr>
          <w:p>
            <w:pPr>
              <w:rPr>
                <w:rFonts w:hint="eastAsia" w:ascii="宋体" w:hAnsi="宋体" w:cs="宋体"/>
                <w:color w:val="auto"/>
                <w:highlight w:val="none"/>
              </w:rPr>
            </w:pPr>
          </w:p>
        </w:tc>
        <w:tc>
          <w:tcPr>
            <w:tcW w:w="744" w:type="dxa"/>
            <w:vMerge w:val="continue"/>
            <w:shd w:val="clear" w:color="FFFFFF" w:fill="auto"/>
            <w:noWrap w:val="0"/>
            <w:vAlign w:val="center"/>
          </w:tcPr>
          <w:p>
            <w:pPr>
              <w:jc w:val="center"/>
              <w:rPr>
                <w:rFonts w:hint="eastAsia" w:ascii="宋体" w:hAnsi="宋体" w:cs="宋体"/>
                <w:color w:val="auto"/>
                <w:highlight w:val="none"/>
              </w:rPr>
            </w:pPr>
          </w:p>
        </w:tc>
        <w:tc>
          <w:tcPr>
            <w:tcW w:w="1278" w:type="dxa"/>
            <w:shd w:val="clear" w:color="FFFFFF" w:fill="auto"/>
            <w:noWrap w:val="0"/>
            <w:vAlign w:val="center"/>
          </w:tcPr>
          <w:p>
            <w:pPr>
              <w:keepNext w:val="0"/>
              <w:keepLines w:val="0"/>
              <w:widowControl/>
              <w:suppressLineNumbers w:val="0"/>
              <w:jc w:val="center"/>
              <w:textAlignment w:val="center"/>
              <w:rPr>
                <w:rFonts w:hint="eastAsia" w:ascii="宋体" w:hAnsi="宋体" w:cs="宋体"/>
                <w:color w:val="auto"/>
                <w:highlight w:val="none"/>
              </w:rPr>
            </w:pPr>
            <w:r>
              <w:rPr>
                <w:rFonts w:hint="eastAsia" w:ascii="宋体" w:hAnsi="宋体" w:eastAsia="宋体" w:cs="宋体"/>
                <w:i w:val="0"/>
                <w:color w:val="auto"/>
                <w:kern w:val="0"/>
                <w:sz w:val="21"/>
                <w:szCs w:val="21"/>
                <w:highlight w:val="none"/>
                <w:u w:val="none"/>
                <w:lang w:val="en-US" w:eastAsia="zh-CN" w:bidi="ar"/>
              </w:rPr>
              <w:t>执法记录仪</w:t>
            </w:r>
          </w:p>
        </w:tc>
        <w:tc>
          <w:tcPr>
            <w:tcW w:w="861" w:type="dxa"/>
            <w:shd w:val="clear" w:color="FFFFFF" w:fill="auto"/>
            <w:noWrap w:val="0"/>
            <w:vAlign w:val="center"/>
          </w:tcPr>
          <w:p>
            <w:pPr>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套</w:t>
            </w:r>
          </w:p>
        </w:tc>
        <w:tc>
          <w:tcPr>
            <w:tcW w:w="792" w:type="dxa"/>
            <w:shd w:val="clear" w:color="FFFFFF" w:fill="auto"/>
            <w:noWrap w:val="0"/>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29</w:t>
            </w:r>
          </w:p>
        </w:tc>
        <w:tc>
          <w:tcPr>
            <w:tcW w:w="1236" w:type="dxa"/>
            <w:noWrap w:val="0"/>
            <w:vAlign w:val="center"/>
          </w:tcPr>
          <w:p>
            <w:pPr>
              <w:ind w:left="420"/>
              <w:rPr>
                <w:rFonts w:hint="eastAsia" w:ascii="宋体" w:hAnsi="宋体" w:cs="宋体"/>
                <w:color w:val="auto"/>
                <w:highlight w:val="none"/>
              </w:rPr>
            </w:pPr>
          </w:p>
        </w:tc>
        <w:tc>
          <w:tcPr>
            <w:tcW w:w="1589" w:type="dxa"/>
            <w:noWrap w:val="0"/>
            <w:vAlign w:val="center"/>
          </w:tcPr>
          <w:p>
            <w:pPr>
              <w:ind w:left="420"/>
              <w:rPr>
                <w:rFonts w:hint="eastAsia" w:ascii="宋体" w:hAnsi="宋体" w:cs="宋体"/>
                <w:color w:val="auto"/>
                <w:highlight w:val="none"/>
              </w:rPr>
            </w:pPr>
          </w:p>
        </w:tc>
        <w:tc>
          <w:tcPr>
            <w:tcW w:w="1536" w:type="dxa"/>
            <w:vMerge w:val="continue"/>
            <w:noWrap w:val="0"/>
            <w:vAlign w:val="center"/>
          </w:tcPr>
          <w:p>
            <w:pPr>
              <w:rPr>
                <w:rFonts w:hint="eastAsia" w:ascii="宋体" w:hAnsi="宋体" w:cs="宋体"/>
                <w:color w:val="auto"/>
                <w:highlight w:val="none"/>
              </w:rPr>
            </w:pPr>
          </w:p>
        </w:tc>
        <w:tc>
          <w:tcPr>
            <w:tcW w:w="1536" w:type="dxa"/>
            <w:noWrap w:val="0"/>
            <w:vAlign w:val="center"/>
          </w:tcPr>
          <w:p>
            <w:pPr>
              <w:keepNext w:val="0"/>
              <w:keepLines w:val="0"/>
              <w:widowControl/>
              <w:suppressLineNumbers w:val="0"/>
              <w:jc w:val="center"/>
              <w:textAlignment w:val="center"/>
              <w:rPr>
                <w:rFonts w:hint="eastAsia" w:ascii="宋体" w:hAnsi="宋体" w:cs="宋体"/>
                <w:b/>
                <w:bCs/>
                <w:color w:val="auto"/>
                <w:highlight w:val="none"/>
              </w:rPr>
            </w:pPr>
            <w:r>
              <w:rPr>
                <w:rFonts w:hint="eastAsia" w:ascii="宋体" w:hAnsi="宋体" w:eastAsia="宋体" w:cs="宋体"/>
                <w:b/>
                <w:bCs/>
                <w:i w:val="0"/>
                <w:color w:val="auto"/>
                <w:kern w:val="0"/>
                <w:sz w:val="21"/>
                <w:szCs w:val="21"/>
                <w:highlight w:val="none"/>
                <w:u w:val="none"/>
                <w:lang w:val="en-US" w:eastAsia="zh-CN" w:bidi="ar"/>
              </w:rPr>
              <w:t xml:space="preserve">81200元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687" w:type="dxa"/>
            <w:vMerge w:val="continue"/>
            <w:shd w:val="clear" w:color="FFFFFF" w:fill="auto"/>
            <w:noWrap w:val="0"/>
            <w:vAlign w:val="center"/>
          </w:tcPr>
          <w:p>
            <w:pPr>
              <w:rPr>
                <w:rFonts w:hint="eastAsia" w:ascii="宋体" w:hAnsi="宋体" w:cs="宋体"/>
                <w:color w:val="auto"/>
                <w:highlight w:val="none"/>
              </w:rPr>
            </w:pPr>
          </w:p>
        </w:tc>
        <w:tc>
          <w:tcPr>
            <w:tcW w:w="744" w:type="dxa"/>
            <w:vMerge w:val="continue"/>
            <w:shd w:val="clear" w:color="FFFFFF" w:fill="auto"/>
            <w:noWrap w:val="0"/>
            <w:vAlign w:val="center"/>
          </w:tcPr>
          <w:p>
            <w:pPr>
              <w:jc w:val="center"/>
              <w:rPr>
                <w:rFonts w:hint="eastAsia" w:ascii="宋体" w:hAnsi="宋体" w:cs="宋体"/>
                <w:color w:val="auto"/>
                <w:highlight w:val="none"/>
              </w:rPr>
            </w:pPr>
          </w:p>
        </w:tc>
        <w:tc>
          <w:tcPr>
            <w:tcW w:w="1278" w:type="dxa"/>
            <w:shd w:val="clear" w:color="FFFFFF" w:fill="auto"/>
            <w:noWrap w:val="0"/>
            <w:vAlign w:val="center"/>
          </w:tcPr>
          <w:p>
            <w:pPr>
              <w:keepNext w:val="0"/>
              <w:keepLines w:val="0"/>
              <w:widowControl/>
              <w:suppressLineNumbers w:val="0"/>
              <w:jc w:val="center"/>
              <w:textAlignment w:val="center"/>
              <w:rPr>
                <w:rFonts w:hint="eastAsia" w:ascii="宋体" w:hAnsi="宋体" w:cs="宋体"/>
                <w:color w:val="auto"/>
                <w:highlight w:val="none"/>
              </w:rPr>
            </w:pPr>
            <w:r>
              <w:rPr>
                <w:rFonts w:hint="eastAsia" w:ascii="宋体" w:hAnsi="宋体" w:eastAsia="宋体" w:cs="宋体"/>
                <w:i w:val="0"/>
                <w:color w:val="auto"/>
                <w:kern w:val="0"/>
                <w:sz w:val="21"/>
                <w:szCs w:val="21"/>
                <w:highlight w:val="none"/>
                <w:u w:val="none"/>
                <w:lang w:val="en-US" w:eastAsia="zh-CN" w:bidi="ar"/>
              </w:rPr>
              <w:t>执法记录仪流量费</w:t>
            </w:r>
          </w:p>
        </w:tc>
        <w:tc>
          <w:tcPr>
            <w:tcW w:w="861" w:type="dxa"/>
            <w:shd w:val="clear" w:color="FFFFFF" w:fill="auto"/>
            <w:noWrap w:val="0"/>
            <w:vAlign w:val="center"/>
          </w:tcPr>
          <w:p>
            <w:pPr>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套</w:t>
            </w:r>
          </w:p>
        </w:tc>
        <w:tc>
          <w:tcPr>
            <w:tcW w:w="792" w:type="dxa"/>
            <w:shd w:val="clear" w:color="FFFFFF" w:fill="auto"/>
            <w:noWrap w:val="0"/>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29</w:t>
            </w:r>
          </w:p>
        </w:tc>
        <w:tc>
          <w:tcPr>
            <w:tcW w:w="1236" w:type="dxa"/>
            <w:noWrap w:val="0"/>
            <w:vAlign w:val="center"/>
          </w:tcPr>
          <w:p>
            <w:pPr>
              <w:ind w:left="420"/>
              <w:rPr>
                <w:rFonts w:hint="eastAsia" w:ascii="宋体" w:hAnsi="宋体" w:cs="宋体"/>
                <w:color w:val="auto"/>
                <w:highlight w:val="none"/>
              </w:rPr>
            </w:pPr>
          </w:p>
        </w:tc>
        <w:tc>
          <w:tcPr>
            <w:tcW w:w="1589" w:type="dxa"/>
            <w:noWrap w:val="0"/>
            <w:vAlign w:val="center"/>
          </w:tcPr>
          <w:p>
            <w:pPr>
              <w:ind w:left="420"/>
              <w:rPr>
                <w:rFonts w:hint="eastAsia" w:ascii="宋体" w:hAnsi="宋体" w:cs="宋体"/>
                <w:color w:val="auto"/>
                <w:highlight w:val="none"/>
              </w:rPr>
            </w:pPr>
          </w:p>
        </w:tc>
        <w:tc>
          <w:tcPr>
            <w:tcW w:w="1536" w:type="dxa"/>
            <w:noWrap w:val="0"/>
            <w:vAlign w:val="center"/>
          </w:tcPr>
          <w:p>
            <w:pPr>
              <w:rPr>
                <w:rFonts w:hint="default" w:ascii="宋体" w:hAnsi="宋体" w:eastAsia="宋体" w:cs="宋体"/>
                <w:color w:val="auto"/>
                <w:highlight w:val="none"/>
                <w:lang w:val="en-US" w:eastAsia="zh-CN"/>
              </w:rPr>
            </w:pPr>
            <w:r>
              <w:rPr>
                <w:rFonts w:hint="eastAsia" w:ascii="宋体" w:hAnsi="宋体" w:cs="宋体"/>
                <w:color w:val="auto"/>
                <w:highlight w:val="none"/>
                <w:lang w:eastAsia="zh-CN"/>
              </w:rPr>
              <w:t>按一年费用报价。</w:t>
            </w:r>
          </w:p>
        </w:tc>
        <w:tc>
          <w:tcPr>
            <w:tcW w:w="1536" w:type="dxa"/>
            <w:noWrap w:val="0"/>
            <w:vAlign w:val="center"/>
          </w:tcPr>
          <w:p>
            <w:pPr>
              <w:keepNext w:val="0"/>
              <w:keepLines w:val="0"/>
              <w:widowControl/>
              <w:suppressLineNumbers w:val="0"/>
              <w:jc w:val="center"/>
              <w:textAlignment w:val="center"/>
              <w:rPr>
                <w:rFonts w:hint="eastAsia" w:ascii="宋体" w:hAnsi="宋体" w:cs="宋体"/>
                <w:b/>
                <w:bCs/>
                <w:color w:val="auto"/>
                <w:highlight w:val="none"/>
              </w:rPr>
            </w:pPr>
            <w:r>
              <w:rPr>
                <w:rFonts w:hint="eastAsia" w:ascii="宋体" w:hAnsi="宋体" w:eastAsia="宋体" w:cs="宋体"/>
                <w:b/>
                <w:bCs/>
                <w:i w:val="0"/>
                <w:color w:val="auto"/>
                <w:kern w:val="0"/>
                <w:sz w:val="21"/>
                <w:szCs w:val="21"/>
                <w:highlight w:val="none"/>
                <w:u w:val="none"/>
                <w:lang w:val="en-US" w:eastAsia="zh-CN" w:bidi="ar"/>
              </w:rPr>
              <w:t xml:space="preserve">5800元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7" w:type="dxa"/>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5</w:t>
            </w:r>
          </w:p>
        </w:tc>
        <w:tc>
          <w:tcPr>
            <w:tcW w:w="2022" w:type="dxa"/>
            <w:gridSpan w:val="2"/>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公司管理费</w:t>
            </w:r>
          </w:p>
        </w:tc>
        <w:tc>
          <w:tcPr>
            <w:tcW w:w="861" w:type="dxa"/>
            <w:shd w:val="clear" w:color="FFFFFF" w:fill="auto"/>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792" w:type="dxa"/>
            <w:shd w:val="clear" w:color="FFFFFF" w:fill="auto"/>
            <w:noWrap w:val="0"/>
            <w:vAlign w:val="center"/>
          </w:tcPr>
          <w:p>
            <w:pPr>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236" w:type="dxa"/>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589" w:type="dxa"/>
            <w:noWrap w:val="0"/>
            <w:vAlign w:val="center"/>
          </w:tcPr>
          <w:p>
            <w:pPr>
              <w:ind w:left="420"/>
              <w:rPr>
                <w:rFonts w:hint="eastAsia" w:ascii="宋体" w:hAnsi="宋体" w:cs="宋体"/>
                <w:color w:val="auto"/>
                <w:highlight w:val="none"/>
              </w:rPr>
            </w:pPr>
          </w:p>
        </w:tc>
        <w:tc>
          <w:tcPr>
            <w:tcW w:w="1536" w:type="dxa"/>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536" w:type="dxa"/>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7" w:type="dxa"/>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6</w:t>
            </w:r>
          </w:p>
        </w:tc>
        <w:tc>
          <w:tcPr>
            <w:tcW w:w="2022" w:type="dxa"/>
            <w:gridSpan w:val="2"/>
            <w:shd w:val="clear" w:color="FFFFFF" w:fill="auto"/>
            <w:noWrap w:val="0"/>
            <w:vAlign w:val="center"/>
          </w:tcPr>
          <w:p>
            <w:pPr>
              <w:rPr>
                <w:rFonts w:hint="eastAsia" w:ascii="宋体" w:hAnsi="宋体" w:cs="宋体"/>
                <w:color w:val="auto"/>
                <w:highlight w:val="none"/>
              </w:rPr>
            </w:pPr>
            <w:r>
              <w:rPr>
                <w:rFonts w:hint="eastAsia" w:ascii="宋体" w:hAnsi="宋体" w:cs="宋体"/>
                <w:color w:val="auto"/>
                <w:highlight w:val="none"/>
              </w:rPr>
              <w:t>税金</w:t>
            </w:r>
          </w:p>
        </w:tc>
        <w:tc>
          <w:tcPr>
            <w:tcW w:w="861" w:type="dxa"/>
            <w:shd w:val="clear" w:color="FFFFFF" w:fill="auto"/>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792" w:type="dxa"/>
            <w:shd w:val="clear" w:color="FFFFFF" w:fill="auto"/>
            <w:noWrap w:val="0"/>
            <w:vAlign w:val="center"/>
          </w:tcPr>
          <w:p>
            <w:pPr>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236" w:type="dxa"/>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589" w:type="dxa"/>
            <w:noWrap w:val="0"/>
            <w:vAlign w:val="center"/>
          </w:tcPr>
          <w:p>
            <w:pPr>
              <w:ind w:left="420"/>
              <w:rPr>
                <w:rFonts w:hint="eastAsia" w:ascii="宋体" w:hAnsi="宋体" w:cs="宋体"/>
                <w:color w:val="auto"/>
                <w:highlight w:val="none"/>
              </w:rPr>
            </w:pPr>
          </w:p>
        </w:tc>
        <w:tc>
          <w:tcPr>
            <w:tcW w:w="1536" w:type="dxa"/>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536" w:type="dxa"/>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598" w:type="dxa"/>
            <w:gridSpan w:val="6"/>
            <w:noWrap w:val="0"/>
            <w:vAlign w:val="center"/>
          </w:tcPr>
          <w:p>
            <w:pPr>
              <w:ind w:left="420"/>
              <w:rPr>
                <w:rFonts w:hint="eastAsia" w:ascii="宋体" w:hAnsi="宋体" w:eastAsia="宋体" w:cs="宋体"/>
                <w:color w:val="auto"/>
                <w:highlight w:val="none"/>
                <w:lang w:eastAsia="zh-CN"/>
              </w:rPr>
            </w:pPr>
            <w:r>
              <w:rPr>
                <w:rFonts w:hint="eastAsia" w:ascii="宋体" w:hAnsi="宋体" w:cs="宋体"/>
                <w:b/>
                <w:bCs/>
                <w:color w:val="auto"/>
                <w:highlight w:val="none"/>
              </w:rPr>
              <w:t>投标总价（元</w:t>
            </w:r>
            <w:r>
              <w:rPr>
                <w:rFonts w:hint="eastAsia" w:ascii="宋体" w:hAnsi="宋体" w:cs="宋体"/>
                <w:b/>
                <w:bCs/>
                <w:color w:val="auto"/>
                <w:highlight w:val="none"/>
                <w:lang w:eastAsia="zh-CN"/>
              </w:rPr>
              <w:t>）</w:t>
            </w:r>
          </w:p>
        </w:tc>
        <w:tc>
          <w:tcPr>
            <w:tcW w:w="1589" w:type="dxa"/>
            <w:noWrap w:val="0"/>
            <w:vAlign w:val="center"/>
          </w:tcPr>
          <w:p>
            <w:pPr>
              <w:ind w:left="420"/>
              <w:rPr>
                <w:rFonts w:hint="eastAsia" w:ascii="宋体" w:hAnsi="宋体" w:cs="宋体"/>
                <w:b/>
                <w:bCs/>
                <w:color w:val="auto"/>
                <w:highlight w:val="none"/>
              </w:rPr>
            </w:pPr>
          </w:p>
        </w:tc>
        <w:tc>
          <w:tcPr>
            <w:tcW w:w="1536" w:type="dxa"/>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536" w:type="dxa"/>
            <w:noWrap w:val="0"/>
            <w:vAlign w:val="center"/>
          </w:tcPr>
          <w:p>
            <w:pPr>
              <w:ind w:left="42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r>
    </w:tbl>
    <w:p>
      <w:pPr>
        <w:adjustRightInd w:val="0"/>
        <w:snapToGrid w:val="0"/>
        <w:ind w:firstLine="50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 xml:space="preserve">   </w:t>
      </w:r>
    </w:p>
    <w:p>
      <w:pPr>
        <w:adjustRightInd w:val="0"/>
        <w:snapToGrid w:val="0"/>
        <w:ind w:firstLine="211" w:firstLineChars="100"/>
        <w:rPr>
          <w:rFonts w:hint="eastAsia" w:ascii="宋体" w:hAnsi="宋体" w:cs="宋体"/>
          <w:b/>
          <w:bCs/>
          <w:color w:val="auto"/>
          <w:highlight w:val="none"/>
          <w:lang w:val="en-US" w:eastAsia="zh-CN"/>
        </w:rPr>
      </w:pPr>
      <w:r>
        <w:rPr>
          <w:rFonts w:hint="eastAsia" w:ascii="宋体" w:hAnsi="宋体" w:cs="宋体"/>
          <w:b/>
          <w:bCs/>
          <w:color w:val="auto"/>
          <w:szCs w:val="22"/>
          <w:highlight w:val="none"/>
          <w:lang w:val="en-US" w:eastAsia="zh-CN"/>
        </w:rPr>
        <w:t>备注：1、投标报价中分项报价部分不得高于表格所列的最高限价，</w:t>
      </w:r>
      <w:r>
        <w:rPr>
          <w:rFonts w:hint="eastAsia" w:ascii="宋体" w:hAnsi="宋体" w:cs="宋体"/>
          <w:b/>
          <w:bCs/>
          <w:color w:val="auto"/>
          <w:highlight w:val="none"/>
          <w:lang w:val="en-US" w:eastAsia="zh-CN"/>
        </w:rPr>
        <w:t>超出最高限价的投标无效。</w:t>
      </w:r>
    </w:p>
    <w:p>
      <w:pPr>
        <w:adjustRightInd w:val="0"/>
        <w:snapToGrid w:val="0"/>
        <w:ind w:firstLine="211" w:firstLineChars="100"/>
        <w:rPr>
          <w:rFonts w:hint="eastAsia" w:ascii="宋体" w:hAnsi="宋体" w:cs="宋体"/>
          <w:b/>
          <w:bCs/>
          <w:color w:val="auto"/>
          <w:szCs w:val="22"/>
          <w:highlight w:val="none"/>
          <w:lang w:val="en-US" w:eastAsia="zh-CN"/>
        </w:rPr>
      </w:pPr>
      <w:r>
        <w:rPr>
          <w:rFonts w:hint="eastAsia" w:ascii="宋体" w:hAnsi="宋体" w:cs="宋体"/>
          <w:b/>
          <w:bCs/>
          <w:color w:val="auto"/>
          <w:szCs w:val="22"/>
          <w:highlight w:val="none"/>
          <w:lang w:val="en-US" w:eastAsia="zh-CN"/>
        </w:rPr>
        <w:t>2、对讲机和执法记录仪必须与公安**系统相兼容，并符合当地公安部门的入网要求。</w:t>
      </w:r>
    </w:p>
    <w:p>
      <w:pPr>
        <w:adjustRightInd w:val="0"/>
        <w:snapToGrid w:val="0"/>
        <w:ind w:firstLine="221" w:firstLineChars="100"/>
        <w:rPr>
          <w:rFonts w:hint="eastAsia" w:ascii="宋体" w:hAnsi="宋体" w:cs="宋体"/>
          <w:b/>
          <w:color w:val="auto"/>
          <w:spacing w:val="20"/>
          <w:sz w:val="18"/>
          <w:szCs w:val="18"/>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jc w:val="center"/>
        <w:rPr>
          <w:rFonts w:hint="eastAsia" w:ascii="宋体" w:hAnsi="宋体" w:eastAsia="宋体" w:cs="宋体"/>
          <w:b/>
          <w:color w:val="auto"/>
          <w:sz w:val="28"/>
          <w:szCs w:val="28"/>
          <w:highlight w:val="none"/>
          <w:lang w:eastAsia="zh-CN"/>
        </w:rPr>
      </w:pPr>
      <w:r>
        <w:rPr>
          <w:rStyle w:val="57"/>
          <w:rFonts w:hint="eastAsia" w:ascii="宋体" w:hAnsi="宋体" w:cs="宋体"/>
          <w:color w:val="auto"/>
          <w:sz w:val="28"/>
          <w:szCs w:val="28"/>
          <w:highlight w:val="none"/>
        </w:rPr>
        <w:br w:type="page"/>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3</w:t>
      </w:r>
      <w:r>
        <w:rPr>
          <w:rFonts w:hint="eastAsia" w:ascii="宋体" w:hAnsi="宋体" w:cs="宋体"/>
          <w:b/>
          <w:color w:val="auto"/>
          <w:sz w:val="28"/>
          <w:szCs w:val="28"/>
          <w:highlight w:val="none"/>
        </w:rPr>
        <w:t>）投标报价明细表</w:t>
      </w:r>
      <w:r>
        <w:rPr>
          <w:rFonts w:hint="eastAsia" w:ascii="宋体" w:hAnsi="宋体" w:cs="宋体"/>
          <w:b/>
          <w:color w:val="auto"/>
          <w:sz w:val="28"/>
          <w:szCs w:val="28"/>
          <w:highlight w:val="none"/>
          <w:lang w:eastAsia="zh-CN"/>
        </w:rPr>
        <w:t>二（人员费用）</w:t>
      </w:r>
    </w:p>
    <w:p>
      <w:pPr>
        <w:pStyle w:val="2"/>
        <w:ind w:firstLine="0"/>
        <w:rPr>
          <w:rFonts w:hint="eastAsia" w:ascii="宋体" w:hAnsi="宋体" w:cs="宋体"/>
          <w:color w:val="auto"/>
          <w:highlight w:val="none"/>
        </w:rPr>
      </w:pPr>
    </w:p>
    <w:p>
      <w:pPr>
        <w:adjustRightInd w:val="0"/>
        <w:snapToGrid w:val="0"/>
        <w:spacing w:after="120" w:afterLines="50"/>
        <w:ind w:firstLine="210" w:firstLineChars="100"/>
        <w:rPr>
          <w:rFonts w:hint="eastAsia" w:ascii="宋体" w:hAnsi="宋体" w:cs="宋体"/>
          <w:color w:val="auto"/>
          <w:szCs w:val="21"/>
          <w:highlight w:val="none"/>
          <w:u w:val="single"/>
        </w:rPr>
      </w:pPr>
      <w:r>
        <w:rPr>
          <w:rFonts w:hint="eastAsia" w:ascii="宋体" w:hAnsi="宋体" w:cs="宋体"/>
          <w:color w:val="auto"/>
          <w:kern w:val="0"/>
          <w:szCs w:val="21"/>
          <w:highlight w:val="none"/>
        </w:rPr>
        <w:t>项目名称：</w:t>
      </w:r>
      <w:r>
        <w:rPr>
          <w:rFonts w:hint="eastAsia" w:ascii="宋体" w:hAnsi="宋体" w:cs="宋体"/>
          <w:color w:val="auto"/>
          <w:kern w:val="0"/>
          <w:szCs w:val="21"/>
          <w:highlight w:val="none"/>
          <w:u w:val="single"/>
        </w:rPr>
        <w:t>2021年度慈溪市环杭州湾创新中心**室辅勤采购项目</w:t>
      </w:r>
    </w:p>
    <w:p>
      <w:pPr>
        <w:adjustRightInd w:val="0"/>
        <w:snapToGrid w:val="0"/>
        <w:spacing w:after="120" w:afterLines="50"/>
        <w:ind w:firstLine="210" w:firstLineChars="100"/>
        <w:rPr>
          <w:rFonts w:hint="default" w:ascii="宋体" w:hAnsi="宋体" w:eastAsia="宋体" w:cs="宋体"/>
          <w:b/>
          <w:color w:val="auto"/>
          <w:spacing w:val="20"/>
          <w:szCs w:val="21"/>
          <w:highlight w:val="none"/>
          <w:lang w:val="en-US" w:eastAsia="zh-CN"/>
        </w:rPr>
      </w:pPr>
      <w:r>
        <w:rPr>
          <w:rFonts w:hint="eastAsia" w:ascii="宋体" w:hAnsi="宋体" w:cs="宋体"/>
          <w:color w:val="auto"/>
          <w:kern w:val="0"/>
          <w:szCs w:val="21"/>
          <w:highlight w:val="none"/>
        </w:rPr>
        <w:t>项目编号：</w:t>
      </w:r>
      <w:r>
        <w:rPr>
          <w:rFonts w:hint="eastAsia" w:ascii="宋体" w:hAnsi="宋体" w:cs="宋体"/>
          <w:color w:val="auto"/>
          <w:kern w:val="0"/>
          <w:szCs w:val="21"/>
          <w:highlight w:val="none"/>
          <w:lang w:val="en-US"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48"/>
        <w:gridCol w:w="958"/>
        <w:gridCol w:w="1487"/>
        <w:gridCol w:w="944"/>
        <w:gridCol w:w="1625"/>
        <w:gridCol w:w="847"/>
        <w:gridCol w:w="1528"/>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8" w:hRule="atLeast"/>
        </w:trPr>
        <w:tc>
          <w:tcPr>
            <w:tcW w:w="548"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序号</w:t>
            </w:r>
          </w:p>
        </w:tc>
        <w:tc>
          <w:tcPr>
            <w:tcW w:w="958"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主项目</w:t>
            </w:r>
          </w:p>
        </w:tc>
        <w:tc>
          <w:tcPr>
            <w:tcW w:w="1487"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分项</w:t>
            </w:r>
          </w:p>
        </w:tc>
        <w:tc>
          <w:tcPr>
            <w:tcW w:w="944"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数量（人）</w:t>
            </w:r>
          </w:p>
        </w:tc>
        <w:tc>
          <w:tcPr>
            <w:tcW w:w="1625"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月工资（元）</w:t>
            </w:r>
          </w:p>
        </w:tc>
        <w:tc>
          <w:tcPr>
            <w:tcW w:w="847"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期限（月）</w:t>
            </w:r>
          </w:p>
        </w:tc>
        <w:tc>
          <w:tcPr>
            <w:tcW w:w="1528"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一年费用（单价）（元）</w:t>
            </w: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lang w:eastAsia="zh-CN"/>
              </w:rPr>
              <w:t>一年费用（总价）（元）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8" w:hRule="atLeast"/>
        </w:trPr>
        <w:tc>
          <w:tcPr>
            <w:tcW w:w="548" w:type="dxa"/>
            <w:vMerge w:val="restart"/>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1</w:t>
            </w:r>
          </w:p>
        </w:tc>
        <w:tc>
          <w:tcPr>
            <w:tcW w:w="958" w:type="dxa"/>
            <w:vMerge w:val="restart"/>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工资</w:t>
            </w:r>
          </w:p>
        </w:tc>
        <w:tc>
          <w:tcPr>
            <w:tcW w:w="1487"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经理（队长）</w:t>
            </w:r>
          </w:p>
        </w:tc>
        <w:tc>
          <w:tcPr>
            <w:tcW w:w="944" w:type="dxa"/>
            <w:noWrap w:val="0"/>
            <w:vAlign w:val="center"/>
          </w:tcPr>
          <w:p>
            <w:pPr>
              <w:adjustRightInd w:val="0"/>
              <w:snapToGrid w:val="0"/>
              <w:jc w:val="center"/>
              <w:rPr>
                <w:rFonts w:hint="default"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1</w:t>
            </w:r>
          </w:p>
        </w:tc>
        <w:tc>
          <w:tcPr>
            <w:tcW w:w="1625"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847" w:type="dxa"/>
            <w:noWrap w:val="0"/>
            <w:vAlign w:val="center"/>
          </w:tcPr>
          <w:p>
            <w:pPr>
              <w:adjustRightInd w:val="0"/>
              <w:snapToGrid w:val="0"/>
              <w:jc w:val="center"/>
              <w:rPr>
                <w:rFonts w:hint="default"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12</w:t>
            </w:r>
          </w:p>
        </w:tc>
        <w:tc>
          <w:tcPr>
            <w:tcW w:w="1528"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8" w:hRule="atLeast"/>
        </w:trPr>
        <w:tc>
          <w:tcPr>
            <w:tcW w:w="54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95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487"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副队长</w:t>
            </w:r>
          </w:p>
        </w:tc>
        <w:tc>
          <w:tcPr>
            <w:tcW w:w="944"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1</w:t>
            </w:r>
          </w:p>
        </w:tc>
        <w:tc>
          <w:tcPr>
            <w:tcW w:w="1625"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847" w:type="dxa"/>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lang w:val="en-US" w:eastAsia="zh-CN"/>
              </w:rPr>
              <w:t>12</w:t>
            </w:r>
          </w:p>
        </w:tc>
        <w:tc>
          <w:tcPr>
            <w:tcW w:w="1528"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8" w:hRule="atLeast"/>
        </w:trPr>
        <w:tc>
          <w:tcPr>
            <w:tcW w:w="54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95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487"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队员</w:t>
            </w:r>
          </w:p>
        </w:tc>
        <w:tc>
          <w:tcPr>
            <w:tcW w:w="944" w:type="dxa"/>
            <w:noWrap w:val="0"/>
            <w:vAlign w:val="center"/>
          </w:tcPr>
          <w:p>
            <w:pPr>
              <w:adjustRightInd w:val="0"/>
              <w:snapToGrid w:val="0"/>
              <w:jc w:val="center"/>
              <w:rPr>
                <w:rFonts w:hint="default"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19</w:t>
            </w:r>
          </w:p>
        </w:tc>
        <w:tc>
          <w:tcPr>
            <w:tcW w:w="1625"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847" w:type="dxa"/>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lang w:val="en-US" w:eastAsia="zh-CN"/>
              </w:rPr>
              <w:t>12</w:t>
            </w:r>
          </w:p>
        </w:tc>
        <w:tc>
          <w:tcPr>
            <w:tcW w:w="1528"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8" w:hRule="atLeast"/>
        </w:trPr>
        <w:tc>
          <w:tcPr>
            <w:tcW w:w="548" w:type="dxa"/>
            <w:vMerge w:val="restart"/>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2</w:t>
            </w:r>
          </w:p>
        </w:tc>
        <w:tc>
          <w:tcPr>
            <w:tcW w:w="958" w:type="dxa"/>
            <w:vMerge w:val="restart"/>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rPr>
              <w:t>福利保险</w:t>
            </w:r>
          </w:p>
        </w:tc>
        <w:tc>
          <w:tcPr>
            <w:tcW w:w="1487"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社会保险费</w:t>
            </w:r>
          </w:p>
        </w:tc>
        <w:tc>
          <w:tcPr>
            <w:tcW w:w="944"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21</w:t>
            </w:r>
          </w:p>
        </w:tc>
        <w:tc>
          <w:tcPr>
            <w:tcW w:w="1625"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w:t>
            </w:r>
          </w:p>
        </w:tc>
        <w:tc>
          <w:tcPr>
            <w:tcW w:w="847" w:type="dxa"/>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lang w:val="en-US" w:eastAsia="zh-CN"/>
              </w:rPr>
              <w:t>12</w:t>
            </w:r>
          </w:p>
        </w:tc>
        <w:tc>
          <w:tcPr>
            <w:tcW w:w="1528"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8" w:hRule="atLeast"/>
        </w:trPr>
        <w:tc>
          <w:tcPr>
            <w:tcW w:w="54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95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487"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意外险</w:t>
            </w:r>
          </w:p>
        </w:tc>
        <w:tc>
          <w:tcPr>
            <w:tcW w:w="944"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21</w:t>
            </w:r>
          </w:p>
        </w:tc>
        <w:tc>
          <w:tcPr>
            <w:tcW w:w="1625"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w:t>
            </w:r>
          </w:p>
        </w:tc>
        <w:tc>
          <w:tcPr>
            <w:tcW w:w="847" w:type="dxa"/>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lang w:val="en-US" w:eastAsia="zh-CN"/>
              </w:rPr>
              <w:t>12</w:t>
            </w:r>
          </w:p>
        </w:tc>
        <w:tc>
          <w:tcPr>
            <w:tcW w:w="1528"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8" w:hRule="atLeast"/>
        </w:trPr>
        <w:tc>
          <w:tcPr>
            <w:tcW w:w="54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95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487"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高温费</w:t>
            </w:r>
          </w:p>
        </w:tc>
        <w:tc>
          <w:tcPr>
            <w:tcW w:w="944"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21</w:t>
            </w:r>
          </w:p>
        </w:tc>
        <w:tc>
          <w:tcPr>
            <w:tcW w:w="1625"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w:t>
            </w:r>
          </w:p>
        </w:tc>
        <w:tc>
          <w:tcPr>
            <w:tcW w:w="847" w:type="dxa"/>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lang w:val="en-US" w:eastAsia="zh-CN"/>
              </w:rPr>
              <w:t>12</w:t>
            </w:r>
          </w:p>
        </w:tc>
        <w:tc>
          <w:tcPr>
            <w:tcW w:w="1528"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88" w:hRule="atLeast"/>
        </w:trPr>
        <w:tc>
          <w:tcPr>
            <w:tcW w:w="54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95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487"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福利费</w:t>
            </w:r>
          </w:p>
        </w:tc>
        <w:tc>
          <w:tcPr>
            <w:tcW w:w="944"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21</w:t>
            </w:r>
          </w:p>
        </w:tc>
        <w:tc>
          <w:tcPr>
            <w:tcW w:w="1625"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w:t>
            </w:r>
          </w:p>
        </w:tc>
        <w:tc>
          <w:tcPr>
            <w:tcW w:w="847" w:type="dxa"/>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lang w:val="en-US" w:eastAsia="zh-CN"/>
              </w:rPr>
              <w:t>12</w:t>
            </w:r>
          </w:p>
        </w:tc>
        <w:tc>
          <w:tcPr>
            <w:tcW w:w="1528"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88" w:hRule="atLeast"/>
        </w:trPr>
        <w:tc>
          <w:tcPr>
            <w:tcW w:w="54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95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487"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节日加班费</w:t>
            </w:r>
          </w:p>
        </w:tc>
        <w:tc>
          <w:tcPr>
            <w:tcW w:w="944"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21</w:t>
            </w:r>
          </w:p>
        </w:tc>
        <w:tc>
          <w:tcPr>
            <w:tcW w:w="1625"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w:t>
            </w:r>
          </w:p>
        </w:tc>
        <w:tc>
          <w:tcPr>
            <w:tcW w:w="847" w:type="dxa"/>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lang w:val="en-US" w:eastAsia="zh-CN"/>
              </w:rPr>
              <w:t>12</w:t>
            </w:r>
          </w:p>
        </w:tc>
        <w:tc>
          <w:tcPr>
            <w:tcW w:w="1528"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88" w:hRule="atLeast"/>
        </w:trPr>
        <w:tc>
          <w:tcPr>
            <w:tcW w:w="54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958" w:type="dxa"/>
            <w:vMerge w:val="continue"/>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487"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服装费</w:t>
            </w:r>
          </w:p>
        </w:tc>
        <w:tc>
          <w:tcPr>
            <w:tcW w:w="944" w:type="dxa"/>
            <w:noWrap w:val="0"/>
            <w:vAlign w:val="center"/>
          </w:tcPr>
          <w:p>
            <w:pPr>
              <w:keepNext w:val="0"/>
              <w:keepLines w:val="0"/>
              <w:widowControl/>
              <w:suppressLineNumbers w:val="0"/>
              <w:jc w:val="center"/>
              <w:textAlignment w:val="center"/>
              <w:rPr>
                <w:rFonts w:hint="eastAsia" w:ascii="宋体" w:hAnsi="宋体" w:cs="宋体"/>
                <w:color w:val="auto"/>
                <w:spacing w:val="20"/>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21</w:t>
            </w:r>
          </w:p>
        </w:tc>
        <w:tc>
          <w:tcPr>
            <w:tcW w:w="1625"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w:t>
            </w:r>
          </w:p>
        </w:tc>
        <w:tc>
          <w:tcPr>
            <w:tcW w:w="847" w:type="dxa"/>
            <w:noWrap w:val="0"/>
            <w:vAlign w:val="center"/>
          </w:tcPr>
          <w:p>
            <w:pPr>
              <w:adjustRightInd w:val="0"/>
              <w:snapToGrid w:val="0"/>
              <w:jc w:val="center"/>
              <w:rPr>
                <w:rFonts w:hint="eastAsia" w:ascii="宋体" w:hAnsi="宋体" w:cs="宋体"/>
                <w:color w:val="auto"/>
                <w:spacing w:val="20"/>
                <w:szCs w:val="21"/>
                <w:highlight w:val="none"/>
                <w:vertAlign w:val="baseline"/>
              </w:rPr>
            </w:pPr>
            <w:r>
              <w:rPr>
                <w:rFonts w:hint="eastAsia" w:ascii="宋体" w:hAnsi="宋体" w:cs="宋体"/>
                <w:color w:val="auto"/>
                <w:spacing w:val="20"/>
                <w:szCs w:val="21"/>
                <w:highlight w:val="none"/>
                <w:vertAlign w:val="baseline"/>
                <w:lang w:val="en-US" w:eastAsia="zh-CN"/>
              </w:rPr>
              <w:t>12</w:t>
            </w:r>
          </w:p>
        </w:tc>
        <w:tc>
          <w:tcPr>
            <w:tcW w:w="1528"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c>
          <w:tcPr>
            <w:tcW w:w="1592" w:type="dxa"/>
            <w:noWrap w:val="0"/>
            <w:vAlign w:val="center"/>
          </w:tcPr>
          <w:p>
            <w:pPr>
              <w:adjustRightInd w:val="0"/>
              <w:snapToGrid w:val="0"/>
              <w:jc w:val="center"/>
              <w:rPr>
                <w:rFonts w:hint="eastAsia" w:ascii="宋体" w:hAnsi="宋体" w:cs="宋体"/>
                <w:color w:val="auto"/>
                <w:spacing w:val="20"/>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88" w:hRule="atLeast"/>
        </w:trPr>
        <w:tc>
          <w:tcPr>
            <w:tcW w:w="548"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val="en-US" w:eastAsia="zh-CN"/>
              </w:rPr>
            </w:pPr>
            <w:r>
              <w:rPr>
                <w:rFonts w:hint="eastAsia" w:ascii="宋体" w:hAnsi="宋体" w:cs="宋体"/>
                <w:color w:val="auto"/>
                <w:spacing w:val="20"/>
                <w:szCs w:val="21"/>
                <w:highlight w:val="none"/>
                <w:vertAlign w:val="baseline"/>
                <w:lang w:val="en-US" w:eastAsia="zh-CN"/>
              </w:rPr>
              <w:t>3</w:t>
            </w:r>
          </w:p>
        </w:tc>
        <w:tc>
          <w:tcPr>
            <w:tcW w:w="958" w:type="dxa"/>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vertAlign w:val="baseline"/>
                <w:lang w:eastAsia="zh-CN"/>
              </w:rPr>
              <w:t>合计</w:t>
            </w:r>
          </w:p>
        </w:tc>
        <w:tc>
          <w:tcPr>
            <w:tcW w:w="8023" w:type="dxa"/>
            <w:gridSpan w:val="6"/>
            <w:noWrap w:val="0"/>
            <w:vAlign w:val="center"/>
          </w:tcPr>
          <w:p>
            <w:pPr>
              <w:adjustRightInd w:val="0"/>
              <w:snapToGrid w:val="0"/>
              <w:jc w:val="center"/>
              <w:rPr>
                <w:rFonts w:hint="eastAsia" w:ascii="宋体" w:hAnsi="宋体" w:eastAsia="宋体" w:cs="宋体"/>
                <w:color w:val="auto"/>
                <w:spacing w:val="20"/>
                <w:szCs w:val="21"/>
                <w:highlight w:val="none"/>
                <w:vertAlign w:val="baseline"/>
                <w:lang w:eastAsia="zh-CN"/>
              </w:rPr>
            </w:pPr>
            <w:r>
              <w:rPr>
                <w:rFonts w:hint="eastAsia" w:ascii="宋体" w:hAnsi="宋体" w:cs="宋体"/>
                <w:color w:val="auto"/>
                <w:spacing w:val="20"/>
                <w:szCs w:val="21"/>
                <w:highlight w:val="none"/>
                <w:u w:val="single"/>
                <w:vertAlign w:val="baseline"/>
                <w:lang w:val="en-US" w:eastAsia="zh-CN"/>
              </w:rPr>
              <w:t xml:space="preserve">         </w:t>
            </w:r>
            <w:r>
              <w:rPr>
                <w:rFonts w:hint="eastAsia" w:ascii="宋体" w:hAnsi="宋体" w:cs="宋体"/>
                <w:color w:val="auto"/>
                <w:spacing w:val="20"/>
                <w:szCs w:val="21"/>
                <w:highlight w:val="none"/>
                <w:vertAlign w:val="baseline"/>
                <w:lang w:val="en-US" w:eastAsia="zh-CN"/>
              </w:rPr>
              <w:t xml:space="preserve"> </w:t>
            </w:r>
            <w:r>
              <w:rPr>
                <w:rFonts w:hint="eastAsia" w:ascii="宋体" w:hAnsi="宋体" w:cs="宋体"/>
                <w:color w:val="auto"/>
                <w:spacing w:val="20"/>
                <w:szCs w:val="21"/>
                <w:highlight w:val="none"/>
                <w:vertAlign w:val="baseline"/>
                <w:lang w:eastAsia="zh-CN"/>
              </w:rPr>
              <w:t>元</w:t>
            </w:r>
          </w:p>
        </w:tc>
      </w:tr>
    </w:tbl>
    <w:p>
      <w:pPr>
        <w:adjustRightInd w:val="0"/>
        <w:snapToGrid w:val="0"/>
        <w:ind w:firstLine="50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 xml:space="preserve">   </w:t>
      </w:r>
    </w:p>
    <w:p>
      <w:pPr>
        <w:adjustRightInd w:val="0"/>
        <w:snapToGrid w:val="0"/>
        <w:ind w:firstLine="211" w:firstLineChars="100"/>
        <w:rPr>
          <w:rFonts w:hint="eastAsia" w:ascii="宋体" w:hAnsi="宋体" w:cs="宋体"/>
          <w:b/>
          <w:bCs w:val="0"/>
          <w:color w:val="auto"/>
          <w:szCs w:val="21"/>
          <w:highlight w:val="none"/>
        </w:rPr>
      </w:pPr>
      <w:r>
        <w:rPr>
          <w:rFonts w:hint="eastAsia" w:ascii="宋体" w:hAnsi="宋体" w:cs="宋体"/>
          <w:b/>
          <w:bCs w:val="0"/>
          <w:color w:val="auto"/>
          <w:szCs w:val="21"/>
          <w:highlight w:val="none"/>
        </w:rPr>
        <w:t>备注：</w:t>
      </w:r>
    </w:p>
    <w:p>
      <w:pPr>
        <w:adjustRightInd w:val="0"/>
        <w:snapToGrid w:val="0"/>
        <w:ind w:firstLine="210" w:firstLineChars="100"/>
        <w:rPr>
          <w:rFonts w:hint="eastAsia" w:ascii="宋体" w:hAnsi="宋体" w:cs="宋体"/>
          <w:b/>
          <w:bCs w:val="0"/>
          <w:color w:val="auto"/>
          <w:szCs w:val="21"/>
          <w:highlight w:val="none"/>
          <w:lang w:eastAsia="zh-CN"/>
        </w:rPr>
      </w:pPr>
      <w:r>
        <w:rPr>
          <w:rFonts w:hint="eastAsia" w:ascii="宋体" w:hAnsi="宋体" w:cs="宋体"/>
          <w:color w:val="auto"/>
          <w:szCs w:val="22"/>
          <w:highlight w:val="none"/>
        </w:rPr>
        <w:t>▲</w:t>
      </w:r>
      <w:r>
        <w:rPr>
          <w:rFonts w:hint="eastAsia" w:ascii="宋体" w:hAnsi="宋体" w:cs="宋体"/>
          <w:b/>
          <w:bCs w:val="0"/>
          <w:color w:val="auto"/>
          <w:szCs w:val="21"/>
          <w:highlight w:val="none"/>
          <w:lang w:val="en-US" w:eastAsia="zh-CN"/>
        </w:rPr>
        <w:t>1、</w:t>
      </w:r>
      <w:r>
        <w:rPr>
          <w:rFonts w:hint="eastAsia" w:ascii="宋体" w:hAnsi="宋体" w:cs="宋体"/>
          <w:b/>
          <w:bCs w:val="0"/>
          <w:color w:val="auto"/>
          <w:szCs w:val="21"/>
          <w:highlight w:val="none"/>
          <w:lang w:eastAsia="zh-CN"/>
        </w:rPr>
        <w:t>人员</w:t>
      </w:r>
      <w:r>
        <w:rPr>
          <w:rFonts w:hint="eastAsia" w:ascii="宋体" w:hAnsi="宋体" w:cs="宋体"/>
          <w:b/>
          <w:bCs w:val="0"/>
          <w:color w:val="auto"/>
          <w:szCs w:val="21"/>
          <w:highlight w:val="none"/>
        </w:rPr>
        <w:t>工资不得低于慈溪市政府规定的当年最低工资标准</w:t>
      </w:r>
      <w:r>
        <w:rPr>
          <w:rFonts w:hint="eastAsia" w:ascii="宋体" w:hAnsi="宋体" w:cs="宋体"/>
          <w:b/>
          <w:bCs w:val="0"/>
          <w:color w:val="auto"/>
          <w:szCs w:val="21"/>
          <w:highlight w:val="none"/>
          <w:lang w:eastAsia="zh-CN"/>
        </w:rPr>
        <w:t>，否者作无效标处理；</w:t>
      </w:r>
    </w:p>
    <w:p>
      <w:pPr>
        <w:adjustRightInd w:val="0"/>
        <w:snapToGrid w:val="0"/>
        <w:ind w:firstLine="211" w:firstLineChars="100"/>
        <w:rPr>
          <w:rFonts w:hint="eastAsia" w:ascii="宋体" w:hAnsi="宋体" w:cs="宋体"/>
          <w:b/>
          <w:bCs w:val="0"/>
          <w:color w:val="auto"/>
          <w:szCs w:val="21"/>
          <w:highlight w:val="none"/>
        </w:rPr>
      </w:pPr>
      <w:r>
        <w:rPr>
          <w:rFonts w:hint="eastAsia" w:ascii="宋体" w:hAnsi="宋体" w:cs="宋体"/>
          <w:b/>
          <w:bCs w:val="0"/>
          <w:color w:val="auto"/>
          <w:szCs w:val="21"/>
          <w:highlight w:val="none"/>
          <w:lang w:val="en-US" w:eastAsia="zh-CN"/>
        </w:rPr>
        <w:t>2、</w:t>
      </w:r>
      <w:r>
        <w:rPr>
          <w:rFonts w:hint="eastAsia" w:ascii="宋体" w:hAnsi="宋体" w:cs="宋体"/>
          <w:b/>
          <w:bCs w:val="0"/>
          <w:color w:val="auto"/>
          <w:szCs w:val="21"/>
          <w:highlight w:val="none"/>
        </w:rPr>
        <w:t>表格不够，可自行扩展。</w:t>
      </w:r>
    </w:p>
    <w:p>
      <w:pPr>
        <w:adjustRightInd w:val="0"/>
        <w:snapToGrid w:val="0"/>
        <w:ind w:firstLine="221" w:firstLineChars="100"/>
        <w:rPr>
          <w:rFonts w:hint="eastAsia" w:ascii="宋体" w:hAnsi="宋体" w:cs="宋体"/>
          <w:b/>
          <w:color w:val="auto"/>
          <w:spacing w:val="20"/>
          <w:sz w:val="18"/>
          <w:szCs w:val="18"/>
          <w:highlight w:val="none"/>
        </w:rPr>
      </w:pP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投标供应商盖章：</w:t>
      </w:r>
      <w:r>
        <w:rPr>
          <w:rFonts w:hint="eastAsia" w:ascii="宋体" w:hAnsi="宋体" w:cs="宋体"/>
          <w:color w:val="auto"/>
          <w:szCs w:val="21"/>
          <w:highlight w:val="none"/>
          <w:u w:val="single"/>
        </w:rPr>
        <w:t xml:space="preserve">              （公章）　</w:t>
      </w:r>
    </w:p>
    <w:p>
      <w:pPr>
        <w:spacing w:line="52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3"/>
        <w:spacing w:line="360" w:lineRule="auto"/>
        <w:ind w:firstLine="420"/>
        <w:jc w:val="center"/>
        <w:rPr>
          <w:rFonts w:hint="default" w:hAnsi="宋体" w:eastAsia="宋体" w:cs="宋体"/>
          <w:b/>
          <w:color w:val="auto"/>
          <w:sz w:val="28"/>
          <w:highlight w:val="none"/>
          <w:lang w:val="en-US" w:eastAsia="zh-CN"/>
        </w:rPr>
      </w:pPr>
      <w:r>
        <w:rPr>
          <w:rFonts w:hint="eastAsia" w:ascii="宋体" w:hAnsi="宋体" w:cs="宋体"/>
          <w:b/>
          <w:color w:val="auto"/>
          <w:sz w:val="28"/>
          <w:highlight w:val="none"/>
        </w:rPr>
        <w:br w:type="page"/>
      </w:r>
      <w:r>
        <w:rPr>
          <w:rFonts w:hint="eastAsia" w:hAnsi="宋体" w:cs="宋体"/>
          <w:b/>
          <w:color w:val="auto"/>
          <w:kern w:val="2"/>
          <w:sz w:val="28"/>
          <w:highlight w:val="none"/>
        </w:rPr>
        <w:t>（</w:t>
      </w:r>
      <w:r>
        <w:rPr>
          <w:rFonts w:hint="eastAsia" w:hAnsi="宋体" w:cs="宋体"/>
          <w:b/>
          <w:color w:val="auto"/>
          <w:kern w:val="2"/>
          <w:sz w:val="28"/>
          <w:highlight w:val="none"/>
          <w:lang w:val="en-US" w:eastAsia="zh-CN"/>
        </w:rPr>
        <w:t>4</w:t>
      </w:r>
      <w:r>
        <w:rPr>
          <w:rFonts w:hint="eastAsia" w:hAnsi="宋体" w:cs="宋体"/>
          <w:b/>
          <w:color w:val="auto"/>
          <w:kern w:val="2"/>
          <w:sz w:val="28"/>
          <w:highlight w:val="none"/>
        </w:rPr>
        <w:t>）中小企业声明函</w:t>
      </w:r>
      <w:bookmarkEnd w:id="44"/>
      <w:bookmarkEnd w:id="45"/>
      <w:r>
        <w:rPr>
          <w:rFonts w:hint="eastAsia" w:hAnsi="宋体" w:cs="宋体"/>
          <w:b/>
          <w:color w:val="auto"/>
          <w:kern w:val="2"/>
          <w:sz w:val="28"/>
          <w:highlight w:val="none"/>
          <w:lang w:val="en-US" w:eastAsia="zh-CN"/>
        </w:rPr>
        <w:t>(工程、服务)</w:t>
      </w:r>
    </w:p>
    <w:p>
      <w:pPr>
        <w:spacing w:line="588" w:lineRule="exact"/>
        <w:rPr>
          <w:rFonts w:hint="eastAsia" w:ascii="宋体" w:hAnsi="宋体" w:cs="宋体"/>
          <w:b/>
          <w:color w:val="auto"/>
          <w:spacing w:val="6"/>
          <w:sz w:val="30"/>
          <w:szCs w:val="30"/>
          <w:highlight w:val="none"/>
        </w:rPr>
      </w:pPr>
    </w:p>
    <w:p>
      <w:pPr>
        <w:pStyle w:val="15"/>
        <w:widowControl w:val="0"/>
        <w:spacing w:before="0" w:beforeAutospacing="0" w:after="120" w:afterAutospacing="0" w:line="480" w:lineRule="exact"/>
        <w:ind w:left="420" w:leftChars="200" w:firstLine="420" w:firstLineChars="200"/>
        <w:jc w:val="both"/>
        <w:rPr>
          <w:rFonts w:hint="eastAsia" w:hAnsi="宋体" w:cs="宋体"/>
          <w:color w:val="auto"/>
          <w:highlight w:val="none"/>
        </w:rPr>
      </w:pPr>
      <w:r>
        <w:rPr>
          <w:rFonts w:hint="eastAsia" w:hAnsi="宋体" w:cs="宋体"/>
          <w:color w:val="auto"/>
          <w:kern w:val="2"/>
          <w:sz w:val="21"/>
          <w:highlight w:val="none"/>
        </w:rPr>
        <w:t>本公司（联合体）郑重声明，根据《政府采购促进中小企业发展管理办法》 （财库﹝2020﹞46 号）的规定，本公司（联合体）参加（单位名称）的 （项目名称）采购活动，工程的施工单位全部为符合政策要求的中小企业（或者：服务全部由符合政策要求的中小企业承接） 。相关企业（含联合体中的中小企业、签订分包意向协议的中小企业）的具体情况如下：</w:t>
      </w:r>
    </w:p>
    <w:p>
      <w:pPr>
        <w:pStyle w:val="15"/>
        <w:widowControl w:val="0"/>
        <w:numPr>
          <w:ilvl w:val="0"/>
          <w:numId w:val="4"/>
        </w:numPr>
        <w:spacing w:before="0" w:beforeAutospacing="0" w:after="120" w:afterAutospacing="0" w:line="480" w:lineRule="exact"/>
        <w:ind w:left="420" w:leftChars="200"/>
        <w:jc w:val="both"/>
        <w:rPr>
          <w:rFonts w:hint="eastAsia" w:hAnsi="宋体" w:cs="宋体"/>
          <w:color w:val="auto"/>
          <w:kern w:val="2"/>
          <w:sz w:val="21"/>
          <w:highlight w:val="none"/>
          <w:u w:val="single"/>
          <w:lang w:eastAsia="zh-CN"/>
        </w:rPr>
      </w:pPr>
      <w:r>
        <w:rPr>
          <w:rFonts w:hint="eastAsia" w:hAnsi="宋体" w:cs="宋体"/>
          <w:color w:val="auto"/>
          <w:kern w:val="2"/>
          <w:sz w:val="21"/>
          <w:highlight w:val="none"/>
          <w:u w:val="single"/>
        </w:rPr>
        <w:t xml:space="preserve">（标的名称） </w:t>
      </w:r>
      <w:r>
        <w:rPr>
          <w:rFonts w:hint="eastAsia" w:hAnsi="宋体" w:cs="宋体"/>
          <w:color w:val="auto"/>
          <w:kern w:val="2"/>
          <w:sz w:val="21"/>
          <w:highlight w:val="none"/>
        </w:rPr>
        <w:t>， 属于</w:t>
      </w:r>
      <w:r>
        <w:rPr>
          <w:rFonts w:hint="eastAsia" w:hAnsi="宋体" w:cs="宋体"/>
          <w:color w:val="auto"/>
          <w:kern w:val="2"/>
          <w:sz w:val="21"/>
          <w:highlight w:val="none"/>
          <w:u w:val="single"/>
        </w:rPr>
        <w:t xml:space="preserve"> （采购文件中明确的所属行业） </w:t>
      </w:r>
      <w:r>
        <w:rPr>
          <w:rFonts w:hint="eastAsia" w:hAnsi="宋体" w:cs="宋体"/>
          <w:color w:val="auto"/>
          <w:kern w:val="2"/>
          <w:sz w:val="21"/>
          <w:highlight w:val="none"/>
        </w:rPr>
        <w:t>；承建（承接）企业为</w:t>
      </w:r>
      <w:r>
        <w:rPr>
          <w:rFonts w:hint="eastAsia" w:hAnsi="宋体" w:cs="宋体"/>
          <w:color w:val="auto"/>
          <w:kern w:val="2"/>
          <w:sz w:val="21"/>
          <w:highlight w:val="none"/>
          <w:u w:val="single"/>
        </w:rPr>
        <w:t xml:space="preserve"> （企业名称） </w:t>
      </w:r>
      <w:r>
        <w:rPr>
          <w:rFonts w:hint="eastAsia" w:hAnsi="宋体" w:cs="宋体"/>
          <w:color w:val="auto"/>
          <w:kern w:val="2"/>
          <w:sz w:val="21"/>
          <w:highlight w:val="none"/>
        </w:rPr>
        <w:t>，从业人员</w:t>
      </w:r>
      <w:r>
        <w:rPr>
          <w:rFonts w:hint="eastAsia" w:hAnsi="宋体" w:cs="宋体"/>
          <w:color w:val="auto"/>
          <w:kern w:val="2"/>
          <w:sz w:val="21"/>
          <w:highlight w:val="none"/>
          <w:u w:val="single"/>
        </w:rPr>
        <w:t xml:space="preserve"> </w:t>
      </w:r>
      <w:r>
        <w:rPr>
          <w:rFonts w:hint="eastAsia" w:hAnsi="宋体" w:cs="宋体"/>
          <w:color w:val="auto"/>
          <w:kern w:val="2"/>
          <w:sz w:val="21"/>
          <w:highlight w:val="none"/>
          <w:u w:val="single"/>
          <w:lang w:val="en-US" w:eastAsia="zh-CN"/>
        </w:rPr>
        <w:t xml:space="preserve">      </w:t>
      </w:r>
      <w:r>
        <w:rPr>
          <w:rFonts w:hint="eastAsia" w:hAnsi="宋体" w:cs="宋体"/>
          <w:color w:val="auto"/>
          <w:kern w:val="2"/>
          <w:sz w:val="21"/>
          <w:highlight w:val="none"/>
        </w:rPr>
        <w:t>人，营业收入为</w:t>
      </w:r>
      <w:r>
        <w:rPr>
          <w:rFonts w:hint="eastAsia" w:hAnsi="宋体" w:cs="宋体"/>
          <w:color w:val="auto"/>
          <w:kern w:val="2"/>
          <w:sz w:val="21"/>
          <w:highlight w:val="none"/>
          <w:u w:val="single"/>
          <w:lang w:val="en-US" w:eastAsia="zh-CN"/>
        </w:rPr>
        <w:t xml:space="preserve">      </w:t>
      </w:r>
      <w:r>
        <w:rPr>
          <w:rFonts w:hint="eastAsia" w:hAnsi="宋体" w:cs="宋体"/>
          <w:color w:val="auto"/>
          <w:kern w:val="2"/>
          <w:sz w:val="21"/>
          <w:highlight w:val="none"/>
        </w:rPr>
        <w:t>万元，资产总额为</w:t>
      </w:r>
      <w:r>
        <w:rPr>
          <w:rFonts w:hint="eastAsia" w:hAnsi="宋体" w:cs="宋体"/>
          <w:color w:val="auto"/>
          <w:kern w:val="2"/>
          <w:sz w:val="21"/>
          <w:highlight w:val="none"/>
          <w:u w:val="single"/>
          <w:lang w:val="en-US" w:eastAsia="zh-CN"/>
        </w:rPr>
        <w:t xml:space="preserve">      </w:t>
      </w:r>
      <w:r>
        <w:rPr>
          <w:rFonts w:hint="eastAsia" w:hAnsi="宋体" w:cs="宋体"/>
          <w:color w:val="auto"/>
          <w:kern w:val="2"/>
          <w:sz w:val="21"/>
          <w:highlight w:val="none"/>
        </w:rPr>
        <w:t>万元</w:t>
      </w:r>
      <w:r>
        <w:rPr>
          <w:rFonts w:hint="eastAsia" w:cs="宋体"/>
          <w:i w:val="0"/>
          <w:iCs/>
          <w:color w:val="auto"/>
          <w:sz w:val="21"/>
          <w:szCs w:val="21"/>
          <w:highlight w:val="none"/>
          <w:vertAlign w:val="superscript"/>
        </w:rPr>
        <w:t>1</w:t>
      </w:r>
      <w:r>
        <w:rPr>
          <w:rFonts w:hint="eastAsia" w:hAnsi="宋体" w:cs="宋体"/>
          <w:color w:val="auto"/>
          <w:kern w:val="2"/>
          <w:sz w:val="21"/>
          <w:highlight w:val="none"/>
        </w:rPr>
        <w:t>，属于</w:t>
      </w:r>
      <w:r>
        <w:rPr>
          <w:rFonts w:hint="eastAsia" w:hAnsi="宋体" w:cs="宋体"/>
          <w:color w:val="auto"/>
          <w:kern w:val="2"/>
          <w:sz w:val="21"/>
          <w:highlight w:val="none"/>
          <w:u w:val="single"/>
        </w:rPr>
        <w:t xml:space="preserve"> （中型企业、小型企业、微型企业）</w:t>
      </w:r>
      <w:r>
        <w:rPr>
          <w:rFonts w:hint="eastAsia" w:hAnsi="宋体" w:cs="宋体"/>
          <w:color w:val="auto"/>
          <w:kern w:val="2"/>
          <w:sz w:val="21"/>
          <w:highlight w:val="none"/>
          <w:u w:val="single"/>
          <w:lang w:eastAsia="zh-CN"/>
        </w:rPr>
        <w:t>；</w:t>
      </w:r>
    </w:p>
    <w:p>
      <w:pPr>
        <w:pStyle w:val="15"/>
        <w:widowControl w:val="0"/>
        <w:spacing w:before="0" w:beforeAutospacing="0" w:after="120" w:afterAutospacing="0" w:line="480" w:lineRule="exact"/>
        <w:ind w:left="420" w:leftChars="200"/>
        <w:jc w:val="both"/>
        <w:rPr>
          <w:rFonts w:hint="eastAsia" w:hAnsi="宋体" w:cs="宋体"/>
          <w:color w:val="auto"/>
          <w:kern w:val="2"/>
          <w:sz w:val="21"/>
          <w:highlight w:val="none"/>
          <w:u w:val="single"/>
          <w:lang w:eastAsia="zh-CN"/>
        </w:rPr>
      </w:pPr>
      <w:r>
        <w:rPr>
          <w:rFonts w:hint="eastAsia" w:hAnsi="宋体" w:cs="宋体"/>
          <w:color w:val="auto"/>
          <w:kern w:val="2"/>
          <w:sz w:val="21"/>
          <w:highlight w:val="none"/>
          <w:lang w:val="en-US" w:eastAsia="zh-CN"/>
        </w:rPr>
        <w:t>2</w:t>
      </w:r>
      <w:r>
        <w:rPr>
          <w:rFonts w:hint="eastAsia" w:hAnsi="宋体" w:cs="宋体"/>
          <w:color w:val="auto"/>
          <w:kern w:val="2"/>
          <w:sz w:val="21"/>
          <w:highlight w:val="none"/>
        </w:rPr>
        <w:t>.</w:t>
      </w:r>
      <w:r>
        <w:rPr>
          <w:rFonts w:hint="eastAsia" w:hAnsi="宋体" w:cs="宋体"/>
          <w:color w:val="auto"/>
          <w:kern w:val="2"/>
          <w:sz w:val="21"/>
          <w:highlight w:val="none"/>
          <w:u w:val="single"/>
        </w:rPr>
        <w:t xml:space="preserve"> （标的名称） </w:t>
      </w:r>
      <w:r>
        <w:rPr>
          <w:rFonts w:hint="eastAsia" w:hAnsi="宋体" w:cs="宋体"/>
          <w:color w:val="auto"/>
          <w:kern w:val="2"/>
          <w:sz w:val="21"/>
          <w:highlight w:val="none"/>
        </w:rPr>
        <w:t>， 属于</w:t>
      </w:r>
      <w:r>
        <w:rPr>
          <w:rFonts w:hint="eastAsia" w:hAnsi="宋体" w:cs="宋体"/>
          <w:color w:val="auto"/>
          <w:kern w:val="2"/>
          <w:sz w:val="21"/>
          <w:highlight w:val="none"/>
          <w:u w:val="single"/>
        </w:rPr>
        <w:t xml:space="preserve"> （采购文件中明确的所属行业） </w:t>
      </w:r>
      <w:r>
        <w:rPr>
          <w:rFonts w:hint="eastAsia" w:hAnsi="宋体" w:cs="宋体"/>
          <w:color w:val="auto"/>
          <w:kern w:val="2"/>
          <w:sz w:val="21"/>
          <w:highlight w:val="none"/>
        </w:rPr>
        <w:t>；承建（承接）企业为</w:t>
      </w:r>
      <w:r>
        <w:rPr>
          <w:rFonts w:hint="eastAsia" w:hAnsi="宋体" w:cs="宋体"/>
          <w:color w:val="auto"/>
          <w:kern w:val="2"/>
          <w:sz w:val="21"/>
          <w:highlight w:val="none"/>
          <w:u w:val="single"/>
        </w:rPr>
        <w:t xml:space="preserve"> （企业名称） </w:t>
      </w:r>
      <w:r>
        <w:rPr>
          <w:rFonts w:hint="eastAsia" w:hAnsi="宋体" w:cs="宋体"/>
          <w:color w:val="auto"/>
          <w:kern w:val="2"/>
          <w:sz w:val="21"/>
          <w:highlight w:val="none"/>
        </w:rPr>
        <w:t>，从业人员</w:t>
      </w:r>
      <w:r>
        <w:rPr>
          <w:rFonts w:hint="eastAsia" w:hAnsi="宋体" w:cs="宋体"/>
          <w:color w:val="auto"/>
          <w:kern w:val="2"/>
          <w:sz w:val="21"/>
          <w:highlight w:val="none"/>
          <w:u w:val="single"/>
        </w:rPr>
        <w:t xml:space="preserve"> </w:t>
      </w:r>
      <w:r>
        <w:rPr>
          <w:rFonts w:hint="eastAsia" w:hAnsi="宋体" w:cs="宋体"/>
          <w:color w:val="auto"/>
          <w:kern w:val="2"/>
          <w:sz w:val="21"/>
          <w:highlight w:val="none"/>
          <w:u w:val="single"/>
          <w:lang w:val="en-US" w:eastAsia="zh-CN"/>
        </w:rPr>
        <w:t xml:space="preserve">      </w:t>
      </w:r>
      <w:r>
        <w:rPr>
          <w:rFonts w:hint="eastAsia" w:hAnsi="宋体" w:cs="宋体"/>
          <w:color w:val="auto"/>
          <w:kern w:val="2"/>
          <w:sz w:val="21"/>
          <w:highlight w:val="none"/>
        </w:rPr>
        <w:t>人，营业收入为</w:t>
      </w:r>
      <w:r>
        <w:rPr>
          <w:rFonts w:hint="eastAsia" w:hAnsi="宋体" w:cs="宋体"/>
          <w:color w:val="auto"/>
          <w:kern w:val="2"/>
          <w:sz w:val="21"/>
          <w:highlight w:val="none"/>
          <w:u w:val="single"/>
          <w:lang w:val="en-US" w:eastAsia="zh-CN"/>
        </w:rPr>
        <w:t xml:space="preserve">      </w:t>
      </w:r>
      <w:r>
        <w:rPr>
          <w:rFonts w:hint="eastAsia" w:hAnsi="宋体" w:cs="宋体"/>
          <w:color w:val="auto"/>
          <w:kern w:val="2"/>
          <w:sz w:val="21"/>
          <w:highlight w:val="none"/>
        </w:rPr>
        <w:t>万元，资产总额为</w:t>
      </w:r>
      <w:r>
        <w:rPr>
          <w:rFonts w:hint="eastAsia" w:hAnsi="宋体" w:cs="宋体"/>
          <w:color w:val="auto"/>
          <w:kern w:val="2"/>
          <w:sz w:val="21"/>
          <w:highlight w:val="none"/>
          <w:u w:val="single"/>
          <w:lang w:val="en-US" w:eastAsia="zh-CN"/>
        </w:rPr>
        <w:t xml:space="preserve">      </w:t>
      </w:r>
      <w:r>
        <w:rPr>
          <w:rFonts w:hint="eastAsia" w:hAnsi="宋体" w:cs="宋体"/>
          <w:color w:val="auto"/>
          <w:kern w:val="2"/>
          <w:sz w:val="21"/>
          <w:highlight w:val="none"/>
        </w:rPr>
        <w:t>万元</w:t>
      </w:r>
      <w:r>
        <w:rPr>
          <w:rFonts w:hint="eastAsia" w:cs="宋体"/>
          <w:i w:val="0"/>
          <w:iCs/>
          <w:color w:val="auto"/>
          <w:sz w:val="21"/>
          <w:szCs w:val="21"/>
          <w:highlight w:val="none"/>
          <w:vertAlign w:val="superscript"/>
        </w:rPr>
        <w:t>1</w:t>
      </w:r>
      <w:r>
        <w:rPr>
          <w:rFonts w:hint="eastAsia" w:hAnsi="宋体" w:cs="宋体"/>
          <w:color w:val="auto"/>
          <w:kern w:val="2"/>
          <w:sz w:val="21"/>
          <w:highlight w:val="none"/>
        </w:rPr>
        <w:t>，属于</w:t>
      </w:r>
      <w:r>
        <w:rPr>
          <w:rFonts w:hint="eastAsia" w:hAnsi="宋体" w:cs="宋体"/>
          <w:color w:val="auto"/>
          <w:kern w:val="2"/>
          <w:sz w:val="21"/>
          <w:highlight w:val="none"/>
          <w:u w:val="single"/>
        </w:rPr>
        <w:t xml:space="preserve"> （中型企业、小型企业、微型企业）</w:t>
      </w:r>
      <w:r>
        <w:rPr>
          <w:rFonts w:hint="eastAsia" w:hAnsi="宋体" w:cs="宋体"/>
          <w:color w:val="auto"/>
          <w:kern w:val="2"/>
          <w:sz w:val="21"/>
          <w:highlight w:val="none"/>
          <w:u w:val="single"/>
          <w:lang w:eastAsia="zh-CN"/>
        </w:rPr>
        <w:t>；</w:t>
      </w:r>
    </w:p>
    <w:p>
      <w:pPr>
        <w:pStyle w:val="8"/>
        <w:spacing w:line="400" w:lineRule="exact"/>
        <w:ind w:firstLine="420" w:firstLineChars="200"/>
        <w:rPr>
          <w:rFonts w:hint="eastAsia" w:cs="宋体"/>
          <w:i w:val="0"/>
          <w:color w:val="auto"/>
          <w:sz w:val="21"/>
          <w:szCs w:val="21"/>
          <w:highlight w:val="none"/>
        </w:rPr>
      </w:pPr>
      <w:r>
        <w:rPr>
          <w:rFonts w:hint="eastAsia" w:cs="宋体"/>
          <w:i w:val="0"/>
          <w:color w:val="auto"/>
          <w:sz w:val="21"/>
          <w:szCs w:val="21"/>
          <w:highlight w:val="none"/>
        </w:rPr>
        <w:t xml:space="preserve">…… </w:t>
      </w:r>
    </w:p>
    <w:p>
      <w:pPr>
        <w:pStyle w:val="8"/>
        <w:spacing w:line="400" w:lineRule="exact"/>
        <w:ind w:firstLine="420" w:firstLineChars="200"/>
        <w:jc w:val="left"/>
        <w:rPr>
          <w:rFonts w:hint="eastAsia" w:cs="宋体"/>
          <w:i w:val="0"/>
          <w:color w:val="auto"/>
          <w:sz w:val="21"/>
          <w:szCs w:val="21"/>
          <w:highlight w:val="none"/>
        </w:rPr>
      </w:pPr>
      <w:r>
        <w:rPr>
          <w:rFonts w:hint="eastAsia" w:cs="宋体"/>
          <w:i w:val="0"/>
          <w:color w:val="auto"/>
          <w:sz w:val="21"/>
          <w:szCs w:val="21"/>
          <w:highlight w:val="none"/>
        </w:rPr>
        <w:t>以上企业，不属于大企业的分支机构，不存在控股股东为大企业的情形，也不存在与大企业的负责人为同一人的情形。</w:t>
      </w:r>
    </w:p>
    <w:p>
      <w:pPr>
        <w:pStyle w:val="8"/>
        <w:spacing w:line="400" w:lineRule="exact"/>
        <w:ind w:firstLine="420" w:firstLineChars="200"/>
        <w:jc w:val="left"/>
        <w:rPr>
          <w:rFonts w:hint="eastAsia" w:cs="宋体"/>
          <w:i w:val="0"/>
          <w:color w:val="auto"/>
          <w:sz w:val="21"/>
          <w:szCs w:val="21"/>
          <w:highlight w:val="none"/>
        </w:rPr>
      </w:pPr>
      <w:r>
        <w:rPr>
          <w:rFonts w:hint="eastAsia" w:cs="宋体"/>
          <w:i w:val="0"/>
          <w:color w:val="auto"/>
          <w:sz w:val="21"/>
          <w:szCs w:val="21"/>
          <w:highlight w:val="none"/>
        </w:rPr>
        <w:t>本企业对上述声明内容的真实性负责。如有虚假，将依法承担相应责任。</w:t>
      </w:r>
    </w:p>
    <w:p>
      <w:pPr>
        <w:pStyle w:val="8"/>
        <w:spacing w:line="400" w:lineRule="exact"/>
        <w:ind w:firstLine="3360" w:firstLineChars="1600"/>
        <w:jc w:val="left"/>
        <w:rPr>
          <w:rFonts w:hint="eastAsia" w:cs="宋体"/>
          <w:i w:val="0"/>
          <w:color w:val="auto"/>
          <w:sz w:val="21"/>
          <w:szCs w:val="21"/>
          <w:highlight w:val="none"/>
        </w:rPr>
      </w:pPr>
    </w:p>
    <w:p>
      <w:pPr>
        <w:pStyle w:val="8"/>
        <w:spacing w:line="400" w:lineRule="exact"/>
        <w:ind w:firstLine="4095" w:firstLineChars="1950"/>
        <w:jc w:val="left"/>
        <w:rPr>
          <w:rFonts w:hint="eastAsia" w:cs="宋体"/>
          <w:i w:val="0"/>
          <w:color w:val="auto"/>
          <w:sz w:val="21"/>
          <w:szCs w:val="21"/>
          <w:highlight w:val="none"/>
        </w:rPr>
      </w:pPr>
      <w:r>
        <w:rPr>
          <w:rFonts w:hint="eastAsia" w:cs="宋体"/>
          <w:i w:val="0"/>
          <w:color w:val="auto"/>
          <w:sz w:val="21"/>
          <w:szCs w:val="21"/>
          <w:highlight w:val="none"/>
        </w:rPr>
        <w:t>企业名称（盖章）：</w:t>
      </w:r>
    </w:p>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日 期：</w:t>
      </w:r>
    </w:p>
    <w:p>
      <w:pPr>
        <w:spacing w:line="400" w:lineRule="exact"/>
        <w:jc w:val="center"/>
        <w:rPr>
          <w:rFonts w:hint="eastAsia" w:ascii="宋体" w:hAnsi="宋体" w:cs="宋体"/>
          <w:color w:val="auto"/>
          <w:szCs w:val="21"/>
          <w:highlight w:val="none"/>
        </w:rPr>
      </w:pPr>
    </w:p>
    <w:p>
      <w:pPr>
        <w:spacing w:line="400" w:lineRule="exact"/>
        <w:jc w:val="center"/>
        <w:rPr>
          <w:rFonts w:hint="eastAsia" w:ascii="宋体" w:hAnsi="宋体" w:cs="宋体"/>
          <w:color w:val="auto"/>
          <w:szCs w:val="21"/>
          <w:highlight w:val="none"/>
        </w:rPr>
      </w:pPr>
    </w:p>
    <w:p>
      <w:pPr>
        <w:spacing w:line="400" w:lineRule="exact"/>
        <w:jc w:val="center"/>
        <w:rPr>
          <w:rFonts w:hint="eastAsia" w:ascii="宋体" w:hAnsi="宋体" w:cs="宋体"/>
          <w:color w:val="auto"/>
          <w:szCs w:val="21"/>
          <w:highlight w:val="none"/>
        </w:rPr>
      </w:pPr>
    </w:p>
    <w:p>
      <w:pPr>
        <w:spacing w:line="400" w:lineRule="exact"/>
        <w:jc w:val="center"/>
        <w:rPr>
          <w:rFonts w:hint="eastAsia" w:ascii="宋体" w:hAnsi="宋体" w:cs="宋体"/>
          <w:color w:val="auto"/>
          <w:szCs w:val="21"/>
          <w:highlight w:val="none"/>
        </w:rPr>
      </w:pPr>
    </w:p>
    <w:p>
      <w:pPr>
        <w:spacing w:line="400" w:lineRule="exact"/>
        <w:ind w:firstLine="3780" w:firstLineChars="1800"/>
        <w:rPr>
          <w:rFonts w:ascii="宋体" w:hAnsi="宋体"/>
          <w:color w:val="auto"/>
          <w:szCs w:val="21"/>
          <w:highlight w:val="none"/>
        </w:rPr>
      </w:pPr>
    </w:p>
    <w:p>
      <w:pPr>
        <w:spacing w:line="400" w:lineRule="exact"/>
        <w:ind w:firstLine="420" w:firstLineChars="200"/>
        <w:rPr>
          <w:rFonts w:ascii="宋体" w:hAnsi="宋体" w:cs="宋体"/>
          <w:color w:val="auto"/>
          <w:szCs w:val="21"/>
          <w:highlight w:val="none"/>
        </w:rPr>
        <w:sectPr>
          <w:headerReference r:id="rId7" w:type="default"/>
          <w:footerReference r:id="rId8" w:type="default"/>
          <w:pgSz w:w="11907" w:h="16840"/>
          <w:pgMar w:top="1134" w:right="1418" w:bottom="1134" w:left="1418" w:header="284" w:footer="992" w:gutter="0"/>
          <w:cols w:space="720" w:num="1"/>
          <w:docGrid w:linePitch="285" w:charSpace="0"/>
        </w:sectPr>
      </w:pPr>
      <w:r>
        <w:rPr>
          <w:rFonts w:ascii="宋体" w:hAnsi="宋体"/>
          <w:color w:val="auto"/>
          <w:szCs w:val="21"/>
          <w:highlight w:val="none"/>
        </w:rPr>
        <w:t>1从业人员、营业收入、资产总额填报上一年度数据，无上一年度数据的新成立企业可不填报。</w:t>
      </w:r>
    </w:p>
    <w:p>
      <w:pPr>
        <w:pStyle w:val="10"/>
        <w:spacing w:line="360" w:lineRule="auto"/>
        <w:ind w:firstLine="420" w:firstLineChars="200"/>
        <w:jc w:val="both"/>
        <w:rPr>
          <w:rFonts w:hint="eastAsia" w:hAnsi="宋体" w:cs="宋体"/>
          <w:color w:val="auto"/>
          <w:kern w:val="2"/>
          <w:szCs w:val="22"/>
          <w:highlight w:val="none"/>
        </w:rPr>
      </w:pPr>
    </w:p>
    <w:p>
      <w:pPr>
        <w:widowControl/>
        <w:jc w:val="center"/>
        <w:textAlignment w:val="bottom"/>
        <w:rPr>
          <w:rFonts w:hint="eastAsia" w:ascii="宋体" w:hAnsi="宋体" w:cs="宋体"/>
          <w:b/>
          <w:color w:val="auto"/>
          <w:kern w:val="0"/>
          <w:sz w:val="32"/>
          <w:szCs w:val="32"/>
          <w:highlight w:val="none"/>
          <w:lang w:bidi="ar"/>
        </w:rPr>
      </w:pPr>
    </w:p>
    <w:tbl>
      <w:tblPr>
        <w:tblStyle w:val="17"/>
        <w:tblW w:w="0" w:type="auto"/>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noWrap w:val="0"/>
            <w:tcMar>
              <w:top w:w="15" w:type="dxa"/>
              <w:left w:w="15" w:type="dxa"/>
              <w:bottom w:w="15" w:type="dxa"/>
              <w:right w:w="15" w:type="dxa"/>
            </w:tcMar>
            <w:vAlign w:val="bottom"/>
          </w:tcPr>
          <w:p>
            <w:pPr>
              <w:widowControl/>
              <w:jc w:val="center"/>
              <w:textAlignment w:val="bottom"/>
              <w:rPr>
                <w:rFonts w:hint="eastAsia" w:ascii="宋体" w:hAnsi="宋体" w:cs="宋体"/>
                <w:b/>
                <w:color w:val="auto"/>
                <w:sz w:val="32"/>
                <w:szCs w:val="32"/>
                <w:highlight w:val="none"/>
              </w:rPr>
            </w:pPr>
            <w:r>
              <w:rPr>
                <w:rFonts w:hint="eastAsia" w:ascii="宋体" w:hAnsi="宋体" w:cs="宋体"/>
                <w:b/>
                <w:color w:val="auto"/>
                <w:kern w:val="0"/>
                <w:sz w:val="32"/>
                <w:szCs w:val="32"/>
                <w:highlight w:val="none"/>
                <w:lang w:bidi="ar"/>
              </w:rPr>
              <w:t>中小微行业划型标准规定</w:t>
            </w:r>
            <w:r>
              <w:rPr>
                <w:rFonts w:hint="eastAsia" w:ascii="宋体" w:hAnsi="宋体" w:cs="宋体"/>
                <w:b/>
                <w:color w:val="auto"/>
                <w:kern w:val="0"/>
                <w:sz w:val="24"/>
                <w:szCs w:val="24"/>
                <w:highlight w:val="none"/>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sz w:val="24"/>
                <w:szCs w:val="24"/>
                <w:highlight w:val="none"/>
              </w:rPr>
            </w:pPr>
            <w:r>
              <w:rPr>
                <w:rFonts w:hint="eastAsia" w:ascii="宋体" w:hAnsi="宋体" w:cs="宋体"/>
                <w:b/>
                <w:color w:val="auto"/>
                <w:kern w:val="0"/>
                <w:sz w:val="24"/>
                <w:szCs w:val="24"/>
                <w:highlight w:val="none"/>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center"/>
              <w:textAlignment w:val="bottom"/>
              <w:rPr>
                <w:rFonts w:hint="eastAsia" w:ascii="宋体" w:hAnsi="宋体" w:cs="宋体"/>
                <w:b/>
                <w:color w:val="auto"/>
                <w:sz w:val="24"/>
                <w:szCs w:val="24"/>
                <w:highlight w:val="none"/>
              </w:rPr>
            </w:pPr>
            <w:r>
              <w:rPr>
                <w:rFonts w:hint="eastAsia" w:ascii="宋体" w:hAnsi="宋体" w:cs="宋体"/>
                <w:b/>
                <w:color w:val="auto"/>
                <w:kern w:val="0"/>
                <w:sz w:val="24"/>
                <w:szCs w:val="24"/>
                <w:highlight w:val="none"/>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center"/>
              <w:textAlignment w:val="bottom"/>
              <w:rPr>
                <w:rFonts w:hint="eastAsia" w:ascii="宋体" w:hAnsi="宋体" w:cs="宋体"/>
                <w:b/>
                <w:color w:val="auto"/>
                <w:sz w:val="24"/>
                <w:szCs w:val="24"/>
                <w:highlight w:val="none"/>
              </w:rPr>
            </w:pPr>
            <w:r>
              <w:rPr>
                <w:rFonts w:hint="eastAsia" w:ascii="宋体" w:hAnsi="宋体" w:cs="宋体"/>
                <w:b/>
                <w:color w:val="auto"/>
                <w:kern w:val="0"/>
                <w:sz w:val="24"/>
                <w:szCs w:val="24"/>
                <w:highlight w:val="none"/>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center"/>
              <w:textAlignment w:val="bottom"/>
              <w:rPr>
                <w:rFonts w:hint="eastAsia" w:ascii="宋体" w:hAnsi="宋体" w:cs="宋体"/>
                <w:b/>
                <w:color w:val="auto"/>
                <w:sz w:val="24"/>
                <w:szCs w:val="24"/>
                <w:highlight w:val="none"/>
              </w:rPr>
            </w:pPr>
            <w:r>
              <w:rPr>
                <w:rFonts w:hint="eastAsia" w:ascii="宋体" w:hAnsi="宋体" w:cs="宋体"/>
                <w:b/>
                <w:color w:val="auto"/>
                <w:kern w:val="0"/>
                <w:sz w:val="24"/>
                <w:szCs w:val="24"/>
                <w:highlight w:val="none"/>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center"/>
          </w:tcPr>
          <w:p>
            <w:pPr>
              <w:rPr>
                <w:rFonts w:hint="eastAsia" w:ascii="宋体" w:hAnsi="宋体" w:cs="宋体"/>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从业人员X（人）</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从业人员X（人）</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2000≤Y＜40000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300≤Y＜2000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6000≤Y＜80000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5000≤Z＜80000</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300≤Y＜6000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5000≤Y＜40000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1000≤Y＜5000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X＜5</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Y＜1000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10≤X＜50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100≤Y＜500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3000≤Y＜30000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200≤Y＜3000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V＜200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100≤X＜200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1000≤Y＜30000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2000≤Y＜30000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10、餐饮业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V＜100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100≤X＜2000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1000≤Y＜100000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1000≤Y＜10000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1000≤Y＜200000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5000≤Z＜10000</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2000≤Z＜5000</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14、物业管理</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1000≤Y＜5000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500≤Y＜1000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X＜100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Y＜500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8000≤Z＜120000</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100≤X＜300</w:t>
            </w:r>
          </w:p>
        </w:tc>
        <w:tc>
          <w:tcPr>
            <w:tcW w:w="1575" w:type="dxa"/>
            <w:tcBorders>
              <w:top w:val="single" w:color="000000" w:sz="4" w:space="0"/>
              <w:left w:val="single" w:color="000000" w:sz="4" w:space="0"/>
              <w:bottom w:val="single" w:color="000000" w:sz="12"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10≤X＜100</w:t>
            </w:r>
          </w:p>
        </w:tc>
        <w:tc>
          <w:tcPr>
            <w:tcW w:w="1387" w:type="dxa"/>
            <w:tcBorders>
              <w:top w:val="single" w:color="000000" w:sz="4" w:space="0"/>
              <w:left w:val="single" w:color="000000" w:sz="4" w:space="0"/>
              <w:bottom w:val="single" w:color="000000" w:sz="12"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X＜10</w:t>
            </w:r>
          </w:p>
        </w:tc>
        <w:tc>
          <w:tcPr>
            <w:tcW w:w="976" w:type="dxa"/>
            <w:tcBorders>
              <w:top w:val="single" w:color="000000" w:sz="4" w:space="0"/>
              <w:left w:val="single" w:color="000000" w:sz="4" w:space="0"/>
              <w:bottom w:val="single" w:color="000000" w:sz="12" w:space="0"/>
              <w:right w:val="single" w:color="000000" w:sz="4"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bottom"/>
          </w:tcPr>
          <w:p>
            <w:pPr>
              <w:rPr>
                <w:rFonts w:hint="eastAsia" w:ascii="宋体" w:hAnsi="宋体" w:cs="宋体"/>
                <w:color w:val="auto"/>
                <w:sz w:val="20"/>
                <w:highlight w:val="none"/>
              </w:rPr>
            </w:pPr>
          </w:p>
        </w:tc>
      </w:tr>
      <w:tr>
        <w:tblPrEx>
          <w:tblCellMar>
            <w:top w:w="0" w:type="dxa"/>
            <w:left w:w="108" w:type="dxa"/>
            <w:bottom w:w="0" w:type="dxa"/>
            <w:right w:w="108" w:type="dxa"/>
          </w:tblCellMar>
        </w:tblPrEx>
        <w:trPr>
          <w:trHeight w:val="187" w:hRule="atLeast"/>
        </w:trPr>
        <w:tc>
          <w:tcPr>
            <w:tcW w:w="14811" w:type="dxa"/>
            <w:gridSpan w:val="10"/>
            <w:noWrap w:val="0"/>
            <w:tcMar>
              <w:top w:w="15" w:type="dxa"/>
              <w:left w:w="15" w:type="dxa"/>
              <w:bottom w:w="15" w:type="dxa"/>
              <w:right w:w="15" w:type="dxa"/>
            </w:tcMar>
            <w:vAlign w:val="bottom"/>
          </w:tcPr>
          <w:p>
            <w:pPr>
              <w:widowControl/>
              <w:jc w:val="left"/>
              <w:textAlignment w:val="bottom"/>
              <w:rPr>
                <w:rFonts w:hint="eastAsia" w:ascii="宋体" w:hAnsi="宋体" w:cs="宋体"/>
                <w:color w:val="auto"/>
                <w:sz w:val="20"/>
                <w:highlight w:val="none"/>
              </w:rPr>
            </w:pPr>
            <w:r>
              <w:rPr>
                <w:rFonts w:hint="eastAsia" w:ascii="宋体" w:hAnsi="宋体" w:cs="宋体"/>
                <w:color w:val="auto"/>
                <w:kern w:val="0"/>
                <w:sz w:val="20"/>
                <w:highlight w:val="none"/>
                <w:lang w:bidi="ar"/>
              </w:rPr>
              <w:t>说明　1、企业类型的划分以统计部门的统计数据为依据。2、个体工商户和本规定以外的行业，参照本规定进行划型。</w:t>
            </w:r>
          </w:p>
        </w:tc>
      </w:tr>
      <w:tr>
        <w:tblPrEx>
          <w:tblCellMar>
            <w:top w:w="0" w:type="dxa"/>
            <w:left w:w="108" w:type="dxa"/>
            <w:bottom w:w="0" w:type="dxa"/>
            <w:right w:w="108" w:type="dxa"/>
          </w:tblCellMar>
        </w:tblPrEx>
        <w:trPr>
          <w:trHeight w:val="413" w:hRule="atLeast"/>
        </w:trPr>
        <w:tc>
          <w:tcPr>
            <w:tcW w:w="6686" w:type="dxa"/>
            <w:gridSpan w:val="4"/>
            <w:noWrap w:val="0"/>
            <w:tcMar>
              <w:top w:w="15" w:type="dxa"/>
              <w:left w:w="15" w:type="dxa"/>
              <w:bottom w:w="15" w:type="dxa"/>
              <w:right w:w="15" w:type="dxa"/>
            </w:tcMar>
            <w:vAlign w:val="bottom"/>
          </w:tcPr>
          <w:p>
            <w:pPr>
              <w:rPr>
                <w:rFonts w:hint="eastAsia" w:ascii="宋体" w:hAnsi="宋体" w:cs="宋体"/>
                <w:color w:val="auto"/>
                <w:sz w:val="20"/>
                <w:highlight w:val="none"/>
              </w:rPr>
            </w:pPr>
            <w:r>
              <w:rPr>
                <w:rFonts w:hint="eastAsia" w:ascii="宋体" w:hAnsi="宋体" w:cs="宋体"/>
                <w:color w:val="auto"/>
                <w:kern w:val="0"/>
                <w:sz w:val="20"/>
                <w:highlight w:val="none"/>
                <w:lang w:bidi="ar"/>
              </w:rPr>
              <w:t>　　　3、本规定的中型企业标准上限即为大型企业标准的下限。</w:t>
            </w:r>
          </w:p>
        </w:tc>
        <w:tc>
          <w:tcPr>
            <w:tcW w:w="1182" w:type="dxa"/>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387" w:type="dxa"/>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425" w:type="dxa"/>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1010" w:type="dxa"/>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976" w:type="dxa"/>
            <w:noWrap w:val="0"/>
            <w:tcMar>
              <w:top w:w="15" w:type="dxa"/>
              <w:left w:w="15" w:type="dxa"/>
              <w:bottom w:w="15" w:type="dxa"/>
              <w:right w:w="15" w:type="dxa"/>
            </w:tcMar>
            <w:vAlign w:val="bottom"/>
          </w:tcPr>
          <w:p>
            <w:pPr>
              <w:rPr>
                <w:rFonts w:hint="eastAsia" w:ascii="宋体" w:hAnsi="宋体" w:cs="宋体"/>
                <w:color w:val="auto"/>
                <w:sz w:val="20"/>
                <w:highlight w:val="none"/>
              </w:rPr>
            </w:pPr>
          </w:p>
        </w:tc>
        <w:tc>
          <w:tcPr>
            <w:tcW w:w="2145" w:type="dxa"/>
            <w:noWrap w:val="0"/>
            <w:tcMar>
              <w:top w:w="15" w:type="dxa"/>
              <w:left w:w="15" w:type="dxa"/>
              <w:bottom w:w="15" w:type="dxa"/>
              <w:right w:w="15" w:type="dxa"/>
            </w:tcMar>
            <w:vAlign w:val="bottom"/>
          </w:tcPr>
          <w:p>
            <w:pPr>
              <w:rPr>
                <w:rFonts w:hint="eastAsia" w:ascii="宋体" w:hAnsi="宋体" w:cs="宋体"/>
                <w:color w:val="auto"/>
                <w:sz w:val="20"/>
                <w:highlight w:val="none"/>
              </w:rPr>
            </w:pPr>
          </w:p>
        </w:tc>
      </w:tr>
    </w:tbl>
    <w:p>
      <w:pPr>
        <w:spacing w:line="360" w:lineRule="auto"/>
        <w:rPr>
          <w:rFonts w:hint="eastAsia" w:ascii="宋体" w:hAnsi="宋体" w:cs="宋体"/>
          <w:color w:val="auto"/>
          <w:sz w:val="28"/>
          <w:highlight w:val="none"/>
        </w:rPr>
        <w:sectPr>
          <w:headerReference r:id="rId9" w:type="default"/>
          <w:footerReference r:id="rId10" w:type="default"/>
          <w:pgSz w:w="16838" w:h="11906" w:orient="landscape"/>
          <w:pgMar w:top="1440" w:right="1123" w:bottom="1440" w:left="1123" w:header="851" w:footer="992" w:gutter="0"/>
          <w:cols w:space="720" w:num="1"/>
          <w:docGrid w:linePitch="312" w:charSpace="0"/>
        </w:sectPr>
      </w:pPr>
    </w:p>
    <w:p>
      <w:pPr>
        <w:spacing w:line="360" w:lineRule="auto"/>
        <w:rPr>
          <w:rFonts w:hint="eastAsia" w:ascii="宋体" w:hAnsi="宋体" w:cs="宋体"/>
          <w:b/>
          <w:bCs/>
          <w:color w:val="auto"/>
          <w:sz w:val="28"/>
          <w:highlight w:val="none"/>
        </w:rPr>
      </w:pPr>
    </w:p>
    <w:p>
      <w:pPr>
        <w:spacing w:line="480" w:lineRule="auto"/>
        <w:jc w:val="center"/>
        <w:rPr>
          <w:rFonts w:hint="eastAsia" w:ascii="宋体" w:hAnsi="宋体" w:cs="宋体"/>
          <w:b/>
          <w:bCs/>
          <w:color w:val="auto"/>
          <w:sz w:val="24"/>
          <w:szCs w:val="24"/>
          <w:highlight w:val="none"/>
        </w:rPr>
      </w:pPr>
      <w:bookmarkStart w:id="46" w:name="_Toc30761_WPSOffice_Level1"/>
      <w:bookmarkStart w:id="47" w:name="_Toc29593_WPSOffice_Level1"/>
      <w:bookmarkStart w:id="48" w:name="_Toc10561_WPSOffice_Level1"/>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）残疾人福利性单位声明函</w:t>
      </w:r>
      <w:bookmarkEnd w:id="46"/>
      <w:bookmarkEnd w:id="47"/>
      <w:bookmarkEnd w:id="48"/>
    </w:p>
    <w:p>
      <w:pPr>
        <w:spacing w:line="480" w:lineRule="auto"/>
        <w:ind w:firstLine="504" w:firstLineChars="200"/>
        <w:rPr>
          <w:rFonts w:hint="eastAsia" w:ascii="宋体" w:hAnsi="宋体" w:cs="宋体"/>
          <w:color w:val="auto"/>
          <w:spacing w:val="6"/>
          <w:sz w:val="24"/>
          <w:szCs w:val="24"/>
          <w:highlight w:val="none"/>
        </w:rPr>
      </w:pPr>
      <w:r>
        <w:rPr>
          <w:rFonts w:hint="eastAsia" w:ascii="宋体" w:hAnsi="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cs="宋体"/>
          <w:color w:val="auto"/>
          <w:sz w:val="24"/>
          <w:szCs w:val="24"/>
          <w:highlight w:val="none"/>
        </w:rPr>
        <w:t>〔2017〕 141</w:t>
      </w:r>
      <w:r>
        <w:rPr>
          <w:rFonts w:hint="eastAsia" w:ascii="宋体" w:hAnsi="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rPr>
          <w:rFonts w:hint="eastAsia" w:ascii="宋体" w:hAnsi="宋体" w:cs="宋体"/>
          <w:color w:val="auto"/>
          <w:sz w:val="24"/>
          <w:szCs w:val="24"/>
          <w:highlight w:val="none"/>
        </w:rPr>
      </w:pPr>
      <w:r>
        <w:rPr>
          <w:rFonts w:hint="eastAsia" w:ascii="宋体" w:hAnsi="宋体" w:cs="宋体"/>
          <w:color w:val="auto"/>
          <w:spacing w:val="6"/>
          <w:sz w:val="24"/>
          <w:szCs w:val="24"/>
          <w:highlight w:val="none"/>
        </w:rPr>
        <w:t>本单位对上述声明的真实性负责。如有虚假，将依法承担相应责任。</w:t>
      </w:r>
    </w:p>
    <w:p>
      <w:pPr>
        <w:spacing w:line="360" w:lineRule="auto"/>
        <w:rPr>
          <w:rFonts w:hint="eastAsia" w:ascii="宋体" w:hAnsi="宋体" w:cs="宋体"/>
          <w:color w:val="auto"/>
          <w:sz w:val="28"/>
          <w:highlight w:val="none"/>
        </w:rPr>
      </w:pPr>
    </w:p>
    <w:p>
      <w:pPr>
        <w:pStyle w:val="15"/>
        <w:widowControl w:val="0"/>
        <w:spacing w:before="0" w:beforeAutospacing="0" w:after="120" w:afterAutospacing="0" w:line="480" w:lineRule="exact"/>
        <w:ind w:left="420" w:leftChars="200"/>
        <w:jc w:val="both"/>
        <w:rPr>
          <w:rFonts w:hint="eastAsia" w:hAnsi="宋体" w:cs="宋体"/>
          <w:color w:val="auto"/>
          <w:highlight w:val="none"/>
        </w:rPr>
      </w:pPr>
      <w:r>
        <w:rPr>
          <w:rFonts w:hint="eastAsia" w:hAnsi="宋体" w:cs="宋体"/>
          <w:color w:val="auto"/>
          <w:kern w:val="2"/>
          <w:sz w:val="21"/>
          <w:highlight w:val="none"/>
        </w:rPr>
        <w:t>企业名称（盖章）：</w:t>
      </w:r>
    </w:p>
    <w:p>
      <w:pPr>
        <w:ind w:firstLine="420"/>
        <w:rPr>
          <w:rFonts w:hint="eastAsia" w:ascii="宋体" w:hAnsi="宋体" w:cs="宋体"/>
          <w:color w:val="auto"/>
          <w:highlight w:val="none"/>
        </w:rPr>
      </w:pPr>
      <w:r>
        <w:rPr>
          <w:rFonts w:hint="eastAsia" w:ascii="宋体" w:hAnsi="宋体" w:cs="宋体"/>
          <w:color w:val="auto"/>
          <w:highlight w:val="none"/>
        </w:rPr>
        <w:t>日  期</w:t>
      </w:r>
    </w:p>
    <w:p>
      <w:pPr>
        <w:pStyle w:val="9"/>
        <w:ind w:left="1470" w:right="1470" w:firstLine="420"/>
        <w:rPr>
          <w:rFonts w:hint="eastAsia" w:ascii="宋体" w:hAnsi="宋体" w:cs="宋体"/>
          <w:color w:val="auto"/>
          <w:highlight w:val="none"/>
        </w:rPr>
      </w:pPr>
    </w:p>
    <w:p>
      <w:pPr>
        <w:pStyle w:val="9"/>
        <w:ind w:left="1470" w:right="1470" w:firstLine="420"/>
        <w:rPr>
          <w:rFonts w:hint="eastAsia" w:ascii="宋体" w:hAnsi="宋体" w:cs="宋体"/>
          <w:color w:val="auto"/>
          <w:highlight w:val="none"/>
        </w:rPr>
      </w:pPr>
    </w:p>
    <w:p>
      <w:pPr>
        <w:spacing w:line="40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注：</w:t>
      </w:r>
    </w:p>
    <w:p>
      <w:pPr>
        <w:spacing w:line="40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享受政府采购支持政策的残疾人福利性单位应当同时满足以下条件：</w:t>
      </w:r>
    </w:p>
    <w:p>
      <w:pPr>
        <w:spacing w:line="40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（一）安置的残疾人占本单位在职职工人数的比例不低于25%（含25%），并且安置的残疾人人数不少于10人（含10人）；</w:t>
      </w:r>
    </w:p>
    <w:p>
      <w:pPr>
        <w:spacing w:line="40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（二）依法与安置的每位残疾人签订了一年以上（含一年）的劳动合同或服务协议；</w:t>
      </w:r>
    </w:p>
    <w:p>
      <w:pPr>
        <w:spacing w:line="40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（三）为安置的每位残疾人按月足额缴纳了基本养老保险、基本医疗保险、失业保险、工伤保险和生育保险等社会保险费；</w:t>
      </w:r>
    </w:p>
    <w:p>
      <w:pPr>
        <w:spacing w:line="40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（四）通过银行等金融机构向安置的每位残疾人，按月支付了不低于单位所在区县适用的经省级人民政府批准的月最低工资标准的工资；</w:t>
      </w:r>
    </w:p>
    <w:p>
      <w:pPr>
        <w:spacing w:line="40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（五）提供本单位制造的货物、承担的工程或者服务（以下简称产品），或者提供其他残疾人福利性单位制造的货物（不包括使用非残疾人福利性单位注册商标的货物）。</w:t>
      </w:r>
    </w:p>
    <w:p>
      <w:pPr>
        <w:spacing w:line="40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48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br w:type="page"/>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val="en-US" w:eastAsia="zh-CN"/>
        </w:rPr>
        <w:t>6</w:t>
      </w:r>
      <w:r>
        <w:rPr>
          <w:rFonts w:hint="eastAsia" w:ascii="宋体" w:hAnsi="宋体" w:cs="宋体"/>
          <w:b/>
          <w:bCs/>
          <w:color w:val="auto"/>
          <w:sz w:val="24"/>
          <w:szCs w:val="24"/>
          <w:highlight w:val="none"/>
        </w:rPr>
        <w:t>）投标供应商认为需要提供的其他资料（如有需提供）</w:t>
      </w:r>
    </w:p>
    <w:p>
      <w:pPr>
        <w:rPr>
          <w:color w:val="auto"/>
          <w:highlight w:val="none"/>
        </w:rPr>
      </w:pPr>
    </w:p>
    <w:sectPr>
      <w:pgSz w:w="11906" w:h="16838"/>
      <w:pgMar w:top="1440" w:right="1123" w:bottom="1440" w:left="11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S3tjc0BAACnAwAADgAAAGRycy9lMm9Eb2MueG1srVNLbtswEN0X6B0I 7mspRlAYguUghZGiQNEWSHsAmhpZBPgDh7bkC7Q36Kqb7nsun6NDSnLSdJNFNtT8+Gbe42h9MxjN jhBQOVvzq0XJGVjpGmX3Nf/29e7NijOMwjZCOws1PwHym83rV+veV7B0ndMNBEYgFqve17yL0VdF gbIDI3DhPFhKti4YEckN+6IJoid0o4tlWb4tehcaH5wERIpuxySfEMNzAF3bKglbJw8GbBxRA2gR iRJ2yiPf5GnbFmT83LYIkemaE9OYT2pC9i6dxWYtqn0QvlNyGkE8Z4QnnIxQlppeoLYiCnYI6j8o o2Rw6Nq4kM4UI5GsCLG4Kp9oc98JD5kLSY3+Ijq+HKz8dPwSmGpqfs2ZFYYe/Pzzx/nXn/Pv7+w6 ydN7rKjq3lNdHN65gZZmjiMFE+uhDSZ9iQ+jPIl7uogLQ2QyXVotV6uSUpJys0P4xcN1HzC+B2dY Mmoe6PWyqOL4EeNYOpekbtbdKa3zC2r7T4AwxwjkFZhuJybjxMmKw26Y6O1ccyJ2Pa1BzS1tPWf6 gyWV08bMRpiN3WwcfFD7Lq9U6o7+9hBppDxp6jDCEsPk0PtlrtOupQV57Oeqh/9r8xd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OqXm5zwAAAAUBAAAPAAAAAAAAAAEAIAAAACIAAABkcnMvZG93bnJl di54bWxQSwECFAAUAAAACACHTuJABS3tjc0BAACnAwAADgAAAAAAAAABACAAAAAeAQAAZHJzL2Uy b0RvYy54bWxQSwUGAAAAAAYABgBZAQAAXQU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45</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zTfxnswBAACnAwAADgAAAGRycy9lMm9Eb2MueG1srVPNjtMwEL4j8Q6W 7zRpkVAVNV3tqlqEhABp4QFcx2ks+U8zbpO+ALwBJy7cea4+B2Mn6cJy2QMXZ/78zXyfJ5ubwRp2 UoDau5ovFyVnyknfaHeo+ZfP96/WnGEUrhHGO1Xzs0J+s335YtOHSq18502jgBGIw6oPNe9iDFVR oOyUFbjwQTlKth6siOTCoWhA9IRuTbEqyzdF76EJ4KVCpOhuTPIJEZ4D6NtWS7Xz8miViyMqKCMi UcJOB+TbPG3bKhk/ti2qyEzNiWnMJzUhe5/OYrsR1QFE6LScRhDPGeEJJyu0o6ZXqJ2Igh1B/wNl tQSPvo0L6W0xEsmKEItl+USbh04ElbmQ1BiuouP/g5UfTp+A6abmrzlzwtKDX75/u/z4dfn5lS2T PH3AiqoeAtXF4c4PtDRzHCmYWA8t2PQlPozyJO75Kq4aIpPp0nq1XpeUkpSbHcIvHq8HwPhWecuS UXOg18uiitN7jGPpXJK6OX+vjckvaNxfAcIcIyqvwHQ7MRknTlYc9sNEb++bM7HraQ1q7mjrOTPv HKmcNmY2YDb2s3EMoA9dXqnUHcPtMdJIedLUYYQlhsmh98tcp11LC/Knn6se/6/tb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M6pebnPAAAABQEAAA8AAAAAAAAAAQAgAAAAIgAAAGRycy9kb3ducmV2 LnhtbFBLAQIUABQAAAAIAIdO4kDNN/GezAEAAKcDAAAOAAAAAAAAAAEAIAAAAB4BAABkcnMvZTJv RG9jLnhtbFBLBQYAAAAABgAGAFkBAABcBQ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49</w:t>
                          </w:r>
                          <w:r>
                            <w:rPr>
                              <w:rFonts w:hint="eastAsi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mKMRP80BAACnAwAADgAAAGRycy9lMm9Eb2MueG1srVPNjtMwEL4j8Q6W 7zTZIlAVNV2BqkVICJCWfQDXmTSW/CeP26QvAG/AiQt3nqvPwdhJurB72cNenPnzN/N9nqyvB6PZ EQIqZ2t+tSg5Aytdo+y+5nffbl6tOMMobCO0s1DzEyC/3rx8se59BUvXOd1AYARisep9zbsYfVUU KDswAhfOg6Vk64IRkdywL5ogekI3uliW5duid6HxwUlApOh2TPIJMTwF0LWtkrB18mDAxhE1gBaR KGGnPPJNnrZtQcYvbYsQma45MY35pCZk79JZbNai2gfhOyWnEcRTRnjAyQhlqekFaiuiYIegHkEZ JYND18aFdKYYiWRFiMVV+UCb2054yFxIavQX0fH5YOXn49fAVFPzN5xZYejBzz9/nH/9Of/+zl4n eXqPFVXdeqqLw3s30NLMcaRgYj20waQv8WGUJ3FPF3FhiEymS6vlalVSSlJudgi/uL/uA8YP4AxL Rs0DvV4WVRw/YRxL55LUzbobpXV+QW3/CxDmGIG8AtPtxGScOFlx2A0TvZ1rTsSupzWouaWt50x/ tKRy2pjZCLOxm42DD2rf5ZVK3dG/O0QaKU+aOoywxDA59H6Z67RraUH+9XPV/f+1+Qt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OqXm5zwAAAAUBAAAPAAAAAAAAAAEAIAAAACIAAABkcnMvZG93bnJl di54bWxQSwECFAAUAAAACACHTuJAmKMRP80BAACnAwAADgAAAAAAAAABACAAAAAeAQAAZHJzL2Uy b0RvYy54bWxQSwUGAAAAAAYABgBZAQAAXQU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49</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BdLdql1gEAAKIDAAAOAAAAZHJzL2Uyb0RvYy54bWytU82O0zAQ viPxDpbvNE1/YImarkDVIiQESAsP4Dp2Y8l/8rhN+gLwBpy4cOe5+hyMnaSLlsseuDhjz8w3830z 2dz2RpOTCKCcrWk5m1MiLHeNsoeafv1y9+KGEojMNkw7K2p6FkBvt8+fbTpfiYVrnW5EIAhioep8 TdsYfVUUwFthGMycFxad0gXDIl7DoWgC6xDd6GIxn78sOhcaHxwXAPi6G5x0RAxPAXRSKi52jh+N sHFADUKziJSgVR7oNncrpeDxk5QgItE1RaYxn1gE7X06i+2GVYfAfKv42AJ7SguPOBmmLBa9Qu1Y ZOQY1D9QRvHgwMk4484UA5GsCLIo54+0uW+ZF5kLSg3+Kjr8P1j+8fQ5ENXUdEGJZQYHfvnx/fLz 9+XXN1Iukz6dhwrD7j0Gxv6t63FrpnfAx0S7l8GkLxIi6Ed1z1d1RR8JT0nl6vVyTQlHV7ksV6t1 Qikekn2A+E44Q5JR04DDy5qy0weIQ+gUkmpZd6e0zgPUlnQIur55tc4ZVxeia4tFEoeh12TFft+P xPauOSOvDjegphYXnhL93qLAaVkmI0zGfjKOPqhDm7cptQL+zTFiO7nLVGGAHQvj6DLPcc3Sbvx9 z1EPv9b2D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EAMx4DUAAAAAwEAAA8AAAAAAAAAAQAgAAAA IgAAAGRycy9kb3ducmV2LnhtbFBLAQIUABQAAAAIAIdO4kBdLdql1gEAAKIDAAAOAAAAAAAAAAEA IAAAACMBAABkcnMvZTJvRG9jLnhtbFBLBQYAAAAABgAGAFkBAABrBQAAAAA= ">
              <v:fill on="f" focussize="0,0"/>
              <v:stroke on="f" weight="1.25pt"/>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60</w:t>
                          </w:r>
                          <w:r>
                            <w:rPr>
                              <w:rFonts w:hint="eastAsi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kmpZgswBAACnAwAADgAAAGRycy9lMm9Eb2MueG1srVNLbtswEN0X6B0I 7mspXgSGYDloYaQoEKQF0h6ApiiLAH+YoS35Au0Nuuqm+57L5+iQkpw22WSRDTU/vpn3OFrfDNaw owLU3tX8alFyppz0jXb7mn/7evtuxRlG4RphvFM1PynkN5u3b9Z9qNTSd940ChiBOKz6UPMuxlAV BcpOWYELH5SjZOvBikgu7IsGRE/o1hTLsrwueg9NAC8VIkW3Y5JPiPASQN+2WqqtlwerXBxRQRkR iRJ2OiDf5GnbVsn4uW1RRWZqTkxjPqkJ2bt0Fpu1qPYgQqflNIJ4yQhPOFmhHTW9QG1FFOwA+hmU 1RI8+jYupLfFSCQrQiyuyifaPHQiqMyFpMZwER1fD1beH78A003NrzlzwtKDn3/+OP/6c/79nS2T PH3AiqoeAtXF4YMfaGnmOFIwsR5asOlLfBjlSdzTRVw1RCbTpdVytSopJSk3O4RfPF4PgPGj8pYl o+ZAr5dFFcc7jGPpXJK6OX+rjckvaNx/AcIcIyqvwHQ7MRknTlYcdsNEb+ebE7HraQ1q7mjrOTOf HKmcNmY2YDZ2s3EIoPddXqnUHcP7Q6SR8qSpwwhLDJND75e5TruWFuRfP1c9/l+bv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M6pebnPAAAABQEAAA8AAAAAAAAAAQAgAAAAIgAAAGRycy9kb3ducmV2 LnhtbFBLAQIUABQAAAAIAIdO4kCSalmCzAEAAKcDAAAOAAAAAAAAAAEAIAAAAB4BAABkcnMvZTJv RG9jLnhtbFBLBQYAAAAABgAGAFkBAABcBQ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60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lear" w:pos="4153"/>
        <w:tab w:val="clear" w:pos="8306"/>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5F845"/>
    <w:multiLevelType w:val="singleLevel"/>
    <w:tmpl w:val="9435F845"/>
    <w:lvl w:ilvl="0" w:tentative="0">
      <w:start w:val="1"/>
      <w:numFmt w:val="decimal"/>
      <w:pStyle w:val="5"/>
      <w:lvlText w:val="%1."/>
      <w:lvlJc w:val="left"/>
      <w:pPr>
        <w:tabs>
          <w:tab w:val="left" w:pos="360"/>
        </w:tabs>
        <w:ind w:left="360" w:hanging="360"/>
      </w:pPr>
    </w:lvl>
  </w:abstractNum>
  <w:abstractNum w:abstractNumId="1">
    <w:nsid w:val="00000007"/>
    <w:multiLevelType w:val="singleLevel"/>
    <w:tmpl w:val="00000007"/>
    <w:lvl w:ilvl="0" w:tentative="0">
      <w:start w:val="1"/>
      <w:numFmt w:val="decimal"/>
      <w:lvlText w:val="%1."/>
      <w:lvlJc w:val="left"/>
      <w:pPr>
        <w:tabs>
          <w:tab w:val="left" w:pos="425"/>
        </w:tabs>
        <w:ind w:left="425" w:hanging="425"/>
      </w:pPr>
      <w:rPr>
        <w:rFonts w:hint="default"/>
      </w:rPr>
    </w:lvl>
  </w:abstractNum>
  <w:abstractNum w:abstractNumId="2">
    <w:nsid w:val="4AAAB3C9"/>
    <w:multiLevelType w:val="singleLevel"/>
    <w:tmpl w:val="4AAAB3C9"/>
    <w:lvl w:ilvl="0" w:tentative="0">
      <w:start w:val="1"/>
      <w:numFmt w:val="decimal"/>
      <w:suff w:val="nothing"/>
      <w:lvlText w:val="%1、"/>
      <w:lvlJc w:val="left"/>
    </w:lvl>
  </w:abstractNum>
  <w:abstractNum w:abstractNumId="3">
    <w:nsid w:val="6FC31102"/>
    <w:multiLevelType w:val="singleLevel"/>
    <w:tmpl w:val="6FC31102"/>
    <w:lvl w:ilvl="0" w:tentative="0">
      <w:start w:val="1"/>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78"/>
    <w:rsid w:val="0054467D"/>
    <w:rsid w:val="005D2828"/>
    <w:rsid w:val="008C248F"/>
    <w:rsid w:val="009B3678"/>
    <w:rsid w:val="00E93C7F"/>
    <w:rsid w:val="00F22295"/>
    <w:rsid w:val="05F355D1"/>
    <w:rsid w:val="10533344"/>
    <w:rsid w:val="12092479"/>
    <w:rsid w:val="12BF532D"/>
    <w:rsid w:val="1CB82F0C"/>
    <w:rsid w:val="21156FDB"/>
    <w:rsid w:val="25DC45E9"/>
    <w:rsid w:val="2B2120F9"/>
    <w:rsid w:val="2FEC567E"/>
    <w:rsid w:val="37DD6945"/>
    <w:rsid w:val="387E6D7E"/>
    <w:rsid w:val="38DA6233"/>
    <w:rsid w:val="3E365FC3"/>
    <w:rsid w:val="410266B8"/>
    <w:rsid w:val="43624DE7"/>
    <w:rsid w:val="449F4491"/>
    <w:rsid w:val="48AD5806"/>
    <w:rsid w:val="4B6213FE"/>
    <w:rsid w:val="4F04391B"/>
    <w:rsid w:val="50C24C25"/>
    <w:rsid w:val="51217B24"/>
    <w:rsid w:val="53632BB0"/>
    <w:rsid w:val="5549410D"/>
    <w:rsid w:val="59444783"/>
    <w:rsid w:val="5AF41151"/>
    <w:rsid w:val="5B5B323D"/>
    <w:rsid w:val="5D301BFF"/>
    <w:rsid w:val="5FF00D89"/>
    <w:rsid w:val="65794319"/>
    <w:rsid w:val="65B710F7"/>
    <w:rsid w:val="6CD619DB"/>
    <w:rsid w:val="70BC7BCA"/>
    <w:rsid w:val="73E91249"/>
    <w:rsid w:val="FCF93A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lang w:val="en-US" w:eastAsia="zh-CN" w:bidi="ar-SA"/>
    </w:rPr>
  </w:style>
  <w:style w:type="paragraph" w:styleId="4">
    <w:name w:val="heading 1"/>
    <w:basedOn w:val="1"/>
    <w:next w:val="1"/>
    <w:link w:val="57"/>
    <w:qFormat/>
    <w:uiPriority w:val="0"/>
    <w:pPr>
      <w:keepNext/>
      <w:keepLines/>
      <w:tabs>
        <w:tab w:val="left" w:pos="5220"/>
      </w:tabs>
      <w:adjustRightInd w:val="0"/>
      <w:spacing w:before="340" w:after="330" w:line="578" w:lineRule="atLeast"/>
      <w:ind w:left="4530" w:hanging="1110"/>
      <w:jc w:val="center"/>
      <w:textAlignment w:val="baseline"/>
      <w:outlineLvl w:val="0"/>
    </w:pPr>
    <w:rPr>
      <w:rFonts w:ascii="Calibri" w:hAnsi="Calibri"/>
      <w:b/>
      <w:spacing w:val="-2"/>
      <w:kern w:val="0"/>
      <w:sz w:val="24"/>
    </w:rPr>
  </w:style>
  <w:style w:type="character" w:default="1" w:styleId="19">
    <w:name w:val="Default Paragraph Font"/>
    <w:semiHidden/>
    <w:uiPriority w:val="0"/>
  </w:style>
  <w:style w:type="table" w:default="1" w:styleId="17">
    <w:name w:val="Normal Table"/>
    <w:semiHidden/>
    <w:uiPriority w:val="0"/>
    <w:tblPr>
      <w:tblStyle w:val="17"/>
      <w:tblCellMar>
        <w:top w:w="0" w:type="dxa"/>
        <w:left w:w="108" w:type="dxa"/>
        <w:bottom w:w="0" w:type="dxa"/>
        <w:right w:w="108" w:type="dxa"/>
      </w:tblCellMar>
    </w:tblPr>
  </w:style>
  <w:style w:type="paragraph" w:styleId="2">
    <w:name w:val="Body Text First Indent 2"/>
    <w:basedOn w:val="3"/>
    <w:next w:val="1"/>
    <w:qFormat/>
    <w:uiPriority w:val="0"/>
    <w:pPr>
      <w:tabs>
        <w:tab w:val="left" w:pos="0"/>
        <w:tab w:val="left" w:pos="1260"/>
        <w:tab w:val="left" w:pos="1365"/>
      </w:tabs>
      <w:ind w:firstLine="420"/>
    </w:pPr>
    <w:rPr>
      <w:rFonts w:ascii="Times New Roman" w:hAnsi="Times New Roman" w:eastAsia="宋体" w:cs="Times New Roman"/>
    </w:rPr>
  </w:style>
  <w:style w:type="paragraph" w:styleId="3">
    <w:name w:val="Body Text Indent"/>
    <w:basedOn w:val="1"/>
    <w:next w:val="1"/>
    <w:qFormat/>
    <w:uiPriority w:val="0"/>
    <w:pPr>
      <w:spacing w:line="480" w:lineRule="auto"/>
      <w:ind w:firstLine="600"/>
    </w:pPr>
    <w:rPr>
      <w:rFonts w:hint="default" w:ascii="Times New Roman"/>
      <w:kern w:val="2"/>
      <w:sz w:val="28"/>
    </w:rPr>
  </w:style>
  <w:style w:type="paragraph" w:styleId="5">
    <w:name w:val="List Number"/>
    <w:basedOn w:val="1"/>
    <w:uiPriority w:val="0"/>
    <w:pPr>
      <w:numPr>
        <w:ilvl w:val="0"/>
        <w:numId w:val="1"/>
      </w:numPr>
    </w:pPr>
  </w:style>
  <w:style w:type="paragraph" w:styleId="6">
    <w:name w:val="Normal Indent"/>
    <w:basedOn w:val="1"/>
    <w:uiPriority w:val="0"/>
    <w:pPr>
      <w:spacing w:line="360" w:lineRule="auto"/>
      <w:ind w:firstLine="420" w:firstLineChars="200"/>
    </w:pPr>
    <w:rPr>
      <w:sz w:val="24"/>
    </w:rPr>
  </w:style>
  <w:style w:type="paragraph" w:styleId="7">
    <w:name w:val="annotation text"/>
    <w:basedOn w:val="1"/>
    <w:uiPriority w:val="0"/>
    <w:pPr>
      <w:jc w:val="left"/>
    </w:pPr>
  </w:style>
  <w:style w:type="paragraph" w:styleId="8">
    <w:name w:val="Body Text"/>
    <w:basedOn w:val="1"/>
    <w:qFormat/>
    <w:uiPriority w:val="0"/>
    <w:pPr>
      <w:spacing w:after="120" w:afterLines="0"/>
    </w:pPr>
    <w:rPr>
      <w:sz w:val="28"/>
      <w:szCs w:val="24"/>
    </w:rPr>
  </w:style>
  <w:style w:type="paragraph" w:styleId="9">
    <w:name w:val="Block Text"/>
    <w:basedOn w:val="1"/>
    <w:unhideWhenUsed/>
    <w:uiPriority w:val="99"/>
    <w:pPr>
      <w:spacing w:after="120"/>
      <w:ind w:left="1440" w:leftChars="700" w:right="1440" w:rightChars="700"/>
    </w:pPr>
  </w:style>
  <w:style w:type="paragraph" w:styleId="10">
    <w:name w:val="Plain Text"/>
    <w:basedOn w:val="1"/>
    <w:uiPriority w:val="0"/>
    <w:pPr>
      <w:widowControl/>
      <w:overflowPunct w:val="0"/>
      <w:autoSpaceDE w:val="0"/>
      <w:autoSpaceDN w:val="0"/>
      <w:adjustRightInd w:val="0"/>
      <w:jc w:val="left"/>
      <w:textAlignment w:val="baseline"/>
    </w:pPr>
    <w:rPr>
      <w:rFonts w:ascii="宋体"/>
      <w:kern w:val="0"/>
    </w:rPr>
  </w:style>
  <w:style w:type="paragraph" w:styleId="11">
    <w:name w:val="Balloon Text"/>
    <w:basedOn w:val="1"/>
    <w:link w:val="50"/>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Body Text Indent 3"/>
    <w:basedOn w:val="1"/>
    <w:qFormat/>
    <w:uiPriority w:val="99"/>
    <w:pPr>
      <w:snapToGrid w:val="0"/>
      <w:ind w:firstLine="480" w:firstLineChars="200"/>
      <w:jc w:val="left"/>
    </w:pPr>
    <w:rPr>
      <w:rFonts w:ascii="仿宋_GB2312" w:hAnsi="宋体" w:eastAsia="仿宋_GB2312" w:cs="仿宋_GB2312"/>
      <w:color w:val="000000"/>
      <w:sz w:val="24"/>
      <w:szCs w:val="24"/>
    </w:rPr>
  </w:style>
  <w:style w:type="paragraph" w:styleId="15">
    <w:name w:val="Normal (Web)"/>
    <w:basedOn w:val="1"/>
    <w:qFormat/>
    <w:uiPriority w:val="99"/>
    <w:pPr>
      <w:widowControl/>
      <w:spacing w:before="100" w:beforeAutospacing="1" w:after="100" w:afterAutospacing="1"/>
      <w:jc w:val="left"/>
    </w:pPr>
    <w:rPr>
      <w:rFonts w:ascii="宋体"/>
      <w:kern w:val="0"/>
      <w:sz w:val="24"/>
    </w:rPr>
  </w:style>
  <w:style w:type="paragraph" w:styleId="16">
    <w:name w:val="Body Text First Indent"/>
    <w:basedOn w:val="8"/>
    <w:qFormat/>
    <w:uiPriority w:val="0"/>
    <w:pPr>
      <w:ind w:left="0" w:leftChars="0" w:firstLine="200" w:firstLineChars="200"/>
    </w:pPr>
  </w:style>
  <w:style w:type="table" w:styleId="18">
    <w:name w:val="Table Grid"/>
    <w:basedOn w:val="17"/>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FollowedHyperlink"/>
    <w:basedOn w:val="19"/>
    <w:uiPriority w:val="0"/>
    <w:rPr>
      <w:color w:val="3177FD"/>
      <w:u w:val="none"/>
    </w:rPr>
  </w:style>
  <w:style w:type="character" w:styleId="22">
    <w:name w:val="HTML Definition"/>
    <w:basedOn w:val="19"/>
    <w:uiPriority w:val="0"/>
    <w:rPr>
      <w:i/>
    </w:rPr>
  </w:style>
  <w:style w:type="character" w:styleId="23">
    <w:name w:val="Hyperlink"/>
    <w:basedOn w:val="19"/>
    <w:qFormat/>
    <w:uiPriority w:val="99"/>
    <w:rPr>
      <w:color w:val="3177FD"/>
      <w:u w:val="none"/>
    </w:rPr>
  </w:style>
  <w:style w:type="character" w:styleId="24">
    <w:name w:val="HTML Code"/>
    <w:basedOn w:val="19"/>
    <w:uiPriority w:val="0"/>
    <w:rPr>
      <w:rFonts w:hint="default" w:ascii="Consolas" w:hAnsi="Consolas" w:eastAsia="Consolas" w:cs="Consolas"/>
      <w:sz w:val="21"/>
      <w:szCs w:val="21"/>
    </w:rPr>
  </w:style>
  <w:style w:type="character" w:styleId="25">
    <w:name w:val="annotation reference"/>
    <w:uiPriority w:val="0"/>
    <w:rPr>
      <w:sz w:val="21"/>
      <w:szCs w:val="21"/>
    </w:rPr>
  </w:style>
  <w:style w:type="character" w:styleId="26">
    <w:name w:val="HTML Keyboard"/>
    <w:basedOn w:val="19"/>
    <w:uiPriority w:val="0"/>
    <w:rPr>
      <w:rFonts w:ascii="Consolas" w:hAnsi="Consolas" w:eastAsia="Consolas" w:cs="Consolas"/>
      <w:sz w:val="21"/>
      <w:szCs w:val="21"/>
    </w:rPr>
  </w:style>
  <w:style w:type="character" w:styleId="27">
    <w:name w:val="HTML Sample"/>
    <w:basedOn w:val="19"/>
    <w:uiPriority w:val="0"/>
    <w:rPr>
      <w:rFonts w:hint="default" w:ascii="Consolas" w:hAnsi="Consolas" w:eastAsia="Consolas" w:cs="Consolas"/>
      <w:sz w:val="21"/>
      <w:szCs w:val="21"/>
    </w:rPr>
  </w:style>
  <w:style w:type="character" w:customStyle="1" w:styleId="28">
    <w:name w:val="info-content"/>
    <w:basedOn w:val="19"/>
    <w:uiPriority w:val="0"/>
    <w:rPr>
      <w:color w:val="808080"/>
    </w:rPr>
  </w:style>
  <w:style w:type="character" w:customStyle="1" w:styleId="29">
    <w:name w:val="content10"/>
    <w:basedOn w:val="19"/>
    <w:uiPriority w:val="0"/>
  </w:style>
  <w:style w:type="character" w:customStyle="1" w:styleId="30">
    <w:name w:val="ant-select-tree-iconele"/>
    <w:basedOn w:val="19"/>
    <w:uiPriority w:val="0"/>
  </w:style>
  <w:style w:type="character" w:customStyle="1" w:styleId="31">
    <w:name w:val="all-fit-info"/>
    <w:basedOn w:val="19"/>
    <w:uiPriority w:val="0"/>
    <w:rPr>
      <w:color w:val="939393"/>
    </w:rPr>
  </w:style>
  <w:style w:type="character" w:customStyle="1" w:styleId="32">
    <w:name w:val="ant-tree-iconele"/>
    <w:basedOn w:val="19"/>
    <w:uiPriority w:val="0"/>
  </w:style>
  <w:style w:type="character" w:customStyle="1" w:styleId="33">
    <w:name w:val="ant-tree-checkbox2"/>
    <w:basedOn w:val="19"/>
    <w:uiPriority w:val="0"/>
  </w:style>
  <w:style w:type="character" w:customStyle="1" w:styleId="34">
    <w:name w:val="current"/>
    <w:basedOn w:val="19"/>
    <w:uiPriority w:val="0"/>
    <w:rPr>
      <w:color w:val="00C1DE"/>
    </w:rPr>
  </w:style>
  <w:style w:type="character" w:customStyle="1" w:styleId="35">
    <w:name w:val="ant-tree-switcher"/>
    <w:basedOn w:val="19"/>
    <w:uiPriority w:val="0"/>
  </w:style>
  <w:style w:type="character" w:customStyle="1" w:styleId="36">
    <w:name w:val="temp6"/>
    <w:basedOn w:val="19"/>
    <w:uiPriority w:val="0"/>
  </w:style>
  <w:style w:type="character" w:customStyle="1" w:styleId="37">
    <w:name w:val="ant-badge-status-dot2"/>
    <w:basedOn w:val="19"/>
    <w:uiPriority w:val="0"/>
    <w:rPr>
      <w:shd w:val="clear" w:color="auto" w:fill="FFFFFF"/>
    </w:rPr>
  </w:style>
  <w:style w:type="character" w:customStyle="1" w:styleId="38">
    <w:name w:val="info-label"/>
    <w:basedOn w:val="19"/>
    <w:uiPriority w:val="0"/>
    <w:rPr>
      <w:b/>
    </w:rPr>
  </w:style>
  <w:style w:type="character" w:customStyle="1" w:styleId="39">
    <w:name w:val="tag-type1"/>
    <w:basedOn w:val="19"/>
    <w:uiPriority w:val="0"/>
    <w:rPr>
      <w:color w:val="FFFFFF"/>
      <w:sz w:val="18"/>
      <w:szCs w:val="18"/>
      <w:shd w:val="clear" w:color="auto" w:fill="317FFD"/>
    </w:rPr>
  </w:style>
  <w:style w:type="character" w:customStyle="1" w:styleId="40">
    <w:name w:val="标题 1 Char"/>
    <w:uiPriority w:val="0"/>
    <w:rPr>
      <w:rFonts w:hint="default" w:ascii="Times New Roman" w:eastAsia="宋体"/>
      <w:b/>
      <w:spacing w:val="-2"/>
      <w:sz w:val="24"/>
      <w:lang w:val="en-US" w:eastAsia="zh-CN"/>
    </w:rPr>
  </w:style>
  <w:style w:type="character" w:customStyle="1" w:styleId="41">
    <w:name w:val="ant-select-tree-switcher"/>
    <w:basedOn w:val="19"/>
    <w:uiPriority w:val="0"/>
  </w:style>
  <w:style w:type="character" w:customStyle="1" w:styleId="42">
    <w:name w:val="current1"/>
    <w:basedOn w:val="19"/>
    <w:uiPriority w:val="0"/>
    <w:rPr>
      <w:color w:val="00C1DE"/>
    </w:rPr>
  </w:style>
  <w:style w:type="character" w:customStyle="1" w:styleId="43">
    <w:name w:val="last-child4"/>
    <w:basedOn w:val="19"/>
    <w:uiPriority w:val="0"/>
  </w:style>
  <w:style w:type="character" w:customStyle="1" w:styleId="44">
    <w:name w:val="first-child5"/>
    <w:basedOn w:val="19"/>
    <w:uiPriority w:val="0"/>
  </w:style>
  <w:style w:type="character" w:customStyle="1" w:styleId="45">
    <w:name w:val="ant-select-tree-checkbox"/>
    <w:basedOn w:val="19"/>
    <w:uiPriority w:val="0"/>
  </w:style>
  <w:style w:type="character" w:customStyle="1" w:styleId="46">
    <w:name w:val="change-camera-place"/>
    <w:basedOn w:val="19"/>
    <w:uiPriority w:val="0"/>
    <w:rPr>
      <w:color w:val="3177FD"/>
    </w:rPr>
  </w:style>
  <w:style w:type="character" w:customStyle="1" w:styleId="47">
    <w:name w:val="last-child6"/>
    <w:basedOn w:val="19"/>
    <w:uiPriority w:val="0"/>
  </w:style>
  <w:style w:type="character" w:customStyle="1" w:styleId="48">
    <w:name w:val="ant-input52"/>
    <w:basedOn w:val="19"/>
    <w:uiPriority w:val="0"/>
  </w:style>
  <w:style w:type="character" w:customStyle="1" w:styleId="49">
    <w:name w:val="标题 1 字符"/>
    <w:uiPriority w:val="0"/>
    <w:rPr>
      <w:rFonts w:eastAsia="宋体"/>
      <w:b/>
      <w:spacing w:val="-2"/>
      <w:sz w:val="24"/>
      <w:lang w:val="en-US" w:eastAsia="zh-CN" w:bidi="ar-SA"/>
    </w:rPr>
  </w:style>
  <w:style w:type="character" w:customStyle="1" w:styleId="50">
    <w:name w:val="批注框文本 Char"/>
    <w:basedOn w:val="19"/>
    <w:link w:val="11"/>
    <w:uiPriority w:val="0"/>
    <w:rPr>
      <w:rFonts w:ascii="Times New Roman" w:hAnsi="Times New Roman"/>
      <w:kern w:val="2"/>
      <w:sz w:val="18"/>
      <w:szCs w:val="18"/>
    </w:rPr>
  </w:style>
  <w:style w:type="character" w:customStyle="1" w:styleId="51">
    <w:name w:val="label2"/>
    <w:basedOn w:val="19"/>
    <w:uiPriority w:val="0"/>
  </w:style>
  <w:style w:type="character" w:customStyle="1" w:styleId="52">
    <w:name w:val="all-fit-info2"/>
    <w:basedOn w:val="19"/>
    <w:uiPriority w:val="0"/>
    <w:rPr>
      <w:color w:val="939393"/>
    </w:rPr>
  </w:style>
  <w:style w:type="character" w:customStyle="1" w:styleId="53">
    <w:name w:val="ant-radio+*"/>
    <w:basedOn w:val="19"/>
    <w:uiPriority w:val="0"/>
  </w:style>
  <w:style w:type="character" w:customStyle="1" w:styleId="54">
    <w:name w:val="last-child7"/>
    <w:basedOn w:val="19"/>
    <w:uiPriority w:val="0"/>
  </w:style>
  <w:style w:type="character" w:customStyle="1" w:styleId="55">
    <w:name w:val="last-of-type"/>
    <w:basedOn w:val="19"/>
    <w:uiPriority w:val="0"/>
    <w:rPr>
      <w:color w:val="FF4A44"/>
      <w:sz w:val="27"/>
      <w:szCs w:val="27"/>
    </w:rPr>
  </w:style>
  <w:style w:type="character" w:customStyle="1" w:styleId="56">
    <w:name w:val="tag-type"/>
    <w:basedOn w:val="19"/>
    <w:uiPriority w:val="0"/>
    <w:rPr>
      <w:color w:val="FFFFFF"/>
      <w:sz w:val="18"/>
      <w:szCs w:val="18"/>
      <w:shd w:val="clear" w:color="auto" w:fill="317FFD"/>
    </w:rPr>
  </w:style>
  <w:style w:type="character" w:customStyle="1" w:styleId="57">
    <w:name w:val="标题 1 Char1"/>
    <w:link w:val="4"/>
    <w:qFormat/>
    <w:uiPriority w:val="0"/>
    <w:rPr>
      <w:b/>
      <w:spacing w:val="-2"/>
      <w:kern w:val="0"/>
      <w:sz w:val="24"/>
    </w:rPr>
  </w:style>
  <w:style w:type="character" w:customStyle="1" w:styleId="58">
    <w:name w:val="标题 1 Char Char"/>
    <w:uiPriority w:val="0"/>
    <w:rPr>
      <w:rFonts w:eastAsia="宋体"/>
      <w:b/>
      <w:spacing w:val="-2"/>
      <w:sz w:val="24"/>
      <w:lang w:val="en-US" w:eastAsia="zh-CN" w:bidi="ar-SA"/>
    </w:rPr>
  </w:style>
  <w:style w:type="character" w:customStyle="1" w:styleId="59">
    <w:name w:val="ant-tree-icon_loading"/>
    <w:basedOn w:val="19"/>
    <w:uiPriority w:val="0"/>
    <w:rPr>
      <w:shd w:val="clear" w:color="auto" w:fill="FFFFFF"/>
    </w:rPr>
  </w:style>
  <w:style w:type="character" w:customStyle="1" w:styleId="60">
    <w:name w:val="all-fit-info1"/>
    <w:basedOn w:val="19"/>
    <w:uiPriority w:val="0"/>
    <w:rPr>
      <w:color w:val="939393"/>
    </w:rPr>
  </w:style>
  <w:style w:type="character" w:customStyle="1" w:styleId="61">
    <w:name w:val="last-child5"/>
    <w:basedOn w:val="19"/>
    <w:uiPriority w:val="0"/>
  </w:style>
  <w:style w:type="character" w:customStyle="1" w:styleId="62">
    <w:name w:val="hover11"/>
    <w:basedOn w:val="19"/>
    <w:uiPriority w:val="0"/>
    <w:rPr>
      <w:color w:val="3177FD"/>
    </w:rPr>
  </w:style>
  <w:style w:type="paragraph" w:customStyle="1" w:styleId="63">
    <w:name w:val="A正文小四"/>
    <w:basedOn w:val="1"/>
    <w:qFormat/>
    <w:uiPriority w:val="0"/>
    <w:pPr>
      <w:spacing w:line="360" w:lineRule="auto"/>
      <w:ind w:firstLine="600" w:firstLineChars="200"/>
      <w:jc w:val="left"/>
    </w:pPr>
    <w:rPr>
      <w:color w:val="000000"/>
      <w:szCs w:val="24"/>
    </w:rPr>
  </w:style>
  <w:style w:type="paragraph" w:customStyle="1" w:styleId="64">
    <w:name w:val="标题1"/>
    <w:basedOn w:val="10"/>
    <w:uiPriority w:val="0"/>
    <w:pPr>
      <w:spacing w:line="360" w:lineRule="auto"/>
    </w:pPr>
    <w:rPr>
      <w:b/>
      <w:sz w:val="30"/>
    </w:rPr>
  </w:style>
  <w:style w:type="paragraph" w:customStyle="1" w:styleId="65">
    <w:name w:val="普通(网站)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6">
    <w:name w:val="WPSOffice手动目录 1"/>
    <w:uiPriority w:val="0"/>
    <w:rPr>
      <w:rFonts w:ascii="Times New Roman" w:hAnsi="Times New Roman"/>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theme/theme1.xml" Type="http://schemas.openxmlformats.org/officeDocument/2006/relationships/theme"/><Relationship Id="rId12" Target="media/image1.png" Type="http://schemas.openxmlformats.org/officeDocument/2006/relationships/imag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footer4.xml" Type="http://schemas.openxmlformats.org/officeDocument/2006/relationships/footer"/><Relationship Id="rId7" Target="header1.xml" Type="http://schemas.openxmlformats.org/officeDocument/2006/relationships/header"/><Relationship Id="rId8" Target="footer5.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67</Pages>
  <Words>6521</Words>
  <Characters>37176</Characters>
  <Lines>309</Lines>
  <Paragraphs>87</Paragraphs>
  <TotalTime>122</TotalTime>
  <ScaleCrop>false</ScaleCrop>
  <LinksUpToDate>false</LinksUpToDate>
  <CharactersWithSpaces>43610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2014-10-29T20:08:00Z</dcterms:created>
  <dc:creator>user2</dc:creator>
  <cp:lastModifiedBy>WPS_1701756769</cp:lastModifiedBy>
  <dcterms:modified xsi:type="dcterms:W3CDTF">2024-02-23T03:29:51Z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BCC94FCBF04E41E6A441B576FBAD12E2_13</vt:lpwstr>
  </property>
</Properties>
</file>