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z w:val="48"/>
          <w:szCs w:val="48"/>
        </w:rPr>
      </w:pPr>
      <w:bookmarkStart w:id="0" w:name="_Toc97372564"/>
      <w:bookmarkStart w:id="338" w:name="_GoBack"/>
      <w:bookmarkEnd w:id="338"/>
    </w:p>
    <w:p>
      <w:pPr>
        <w:spacing w:before="120" w:beforeLines="50"/>
        <w:jc w:val="center"/>
        <w:rPr>
          <w:rFonts w:hint="eastAsia"/>
          <w:b/>
          <w:sz w:val="48"/>
          <w:szCs w:val="48"/>
        </w:rPr>
      </w:pPr>
    </w:p>
    <w:p>
      <w:pPr>
        <w:spacing w:before="120" w:beforeLines="50" w:line="360" w:lineRule="auto"/>
        <w:jc w:val="center"/>
        <w:rPr>
          <w:rFonts w:hint="eastAsia" w:eastAsia="宋体"/>
          <w:b/>
          <w:sz w:val="52"/>
          <w:szCs w:val="52"/>
          <w:lang w:eastAsia="zh-CN"/>
        </w:rPr>
      </w:pPr>
      <w:r>
        <w:rPr>
          <w:rFonts w:hint="eastAsia"/>
          <w:b/>
          <w:sz w:val="52"/>
          <w:szCs w:val="52"/>
          <w:lang w:eastAsia="zh-CN"/>
        </w:rPr>
        <w:t>鄞州公安局执法管理中心一体化办案智能系统项目</w:t>
      </w:r>
    </w:p>
    <w:p>
      <w:pPr>
        <w:spacing w:before="120" w:beforeLines="50"/>
        <w:rPr>
          <w:rFonts w:hint="eastAsia"/>
          <w:sz w:val="72"/>
          <w:szCs w:val="72"/>
        </w:rPr>
      </w:pPr>
    </w:p>
    <w:p>
      <w:pPr>
        <w:spacing w:before="120" w:beforeLines="50"/>
        <w:jc w:val="center"/>
        <w:rPr>
          <w:rFonts w:hint="eastAsia"/>
          <w:sz w:val="72"/>
          <w:szCs w:val="72"/>
        </w:rPr>
      </w:pPr>
    </w:p>
    <w:p>
      <w:pPr>
        <w:spacing w:before="120" w:beforeLines="50"/>
        <w:jc w:val="center"/>
        <w:rPr>
          <w:sz w:val="72"/>
          <w:szCs w:val="72"/>
        </w:rPr>
      </w:pPr>
      <w:r>
        <w:rPr>
          <w:rFonts w:hint="eastAsia"/>
          <w:sz w:val="72"/>
          <w:szCs w:val="72"/>
        </w:rPr>
        <w:t>公开招标文件</w:t>
      </w:r>
    </w:p>
    <w:p>
      <w:pPr>
        <w:snapToGrid w:val="0"/>
        <w:spacing w:before="120" w:beforeLines="50" w:line="360" w:lineRule="auto"/>
        <w:rPr>
          <w:rFonts w:hint="eastAsia"/>
          <w:sz w:val="30"/>
          <w:szCs w:val="72"/>
        </w:rPr>
      </w:pPr>
    </w:p>
    <w:p>
      <w:pPr>
        <w:snapToGrid w:val="0"/>
        <w:spacing w:before="120" w:beforeLines="50" w:line="360" w:lineRule="auto"/>
        <w:rPr>
          <w:rFonts w:hint="eastAsia"/>
          <w:sz w:val="30"/>
          <w:szCs w:val="72"/>
        </w:rPr>
      </w:pPr>
    </w:p>
    <w:p>
      <w:pPr>
        <w:snapToGrid w:val="0"/>
        <w:spacing w:before="120" w:beforeLines="50" w:line="360" w:lineRule="auto"/>
        <w:rPr>
          <w:rFonts w:hint="eastAsia"/>
          <w:sz w:val="30"/>
          <w:szCs w:val="72"/>
        </w:rPr>
      </w:pPr>
    </w:p>
    <w:p>
      <w:pPr>
        <w:snapToGrid w:val="0"/>
        <w:spacing w:before="120" w:beforeLines="50" w:line="360" w:lineRule="auto"/>
        <w:rPr>
          <w:rFonts w:hint="eastAsia"/>
          <w:sz w:val="30"/>
          <w:szCs w:val="72"/>
        </w:rPr>
      </w:pPr>
    </w:p>
    <w:p>
      <w:pPr>
        <w:snapToGrid w:val="0"/>
        <w:spacing w:before="120" w:beforeLines="50" w:line="360" w:lineRule="auto"/>
        <w:rPr>
          <w:rFonts w:hint="eastAsia"/>
          <w:sz w:val="30"/>
          <w:szCs w:val="72"/>
        </w:rPr>
      </w:pPr>
    </w:p>
    <w:p>
      <w:pPr>
        <w:snapToGrid w:val="0"/>
        <w:spacing w:before="120" w:beforeLines="50" w:line="360" w:lineRule="auto"/>
        <w:rPr>
          <w:sz w:val="30"/>
          <w:szCs w:val="72"/>
        </w:rPr>
      </w:pPr>
    </w:p>
    <w:p>
      <w:pPr>
        <w:pStyle w:val="23"/>
        <w:snapToGrid w:val="0"/>
        <w:spacing w:before="120" w:after="120" w:line="360" w:lineRule="auto"/>
        <w:ind w:left="1680" w:leftChars="800"/>
        <w:rPr>
          <w:rFonts w:hint="eastAsia" w:ascii="Times New Roman" w:hAnsi="Times New Roman"/>
          <w:b/>
          <w:bCs/>
          <w:sz w:val="30"/>
          <w:szCs w:val="30"/>
          <w:lang w:eastAsia="zh-CN"/>
        </w:rPr>
      </w:pPr>
      <w:r>
        <w:rPr>
          <w:rFonts w:ascii="Times New Roman" w:hAnsi="Times New Roman"/>
          <w:b/>
          <w:bCs/>
          <w:sz w:val="30"/>
          <w:szCs w:val="30"/>
        </w:rPr>
        <w:t>项目编号：</w:t>
      </w:r>
      <w:r>
        <w:rPr>
          <w:rFonts w:hint="eastAsia" w:ascii="Times New Roman" w:hAnsi="Times New Roman"/>
          <w:b/>
          <w:bCs/>
          <w:sz w:val="30"/>
          <w:szCs w:val="30"/>
          <w:lang w:eastAsia="zh-CN"/>
        </w:rPr>
        <w:t>ZGZB2020-313</w:t>
      </w:r>
    </w:p>
    <w:p>
      <w:pPr>
        <w:pStyle w:val="23"/>
        <w:snapToGrid w:val="0"/>
        <w:spacing w:before="120" w:after="120" w:line="360" w:lineRule="auto"/>
        <w:ind w:left="1680" w:leftChars="800"/>
        <w:rPr>
          <w:rFonts w:hint="eastAsia" w:ascii="Times New Roman" w:hAnsi="Times New Roman"/>
          <w:b/>
          <w:bCs/>
          <w:sz w:val="30"/>
          <w:szCs w:val="30"/>
          <w:lang w:eastAsia="zh-CN"/>
        </w:rPr>
      </w:pPr>
      <w:r>
        <w:rPr>
          <w:rFonts w:ascii="Times New Roman" w:hAnsi="Times New Roman"/>
          <w:b/>
          <w:bCs/>
          <w:sz w:val="30"/>
          <w:szCs w:val="30"/>
        </w:rPr>
        <w:t>采购</w:t>
      </w:r>
      <w:r>
        <w:rPr>
          <w:rFonts w:hint="eastAsia" w:ascii="Times New Roman" w:hAnsi="Times New Roman"/>
          <w:b/>
          <w:bCs/>
          <w:sz w:val="30"/>
          <w:szCs w:val="30"/>
        </w:rPr>
        <w:t>人</w:t>
      </w:r>
      <w:r>
        <w:rPr>
          <w:rFonts w:ascii="Times New Roman" w:hAnsi="Times New Roman"/>
          <w:b/>
          <w:bCs/>
          <w:sz w:val="30"/>
          <w:szCs w:val="30"/>
        </w:rPr>
        <w:t>：</w:t>
      </w:r>
      <w:r>
        <w:rPr>
          <w:rFonts w:hint="eastAsia" w:ascii="Times New Roman" w:hAnsi="Times New Roman"/>
          <w:b/>
          <w:bCs/>
          <w:sz w:val="30"/>
          <w:szCs w:val="30"/>
          <w:lang w:eastAsia="zh-CN"/>
        </w:rPr>
        <w:t>宁波市公安局鄞州分局</w:t>
      </w:r>
    </w:p>
    <w:p>
      <w:pPr>
        <w:pStyle w:val="23"/>
        <w:snapToGrid w:val="0"/>
        <w:spacing w:before="120" w:after="120" w:line="360" w:lineRule="auto"/>
        <w:ind w:left="1680" w:leftChars="800"/>
        <w:rPr>
          <w:rFonts w:ascii="Times New Roman" w:hAnsi="Times New Roman"/>
          <w:b/>
          <w:bCs/>
          <w:sz w:val="30"/>
          <w:szCs w:val="30"/>
        </w:rPr>
      </w:pPr>
      <w:r>
        <w:rPr>
          <w:rFonts w:hint="eastAsia" w:ascii="Times New Roman" w:hAnsi="Times New Roman"/>
          <w:b/>
          <w:bCs/>
          <w:sz w:val="30"/>
          <w:szCs w:val="30"/>
        </w:rPr>
        <w:t>采购</w:t>
      </w:r>
      <w:r>
        <w:rPr>
          <w:rFonts w:ascii="Times New Roman" w:hAnsi="Times New Roman"/>
          <w:b/>
          <w:bCs/>
          <w:sz w:val="30"/>
          <w:szCs w:val="30"/>
        </w:rPr>
        <w:t>代理机构：</w:t>
      </w:r>
      <w:r>
        <w:rPr>
          <w:rFonts w:hint="eastAsia" w:ascii="Times New Roman" w:hAnsi="Times New Roman"/>
          <w:b/>
          <w:bCs/>
          <w:sz w:val="30"/>
          <w:szCs w:val="30"/>
        </w:rPr>
        <w:t>中冠工程管理咨询有限公司</w:t>
      </w:r>
    </w:p>
    <w:p>
      <w:pPr>
        <w:pStyle w:val="23"/>
        <w:snapToGrid w:val="0"/>
        <w:spacing w:before="120" w:after="120" w:line="360" w:lineRule="auto"/>
        <w:ind w:left="1680" w:leftChars="800"/>
        <w:rPr>
          <w:rFonts w:ascii="Times New Roman" w:hAnsi="Times New Roman"/>
          <w:b/>
          <w:bCs/>
          <w:sz w:val="30"/>
          <w:szCs w:val="30"/>
        </w:rPr>
      </w:pPr>
      <w:r>
        <w:rPr>
          <w:rFonts w:hint="eastAsia" w:ascii="Times New Roman" w:hAnsi="Times New Roman"/>
          <w:b/>
          <w:bCs/>
          <w:sz w:val="30"/>
          <w:szCs w:val="30"/>
          <w:lang w:eastAsia="zh-CN"/>
        </w:rPr>
        <w:t>二〇二〇</w:t>
      </w:r>
      <w:r>
        <w:rPr>
          <w:rFonts w:hint="eastAsia" w:ascii="Times New Roman" w:hAnsi="Times New Roman"/>
          <w:b/>
          <w:bCs/>
          <w:sz w:val="30"/>
          <w:szCs w:val="30"/>
        </w:rPr>
        <w:t>年</w:t>
      </w:r>
      <w:r>
        <w:rPr>
          <w:rFonts w:hint="eastAsia" w:ascii="Times New Roman" w:hAnsi="Times New Roman"/>
          <w:b/>
          <w:bCs/>
          <w:sz w:val="30"/>
          <w:szCs w:val="30"/>
          <w:lang w:eastAsia="zh-CN"/>
        </w:rPr>
        <w:t>七</w:t>
      </w:r>
      <w:r>
        <w:rPr>
          <w:rFonts w:hint="eastAsia" w:ascii="Times New Roman" w:hAnsi="Times New Roman"/>
          <w:b/>
          <w:bCs/>
          <w:sz w:val="30"/>
          <w:szCs w:val="30"/>
        </w:rPr>
        <w:t>月</w:t>
      </w:r>
    </w:p>
    <w:p>
      <w:pPr>
        <w:tabs>
          <w:tab w:val="center" w:pos="4394"/>
        </w:tabs>
        <w:sectPr>
          <w:headerReference r:id="rId4" w:type="first"/>
          <w:headerReference r:id="rId3" w:type="default"/>
          <w:footerReference r:id="rId5" w:type="default"/>
          <w:footerReference r:id="rId6" w:type="even"/>
          <w:pgSz w:w="11907" w:h="16840"/>
          <w:pgMar w:top="1247" w:right="1559" w:bottom="1304" w:left="1560" w:header="720" w:footer="720" w:gutter="0"/>
          <w:pgNumType w:start="0"/>
          <w:cols w:space="720" w:num="1"/>
          <w:titlePg/>
          <w:docGrid w:linePitch="285" w:charSpace="0"/>
        </w:sectPr>
      </w:pPr>
      <w:r>
        <w:tab/>
      </w:r>
    </w:p>
    <w:p>
      <w:pPr>
        <w:jc w:val="center"/>
        <w:rPr>
          <w:sz w:val="44"/>
          <w:szCs w:val="44"/>
        </w:rPr>
      </w:pPr>
    </w:p>
    <w:p>
      <w:pPr>
        <w:jc w:val="center"/>
        <w:rPr>
          <w:sz w:val="44"/>
          <w:szCs w:val="44"/>
        </w:rPr>
      </w:pPr>
    </w:p>
    <w:p>
      <w:pPr>
        <w:jc w:val="center"/>
        <w:outlineLvl w:val="0"/>
        <w:rPr>
          <w:rFonts w:hint="eastAsia"/>
          <w:sz w:val="48"/>
          <w:szCs w:val="48"/>
        </w:rPr>
      </w:pPr>
      <w:bookmarkStart w:id="1" w:name="_Toc27745"/>
      <w:r>
        <w:rPr>
          <w:rFonts w:hint="eastAsia"/>
          <w:sz w:val="48"/>
          <w:szCs w:val="48"/>
        </w:rPr>
        <w:t>目 录</w:t>
      </w:r>
      <w:bookmarkEnd w:id="1"/>
    </w:p>
    <w:p>
      <w:pPr>
        <w:jc w:val="center"/>
        <w:rPr>
          <w:sz w:val="48"/>
          <w:szCs w:val="48"/>
        </w:rPr>
      </w:pPr>
    </w:p>
    <w:p>
      <w:pPr>
        <w:pStyle w:val="30"/>
        <w:tabs>
          <w:tab w:val="right" w:leader="dot" w:pos="8845"/>
          <w:tab w:val="clear" w:pos="8789"/>
        </w:tabs>
        <w:spacing w:line="480" w:lineRule="auto"/>
        <w:rPr>
          <w:rFonts w:hint="eastAsia" w:ascii="宋体" w:hAnsi="宋体" w:cs="宋体"/>
          <w:sz w:val="28"/>
          <w:szCs w:val="28"/>
        </w:rPr>
      </w:pPr>
      <w:r>
        <w:rPr>
          <w:sz w:val="28"/>
          <w:szCs w:val="28"/>
        </w:rPr>
        <w:fldChar w:fldCharType="begin"/>
      </w:r>
      <w:r>
        <w:rPr>
          <w:sz w:val="28"/>
          <w:szCs w:val="28"/>
        </w:rPr>
        <w:instrText xml:space="preserve"> TOC \h \z \u \t "标题,1,目次、标准名称标题,1" </w:instrText>
      </w:r>
      <w:r>
        <w:rPr>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_Toc2832 </w:instrText>
      </w:r>
      <w:r>
        <w:rPr>
          <w:rFonts w:hint="eastAsia" w:ascii="宋体" w:hAnsi="宋体" w:cs="宋体"/>
          <w:sz w:val="28"/>
          <w:szCs w:val="28"/>
        </w:rPr>
        <w:fldChar w:fldCharType="separate"/>
      </w:r>
      <w:r>
        <w:rPr>
          <w:rFonts w:hint="eastAsia" w:ascii="宋体" w:hAnsi="宋体" w:cs="宋体"/>
          <w:kern w:val="44"/>
          <w:sz w:val="28"/>
          <w:szCs w:val="28"/>
        </w:rPr>
        <w:t>第一部分</w:t>
      </w:r>
      <w:r>
        <w:rPr>
          <w:rFonts w:hint="eastAsia" w:ascii="宋体" w:hAnsi="宋体" w:cs="宋体"/>
          <w:sz w:val="28"/>
          <w:szCs w:val="28"/>
        </w:rPr>
        <w:t xml:space="preserve"> </w:t>
      </w:r>
      <w:r>
        <w:rPr>
          <w:rFonts w:hint="eastAsia" w:ascii="宋体" w:hAnsi="宋体" w:cs="宋体"/>
          <w:kern w:val="44"/>
          <w:sz w:val="28"/>
          <w:szCs w:val="28"/>
        </w:rPr>
        <w:t>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_Toc2832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845"/>
          <w:tab w:val="clear" w:pos="8789"/>
        </w:tabs>
        <w:spacing w:line="48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_Toc6367 </w:instrText>
      </w:r>
      <w:r>
        <w:rPr>
          <w:rFonts w:hint="eastAsia" w:ascii="宋体" w:hAnsi="宋体" w:cs="宋体"/>
          <w:sz w:val="28"/>
          <w:szCs w:val="28"/>
        </w:rPr>
        <w:fldChar w:fldCharType="separate"/>
      </w:r>
      <w:r>
        <w:rPr>
          <w:rFonts w:hint="eastAsia" w:ascii="宋体" w:hAnsi="宋体" w:cs="宋体"/>
          <w:kern w:val="44"/>
          <w:sz w:val="28"/>
          <w:szCs w:val="28"/>
        </w:rPr>
        <w:t>第二部分 投标资料表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_Toc6367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845"/>
          <w:tab w:val="clear" w:pos="8789"/>
        </w:tabs>
        <w:spacing w:line="48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_Toc28047 </w:instrText>
      </w:r>
      <w:r>
        <w:rPr>
          <w:rFonts w:hint="eastAsia" w:ascii="宋体" w:hAnsi="宋体" w:cs="宋体"/>
          <w:sz w:val="28"/>
          <w:szCs w:val="28"/>
        </w:rPr>
        <w:fldChar w:fldCharType="separate"/>
      </w:r>
      <w:r>
        <w:rPr>
          <w:rFonts w:hint="eastAsia" w:ascii="宋体" w:hAnsi="宋体" w:cs="宋体"/>
          <w:kern w:val="44"/>
          <w:sz w:val="28"/>
          <w:szCs w:val="28"/>
        </w:rPr>
        <w:t>第三部分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_Toc28047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845"/>
          <w:tab w:val="clear" w:pos="8789"/>
        </w:tabs>
        <w:spacing w:line="48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_Toc7549 </w:instrText>
      </w:r>
      <w:r>
        <w:rPr>
          <w:rFonts w:hint="eastAsia" w:ascii="宋体" w:hAnsi="宋体" w:cs="宋体"/>
          <w:sz w:val="28"/>
          <w:szCs w:val="28"/>
        </w:rPr>
        <w:fldChar w:fldCharType="separate"/>
      </w:r>
      <w:r>
        <w:rPr>
          <w:rFonts w:hint="eastAsia" w:ascii="宋体" w:hAnsi="宋体" w:cs="宋体"/>
          <w:kern w:val="44"/>
          <w:sz w:val="28"/>
          <w:szCs w:val="28"/>
        </w:rPr>
        <w:t>第四部分 评标办法及标准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_Toc7549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845"/>
          <w:tab w:val="clear" w:pos="8789"/>
        </w:tabs>
        <w:spacing w:line="48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_Toc2923 </w:instrText>
      </w:r>
      <w:r>
        <w:rPr>
          <w:rFonts w:hint="eastAsia" w:ascii="宋体" w:hAnsi="宋体" w:cs="宋体"/>
          <w:sz w:val="28"/>
          <w:szCs w:val="28"/>
        </w:rPr>
        <w:fldChar w:fldCharType="separate"/>
      </w:r>
      <w:r>
        <w:rPr>
          <w:rFonts w:hint="eastAsia" w:ascii="宋体" w:hAnsi="宋体" w:cs="宋体"/>
          <w:kern w:val="44"/>
          <w:sz w:val="28"/>
          <w:szCs w:val="28"/>
        </w:rPr>
        <w:t>第五部分 采购内容及要求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_Toc2923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845"/>
          <w:tab w:val="clear" w:pos="8789"/>
        </w:tabs>
        <w:spacing w:line="48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_Toc25497 </w:instrText>
      </w:r>
      <w:r>
        <w:rPr>
          <w:rFonts w:hint="eastAsia" w:ascii="宋体" w:hAnsi="宋体" w:cs="宋体"/>
          <w:sz w:val="28"/>
          <w:szCs w:val="28"/>
        </w:rPr>
        <w:fldChar w:fldCharType="separate"/>
      </w:r>
      <w:r>
        <w:rPr>
          <w:rFonts w:hint="eastAsia" w:ascii="宋体" w:hAnsi="宋体" w:cs="宋体"/>
          <w:kern w:val="44"/>
          <w:sz w:val="28"/>
          <w:szCs w:val="28"/>
        </w:rPr>
        <w:t>第六部分 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_Toc25497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845"/>
          <w:tab w:val="clear" w:pos="8789"/>
        </w:tabs>
        <w:spacing w:line="480" w:lineRule="auto"/>
      </w:pPr>
      <w:r>
        <w:rPr>
          <w:rFonts w:hint="eastAsia" w:ascii="宋体" w:hAnsi="宋体" w:cs="宋体"/>
          <w:sz w:val="28"/>
          <w:szCs w:val="28"/>
        </w:rPr>
        <w:fldChar w:fldCharType="begin"/>
      </w:r>
      <w:r>
        <w:rPr>
          <w:rFonts w:hint="eastAsia" w:ascii="宋体" w:hAnsi="宋体" w:cs="宋体"/>
          <w:sz w:val="28"/>
          <w:szCs w:val="28"/>
        </w:rPr>
        <w:instrText xml:space="preserve"> HYPERLINK \l _Toc13692 </w:instrText>
      </w:r>
      <w:r>
        <w:rPr>
          <w:rFonts w:hint="eastAsia" w:ascii="宋体" w:hAnsi="宋体" w:cs="宋体"/>
          <w:sz w:val="28"/>
          <w:szCs w:val="28"/>
        </w:rPr>
        <w:fldChar w:fldCharType="separate"/>
      </w:r>
      <w:r>
        <w:rPr>
          <w:rFonts w:hint="eastAsia" w:ascii="宋体" w:hAnsi="宋体" w:cs="宋体"/>
          <w:kern w:val="44"/>
          <w:sz w:val="28"/>
          <w:szCs w:val="28"/>
        </w:rPr>
        <w:t>第七部分 格式与表格</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_Toc13692 </w:instrText>
      </w:r>
      <w:r>
        <w:rPr>
          <w:rFonts w:hint="eastAsia" w:ascii="宋体" w:hAnsi="宋体" w:cs="宋体"/>
          <w:sz w:val="28"/>
          <w:szCs w:val="28"/>
        </w:rPr>
        <w:fldChar w:fldCharType="separate"/>
      </w:r>
      <w:r>
        <w:rPr>
          <w:rFonts w:hint="eastAsia" w:ascii="宋体" w:hAnsi="宋体" w:cs="宋体"/>
          <w:sz w:val="28"/>
          <w:szCs w:val="28"/>
        </w:rPr>
        <w:t>35</w:t>
      </w:r>
      <w:r>
        <w:rPr>
          <w:rFonts w:hint="eastAsia" w:ascii="宋体" w:hAnsi="宋体" w:cs="宋体"/>
          <w:sz w:val="28"/>
          <w:szCs w:val="28"/>
        </w:rPr>
        <w:fldChar w:fldCharType="end"/>
      </w:r>
      <w:r>
        <w:rPr>
          <w:rFonts w:hint="eastAsia" w:ascii="宋体" w:hAnsi="宋体" w:cs="宋体"/>
          <w:sz w:val="28"/>
          <w:szCs w:val="28"/>
        </w:rPr>
        <w:fldChar w:fldCharType="end"/>
      </w:r>
    </w:p>
    <w:p>
      <w:pPr>
        <w:contextualSpacing/>
        <w:jc w:val="left"/>
        <w:rPr>
          <w:szCs w:val="21"/>
        </w:rPr>
      </w:pPr>
      <w:r>
        <w:rPr>
          <w:sz w:val="28"/>
          <w:szCs w:val="28"/>
        </w:rPr>
        <w:fldChar w:fldCharType="end"/>
      </w:r>
    </w:p>
    <w:p>
      <w:pPr>
        <w:pStyle w:val="40"/>
        <w:rPr>
          <w:rFonts w:hint="eastAsia" w:ascii="Times New Roman" w:hAnsi="Times New Roman"/>
          <w:kern w:val="44"/>
        </w:rPr>
        <w:sectPr>
          <w:headerReference r:id="rId7" w:type="default"/>
          <w:footerReference r:id="rId8" w:type="default"/>
          <w:type w:val="nextColumn"/>
          <w:pgSz w:w="11907" w:h="16840"/>
          <w:pgMar w:top="1247" w:right="1531" w:bottom="1304" w:left="1531" w:header="284" w:footer="705" w:gutter="0"/>
          <w:pgNumType w:start="1"/>
          <w:cols w:space="720" w:num="1"/>
          <w:docGrid w:linePitch="285" w:charSpace="0"/>
        </w:sectPr>
      </w:pPr>
      <w:bookmarkStart w:id="2" w:name="_Toc262312595"/>
      <w:bookmarkStart w:id="3" w:name="_Toc263083249"/>
      <w:bookmarkStart w:id="4" w:name="_Toc2832"/>
      <w:bookmarkStart w:id="5" w:name="_Toc517688077"/>
    </w:p>
    <w:p>
      <w:pPr>
        <w:pStyle w:val="40"/>
        <w:rPr>
          <w:rFonts w:hint="eastAsia" w:ascii="Times New Roman" w:hAnsi="Times New Roman"/>
          <w:sz w:val="30"/>
          <w:szCs w:val="30"/>
        </w:rPr>
      </w:pPr>
      <w:r>
        <w:rPr>
          <w:rFonts w:hint="eastAsia" w:ascii="Times New Roman" w:hAnsi="Times New Roman"/>
          <w:kern w:val="44"/>
        </w:rPr>
        <w:t>第一部分</w:t>
      </w:r>
      <w:bookmarkEnd w:id="2"/>
      <w:bookmarkEnd w:id="3"/>
      <w:r>
        <w:rPr>
          <w:rFonts w:hint="eastAsia" w:ascii="Times New Roman" w:hAnsi="Times New Roman"/>
          <w:sz w:val="30"/>
          <w:szCs w:val="30"/>
        </w:rPr>
        <w:t xml:space="preserve"> </w:t>
      </w:r>
      <w:r>
        <w:rPr>
          <w:rFonts w:hint="eastAsia" w:ascii="Times New Roman" w:hAnsi="Times New Roman"/>
          <w:kern w:val="44"/>
        </w:rPr>
        <w:t>采购公告</w:t>
      </w:r>
      <w:bookmarkEnd w:id="4"/>
      <w:bookmarkEnd w:id="5"/>
    </w:p>
    <w:p>
      <w:pPr>
        <w:pBdr>
          <w:top w:val="single" w:color="auto" w:sz="4" w:space="1"/>
          <w:left w:val="single" w:color="auto" w:sz="4" w:space="4"/>
          <w:bottom w:val="single" w:color="auto" w:sz="4" w:space="1"/>
          <w:right w:val="single" w:color="auto" w:sz="4" w:space="4"/>
        </w:pBdr>
        <w:spacing w:line="360" w:lineRule="auto"/>
        <w:rPr>
          <w:szCs w:val="21"/>
        </w:rPr>
      </w:pPr>
      <w:r>
        <w:rPr>
          <w:rFonts w:hint="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szCs w:val="21"/>
          <w:u w:val="single"/>
        </w:rPr>
      </w:pPr>
      <w:r>
        <w:rPr>
          <w:rFonts w:hint="eastAsia"/>
          <w:szCs w:val="21"/>
          <w:u w:val="single"/>
          <w:lang w:eastAsia="zh-CN"/>
        </w:rPr>
        <w:t>鄞州公安局执法管理中心一体化办案智能系统项目</w:t>
      </w:r>
      <w:r>
        <w:rPr>
          <w:rFonts w:hint="eastAsia"/>
          <w:szCs w:val="21"/>
        </w:rPr>
        <w:t>的潜在投标人应在</w:t>
      </w:r>
      <w:r>
        <w:rPr>
          <w:rFonts w:hint="eastAsia"/>
          <w:szCs w:val="21"/>
          <w:u w:val="single"/>
        </w:rPr>
        <w:t>政采云平台</w:t>
      </w:r>
      <w:r>
        <w:rPr>
          <w:rFonts w:hint="eastAsia"/>
          <w:szCs w:val="21"/>
        </w:rPr>
        <w:t>获取采购文件，并于2020</w:t>
      </w:r>
      <w:r>
        <w:rPr>
          <w:rFonts w:hint="eastAsia"/>
          <w:bCs/>
          <w:szCs w:val="21"/>
          <w:u w:val="single"/>
        </w:rPr>
        <w:t>年</w:t>
      </w:r>
      <w:r>
        <w:rPr>
          <w:rFonts w:hint="eastAsia"/>
          <w:bCs/>
          <w:szCs w:val="21"/>
          <w:u w:val="single"/>
          <w:lang w:val="en-US" w:eastAsia="zh-CN"/>
        </w:rPr>
        <w:t>8</w:t>
      </w:r>
      <w:r>
        <w:rPr>
          <w:rFonts w:hint="eastAsia"/>
          <w:bCs/>
          <w:szCs w:val="21"/>
          <w:u w:val="single"/>
        </w:rPr>
        <w:t>月</w:t>
      </w:r>
      <w:r>
        <w:rPr>
          <w:rFonts w:hint="eastAsia"/>
          <w:bCs/>
          <w:szCs w:val="21"/>
          <w:u w:val="single"/>
          <w:lang w:val="en-US" w:eastAsia="zh-CN"/>
        </w:rPr>
        <w:t>1</w:t>
      </w:r>
      <w:r>
        <w:rPr>
          <w:rFonts w:hint="eastAsia"/>
          <w:bCs/>
          <w:szCs w:val="21"/>
          <w:u w:val="single"/>
          <w:lang w:val="en-US" w:eastAsia="zh-CN"/>
        </w:rPr>
        <w:t>2</w:t>
      </w:r>
      <w:r>
        <w:rPr>
          <w:rFonts w:hint="eastAsia"/>
          <w:bCs/>
          <w:szCs w:val="21"/>
          <w:u w:val="single"/>
        </w:rPr>
        <w:t>日</w:t>
      </w:r>
      <w:r>
        <w:rPr>
          <w:rFonts w:hint="eastAsia"/>
          <w:bCs/>
          <w:szCs w:val="21"/>
          <w:u w:val="single"/>
          <w:lang w:val="en-US" w:eastAsia="zh-CN"/>
        </w:rPr>
        <w:t>9</w:t>
      </w:r>
      <w:r>
        <w:rPr>
          <w:rFonts w:hint="eastAsia"/>
          <w:bCs/>
          <w:szCs w:val="21"/>
          <w:u w:val="single"/>
        </w:rPr>
        <w:t>点</w:t>
      </w:r>
      <w:r>
        <w:rPr>
          <w:rFonts w:hint="eastAsia"/>
          <w:bCs/>
          <w:szCs w:val="21"/>
          <w:u w:val="single"/>
          <w:lang w:val="en-US" w:eastAsia="zh-CN"/>
        </w:rPr>
        <w:t>3</w:t>
      </w:r>
      <w:r>
        <w:rPr>
          <w:rFonts w:hint="eastAsia"/>
          <w:bCs/>
          <w:szCs w:val="21"/>
          <w:u w:val="single"/>
          <w:lang w:val="en-US" w:eastAsia="zh-CN"/>
        </w:rPr>
        <w:t>0</w:t>
      </w:r>
      <w:r>
        <w:rPr>
          <w:rFonts w:hint="eastAsia"/>
          <w:bCs/>
          <w:szCs w:val="21"/>
          <w:u w:val="single"/>
        </w:rPr>
        <w:t>分（</w:t>
      </w:r>
      <w:r>
        <w:rPr>
          <w:rFonts w:hint="eastAsia"/>
          <w:bCs/>
          <w:szCs w:val="21"/>
        </w:rPr>
        <w:t>北京时间）前递交投标</w:t>
      </w:r>
      <w:r>
        <w:rPr>
          <w:bCs/>
          <w:szCs w:val="21"/>
        </w:rPr>
        <w:t>文件</w:t>
      </w:r>
      <w:r>
        <w:rPr>
          <w:rFonts w:hint="eastAsia"/>
          <w:szCs w:val="21"/>
        </w:rPr>
        <w:t>。</w:t>
      </w:r>
    </w:p>
    <w:p>
      <w:pPr>
        <w:spacing w:before="120" w:beforeLines="50" w:line="360" w:lineRule="auto"/>
        <w:contextualSpacing/>
        <w:rPr>
          <w:rFonts w:cs="Arial"/>
          <w:b/>
          <w:bCs/>
          <w:color w:val="000000"/>
          <w:szCs w:val="21"/>
        </w:rPr>
      </w:pPr>
      <w:bookmarkStart w:id="6" w:name="_Toc28359079"/>
      <w:bookmarkStart w:id="7" w:name="_Toc35393621"/>
      <w:bookmarkStart w:id="8" w:name="_Toc35393790"/>
      <w:bookmarkStart w:id="9" w:name="_Toc28359002"/>
      <w:bookmarkStart w:id="10" w:name="_Hlk24379207"/>
      <w:r>
        <w:rPr>
          <w:rFonts w:hint="eastAsia" w:cs="Arial"/>
          <w:b/>
          <w:bCs/>
          <w:color w:val="000000"/>
          <w:szCs w:val="21"/>
        </w:rPr>
        <w:t>一、项目基本情况</w:t>
      </w:r>
      <w:bookmarkEnd w:id="6"/>
      <w:bookmarkEnd w:id="7"/>
      <w:bookmarkEnd w:id="8"/>
      <w:bookmarkEnd w:id="9"/>
    </w:p>
    <w:p>
      <w:pPr>
        <w:spacing w:line="360" w:lineRule="auto"/>
        <w:ind w:firstLine="420" w:firstLineChars="200"/>
        <w:contextualSpacing/>
        <w:rPr>
          <w:rFonts w:hint="eastAsia"/>
          <w:color w:val="FF0000"/>
          <w:szCs w:val="21"/>
        </w:rPr>
      </w:pPr>
      <w:r>
        <w:rPr>
          <w:rFonts w:hint="eastAsia"/>
          <w:szCs w:val="21"/>
        </w:rPr>
        <w:t>1.项目编号：ZGZB2020-313</w:t>
      </w:r>
    </w:p>
    <w:p>
      <w:pPr>
        <w:spacing w:line="360" w:lineRule="auto"/>
        <w:ind w:firstLine="420" w:firstLineChars="200"/>
        <w:contextualSpacing/>
        <w:rPr>
          <w:rFonts w:hint="eastAsia" w:eastAsia="宋体"/>
          <w:szCs w:val="21"/>
          <w:lang w:eastAsia="zh-CN"/>
        </w:rPr>
      </w:pPr>
      <w:r>
        <w:rPr>
          <w:rFonts w:hint="eastAsia"/>
          <w:szCs w:val="21"/>
        </w:rPr>
        <w:t>2.项目名称：</w:t>
      </w:r>
      <w:bookmarkEnd w:id="10"/>
      <w:r>
        <w:rPr>
          <w:rFonts w:hint="eastAsia"/>
          <w:szCs w:val="21"/>
          <w:lang w:eastAsia="zh-CN"/>
        </w:rPr>
        <w:t>鄞州公安局执法管理中心一体化办案智能系统项目</w:t>
      </w:r>
    </w:p>
    <w:p>
      <w:pPr>
        <w:spacing w:line="360" w:lineRule="auto"/>
        <w:ind w:firstLine="420" w:firstLineChars="200"/>
        <w:contextualSpacing/>
        <w:rPr>
          <w:szCs w:val="21"/>
        </w:rPr>
      </w:pPr>
      <w:r>
        <w:rPr>
          <w:rFonts w:hint="eastAsia"/>
          <w:szCs w:val="21"/>
        </w:rPr>
        <w:t>3.预算金额：人民币</w:t>
      </w:r>
      <w:r>
        <w:rPr>
          <w:rFonts w:hint="eastAsia"/>
          <w:szCs w:val="21"/>
          <w:lang w:val="en-US" w:eastAsia="zh-CN"/>
        </w:rPr>
        <w:t>3260000</w:t>
      </w:r>
      <w:r>
        <w:rPr>
          <w:rFonts w:hint="eastAsia"/>
          <w:szCs w:val="21"/>
        </w:rPr>
        <w:t>元</w:t>
      </w:r>
    </w:p>
    <w:p>
      <w:pPr>
        <w:spacing w:line="360" w:lineRule="auto"/>
        <w:ind w:firstLine="420" w:firstLineChars="200"/>
        <w:contextualSpacing/>
        <w:rPr>
          <w:szCs w:val="21"/>
        </w:rPr>
      </w:pPr>
      <w:r>
        <w:rPr>
          <w:rFonts w:hint="eastAsia"/>
          <w:szCs w:val="21"/>
        </w:rPr>
        <w:t>4.最高限价：人民币</w:t>
      </w:r>
      <w:r>
        <w:rPr>
          <w:rFonts w:hint="eastAsia"/>
          <w:szCs w:val="21"/>
          <w:lang w:val="en-US" w:eastAsia="zh-CN"/>
        </w:rPr>
        <w:t>3252572</w:t>
      </w:r>
      <w:r>
        <w:rPr>
          <w:rFonts w:hint="eastAsia"/>
          <w:szCs w:val="21"/>
        </w:rPr>
        <w:t>元</w:t>
      </w:r>
    </w:p>
    <w:p>
      <w:pPr>
        <w:spacing w:line="360" w:lineRule="auto"/>
        <w:ind w:firstLine="420" w:firstLineChars="200"/>
        <w:contextualSpacing/>
        <w:rPr>
          <w:rFonts w:hint="eastAsia"/>
          <w:szCs w:val="21"/>
          <w:u w:val="single"/>
        </w:rPr>
      </w:pPr>
      <w:r>
        <w:rPr>
          <w:rFonts w:hint="eastAsia"/>
          <w:szCs w:val="21"/>
        </w:rPr>
        <w:t>5.采购需求：</w:t>
      </w: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499"/>
        <w:gridCol w:w="1042"/>
        <w:gridCol w:w="3155"/>
        <w:gridCol w:w="133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6" w:hRule="atLeast"/>
          <w:jc w:val="center"/>
        </w:trPr>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imes New Roman" w:hAnsi="Times New Roman" w:cs="宋体"/>
                <w:szCs w:val="21"/>
              </w:rPr>
            </w:pPr>
            <w:r>
              <w:rPr>
                <w:rFonts w:hint="eastAsia" w:ascii="Times New Roman" w:hAnsi="Times New Roman" w:cs="宋体"/>
                <w:szCs w:val="21"/>
              </w:rPr>
              <w:t>序号</w:t>
            </w:r>
          </w:p>
        </w:tc>
        <w:tc>
          <w:tcPr>
            <w:tcW w:w="827"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cs="宋体"/>
                <w:szCs w:val="21"/>
              </w:rPr>
            </w:pPr>
            <w:r>
              <w:rPr>
                <w:rFonts w:hint="eastAsia" w:ascii="Times New Roman" w:hAnsi="Times New Roman" w:cs="宋体"/>
                <w:szCs w:val="21"/>
              </w:rPr>
              <w:t>采购内容</w:t>
            </w:r>
          </w:p>
        </w:tc>
        <w:tc>
          <w:tcPr>
            <w:tcW w:w="575"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imes New Roman" w:hAnsi="Times New Roman" w:cs="宋体"/>
                <w:szCs w:val="21"/>
              </w:rPr>
            </w:pPr>
            <w:r>
              <w:rPr>
                <w:rFonts w:hint="eastAsia" w:ascii="Times New Roman" w:hAnsi="Times New Roman" w:cs="宋体"/>
                <w:szCs w:val="21"/>
              </w:rPr>
              <w:t>数量</w:t>
            </w:r>
          </w:p>
        </w:tc>
        <w:tc>
          <w:tcPr>
            <w:tcW w:w="1741" w:type="pct"/>
            <w:noWrap w:val="0"/>
            <w:vAlign w:val="center"/>
          </w:tcPr>
          <w:p>
            <w:pPr>
              <w:spacing w:line="380" w:lineRule="exact"/>
              <w:jc w:val="center"/>
              <w:rPr>
                <w:rFonts w:ascii="Times New Roman" w:hAnsi="Times New Roman" w:cs="宋体"/>
                <w:szCs w:val="21"/>
              </w:rPr>
            </w:pPr>
            <w:r>
              <w:rPr>
                <w:rFonts w:hint="eastAsia" w:ascii="Times New Roman" w:hAnsi="Times New Roman" w:cs="宋体"/>
                <w:szCs w:val="21"/>
              </w:rPr>
              <w:t>采购需求</w:t>
            </w:r>
          </w:p>
        </w:tc>
        <w:tc>
          <w:tcPr>
            <w:tcW w:w="734" w:type="pct"/>
            <w:noWrap w:val="0"/>
            <w:vAlign w:val="top"/>
          </w:tcPr>
          <w:p>
            <w:pPr>
              <w:spacing w:line="380" w:lineRule="exact"/>
              <w:jc w:val="center"/>
              <w:rPr>
                <w:rFonts w:hint="eastAsia" w:ascii="Times New Roman" w:hAnsi="Times New Roman" w:cs="宋体"/>
                <w:szCs w:val="21"/>
              </w:rPr>
            </w:pPr>
            <w:r>
              <w:rPr>
                <w:rFonts w:hint="eastAsia" w:ascii="Times New Roman" w:hAnsi="Times New Roman" w:cs="宋体"/>
                <w:szCs w:val="21"/>
              </w:rPr>
              <w:t>采购预算（元）</w:t>
            </w:r>
          </w:p>
        </w:tc>
        <w:tc>
          <w:tcPr>
            <w:tcW w:w="613" w:type="pct"/>
            <w:noWrap w:val="0"/>
            <w:vAlign w:val="top"/>
          </w:tcPr>
          <w:p>
            <w:pPr>
              <w:spacing w:line="380" w:lineRule="exact"/>
              <w:jc w:val="center"/>
              <w:rPr>
                <w:rFonts w:hint="eastAsia" w:ascii="Times New Roman" w:hAnsi="Times New Roman" w:cs="宋体"/>
                <w:szCs w:val="21"/>
              </w:rPr>
            </w:pPr>
            <w:r>
              <w:rPr>
                <w:rFonts w:hint="eastAsia" w:ascii="Times New Roman" w:hAnsi="Times New Roman" w:cs="宋体"/>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07" w:type="pct"/>
            <w:tcBorders>
              <w:top w:val="single" w:color="auto" w:sz="4" w:space="0"/>
              <w:left w:val="single" w:color="auto" w:sz="4" w:space="0"/>
              <w:right w:val="single" w:color="auto" w:sz="4" w:space="0"/>
            </w:tcBorders>
            <w:noWrap w:val="0"/>
            <w:vAlign w:val="center"/>
          </w:tcPr>
          <w:p>
            <w:pPr>
              <w:spacing w:line="380" w:lineRule="exact"/>
              <w:jc w:val="center"/>
              <w:rPr>
                <w:rFonts w:ascii="Times New Roman" w:hAnsi="Times New Roman" w:cs="宋体"/>
                <w:szCs w:val="21"/>
              </w:rPr>
            </w:pPr>
            <w:r>
              <w:rPr>
                <w:rFonts w:ascii="Times New Roman" w:hAnsi="Times New Roman" w:cs="宋体"/>
                <w:szCs w:val="21"/>
              </w:rPr>
              <w:t>一</w:t>
            </w:r>
          </w:p>
        </w:tc>
        <w:tc>
          <w:tcPr>
            <w:tcW w:w="827" w:type="pct"/>
            <w:tcBorders>
              <w:top w:val="single" w:color="auto" w:sz="4" w:space="0"/>
              <w:left w:val="single" w:color="auto" w:sz="4" w:space="0"/>
              <w:right w:val="single" w:color="auto" w:sz="4" w:space="0"/>
            </w:tcBorders>
            <w:noWrap w:val="0"/>
            <w:vAlign w:val="center"/>
          </w:tcPr>
          <w:p>
            <w:pPr>
              <w:spacing w:line="380" w:lineRule="exact"/>
              <w:jc w:val="center"/>
              <w:rPr>
                <w:rFonts w:ascii="Times New Roman" w:hAnsi="Times New Roman" w:cs="宋体"/>
                <w:szCs w:val="21"/>
              </w:rPr>
            </w:pPr>
            <w:r>
              <w:rPr>
                <w:rFonts w:hint="eastAsia"/>
                <w:szCs w:val="21"/>
              </w:rPr>
              <w:t>执法办案管理中心一体化办案智能化系统</w:t>
            </w:r>
          </w:p>
        </w:tc>
        <w:tc>
          <w:tcPr>
            <w:tcW w:w="575"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Times New Roman" w:hAnsi="Times New Roman" w:cs="宋体"/>
                <w:szCs w:val="21"/>
              </w:rPr>
            </w:pPr>
            <w:r>
              <w:rPr>
                <w:rFonts w:hint="eastAsia" w:ascii="Times New Roman" w:hAnsi="Times New Roman" w:cs="宋体"/>
                <w:szCs w:val="21"/>
              </w:rPr>
              <w:t>一批</w:t>
            </w:r>
          </w:p>
        </w:tc>
        <w:tc>
          <w:tcPr>
            <w:tcW w:w="1741" w:type="pct"/>
            <w:noWrap w:val="0"/>
            <w:vAlign w:val="center"/>
          </w:tcPr>
          <w:p>
            <w:pPr>
              <w:spacing w:line="380" w:lineRule="exact"/>
              <w:jc w:val="center"/>
              <w:rPr>
                <w:rFonts w:hint="eastAsia" w:ascii="Times New Roman" w:hAnsi="Times New Roman" w:cs="宋体"/>
                <w:szCs w:val="21"/>
              </w:rPr>
            </w:pPr>
            <w:r>
              <w:rPr>
                <w:rFonts w:ascii="Times New Roman" w:hAnsi="Times New Roman" w:cs="宋体"/>
                <w:szCs w:val="21"/>
              </w:rPr>
              <w:t>详见第五部分采购内容及要求</w:t>
            </w:r>
          </w:p>
        </w:tc>
        <w:tc>
          <w:tcPr>
            <w:tcW w:w="734" w:type="pct"/>
            <w:noWrap w:val="0"/>
            <w:vAlign w:val="center"/>
          </w:tcPr>
          <w:p>
            <w:pPr>
              <w:spacing w:line="380" w:lineRule="exact"/>
              <w:jc w:val="center"/>
              <w:rPr>
                <w:rFonts w:hint="default" w:ascii="Times New Roman" w:hAnsi="Times New Roman" w:eastAsia="宋体" w:cs="宋体"/>
                <w:szCs w:val="21"/>
                <w:lang w:val="en-US" w:eastAsia="zh-CN"/>
              </w:rPr>
            </w:pPr>
            <w:r>
              <w:rPr>
                <w:rFonts w:hint="eastAsia" w:ascii="Times New Roman" w:hAnsi="Times New Roman" w:cs="宋体"/>
                <w:szCs w:val="21"/>
                <w:lang w:val="en-US" w:eastAsia="zh-CN"/>
              </w:rPr>
              <w:t>3260000</w:t>
            </w:r>
          </w:p>
        </w:tc>
        <w:tc>
          <w:tcPr>
            <w:tcW w:w="613" w:type="pct"/>
            <w:noWrap w:val="0"/>
            <w:vAlign w:val="center"/>
          </w:tcPr>
          <w:p>
            <w:pPr>
              <w:spacing w:line="380" w:lineRule="exact"/>
              <w:jc w:val="center"/>
              <w:rPr>
                <w:rFonts w:hint="default" w:ascii="Times New Roman" w:hAnsi="Times New Roman" w:eastAsia="宋体" w:cs="宋体"/>
                <w:szCs w:val="21"/>
                <w:lang w:val="en-US" w:eastAsia="zh-CN"/>
              </w:rPr>
            </w:pPr>
            <w:r>
              <w:rPr>
                <w:rFonts w:hint="eastAsia" w:ascii="Times New Roman" w:hAnsi="Times New Roman" w:cs="宋体"/>
                <w:szCs w:val="21"/>
                <w:lang w:val="en-US" w:eastAsia="zh-CN"/>
              </w:rPr>
              <w:t>3252572</w:t>
            </w:r>
          </w:p>
        </w:tc>
      </w:tr>
    </w:tbl>
    <w:p>
      <w:pPr>
        <w:widowControl/>
        <w:spacing w:line="360" w:lineRule="auto"/>
        <w:ind w:firstLine="420" w:firstLineChars="200"/>
        <w:contextualSpacing/>
        <w:jc w:val="left"/>
        <w:rPr>
          <w:szCs w:val="21"/>
          <w:u w:val="single"/>
        </w:rPr>
      </w:pPr>
      <w:r>
        <w:rPr>
          <w:rFonts w:hint="eastAsia"/>
          <w:szCs w:val="21"/>
        </w:rPr>
        <w:t>6.交货时间：</w:t>
      </w:r>
      <w:r>
        <w:rPr>
          <w:szCs w:val="21"/>
        </w:rPr>
        <w:t>在合同签订后，且现场满足智能设备进场条件后</w:t>
      </w:r>
      <w:r>
        <w:rPr>
          <w:rFonts w:hint="eastAsia"/>
          <w:szCs w:val="21"/>
        </w:rPr>
        <w:t>3</w:t>
      </w:r>
      <w:r>
        <w:rPr>
          <w:szCs w:val="21"/>
        </w:rPr>
        <w:t>0日历天内供货并调试完成</w:t>
      </w:r>
      <w:r>
        <w:rPr>
          <w:rFonts w:hint="eastAsia" w:cs="宋体"/>
          <w:szCs w:val="21"/>
        </w:rPr>
        <w:t>。</w:t>
      </w:r>
    </w:p>
    <w:p>
      <w:pPr>
        <w:spacing w:line="360" w:lineRule="auto"/>
        <w:ind w:firstLine="420" w:firstLineChars="200"/>
        <w:contextualSpacing/>
        <w:rPr>
          <w:szCs w:val="21"/>
        </w:rPr>
      </w:pPr>
      <w:r>
        <w:rPr>
          <w:rFonts w:hint="eastAsia"/>
          <w:szCs w:val="21"/>
        </w:rPr>
        <w:t>7.本项目不接受联合体投标。</w:t>
      </w:r>
    </w:p>
    <w:p>
      <w:pPr>
        <w:spacing w:line="360" w:lineRule="auto"/>
        <w:contextualSpacing/>
        <w:rPr>
          <w:rFonts w:cs="Arial"/>
          <w:b/>
          <w:bCs/>
          <w:color w:val="000000"/>
          <w:szCs w:val="21"/>
        </w:rPr>
      </w:pPr>
      <w:bookmarkStart w:id="11" w:name="_Toc35393622"/>
      <w:bookmarkStart w:id="12" w:name="_Toc28359080"/>
      <w:bookmarkStart w:id="13" w:name="_Toc35393791"/>
      <w:bookmarkStart w:id="14" w:name="_Toc28359003"/>
      <w:r>
        <w:rPr>
          <w:rFonts w:hint="eastAsia" w:cs="Arial"/>
          <w:b/>
          <w:bCs/>
          <w:color w:val="000000"/>
          <w:szCs w:val="21"/>
        </w:rPr>
        <w:t>二、申请人的资格要求：</w:t>
      </w:r>
      <w:bookmarkEnd w:id="11"/>
      <w:bookmarkEnd w:id="12"/>
      <w:bookmarkEnd w:id="13"/>
      <w:bookmarkEnd w:id="14"/>
    </w:p>
    <w:p>
      <w:pPr>
        <w:spacing w:line="360" w:lineRule="auto"/>
        <w:ind w:firstLine="420" w:firstLineChars="200"/>
        <w:contextualSpacing/>
        <w:rPr>
          <w:szCs w:val="21"/>
        </w:rPr>
      </w:pPr>
      <w:r>
        <w:rPr>
          <w:rFonts w:hint="eastAsia"/>
          <w:szCs w:val="21"/>
        </w:rPr>
        <w:t>1.满足《中华人民共和国政府采购法》第二十二条规定，</w:t>
      </w:r>
      <w:r>
        <w:rPr>
          <w:rFonts w:hint="eastAsia" w:cs="宋体"/>
          <w:kern w:val="0"/>
          <w:szCs w:val="21"/>
          <w:lang w:bidi="ar"/>
        </w:rPr>
        <w:t>并满足以下要求：</w:t>
      </w:r>
    </w:p>
    <w:p>
      <w:pPr>
        <w:spacing w:line="360" w:lineRule="auto"/>
        <w:ind w:firstLine="420" w:firstLineChars="200"/>
        <w:contextualSpacing/>
        <w:rPr>
          <w:rFonts w:hint="eastAsia" w:cs="Arial"/>
          <w:szCs w:val="21"/>
        </w:rPr>
      </w:pPr>
      <w:bookmarkStart w:id="15" w:name="_Toc28359004"/>
      <w:bookmarkStart w:id="16" w:name="_Toc28359081"/>
      <w:r>
        <w:rPr>
          <w:rFonts w:hint="eastAsia" w:cs="Arial"/>
          <w:szCs w:val="21"/>
        </w:rPr>
        <w:t>1.1投标人不得为被“信用中国”网站</w:t>
      </w:r>
      <w:r>
        <w:rPr>
          <w:rFonts w:cs="Arial"/>
          <w:szCs w:val="21"/>
        </w:rPr>
        <w:t>(</w:t>
      </w:r>
      <w:r>
        <w:rPr>
          <w:rFonts w:hint="eastAsia" w:cs="Arial"/>
          <w:szCs w:val="21"/>
        </w:rPr>
        <w:t>http://</w:t>
      </w:r>
      <w:r>
        <w:rPr>
          <w:rFonts w:cs="Arial"/>
          <w:szCs w:val="21"/>
        </w:rPr>
        <w:t>www.creditchina.gov.cn)</w:t>
      </w:r>
      <w:r>
        <w:rPr>
          <w:rFonts w:hint="eastAsia" w:cs="Arial"/>
          <w:szCs w:val="21"/>
        </w:rPr>
        <w:t>、中国政府采购网</w:t>
      </w:r>
      <w:r>
        <w:rPr>
          <w:rFonts w:cs="Arial"/>
          <w:szCs w:val="21"/>
        </w:rPr>
        <w:t>(</w:t>
      </w:r>
      <w:r>
        <w:rPr>
          <w:rFonts w:hint="eastAsia" w:cs="Arial"/>
          <w:szCs w:val="21"/>
        </w:rPr>
        <w:t>http://</w:t>
      </w:r>
      <w:r>
        <w:rPr>
          <w:rFonts w:cs="Arial"/>
          <w:szCs w:val="21"/>
        </w:rPr>
        <w:t>www.ccgp.gov.cn)</w:t>
      </w:r>
      <w:r>
        <w:rPr>
          <w:rFonts w:hint="eastAsia" w:cs="Arial"/>
          <w:szCs w:val="21"/>
        </w:rPr>
        <w:t>列入失信被执行人、重大税收违法案件当事人名单、政府采购严重违法失信行为记录名单的供应商。</w:t>
      </w:r>
    </w:p>
    <w:p>
      <w:pPr>
        <w:spacing w:line="360" w:lineRule="auto"/>
        <w:ind w:firstLine="420" w:firstLineChars="200"/>
        <w:contextualSpacing/>
        <w:rPr>
          <w:rFonts w:hint="eastAsia" w:cs="Arial"/>
          <w:szCs w:val="21"/>
        </w:rPr>
      </w:pPr>
      <w:r>
        <w:rPr>
          <w:rFonts w:hint="eastAsia" w:cs="Arial"/>
          <w:szCs w:val="21"/>
        </w:rPr>
        <w:t>1.2</w:t>
      </w:r>
      <w:r>
        <w:rPr>
          <w:rFonts w:hint="eastAsia" w:cs="Arial"/>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cs="Arial"/>
          <w:szCs w:val="21"/>
        </w:rPr>
        <w:t>。</w:t>
      </w:r>
    </w:p>
    <w:p>
      <w:pPr>
        <w:spacing w:line="360" w:lineRule="auto"/>
        <w:ind w:firstLine="420" w:firstLineChars="200"/>
        <w:contextualSpacing/>
        <w:rPr>
          <w:szCs w:val="21"/>
        </w:rPr>
      </w:pPr>
      <w:r>
        <w:rPr>
          <w:szCs w:val="21"/>
        </w:rPr>
        <w:t>2</w:t>
      </w:r>
      <w:r>
        <w:rPr>
          <w:rFonts w:hint="eastAsia"/>
          <w:szCs w:val="21"/>
        </w:rPr>
        <w:t>.落实政府采购政策需满足的资格要求：无。</w:t>
      </w:r>
    </w:p>
    <w:p>
      <w:pPr>
        <w:spacing w:line="360" w:lineRule="auto"/>
        <w:ind w:firstLine="420" w:firstLineChars="200"/>
        <w:contextualSpacing/>
        <w:rPr>
          <w:rFonts w:hint="eastAsia" w:cs="Arial"/>
          <w:szCs w:val="21"/>
        </w:rPr>
      </w:pPr>
      <w:r>
        <w:rPr>
          <w:rFonts w:hint="eastAsia"/>
          <w:szCs w:val="21"/>
        </w:rPr>
        <w:t>3.本项目的特定资格要求：</w:t>
      </w:r>
      <w:bookmarkStart w:id="17" w:name="_Toc35393623"/>
      <w:bookmarkStart w:id="18" w:name="_Toc35393792"/>
      <w:r>
        <w:rPr>
          <w:rFonts w:hint="eastAsia" w:cs="Arial"/>
          <w:szCs w:val="21"/>
        </w:rPr>
        <w:t>/。</w:t>
      </w:r>
    </w:p>
    <w:p>
      <w:pPr>
        <w:spacing w:line="360" w:lineRule="auto"/>
        <w:contextualSpacing/>
        <w:rPr>
          <w:rFonts w:cs="Arial"/>
          <w:b/>
          <w:bCs/>
          <w:color w:val="000000"/>
          <w:szCs w:val="21"/>
        </w:rPr>
      </w:pPr>
      <w:r>
        <w:rPr>
          <w:rFonts w:hint="eastAsia" w:cs="Arial"/>
          <w:b/>
          <w:bCs/>
          <w:color w:val="000000"/>
          <w:szCs w:val="21"/>
        </w:rPr>
        <w:t>三、获取采购文件</w:t>
      </w:r>
      <w:bookmarkEnd w:id="15"/>
      <w:bookmarkEnd w:id="16"/>
      <w:bookmarkEnd w:id="17"/>
      <w:bookmarkEnd w:id="18"/>
    </w:p>
    <w:p>
      <w:pPr>
        <w:spacing w:line="360" w:lineRule="auto"/>
        <w:ind w:firstLine="472" w:firstLineChars="225"/>
        <w:contextualSpacing/>
        <w:rPr>
          <w:rFonts w:hint="eastAsia" w:cs="Arial"/>
          <w:szCs w:val="21"/>
        </w:rPr>
      </w:pPr>
      <w:bookmarkStart w:id="19" w:name="_Toc28359082"/>
      <w:bookmarkStart w:id="20" w:name="_Toc28359005"/>
      <w:bookmarkStart w:id="21" w:name="_Toc35393624"/>
      <w:bookmarkStart w:id="22" w:name="_Toc35393793"/>
      <w:r>
        <w:rPr>
          <w:rFonts w:hint="eastAsia" w:cs="Arial"/>
          <w:szCs w:val="21"/>
        </w:rPr>
        <w:t>1.获取时间：2020年</w:t>
      </w:r>
      <w:r>
        <w:rPr>
          <w:rFonts w:hint="eastAsia" w:cs="Arial"/>
          <w:szCs w:val="21"/>
          <w:lang w:val="en-US" w:eastAsia="zh-CN"/>
        </w:rPr>
        <w:t>7</w:t>
      </w:r>
      <w:r>
        <w:rPr>
          <w:rFonts w:hint="eastAsia" w:cs="Arial"/>
          <w:szCs w:val="21"/>
        </w:rPr>
        <w:t>月</w:t>
      </w:r>
      <w:r>
        <w:rPr>
          <w:rFonts w:hint="eastAsia" w:cs="Arial"/>
          <w:szCs w:val="21"/>
          <w:lang w:val="en-US" w:eastAsia="zh-CN"/>
        </w:rPr>
        <w:t>23</w:t>
      </w:r>
      <w:r>
        <w:rPr>
          <w:rFonts w:hint="eastAsia" w:cs="Arial"/>
          <w:szCs w:val="21"/>
        </w:rPr>
        <w:t>日至2020年</w:t>
      </w:r>
      <w:r>
        <w:rPr>
          <w:rFonts w:hint="eastAsia" w:cs="Arial"/>
          <w:szCs w:val="21"/>
          <w:lang w:val="en-US" w:eastAsia="zh-CN"/>
        </w:rPr>
        <w:t>7</w:t>
      </w:r>
      <w:r>
        <w:rPr>
          <w:rFonts w:hint="eastAsia" w:cs="Arial"/>
          <w:szCs w:val="21"/>
        </w:rPr>
        <w:t>月</w:t>
      </w:r>
      <w:r>
        <w:rPr>
          <w:rFonts w:hint="eastAsia" w:cs="Arial"/>
          <w:szCs w:val="21"/>
          <w:lang w:val="en-US" w:eastAsia="zh-CN"/>
        </w:rPr>
        <w:t>30</w:t>
      </w:r>
      <w:r>
        <w:rPr>
          <w:rFonts w:hint="eastAsia" w:cs="Arial"/>
          <w:szCs w:val="21"/>
        </w:rPr>
        <w:t>日</w:t>
      </w:r>
      <w:r>
        <w:rPr>
          <w:rFonts w:hint="eastAsia" w:cs="Arial"/>
          <w:szCs w:val="21"/>
          <w:lang w:val="en-US" w:eastAsia="zh-CN"/>
        </w:rPr>
        <w:t>17</w:t>
      </w:r>
      <w:r>
        <w:rPr>
          <w:rFonts w:hint="eastAsia" w:cs="Arial"/>
          <w:szCs w:val="21"/>
        </w:rPr>
        <w:t>时止。</w:t>
      </w:r>
    </w:p>
    <w:p>
      <w:pPr>
        <w:spacing w:line="360" w:lineRule="auto"/>
        <w:ind w:firstLine="472" w:firstLineChars="225"/>
        <w:contextualSpacing/>
        <w:rPr>
          <w:rFonts w:hint="eastAsia" w:cs="Arial"/>
          <w:szCs w:val="21"/>
        </w:rPr>
      </w:pPr>
      <w:r>
        <w:rPr>
          <w:rFonts w:hint="eastAsia" w:cs="Arial"/>
          <w:szCs w:val="21"/>
        </w:rPr>
        <w:t>2.获取方式：投标人在政采云后台“获取采购文件”点击下载，未点击“获取采购文件”的供应商投标将被拒绝。如未注册，请登陆浙江政府采购网（http://zfcg.czt.zj.gov.cn/）”上进行供应商注册申请。附件里的采购文件仅供阅览使用，点击“获取采购文件”为依法获取采购文件的方式，没有点击“获取采购文件”的潜在供应商，对采购文件提起质疑投诉的，不予受理。采购文件免费获取。</w:t>
      </w:r>
    </w:p>
    <w:p>
      <w:pPr>
        <w:spacing w:line="360" w:lineRule="auto"/>
        <w:contextualSpacing/>
        <w:rPr>
          <w:rFonts w:cs="Arial"/>
          <w:b/>
          <w:bCs/>
          <w:color w:val="000000"/>
          <w:szCs w:val="21"/>
        </w:rPr>
      </w:pPr>
      <w:r>
        <w:rPr>
          <w:rFonts w:hint="eastAsia" w:cs="Arial"/>
          <w:b/>
          <w:bCs/>
          <w:color w:val="000000"/>
          <w:szCs w:val="21"/>
        </w:rPr>
        <w:t>四、提交投标文件</w:t>
      </w:r>
      <w:bookmarkEnd w:id="19"/>
      <w:bookmarkEnd w:id="20"/>
      <w:r>
        <w:rPr>
          <w:rFonts w:hint="eastAsia" w:cs="Arial"/>
          <w:b/>
          <w:bCs/>
          <w:color w:val="000000"/>
          <w:szCs w:val="21"/>
        </w:rPr>
        <w:t>截止时间、开标时间和地点</w:t>
      </w:r>
      <w:bookmarkEnd w:id="21"/>
      <w:bookmarkEnd w:id="22"/>
    </w:p>
    <w:p>
      <w:pPr>
        <w:spacing w:line="360" w:lineRule="auto"/>
        <w:ind w:firstLine="420" w:firstLineChars="200"/>
        <w:contextualSpacing/>
        <w:jc w:val="left"/>
        <w:rPr>
          <w:rFonts w:hint="eastAsia"/>
          <w:szCs w:val="21"/>
        </w:rPr>
      </w:pPr>
      <w:r>
        <w:rPr>
          <w:rFonts w:hint="eastAsia"/>
          <w:szCs w:val="21"/>
        </w:rPr>
        <w:t>1.投标人应于2020年</w:t>
      </w:r>
      <w:r>
        <w:rPr>
          <w:rFonts w:hint="eastAsia"/>
          <w:szCs w:val="21"/>
          <w:lang w:val="en-US" w:eastAsia="zh-CN"/>
        </w:rPr>
        <w:t>8</w:t>
      </w:r>
      <w:r>
        <w:rPr>
          <w:rFonts w:hint="eastAsia"/>
          <w:szCs w:val="21"/>
        </w:rPr>
        <w:t>月</w:t>
      </w:r>
      <w:r>
        <w:rPr>
          <w:rFonts w:hint="eastAsia"/>
          <w:szCs w:val="21"/>
          <w:lang w:val="en-US" w:eastAsia="zh-CN"/>
        </w:rPr>
        <w:t>12</w:t>
      </w:r>
      <w:r>
        <w:rPr>
          <w:rFonts w:hint="eastAsia"/>
          <w:szCs w:val="21"/>
        </w:rPr>
        <w:t>日</w:t>
      </w:r>
      <w:r>
        <w:rPr>
          <w:rFonts w:hint="eastAsia"/>
          <w:szCs w:val="21"/>
          <w:lang w:val="en-US" w:eastAsia="zh-CN"/>
        </w:rPr>
        <w:t>09</w:t>
      </w:r>
      <w:r>
        <w:rPr>
          <w:rFonts w:hint="eastAsia"/>
          <w:szCs w:val="21"/>
        </w:rPr>
        <w:t>：30</w:t>
      </w:r>
      <w:r>
        <w:rPr>
          <w:szCs w:val="21"/>
        </w:rPr>
        <w:t>时</w:t>
      </w:r>
      <w:r>
        <w:rPr>
          <w:rFonts w:hint="eastAsia"/>
          <w:szCs w:val="21"/>
        </w:rPr>
        <w:t>前将投标文件密封送交到鄞州区公共资源交易中心（鄞州区惠江路567号，鄞州区行政服务中心五楼，具体受理场所详见当日电子指示屏）。不接收逾期送达或未密封的</w:t>
      </w:r>
      <w:r>
        <w:rPr>
          <w:szCs w:val="21"/>
        </w:rPr>
        <w:t>投标文件</w:t>
      </w:r>
      <w:r>
        <w:rPr>
          <w:rFonts w:hint="eastAsia"/>
          <w:szCs w:val="21"/>
        </w:rPr>
        <w:t>。</w:t>
      </w:r>
    </w:p>
    <w:p>
      <w:pPr>
        <w:spacing w:line="360" w:lineRule="auto"/>
        <w:ind w:firstLine="420" w:firstLineChars="200"/>
        <w:contextualSpacing/>
        <w:rPr>
          <w:rFonts w:cs="Arial"/>
          <w:szCs w:val="21"/>
        </w:rPr>
      </w:pPr>
      <w:r>
        <w:rPr>
          <w:rFonts w:hint="eastAsia"/>
          <w:szCs w:val="21"/>
        </w:rPr>
        <w:t>2.疫情期间所有投标人在投标截止时间前安排“甬行码”为绿色的相关人员（原则上不超过一名，须全程佩戴口罩）将投标文件送至投标地点，在完成投标文件和人员登记后立即离开。投标文件递交时需同时递交投标人的法定代表人（或其委托代理人）联系方式，并保证开标期间联系方式的畅通。</w:t>
      </w:r>
      <w:r>
        <w:rPr>
          <w:rFonts w:hint="eastAsia" w:cs="Arial"/>
          <w:szCs w:val="21"/>
        </w:rPr>
        <w:t>投标文件的开启、唱标等活动全程录音录像，唱标内容将通过微信群进行发布</w:t>
      </w:r>
      <w:r>
        <w:rPr>
          <w:rFonts w:hint="eastAsia" w:cs="Arial"/>
          <w:szCs w:val="21"/>
        </w:rPr>
        <w:t>。</w:t>
      </w:r>
    </w:p>
    <w:p>
      <w:pPr>
        <w:spacing w:line="360" w:lineRule="auto"/>
        <w:contextualSpacing/>
        <w:rPr>
          <w:rFonts w:hint="eastAsia" w:cs="Arial"/>
          <w:b/>
          <w:bCs/>
          <w:color w:val="000000"/>
          <w:szCs w:val="21"/>
        </w:rPr>
      </w:pPr>
      <w:bookmarkStart w:id="23" w:name="_Toc28359084"/>
      <w:bookmarkStart w:id="24" w:name="_Toc35393625"/>
      <w:bookmarkStart w:id="25" w:name="_Toc35393794"/>
      <w:bookmarkStart w:id="26" w:name="_Toc28359007"/>
      <w:r>
        <w:rPr>
          <w:rFonts w:hint="eastAsia" w:cs="Arial"/>
          <w:b/>
          <w:bCs/>
          <w:color w:val="000000"/>
          <w:szCs w:val="21"/>
        </w:rPr>
        <w:t>五、开标时间及地点</w:t>
      </w:r>
    </w:p>
    <w:p>
      <w:pPr>
        <w:spacing w:line="360" w:lineRule="auto"/>
        <w:ind w:firstLine="420" w:firstLineChars="200"/>
        <w:contextualSpacing/>
        <w:rPr>
          <w:rFonts w:hint="eastAsia" w:ascii="Arial" w:hAnsi="Arial" w:cs="Arial"/>
          <w:szCs w:val="21"/>
          <w:lang w:bidi="ar"/>
        </w:rPr>
      </w:pPr>
      <w:r>
        <w:rPr>
          <w:rFonts w:hint="eastAsia" w:ascii="Arial" w:hAnsi="Arial" w:cs="Arial"/>
          <w:szCs w:val="21"/>
          <w:lang w:bidi="ar"/>
        </w:rPr>
        <w:t>本次招标将</w:t>
      </w:r>
      <w:r>
        <w:rPr>
          <w:rFonts w:hint="eastAsia" w:ascii="Times New Roman" w:hAnsi="Times New Roman" w:cs="宋体"/>
          <w:kern w:val="0"/>
          <w:szCs w:val="21"/>
          <w:lang w:bidi="ar"/>
        </w:rPr>
        <w:t>于2020年</w:t>
      </w:r>
      <w:r>
        <w:rPr>
          <w:rFonts w:hint="eastAsia" w:ascii="Times New Roman" w:hAnsi="Times New Roman" w:cs="宋体"/>
          <w:kern w:val="0"/>
          <w:szCs w:val="21"/>
          <w:lang w:val="en-US" w:eastAsia="zh-CN" w:bidi="ar"/>
        </w:rPr>
        <w:t>8</w:t>
      </w:r>
      <w:r>
        <w:rPr>
          <w:rFonts w:hint="eastAsia" w:ascii="Times New Roman" w:hAnsi="Times New Roman" w:cs="宋体"/>
          <w:kern w:val="0"/>
          <w:szCs w:val="21"/>
          <w:lang w:bidi="ar"/>
        </w:rPr>
        <w:t>月</w:t>
      </w:r>
      <w:r>
        <w:rPr>
          <w:rFonts w:hint="eastAsia" w:ascii="Times New Roman" w:hAnsi="Times New Roman" w:cs="宋体"/>
          <w:kern w:val="0"/>
          <w:szCs w:val="21"/>
          <w:lang w:val="en-US" w:eastAsia="zh-CN" w:bidi="ar"/>
        </w:rPr>
        <w:t>12</w:t>
      </w:r>
      <w:r>
        <w:rPr>
          <w:rFonts w:hint="eastAsia" w:ascii="Times New Roman" w:hAnsi="Times New Roman" w:cs="宋体"/>
          <w:kern w:val="0"/>
          <w:szCs w:val="21"/>
          <w:lang w:bidi="ar"/>
        </w:rPr>
        <w:t>日</w:t>
      </w:r>
      <w:r>
        <w:rPr>
          <w:rFonts w:hint="eastAsia" w:cs="宋体"/>
          <w:kern w:val="0"/>
          <w:szCs w:val="21"/>
          <w:lang w:val="en-US" w:eastAsia="zh-CN"/>
        </w:rPr>
        <w:t>09</w:t>
      </w:r>
      <w:r>
        <w:rPr>
          <w:rFonts w:hint="eastAsia" w:cs="宋体"/>
          <w:kern w:val="0"/>
          <w:szCs w:val="21"/>
        </w:rPr>
        <w:t>：30</w:t>
      </w:r>
      <w:r>
        <w:rPr>
          <w:rFonts w:hint="eastAsia" w:ascii="Arial" w:hAnsi="Arial" w:cs="Arial"/>
          <w:szCs w:val="21"/>
          <w:lang w:bidi="ar"/>
        </w:rPr>
        <w:t>时在鄞州区公共资源交易中心（鄞州区惠江路567号，鄞州区行政服务中心五楼，具体受理场所详见当日电子指示屏）开标。</w:t>
      </w:r>
    </w:p>
    <w:p>
      <w:pPr>
        <w:spacing w:line="360" w:lineRule="auto"/>
        <w:ind w:firstLine="420" w:firstLineChars="200"/>
        <w:contextualSpacing/>
        <w:rPr>
          <w:rFonts w:hint="eastAsia"/>
          <w:color w:val="000000"/>
          <w:szCs w:val="21"/>
        </w:rPr>
      </w:pPr>
      <w:r>
        <w:rPr>
          <w:rFonts w:hint="eastAsia" w:ascii="Arial" w:hAnsi="Arial" w:cs="Arial"/>
          <w:szCs w:val="21"/>
          <w:lang w:bidi="ar"/>
        </w:rPr>
        <w:t>注：疫情期间按《浙财采监</w:t>
      </w:r>
      <w:r>
        <w:rPr>
          <w:rFonts w:hint="eastAsia" w:cs="Arial"/>
          <w:szCs w:val="21"/>
        </w:rPr>
        <w:t>[</w:t>
      </w:r>
      <w:r>
        <w:rPr>
          <w:rFonts w:hint="eastAsia" w:cs="Arial"/>
          <w:szCs w:val="21"/>
          <w:lang w:bidi="ar"/>
        </w:rPr>
        <w:t>2020</w:t>
      </w:r>
      <w:r>
        <w:rPr>
          <w:rFonts w:hint="eastAsia" w:cs="Arial"/>
          <w:szCs w:val="21"/>
        </w:rPr>
        <w:t>]</w:t>
      </w:r>
      <w:r>
        <w:rPr>
          <w:rFonts w:hint="eastAsia" w:cs="Arial"/>
          <w:szCs w:val="21"/>
          <w:lang w:bidi="ar"/>
        </w:rPr>
        <w:t>4</w:t>
      </w:r>
      <w:r>
        <w:rPr>
          <w:rFonts w:hint="eastAsia" w:ascii="Arial" w:hAnsi="Arial" w:cs="Arial"/>
          <w:szCs w:val="21"/>
          <w:lang w:bidi="ar"/>
        </w:rPr>
        <w:t>号》文件规定，供应商授权代表不建议参加现场开标活动。采用微信群视频语音通话方式邀请各供应商参与开标过程，实行“不见面开标”（疫情结束后本条款自动失效）</w:t>
      </w:r>
      <w:r>
        <w:rPr>
          <w:rFonts w:hint="eastAsia"/>
          <w:color w:val="000000"/>
          <w:szCs w:val="21"/>
          <w:lang w:bidi="ar"/>
        </w:rPr>
        <w:t>。</w:t>
      </w:r>
    </w:p>
    <w:p>
      <w:pPr>
        <w:spacing w:line="360" w:lineRule="auto"/>
        <w:contextualSpacing/>
        <w:rPr>
          <w:rFonts w:cs="Arial"/>
          <w:b/>
          <w:bCs/>
          <w:color w:val="000000"/>
          <w:szCs w:val="21"/>
        </w:rPr>
      </w:pPr>
      <w:r>
        <w:rPr>
          <w:rFonts w:hint="eastAsia" w:cs="Arial"/>
          <w:b/>
          <w:bCs/>
          <w:color w:val="000000"/>
          <w:szCs w:val="21"/>
        </w:rPr>
        <w:t>六、公告期限</w:t>
      </w:r>
      <w:bookmarkEnd w:id="23"/>
      <w:bookmarkEnd w:id="24"/>
      <w:bookmarkEnd w:id="25"/>
      <w:bookmarkEnd w:id="26"/>
    </w:p>
    <w:p>
      <w:pPr>
        <w:spacing w:line="360" w:lineRule="auto"/>
        <w:ind w:firstLine="420" w:firstLineChars="200"/>
        <w:contextualSpacing/>
        <w:rPr>
          <w:rFonts w:cs="宋体"/>
          <w:kern w:val="0"/>
          <w:szCs w:val="21"/>
        </w:rPr>
      </w:pPr>
      <w:r>
        <w:rPr>
          <w:rFonts w:hint="eastAsia" w:cs="宋体"/>
          <w:kern w:val="0"/>
          <w:szCs w:val="21"/>
        </w:rPr>
        <w:t>自本公告发布之日起5个工作日。</w:t>
      </w:r>
    </w:p>
    <w:p>
      <w:pPr>
        <w:spacing w:line="360" w:lineRule="auto"/>
        <w:contextualSpacing/>
        <w:rPr>
          <w:rFonts w:cs="Arial"/>
          <w:b/>
          <w:bCs/>
          <w:color w:val="000000"/>
          <w:szCs w:val="21"/>
        </w:rPr>
      </w:pPr>
      <w:bookmarkStart w:id="27" w:name="_Toc35393795"/>
      <w:bookmarkStart w:id="28" w:name="_Toc35393626"/>
      <w:r>
        <w:rPr>
          <w:rFonts w:hint="eastAsia" w:cs="Arial"/>
          <w:b/>
          <w:bCs/>
          <w:color w:val="000000"/>
          <w:szCs w:val="21"/>
        </w:rPr>
        <w:t>七、其他补充事宜</w:t>
      </w:r>
      <w:bookmarkEnd w:id="27"/>
      <w:bookmarkEnd w:id="28"/>
    </w:p>
    <w:p>
      <w:pPr>
        <w:spacing w:line="360" w:lineRule="auto"/>
        <w:ind w:firstLine="422" w:firstLineChars="200"/>
        <w:contextualSpacing/>
        <w:rPr>
          <w:rFonts w:hint="eastAsia" w:cs="Arial"/>
          <w:b/>
          <w:bCs/>
          <w:szCs w:val="21"/>
        </w:rPr>
      </w:pPr>
      <w:r>
        <w:rPr>
          <w:rFonts w:hint="eastAsia" w:cs="Arial"/>
          <w:b/>
          <w:bCs/>
          <w:szCs w:val="21"/>
        </w:rPr>
        <w:t>1.落实的政策：</w:t>
      </w:r>
      <w:r>
        <w:rPr>
          <w:rFonts w:hint="eastAsia" w:cs="Arial"/>
          <w:szCs w:val="21"/>
        </w:rPr>
        <w:t>《关于促进残疾人就业政府采购政策的通知》（财库[2018]141号）、《政府采购促进中小企业发展暂行办法》（财库[2011]181号）、《关于政府采购支持监狱企业发展有关问题的通知》（财库[2014]68号）、《关于调整优化节能产品、环境标志产品政府采购执行机制的通知》（财库[2019]9号）。</w:t>
      </w:r>
    </w:p>
    <w:p>
      <w:pPr>
        <w:tabs>
          <w:tab w:val="left" w:pos="315"/>
          <w:tab w:val="left" w:pos="420"/>
          <w:tab w:val="left" w:pos="448"/>
        </w:tabs>
        <w:snapToGrid w:val="0"/>
        <w:spacing w:line="360" w:lineRule="auto"/>
        <w:ind w:firstLine="422" w:firstLineChars="200"/>
        <w:contextualSpacing/>
        <w:rPr>
          <w:rFonts w:cs="Arial"/>
          <w:b/>
          <w:bCs/>
          <w:szCs w:val="21"/>
        </w:rPr>
      </w:pPr>
      <w:r>
        <w:rPr>
          <w:rFonts w:hint="eastAsia" w:cs="Arial"/>
          <w:b/>
          <w:bCs/>
          <w:szCs w:val="21"/>
        </w:rPr>
        <w:t>2.重要提示：</w:t>
      </w:r>
    </w:p>
    <w:p>
      <w:pPr>
        <w:spacing w:line="360" w:lineRule="auto"/>
        <w:ind w:firstLine="420" w:firstLineChars="200"/>
        <w:contextualSpacing/>
        <w:rPr>
          <w:rFonts w:cs="Arial"/>
          <w:szCs w:val="21"/>
        </w:rPr>
      </w:pPr>
      <w:r>
        <w:rPr>
          <w:rFonts w:hint="eastAsia" w:cs="Arial"/>
          <w:szCs w:val="21"/>
        </w:rPr>
        <w:t>参加投标的供应商应于投标前到“浙江政府采购网（http://zfcg.czt.zj.gov.cn/）”上进行供应商注册申请，并通过财政部门的终审后登记加入到“浙江省政府采购供应商库”。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pPr>
        <w:spacing w:line="360" w:lineRule="auto"/>
        <w:ind w:firstLine="420" w:firstLineChars="200"/>
        <w:contextualSpacing/>
        <w:rPr>
          <w:rFonts w:hint="eastAsia" w:cs="Arial"/>
          <w:b/>
          <w:bCs/>
          <w:color w:val="000000"/>
          <w:szCs w:val="21"/>
        </w:rPr>
      </w:pPr>
      <w:r>
        <w:rPr>
          <w:rFonts w:hint="eastAsia" w:cs="Arial"/>
          <w:szCs w:val="21"/>
        </w:rPr>
        <w:t>本次政府采购活动有关信息在“浙江政府采购网（http://zfcg.czt.zj.gov.cn/）”、“宁波公共资源交易网鄞州区分网（http://yinzhou.bidding.gov.cn）”、“中冠工程管理咨询有限公司网站（</w:t>
      </w:r>
      <w:r>
        <w:rPr>
          <w:szCs w:val="21"/>
        </w:rPr>
        <w:t>www.zhongguanzixun.com</w:t>
      </w:r>
      <w:r>
        <w:rPr>
          <w:rFonts w:hint="eastAsia" w:cs="Arial"/>
          <w:szCs w:val="21"/>
        </w:rPr>
        <w:t>）”网站上公布，公布信息视同送达所有潜在竞标人</w:t>
      </w:r>
      <w:r>
        <w:rPr>
          <w:rFonts w:hint="eastAsia" w:cs="Arial"/>
          <w:szCs w:val="21"/>
        </w:rPr>
        <w:t>。</w:t>
      </w:r>
      <w:bookmarkStart w:id="29" w:name="_Toc35393796"/>
      <w:bookmarkStart w:id="30" w:name="_Toc28359008"/>
      <w:bookmarkStart w:id="31" w:name="_Toc28359085"/>
      <w:bookmarkStart w:id="32" w:name="_Toc35393627"/>
    </w:p>
    <w:p>
      <w:pPr>
        <w:spacing w:line="360" w:lineRule="auto"/>
        <w:ind w:firstLine="422" w:firstLineChars="200"/>
        <w:contextualSpacing/>
        <w:rPr>
          <w:rFonts w:hint="eastAsia" w:cs="Arial"/>
          <w:b/>
          <w:szCs w:val="21"/>
        </w:rPr>
      </w:pPr>
      <w:r>
        <w:rPr>
          <w:rFonts w:hint="eastAsia" w:cs="Arial"/>
          <w:b/>
          <w:szCs w:val="21"/>
        </w:rPr>
        <w:t>3</w:t>
      </w:r>
      <w:r>
        <w:rPr>
          <w:rFonts w:hint="eastAsia" w:cs="Arial"/>
          <w:b/>
          <w:szCs w:val="21"/>
          <w:lang w:eastAsia="zh-CN"/>
        </w:rPr>
        <w:t>.</w:t>
      </w:r>
      <w:r>
        <w:rPr>
          <w:rFonts w:hint="eastAsia" w:cs="Arial"/>
          <w:b/>
          <w:szCs w:val="21"/>
        </w:rPr>
        <w:t>疫情期间特别提醒事项：</w:t>
      </w:r>
    </w:p>
    <w:p>
      <w:pPr>
        <w:spacing w:line="360" w:lineRule="auto"/>
        <w:ind w:firstLine="420" w:firstLineChars="200"/>
        <w:contextualSpacing/>
        <w:rPr>
          <w:rFonts w:hint="eastAsia" w:cs="Arial"/>
          <w:szCs w:val="21"/>
        </w:rPr>
      </w:pPr>
      <w:r>
        <w:rPr>
          <w:rFonts w:hint="eastAsia" w:cs="Arial"/>
          <w:szCs w:val="21"/>
        </w:rPr>
        <w:t>3.1投标人员须做好佩戴口罩、手套等防护措施，自觉接受体温检测、接受防疫询问，并如实告知相关情况，在投标文件递交工作完成后应立即离开，无故不得在现场逗留。</w:t>
      </w:r>
    </w:p>
    <w:p>
      <w:pPr>
        <w:spacing w:line="360" w:lineRule="auto"/>
        <w:ind w:firstLine="420" w:firstLineChars="200"/>
        <w:contextualSpacing/>
        <w:rPr>
          <w:rFonts w:hint="eastAsia" w:cs="Arial"/>
          <w:szCs w:val="21"/>
        </w:rPr>
      </w:pPr>
      <w:r>
        <w:rPr>
          <w:rFonts w:hint="eastAsia" w:cs="Arial"/>
          <w:szCs w:val="21"/>
        </w:rPr>
        <w:t>投标人员还需配合做好疫情防控“五个一律”：一律全面消毒、一律体温检测、一律承诺登记、一律按序办事、一律服从管理。</w:t>
      </w:r>
    </w:p>
    <w:p>
      <w:pPr>
        <w:spacing w:line="360" w:lineRule="auto"/>
        <w:ind w:firstLine="420" w:firstLineChars="200"/>
        <w:contextualSpacing/>
        <w:rPr>
          <w:rFonts w:hint="eastAsia" w:cs="Arial"/>
          <w:szCs w:val="21"/>
        </w:rPr>
      </w:pPr>
      <w:r>
        <w:rPr>
          <w:rFonts w:hint="eastAsia" w:cs="Arial"/>
          <w:szCs w:val="21"/>
        </w:rPr>
        <w:t>3.2本项目评审过程中有关澄清、说明或者补正，采购代理机构通过电子邮箱（nbzgcg@163.com）进行收发。</w:t>
      </w:r>
    </w:p>
    <w:p>
      <w:pPr>
        <w:spacing w:line="360" w:lineRule="auto"/>
        <w:ind w:firstLine="420" w:firstLineChars="200"/>
        <w:contextualSpacing/>
        <w:rPr>
          <w:rFonts w:hint="eastAsia" w:cs="Arial"/>
          <w:szCs w:val="21"/>
        </w:rPr>
      </w:pPr>
      <w:r>
        <w:rPr>
          <w:rFonts w:hint="eastAsia" w:cs="Arial"/>
          <w:szCs w:val="21"/>
        </w:rPr>
        <w:t>3.3投标人应当在投标文件中提供作出澄清、说明或补正的电子邮箱、传真号码，具体按照招标文件的《投标函》格式内容填写。</w:t>
      </w:r>
    </w:p>
    <w:p>
      <w:pPr>
        <w:spacing w:line="360" w:lineRule="auto"/>
        <w:ind w:firstLine="420" w:firstLineChars="200"/>
        <w:contextualSpacing/>
        <w:rPr>
          <w:rFonts w:hint="eastAsia" w:cs="Arial"/>
          <w:b/>
          <w:bCs/>
          <w:color w:val="000000"/>
          <w:szCs w:val="21"/>
        </w:rPr>
      </w:pPr>
      <w:r>
        <w:rPr>
          <w:rFonts w:hint="eastAsia" w:cs="Arial"/>
          <w:szCs w:val="21"/>
        </w:rPr>
        <w:t>3.4疫情防控期间，请投标人遵守鄞州区公共资源交易中心各项防疫措施规定。本项目如有变更或补充，另行通知。</w:t>
      </w:r>
    </w:p>
    <w:p>
      <w:pPr>
        <w:spacing w:line="360" w:lineRule="auto"/>
        <w:ind w:firstLine="0" w:firstLineChars="0"/>
        <w:contextualSpacing/>
        <w:rPr>
          <w:rFonts w:cs="Arial"/>
          <w:b/>
          <w:bCs/>
          <w:color w:val="000000"/>
          <w:szCs w:val="21"/>
        </w:rPr>
      </w:pPr>
      <w:r>
        <w:rPr>
          <w:rFonts w:hint="eastAsia" w:cs="Arial"/>
          <w:b/>
          <w:bCs/>
          <w:color w:val="000000"/>
          <w:szCs w:val="21"/>
        </w:rPr>
        <w:t>八、对本次招标提出询问，请按</w:t>
      </w:r>
      <w:r>
        <w:rPr>
          <w:rFonts w:cs="Arial"/>
          <w:b/>
          <w:bCs/>
          <w:color w:val="000000"/>
          <w:szCs w:val="21"/>
        </w:rPr>
        <w:t>以下方式</w:t>
      </w:r>
      <w:r>
        <w:rPr>
          <w:rFonts w:hint="eastAsia" w:cs="Arial"/>
          <w:b/>
          <w:bCs/>
          <w:color w:val="000000"/>
          <w:szCs w:val="21"/>
        </w:rPr>
        <w:t>联系。</w:t>
      </w:r>
      <w:bookmarkEnd w:id="29"/>
      <w:bookmarkEnd w:id="30"/>
      <w:bookmarkEnd w:id="31"/>
      <w:bookmarkEnd w:id="32"/>
    </w:p>
    <w:p>
      <w:pPr>
        <w:widowControl/>
        <w:spacing w:line="360" w:lineRule="auto"/>
        <w:ind w:firstLine="420" w:firstLineChars="200"/>
        <w:contextualSpacing/>
        <w:rPr>
          <w:szCs w:val="21"/>
        </w:rPr>
      </w:pPr>
      <w:r>
        <w:rPr>
          <w:rFonts w:hint="eastAsia" w:cs="宋体"/>
          <w:szCs w:val="21"/>
        </w:rPr>
        <w:t>1.采购人信息</w:t>
      </w:r>
    </w:p>
    <w:p>
      <w:pPr>
        <w:spacing w:line="360" w:lineRule="auto"/>
        <w:ind w:firstLine="420" w:firstLineChars="200"/>
        <w:contextualSpacing/>
        <w:rPr>
          <w:rFonts w:hint="eastAsia"/>
          <w:szCs w:val="21"/>
        </w:rPr>
      </w:pPr>
      <w:r>
        <w:rPr>
          <w:rFonts w:hint="eastAsia"/>
          <w:szCs w:val="21"/>
        </w:rPr>
        <w:t>名 称：</w:t>
      </w:r>
      <w:r>
        <w:rPr>
          <w:rFonts w:hint="eastAsia" w:cs="Arial"/>
          <w:szCs w:val="21"/>
        </w:rPr>
        <w:t>宁波市公安局鄞州分局</w:t>
      </w:r>
    </w:p>
    <w:p>
      <w:pPr>
        <w:spacing w:line="360" w:lineRule="auto"/>
        <w:ind w:firstLine="420" w:firstLineChars="200"/>
        <w:contextualSpacing/>
        <w:rPr>
          <w:szCs w:val="21"/>
        </w:rPr>
      </w:pPr>
      <w:r>
        <w:rPr>
          <w:rFonts w:hint="eastAsia" w:cs="Arial"/>
          <w:szCs w:val="21"/>
        </w:rPr>
        <w:t>地 址</w:t>
      </w:r>
      <w:r>
        <w:rPr>
          <w:rFonts w:cs="Arial"/>
          <w:szCs w:val="21"/>
        </w:rPr>
        <w:t>：</w:t>
      </w:r>
      <w:r>
        <w:rPr>
          <w:rFonts w:hint="eastAsia" w:cs="Arial"/>
          <w:szCs w:val="21"/>
        </w:rPr>
        <w:t>宁波市鄞州区惠风西路10号</w:t>
      </w:r>
    </w:p>
    <w:p>
      <w:pPr>
        <w:spacing w:line="360" w:lineRule="auto"/>
        <w:ind w:firstLine="420" w:firstLineChars="200"/>
        <w:contextualSpacing/>
        <w:rPr>
          <w:rFonts w:hint="eastAsia"/>
          <w:kern w:val="0"/>
          <w:szCs w:val="21"/>
        </w:rPr>
      </w:pPr>
      <w:bookmarkStart w:id="33" w:name="_Toc28359009"/>
      <w:bookmarkStart w:id="34" w:name="_Toc28359086"/>
      <w:r>
        <w:rPr>
          <w:rFonts w:cs="Arial"/>
          <w:szCs w:val="21"/>
        </w:rPr>
        <w:t>联系人：</w:t>
      </w:r>
      <w:r>
        <w:rPr>
          <w:rFonts w:hint="eastAsia" w:cs="Arial"/>
          <w:szCs w:val="21"/>
        </w:rPr>
        <w:t>赵</w:t>
      </w:r>
      <w:r>
        <w:rPr>
          <w:rFonts w:cs="Arial"/>
          <w:szCs w:val="21"/>
        </w:rPr>
        <w:t>老师</w:t>
      </w:r>
      <w:r>
        <w:rPr>
          <w:rFonts w:hint="eastAsia" w:cs="Arial"/>
          <w:szCs w:val="21"/>
        </w:rPr>
        <w:t xml:space="preserve">  </w:t>
      </w:r>
      <w:r>
        <w:rPr>
          <w:rFonts w:cs="Arial"/>
          <w:szCs w:val="21"/>
        </w:rPr>
        <w:t xml:space="preserve"> </w:t>
      </w:r>
      <w:r>
        <w:rPr>
          <w:rFonts w:hint="eastAsia" w:cs="Arial"/>
          <w:szCs w:val="21"/>
        </w:rPr>
        <w:t xml:space="preserve">  电话：</w:t>
      </w:r>
      <w:r>
        <w:rPr>
          <w:rFonts w:cs="Arial"/>
          <w:szCs w:val="21"/>
        </w:rPr>
        <w:t>0574-</w:t>
      </w:r>
      <w:r>
        <w:rPr>
          <w:rFonts w:hint="eastAsia"/>
          <w:szCs w:val="21"/>
        </w:rPr>
        <w:t>88155036</w:t>
      </w:r>
    </w:p>
    <w:p>
      <w:pPr>
        <w:spacing w:line="360" w:lineRule="auto"/>
        <w:ind w:firstLine="420" w:firstLineChars="200"/>
        <w:contextualSpacing/>
        <w:rPr>
          <w:szCs w:val="21"/>
        </w:rPr>
      </w:pPr>
      <w:r>
        <w:rPr>
          <w:rFonts w:hint="eastAsia" w:cs="宋体"/>
          <w:szCs w:val="21"/>
        </w:rPr>
        <w:t>2.采购代理机构信息</w:t>
      </w:r>
      <w:bookmarkEnd w:id="33"/>
      <w:bookmarkEnd w:id="34"/>
    </w:p>
    <w:p>
      <w:pPr>
        <w:spacing w:line="360" w:lineRule="auto"/>
        <w:ind w:firstLine="420" w:firstLineChars="200"/>
        <w:contextualSpacing/>
        <w:rPr>
          <w:szCs w:val="21"/>
        </w:rPr>
      </w:pPr>
      <w:r>
        <w:rPr>
          <w:rFonts w:hint="eastAsia"/>
          <w:szCs w:val="21"/>
        </w:rPr>
        <w:t>名 称：</w:t>
      </w:r>
      <w:r>
        <w:rPr>
          <w:rFonts w:hint="eastAsia" w:cs="Arial"/>
          <w:color w:val="000000"/>
          <w:szCs w:val="21"/>
        </w:rPr>
        <w:t>中冠工程管理咨询有限公司</w:t>
      </w:r>
    </w:p>
    <w:p>
      <w:pPr>
        <w:spacing w:line="360" w:lineRule="auto"/>
        <w:ind w:firstLine="420" w:firstLineChars="200"/>
        <w:contextualSpacing/>
        <w:rPr>
          <w:szCs w:val="21"/>
        </w:rPr>
      </w:pPr>
      <w:r>
        <w:rPr>
          <w:rFonts w:hint="eastAsia"/>
          <w:szCs w:val="21"/>
        </w:rPr>
        <w:t>地　址：</w:t>
      </w:r>
      <w:r>
        <w:rPr>
          <w:rFonts w:hint="eastAsia" w:cs="Arial"/>
          <w:color w:val="000000"/>
          <w:szCs w:val="21"/>
        </w:rPr>
        <w:t>宁波市高新区新晖路155号东城国贸19楼</w:t>
      </w:r>
    </w:p>
    <w:p>
      <w:pPr>
        <w:pStyle w:val="23"/>
        <w:spacing w:line="360" w:lineRule="auto"/>
        <w:ind w:firstLine="420" w:firstLineChars="200"/>
        <w:contextualSpacing/>
        <w:jc w:val="both"/>
        <w:rPr>
          <w:rFonts w:ascii="Times New Roman" w:hAnsi="Times New Roman"/>
          <w:sz w:val="21"/>
          <w:szCs w:val="21"/>
        </w:rPr>
      </w:pPr>
      <w:r>
        <w:rPr>
          <w:rFonts w:hint="eastAsia" w:ascii="Times New Roman" w:hAnsi="Times New Roman"/>
          <w:sz w:val="21"/>
          <w:szCs w:val="21"/>
        </w:rPr>
        <w:t>联系人：陈懿倩、陈俊、</w:t>
      </w:r>
      <w:r>
        <w:rPr>
          <w:rFonts w:hint="eastAsia" w:ascii="Times New Roman" w:hAnsi="Times New Roman"/>
          <w:sz w:val="21"/>
          <w:szCs w:val="21"/>
          <w:lang w:eastAsia="zh-CN"/>
        </w:rPr>
        <w:t>徐莹洁</w:t>
      </w:r>
    </w:p>
    <w:p>
      <w:pPr>
        <w:pStyle w:val="196"/>
        <w:spacing w:afterLines="0" w:line="360" w:lineRule="auto"/>
        <w:ind w:firstLine="420"/>
        <w:contextualSpacing/>
        <w:rPr>
          <w:rFonts w:hint="eastAsia" w:ascii="Times New Roman" w:hAnsi="Times New Roman" w:cs="Times New Roman"/>
          <w:sz w:val="21"/>
          <w:szCs w:val="21"/>
        </w:rPr>
      </w:pPr>
      <w:r>
        <w:rPr>
          <w:rFonts w:hint="eastAsia" w:ascii="Times New Roman" w:hAnsi="Times New Roman" w:cs="Times New Roman"/>
          <w:kern w:val="2"/>
          <w:sz w:val="21"/>
          <w:szCs w:val="21"/>
        </w:rPr>
        <w:t>联系电话：</w:t>
      </w:r>
      <w:r>
        <w:rPr>
          <w:rFonts w:hint="eastAsia" w:ascii="Times New Roman" w:hAnsi="Times New Roman" w:cs="Times New Roman"/>
          <w:sz w:val="21"/>
          <w:szCs w:val="21"/>
        </w:rPr>
        <w:t>0574-87731619</w:t>
      </w:r>
    </w:p>
    <w:p>
      <w:pPr>
        <w:pStyle w:val="196"/>
        <w:spacing w:afterLines="0" w:line="360" w:lineRule="auto"/>
        <w:ind w:firstLine="0" w:firstLineChars="0"/>
        <w:contextualSpacing/>
      </w:pPr>
    </w:p>
    <w:p>
      <w:pPr>
        <w:pStyle w:val="40"/>
        <w:rPr>
          <w:rFonts w:ascii="Times New Roman" w:hAnsi="Times New Roman"/>
          <w:kern w:val="44"/>
          <w:sz w:val="36"/>
          <w:szCs w:val="36"/>
        </w:rPr>
      </w:pPr>
      <w:r>
        <w:rPr>
          <w:rFonts w:ascii="Times New Roman" w:hAnsi="Times New Roman"/>
          <w:kern w:val="44"/>
          <w:sz w:val="36"/>
          <w:szCs w:val="36"/>
          <w:lang w:val="en-US"/>
        </w:rPr>
        <w:br w:type="page"/>
      </w:r>
      <w:bookmarkStart w:id="35" w:name="_Toc6367"/>
      <w:bookmarkStart w:id="36" w:name="_Toc517688078"/>
      <w:r>
        <w:rPr>
          <w:rFonts w:hint="eastAsia" w:ascii="Times New Roman" w:hAnsi="Times New Roman"/>
          <w:kern w:val="44"/>
        </w:rPr>
        <w:t>第二部分  投标资料表</w:t>
      </w:r>
      <w:bookmarkEnd w:id="35"/>
      <w:bookmarkEnd w:id="36"/>
    </w:p>
    <w:tbl>
      <w:tblPr>
        <w:tblStyle w:val="44"/>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887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noWrap w:val="0"/>
            <w:vAlign w:val="center"/>
          </w:tcPr>
          <w:p>
            <w:pPr>
              <w:spacing w:line="360" w:lineRule="exact"/>
              <w:ind w:left="-108" w:right="-113"/>
              <w:contextualSpacing/>
              <w:jc w:val="center"/>
              <w:rPr>
                <w:rFonts w:ascii="Times New Roman" w:hAnsi="Times New Roman"/>
                <w:szCs w:val="21"/>
              </w:rPr>
            </w:pPr>
            <w:r>
              <w:rPr>
                <w:rFonts w:hint="eastAsia" w:ascii="Times New Roman" w:hAnsi="Times New Roman"/>
                <w:szCs w:val="21"/>
              </w:rPr>
              <w:t>序号</w:t>
            </w:r>
          </w:p>
        </w:tc>
        <w:tc>
          <w:tcPr>
            <w:tcW w:w="8874" w:type="dxa"/>
            <w:tcBorders>
              <w:bottom w:val="single" w:color="auto" w:sz="4" w:space="0"/>
            </w:tcBorders>
            <w:noWrap w:val="0"/>
            <w:vAlign w:val="center"/>
          </w:tcPr>
          <w:p>
            <w:pPr>
              <w:spacing w:line="360" w:lineRule="exact"/>
              <w:contextualSpacing/>
              <w:jc w:val="center"/>
              <w:rPr>
                <w:rFonts w:ascii="Times New Roman" w:hAnsi="Times New Roman"/>
                <w:szCs w:val="21"/>
              </w:rPr>
            </w:pPr>
            <w:r>
              <w:rPr>
                <w:rFonts w:hint="eastAsia" w:ascii="Times New Roman" w:hAnsi="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restart"/>
            <w:noWrap w:val="0"/>
            <w:vAlign w:val="center"/>
          </w:tcPr>
          <w:p>
            <w:pPr>
              <w:autoSpaceDE w:val="0"/>
              <w:autoSpaceDN w:val="0"/>
              <w:snapToGrid w:val="0"/>
              <w:spacing w:line="360" w:lineRule="exact"/>
              <w:ind w:left="-95" w:right="-129"/>
              <w:contextualSpacing/>
              <w:jc w:val="center"/>
              <w:rPr>
                <w:rFonts w:ascii="Times New Roman" w:hAnsi="Times New Roman"/>
                <w:szCs w:val="21"/>
              </w:rPr>
            </w:pPr>
            <w:r>
              <w:rPr>
                <w:rFonts w:hint="eastAsia" w:ascii="Times New Roman" w:hAnsi="Times New Roman"/>
                <w:szCs w:val="21"/>
              </w:rPr>
              <w:t>1</w:t>
            </w:r>
          </w:p>
        </w:tc>
        <w:tc>
          <w:tcPr>
            <w:tcW w:w="8874" w:type="dxa"/>
            <w:noWrap w:val="0"/>
            <w:vAlign w:val="center"/>
          </w:tcPr>
          <w:p>
            <w:pPr>
              <w:tabs>
                <w:tab w:val="left" w:pos="1580"/>
                <w:tab w:val="left" w:pos="3436"/>
                <w:tab w:val="left" w:pos="5512"/>
              </w:tabs>
              <w:spacing w:line="360" w:lineRule="exact"/>
              <w:ind w:left="21"/>
              <w:contextualSpacing/>
              <w:rPr>
                <w:rFonts w:hint="eastAsia" w:ascii="Times New Roman" w:hAnsi="Times New Roman"/>
                <w:szCs w:val="21"/>
              </w:rPr>
            </w:pPr>
            <w:r>
              <w:rPr>
                <w:rFonts w:hint="eastAsia" w:ascii="Times New Roman" w:hAnsi="Times New Roman"/>
                <w:szCs w:val="21"/>
              </w:rPr>
              <w:t>采购人：</w:t>
            </w:r>
            <w:r>
              <w:rPr>
                <w:rFonts w:hint="eastAsia" w:ascii="Times New Roman" w:hAnsi="Times New Roman" w:cs="Arial"/>
                <w:szCs w:val="21"/>
              </w:rPr>
              <w:t>宁波市公安局鄞州分局</w:t>
            </w:r>
          </w:p>
          <w:p>
            <w:pPr>
              <w:tabs>
                <w:tab w:val="left" w:pos="1580"/>
                <w:tab w:val="left" w:pos="3436"/>
                <w:tab w:val="left" w:pos="5512"/>
              </w:tabs>
              <w:spacing w:line="360" w:lineRule="exact"/>
              <w:ind w:left="21"/>
              <w:contextualSpacing/>
              <w:rPr>
                <w:rFonts w:ascii="Times New Roman" w:hAnsi="Times New Roman"/>
                <w:szCs w:val="21"/>
              </w:rPr>
            </w:pPr>
            <w:r>
              <w:rPr>
                <w:rFonts w:cs="Arial"/>
                <w:szCs w:val="21"/>
              </w:rPr>
              <w:t>联系人：</w:t>
            </w:r>
            <w:r>
              <w:rPr>
                <w:rFonts w:hint="eastAsia" w:cs="Arial"/>
                <w:szCs w:val="21"/>
              </w:rPr>
              <w:t>赵</w:t>
            </w:r>
            <w:r>
              <w:rPr>
                <w:rFonts w:cs="Arial"/>
                <w:szCs w:val="21"/>
              </w:rPr>
              <w:t>老师</w:t>
            </w:r>
            <w:r>
              <w:rPr>
                <w:rFonts w:hint="eastAsia" w:cs="Arial"/>
                <w:szCs w:val="21"/>
              </w:rPr>
              <w:t xml:space="preserve">  </w:t>
            </w:r>
            <w:r>
              <w:rPr>
                <w:rFonts w:cs="Arial"/>
                <w:szCs w:val="21"/>
              </w:rPr>
              <w:t xml:space="preserve"> </w:t>
            </w:r>
            <w:r>
              <w:rPr>
                <w:rFonts w:hint="eastAsia" w:cs="Arial"/>
                <w:szCs w:val="21"/>
              </w:rPr>
              <w:t xml:space="preserve">  电话：</w:t>
            </w:r>
            <w:r>
              <w:rPr>
                <w:rFonts w:cs="Arial"/>
                <w:szCs w:val="21"/>
              </w:rPr>
              <w:t>0574-</w:t>
            </w:r>
            <w:r>
              <w:rPr>
                <w:rFonts w:hint="eastAsia" w:ascii="Times New Roman" w:hAnsi="Times New Roman"/>
                <w:szCs w:val="21"/>
              </w:rPr>
              <w:t>88155036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noWrap w:val="0"/>
            <w:vAlign w:val="center"/>
          </w:tcPr>
          <w:p>
            <w:pPr>
              <w:autoSpaceDE w:val="0"/>
              <w:autoSpaceDN w:val="0"/>
              <w:snapToGrid w:val="0"/>
              <w:spacing w:line="360" w:lineRule="exact"/>
              <w:ind w:left="-95" w:right="-129"/>
              <w:contextualSpacing/>
              <w:jc w:val="center"/>
              <w:rPr>
                <w:rFonts w:ascii="Times New Roman" w:hAnsi="Times New Roman"/>
                <w:szCs w:val="21"/>
              </w:rPr>
            </w:pPr>
          </w:p>
        </w:tc>
        <w:tc>
          <w:tcPr>
            <w:tcW w:w="8874" w:type="dxa"/>
            <w:noWrap w:val="0"/>
            <w:vAlign w:val="center"/>
          </w:tcPr>
          <w:p>
            <w:pPr>
              <w:tabs>
                <w:tab w:val="left" w:pos="1580"/>
                <w:tab w:val="left" w:pos="3436"/>
                <w:tab w:val="left" w:pos="5512"/>
              </w:tabs>
              <w:spacing w:line="360" w:lineRule="exact"/>
              <w:ind w:left="21"/>
              <w:contextualSpacing/>
              <w:rPr>
                <w:rFonts w:ascii="Times New Roman" w:hAnsi="Times New Roman"/>
                <w:szCs w:val="21"/>
              </w:rPr>
            </w:pPr>
            <w:r>
              <w:rPr>
                <w:rFonts w:hint="eastAsia" w:ascii="Times New Roman" w:hAnsi="Times New Roman"/>
                <w:szCs w:val="21"/>
              </w:rPr>
              <w:t>采购</w:t>
            </w:r>
            <w:r>
              <w:rPr>
                <w:rFonts w:ascii="Times New Roman" w:hAnsi="Times New Roman"/>
                <w:szCs w:val="21"/>
              </w:rPr>
              <w:t>代理机构：中冠工程管理咨询有限公司</w:t>
            </w:r>
          </w:p>
          <w:p>
            <w:pPr>
              <w:tabs>
                <w:tab w:val="left" w:pos="1300"/>
              </w:tabs>
              <w:spacing w:line="360" w:lineRule="exact"/>
              <w:ind w:left="21"/>
              <w:contextualSpacing/>
              <w:rPr>
                <w:rFonts w:ascii="Times New Roman" w:hAnsi="Times New Roman"/>
                <w:szCs w:val="21"/>
              </w:rPr>
            </w:pPr>
            <w:r>
              <w:rPr>
                <w:rFonts w:hint="eastAsia" w:ascii="Times New Roman" w:hAnsi="Times New Roman"/>
                <w:szCs w:val="21"/>
              </w:rPr>
              <w:t>联系人：陈懿倩、陈俊、徐莹洁</w:t>
            </w:r>
          </w:p>
          <w:p>
            <w:pPr>
              <w:tabs>
                <w:tab w:val="left" w:pos="1300"/>
              </w:tabs>
              <w:spacing w:line="360" w:lineRule="exact"/>
              <w:ind w:left="21"/>
              <w:contextualSpacing/>
              <w:rPr>
                <w:rFonts w:ascii="Times New Roman" w:hAnsi="Times New Roman"/>
                <w:szCs w:val="21"/>
              </w:rPr>
            </w:pPr>
            <w:r>
              <w:rPr>
                <w:rFonts w:hint="eastAsia" w:ascii="Times New Roman" w:hAnsi="Times New Roman"/>
                <w:szCs w:val="21"/>
              </w:rPr>
              <w:t>电话：</w:t>
            </w:r>
            <w:r>
              <w:rPr>
                <w:rFonts w:ascii="Times New Roman" w:hAnsi="Times New Roman" w:cs="Arial"/>
                <w:szCs w:val="21"/>
              </w:rPr>
              <w:t>057</w:t>
            </w:r>
            <w:r>
              <w:rPr>
                <w:rFonts w:hint="eastAsia" w:ascii="Times New Roman" w:hAnsi="Times New Roman" w:cs="Arial"/>
                <w:szCs w:val="21"/>
              </w:rPr>
              <w:t>4-87731619、13616572427、13957808255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noWrap w:val="0"/>
            <w:vAlign w:val="center"/>
          </w:tcPr>
          <w:p>
            <w:pPr>
              <w:spacing w:line="360" w:lineRule="exact"/>
              <w:contextualSpacing/>
              <w:jc w:val="center"/>
              <w:rPr>
                <w:rFonts w:ascii="Times New Roman" w:hAnsi="Times New Roman"/>
                <w:szCs w:val="21"/>
              </w:rPr>
            </w:pPr>
            <w:r>
              <w:rPr>
                <w:rFonts w:hint="eastAsia" w:ascii="Times New Roman" w:hAnsi="Times New Roman"/>
                <w:szCs w:val="21"/>
              </w:rPr>
              <w:t>2</w:t>
            </w:r>
          </w:p>
        </w:tc>
        <w:tc>
          <w:tcPr>
            <w:tcW w:w="8874" w:type="dxa"/>
            <w:tcBorders>
              <w:top w:val="single" w:color="auto" w:sz="4" w:space="0"/>
              <w:bottom w:val="single" w:color="auto" w:sz="2" w:space="0"/>
            </w:tcBorders>
            <w:noWrap w:val="0"/>
            <w:vAlign w:val="center"/>
          </w:tcPr>
          <w:p>
            <w:pPr>
              <w:spacing w:line="360" w:lineRule="exact"/>
              <w:contextualSpacing/>
              <w:rPr>
                <w:rFonts w:ascii="Times New Roman" w:hAnsi="Times New Roman"/>
                <w:szCs w:val="21"/>
              </w:rPr>
            </w:pPr>
            <w:r>
              <w:rPr>
                <w:rFonts w:hint="eastAsia" w:ascii="Times New Roman" w:hAnsi="Times New Roman"/>
                <w:szCs w:val="21"/>
              </w:rPr>
              <w:t>经批准的本次采购方式：公开招标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noWrap w:val="0"/>
            <w:vAlign w:val="center"/>
          </w:tcPr>
          <w:p>
            <w:pPr>
              <w:spacing w:line="360" w:lineRule="exact"/>
              <w:contextualSpacing/>
              <w:jc w:val="center"/>
              <w:rPr>
                <w:rFonts w:hint="eastAsia" w:ascii="Times New Roman" w:hAnsi="Times New Roman"/>
                <w:szCs w:val="21"/>
              </w:rPr>
            </w:pPr>
            <w:r>
              <w:rPr>
                <w:rFonts w:hint="eastAsia" w:ascii="Times New Roman" w:hAnsi="Times New Roman"/>
                <w:szCs w:val="21"/>
              </w:rPr>
              <w:t>3</w:t>
            </w:r>
          </w:p>
        </w:tc>
        <w:tc>
          <w:tcPr>
            <w:tcW w:w="8874" w:type="dxa"/>
            <w:tcBorders>
              <w:top w:val="single" w:color="auto" w:sz="4" w:space="0"/>
              <w:bottom w:val="single" w:color="auto" w:sz="2" w:space="0"/>
            </w:tcBorders>
            <w:noWrap w:val="0"/>
            <w:vAlign w:val="center"/>
          </w:tcPr>
          <w:p>
            <w:pPr>
              <w:spacing w:line="360" w:lineRule="exact"/>
              <w:contextualSpacing/>
              <w:rPr>
                <w:rFonts w:hint="eastAsia" w:ascii="Times New Roman" w:hAnsi="Times New Roman" w:cs="Arial"/>
                <w:bCs/>
                <w:szCs w:val="21"/>
              </w:rPr>
            </w:pPr>
            <w:r>
              <w:rPr>
                <w:rFonts w:hint="eastAsia" w:ascii="Times New Roman" w:hAnsi="Times New Roman" w:cs="Arial"/>
                <w:bCs/>
                <w:szCs w:val="21"/>
              </w:rPr>
              <w:t>投标人</w:t>
            </w:r>
            <w:r>
              <w:rPr>
                <w:rFonts w:ascii="Times New Roman" w:hAnsi="Times New Roman" w:cs="Arial"/>
                <w:bCs/>
                <w:szCs w:val="21"/>
              </w:rPr>
              <w:t>的资格要求：</w:t>
            </w:r>
            <w:r>
              <w:rPr>
                <w:rFonts w:hint="eastAsia" w:ascii="Times New Roman" w:hAnsi="Times New Roman" w:cs="Arial"/>
                <w:bCs/>
                <w:szCs w:val="21"/>
              </w:rPr>
              <w:t>详见“第一部分 采购公告”。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noWrap w:val="0"/>
            <w:vAlign w:val="center"/>
          </w:tcPr>
          <w:p>
            <w:pPr>
              <w:spacing w:line="360" w:lineRule="exact"/>
              <w:contextualSpacing/>
              <w:jc w:val="center"/>
              <w:rPr>
                <w:rFonts w:hint="eastAsia" w:ascii="Times New Roman" w:hAnsi="Times New Roman"/>
                <w:szCs w:val="21"/>
              </w:rPr>
            </w:pPr>
            <w:r>
              <w:rPr>
                <w:rFonts w:hint="eastAsia" w:ascii="Times New Roman" w:hAnsi="Times New Roman"/>
                <w:szCs w:val="21"/>
              </w:rPr>
              <w:t>4</w:t>
            </w:r>
          </w:p>
        </w:tc>
        <w:tc>
          <w:tcPr>
            <w:tcW w:w="8874" w:type="dxa"/>
            <w:tcBorders>
              <w:top w:val="single" w:color="auto" w:sz="4" w:space="0"/>
              <w:bottom w:val="single" w:color="auto" w:sz="2" w:space="0"/>
            </w:tcBorders>
            <w:noWrap w:val="0"/>
            <w:vAlign w:val="center"/>
          </w:tcPr>
          <w:p>
            <w:pPr>
              <w:spacing w:line="360" w:lineRule="exact"/>
              <w:contextualSpacing/>
              <w:rPr>
                <w:rFonts w:hint="eastAsia" w:ascii="Times New Roman" w:hAnsi="Times New Roman"/>
                <w:szCs w:val="21"/>
              </w:rPr>
            </w:pPr>
            <w:r>
              <w:rPr>
                <w:rFonts w:hint="eastAsia" w:ascii="Times New Roman" w:hAnsi="Times New Roman"/>
                <w:szCs w:val="21"/>
              </w:rPr>
              <w:t>资格审查：本项目采用资格后审。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noWrap w:val="0"/>
            <w:vAlign w:val="center"/>
          </w:tcPr>
          <w:p>
            <w:pPr>
              <w:tabs>
                <w:tab w:val="left" w:pos="1580"/>
                <w:tab w:val="left" w:pos="3436"/>
                <w:tab w:val="left" w:pos="5512"/>
              </w:tabs>
              <w:spacing w:line="360" w:lineRule="exact"/>
              <w:ind w:left="21"/>
              <w:contextualSpacing/>
              <w:jc w:val="center"/>
              <w:rPr>
                <w:rFonts w:ascii="Times New Roman" w:hAnsi="Times New Roman"/>
                <w:szCs w:val="21"/>
              </w:rPr>
            </w:pPr>
            <w:r>
              <w:rPr>
                <w:rFonts w:hint="eastAsia" w:ascii="Times New Roman" w:hAnsi="Times New Roman"/>
                <w:szCs w:val="21"/>
              </w:rPr>
              <w:t>★5</w:t>
            </w:r>
          </w:p>
        </w:tc>
        <w:tc>
          <w:tcPr>
            <w:tcW w:w="8874" w:type="dxa"/>
            <w:noWrap w:val="0"/>
            <w:vAlign w:val="center"/>
          </w:tcPr>
          <w:p>
            <w:pPr>
              <w:spacing w:line="360" w:lineRule="exact"/>
              <w:contextualSpacing/>
              <w:rPr>
                <w:rFonts w:hint="eastAsia" w:ascii="Times New Roman" w:hAnsi="Times New Roman"/>
                <w:szCs w:val="21"/>
              </w:rPr>
            </w:pPr>
            <w:r>
              <w:rPr>
                <w:rFonts w:hint="eastAsia" w:ascii="Times New Roman" w:hAnsi="Times New Roman"/>
                <w:szCs w:val="21"/>
              </w:rPr>
              <w:t>商务条款资料部分：</w:t>
            </w:r>
          </w:p>
          <w:p>
            <w:pPr>
              <w:rPr>
                <w:rFonts w:hint="eastAsia" w:ascii="Times New Roman" w:hAnsi="Times New Roman"/>
                <w:szCs w:val="21"/>
              </w:rPr>
            </w:pPr>
            <w:r>
              <w:rPr>
                <w:rFonts w:ascii="Times New Roman" w:hAnsi="Times New Roman"/>
                <w:szCs w:val="21"/>
              </w:rPr>
              <w:t>1</w:t>
            </w:r>
            <w:r>
              <w:rPr>
                <w:rFonts w:hint="eastAsia" w:ascii="Times New Roman" w:hAnsi="Times New Roman"/>
                <w:szCs w:val="21"/>
              </w:rPr>
              <w:t>、交货时间：</w:t>
            </w:r>
            <w:r>
              <w:rPr>
                <w:rFonts w:ascii="Times New Roman" w:hAnsi="Times New Roman"/>
                <w:szCs w:val="21"/>
              </w:rPr>
              <w:t>在合同签订后，且现场满足智能设备进场条件后</w:t>
            </w:r>
            <w:r>
              <w:rPr>
                <w:rFonts w:hint="eastAsia" w:ascii="Times New Roman" w:hAnsi="Times New Roman"/>
                <w:szCs w:val="21"/>
              </w:rPr>
              <w:t>3</w:t>
            </w:r>
            <w:r>
              <w:rPr>
                <w:rFonts w:ascii="Times New Roman" w:hAnsi="Times New Roman"/>
                <w:szCs w:val="21"/>
              </w:rPr>
              <w:t>0日历天内供货并调试完成</w:t>
            </w:r>
            <w:r>
              <w:rPr>
                <w:rFonts w:hint="eastAsia" w:ascii="Times New Roman" w:hAnsi="Times New Roman"/>
                <w:szCs w:val="21"/>
              </w:rPr>
              <w:t>。</w:t>
            </w:r>
          </w:p>
          <w:p>
            <w:pPr>
              <w:spacing w:line="360" w:lineRule="exact"/>
              <w:contextualSpacing/>
              <w:rPr>
                <w:rFonts w:ascii="Times New Roman" w:hAnsi="Times New Roman"/>
                <w:szCs w:val="21"/>
              </w:rPr>
            </w:pPr>
            <w:r>
              <w:rPr>
                <w:rFonts w:hint="eastAsia" w:ascii="Times New Roman" w:hAnsi="Times New Roman"/>
                <w:szCs w:val="21"/>
              </w:rPr>
              <w:t>2、交货地点：采购</w:t>
            </w:r>
            <w:r>
              <w:rPr>
                <w:rFonts w:ascii="Times New Roman" w:hAnsi="Times New Roman"/>
                <w:szCs w:val="21"/>
              </w:rPr>
              <w:t>人</w:t>
            </w:r>
            <w:r>
              <w:rPr>
                <w:rFonts w:hint="eastAsia" w:ascii="Times New Roman" w:hAnsi="Times New Roman"/>
                <w:szCs w:val="21"/>
              </w:rPr>
              <w:t>指定地点。</w:t>
            </w:r>
          </w:p>
          <w:p>
            <w:pPr>
              <w:spacing w:line="360" w:lineRule="exact"/>
              <w:contextualSpacing/>
              <w:rPr>
                <w:rFonts w:hint="eastAsia" w:ascii="Times New Roman" w:hAnsi="Times New Roman"/>
                <w:szCs w:val="21"/>
              </w:rPr>
            </w:pPr>
            <w:r>
              <w:rPr>
                <w:rFonts w:hint="eastAsia" w:ascii="Times New Roman" w:hAnsi="Times New Roman"/>
                <w:szCs w:val="21"/>
              </w:rPr>
              <w:t>3、</w:t>
            </w:r>
            <w:r>
              <w:rPr>
                <w:rFonts w:ascii="Times New Roman" w:hAnsi="Times New Roman"/>
                <w:szCs w:val="21"/>
              </w:rPr>
              <w:t>验收</w:t>
            </w:r>
            <w:r>
              <w:rPr>
                <w:rFonts w:hint="eastAsia" w:ascii="Times New Roman" w:hAnsi="Times New Roman"/>
                <w:szCs w:val="21"/>
              </w:rPr>
              <w:t>：中标人将所供货物安装调试完毕后通知采购</w:t>
            </w:r>
            <w:r>
              <w:rPr>
                <w:rFonts w:ascii="Times New Roman" w:hAnsi="Times New Roman"/>
                <w:szCs w:val="21"/>
              </w:rPr>
              <w:t>人</w:t>
            </w:r>
            <w:r>
              <w:rPr>
                <w:rFonts w:hint="eastAsia" w:ascii="Times New Roman" w:hAnsi="Times New Roman"/>
                <w:szCs w:val="21"/>
              </w:rPr>
              <w:t>到场，由采购</w:t>
            </w:r>
            <w:r>
              <w:rPr>
                <w:rFonts w:ascii="Times New Roman" w:hAnsi="Times New Roman"/>
                <w:szCs w:val="21"/>
              </w:rPr>
              <w:t>人</w:t>
            </w:r>
            <w:r>
              <w:rPr>
                <w:rFonts w:hint="eastAsia" w:ascii="Times New Roman" w:hAnsi="Times New Roman"/>
                <w:szCs w:val="21"/>
              </w:rPr>
              <w:t>负责验收。合同货物从验收合格次日起1个月内，出现非人为因素造成的无法排除的故障，由中标人予以调换。</w:t>
            </w:r>
          </w:p>
          <w:p>
            <w:pPr>
              <w:spacing w:line="360" w:lineRule="exact"/>
              <w:contextualSpacing/>
              <w:rPr>
                <w:rFonts w:hint="eastAsia" w:ascii="Times New Roman" w:hAnsi="Times New Roman"/>
                <w:szCs w:val="21"/>
              </w:rPr>
            </w:pPr>
            <w:r>
              <w:rPr>
                <w:rFonts w:ascii="Times New Roman" w:hAnsi="Times New Roman"/>
                <w:szCs w:val="21"/>
              </w:rPr>
              <w:t>4</w:t>
            </w:r>
            <w:r>
              <w:rPr>
                <w:rFonts w:hint="eastAsia" w:ascii="Times New Roman" w:hAnsi="Times New Roman"/>
                <w:szCs w:val="21"/>
              </w:rPr>
              <w:t>、履约保证金：中标人</w:t>
            </w:r>
            <w:r>
              <w:rPr>
                <w:rFonts w:ascii="Times New Roman" w:hAnsi="Times New Roman"/>
                <w:szCs w:val="21"/>
              </w:rPr>
              <w:t>于合同签订前向</w:t>
            </w:r>
            <w:r>
              <w:rPr>
                <w:rFonts w:hint="eastAsia" w:ascii="Times New Roman" w:hAnsi="Times New Roman"/>
                <w:szCs w:val="21"/>
              </w:rPr>
              <w:t>采购</w:t>
            </w:r>
            <w:r>
              <w:rPr>
                <w:rFonts w:ascii="Times New Roman" w:hAnsi="Times New Roman"/>
                <w:szCs w:val="21"/>
              </w:rPr>
              <w:t>人</w:t>
            </w:r>
            <w:r>
              <w:rPr>
                <w:rFonts w:hint="eastAsia" w:ascii="Times New Roman" w:hAnsi="Times New Roman"/>
                <w:szCs w:val="21"/>
              </w:rPr>
              <w:t>缴纳合同总价5%的</w:t>
            </w:r>
            <w:r>
              <w:rPr>
                <w:rFonts w:ascii="Times New Roman" w:hAnsi="Times New Roman"/>
                <w:szCs w:val="21"/>
              </w:rPr>
              <w:t>履约保证金</w:t>
            </w:r>
            <w:r>
              <w:rPr>
                <w:rFonts w:hint="eastAsia" w:ascii="Times New Roman" w:hAnsi="Times New Roman"/>
                <w:szCs w:val="21"/>
              </w:rPr>
              <w:t>，履约完成后</w:t>
            </w:r>
            <w:r>
              <w:rPr>
                <w:rFonts w:ascii="Times New Roman" w:hAnsi="Times New Roman"/>
                <w:szCs w:val="21"/>
              </w:rPr>
              <w:t>转为质保金，待</w:t>
            </w:r>
            <w:r>
              <w:rPr>
                <w:rFonts w:hint="eastAsia" w:ascii="Times New Roman" w:hAnsi="Times New Roman"/>
                <w:szCs w:val="21"/>
              </w:rPr>
              <w:t>所有</w:t>
            </w:r>
            <w:r>
              <w:rPr>
                <w:rFonts w:ascii="Times New Roman" w:hAnsi="Times New Roman"/>
                <w:szCs w:val="21"/>
              </w:rPr>
              <w:t>货物质保期满且</w:t>
            </w:r>
            <w:r>
              <w:rPr>
                <w:rFonts w:hint="eastAsia" w:ascii="Times New Roman" w:hAnsi="Times New Roman"/>
                <w:szCs w:val="21"/>
              </w:rPr>
              <w:t>无质量索赔后无息退还。</w:t>
            </w:r>
          </w:p>
          <w:p>
            <w:pPr>
              <w:spacing w:line="360" w:lineRule="exact"/>
              <w:contextualSpacing/>
              <w:rPr>
                <w:rFonts w:ascii="Times New Roman" w:hAnsi="Times New Roman"/>
                <w:szCs w:val="21"/>
              </w:rPr>
            </w:pPr>
            <w:r>
              <w:rPr>
                <w:rFonts w:ascii="Times New Roman" w:hAnsi="Times New Roman"/>
                <w:szCs w:val="21"/>
              </w:rPr>
              <w:t>5</w:t>
            </w:r>
            <w:r>
              <w:rPr>
                <w:rFonts w:hint="eastAsia" w:ascii="Times New Roman" w:hAnsi="Times New Roman"/>
                <w:szCs w:val="21"/>
              </w:rPr>
              <w:t>、付款方式：</w:t>
            </w:r>
            <w:r>
              <w:rPr>
                <w:rFonts w:ascii="Times New Roman" w:hAnsi="Times New Roman"/>
                <w:szCs w:val="21"/>
              </w:rPr>
              <w:t>采购人在合同签订后10个工作日内，向中标单位支付合同总价的</w:t>
            </w:r>
            <w:r>
              <w:rPr>
                <w:rFonts w:hint="eastAsia" w:ascii="Times New Roman" w:hAnsi="Times New Roman"/>
                <w:szCs w:val="21"/>
              </w:rPr>
              <w:t>3</w:t>
            </w:r>
            <w:r>
              <w:rPr>
                <w:rFonts w:ascii="Times New Roman" w:hAnsi="Times New Roman"/>
                <w:szCs w:val="21"/>
              </w:rPr>
              <w:t>0%作为首付款, 在货物安装调试完毕且验收合格后10个工作日内支付合同总价的</w:t>
            </w:r>
            <w:r>
              <w:rPr>
                <w:rFonts w:hint="default" w:ascii="Times New Roman" w:hAnsi="Times New Roman"/>
                <w:szCs w:val="21"/>
                <w:lang w:val="en-US"/>
              </w:rPr>
              <w:t>7</w:t>
            </w:r>
            <w:r>
              <w:rPr>
                <w:rFonts w:hint="eastAsia" w:ascii="Times New Roman" w:hAnsi="Times New Roman"/>
                <w:szCs w:val="21"/>
              </w:rPr>
              <w:t>0</w:t>
            </w:r>
            <w:r>
              <w:rPr>
                <w:rFonts w:ascii="Times New Roman" w:hAnsi="Times New Roman"/>
                <w:szCs w:val="21"/>
              </w:rPr>
              <w:t>%，</w:t>
            </w:r>
            <w:r>
              <w:rPr>
                <w:rFonts w:hint="default" w:ascii="Times New Roman" w:hAnsi="Times New Roman"/>
                <w:szCs w:val="21"/>
                <w:lang w:val="en-US"/>
              </w:rPr>
              <w:t>合同期满，合同价的5%履约保证金转为质保金，待</w:t>
            </w:r>
            <w:r>
              <w:rPr>
                <w:rFonts w:hint="eastAsia" w:ascii="Times New Roman" w:hAnsi="Times New Roman"/>
                <w:szCs w:val="21"/>
              </w:rPr>
              <w:t>整个项目</w:t>
            </w:r>
            <w:r>
              <w:rPr>
                <w:rFonts w:ascii="Times New Roman" w:hAnsi="Times New Roman"/>
                <w:szCs w:val="21"/>
              </w:rPr>
              <w:t>质保期满且</w:t>
            </w:r>
            <w:r>
              <w:rPr>
                <w:rFonts w:hint="eastAsia" w:ascii="Times New Roman" w:hAnsi="Times New Roman"/>
                <w:szCs w:val="21"/>
              </w:rPr>
              <w:t>无质量索赔后无息退还。</w:t>
            </w:r>
          </w:p>
          <w:p>
            <w:pPr>
              <w:spacing w:line="360" w:lineRule="exact"/>
              <w:contextualSpacing/>
              <w:rPr>
                <w:rFonts w:ascii="Times New Roman" w:hAnsi="Times New Roman"/>
                <w:szCs w:val="21"/>
              </w:rPr>
            </w:pPr>
            <w:r>
              <w:rPr>
                <w:rFonts w:ascii="Times New Roman" w:hAnsi="Times New Roman"/>
                <w:szCs w:val="21"/>
              </w:rPr>
              <w:t>6</w:t>
            </w:r>
            <w:r>
              <w:rPr>
                <w:rFonts w:hint="eastAsia" w:ascii="Times New Roman" w:hAnsi="Times New Roman"/>
                <w:szCs w:val="21"/>
              </w:rPr>
              <w:t>、合同签订：固定单价不可调，总价可调；按采购人实际使用情况根据单价进行结算。投标人所报的产品单价或单项价格在合同实施期间保持不变，并不因数量的变化或因劳务、材料机械等成本的价格变动而做任何单价调整（除合同规定的条款外），凡影响投标报价的所有相关费用应列入本次报价中。中标后，不得以不完全了解采购文件、交货现场和周围环境等情况为借口，而提出额外补偿或延长供货时限等的要求。</w:t>
            </w:r>
          </w:p>
          <w:p>
            <w:pPr>
              <w:spacing w:line="360" w:lineRule="exact"/>
              <w:contextualSpacing/>
              <w:rPr>
                <w:rFonts w:hint="eastAsia" w:ascii="Times New Roman" w:hAnsi="Times New Roman"/>
                <w:szCs w:val="21"/>
              </w:rPr>
            </w:pPr>
            <w:r>
              <w:rPr>
                <w:rFonts w:hint="eastAsia" w:ascii="Times New Roman" w:hAnsi="Times New Roman"/>
                <w:szCs w:val="21"/>
              </w:rPr>
              <w:t>7、质保期：</w:t>
            </w:r>
            <w:r>
              <w:rPr>
                <w:rFonts w:ascii="Times New Roman" w:hAnsi="Times New Roman"/>
                <w:szCs w:val="21"/>
              </w:rPr>
              <w:t>硬件质保期为验收合格之日起</w:t>
            </w:r>
            <w:r>
              <w:rPr>
                <w:rFonts w:hint="eastAsia" w:ascii="Times New Roman" w:hAnsi="Times New Roman"/>
                <w:szCs w:val="21"/>
              </w:rPr>
              <w:t>一</w:t>
            </w:r>
            <w:r>
              <w:rPr>
                <w:rFonts w:ascii="Times New Roman" w:hAnsi="Times New Roman"/>
                <w:szCs w:val="21"/>
              </w:rPr>
              <w:t>年，软件质保期为验收合格之日起</w:t>
            </w:r>
            <w:r>
              <w:rPr>
                <w:rFonts w:hint="eastAsia" w:ascii="Times New Roman" w:hAnsi="Times New Roman"/>
                <w:szCs w:val="21"/>
              </w:rPr>
              <w:t>二</w:t>
            </w:r>
            <w:r>
              <w:rPr>
                <w:rFonts w:ascii="Times New Roman" w:hAnsi="Times New Roman"/>
                <w:szCs w:val="21"/>
              </w:rPr>
              <w:t>年</w:t>
            </w:r>
            <w:r>
              <w:rPr>
                <w:rFonts w:hint="eastAsia" w:ascii="Times New Roman" w:hAnsi="Times New Roman"/>
                <w:szCs w:val="21"/>
              </w:rPr>
              <w:t>。</w:t>
            </w:r>
          </w:p>
          <w:p>
            <w:pPr>
              <w:spacing w:line="360" w:lineRule="exact"/>
              <w:contextualSpacing/>
              <w:rPr>
                <w:rFonts w:ascii="Times New Roman" w:hAnsi="Times New Roman"/>
                <w:szCs w:val="21"/>
              </w:rPr>
            </w:pPr>
            <w:r>
              <w:rPr>
                <w:rFonts w:hint="eastAsia" w:ascii="Times New Roman" w:hAnsi="Times New Roman"/>
                <w:szCs w:val="21"/>
              </w:rPr>
              <w:t>8、转包与分包：不允许。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noWrap w:val="0"/>
            <w:vAlign w:val="center"/>
          </w:tcPr>
          <w:p>
            <w:pPr>
              <w:tabs>
                <w:tab w:val="left" w:pos="1580"/>
                <w:tab w:val="left" w:pos="3436"/>
                <w:tab w:val="left" w:pos="5512"/>
              </w:tabs>
              <w:spacing w:line="360" w:lineRule="exact"/>
              <w:ind w:left="21"/>
              <w:contextualSpacing/>
              <w:jc w:val="center"/>
              <w:rPr>
                <w:rFonts w:hint="eastAsia" w:ascii="Times New Roman" w:hAnsi="Times New Roman"/>
                <w:szCs w:val="21"/>
              </w:rPr>
            </w:pPr>
            <w:r>
              <w:rPr>
                <w:rFonts w:hint="eastAsia" w:ascii="Times New Roman" w:hAnsi="Times New Roman"/>
                <w:szCs w:val="21"/>
              </w:rPr>
              <w:t>★6</w:t>
            </w:r>
          </w:p>
        </w:tc>
        <w:tc>
          <w:tcPr>
            <w:tcW w:w="8874" w:type="dxa"/>
            <w:noWrap w:val="0"/>
            <w:vAlign w:val="center"/>
          </w:tcPr>
          <w:p>
            <w:pPr>
              <w:spacing w:line="360" w:lineRule="exact"/>
              <w:contextualSpacing/>
              <w:rPr>
                <w:rFonts w:ascii="Times New Roman" w:hAnsi="Times New Roman"/>
                <w:szCs w:val="21"/>
              </w:rPr>
            </w:pPr>
            <w:r>
              <w:rPr>
                <w:rFonts w:hint="eastAsia" w:ascii="Times New Roman" w:hAnsi="Times New Roman"/>
                <w:szCs w:val="21"/>
              </w:rPr>
              <w:t>投标报价：</w:t>
            </w:r>
          </w:p>
          <w:p>
            <w:pPr>
              <w:pStyle w:val="23"/>
              <w:snapToGrid w:val="0"/>
              <w:spacing w:line="360" w:lineRule="exact"/>
              <w:contextualSpacing/>
              <w:jc w:val="both"/>
              <w:rPr>
                <w:rFonts w:hint="eastAsia" w:ascii="Times New Roman" w:hAnsi="Times New Roman"/>
                <w:b/>
                <w:sz w:val="21"/>
                <w:szCs w:val="21"/>
                <w:lang w:val="en-US" w:eastAsia="zh-CN"/>
              </w:rPr>
            </w:pPr>
            <w:r>
              <w:rPr>
                <w:rFonts w:hint="eastAsia" w:ascii="Times New Roman" w:hAnsi="Times New Roman"/>
                <w:b/>
                <w:sz w:val="21"/>
                <w:szCs w:val="21"/>
                <w:lang w:val="en-US" w:eastAsia="zh-CN"/>
              </w:rPr>
              <w:t>1、最高</w:t>
            </w:r>
            <w:r>
              <w:rPr>
                <w:rFonts w:ascii="Times New Roman" w:hAnsi="Times New Roman"/>
                <w:b/>
                <w:sz w:val="21"/>
                <w:szCs w:val="21"/>
                <w:lang w:val="en-US" w:eastAsia="zh-CN"/>
              </w:rPr>
              <w:t>限价</w:t>
            </w:r>
            <w:r>
              <w:rPr>
                <w:rFonts w:hint="eastAsia" w:ascii="Times New Roman" w:hAnsi="Times New Roman"/>
                <w:b/>
                <w:sz w:val="21"/>
                <w:szCs w:val="21"/>
                <w:lang w:val="en-US" w:eastAsia="zh-CN"/>
              </w:rPr>
              <w:t>：人民币</w:t>
            </w:r>
            <w:r>
              <w:rPr>
                <w:rFonts w:hint="eastAsia" w:ascii="Times New Roman" w:hAnsi="Times New Roman"/>
                <w:b/>
                <w:sz w:val="21"/>
                <w:szCs w:val="21"/>
                <w:lang w:val="en-US" w:eastAsia="zh-CN"/>
              </w:rPr>
              <w:t>3252572</w:t>
            </w:r>
            <w:r>
              <w:rPr>
                <w:rFonts w:hint="eastAsia" w:ascii="Times New Roman" w:hAnsi="Times New Roman"/>
                <w:b/>
                <w:sz w:val="21"/>
                <w:szCs w:val="21"/>
                <w:lang w:val="en-US" w:eastAsia="zh-CN"/>
              </w:rPr>
              <w:t>元，投标报价超过最高限价的，其投标将作无效投标处理；</w:t>
            </w:r>
          </w:p>
          <w:p>
            <w:pPr>
              <w:spacing w:line="360" w:lineRule="exact"/>
              <w:contextualSpacing/>
              <w:rPr>
                <w:rFonts w:ascii="Times New Roman" w:hAnsi="Times New Roman"/>
                <w:szCs w:val="21"/>
              </w:rPr>
            </w:pPr>
            <w:r>
              <w:rPr>
                <w:rFonts w:hint="eastAsia" w:ascii="Times New Roman" w:hAnsi="Times New Roman"/>
                <w:szCs w:val="21"/>
              </w:rPr>
              <w:t>2、报价应包含括货物、运输、装卸、安装、调试、检测、场地清理、人工、验收、售后服务、培训、利润、税金、管理、相关伴随服务等所有费用，如漏报，最终所发生的费用均由中标人承担，采购人一律不予承担；</w:t>
            </w:r>
          </w:p>
          <w:p>
            <w:pPr>
              <w:spacing w:line="360" w:lineRule="exact"/>
              <w:contextualSpacing/>
              <w:rPr>
                <w:rFonts w:hint="eastAsia" w:ascii="Times New Roman" w:hAnsi="Times New Roman"/>
                <w:szCs w:val="21"/>
              </w:rPr>
            </w:pPr>
            <w:r>
              <w:rPr>
                <w:rFonts w:ascii="Times New Roman" w:hAnsi="Times New Roman"/>
                <w:szCs w:val="21"/>
              </w:rPr>
              <w:t>3</w:t>
            </w:r>
            <w:r>
              <w:rPr>
                <w:rFonts w:hint="eastAsia" w:ascii="Times New Roman" w:hAnsi="Times New Roman"/>
                <w:szCs w:val="21"/>
              </w:rPr>
              <w:t>、不论中标结果如何，投标人均应自行承担所有与投标有关的全部费用。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noWrap w:val="0"/>
            <w:vAlign w:val="center"/>
          </w:tcPr>
          <w:p>
            <w:pPr>
              <w:tabs>
                <w:tab w:val="left" w:pos="1580"/>
                <w:tab w:val="left" w:pos="3436"/>
                <w:tab w:val="left" w:pos="5512"/>
              </w:tabs>
              <w:spacing w:line="360" w:lineRule="exact"/>
              <w:ind w:left="21"/>
              <w:contextualSpacing/>
              <w:jc w:val="center"/>
              <w:rPr>
                <w:rFonts w:hint="eastAsia" w:ascii="Times New Roman" w:hAnsi="Times New Roman"/>
                <w:szCs w:val="21"/>
              </w:rPr>
            </w:pPr>
            <w:r>
              <w:rPr>
                <w:rFonts w:hint="eastAsia" w:ascii="Times New Roman" w:hAnsi="Times New Roman"/>
                <w:szCs w:val="21"/>
              </w:rPr>
              <w:t>★7</w:t>
            </w:r>
          </w:p>
        </w:tc>
        <w:tc>
          <w:tcPr>
            <w:tcW w:w="8874" w:type="dxa"/>
            <w:noWrap w:val="0"/>
            <w:vAlign w:val="center"/>
          </w:tcPr>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noWrap w:val="0"/>
            <w:vAlign w:val="center"/>
          </w:tcPr>
          <w:p>
            <w:pPr>
              <w:autoSpaceDE w:val="0"/>
              <w:autoSpaceDN w:val="0"/>
              <w:snapToGrid w:val="0"/>
              <w:spacing w:line="360" w:lineRule="exact"/>
              <w:ind w:left="-95" w:right="-129"/>
              <w:contextualSpacing/>
              <w:jc w:val="center"/>
              <w:rPr>
                <w:rFonts w:ascii="Times New Roman" w:hAnsi="Times New Roman"/>
                <w:szCs w:val="21"/>
              </w:rPr>
            </w:pPr>
            <w:r>
              <w:rPr>
                <w:rFonts w:hint="eastAsia" w:ascii="Times New Roman" w:hAnsi="Times New Roman"/>
                <w:szCs w:val="21"/>
              </w:rPr>
              <w:t>8</w:t>
            </w:r>
          </w:p>
        </w:tc>
        <w:tc>
          <w:tcPr>
            <w:tcW w:w="8874" w:type="dxa"/>
            <w:noWrap w:val="0"/>
            <w:vAlign w:val="center"/>
          </w:tcPr>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投标文件的编制和递交部分：</w:t>
            </w:r>
          </w:p>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1、按采购文件《投标人须知》的</w:t>
            </w:r>
            <w:r>
              <w:rPr>
                <w:rFonts w:ascii="Times New Roman" w:hAnsi="Times New Roman"/>
                <w:szCs w:val="21"/>
              </w:rPr>
              <w:t>9.</w:t>
            </w:r>
            <w:r>
              <w:rPr>
                <w:rFonts w:hint="eastAsia" w:ascii="Times New Roman" w:hAnsi="Times New Roman"/>
                <w:szCs w:val="21"/>
              </w:rPr>
              <w:t>1、9.2条款规定；</w:t>
            </w:r>
          </w:p>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2、投标文件装订特殊要求：资格证明文件独立装订并密封，报价文件独立装订并密封，技术商务文件独立装订并密封。</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3、投标文件份数：资格证明文件：正本一份，副本四份，电子版一份；</w:t>
            </w:r>
          </w:p>
          <w:p>
            <w:pPr>
              <w:autoSpaceDE w:val="0"/>
              <w:autoSpaceDN w:val="0"/>
              <w:snapToGrid w:val="0"/>
              <w:spacing w:line="360" w:lineRule="exact"/>
              <w:ind w:firstLine="1785" w:firstLineChars="850"/>
              <w:contextualSpacing/>
              <w:rPr>
                <w:rFonts w:hint="eastAsia" w:ascii="Times New Roman" w:hAnsi="Times New Roman"/>
                <w:szCs w:val="21"/>
              </w:rPr>
            </w:pPr>
            <w:r>
              <w:rPr>
                <w:rFonts w:hint="eastAsia" w:ascii="Times New Roman" w:hAnsi="Times New Roman"/>
                <w:szCs w:val="21"/>
              </w:rPr>
              <w:t>报价文件：正本一份，副本四份，电子版一份；</w:t>
            </w:r>
          </w:p>
          <w:p>
            <w:pPr>
              <w:autoSpaceDE w:val="0"/>
              <w:autoSpaceDN w:val="0"/>
              <w:snapToGrid w:val="0"/>
              <w:spacing w:line="360" w:lineRule="exact"/>
              <w:ind w:firstLine="1785" w:firstLineChars="850"/>
              <w:contextualSpacing/>
              <w:rPr>
                <w:rFonts w:ascii="Times New Roman" w:hAnsi="Times New Roman"/>
                <w:szCs w:val="21"/>
              </w:rPr>
            </w:pPr>
            <w:r>
              <w:rPr>
                <w:rFonts w:hint="eastAsia" w:ascii="Times New Roman" w:hAnsi="Times New Roman"/>
                <w:szCs w:val="21"/>
              </w:rPr>
              <w:t>技术商务文件：正本一份，副本四份，电子版一份；</w:t>
            </w:r>
          </w:p>
          <w:p>
            <w:pPr>
              <w:autoSpaceDE w:val="0"/>
              <w:autoSpaceDN w:val="0"/>
              <w:snapToGrid w:val="0"/>
              <w:spacing w:line="360" w:lineRule="exact"/>
              <w:ind w:firstLine="1785" w:firstLineChars="850"/>
              <w:contextualSpacing/>
              <w:rPr>
                <w:rFonts w:hint="eastAsia" w:ascii="Times New Roman" w:hAnsi="Times New Roman"/>
                <w:szCs w:val="21"/>
              </w:rPr>
            </w:pPr>
            <w:r>
              <w:rPr>
                <w:rFonts w:hint="eastAsia" w:ascii="Times New Roman" w:hAnsi="Times New Roman"/>
                <w:szCs w:val="21"/>
              </w:rPr>
              <w:t>电子版形式：U盘。</w:t>
            </w:r>
          </w:p>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4、投标人必须将资格证明文件（含正本、副本、电子版）装袋按要求密封做好标记；将报价文件（含正本、副本、电子版）装袋按要求密封做好标记；将技术商务文件（含正本、副本、电子版）装袋按要求密封做好标记，不符合规定的为无效投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noWrap w:val="0"/>
            <w:vAlign w:val="center"/>
          </w:tcPr>
          <w:p>
            <w:pPr>
              <w:autoSpaceDE w:val="0"/>
              <w:autoSpaceDN w:val="0"/>
              <w:snapToGrid w:val="0"/>
              <w:spacing w:line="360" w:lineRule="exact"/>
              <w:ind w:left="-95" w:right="-129"/>
              <w:contextualSpacing/>
              <w:jc w:val="center"/>
              <w:rPr>
                <w:rFonts w:hint="eastAsia" w:ascii="Times New Roman" w:hAnsi="Times New Roman"/>
                <w:szCs w:val="21"/>
              </w:rPr>
            </w:pPr>
            <w:r>
              <w:rPr>
                <w:rFonts w:hint="eastAsia" w:ascii="Times New Roman" w:hAnsi="Times New Roman"/>
                <w:szCs w:val="21"/>
              </w:rPr>
              <w:t>9</w:t>
            </w:r>
          </w:p>
        </w:tc>
        <w:tc>
          <w:tcPr>
            <w:tcW w:w="8874" w:type="dxa"/>
            <w:tcBorders>
              <w:bottom w:val="single" w:color="auto" w:sz="2" w:space="0"/>
            </w:tcBorders>
            <w:noWrap w:val="0"/>
            <w:vAlign w:val="center"/>
          </w:tcPr>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投标文件提交截止时间及投标截止时间：2020年</w:t>
            </w:r>
            <w:r>
              <w:rPr>
                <w:rFonts w:hint="eastAsia" w:ascii="Times New Roman" w:hAnsi="Times New Roman"/>
                <w:szCs w:val="21"/>
                <w:lang w:val="en-US" w:eastAsia="zh-CN"/>
              </w:rPr>
              <w:t>8</w:t>
            </w:r>
            <w:r>
              <w:rPr>
                <w:rFonts w:hint="eastAsia" w:ascii="Times New Roman" w:hAnsi="Times New Roman"/>
                <w:szCs w:val="21"/>
              </w:rPr>
              <w:t>月</w:t>
            </w:r>
            <w:r>
              <w:rPr>
                <w:rFonts w:hint="eastAsia" w:ascii="Times New Roman" w:hAnsi="Times New Roman"/>
                <w:szCs w:val="21"/>
                <w:lang w:val="en-US" w:eastAsia="zh-CN"/>
              </w:rPr>
              <w:t>12</w:t>
            </w:r>
            <w:r>
              <w:rPr>
                <w:rFonts w:hint="eastAsia" w:ascii="Times New Roman" w:hAnsi="Times New Roman"/>
                <w:szCs w:val="21"/>
              </w:rPr>
              <w:t>日09：30（北京时间）</w:t>
            </w:r>
          </w:p>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接受投标时间：2020年</w:t>
            </w:r>
            <w:r>
              <w:rPr>
                <w:rFonts w:hint="eastAsia" w:ascii="Times New Roman" w:hAnsi="Times New Roman"/>
                <w:szCs w:val="21"/>
                <w:lang w:val="en-US" w:eastAsia="zh-CN"/>
              </w:rPr>
              <w:t>8</w:t>
            </w:r>
            <w:r>
              <w:rPr>
                <w:rFonts w:hint="eastAsia" w:ascii="Times New Roman" w:hAnsi="Times New Roman"/>
                <w:szCs w:val="21"/>
              </w:rPr>
              <w:t>月</w:t>
            </w:r>
            <w:r>
              <w:rPr>
                <w:rFonts w:hint="eastAsia" w:ascii="Times New Roman" w:hAnsi="Times New Roman"/>
                <w:szCs w:val="21"/>
                <w:lang w:val="en-US" w:eastAsia="zh-CN"/>
              </w:rPr>
              <w:t>12</w:t>
            </w:r>
            <w:r>
              <w:rPr>
                <w:rFonts w:hint="eastAsia" w:ascii="Times New Roman" w:hAnsi="Times New Roman"/>
                <w:szCs w:val="21"/>
              </w:rPr>
              <w:t>日0</w:t>
            </w:r>
            <w:r>
              <w:rPr>
                <w:rFonts w:hint="eastAsia" w:ascii="Times New Roman" w:hAnsi="Times New Roman"/>
                <w:szCs w:val="21"/>
                <w:lang w:val="en-US" w:eastAsia="zh-CN"/>
              </w:rPr>
              <w:t>8</w:t>
            </w:r>
            <w:r>
              <w:rPr>
                <w:rFonts w:hint="eastAsia" w:ascii="Times New Roman" w:hAnsi="Times New Roman"/>
                <w:szCs w:val="21"/>
              </w:rPr>
              <w:t>：</w:t>
            </w:r>
            <w:r>
              <w:rPr>
                <w:rFonts w:hint="eastAsia" w:ascii="Times New Roman" w:hAnsi="Times New Roman"/>
                <w:szCs w:val="21"/>
                <w:lang w:val="en-US" w:eastAsia="zh-CN"/>
              </w:rPr>
              <w:t>3</w:t>
            </w:r>
            <w:r>
              <w:rPr>
                <w:rFonts w:hint="eastAsia" w:ascii="Times New Roman" w:hAnsi="Times New Roman"/>
                <w:szCs w:val="21"/>
              </w:rPr>
              <w:t>0~09：30（北京时间）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bottom w:val="single" w:color="auto" w:sz="2" w:space="0"/>
            </w:tcBorders>
            <w:noWrap w:val="0"/>
            <w:vAlign w:val="center"/>
          </w:tcPr>
          <w:p>
            <w:pPr>
              <w:autoSpaceDE w:val="0"/>
              <w:autoSpaceDN w:val="0"/>
              <w:snapToGrid w:val="0"/>
              <w:spacing w:line="360" w:lineRule="exact"/>
              <w:ind w:left="-95" w:right="-129"/>
              <w:contextualSpacing/>
              <w:jc w:val="center"/>
              <w:rPr>
                <w:rFonts w:hint="eastAsia" w:ascii="Times New Roman" w:hAnsi="Times New Roman"/>
                <w:szCs w:val="21"/>
              </w:rPr>
            </w:pPr>
            <w:r>
              <w:rPr>
                <w:rFonts w:hint="eastAsia" w:ascii="Times New Roman" w:hAnsi="Times New Roman"/>
                <w:szCs w:val="21"/>
              </w:rPr>
              <w:t>10</w:t>
            </w:r>
          </w:p>
        </w:tc>
        <w:tc>
          <w:tcPr>
            <w:tcW w:w="8874" w:type="dxa"/>
            <w:tcBorders>
              <w:top w:val="single" w:color="auto" w:sz="2" w:space="0"/>
              <w:bottom w:val="single" w:color="auto" w:sz="2" w:space="0"/>
            </w:tcBorders>
            <w:noWrap w:val="0"/>
            <w:vAlign w:val="center"/>
          </w:tcPr>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开标时间：2020年</w:t>
            </w:r>
            <w:r>
              <w:rPr>
                <w:rFonts w:hint="eastAsia" w:ascii="Times New Roman" w:hAnsi="Times New Roman"/>
                <w:szCs w:val="21"/>
                <w:lang w:val="en-US" w:eastAsia="zh-CN"/>
              </w:rPr>
              <w:t>8</w:t>
            </w:r>
            <w:r>
              <w:rPr>
                <w:rFonts w:hint="eastAsia" w:ascii="Times New Roman" w:hAnsi="Times New Roman"/>
                <w:szCs w:val="21"/>
              </w:rPr>
              <w:t>月</w:t>
            </w:r>
            <w:r>
              <w:rPr>
                <w:rFonts w:hint="eastAsia" w:ascii="Times New Roman" w:hAnsi="Times New Roman"/>
                <w:szCs w:val="21"/>
                <w:lang w:val="en-US" w:eastAsia="zh-CN"/>
              </w:rPr>
              <w:t>12</w:t>
            </w:r>
            <w:r>
              <w:rPr>
                <w:rFonts w:hint="eastAsia" w:ascii="Times New Roman" w:hAnsi="Times New Roman"/>
                <w:szCs w:val="21"/>
              </w:rPr>
              <w:t>日09：30（北京时间）</w:t>
            </w:r>
          </w:p>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开标地点：鄞州区公共资源交易中心（鄞州区惠江路567号，鄞州区行政服务中心五楼，具体受理场所详见当日电子指示屏）。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bottom w:val="single" w:color="auto" w:sz="4" w:space="0"/>
            </w:tcBorders>
            <w:noWrap w:val="0"/>
            <w:vAlign w:val="center"/>
          </w:tcPr>
          <w:p>
            <w:pPr>
              <w:autoSpaceDE w:val="0"/>
              <w:autoSpaceDN w:val="0"/>
              <w:snapToGrid w:val="0"/>
              <w:spacing w:line="360" w:lineRule="exact"/>
              <w:ind w:left="-95" w:right="-129"/>
              <w:contextualSpacing/>
              <w:jc w:val="center"/>
              <w:rPr>
                <w:rFonts w:hint="eastAsia" w:ascii="Times New Roman" w:hAnsi="Times New Roman"/>
                <w:szCs w:val="21"/>
              </w:rPr>
            </w:pPr>
            <w:r>
              <w:rPr>
                <w:rFonts w:hint="eastAsia" w:ascii="Times New Roman" w:hAnsi="Times New Roman"/>
                <w:szCs w:val="21"/>
              </w:rPr>
              <w:t>11</w:t>
            </w:r>
          </w:p>
        </w:tc>
        <w:tc>
          <w:tcPr>
            <w:tcW w:w="8874" w:type="dxa"/>
            <w:tcBorders>
              <w:top w:val="single" w:color="auto" w:sz="2" w:space="0"/>
              <w:bottom w:val="single" w:color="auto" w:sz="4" w:space="0"/>
            </w:tcBorders>
            <w:noWrap w:val="0"/>
            <w:vAlign w:val="center"/>
          </w:tcPr>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开标顺序：先开资格证明文件和技术商务文件，在资格证明文件和技术商务文件评审结束后，公开宣布资格审查情况及技术商务评分分数，接着开启报价文件并唱标。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bottom w:val="single" w:color="auto" w:sz="4" w:space="0"/>
            </w:tcBorders>
            <w:noWrap w:val="0"/>
            <w:vAlign w:val="center"/>
          </w:tcPr>
          <w:p>
            <w:pPr>
              <w:autoSpaceDE w:val="0"/>
              <w:autoSpaceDN w:val="0"/>
              <w:snapToGrid w:val="0"/>
              <w:spacing w:line="360" w:lineRule="exact"/>
              <w:ind w:left="-95" w:right="-129"/>
              <w:contextualSpacing/>
              <w:jc w:val="center"/>
              <w:rPr>
                <w:rFonts w:hint="eastAsia" w:ascii="Times New Roman" w:hAnsi="Times New Roman"/>
                <w:szCs w:val="21"/>
              </w:rPr>
            </w:pPr>
            <w:r>
              <w:rPr>
                <w:rFonts w:hint="eastAsia" w:ascii="Times New Roman" w:hAnsi="Times New Roman"/>
                <w:szCs w:val="21"/>
              </w:rPr>
              <w:t>12</w:t>
            </w:r>
          </w:p>
        </w:tc>
        <w:tc>
          <w:tcPr>
            <w:tcW w:w="8874" w:type="dxa"/>
            <w:tcBorders>
              <w:top w:val="single" w:color="auto" w:sz="2" w:space="0"/>
              <w:bottom w:val="single" w:color="auto" w:sz="4" w:space="0"/>
            </w:tcBorders>
            <w:noWrap w:val="0"/>
            <w:vAlign w:val="center"/>
          </w:tcPr>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按照采购文件确定的事项、采购内容变更的规定、中标人的投标响应、中标人的投标承诺、中标通知书确定的数量和金额签订合同。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tcBorders>
            <w:noWrap w:val="0"/>
            <w:vAlign w:val="center"/>
          </w:tcPr>
          <w:p>
            <w:pPr>
              <w:autoSpaceDE w:val="0"/>
              <w:autoSpaceDN w:val="0"/>
              <w:snapToGrid w:val="0"/>
              <w:spacing w:line="360" w:lineRule="exact"/>
              <w:ind w:left="-95" w:right="-129"/>
              <w:contextualSpacing/>
              <w:jc w:val="center"/>
              <w:rPr>
                <w:rFonts w:hint="eastAsia" w:ascii="Times New Roman" w:hAnsi="Times New Roman"/>
                <w:szCs w:val="21"/>
              </w:rPr>
            </w:pPr>
            <w:r>
              <w:rPr>
                <w:rFonts w:hint="eastAsia" w:ascii="Times New Roman" w:hAnsi="Times New Roman"/>
                <w:szCs w:val="21"/>
              </w:rPr>
              <w:t>13</w:t>
            </w:r>
          </w:p>
        </w:tc>
        <w:tc>
          <w:tcPr>
            <w:tcW w:w="8874" w:type="dxa"/>
            <w:tcBorders>
              <w:top w:val="single" w:color="auto" w:sz="2" w:space="0"/>
            </w:tcBorders>
            <w:noWrap w:val="0"/>
            <w:vAlign w:val="center"/>
          </w:tcPr>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采购公告与中标公告发布网站：</w:t>
            </w:r>
            <w:r>
              <w:rPr>
                <w:rFonts w:hint="eastAsia" w:ascii="Times New Roman" w:hAnsi="Times New Roman" w:cs="Arial"/>
                <w:szCs w:val="21"/>
              </w:rPr>
              <w:t>浙江政府采购网（http://www.zjzfcg.gov.cn）、宁波公共资源交易网鄞州区分网（http://yinzhou.bidding.gov.cn）、中冠工程管理咨询有限公司网站（http://www.zhongguanzixun.com）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noWrap w:val="0"/>
            <w:vAlign w:val="center"/>
          </w:tcPr>
          <w:p>
            <w:pPr>
              <w:autoSpaceDE w:val="0"/>
              <w:autoSpaceDN w:val="0"/>
              <w:snapToGrid w:val="0"/>
              <w:spacing w:line="360" w:lineRule="exact"/>
              <w:ind w:left="-95" w:right="-129"/>
              <w:contextualSpacing/>
              <w:jc w:val="center"/>
              <w:rPr>
                <w:rFonts w:hint="eastAsia" w:ascii="Times New Roman" w:hAnsi="Times New Roman"/>
                <w:szCs w:val="21"/>
              </w:rPr>
            </w:pPr>
            <w:r>
              <w:rPr>
                <w:rFonts w:hint="eastAsia" w:ascii="Times New Roman" w:hAnsi="Times New Roman"/>
                <w:szCs w:val="21"/>
              </w:rPr>
              <w:t>14</w:t>
            </w:r>
          </w:p>
        </w:tc>
        <w:tc>
          <w:tcPr>
            <w:tcW w:w="8874" w:type="dxa"/>
            <w:noWrap w:val="0"/>
            <w:vAlign w:val="center"/>
          </w:tcPr>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招标服务费：</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1、采购代理机构参考国家计委计价格</w:t>
            </w:r>
            <w:r>
              <w:rPr>
                <w:rFonts w:ascii="Times New Roman" w:hAnsi="Times New Roman"/>
                <w:szCs w:val="21"/>
              </w:rPr>
              <w:t>[</w:t>
            </w:r>
            <w:r>
              <w:rPr>
                <w:rFonts w:hint="eastAsia" w:ascii="Times New Roman" w:hAnsi="Times New Roman"/>
                <w:szCs w:val="21"/>
              </w:rPr>
              <w:t>2002</w:t>
            </w:r>
            <w:r>
              <w:rPr>
                <w:rFonts w:ascii="Times New Roman" w:hAnsi="Times New Roman"/>
                <w:szCs w:val="21"/>
              </w:rPr>
              <w:t>]</w:t>
            </w:r>
            <w:r>
              <w:rPr>
                <w:rFonts w:hint="eastAsia" w:ascii="Times New Roman" w:hAnsi="Times New Roman"/>
                <w:szCs w:val="21"/>
              </w:rPr>
              <w:t>1980号文件、发改价格</w:t>
            </w:r>
            <w:r>
              <w:rPr>
                <w:rFonts w:ascii="Times New Roman" w:hAnsi="Times New Roman"/>
                <w:szCs w:val="21"/>
              </w:rPr>
              <w:t>[</w:t>
            </w:r>
            <w:r>
              <w:rPr>
                <w:rFonts w:hint="eastAsia" w:ascii="Times New Roman" w:hAnsi="Times New Roman"/>
                <w:szCs w:val="21"/>
              </w:rPr>
              <w:t>2011</w:t>
            </w:r>
            <w:r>
              <w:rPr>
                <w:rFonts w:ascii="Times New Roman" w:hAnsi="Times New Roman"/>
                <w:szCs w:val="21"/>
              </w:rPr>
              <w:t>]</w:t>
            </w:r>
            <w:r>
              <w:rPr>
                <w:rFonts w:hint="eastAsia" w:ascii="Times New Roman" w:hAnsi="Times New Roman"/>
                <w:szCs w:val="21"/>
              </w:rPr>
              <w:t>534号文件规定的招标费率标准，下浮20%，按照中标</w:t>
            </w:r>
            <w:r>
              <w:rPr>
                <w:rFonts w:ascii="Times New Roman" w:hAnsi="Times New Roman"/>
                <w:szCs w:val="21"/>
              </w:rPr>
              <w:t>金额</w:t>
            </w:r>
            <w:r>
              <w:rPr>
                <w:rFonts w:hint="eastAsia" w:ascii="Times New Roman" w:hAnsi="Times New Roman"/>
                <w:szCs w:val="21"/>
              </w:rPr>
              <w:t>向中标人收取招标服务费；</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2、中标人应在接到采购代理机构通知后5个工作日内向采购代理机构支付招标服务费；</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3、因预中标人原因导致本次招标失败的，预中标人依旧按本条约定向代理机构支付服务费；</w:t>
            </w:r>
          </w:p>
          <w:p>
            <w:pPr>
              <w:autoSpaceDE w:val="0"/>
              <w:autoSpaceDN w:val="0"/>
              <w:snapToGrid w:val="0"/>
              <w:spacing w:line="360" w:lineRule="exact"/>
              <w:contextualSpacing/>
              <w:rPr>
                <w:rFonts w:ascii="Times New Roman" w:hAnsi="Times New Roman"/>
                <w:szCs w:val="21"/>
              </w:rPr>
            </w:pPr>
            <w:r>
              <w:rPr>
                <w:rFonts w:hint="eastAsia" w:ascii="Times New Roman" w:hAnsi="Times New Roman"/>
                <w:szCs w:val="21"/>
              </w:rPr>
              <w:t>4、中标人如未按以上1、2、3条规定办理，采购代理机构有权对不足部分进行追索。</w:t>
            </w:r>
          </w:p>
        </w:tc>
      </w:tr>
    </w:tbl>
    <w:p>
      <w:pPr>
        <w:pStyle w:val="40"/>
        <w:rPr>
          <w:rFonts w:ascii="Times New Roman" w:hAnsi="Times New Roman"/>
          <w:kern w:val="44"/>
          <w:lang w:eastAsia="zh-CN"/>
        </w:rPr>
      </w:pPr>
      <w:r>
        <w:rPr>
          <w:rFonts w:ascii="Times New Roman" w:hAnsi="Times New Roman"/>
        </w:rPr>
        <w:br w:type="page"/>
      </w:r>
      <w:bookmarkStart w:id="37" w:name="_Toc517688079"/>
      <w:bookmarkStart w:id="38" w:name="_Toc28047"/>
      <w:r>
        <w:rPr>
          <w:rFonts w:hint="eastAsia" w:ascii="Times New Roman" w:hAnsi="Times New Roman"/>
          <w:kern w:val="44"/>
        </w:rPr>
        <w:t>第三部分 投标人须知</w:t>
      </w:r>
      <w:bookmarkEnd w:id="37"/>
      <w:bookmarkEnd w:id="38"/>
      <w:bookmarkStart w:id="39" w:name="_Toc445193544"/>
      <w:bookmarkStart w:id="40" w:name="_Toc456853669"/>
      <w:bookmarkStart w:id="41" w:name="_Toc429407690"/>
      <w:bookmarkStart w:id="42" w:name="_Toc425780274"/>
      <w:bookmarkStart w:id="43" w:name="_Toc430790211"/>
      <w:bookmarkStart w:id="44" w:name="_Toc425151730"/>
      <w:bookmarkStart w:id="45" w:name="_Toc336528583"/>
    </w:p>
    <w:p>
      <w:pPr>
        <w:pStyle w:val="3"/>
        <w:numPr>
          <w:ilvl w:val="0"/>
          <w:numId w:val="2"/>
        </w:numPr>
        <w:spacing w:before="120" w:beforeLines="50" w:after="120" w:afterLines="50"/>
        <w:rPr>
          <w:rFonts w:ascii="Times New Roman"/>
          <w:szCs w:val="28"/>
        </w:rPr>
      </w:pPr>
      <w:bookmarkStart w:id="46" w:name="_Toc429407684"/>
      <w:bookmarkStart w:id="47" w:name="_Toc430790205"/>
      <w:bookmarkStart w:id="48" w:name="_Toc496003202"/>
      <w:bookmarkStart w:id="49" w:name="_Toc498429630"/>
      <w:bookmarkStart w:id="50" w:name="_Toc425151724"/>
      <w:bookmarkStart w:id="51" w:name="_Toc425780268"/>
      <w:bookmarkStart w:id="52" w:name="_Toc467683125"/>
      <w:bookmarkStart w:id="53" w:name="_Toc505353781"/>
      <w:bookmarkStart w:id="54" w:name="_Toc533"/>
      <w:r>
        <w:rPr>
          <w:rFonts w:ascii="Times New Roman"/>
          <w:szCs w:val="28"/>
        </w:rPr>
        <w:t>说明</w:t>
      </w:r>
      <w:bookmarkEnd w:id="46"/>
      <w:bookmarkEnd w:id="47"/>
      <w:bookmarkEnd w:id="48"/>
      <w:bookmarkEnd w:id="49"/>
      <w:bookmarkEnd w:id="50"/>
      <w:bookmarkEnd w:id="51"/>
      <w:bookmarkEnd w:id="52"/>
      <w:bookmarkEnd w:id="53"/>
      <w:bookmarkEnd w:id="54"/>
    </w:p>
    <w:p>
      <w:pPr>
        <w:pStyle w:val="6"/>
        <w:tabs>
          <w:tab w:val="left" w:pos="350"/>
        </w:tabs>
        <w:spacing w:before="0" w:after="0" w:line="360" w:lineRule="auto"/>
        <w:contextualSpacing/>
        <w:rPr>
          <w:b w:val="0"/>
          <w:sz w:val="21"/>
          <w:szCs w:val="21"/>
        </w:rPr>
      </w:pPr>
      <w:bookmarkStart w:id="55" w:name="_Toc425151725"/>
      <w:bookmarkStart w:id="56" w:name="_Toc429407685"/>
      <w:bookmarkStart w:id="57" w:name="_Toc9718"/>
      <w:bookmarkStart w:id="58" w:name="_Toc425780269"/>
      <w:bookmarkStart w:id="59" w:name="_Toc162252738"/>
      <w:bookmarkStart w:id="60" w:name="_Toc430790206"/>
      <w:r>
        <w:rPr>
          <w:rFonts w:hint="eastAsia"/>
          <w:b w:val="0"/>
          <w:sz w:val="21"/>
          <w:szCs w:val="21"/>
        </w:rPr>
        <w:t>1、</w:t>
      </w:r>
      <w:r>
        <w:rPr>
          <w:b w:val="0"/>
          <w:sz w:val="21"/>
          <w:szCs w:val="21"/>
        </w:rPr>
        <w:t>项目概况</w:t>
      </w:r>
      <w:bookmarkEnd w:id="55"/>
      <w:bookmarkEnd w:id="56"/>
      <w:bookmarkEnd w:id="57"/>
      <w:bookmarkEnd w:id="58"/>
      <w:bookmarkEnd w:id="59"/>
      <w:bookmarkEnd w:id="60"/>
    </w:p>
    <w:p>
      <w:pPr>
        <w:spacing w:line="360" w:lineRule="auto"/>
        <w:ind w:firstLine="420" w:firstLineChars="200"/>
        <w:contextualSpacing/>
        <w:rPr>
          <w:szCs w:val="21"/>
        </w:rPr>
      </w:pPr>
      <w:r>
        <w:rPr>
          <w:rFonts w:hint="eastAsia"/>
          <w:szCs w:val="21"/>
        </w:rPr>
        <w:t>1.1</w:t>
      </w:r>
      <w:r>
        <w:rPr>
          <w:szCs w:val="21"/>
        </w:rPr>
        <w:t>采购人的项目（载明在《投标资料表》中）已经政府采购行政管理部门批准。采购人委托中冠工程管理咨询有限公司代理本次招标采购工作。有关采购人、</w:t>
      </w:r>
      <w:r>
        <w:rPr>
          <w:rFonts w:hint="eastAsia"/>
          <w:szCs w:val="21"/>
        </w:rPr>
        <w:t>采购代理机构</w:t>
      </w:r>
      <w:r>
        <w:rPr>
          <w:szCs w:val="21"/>
        </w:rPr>
        <w:t>的名称、联系人、电话、传真等信息载明在《投标资料表》中。</w:t>
      </w:r>
    </w:p>
    <w:p>
      <w:pPr>
        <w:spacing w:line="360" w:lineRule="auto"/>
        <w:ind w:firstLine="420" w:firstLineChars="200"/>
        <w:contextualSpacing/>
        <w:rPr>
          <w:sz w:val="24"/>
          <w:szCs w:val="24"/>
        </w:rPr>
      </w:pPr>
      <w:r>
        <w:rPr>
          <w:rFonts w:hint="eastAsia"/>
          <w:szCs w:val="21"/>
        </w:rPr>
        <w:t>1.2</w:t>
      </w:r>
      <w:r>
        <w:rPr>
          <w:szCs w:val="21"/>
        </w:rPr>
        <w:t>经批准的本次采购方式载明在《投标资料表》中。</w:t>
      </w:r>
    </w:p>
    <w:p>
      <w:pPr>
        <w:pStyle w:val="3"/>
        <w:numPr>
          <w:ilvl w:val="0"/>
          <w:numId w:val="2"/>
        </w:numPr>
        <w:spacing w:before="120" w:beforeLines="50" w:after="120" w:afterLines="50"/>
        <w:rPr>
          <w:rFonts w:ascii="Times New Roman"/>
          <w:szCs w:val="28"/>
        </w:rPr>
      </w:pPr>
      <w:bookmarkStart w:id="61" w:name="_Toc430790207"/>
      <w:bookmarkStart w:id="62" w:name="_Toc425780270"/>
      <w:bookmarkStart w:id="63" w:name="_Toc498429631"/>
      <w:bookmarkStart w:id="64" w:name="_Toc496003203"/>
      <w:bookmarkStart w:id="65" w:name="_Toc429407686"/>
      <w:bookmarkStart w:id="66" w:name="_Toc425151726"/>
      <w:bookmarkStart w:id="67" w:name="_Toc2667"/>
      <w:bookmarkStart w:id="68" w:name="_Toc505353782"/>
      <w:bookmarkStart w:id="69" w:name="_Toc467683126"/>
      <w:r>
        <w:rPr>
          <w:rFonts w:ascii="Times New Roman"/>
          <w:szCs w:val="28"/>
        </w:rPr>
        <w:t>投标人</w:t>
      </w:r>
      <w:bookmarkEnd w:id="61"/>
      <w:bookmarkEnd w:id="62"/>
      <w:bookmarkEnd w:id="63"/>
      <w:bookmarkEnd w:id="64"/>
      <w:bookmarkEnd w:id="65"/>
      <w:bookmarkEnd w:id="66"/>
      <w:bookmarkEnd w:id="67"/>
      <w:bookmarkEnd w:id="68"/>
      <w:bookmarkEnd w:id="69"/>
    </w:p>
    <w:p>
      <w:pPr>
        <w:pStyle w:val="6"/>
        <w:tabs>
          <w:tab w:val="left" w:pos="350"/>
        </w:tabs>
        <w:spacing w:before="0" w:after="0" w:line="360" w:lineRule="auto"/>
        <w:contextualSpacing/>
        <w:rPr>
          <w:b w:val="0"/>
          <w:sz w:val="21"/>
          <w:szCs w:val="21"/>
        </w:rPr>
      </w:pPr>
      <w:bookmarkStart w:id="70" w:name="_Toc20338"/>
      <w:bookmarkStart w:id="71" w:name="_Toc425780271"/>
      <w:bookmarkStart w:id="72" w:name="_Toc429407687"/>
      <w:bookmarkStart w:id="73" w:name="_Toc425151727"/>
      <w:bookmarkStart w:id="74" w:name="_Toc430790208"/>
      <w:r>
        <w:rPr>
          <w:rFonts w:hint="eastAsia"/>
          <w:b w:val="0"/>
          <w:sz w:val="21"/>
          <w:szCs w:val="21"/>
        </w:rPr>
        <w:t>2、</w:t>
      </w:r>
      <w:r>
        <w:rPr>
          <w:b w:val="0"/>
          <w:sz w:val="21"/>
          <w:szCs w:val="21"/>
        </w:rPr>
        <w:t>合格的投标人</w:t>
      </w:r>
      <w:bookmarkEnd w:id="70"/>
      <w:bookmarkEnd w:id="71"/>
      <w:bookmarkEnd w:id="72"/>
      <w:bookmarkEnd w:id="73"/>
      <w:bookmarkEnd w:id="74"/>
    </w:p>
    <w:p>
      <w:pPr>
        <w:spacing w:line="360" w:lineRule="auto"/>
        <w:ind w:firstLine="420" w:firstLineChars="200"/>
        <w:contextualSpacing/>
        <w:rPr>
          <w:szCs w:val="21"/>
        </w:rPr>
      </w:pPr>
      <w:r>
        <w:rPr>
          <w:rFonts w:hint="eastAsia"/>
          <w:szCs w:val="21"/>
        </w:rPr>
        <w:t>2.1</w:t>
      </w:r>
      <w:r>
        <w:rPr>
          <w:szCs w:val="21"/>
        </w:rPr>
        <w:t>投标人应该是符合《投标资料表》的报名条件，符合、承认并承诺履行本采购文件各项要求的具有独立法人资格的中国境内企业或组织。</w:t>
      </w:r>
    </w:p>
    <w:p>
      <w:pPr>
        <w:spacing w:line="360" w:lineRule="auto"/>
        <w:ind w:firstLine="420" w:firstLineChars="200"/>
        <w:contextualSpacing/>
        <w:rPr>
          <w:szCs w:val="21"/>
        </w:rPr>
      </w:pPr>
      <w:r>
        <w:rPr>
          <w:rFonts w:hint="eastAsia"/>
          <w:szCs w:val="21"/>
        </w:rPr>
        <w:t>2.2</w:t>
      </w:r>
      <w:r>
        <w:rPr>
          <w:szCs w:val="21"/>
        </w:rPr>
        <w:t>参加本次投标活动的投标人应具备以下条件，并遵守国家有关的法律、法令和条例的规定：</w:t>
      </w:r>
    </w:p>
    <w:p>
      <w:pPr>
        <w:tabs>
          <w:tab w:val="left" w:pos="709"/>
        </w:tabs>
        <w:spacing w:line="360" w:lineRule="auto"/>
        <w:ind w:firstLine="420" w:firstLineChars="200"/>
        <w:contextualSpacing/>
        <w:rPr>
          <w:szCs w:val="21"/>
        </w:rPr>
      </w:pPr>
      <w:bookmarkStart w:id="75" w:name="_Toc425151728"/>
      <w:bookmarkStart w:id="76" w:name="_Toc430790209"/>
      <w:bookmarkStart w:id="77" w:name="_Toc429407688"/>
      <w:bookmarkStart w:id="78" w:name="_Toc425780272"/>
      <w:r>
        <w:rPr>
          <w:rFonts w:hint="eastAsia"/>
          <w:szCs w:val="21"/>
        </w:rPr>
        <w:t>（1）</w:t>
      </w:r>
      <w:r>
        <w:rPr>
          <w:szCs w:val="21"/>
        </w:rPr>
        <w:t>具有良好的商业信誉和健全的财务会计制度；</w:t>
      </w:r>
    </w:p>
    <w:p>
      <w:pPr>
        <w:tabs>
          <w:tab w:val="left" w:pos="709"/>
        </w:tabs>
        <w:spacing w:line="360" w:lineRule="auto"/>
        <w:ind w:firstLine="420" w:firstLineChars="200"/>
        <w:contextualSpacing/>
        <w:rPr>
          <w:szCs w:val="21"/>
        </w:rPr>
      </w:pPr>
      <w:r>
        <w:rPr>
          <w:rFonts w:hint="eastAsia"/>
          <w:szCs w:val="21"/>
        </w:rPr>
        <w:t>（2）</w:t>
      </w:r>
      <w:r>
        <w:rPr>
          <w:szCs w:val="21"/>
        </w:rPr>
        <w:t>具有履行合同要求提供服务所必须的设备、人员和专业技术能力；</w:t>
      </w:r>
    </w:p>
    <w:p>
      <w:pPr>
        <w:tabs>
          <w:tab w:val="left" w:pos="709"/>
        </w:tabs>
        <w:spacing w:line="360" w:lineRule="auto"/>
        <w:ind w:firstLine="420" w:firstLineChars="200"/>
        <w:contextualSpacing/>
        <w:rPr>
          <w:szCs w:val="21"/>
        </w:rPr>
      </w:pPr>
      <w:r>
        <w:rPr>
          <w:rFonts w:hint="eastAsia"/>
          <w:szCs w:val="21"/>
        </w:rPr>
        <w:t>（3）</w:t>
      </w:r>
      <w:r>
        <w:rPr>
          <w:szCs w:val="21"/>
        </w:rPr>
        <w:t>有依法缴纳税收和社会保障资金的良好纪录；</w:t>
      </w:r>
    </w:p>
    <w:p>
      <w:pPr>
        <w:tabs>
          <w:tab w:val="left" w:pos="709"/>
        </w:tabs>
        <w:spacing w:line="360" w:lineRule="auto"/>
        <w:ind w:firstLine="420" w:firstLineChars="200"/>
        <w:contextualSpacing/>
        <w:rPr>
          <w:szCs w:val="21"/>
        </w:rPr>
      </w:pPr>
      <w:r>
        <w:rPr>
          <w:rFonts w:hint="eastAsia"/>
          <w:szCs w:val="21"/>
        </w:rPr>
        <w:t>（4）</w:t>
      </w:r>
      <w:r>
        <w:rPr>
          <w:szCs w:val="21"/>
        </w:rPr>
        <w:t>参加本次</w:t>
      </w:r>
      <w:r>
        <w:rPr>
          <w:rFonts w:hint="eastAsia"/>
          <w:szCs w:val="21"/>
        </w:rPr>
        <w:t>投标</w:t>
      </w:r>
      <w:r>
        <w:rPr>
          <w:szCs w:val="21"/>
        </w:rPr>
        <w:t>活动之前三年内经营活动无重大违法纪录</w:t>
      </w:r>
      <w:r>
        <w:rPr>
          <w:rFonts w:hint="eastAsia"/>
          <w:szCs w:val="21"/>
        </w:rPr>
        <w:t>；</w:t>
      </w:r>
    </w:p>
    <w:p>
      <w:pPr>
        <w:tabs>
          <w:tab w:val="left" w:pos="709"/>
        </w:tabs>
        <w:spacing w:line="360" w:lineRule="auto"/>
        <w:ind w:firstLine="420" w:firstLineChars="200"/>
        <w:contextualSpacing/>
        <w:rPr>
          <w:szCs w:val="21"/>
        </w:rPr>
      </w:pPr>
      <w:r>
        <w:rPr>
          <w:rFonts w:hint="eastAsia"/>
          <w:szCs w:val="21"/>
        </w:rPr>
        <w:t>（5）满足采购人为获得满意服务供应而提出的其他要求（见</w:t>
      </w:r>
      <w:r>
        <w:rPr>
          <w:szCs w:val="21"/>
        </w:rPr>
        <w:t>《投标资料表》</w:t>
      </w:r>
      <w:r>
        <w:rPr>
          <w:rFonts w:hint="eastAsia"/>
          <w:szCs w:val="21"/>
        </w:rPr>
        <w:t>要求）。</w:t>
      </w:r>
    </w:p>
    <w:p>
      <w:pPr>
        <w:tabs>
          <w:tab w:val="left" w:pos="709"/>
        </w:tabs>
        <w:spacing w:line="360" w:lineRule="auto"/>
        <w:ind w:firstLine="420" w:firstLineChars="200"/>
        <w:contextualSpacing/>
        <w:rPr>
          <w:szCs w:val="21"/>
        </w:rPr>
      </w:pPr>
      <w:r>
        <w:rPr>
          <w:rFonts w:hint="eastAsia"/>
          <w:szCs w:val="21"/>
        </w:rPr>
        <w:t>（6）单位负责人为同一人或者存在直接控股、管理关系的不同供应商，不得参加同一合同项下的政府采购活动；</w:t>
      </w:r>
    </w:p>
    <w:p>
      <w:pPr>
        <w:tabs>
          <w:tab w:val="left" w:pos="709"/>
        </w:tabs>
        <w:spacing w:line="360" w:lineRule="auto"/>
        <w:ind w:firstLine="420" w:firstLineChars="200"/>
        <w:contextualSpacing/>
        <w:rPr>
          <w:szCs w:val="21"/>
        </w:rPr>
      </w:pPr>
      <w:r>
        <w:rPr>
          <w:rFonts w:hint="eastAsia"/>
          <w:szCs w:val="21"/>
        </w:rPr>
        <w:t>（7）</w:t>
      </w:r>
      <w:r>
        <w:rPr>
          <w:szCs w:val="21"/>
        </w:rPr>
        <w:t>除单一来源采购项目外，为采购项目提供整体设计、规范编制或者项目管理、监理、检测等服务的供应商，不得再参加该采购项目的其他采购活动。</w:t>
      </w:r>
    </w:p>
    <w:p>
      <w:pPr>
        <w:pStyle w:val="6"/>
        <w:tabs>
          <w:tab w:val="left" w:pos="350"/>
        </w:tabs>
        <w:spacing w:before="0" w:after="0" w:line="360" w:lineRule="auto"/>
        <w:contextualSpacing/>
        <w:rPr>
          <w:b w:val="0"/>
          <w:sz w:val="21"/>
          <w:szCs w:val="21"/>
        </w:rPr>
      </w:pPr>
      <w:bookmarkStart w:id="79" w:name="_Toc16667"/>
      <w:r>
        <w:rPr>
          <w:rFonts w:hint="eastAsia"/>
          <w:b w:val="0"/>
          <w:sz w:val="21"/>
          <w:szCs w:val="21"/>
        </w:rPr>
        <w:t>3、投标人代表</w:t>
      </w:r>
      <w:bookmarkEnd w:id="75"/>
      <w:bookmarkEnd w:id="76"/>
      <w:bookmarkEnd w:id="77"/>
      <w:bookmarkEnd w:id="78"/>
      <w:bookmarkEnd w:id="79"/>
    </w:p>
    <w:p>
      <w:pPr>
        <w:tabs>
          <w:tab w:val="left" w:pos="709"/>
        </w:tabs>
        <w:spacing w:line="360" w:lineRule="auto"/>
        <w:ind w:firstLine="420" w:firstLineChars="200"/>
        <w:contextualSpacing/>
        <w:rPr>
          <w:szCs w:val="21"/>
        </w:rPr>
      </w:pPr>
      <w:r>
        <w:rPr>
          <w:rFonts w:hint="eastAsia"/>
          <w:szCs w:val="21"/>
        </w:rPr>
        <w:t>若投标人为具有独立法人资格的中国境内企业或组织必须为该企业或组织的人员。若投标人为自然人必须为中国合法公民。</w:t>
      </w:r>
    </w:p>
    <w:p>
      <w:pPr>
        <w:pStyle w:val="6"/>
        <w:tabs>
          <w:tab w:val="left" w:pos="350"/>
        </w:tabs>
        <w:spacing w:before="0" w:after="0" w:line="360" w:lineRule="auto"/>
        <w:contextualSpacing/>
        <w:rPr>
          <w:b w:val="0"/>
          <w:sz w:val="21"/>
          <w:szCs w:val="21"/>
        </w:rPr>
      </w:pPr>
      <w:bookmarkStart w:id="80" w:name="_Toc425780273"/>
      <w:bookmarkStart w:id="81" w:name="_Toc430790210"/>
      <w:bookmarkStart w:id="82" w:name="_Toc425151729"/>
      <w:bookmarkStart w:id="83" w:name="_Toc8719"/>
      <w:bookmarkStart w:id="84" w:name="_Toc429407689"/>
      <w:r>
        <w:rPr>
          <w:rFonts w:hint="eastAsia"/>
          <w:b w:val="0"/>
          <w:sz w:val="21"/>
          <w:szCs w:val="21"/>
        </w:rPr>
        <w:t>4、</w:t>
      </w:r>
      <w:r>
        <w:rPr>
          <w:b w:val="0"/>
          <w:sz w:val="21"/>
          <w:szCs w:val="21"/>
        </w:rPr>
        <w:t>投标费用</w:t>
      </w:r>
      <w:bookmarkEnd w:id="80"/>
      <w:bookmarkEnd w:id="81"/>
      <w:bookmarkEnd w:id="82"/>
      <w:bookmarkEnd w:id="83"/>
      <w:bookmarkEnd w:id="84"/>
    </w:p>
    <w:p>
      <w:pPr>
        <w:tabs>
          <w:tab w:val="left" w:pos="709"/>
        </w:tabs>
        <w:spacing w:line="360" w:lineRule="auto"/>
        <w:ind w:firstLine="420" w:firstLineChars="200"/>
        <w:contextualSpacing/>
        <w:rPr>
          <w:szCs w:val="21"/>
        </w:rPr>
      </w:pPr>
      <w:r>
        <w:rPr>
          <w:szCs w:val="21"/>
        </w:rPr>
        <w:t>不论招标的结果如何，投标人自行承担其参加本次投标有关的全部费用。</w:t>
      </w:r>
    </w:p>
    <w:p>
      <w:pPr>
        <w:pStyle w:val="6"/>
        <w:tabs>
          <w:tab w:val="left" w:pos="350"/>
        </w:tabs>
        <w:spacing w:before="0" w:after="0" w:line="360" w:lineRule="auto"/>
        <w:contextualSpacing/>
        <w:rPr>
          <w:b w:val="0"/>
          <w:sz w:val="21"/>
          <w:szCs w:val="21"/>
        </w:rPr>
      </w:pPr>
      <w:bookmarkStart w:id="85" w:name="_Toc13526"/>
      <w:r>
        <w:rPr>
          <w:rFonts w:hint="eastAsia"/>
          <w:b w:val="0"/>
          <w:sz w:val="21"/>
          <w:szCs w:val="21"/>
        </w:rPr>
        <w:t>5、特别</w:t>
      </w:r>
      <w:r>
        <w:rPr>
          <w:b w:val="0"/>
          <w:sz w:val="21"/>
          <w:szCs w:val="21"/>
        </w:rPr>
        <w:t>说明</w:t>
      </w:r>
      <w:r>
        <w:rPr>
          <w:rFonts w:hint="eastAsia"/>
          <w:b w:val="0"/>
          <w:sz w:val="21"/>
          <w:szCs w:val="21"/>
        </w:rPr>
        <w:t>（针对</w:t>
      </w:r>
      <w:r>
        <w:rPr>
          <w:b w:val="0"/>
          <w:sz w:val="21"/>
          <w:szCs w:val="21"/>
        </w:rPr>
        <w:t>货物采购</w:t>
      </w:r>
      <w:r>
        <w:rPr>
          <w:rFonts w:hint="eastAsia"/>
          <w:b w:val="0"/>
          <w:sz w:val="21"/>
          <w:szCs w:val="21"/>
        </w:rPr>
        <w:t>）</w:t>
      </w:r>
      <w:bookmarkEnd w:id="85"/>
    </w:p>
    <w:p>
      <w:pPr>
        <w:tabs>
          <w:tab w:val="left" w:pos="709"/>
        </w:tabs>
        <w:spacing w:line="360" w:lineRule="auto"/>
        <w:ind w:firstLine="420" w:firstLineChars="200"/>
        <w:contextualSpacing/>
        <w:rPr>
          <w:szCs w:val="21"/>
        </w:rPr>
      </w:pPr>
      <w:r>
        <w:rPr>
          <w:rFonts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360" w:lineRule="auto"/>
        <w:ind w:firstLine="420" w:firstLineChars="200"/>
        <w:rPr>
          <w:rFonts w:hint="eastAsia"/>
        </w:rPr>
      </w:pPr>
      <w:r>
        <w:rPr>
          <w:rFonts w:hint="eastAsia"/>
          <w:szCs w:val="21"/>
        </w:rPr>
        <w:t>本项目核心产品为：</w:t>
      </w:r>
      <w:r>
        <w:rPr>
          <w:rFonts w:hint="eastAsia"/>
          <w:szCs w:val="21"/>
          <w:u w:val="single"/>
        </w:rPr>
        <w:t>公安机关办案区物联网管控平台软件、智能案卷柜</w:t>
      </w:r>
      <w:r>
        <w:rPr>
          <w:rFonts w:hint="eastAsia"/>
          <w:szCs w:val="21"/>
        </w:rPr>
        <w:t>，多家投标人提供的核心产品品牌相同的，按前款规定处理。</w:t>
      </w:r>
    </w:p>
    <w:p>
      <w:pPr>
        <w:pStyle w:val="3"/>
        <w:spacing w:before="120" w:beforeLines="50" w:after="120" w:afterLines="50"/>
        <w:rPr>
          <w:rFonts w:ascii="Times New Roman"/>
          <w:szCs w:val="28"/>
        </w:rPr>
      </w:pPr>
      <w:bookmarkStart w:id="86" w:name="_Toc505353783"/>
      <w:bookmarkStart w:id="87" w:name="_Toc496003204"/>
      <w:bookmarkStart w:id="88" w:name="_Toc5449"/>
      <w:bookmarkStart w:id="89" w:name="_Toc498429632"/>
      <w:r>
        <w:rPr>
          <w:rFonts w:hint="eastAsia" w:ascii="Times New Roman"/>
          <w:szCs w:val="28"/>
        </w:rPr>
        <w:t>三、</w:t>
      </w:r>
      <w:r>
        <w:rPr>
          <w:rFonts w:ascii="Times New Roman"/>
          <w:szCs w:val="28"/>
        </w:rPr>
        <w:t>采购文件</w:t>
      </w:r>
      <w:bookmarkEnd w:id="39"/>
      <w:bookmarkEnd w:id="40"/>
      <w:bookmarkEnd w:id="41"/>
      <w:bookmarkEnd w:id="42"/>
      <w:bookmarkEnd w:id="43"/>
      <w:bookmarkEnd w:id="44"/>
      <w:bookmarkEnd w:id="86"/>
      <w:bookmarkEnd w:id="87"/>
      <w:bookmarkEnd w:id="88"/>
      <w:bookmarkEnd w:id="89"/>
    </w:p>
    <w:p>
      <w:pPr>
        <w:spacing w:line="360" w:lineRule="auto"/>
        <w:contextualSpacing/>
        <w:rPr>
          <w:szCs w:val="21"/>
        </w:rPr>
      </w:pPr>
      <w:bookmarkStart w:id="90" w:name="_Toc425151731"/>
      <w:bookmarkStart w:id="91" w:name="_Toc425780275"/>
      <w:bookmarkStart w:id="92" w:name="_Toc429407691"/>
      <w:bookmarkStart w:id="93" w:name="_Toc430790212"/>
      <w:r>
        <w:rPr>
          <w:szCs w:val="21"/>
        </w:rPr>
        <w:t>6</w:t>
      </w:r>
      <w:r>
        <w:rPr>
          <w:rFonts w:hint="eastAsia"/>
          <w:szCs w:val="21"/>
        </w:rPr>
        <w:t>、</w:t>
      </w:r>
      <w:r>
        <w:rPr>
          <w:szCs w:val="21"/>
        </w:rPr>
        <w:t>采购文件的构成</w:t>
      </w:r>
      <w:bookmarkEnd w:id="90"/>
      <w:bookmarkEnd w:id="91"/>
      <w:bookmarkEnd w:id="92"/>
      <w:bookmarkEnd w:id="93"/>
    </w:p>
    <w:p>
      <w:pPr>
        <w:tabs>
          <w:tab w:val="left" w:pos="709"/>
        </w:tabs>
        <w:spacing w:line="360" w:lineRule="auto"/>
        <w:ind w:firstLine="420" w:firstLineChars="200"/>
        <w:contextualSpacing/>
        <w:rPr>
          <w:szCs w:val="21"/>
        </w:rPr>
      </w:pPr>
      <w:r>
        <w:rPr>
          <w:szCs w:val="21"/>
        </w:rPr>
        <w:t>采购文件</w:t>
      </w:r>
      <w:r>
        <w:rPr>
          <w:rFonts w:hint="eastAsia"/>
          <w:szCs w:val="21"/>
        </w:rPr>
        <w:t>含</w:t>
      </w:r>
      <w:r>
        <w:rPr>
          <w:szCs w:val="21"/>
        </w:rPr>
        <w:t>有</w:t>
      </w:r>
      <w:r>
        <w:rPr>
          <w:rFonts w:hint="eastAsia"/>
          <w:szCs w:val="21"/>
        </w:rPr>
        <w:t>以下</w:t>
      </w:r>
      <w:r>
        <w:rPr>
          <w:szCs w:val="21"/>
        </w:rPr>
        <w:t>部分，</w:t>
      </w:r>
      <w:r>
        <w:rPr>
          <w:rFonts w:hint="eastAsia"/>
          <w:szCs w:val="21"/>
        </w:rPr>
        <w:t>文本条款</w:t>
      </w:r>
      <w:r>
        <w:rPr>
          <w:szCs w:val="21"/>
        </w:rPr>
        <w:t>装订</w:t>
      </w:r>
      <w:r>
        <w:rPr>
          <w:rFonts w:hint="eastAsia"/>
          <w:szCs w:val="21"/>
        </w:rPr>
        <w:t>成册</w:t>
      </w:r>
      <w:r>
        <w:rPr>
          <w:szCs w:val="21"/>
        </w:rPr>
        <w:t>。内容如下：</w:t>
      </w:r>
    </w:p>
    <w:p>
      <w:pPr>
        <w:spacing w:line="360" w:lineRule="auto"/>
        <w:ind w:firstLine="420" w:firstLineChars="200"/>
        <w:contextualSpacing/>
        <w:rPr>
          <w:szCs w:val="21"/>
        </w:rPr>
      </w:pPr>
      <w:r>
        <w:rPr>
          <w:szCs w:val="21"/>
        </w:rPr>
        <w:t>第一部分</w:t>
      </w:r>
      <w:r>
        <w:rPr>
          <w:rFonts w:hint="eastAsia"/>
          <w:szCs w:val="21"/>
        </w:rPr>
        <w:t xml:space="preserve"> 采购公告</w:t>
      </w:r>
    </w:p>
    <w:p>
      <w:pPr>
        <w:spacing w:line="360" w:lineRule="auto"/>
        <w:ind w:firstLine="420" w:firstLineChars="200"/>
        <w:contextualSpacing/>
        <w:rPr>
          <w:szCs w:val="21"/>
        </w:rPr>
      </w:pPr>
      <w:r>
        <w:rPr>
          <w:rFonts w:hint="eastAsia"/>
          <w:szCs w:val="21"/>
        </w:rPr>
        <w:t>第二部分 投标资料表</w:t>
      </w:r>
    </w:p>
    <w:p>
      <w:pPr>
        <w:spacing w:line="360" w:lineRule="auto"/>
        <w:ind w:firstLine="420" w:firstLineChars="200"/>
        <w:contextualSpacing/>
        <w:rPr>
          <w:szCs w:val="21"/>
        </w:rPr>
      </w:pPr>
      <w:r>
        <w:rPr>
          <w:szCs w:val="21"/>
        </w:rPr>
        <w:t>第</w:t>
      </w:r>
      <w:r>
        <w:rPr>
          <w:rFonts w:hint="eastAsia"/>
          <w:szCs w:val="21"/>
        </w:rPr>
        <w:t>三</w:t>
      </w:r>
      <w:r>
        <w:rPr>
          <w:szCs w:val="21"/>
        </w:rPr>
        <w:t>部分</w:t>
      </w:r>
      <w:r>
        <w:rPr>
          <w:rFonts w:hint="eastAsia"/>
          <w:szCs w:val="21"/>
        </w:rPr>
        <w:t xml:space="preserve"> </w:t>
      </w:r>
      <w:r>
        <w:rPr>
          <w:szCs w:val="21"/>
        </w:rPr>
        <w:t>投标人须知</w:t>
      </w:r>
    </w:p>
    <w:p>
      <w:pPr>
        <w:spacing w:line="360" w:lineRule="auto"/>
        <w:ind w:firstLine="420" w:firstLineChars="200"/>
        <w:contextualSpacing/>
        <w:rPr>
          <w:szCs w:val="21"/>
        </w:rPr>
      </w:pPr>
      <w:r>
        <w:rPr>
          <w:szCs w:val="21"/>
        </w:rPr>
        <w:t>第</w:t>
      </w:r>
      <w:r>
        <w:rPr>
          <w:rFonts w:hint="eastAsia"/>
          <w:szCs w:val="21"/>
        </w:rPr>
        <w:t>四</w:t>
      </w:r>
      <w:r>
        <w:rPr>
          <w:szCs w:val="21"/>
        </w:rPr>
        <w:t>部分</w:t>
      </w:r>
      <w:r>
        <w:rPr>
          <w:rFonts w:hint="eastAsia"/>
          <w:szCs w:val="21"/>
        </w:rPr>
        <w:t xml:space="preserve"> 评标办法及</w:t>
      </w:r>
      <w:r>
        <w:rPr>
          <w:szCs w:val="21"/>
        </w:rPr>
        <w:t>标准</w:t>
      </w:r>
    </w:p>
    <w:p>
      <w:pPr>
        <w:spacing w:line="360" w:lineRule="auto"/>
        <w:ind w:firstLine="420" w:firstLineChars="200"/>
        <w:contextualSpacing/>
        <w:rPr>
          <w:szCs w:val="21"/>
        </w:rPr>
      </w:pPr>
      <w:r>
        <w:rPr>
          <w:szCs w:val="21"/>
        </w:rPr>
        <w:t>第</w:t>
      </w:r>
      <w:r>
        <w:rPr>
          <w:rFonts w:hint="eastAsia"/>
          <w:szCs w:val="21"/>
        </w:rPr>
        <w:t>五</w:t>
      </w:r>
      <w:r>
        <w:rPr>
          <w:szCs w:val="21"/>
        </w:rPr>
        <w:t>部分</w:t>
      </w:r>
      <w:r>
        <w:rPr>
          <w:rFonts w:hint="eastAsia"/>
          <w:szCs w:val="21"/>
        </w:rPr>
        <w:t xml:space="preserve"> 采购内容及要求</w:t>
      </w:r>
    </w:p>
    <w:p>
      <w:pPr>
        <w:spacing w:line="360" w:lineRule="auto"/>
        <w:ind w:firstLine="420" w:firstLineChars="200"/>
        <w:contextualSpacing/>
        <w:rPr>
          <w:szCs w:val="21"/>
        </w:rPr>
      </w:pPr>
      <w:r>
        <w:rPr>
          <w:szCs w:val="21"/>
        </w:rPr>
        <w:t>第</w:t>
      </w:r>
      <w:r>
        <w:rPr>
          <w:rFonts w:hint="eastAsia"/>
          <w:szCs w:val="21"/>
        </w:rPr>
        <w:t>六</w:t>
      </w:r>
      <w:r>
        <w:rPr>
          <w:szCs w:val="21"/>
        </w:rPr>
        <w:t>部分</w:t>
      </w:r>
      <w:r>
        <w:rPr>
          <w:rFonts w:hint="eastAsia"/>
          <w:szCs w:val="21"/>
        </w:rPr>
        <w:t xml:space="preserve"> 拟签订的合同文本</w:t>
      </w:r>
    </w:p>
    <w:p>
      <w:pPr>
        <w:spacing w:line="360" w:lineRule="auto"/>
        <w:ind w:firstLine="420" w:firstLineChars="200"/>
        <w:contextualSpacing/>
        <w:rPr>
          <w:szCs w:val="21"/>
        </w:rPr>
      </w:pPr>
      <w:r>
        <w:rPr>
          <w:szCs w:val="21"/>
        </w:rPr>
        <w:t>第七部分</w:t>
      </w:r>
      <w:r>
        <w:rPr>
          <w:rFonts w:hint="eastAsia"/>
          <w:szCs w:val="21"/>
        </w:rPr>
        <w:t xml:space="preserve"> 格式与表格</w:t>
      </w:r>
    </w:p>
    <w:p>
      <w:pPr>
        <w:tabs>
          <w:tab w:val="left" w:pos="709"/>
        </w:tabs>
        <w:spacing w:line="360" w:lineRule="auto"/>
        <w:ind w:firstLine="420" w:firstLineChars="200"/>
        <w:contextualSpacing/>
        <w:rPr>
          <w:szCs w:val="21"/>
        </w:rPr>
      </w:pPr>
      <w:r>
        <w:rPr>
          <w:szCs w:val="21"/>
        </w:rPr>
        <w:t>投标人应详细阅读采购文件的全部内容和要求，不按采购文件的要求递交投标文件和资料导致的风险由投标人承担。</w:t>
      </w:r>
    </w:p>
    <w:p>
      <w:pPr>
        <w:spacing w:line="360" w:lineRule="auto"/>
        <w:contextualSpacing/>
        <w:rPr>
          <w:szCs w:val="21"/>
        </w:rPr>
      </w:pPr>
      <w:r>
        <w:rPr>
          <w:szCs w:val="21"/>
        </w:rPr>
        <w:t>7</w:t>
      </w:r>
      <w:r>
        <w:rPr>
          <w:rFonts w:hint="eastAsia"/>
          <w:szCs w:val="21"/>
        </w:rPr>
        <w:t>、质疑与投诉</w:t>
      </w:r>
    </w:p>
    <w:p>
      <w:pPr>
        <w:tabs>
          <w:tab w:val="left" w:pos="709"/>
        </w:tabs>
        <w:spacing w:line="360" w:lineRule="auto"/>
        <w:ind w:firstLine="420" w:firstLineChars="200"/>
        <w:contextualSpacing/>
        <w:rPr>
          <w:szCs w:val="21"/>
        </w:rPr>
      </w:pPr>
      <w:r>
        <w:rPr>
          <w:szCs w:val="21"/>
        </w:rPr>
        <w:t>7</w:t>
      </w:r>
      <w:r>
        <w:rPr>
          <w:rFonts w:hint="eastAsia"/>
          <w:szCs w:val="21"/>
        </w:rPr>
        <w:t>.1</w:t>
      </w:r>
      <w:r>
        <w:rPr>
          <w:rFonts w:hint="eastAsia"/>
          <w:szCs w:val="21"/>
        </w:rPr>
        <w:tab/>
      </w:r>
      <w:r>
        <w:rPr>
          <w:rFonts w:hint="eastAsia"/>
          <w:szCs w:val="21"/>
        </w:rPr>
        <w:t>投标人认为采购文件、采购过程和中标、成交结果使自己的权益受到损害的，可以在知道或者应知其权益受到损害之日起七个工作日内，以书面形式向采购人、采购机构提出质疑</w:t>
      </w:r>
      <w:r>
        <w:rPr>
          <w:rFonts w:hint="eastAsia"/>
          <w:b/>
          <w:szCs w:val="21"/>
        </w:rPr>
        <w:t>（注</w:t>
      </w:r>
      <w:r>
        <w:rPr>
          <w:b/>
          <w:szCs w:val="21"/>
        </w:rPr>
        <w:t>：</w:t>
      </w:r>
      <w:r>
        <w:rPr>
          <w:rFonts w:hint="eastAsia"/>
          <w:b/>
          <w:szCs w:val="21"/>
        </w:rPr>
        <w:t>投标人须</w:t>
      </w:r>
      <w:r>
        <w:rPr>
          <w:b/>
          <w:szCs w:val="21"/>
        </w:rPr>
        <w:t>在法定质疑期内一次性提出针对同一采购程序环节的质疑</w:t>
      </w:r>
      <w:r>
        <w:rPr>
          <w:rFonts w:hint="eastAsia"/>
          <w:b/>
          <w:szCs w:val="21"/>
        </w:rPr>
        <w:t>）</w:t>
      </w:r>
      <w:r>
        <w:rPr>
          <w:rFonts w:hint="eastAsia"/>
          <w:szCs w:val="21"/>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pPr>
        <w:tabs>
          <w:tab w:val="left" w:pos="709"/>
        </w:tabs>
        <w:spacing w:line="360" w:lineRule="auto"/>
        <w:ind w:firstLine="420" w:firstLineChars="200"/>
        <w:contextualSpacing/>
        <w:rPr>
          <w:szCs w:val="21"/>
        </w:rPr>
      </w:pPr>
      <w:r>
        <w:rPr>
          <w:szCs w:val="21"/>
        </w:rPr>
        <w:t>7</w:t>
      </w:r>
      <w:r>
        <w:rPr>
          <w:rFonts w:hint="eastAsia"/>
          <w:szCs w:val="21"/>
        </w:rPr>
        <w:t>.2</w:t>
      </w:r>
      <w:r>
        <w:rPr>
          <w:rFonts w:hint="eastAsia"/>
          <w:szCs w:val="21"/>
        </w:rPr>
        <w:tab/>
      </w:r>
      <w:r>
        <w:rPr>
          <w:rFonts w:hint="eastAsia"/>
          <w:szCs w:val="21"/>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tabs>
          <w:tab w:val="left" w:pos="709"/>
        </w:tabs>
        <w:spacing w:line="360" w:lineRule="auto"/>
        <w:ind w:firstLine="420" w:firstLineChars="200"/>
        <w:contextualSpacing/>
        <w:rPr>
          <w:rFonts w:hint="eastAsia"/>
          <w:szCs w:val="21"/>
        </w:rPr>
      </w:pPr>
      <w:r>
        <w:rPr>
          <w:rFonts w:hint="eastAsia"/>
          <w:szCs w:val="21"/>
        </w:rPr>
        <w:t>7.3</w:t>
      </w:r>
      <w:r>
        <w:rPr>
          <w:rFonts w:hint="eastAsia"/>
          <w:szCs w:val="21"/>
        </w:rPr>
        <w:tab/>
      </w:r>
      <w:r>
        <w:rPr>
          <w:rFonts w:hint="eastAsia"/>
          <w:szCs w:val="21"/>
        </w:rPr>
        <w:t>采购代理机构发送的答疑文件是采购文件的组成部分，对投标人具有约束力。</w:t>
      </w:r>
    </w:p>
    <w:p>
      <w:pPr>
        <w:tabs>
          <w:tab w:val="left" w:pos="709"/>
        </w:tabs>
        <w:spacing w:line="360" w:lineRule="auto"/>
        <w:ind w:firstLine="420" w:firstLineChars="200"/>
        <w:contextualSpacing/>
        <w:rPr>
          <w:szCs w:val="21"/>
        </w:rPr>
      </w:pPr>
      <w:r>
        <w:rPr>
          <w:rFonts w:hint="eastAsia"/>
          <w:szCs w:val="21"/>
        </w:rPr>
        <w:t>7.4未尽事宜，见《政府采购质疑和投诉办法》（中华人民共和国财政部令第94号）。</w:t>
      </w:r>
    </w:p>
    <w:p>
      <w:pPr>
        <w:spacing w:line="360" w:lineRule="auto"/>
        <w:contextualSpacing/>
        <w:rPr>
          <w:szCs w:val="21"/>
        </w:rPr>
      </w:pPr>
      <w:r>
        <w:rPr>
          <w:szCs w:val="21"/>
        </w:rPr>
        <w:t>8</w:t>
      </w:r>
      <w:r>
        <w:rPr>
          <w:rFonts w:hint="eastAsia"/>
          <w:szCs w:val="21"/>
        </w:rPr>
        <w:t>、采购文件的澄清与修改</w:t>
      </w:r>
    </w:p>
    <w:p>
      <w:pPr>
        <w:tabs>
          <w:tab w:val="left" w:pos="709"/>
        </w:tabs>
        <w:spacing w:line="360" w:lineRule="auto"/>
        <w:ind w:firstLine="420" w:firstLineChars="200"/>
        <w:contextualSpacing/>
        <w:rPr>
          <w:szCs w:val="21"/>
        </w:rPr>
      </w:pPr>
      <w:bookmarkStart w:id="94" w:name="_Toc445193545"/>
      <w:bookmarkStart w:id="95" w:name="_Toc456853670"/>
      <w:bookmarkStart w:id="96" w:name="_Toc496003205"/>
      <w:r>
        <w:rPr>
          <w:szCs w:val="21"/>
        </w:rPr>
        <w:t>8</w:t>
      </w:r>
      <w:r>
        <w:rPr>
          <w:rFonts w:hint="eastAsia"/>
          <w:szCs w:val="21"/>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tabs>
          <w:tab w:val="left" w:pos="709"/>
        </w:tabs>
        <w:spacing w:line="360" w:lineRule="auto"/>
        <w:ind w:firstLine="420" w:firstLineChars="200"/>
        <w:contextualSpacing/>
        <w:rPr>
          <w:rFonts w:hint="eastAsia"/>
          <w:szCs w:val="21"/>
        </w:rPr>
      </w:pPr>
      <w:r>
        <w:rPr>
          <w:rFonts w:hint="eastAsia"/>
          <w:szCs w:val="21"/>
        </w:rPr>
        <w:t>澄清或者修改的内容可能影响投标文件编制的，采购人或者采购代理机构应当在投标截止时间至少</w:t>
      </w:r>
      <w:r>
        <w:rPr>
          <w:szCs w:val="21"/>
        </w:rPr>
        <w:t>15</w:t>
      </w:r>
      <w:r>
        <w:rPr>
          <w:rFonts w:hint="eastAsia"/>
          <w:szCs w:val="21"/>
        </w:rPr>
        <w:t>日前，以书面形式通知所有获取采购文件的潜在投标人；不足</w:t>
      </w:r>
      <w:r>
        <w:rPr>
          <w:szCs w:val="21"/>
        </w:rPr>
        <w:t>15</w:t>
      </w:r>
      <w:r>
        <w:rPr>
          <w:rFonts w:hint="eastAsia"/>
          <w:szCs w:val="21"/>
        </w:rPr>
        <w:t>日的，采购人或者采购代理机构应当顺延提交投标文件的截止时间。</w:t>
      </w:r>
    </w:p>
    <w:p>
      <w:pPr>
        <w:tabs>
          <w:tab w:val="left" w:pos="709"/>
        </w:tabs>
        <w:spacing w:line="360" w:lineRule="auto"/>
        <w:ind w:firstLine="420" w:firstLineChars="200"/>
        <w:contextualSpacing/>
        <w:rPr>
          <w:szCs w:val="21"/>
        </w:rPr>
      </w:pPr>
      <w:r>
        <w:rPr>
          <w:szCs w:val="21"/>
        </w:rPr>
        <w:t>8</w:t>
      </w:r>
      <w:r>
        <w:rPr>
          <w:rFonts w:hint="eastAsia"/>
          <w:szCs w:val="21"/>
        </w:rPr>
        <w:t>.2</w:t>
      </w:r>
      <w:r>
        <w:rPr>
          <w:szCs w:val="21"/>
        </w:rPr>
        <w:t>采购代理机构必须以书面形式答复投标人要求澄清的问题，并将不包含问题来源的答复书面通知所有购买采购文件的投标人；除书面答复以外的其他澄清方式及澄清内容均无效。</w:t>
      </w:r>
    </w:p>
    <w:p>
      <w:pPr>
        <w:tabs>
          <w:tab w:val="left" w:pos="709"/>
        </w:tabs>
        <w:spacing w:line="360" w:lineRule="auto"/>
        <w:ind w:firstLine="420" w:firstLineChars="200"/>
        <w:contextualSpacing/>
        <w:rPr>
          <w:szCs w:val="21"/>
        </w:rPr>
      </w:pPr>
      <w:r>
        <w:rPr>
          <w:szCs w:val="21"/>
        </w:rPr>
        <w:t>8</w:t>
      </w:r>
      <w:r>
        <w:rPr>
          <w:rFonts w:hint="eastAsia"/>
          <w:szCs w:val="21"/>
        </w:rPr>
        <w:t>.3</w:t>
      </w:r>
      <w:r>
        <w:rPr>
          <w:szCs w:val="21"/>
        </w:rPr>
        <w:t>采购文件澄清、答复、修改、补充的内容为采购文件的组成部分。当采购文件与采购文件的答复、澄清、修改、补充通知就同一内容的表述不一致时，以最后发出的书面文件为准。</w:t>
      </w:r>
    </w:p>
    <w:p>
      <w:pPr>
        <w:tabs>
          <w:tab w:val="left" w:pos="709"/>
        </w:tabs>
        <w:spacing w:line="360" w:lineRule="auto"/>
        <w:ind w:firstLine="420" w:firstLineChars="200"/>
        <w:contextualSpacing/>
        <w:rPr>
          <w:rFonts w:hint="eastAsia"/>
          <w:sz w:val="24"/>
          <w:szCs w:val="24"/>
        </w:rPr>
      </w:pPr>
      <w:r>
        <w:rPr>
          <w:szCs w:val="21"/>
        </w:rPr>
        <w:t>8</w:t>
      </w:r>
      <w:r>
        <w:rPr>
          <w:rFonts w:hint="eastAsia"/>
          <w:szCs w:val="21"/>
        </w:rPr>
        <w:t>.4</w:t>
      </w:r>
      <w:r>
        <w:rPr>
          <w:szCs w:val="21"/>
        </w:rPr>
        <w:t>采购文件的澄清、答复、修改或补充都应该通过本代理机构以法定形式发布，采购人非通过本机构，不得擅自澄清、答复、修改或补充采购文件。</w:t>
      </w:r>
    </w:p>
    <w:p>
      <w:pPr>
        <w:pStyle w:val="3"/>
        <w:numPr>
          <w:ilvl w:val="0"/>
          <w:numId w:val="0"/>
        </w:numPr>
        <w:spacing w:before="120" w:beforeLines="50" w:after="120" w:afterLines="50"/>
        <w:ind w:left="0" w:firstLine="0" w:firstLineChars="0"/>
        <w:jc w:val="center"/>
        <w:rPr>
          <w:rFonts w:ascii="Times New Roman"/>
          <w:szCs w:val="28"/>
        </w:rPr>
      </w:pPr>
      <w:bookmarkStart w:id="97" w:name="_Toc498429633"/>
      <w:bookmarkStart w:id="98" w:name="_Toc505353784"/>
      <w:bookmarkStart w:id="99" w:name="_Toc15498"/>
      <w:r>
        <w:rPr>
          <w:rFonts w:hint="eastAsia" w:ascii="Times New Roman"/>
          <w:szCs w:val="28"/>
          <w:lang w:val="en-US" w:eastAsia="zh-CN"/>
        </w:rPr>
        <w:t>四、</w:t>
      </w:r>
      <w:r>
        <w:rPr>
          <w:rFonts w:hint="eastAsia" w:ascii="Times New Roman"/>
          <w:szCs w:val="28"/>
        </w:rPr>
        <w:t>投标文件</w:t>
      </w:r>
      <w:bookmarkEnd w:id="45"/>
      <w:bookmarkEnd w:id="94"/>
      <w:bookmarkEnd w:id="95"/>
      <w:bookmarkEnd w:id="96"/>
      <w:bookmarkEnd w:id="97"/>
      <w:bookmarkEnd w:id="98"/>
      <w:bookmarkEnd w:id="99"/>
    </w:p>
    <w:p>
      <w:pPr>
        <w:spacing w:line="360" w:lineRule="auto"/>
        <w:contextualSpacing/>
        <w:rPr>
          <w:szCs w:val="21"/>
        </w:rPr>
      </w:pPr>
      <w:bookmarkStart w:id="100" w:name="_Toc336528584"/>
      <w:r>
        <w:rPr>
          <w:rFonts w:hint="eastAsia"/>
          <w:szCs w:val="21"/>
        </w:rPr>
        <w:t>9、投标文件的组成</w:t>
      </w:r>
      <w:bookmarkEnd w:id="100"/>
    </w:p>
    <w:p>
      <w:pPr>
        <w:tabs>
          <w:tab w:val="left" w:pos="709"/>
        </w:tabs>
        <w:spacing w:line="360" w:lineRule="auto"/>
        <w:ind w:firstLine="420" w:firstLineChars="200"/>
        <w:contextualSpacing/>
        <w:rPr>
          <w:szCs w:val="21"/>
        </w:rPr>
      </w:pPr>
      <w:r>
        <w:rPr>
          <w:szCs w:val="21"/>
        </w:rPr>
        <w:t>9</w:t>
      </w:r>
      <w:r>
        <w:rPr>
          <w:rFonts w:hint="eastAsia"/>
          <w:szCs w:val="21"/>
        </w:rPr>
        <w:t>.1投标文件分为资格证明文件、报价文件、技术商务文件三部分：</w:t>
      </w:r>
    </w:p>
    <w:p>
      <w:pPr>
        <w:tabs>
          <w:tab w:val="left" w:pos="1418"/>
        </w:tabs>
        <w:spacing w:line="360" w:lineRule="auto"/>
        <w:ind w:firstLine="422" w:firstLineChars="200"/>
        <w:contextualSpacing/>
        <w:rPr>
          <w:rFonts w:hint="eastAsia"/>
          <w:b/>
          <w:i/>
          <w:szCs w:val="21"/>
        </w:rPr>
      </w:pPr>
      <w:r>
        <w:rPr>
          <w:rFonts w:hint="eastAsia"/>
          <w:b/>
          <w:iCs/>
          <w:szCs w:val="21"/>
        </w:rPr>
        <w:t>资格证明文件包含但不限于以下文件：</w:t>
      </w:r>
    </w:p>
    <w:p>
      <w:pPr>
        <w:tabs>
          <w:tab w:val="left" w:pos="1418"/>
        </w:tabs>
        <w:spacing w:line="360" w:lineRule="auto"/>
        <w:ind w:left="420"/>
        <w:contextualSpacing/>
        <w:rPr>
          <w:szCs w:val="21"/>
        </w:rPr>
      </w:pPr>
      <w:r>
        <w:rPr>
          <w:rFonts w:hint="eastAsia"/>
          <w:szCs w:val="21"/>
        </w:rPr>
        <w:t>（1）投标人的营业执照复印件；</w:t>
      </w:r>
    </w:p>
    <w:p>
      <w:pPr>
        <w:tabs>
          <w:tab w:val="left" w:pos="1418"/>
        </w:tabs>
        <w:spacing w:line="360" w:lineRule="auto"/>
        <w:ind w:left="420"/>
        <w:contextualSpacing/>
        <w:rPr>
          <w:rFonts w:hint="eastAsia"/>
          <w:szCs w:val="21"/>
        </w:rPr>
      </w:pPr>
      <w:r>
        <w:rPr>
          <w:rFonts w:hint="eastAsia"/>
          <w:szCs w:val="21"/>
        </w:rPr>
        <w:t>（2）投标人的由第三方机构出具的2019年财务审计报告复印件或其基本开户银行出具的资信证明材料复印件，如投标人新成立不足一年，提供银行出具的资信证明材料复印件；</w:t>
      </w:r>
    </w:p>
    <w:p>
      <w:pPr>
        <w:tabs>
          <w:tab w:val="left" w:pos="1418"/>
        </w:tabs>
        <w:spacing w:line="360" w:lineRule="auto"/>
        <w:ind w:left="420"/>
        <w:contextualSpacing/>
        <w:rPr>
          <w:rFonts w:hint="eastAsia"/>
          <w:szCs w:val="21"/>
        </w:rPr>
      </w:pPr>
      <w:r>
        <w:rPr>
          <w:rFonts w:hint="eastAsia"/>
          <w:szCs w:val="21"/>
        </w:rPr>
        <w:t>（3）投标人2020年度任一月份缴纳税收的凭据证明材料复印件，如依法免税的，应提供相应文件证明其依法免税；</w:t>
      </w:r>
    </w:p>
    <w:p>
      <w:pPr>
        <w:tabs>
          <w:tab w:val="left" w:pos="1418"/>
        </w:tabs>
        <w:spacing w:line="360" w:lineRule="auto"/>
        <w:ind w:left="420"/>
        <w:contextualSpacing/>
        <w:rPr>
          <w:rFonts w:hint="eastAsia"/>
          <w:szCs w:val="21"/>
        </w:rPr>
      </w:pPr>
      <w:r>
        <w:rPr>
          <w:rFonts w:hint="eastAsia"/>
          <w:szCs w:val="21"/>
        </w:rPr>
        <w:t>（4）投标人2020年度任一月份缴纳社会保险的凭据证明材料复印件，如依法不需要缴纳社会保障资金的，应提供相应文件证明其依法不需要缴纳社会保障资金；</w:t>
      </w:r>
    </w:p>
    <w:p>
      <w:pPr>
        <w:tabs>
          <w:tab w:val="left" w:pos="1418"/>
        </w:tabs>
        <w:spacing w:line="360" w:lineRule="auto"/>
        <w:ind w:left="420"/>
        <w:contextualSpacing/>
        <w:rPr>
          <w:rFonts w:hint="eastAsia"/>
          <w:szCs w:val="21"/>
        </w:rPr>
      </w:pPr>
      <w:r>
        <w:rPr>
          <w:rFonts w:hint="eastAsia"/>
          <w:szCs w:val="21"/>
        </w:rPr>
        <w:t>（5）合格投标人承诺函（格式见附件）。</w:t>
      </w:r>
    </w:p>
    <w:p>
      <w:pPr>
        <w:tabs>
          <w:tab w:val="left" w:pos="1418"/>
        </w:tabs>
        <w:wordWrap w:val="0"/>
        <w:spacing w:line="360" w:lineRule="auto"/>
        <w:ind w:left="420"/>
        <w:contextualSpacing/>
        <w:rPr>
          <w:rFonts w:hint="eastAsia"/>
          <w:szCs w:val="21"/>
        </w:rPr>
      </w:pPr>
      <w:r>
        <w:rPr>
          <w:rFonts w:hint="eastAsia"/>
          <w:szCs w:val="21"/>
        </w:rPr>
        <w:t>注：</w:t>
      </w:r>
      <w:r>
        <w:rPr>
          <w:rFonts w:hint="eastAsia" w:cs="Arial"/>
          <w:szCs w:val="21"/>
        </w:rPr>
        <w:t>采购人或采购代理机构在资格审查时，通过“信用中国”网站</w:t>
      </w:r>
      <w:r>
        <w:rPr>
          <w:rFonts w:cs="Arial"/>
          <w:szCs w:val="21"/>
        </w:rPr>
        <w:t>(</w:t>
      </w:r>
      <w:r>
        <w:rPr>
          <w:rFonts w:hint="eastAsia" w:cs="Arial"/>
          <w:szCs w:val="21"/>
        </w:rPr>
        <w:t>http://</w:t>
      </w:r>
      <w:r>
        <w:rPr>
          <w:rFonts w:cs="Arial"/>
          <w:szCs w:val="21"/>
        </w:rPr>
        <w:t>www.creditchina.gov.cn)</w:t>
      </w:r>
      <w:r>
        <w:rPr>
          <w:rFonts w:hint="eastAsia" w:cs="Arial"/>
          <w:szCs w:val="21"/>
        </w:rPr>
        <w:t>、中国政府采购网</w:t>
      </w:r>
      <w:r>
        <w:rPr>
          <w:rFonts w:cs="Arial"/>
          <w:szCs w:val="21"/>
        </w:rPr>
        <w:t>(</w:t>
      </w:r>
      <w:r>
        <w:rPr>
          <w:rFonts w:hint="eastAsia" w:cs="Arial"/>
          <w:szCs w:val="21"/>
        </w:rPr>
        <w:t>http://</w:t>
      </w:r>
      <w:r>
        <w:rPr>
          <w:rFonts w:cs="Arial"/>
          <w:szCs w:val="21"/>
        </w:rPr>
        <w:t xml:space="preserve">www.ccgp.gov.cn) </w:t>
      </w:r>
      <w:r>
        <w:rPr>
          <w:rFonts w:hint="eastAsia" w:cs="Arial"/>
          <w:szCs w:val="21"/>
        </w:rPr>
        <w:t>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pPr>
        <w:tabs>
          <w:tab w:val="left" w:pos="1418"/>
        </w:tabs>
        <w:spacing w:line="360" w:lineRule="auto"/>
        <w:ind w:firstLine="422" w:firstLineChars="200"/>
        <w:contextualSpacing/>
        <w:rPr>
          <w:b/>
          <w:iCs/>
          <w:szCs w:val="21"/>
        </w:rPr>
      </w:pPr>
      <w:r>
        <w:rPr>
          <w:rFonts w:hint="eastAsia"/>
          <w:b/>
          <w:iCs/>
          <w:szCs w:val="21"/>
        </w:rPr>
        <w:t>报价文件包含但不限于以下文件：</w:t>
      </w:r>
    </w:p>
    <w:p>
      <w:pPr>
        <w:tabs>
          <w:tab w:val="left" w:pos="1418"/>
        </w:tabs>
        <w:spacing w:line="360" w:lineRule="auto"/>
        <w:ind w:left="420"/>
        <w:contextualSpacing/>
        <w:rPr>
          <w:szCs w:val="21"/>
        </w:rPr>
      </w:pPr>
      <w:r>
        <w:rPr>
          <w:rFonts w:hint="eastAsia"/>
          <w:szCs w:val="21"/>
        </w:rPr>
        <w:t>（1）投标函（格式见附件）；</w:t>
      </w:r>
    </w:p>
    <w:p>
      <w:pPr>
        <w:tabs>
          <w:tab w:val="left" w:pos="1418"/>
        </w:tabs>
        <w:spacing w:line="360" w:lineRule="auto"/>
        <w:ind w:left="420"/>
        <w:contextualSpacing/>
        <w:rPr>
          <w:szCs w:val="21"/>
        </w:rPr>
      </w:pPr>
      <w:r>
        <w:rPr>
          <w:rFonts w:hint="eastAsia"/>
          <w:szCs w:val="21"/>
        </w:rPr>
        <w:t>（2）开标一览表（格式见附件）；</w:t>
      </w:r>
    </w:p>
    <w:p>
      <w:pPr>
        <w:tabs>
          <w:tab w:val="left" w:pos="1418"/>
        </w:tabs>
        <w:spacing w:line="360" w:lineRule="auto"/>
        <w:ind w:left="420"/>
        <w:contextualSpacing/>
        <w:rPr>
          <w:rFonts w:hint="eastAsia"/>
          <w:szCs w:val="21"/>
        </w:rPr>
      </w:pPr>
      <w:r>
        <w:rPr>
          <w:rFonts w:hint="eastAsia"/>
          <w:szCs w:val="21"/>
        </w:rPr>
        <w:t>（3）分项</w:t>
      </w:r>
      <w:r>
        <w:rPr>
          <w:szCs w:val="21"/>
        </w:rPr>
        <w:t>报价表（</w:t>
      </w:r>
      <w:r>
        <w:rPr>
          <w:rFonts w:hint="eastAsia"/>
          <w:szCs w:val="21"/>
        </w:rPr>
        <w:t>格式见附件</w:t>
      </w:r>
      <w:r>
        <w:rPr>
          <w:szCs w:val="21"/>
        </w:rPr>
        <w:t>）</w:t>
      </w:r>
      <w:r>
        <w:rPr>
          <w:rFonts w:hint="eastAsia"/>
          <w:szCs w:val="21"/>
        </w:rPr>
        <w:t>；</w:t>
      </w:r>
    </w:p>
    <w:p>
      <w:pPr>
        <w:tabs>
          <w:tab w:val="left" w:pos="1418"/>
        </w:tabs>
        <w:spacing w:line="360" w:lineRule="auto"/>
        <w:ind w:left="420"/>
        <w:contextualSpacing/>
        <w:rPr>
          <w:rFonts w:hint="eastAsia"/>
          <w:szCs w:val="21"/>
        </w:rPr>
      </w:pPr>
      <w:r>
        <w:rPr>
          <w:rFonts w:hint="eastAsia"/>
          <w:szCs w:val="21"/>
        </w:rPr>
        <w:t>（4）中小企业声明函（选用</w:t>
      </w:r>
      <w:r>
        <w:rPr>
          <w:szCs w:val="21"/>
        </w:rPr>
        <w:t>，</w:t>
      </w:r>
      <w:r>
        <w:rPr>
          <w:rFonts w:hint="eastAsia"/>
          <w:szCs w:val="21"/>
        </w:rPr>
        <w:t>格式见附件）；</w:t>
      </w:r>
    </w:p>
    <w:p>
      <w:pPr>
        <w:tabs>
          <w:tab w:val="left" w:pos="1418"/>
        </w:tabs>
        <w:spacing w:line="360" w:lineRule="auto"/>
        <w:ind w:left="420"/>
        <w:contextualSpacing/>
        <w:rPr>
          <w:szCs w:val="21"/>
        </w:rPr>
      </w:pPr>
      <w:r>
        <w:rPr>
          <w:rFonts w:hint="eastAsia"/>
          <w:szCs w:val="21"/>
        </w:rPr>
        <w:t>（5）残疾人福利单位声明函（如有，格式见附件）；</w:t>
      </w:r>
    </w:p>
    <w:p>
      <w:pPr>
        <w:tabs>
          <w:tab w:val="left" w:pos="1418"/>
        </w:tabs>
        <w:spacing w:line="360" w:lineRule="auto"/>
        <w:ind w:left="420"/>
        <w:contextualSpacing/>
        <w:rPr>
          <w:szCs w:val="21"/>
        </w:rPr>
      </w:pPr>
      <w:r>
        <w:rPr>
          <w:rFonts w:hint="eastAsia"/>
          <w:szCs w:val="21"/>
        </w:rPr>
        <w:t>（6）</w:t>
      </w:r>
      <w:r>
        <w:rPr>
          <w:szCs w:val="21"/>
        </w:rPr>
        <w:t>投标人认为需提交的</w:t>
      </w:r>
      <w:r>
        <w:rPr>
          <w:rFonts w:hint="eastAsia"/>
          <w:szCs w:val="21"/>
        </w:rPr>
        <w:t>其他</w:t>
      </w:r>
      <w:r>
        <w:rPr>
          <w:szCs w:val="21"/>
        </w:rPr>
        <w:t>文件资料</w:t>
      </w:r>
      <w:r>
        <w:rPr>
          <w:rFonts w:hint="eastAsia"/>
          <w:szCs w:val="21"/>
        </w:rPr>
        <w:t>；</w:t>
      </w:r>
    </w:p>
    <w:p>
      <w:pPr>
        <w:tabs>
          <w:tab w:val="left" w:pos="1418"/>
        </w:tabs>
        <w:spacing w:line="360" w:lineRule="auto"/>
        <w:ind w:firstLine="422" w:firstLineChars="200"/>
        <w:contextualSpacing/>
        <w:rPr>
          <w:b/>
          <w:iCs/>
          <w:szCs w:val="21"/>
        </w:rPr>
      </w:pPr>
      <w:r>
        <w:rPr>
          <w:rFonts w:hint="eastAsia"/>
          <w:b/>
          <w:iCs/>
          <w:szCs w:val="21"/>
        </w:rPr>
        <w:t>技术商务文件包含但不限于以下文件：</w:t>
      </w:r>
    </w:p>
    <w:p>
      <w:pPr>
        <w:tabs>
          <w:tab w:val="left" w:pos="1418"/>
        </w:tabs>
        <w:spacing w:line="360" w:lineRule="auto"/>
        <w:ind w:left="420"/>
        <w:contextualSpacing/>
        <w:rPr>
          <w:szCs w:val="21"/>
        </w:rPr>
      </w:pPr>
      <w:bookmarkStart w:id="101" w:name="_Toc425780280"/>
      <w:bookmarkStart w:id="102" w:name="_Toc425151736"/>
      <w:bookmarkStart w:id="103" w:name="_Toc430790217"/>
      <w:bookmarkStart w:id="104" w:name="_Toc429407696"/>
      <w:bookmarkStart w:id="105" w:name="_Toc336528601"/>
      <w:r>
        <w:rPr>
          <w:rFonts w:hint="eastAsia"/>
          <w:szCs w:val="21"/>
        </w:rPr>
        <w:t>（1）技术商务分自评表（格式见附件）；</w:t>
      </w:r>
    </w:p>
    <w:p>
      <w:pPr>
        <w:tabs>
          <w:tab w:val="left" w:pos="1418"/>
        </w:tabs>
        <w:spacing w:line="360" w:lineRule="auto"/>
        <w:ind w:left="420"/>
        <w:contextualSpacing/>
        <w:rPr>
          <w:rFonts w:hint="eastAsia"/>
          <w:szCs w:val="21"/>
        </w:rPr>
      </w:pPr>
      <w:r>
        <w:rPr>
          <w:rFonts w:hint="eastAsia"/>
          <w:szCs w:val="21"/>
        </w:rPr>
        <w:t>（</w:t>
      </w:r>
      <w:r>
        <w:rPr>
          <w:szCs w:val="21"/>
        </w:rPr>
        <w:t>2</w:t>
      </w:r>
      <w:r>
        <w:rPr>
          <w:rFonts w:hint="eastAsia"/>
          <w:szCs w:val="21"/>
        </w:rPr>
        <w:t>）</w:t>
      </w:r>
      <w:r>
        <w:rPr>
          <w:szCs w:val="21"/>
        </w:rPr>
        <w:t>法定代表人授权书</w:t>
      </w:r>
      <w:r>
        <w:rPr>
          <w:rFonts w:hint="eastAsia"/>
          <w:szCs w:val="21"/>
        </w:rPr>
        <w:t>及被授权人身份证复印件</w:t>
      </w:r>
      <w:r>
        <w:rPr>
          <w:szCs w:val="21"/>
        </w:rPr>
        <w:t>（若投标人代表系法定代表人，无</w:t>
      </w:r>
      <w:r>
        <w:rPr>
          <w:rFonts w:hint="eastAsia"/>
          <w:szCs w:val="21"/>
        </w:rPr>
        <w:t>需提供</w:t>
      </w:r>
      <w:r>
        <w:rPr>
          <w:szCs w:val="21"/>
        </w:rPr>
        <w:t>授权书，</w:t>
      </w:r>
      <w:r>
        <w:rPr>
          <w:rFonts w:hint="eastAsia"/>
          <w:szCs w:val="21"/>
        </w:rPr>
        <w:t>必须提供法定代表人身份证复印件及法定代表人身份证明书（格式见附件）</w:t>
      </w:r>
      <w:r>
        <w:rPr>
          <w:szCs w:val="21"/>
        </w:rPr>
        <w:t>）</w:t>
      </w:r>
      <w:r>
        <w:rPr>
          <w:rFonts w:hint="eastAsia"/>
          <w:szCs w:val="21"/>
        </w:rPr>
        <w:t>；</w:t>
      </w:r>
    </w:p>
    <w:p>
      <w:pPr>
        <w:tabs>
          <w:tab w:val="left" w:pos="1418"/>
        </w:tabs>
        <w:spacing w:line="360" w:lineRule="auto"/>
        <w:ind w:left="420"/>
        <w:contextualSpacing/>
        <w:rPr>
          <w:szCs w:val="21"/>
        </w:rPr>
      </w:pPr>
      <w:r>
        <w:rPr>
          <w:rFonts w:hint="eastAsia"/>
          <w:szCs w:val="21"/>
        </w:rPr>
        <w:t>（</w:t>
      </w:r>
      <w:r>
        <w:rPr>
          <w:szCs w:val="21"/>
        </w:rPr>
        <w:t>3</w:t>
      </w:r>
      <w:r>
        <w:rPr>
          <w:rFonts w:hint="eastAsia"/>
          <w:szCs w:val="21"/>
        </w:rPr>
        <w:t>）供货方案（投标人自制，按照评分标准的要求编制）；</w:t>
      </w:r>
    </w:p>
    <w:p>
      <w:pPr>
        <w:tabs>
          <w:tab w:val="left" w:pos="1418"/>
        </w:tabs>
        <w:spacing w:line="360" w:lineRule="auto"/>
        <w:ind w:left="420"/>
        <w:contextualSpacing/>
        <w:rPr>
          <w:rFonts w:hint="eastAsia"/>
          <w:szCs w:val="21"/>
        </w:rPr>
      </w:pPr>
      <w:r>
        <w:rPr>
          <w:rFonts w:hint="eastAsia"/>
          <w:szCs w:val="21"/>
        </w:rPr>
        <w:t>（4）类似业绩表（如有，格式见附件，附业绩合同复印件，原件备查）；</w:t>
      </w:r>
    </w:p>
    <w:p>
      <w:pPr>
        <w:tabs>
          <w:tab w:val="left" w:pos="1418"/>
        </w:tabs>
        <w:spacing w:line="360" w:lineRule="auto"/>
        <w:ind w:left="420"/>
        <w:contextualSpacing/>
        <w:rPr>
          <w:rFonts w:hint="eastAsia"/>
          <w:szCs w:val="21"/>
        </w:rPr>
      </w:pPr>
      <w:r>
        <w:rPr>
          <w:rFonts w:hint="eastAsia"/>
          <w:szCs w:val="21"/>
        </w:rPr>
        <w:t>（5）技术、商务条款偏离表（格式见附件）；</w:t>
      </w:r>
    </w:p>
    <w:p>
      <w:pPr>
        <w:tabs>
          <w:tab w:val="left" w:pos="1418"/>
        </w:tabs>
        <w:spacing w:line="360" w:lineRule="auto"/>
        <w:ind w:left="420"/>
        <w:contextualSpacing/>
        <w:rPr>
          <w:rFonts w:hint="eastAsia"/>
          <w:szCs w:val="21"/>
        </w:rPr>
      </w:pPr>
      <w:r>
        <w:rPr>
          <w:rFonts w:hint="eastAsia"/>
          <w:szCs w:val="21"/>
        </w:rPr>
        <w:t>（6）评分标准或采购文件需要提供的其他技术商务材料；</w:t>
      </w:r>
    </w:p>
    <w:p>
      <w:pPr>
        <w:tabs>
          <w:tab w:val="left" w:pos="1418"/>
        </w:tabs>
        <w:spacing w:line="360" w:lineRule="auto"/>
        <w:ind w:left="420"/>
        <w:contextualSpacing/>
        <w:rPr>
          <w:rFonts w:hint="eastAsia"/>
          <w:szCs w:val="21"/>
        </w:rPr>
      </w:pPr>
      <w:r>
        <w:rPr>
          <w:rFonts w:hint="eastAsia"/>
          <w:szCs w:val="21"/>
        </w:rPr>
        <w:t>（7）</w:t>
      </w:r>
      <w:r>
        <w:rPr>
          <w:szCs w:val="21"/>
        </w:rPr>
        <w:t>投标人认为需提交的</w:t>
      </w:r>
      <w:r>
        <w:rPr>
          <w:rFonts w:hint="eastAsia"/>
          <w:szCs w:val="21"/>
        </w:rPr>
        <w:t>其他</w:t>
      </w:r>
      <w:r>
        <w:rPr>
          <w:szCs w:val="21"/>
        </w:rPr>
        <w:t>文件资料。</w:t>
      </w:r>
    </w:p>
    <w:p>
      <w:pPr>
        <w:tabs>
          <w:tab w:val="left" w:pos="1418"/>
        </w:tabs>
        <w:spacing w:line="360" w:lineRule="auto"/>
        <w:ind w:left="420"/>
        <w:contextualSpacing/>
        <w:rPr>
          <w:szCs w:val="21"/>
        </w:rPr>
      </w:pPr>
      <w:r>
        <w:rPr>
          <w:szCs w:val="21"/>
        </w:rPr>
        <w:t>9</w:t>
      </w:r>
      <w:r>
        <w:rPr>
          <w:rFonts w:hint="eastAsia"/>
          <w:szCs w:val="21"/>
        </w:rPr>
        <w:t>.2</w:t>
      </w:r>
      <w:r>
        <w:rPr>
          <w:szCs w:val="21"/>
        </w:rPr>
        <w:t>本次招标对投标文件组成</w:t>
      </w:r>
      <w:r>
        <w:rPr>
          <w:rFonts w:hint="eastAsia"/>
          <w:szCs w:val="21"/>
        </w:rPr>
        <w:t>要求</w:t>
      </w:r>
      <w:r>
        <w:rPr>
          <w:szCs w:val="21"/>
        </w:rPr>
        <w:t>，表述在《投标资料表》中。</w:t>
      </w:r>
    </w:p>
    <w:p>
      <w:pPr>
        <w:spacing w:line="360" w:lineRule="auto"/>
        <w:contextualSpacing/>
        <w:rPr>
          <w:szCs w:val="21"/>
        </w:rPr>
      </w:pPr>
      <w:r>
        <w:rPr>
          <w:szCs w:val="21"/>
        </w:rPr>
        <w:t>10</w:t>
      </w:r>
      <w:r>
        <w:rPr>
          <w:rFonts w:hint="eastAsia"/>
          <w:szCs w:val="21"/>
        </w:rPr>
        <w:t>、</w:t>
      </w:r>
      <w:r>
        <w:rPr>
          <w:szCs w:val="21"/>
        </w:rPr>
        <w:t>投标报价</w:t>
      </w:r>
      <w:bookmarkEnd w:id="101"/>
      <w:bookmarkEnd w:id="102"/>
      <w:bookmarkEnd w:id="103"/>
      <w:bookmarkEnd w:id="104"/>
    </w:p>
    <w:p>
      <w:pPr>
        <w:tabs>
          <w:tab w:val="left" w:pos="709"/>
        </w:tabs>
        <w:spacing w:line="360" w:lineRule="auto"/>
        <w:ind w:firstLine="420" w:firstLineChars="200"/>
        <w:contextualSpacing/>
        <w:rPr>
          <w:szCs w:val="21"/>
        </w:rPr>
      </w:pPr>
      <w:r>
        <w:rPr>
          <w:szCs w:val="21"/>
        </w:rPr>
        <w:t>10</w:t>
      </w:r>
      <w:r>
        <w:rPr>
          <w:rFonts w:hint="eastAsia"/>
          <w:szCs w:val="21"/>
        </w:rPr>
        <w:t>.1</w:t>
      </w:r>
      <w:r>
        <w:rPr>
          <w:szCs w:val="21"/>
        </w:rPr>
        <w:t>投标人应全面充分了解本招标项目的全部内容及要求以及服务现场的基本条件，按照《投标资料表》</w:t>
      </w:r>
      <w:r>
        <w:rPr>
          <w:rFonts w:hint="eastAsia"/>
          <w:szCs w:val="21"/>
        </w:rPr>
        <w:t>规定与</w:t>
      </w:r>
      <w:r>
        <w:rPr>
          <w:szCs w:val="21"/>
        </w:rPr>
        <w:t>要求报价，并包含服务过程中可能涉及的所有费用</w:t>
      </w:r>
      <w:r>
        <w:rPr>
          <w:rFonts w:hint="eastAsia"/>
          <w:szCs w:val="21"/>
        </w:rPr>
        <w:t>。</w:t>
      </w:r>
    </w:p>
    <w:p>
      <w:pPr>
        <w:tabs>
          <w:tab w:val="left" w:pos="709"/>
        </w:tabs>
        <w:spacing w:line="360" w:lineRule="auto"/>
        <w:ind w:firstLine="420" w:firstLineChars="200"/>
        <w:contextualSpacing/>
        <w:rPr>
          <w:szCs w:val="21"/>
        </w:rPr>
      </w:pPr>
      <w:r>
        <w:rPr>
          <w:szCs w:val="21"/>
        </w:rPr>
        <w:t>10</w:t>
      </w:r>
      <w:r>
        <w:rPr>
          <w:rFonts w:hint="eastAsia"/>
          <w:szCs w:val="21"/>
        </w:rPr>
        <w:t>.2</w:t>
      </w:r>
      <w:r>
        <w:rPr>
          <w:szCs w:val="21"/>
        </w:rPr>
        <w:t>所有投标报价必须以人民币报价，不接受外币报价。</w:t>
      </w:r>
    </w:p>
    <w:p>
      <w:pPr>
        <w:tabs>
          <w:tab w:val="left" w:pos="709"/>
        </w:tabs>
        <w:spacing w:line="360" w:lineRule="auto"/>
        <w:ind w:firstLine="420" w:firstLineChars="200"/>
        <w:contextualSpacing/>
        <w:rPr>
          <w:szCs w:val="21"/>
        </w:rPr>
      </w:pPr>
      <w:r>
        <w:rPr>
          <w:szCs w:val="21"/>
        </w:rPr>
        <w:t>10</w:t>
      </w:r>
      <w:r>
        <w:rPr>
          <w:rFonts w:hint="eastAsia"/>
          <w:szCs w:val="21"/>
        </w:rPr>
        <w:t>.3</w:t>
      </w:r>
      <w:r>
        <w:rPr>
          <w:szCs w:val="21"/>
        </w:rPr>
        <w:t>投标报价只有一个，而且一经开标，投标价不得变更。如果出现有两个及以上的报价又未声明以哪一报价方案为主，则</w:t>
      </w:r>
      <w:r>
        <w:rPr>
          <w:rFonts w:hint="eastAsia"/>
          <w:szCs w:val="21"/>
        </w:rPr>
        <w:t>投标将被拒绝</w:t>
      </w:r>
      <w:r>
        <w:rPr>
          <w:szCs w:val="21"/>
        </w:rPr>
        <w:t>。投标声明应载明在</w:t>
      </w:r>
      <w:r>
        <w:rPr>
          <w:rFonts w:hint="eastAsia"/>
          <w:szCs w:val="21"/>
        </w:rPr>
        <w:t>“</w:t>
      </w:r>
      <w:r>
        <w:rPr>
          <w:szCs w:val="21"/>
        </w:rPr>
        <w:t>开标一览表</w:t>
      </w:r>
      <w:r>
        <w:rPr>
          <w:rFonts w:hint="eastAsia"/>
          <w:szCs w:val="21"/>
        </w:rPr>
        <w:t>”</w:t>
      </w:r>
      <w:r>
        <w:rPr>
          <w:szCs w:val="21"/>
        </w:rPr>
        <w:t>中，供开标时唱出。未经唱出的投标声明在评标时不作考虑。</w:t>
      </w:r>
    </w:p>
    <w:p>
      <w:pPr>
        <w:tabs>
          <w:tab w:val="left" w:pos="709"/>
        </w:tabs>
        <w:spacing w:line="360" w:lineRule="auto"/>
        <w:ind w:firstLine="420" w:firstLineChars="200"/>
        <w:contextualSpacing/>
        <w:rPr>
          <w:szCs w:val="21"/>
        </w:rPr>
      </w:pPr>
      <w:r>
        <w:rPr>
          <w:szCs w:val="21"/>
        </w:rPr>
        <w:t>10</w:t>
      </w:r>
      <w:r>
        <w:rPr>
          <w:rFonts w:hint="eastAsia"/>
          <w:szCs w:val="21"/>
        </w:rPr>
        <w:t>.4</w:t>
      </w:r>
      <w:r>
        <w:rPr>
          <w:szCs w:val="21"/>
        </w:rPr>
        <w:t>投标报价</w:t>
      </w:r>
      <w:r>
        <w:rPr>
          <w:rFonts w:hint="eastAsia"/>
          <w:szCs w:val="21"/>
        </w:rPr>
        <w:t>中有关</w:t>
      </w:r>
      <w:r>
        <w:rPr>
          <w:szCs w:val="21"/>
        </w:rPr>
        <w:t>单价在中标后及合同执行过程中是固定不变的，投标人不得以任何理由予以变更。任何包含价格调整要求的投标，将被作无效投标处理。</w:t>
      </w:r>
    </w:p>
    <w:p>
      <w:pPr>
        <w:tabs>
          <w:tab w:val="left" w:pos="709"/>
        </w:tabs>
        <w:spacing w:line="360" w:lineRule="auto"/>
        <w:ind w:firstLine="420" w:firstLineChars="200"/>
        <w:contextualSpacing/>
        <w:rPr>
          <w:szCs w:val="21"/>
        </w:rPr>
      </w:pPr>
      <w:r>
        <w:rPr>
          <w:szCs w:val="21"/>
        </w:rPr>
        <w:t>10</w:t>
      </w:r>
      <w:r>
        <w:rPr>
          <w:rFonts w:hint="eastAsia"/>
          <w:szCs w:val="21"/>
        </w:rPr>
        <w:t>.5</w:t>
      </w:r>
      <w:r>
        <w:rPr>
          <w:szCs w:val="21"/>
        </w:rPr>
        <w:t>除非采购文件在《投标资料表》中对授予合同的数量增减有约定，投标报价在开标以后直至合同执行过程中是固定不变的，投标人不得以任何理由予以变更。任何包含价格调整要求的投标，将被作无效投标处理。</w:t>
      </w:r>
    </w:p>
    <w:p>
      <w:pPr>
        <w:spacing w:line="360" w:lineRule="auto"/>
        <w:contextualSpacing/>
        <w:rPr>
          <w:szCs w:val="21"/>
        </w:rPr>
      </w:pPr>
      <w:bookmarkStart w:id="106" w:name="_Toc430790218"/>
      <w:bookmarkStart w:id="107" w:name="_Toc425151737"/>
      <w:bookmarkStart w:id="108" w:name="_Toc425780281"/>
      <w:bookmarkStart w:id="109" w:name="_Toc429407697"/>
      <w:r>
        <w:rPr>
          <w:rFonts w:hint="eastAsia"/>
          <w:szCs w:val="21"/>
        </w:rPr>
        <w:t>1</w:t>
      </w:r>
      <w:r>
        <w:rPr>
          <w:szCs w:val="21"/>
        </w:rPr>
        <w:t>1</w:t>
      </w:r>
      <w:r>
        <w:rPr>
          <w:rFonts w:hint="eastAsia"/>
          <w:szCs w:val="21"/>
        </w:rPr>
        <w:t>、</w:t>
      </w:r>
      <w:r>
        <w:rPr>
          <w:szCs w:val="21"/>
        </w:rPr>
        <w:t>投标文件编写</w:t>
      </w:r>
      <w:bookmarkEnd w:id="106"/>
      <w:bookmarkEnd w:id="107"/>
      <w:bookmarkEnd w:id="108"/>
      <w:bookmarkEnd w:id="109"/>
    </w:p>
    <w:p>
      <w:pPr>
        <w:tabs>
          <w:tab w:val="left" w:pos="709"/>
        </w:tabs>
        <w:spacing w:line="360" w:lineRule="auto"/>
        <w:ind w:firstLine="420" w:firstLineChars="200"/>
        <w:contextualSpacing/>
        <w:rPr>
          <w:szCs w:val="21"/>
        </w:rPr>
      </w:pPr>
      <w:r>
        <w:rPr>
          <w:rFonts w:hint="eastAsia"/>
          <w:szCs w:val="21"/>
        </w:rPr>
        <w:t>1</w:t>
      </w:r>
      <w:r>
        <w:rPr>
          <w:szCs w:val="21"/>
        </w:rPr>
        <w:t>1</w:t>
      </w:r>
      <w:r>
        <w:rPr>
          <w:rFonts w:hint="eastAsia"/>
          <w:szCs w:val="21"/>
        </w:rPr>
        <w:t>.1</w:t>
      </w:r>
      <w:r>
        <w:rPr>
          <w:szCs w:val="21"/>
        </w:rPr>
        <w:t>投标文件应字迹清晰，表述准确、完整、详细，并按统一格式填写，装订成册。开标一览表系开标仪式上唱标的内容，应按格式完整填写。投标文件因字迹潦草或表达不清楚所引起的后果由投标人负责。</w:t>
      </w:r>
    </w:p>
    <w:p>
      <w:pPr>
        <w:tabs>
          <w:tab w:val="left" w:pos="709"/>
        </w:tabs>
        <w:spacing w:line="360" w:lineRule="auto"/>
        <w:ind w:firstLine="420" w:firstLineChars="200"/>
        <w:contextualSpacing/>
        <w:rPr>
          <w:szCs w:val="21"/>
        </w:rPr>
      </w:pPr>
      <w:r>
        <w:rPr>
          <w:rFonts w:hint="eastAsia"/>
          <w:szCs w:val="21"/>
        </w:rPr>
        <w:t>1</w:t>
      </w:r>
      <w:r>
        <w:rPr>
          <w:szCs w:val="21"/>
        </w:rPr>
        <w:t>1</w:t>
      </w:r>
      <w:r>
        <w:rPr>
          <w:rFonts w:hint="eastAsia"/>
          <w:szCs w:val="21"/>
        </w:rPr>
        <w:t>.2</w:t>
      </w:r>
      <w:r>
        <w:rPr>
          <w:szCs w:val="21"/>
        </w:rPr>
        <w:t>投标语言：中文</w:t>
      </w:r>
      <w:r>
        <w:rPr>
          <w:rFonts w:hint="eastAsia"/>
          <w:szCs w:val="21"/>
        </w:rPr>
        <w:t>。除签名、盖章、专用名称等特殊情形外，以中文汉语以外的文字表述的投标文件视同未提供。</w:t>
      </w:r>
      <w:r>
        <w:rPr>
          <w:szCs w:val="21"/>
        </w:rPr>
        <w:t>投标人在响应采购文件“招标内容及要求”时应作详细叙述。</w:t>
      </w:r>
    </w:p>
    <w:p>
      <w:pPr>
        <w:tabs>
          <w:tab w:val="left" w:pos="709"/>
        </w:tabs>
        <w:spacing w:line="360" w:lineRule="auto"/>
        <w:ind w:firstLine="420" w:firstLineChars="200"/>
        <w:contextualSpacing/>
        <w:rPr>
          <w:szCs w:val="21"/>
        </w:rPr>
      </w:pPr>
      <w:r>
        <w:rPr>
          <w:rFonts w:hint="eastAsia"/>
          <w:szCs w:val="21"/>
        </w:rPr>
        <w:t>11.3</w:t>
      </w:r>
      <w:r>
        <w:rPr>
          <w:szCs w:val="21"/>
        </w:rPr>
        <w:t>投标文件中所使用的计量单位，除非本采购文件</w:t>
      </w:r>
      <w:r>
        <w:rPr>
          <w:rFonts w:hint="eastAsia"/>
          <w:szCs w:val="21"/>
        </w:rPr>
        <w:t>“</w:t>
      </w:r>
      <w:r>
        <w:rPr>
          <w:szCs w:val="21"/>
        </w:rPr>
        <w:t>招标内容及要求</w:t>
      </w:r>
      <w:r>
        <w:rPr>
          <w:rFonts w:hint="eastAsia"/>
          <w:szCs w:val="21"/>
        </w:rPr>
        <w:t>”</w:t>
      </w:r>
      <w:r>
        <w:rPr>
          <w:szCs w:val="21"/>
        </w:rPr>
        <w:t>有特殊要求，应采用国家法定计量单位。</w:t>
      </w:r>
    </w:p>
    <w:p>
      <w:pPr>
        <w:spacing w:line="360" w:lineRule="auto"/>
        <w:contextualSpacing/>
        <w:rPr>
          <w:szCs w:val="21"/>
        </w:rPr>
      </w:pPr>
      <w:bookmarkStart w:id="110" w:name="_Toc430790219"/>
      <w:bookmarkStart w:id="111" w:name="_Toc429407698"/>
      <w:bookmarkStart w:id="112" w:name="_Toc425151738"/>
      <w:bookmarkStart w:id="113" w:name="_Toc425780282"/>
      <w:r>
        <w:rPr>
          <w:rFonts w:hint="eastAsia"/>
          <w:szCs w:val="21"/>
        </w:rPr>
        <w:t>1</w:t>
      </w:r>
      <w:r>
        <w:rPr>
          <w:szCs w:val="21"/>
        </w:rPr>
        <w:t>2</w:t>
      </w:r>
      <w:r>
        <w:rPr>
          <w:rFonts w:hint="eastAsia"/>
          <w:szCs w:val="21"/>
        </w:rPr>
        <w:t>、</w:t>
      </w:r>
      <w:r>
        <w:rPr>
          <w:szCs w:val="21"/>
        </w:rPr>
        <w:t>投标文件的有效期</w:t>
      </w:r>
      <w:bookmarkEnd w:id="110"/>
      <w:bookmarkEnd w:id="111"/>
      <w:bookmarkEnd w:id="112"/>
      <w:bookmarkEnd w:id="113"/>
    </w:p>
    <w:p>
      <w:pPr>
        <w:tabs>
          <w:tab w:val="left" w:pos="709"/>
        </w:tabs>
        <w:spacing w:line="360" w:lineRule="auto"/>
        <w:ind w:firstLine="420" w:firstLineChars="200"/>
        <w:contextualSpacing/>
        <w:rPr>
          <w:szCs w:val="21"/>
        </w:rPr>
      </w:pPr>
      <w:r>
        <w:rPr>
          <w:rFonts w:hint="eastAsia"/>
          <w:szCs w:val="21"/>
        </w:rPr>
        <w:t>1</w:t>
      </w:r>
      <w:r>
        <w:rPr>
          <w:szCs w:val="21"/>
        </w:rPr>
        <w:t>2</w:t>
      </w:r>
      <w:r>
        <w:rPr>
          <w:rFonts w:hint="eastAsia"/>
          <w:szCs w:val="21"/>
        </w:rPr>
        <w:t>.1</w:t>
      </w:r>
      <w:r>
        <w:rPr>
          <w:szCs w:val="21"/>
        </w:rPr>
        <w:t>投标文件应在《投标资料表》规定的投标有效期内保持有效。有效期短于规定期限的，将导致投标无效</w:t>
      </w:r>
      <w:r>
        <w:rPr>
          <w:rFonts w:hint="eastAsia"/>
          <w:szCs w:val="21"/>
        </w:rPr>
        <w:t>而被拒绝</w:t>
      </w:r>
      <w:r>
        <w:rPr>
          <w:szCs w:val="21"/>
        </w:rPr>
        <w:t>。</w:t>
      </w:r>
    </w:p>
    <w:p>
      <w:pPr>
        <w:tabs>
          <w:tab w:val="left" w:pos="709"/>
        </w:tabs>
        <w:spacing w:line="360" w:lineRule="auto"/>
        <w:ind w:firstLine="420" w:firstLineChars="200"/>
        <w:contextualSpacing/>
        <w:rPr>
          <w:szCs w:val="21"/>
        </w:rPr>
      </w:pPr>
      <w:r>
        <w:rPr>
          <w:rFonts w:hint="eastAsia"/>
          <w:szCs w:val="21"/>
        </w:rPr>
        <w:t>1</w:t>
      </w:r>
      <w:r>
        <w:rPr>
          <w:szCs w:val="21"/>
        </w:rPr>
        <w:t>2</w:t>
      </w:r>
      <w:r>
        <w:rPr>
          <w:rFonts w:hint="eastAsia"/>
          <w:szCs w:val="21"/>
        </w:rPr>
        <w:t>.2</w:t>
      </w:r>
      <w:r>
        <w:rPr>
          <w:szCs w:val="21"/>
        </w:rPr>
        <w:t>在特殊情况下，在原投标有效期截止之前，应</w:t>
      </w:r>
      <w:r>
        <w:rPr>
          <w:rFonts w:hint="eastAsia"/>
          <w:szCs w:val="21"/>
        </w:rPr>
        <w:t>采购人</w:t>
      </w:r>
      <w:r>
        <w:rPr>
          <w:szCs w:val="21"/>
        </w:rPr>
        <w:t>的要求，采购代理机构可要求投标人延长投标文件的有效期，这种要求的提出和投标人的答复都应以书面（含传真）的形式进行。同意延长有效期的投标人也不会被要求或允许修改其投标文件。</w:t>
      </w:r>
    </w:p>
    <w:p>
      <w:pPr>
        <w:pStyle w:val="3"/>
        <w:spacing w:before="120" w:beforeLines="50" w:after="120" w:afterLines="50"/>
        <w:rPr>
          <w:rFonts w:ascii="Times New Roman"/>
          <w:szCs w:val="28"/>
        </w:rPr>
      </w:pPr>
      <w:bookmarkStart w:id="114" w:name="_Toc496003206"/>
      <w:bookmarkStart w:id="115" w:name="_Toc456853671"/>
      <w:bookmarkStart w:id="116" w:name="_Toc498429634"/>
      <w:bookmarkStart w:id="117" w:name="_Toc29742"/>
      <w:bookmarkStart w:id="118" w:name="_Toc425780284"/>
      <w:bookmarkStart w:id="119" w:name="_Toc430790221"/>
      <w:bookmarkStart w:id="120" w:name="_Toc505353785"/>
      <w:bookmarkStart w:id="121" w:name="_Toc425151740"/>
      <w:bookmarkStart w:id="122" w:name="_Toc429407700"/>
      <w:bookmarkStart w:id="123" w:name="_Toc445193546"/>
      <w:r>
        <w:rPr>
          <w:rFonts w:hint="eastAsia" w:ascii="Times New Roman"/>
          <w:szCs w:val="28"/>
        </w:rPr>
        <w:t>五、</w:t>
      </w:r>
      <w:r>
        <w:rPr>
          <w:rFonts w:ascii="Times New Roman"/>
          <w:szCs w:val="28"/>
        </w:rPr>
        <w:t>投标文件的递交</w:t>
      </w:r>
      <w:bookmarkEnd w:id="114"/>
      <w:bookmarkEnd w:id="115"/>
      <w:bookmarkEnd w:id="116"/>
      <w:bookmarkEnd w:id="117"/>
      <w:bookmarkEnd w:id="118"/>
      <w:bookmarkEnd w:id="119"/>
      <w:bookmarkEnd w:id="120"/>
      <w:bookmarkEnd w:id="121"/>
      <w:bookmarkEnd w:id="122"/>
      <w:bookmarkEnd w:id="123"/>
    </w:p>
    <w:p>
      <w:pPr>
        <w:spacing w:line="360" w:lineRule="auto"/>
        <w:contextualSpacing/>
        <w:rPr>
          <w:szCs w:val="21"/>
        </w:rPr>
      </w:pPr>
      <w:bookmarkStart w:id="124" w:name="_Toc430790222"/>
      <w:bookmarkStart w:id="125" w:name="_Toc425151741"/>
      <w:bookmarkStart w:id="126" w:name="_Toc429407701"/>
      <w:bookmarkStart w:id="127" w:name="_Toc425780285"/>
      <w:r>
        <w:rPr>
          <w:rFonts w:hint="eastAsia"/>
          <w:szCs w:val="21"/>
        </w:rPr>
        <w:t>13、</w:t>
      </w:r>
      <w:r>
        <w:rPr>
          <w:szCs w:val="21"/>
        </w:rPr>
        <w:t>投标文件的签署及装订</w:t>
      </w:r>
      <w:bookmarkEnd w:id="124"/>
      <w:bookmarkEnd w:id="125"/>
      <w:bookmarkEnd w:id="126"/>
      <w:bookmarkEnd w:id="127"/>
    </w:p>
    <w:p>
      <w:pPr>
        <w:tabs>
          <w:tab w:val="left" w:pos="709"/>
        </w:tabs>
        <w:spacing w:line="360" w:lineRule="auto"/>
        <w:ind w:firstLine="420" w:firstLineChars="200"/>
        <w:contextualSpacing/>
        <w:rPr>
          <w:szCs w:val="21"/>
        </w:rPr>
      </w:pPr>
      <w:r>
        <w:rPr>
          <w:rFonts w:hint="eastAsia"/>
          <w:szCs w:val="21"/>
        </w:rPr>
        <w:t>13.1</w:t>
      </w:r>
      <w:r>
        <w:rPr>
          <w:szCs w:val="21"/>
        </w:rPr>
        <w:t>对本</w:t>
      </w:r>
      <w:r>
        <w:rPr>
          <w:rFonts w:hint="eastAsia"/>
          <w:szCs w:val="21"/>
        </w:rPr>
        <w:t>采购文件相关部分</w:t>
      </w:r>
      <w:r>
        <w:rPr>
          <w:szCs w:val="21"/>
        </w:rPr>
        <w:t>提供的各种文件</w:t>
      </w:r>
      <w:r>
        <w:rPr>
          <w:rFonts w:hint="eastAsia"/>
          <w:szCs w:val="21"/>
        </w:rPr>
        <w:t>、表格、格式</w:t>
      </w:r>
      <w:r>
        <w:rPr>
          <w:szCs w:val="21"/>
        </w:rPr>
        <w:t>，投标人应按要求填写、签署和加盖公章。</w:t>
      </w:r>
    </w:p>
    <w:p>
      <w:pPr>
        <w:tabs>
          <w:tab w:val="left" w:pos="709"/>
        </w:tabs>
        <w:spacing w:line="360" w:lineRule="auto"/>
        <w:ind w:firstLine="420" w:firstLineChars="200"/>
        <w:contextualSpacing/>
        <w:rPr>
          <w:szCs w:val="21"/>
        </w:rPr>
      </w:pPr>
      <w:r>
        <w:rPr>
          <w:rFonts w:hint="eastAsia"/>
          <w:szCs w:val="21"/>
        </w:rPr>
        <w:t>13.2</w:t>
      </w:r>
      <w:r>
        <w:rPr>
          <w:szCs w:val="21"/>
        </w:rPr>
        <w:t>投标文件</w:t>
      </w:r>
      <w:r>
        <w:rPr>
          <w:rFonts w:hint="eastAsia"/>
          <w:szCs w:val="21"/>
        </w:rPr>
        <w:t>必须按采购文件规定的格式</w:t>
      </w:r>
      <w:r>
        <w:rPr>
          <w:szCs w:val="21"/>
        </w:rPr>
        <w:t>加盖公章、法定代表人签字</w:t>
      </w:r>
      <w:r>
        <w:rPr>
          <w:rFonts w:hint="eastAsia"/>
          <w:szCs w:val="21"/>
        </w:rPr>
        <w:t>（或盖章）</w:t>
      </w:r>
      <w:r>
        <w:rPr>
          <w:szCs w:val="21"/>
        </w:rPr>
        <w:t>、投标代表人签字</w:t>
      </w:r>
      <w:r>
        <w:rPr>
          <w:rFonts w:hint="eastAsia"/>
          <w:szCs w:val="21"/>
        </w:rPr>
        <w:t>（或盖章）</w:t>
      </w:r>
      <w:r>
        <w:rPr>
          <w:szCs w:val="21"/>
        </w:rPr>
        <w:t>。</w:t>
      </w:r>
    </w:p>
    <w:p>
      <w:pPr>
        <w:tabs>
          <w:tab w:val="left" w:pos="709"/>
        </w:tabs>
        <w:spacing w:line="360" w:lineRule="auto"/>
        <w:ind w:firstLine="420" w:firstLineChars="200"/>
        <w:contextualSpacing/>
        <w:rPr>
          <w:szCs w:val="21"/>
        </w:rPr>
      </w:pPr>
      <w:r>
        <w:rPr>
          <w:rFonts w:hint="eastAsia"/>
          <w:szCs w:val="21"/>
        </w:rPr>
        <w:t>13.3</w:t>
      </w:r>
      <w:r>
        <w:rPr>
          <w:szCs w:val="21"/>
        </w:rPr>
        <w:t>投标文件应按各组成部分内容进行整理、编排、立目、索引、注明页码，以有利阅读评审；既可整册装订也可分册装订，除非在《投标资料表》中有严格装订规定。</w:t>
      </w:r>
    </w:p>
    <w:p>
      <w:pPr>
        <w:tabs>
          <w:tab w:val="left" w:pos="709"/>
        </w:tabs>
        <w:spacing w:line="360" w:lineRule="auto"/>
        <w:ind w:firstLine="420" w:firstLineChars="200"/>
        <w:contextualSpacing/>
        <w:rPr>
          <w:szCs w:val="21"/>
        </w:rPr>
      </w:pPr>
      <w:r>
        <w:rPr>
          <w:rFonts w:hint="eastAsia"/>
          <w:szCs w:val="21"/>
        </w:rPr>
        <w:t>13.4</w:t>
      </w:r>
      <w:r>
        <w:rPr>
          <w:szCs w:val="21"/>
        </w:rPr>
        <w:t>投标文件的正本必须打印，在封面加盖公章并注明</w:t>
      </w:r>
      <w:r>
        <w:rPr>
          <w:rFonts w:hint="eastAsia"/>
          <w:szCs w:val="21"/>
        </w:rPr>
        <w:t>“</w:t>
      </w:r>
      <w:r>
        <w:rPr>
          <w:szCs w:val="21"/>
        </w:rPr>
        <w:t>正本</w:t>
      </w:r>
      <w:r>
        <w:rPr>
          <w:rFonts w:hint="eastAsia"/>
          <w:szCs w:val="21"/>
        </w:rPr>
        <w:t>”</w:t>
      </w:r>
      <w:r>
        <w:rPr>
          <w:szCs w:val="21"/>
        </w:rPr>
        <w:t>字样。副本可以提交正本的复印件</w:t>
      </w:r>
      <w:r>
        <w:rPr>
          <w:rFonts w:hint="eastAsia"/>
          <w:szCs w:val="21"/>
        </w:rPr>
        <w:t>，</w:t>
      </w:r>
      <w:r>
        <w:rPr>
          <w:szCs w:val="21"/>
        </w:rPr>
        <w:t>在封面加盖公章并注明</w:t>
      </w:r>
      <w:r>
        <w:rPr>
          <w:rFonts w:hint="eastAsia"/>
          <w:szCs w:val="21"/>
        </w:rPr>
        <w:t>“副</w:t>
      </w:r>
      <w:r>
        <w:rPr>
          <w:szCs w:val="21"/>
        </w:rPr>
        <w:t>本</w:t>
      </w:r>
      <w:r>
        <w:rPr>
          <w:rFonts w:hint="eastAsia"/>
          <w:szCs w:val="21"/>
        </w:rPr>
        <w:t>”</w:t>
      </w:r>
      <w:r>
        <w:rPr>
          <w:szCs w:val="21"/>
        </w:rPr>
        <w:t>字样。若正本与副本不符，以正本为准。</w:t>
      </w:r>
    </w:p>
    <w:p>
      <w:pPr>
        <w:tabs>
          <w:tab w:val="left" w:pos="709"/>
        </w:tabs>
        <w:spacing w:line="360" w:lineRule="auto"/>
        <w:ind w:firstLine="420" w:firstLineChars="200"/>
        <w:contextualSpacing/>
        <w:rPr>
          <w:szCs w:val="21"/>
        </w:rPr>
      </w:pPr>
      <w:r>
        <w:rPr>
          <w:rFonts w:hint="eastAsia"/>
          <w:szCs w:val="21"/>
        </w:rPr>
        <w:t>13.5</w:t>
      </w:r>
      <w:r>
        <w:rPr>
          <w:szCs w:val="21"/>
        </w:rPr>
        <w:t>投标文件一般不得涂改和增删，如发现有错漏必需修改，在涂改或增删之处必须有投标人法定代表人或授权代表的签字或盖章。否则，评标委员会将不接受该修改。</w:t>
      </w:r>
    </w:p>
    <w:p>
      <w:pPr>
        <w:tabs>
          <w:tab w:val="left" w:pos="709"/>
        </w:tabs>
        <w:spacing w:line="360" w:lineRule="auto"/>
        <w:ind w:firstLine="420" w:firstLineChars="200"/>
        <w:contextualSpacing/>
        <w:rPr>
          <w:szCs w:val="21"/>
        </w:rPr>
      </w:pPr>
      <w:r>
        <w:rPr>
          <w:rFonts w:hint="eastAsia"/>
          <w:szCs w:val="21"/>
        </w:rPr>
        <w:t>13.6</w:t>
      </w:r>
      <w:r>
        <w:rPr>
          <w:szCs w:val="21"/>
        </w:rPr>
        <w:t>投标文件因字迹潦草或表达不清楚所引起的后果由投标人负责。</w:t>
      </w:r>
    </w:p>
    <w:p>
      <w:pPr>
        <w:spacing w:line="360" w:lineRule="auto"/>
        <w:contextualSpacing/>
        <w:rPr>
          <w:szCs w:val="21"/>
        </w:rPr>
      </w:pPr>
      <w:bookmarkStart w:id="128" w:name="_Toc425780286"/>
      <w:bookmarkStart w:id="129" w:name="_Toc429407702"/>
      <w:bookmarkStart w:id="130" w:name="_Toc425151742"/>
      <w:bookmarkStart w:id="131" w:name="_Toc430790223"/>
      <w:r>
        <w:rPr>
          <w:rFonts w:hint="eastAsia"/>
          <w:szCs w:val="21"/>
        </w:rPr>
        <w:t>14、</w:t>
      </w:r>
      <w:r>
        <w:rPr>
          <w:szCs w:val="21"/>
        </w:rPr>
        <w:t>投标文件的密封、标记和递送</w:t>
      </w:r>
      <w:bookmarkEnd w:id="128"/>
      <w:bookmarkEnd w:id="129"/>
      <w:bookmarkEnd w:id="130"/>
      <w:bookmarkEnd w:id="131"/>
    </w:p>
    <w:p>
      <w:pPr>
        <w:tabs>
          <w:tab w:val="left" w:pos="709"/>
        </w:tabs>
        <w:spacing w:line="360" w:lineRule="auto"/>
        <w:ind w:firstLine="420" w:firstLineChars="200"/>
        <w:contextualSpacing/>
        <w:rPr>
          <w:szCs w:val="21"/>
        </w:rPr>
      </w:pPr>
      <w:r>
        <w:rPr>
          <w:rFonts w:hint="eastAsia"/>
          <w:szCs w:val="21"/>
        </w:rPr>
        <w:t>14.1</w:t>
      </w:r>
      <w:r>
        <w:rPr>
          <w:szCs w:val="21"/>
        </w:rPr>
        <w:t>所有递交的投标文件均应按</w:t>
      </w:r>
      <w:r>
        <w:rPr>
          <w:rFonts w:hint="eastAsia"/>
          <w:szCs w:val="21"/>
        </w:rPr>
        <w:t>下述13.2、13.3、13.4要求</w:t>
      </w:r>
      <w:r>
        <w:rPr>
          <w:szCs w:val="21"/>
        </w:rPr>
        <w:t>装袋密封，不接受未密封的投标文件，投标文件的份数应符合本采购文件《投标资料表》中的相关规定。</w:t>
      </w:r>
    </w:p>
    <w:p>
      <w:pPr>
        <w:tabs>
          <w:tab w:val="left" w:pos="709"/>
        </w:tabs>
        <w:spacing w:line="360" w:lineRule="auto"/>
        <w:ind w:firstLine="420" w:firstLineChars="200"/>
        <w:contextualSpacing/>
        <w:rPr>
          <w:szCs w:val="21"/>
        </w:rPr>
      </w:pPr>
      <w:r>
        <w:rPr>
          <w:rFonts w:hint="eastAsia"/>
          <w:szCs w:val="21"/>
        </w:rPr>
        <w:t>14.2</w:t>
      </w:r>
      <w:r>
        <w:rPr>
          <w:szCs w:val="21"/>
        </w:rPr>
        <w:t>投标人必须将</w:t>
      </w:r>
      <w:r>
        <w:rPr>
          <w:rFonts w:hint="eastAsia"/>
          <w:szCs w:val="21"/>
        </w:rPr>
        <w:t>资格证明文件</w:t>
      </w:r>
      <w:r>
        <w:rPr>
          <w:szCs w:val="21"/>
        </w:rPr>
        <w:t>（正本</w:t>
      </w:r>
      <w:r>
        <w:rPr>
          <w:rFonts w:hint="eastAsia"/>
          <w:szCs w:val="21"/>
        </w:rPr>
        <w:t>、</w:t>
      </w:r>
      <w:r>
        <w:rPr>
          <w:szCs w:val="21"/>
        </w:rPr>
        <w:t>副本</w:t>
      </w:r>
      <w:r>
        <w:rPr>
          <w:rFonts w:hint="eastAsia"/>
          <w:szCs w:val="21"/>
        </w:rPr>
        <w:t>、电子版</w:t>
      </w:r>
      <w:r>
        <w:rPr>
          <w:szCs w:val="21"/>
        </w:rPr>
        <w:t>）</w:t>
      </w:r>
      <w:r>
        <w:rPr>
          <w:rFonts w:hint="eastAsia"/>
          <w:szCs w:val="21"/>
        </w:rPr>
        <w:t>一并</w:t>
      </w:r>
      <w:r>
        <w:rPr>
          <w:szCs w:val="21"/>
        </w:rPr>
        <w:t>装袋按要求密封做好标记</w:t>
      </w:r>
      <w:r>
        <w:rPr>
          <w:rFonts w:hint="eastAsia"/>
          <w:szCs w:val="21"/>
        </w:rPr>
        <w:t>；将报价文件</w:t>
      </w:r>
      <w:r>
        <w:rPr>
          <w:szCs w:val="21"/>
        </w:rPr>
        <w:t>（正本</w:t>
      </w:r>
      <w:r>
        <w:rPr>
          <w:rFonts w:hint="eastAsia"/>
          <w:szCs w:val="21"/>
        </w:rPr>
        <w:t>、</w:t>
      </w:r>
      <w:r>
        <w:rPr>
          <w:szCs w:val="21"/>
        </w:rPr>
        <w:t>副本</w:t>
      </w:r>
      <w:r>
        <w:rPr>
          <w:rFonts w:hint="eastAsia"/>
          <w:szCs w:val="21"/>
        </w:rPr>
        <w:t>、电子版</w:t>
      </w:r>
      <w:r>
        <w:rPr>
          <w:szCs w:val="21"/>
        </w:rPr>
        <w:t>）</w:t>
      </w:r>
      <w:r>
        <w:rPr>
          <w:rFonts w:hint="eastAsia"/>
          <w:szCs w:val="21"/>
        </w:rPr>
        <w:t>一并</w:t>
      </w:r>
      <w:r>
        <w:rPr>
          <w:szCs w:val="21"/>
        </w:rPr>
        <w:t>装袋按要求密封做好标记，将</w:t>
      </w:r>
      <w:r>
        <w:rPr>
          <w:rFonts w:hint="eastAsia"/>
          <w:szCs w:val="21"/>
        </w:rPr>
        <w:t>技术商务文件</w:t>
      </w:r>
      <w:r>
        <w:rPr>
          <w:szCs w:val="21"/>
        </w:rPr>
        <w:t>（正本</w:t>
      </w:r>
      <w:r>
        <w:rPr>
          <w:rFonts w:hint="eastAsia"/>
          <w:szCs w:val="21"/>
        </w:rPr>
        <w:t>、</w:t>
      </w:r>
      <w:r>
        <w:rPr>
          <w:szCs w:val="21"/>
        </w:rPr>
        <w:t>副本</w:t>
      </w:r>
      <w:r>
        <w:rPr>
          <w:rFonts w:hint="eastAsia"/>
          <w:szCs w:val="21"/>
        </w:rPr>
        <w:t>、电子版</w:t>
      </w:r>
      <w:r>
        <w:rPr>
          <w:szCs w:val="21"/>
        </w:rPr>
        <w:t>）</w:t>
      </w:r>
      <w:r>
        <w:rPr>
          <w:rFonts w:hint="eastAsia"/>
          <w:szCs w:val="21"/>
        </w:rPr>
        <w:t>一并</w:t>
      </w:r>
      <w:r>
        <w:rPr>
          <w:szCs w:val="21"/>
        </w:rPr>
        <w:t>装袋按要求密封做好标记</w:t>
      </w:r>
      <w:r>
        <w:rPr>
          <w:rFonts w:hint="eastAsia"/>
          <w:szCs w:val="21"/>
        </w:rPr>
        <w:t>，</w:t>
      </w:r>
      <w:r>
        <w:rPr>
          <w:szCs w:val="21"/>
        </w:rPr>
        <w:t>不符合规定的为无效投标。</w:t>
      </w:r>
    </w:p>
    <w:p>
      <w:pPr>
        <w:tabs>
          <w:tab w:val="left" w:pos="709"/>
        </w:tabs>
        <w:spacing w:line="360" w:lineRule="auto"/>
        <w:ind w:firstLine="420" w:firstLineChars="200"/>
        <w:contextualSpacing/>
        <w:rPr>
          <w:szCs w:val="21"/>
        </w:rPr>
      </w:pPr>
      <w:r>
        <w:rPr>
          <w:rFonts w:hint="eastAsia"/>
          <w:szCs w:val="21"/>
        </w:rPr>
        <w:t>14.3</w:t>
      </w:r>
      <w:r>
        <w:rPr>
          <w:szCs w:val="21"/>
        </w:rPr>
        <w:t>投标文件的正、副本</w:t>
      </w:r>
      <w:r>
        <w:rPr>
          <w:rFonts w:hint="eastAsia"/>
          <w:szCs w:val="21"/>
        </w:rPr>
        <w:t>、电子版</w:t>
      </w:r>
      <w:r>
        <w:rPr>
          <w:szCs w:val="21"/>
        </w:rPr>
        <w:t>应该按照本采购文件《投标资料表》的要求装袋。</w:t>
      </w:r>
    </w:p>
    <w:p>
      <w:pPr>
        <w:tabs>
          <w:tab w:val="left" w:pos="709"/>
        </w:tabs>
        <w:spacing w:line="360" w:lineRule="auto"/>
        <w:ind w:firstLine="420" w:firstLineChars="200"/>
        <w:contextualSpacing/>
        <w:rPr>
          <w:bCs/>
          <w:szCs w:val="21"/>
        </w:rPr>
      </w:pPr>
      <w:r>
        <w:rPr>
          <w:rFonts w:hint="eastAsia"/>
          <w:szCs w:val="21"/>
        </w:rPr>
        <w:t>14.4</w:t>
      </w:r>
      <w:r>
        <w:rPr>
          <w:szCs w:val="21"/>
        </w:rPr>
        <w:t>投标文件递交时应密封完好，封口处必须盖有投标人公章或投标人的授权代表签字。密封袋上注明招标编号、招标项目名称</w:t>
      </w:r>
      <w:r>
        <w:rPr>
          <w:rFonts w:hint="eastAsia"/>
          <w:szCs w:val="21"/>
        </w:rPr>
        <w:t>、</w:t>
      </w:r>
      <w:r>
        <w:rPr>
          <w:szCs w:val="21"/>
        </w:rPr>
        <w:t>投标人名称</w:t>
      </w:r>
      <w:r>
        <w:rPr>
          <w:rFonts w:hint="eastAsia"/>
          <w:szCs w:val="21"/>
        </w:rPr>
        <w:t>、投标文件名称（报价文件/资格证明文件/技术商务文件）等内容，</w:t>
      </w:r>
      <w:r>
        <w:rPr>
          <w:szCs w:val="21"/>
        </w:rPr>
        <w:t>并注明</w:t>
      </w:r>
      <w:r>
        <w:rPr>
          <w:rFonts w:hint="eastAsia"/>
          <w:szCs w:val="21"/>
        </w:rPr>
        <w:t xml:space="preserve"> “</w:t>
      </w:r>
      <w:r>
        <w:rPr>
          <w:szCs w:val="21"/>
        </w:rPr>
        <w:t>开标时启封</w:t>
      </w:r>
      <w:r>
        <w:rPr>
          <w:rFonts w:hint="eastAsia"/>
          <w:szCs w:val="21"/>
        </w:rPr>
        <w:t>”</w:t>
      </w:r>
      <w:r>
        <w:rPr>
          <w:szCs w:val="21"/>
        </w:rPr>
        <w:t>字样。</w:t>
      </w:r>
    </w:p>
    <w:p>
      <w:pPr>
        <w:spacing w:line="360" w:lineRule="auto"/>
        <w:contextualSpacing/>
        <w:rPr>
          <w:szCs w:val="21"/>
        </w:rPr>
      </w:pPr>
      <w:bookmarkStart w:id="132" w:name="_Toc430790224"/>
      <w:bookmarkStart w:id="133" w:name="_Toc425151743"/>
      <w:bookmarkStart w:id="134" w:name="_Toc429407703"/>
      <w:bookmarkStart w:id="135" w:name="_Toc425780287"/>
      <w:r>
        <w:rPr>
          <w:rFonts w:hint="eastAsia"/>
          <w:szCs w:val="21"/>
        </w:rPr>
        <w:t>15、</w:t>
      </w:r>
      <w:r>
        <w:rPr>
          <w:szCs w:val="21"/>
        </w:rPr>
        <w:t>投标</w:t>
      </w:r>
      <w:bookmarkEnd w:id="132"/>
      <w:bookmarkEnd w:id="133"/>
      <w:bookmarkEnd w:id="134"/>
      <w:bookmarkEnd w:id="135"/>
    </w:p>
    <w:p>
      <w:pPr>
        <w:tabs>
          <w:tab w:val="left" w:pos="709"/>
        </w:tabs>
        <w:spacing w:line="360" w:lineRule="auto"/>
        <w:ind w:firstLine="420" w:firstLineChars="200"/>
        <w:contextualSpacing/>
        <w:rPr>
          <w:szCs w:val="21"/>
        </w:rPr>
      </w:pPr>
      <w:r>
        <w:rPr>
          <w:szCs w:val="21"/>
        </w:rPr>
        <w:t>在采购文件《投标资料表》中规定的投标截止时间前，投标文件必须派人送达指定的投标地点。在投标截止时间以后送达的投标文件将被拒绝。</w:t>
      </w:r>
    </w:p>
    <w:p>
      <w:pPr>
        <w:spacing w:line="360" w:lineRule="auto"/>
        <w:contextualSpacing/>
        <w:rPr>
          <w:szCs w:val="21"/>
        </w:rPr>
      </w:pPr>
      <w:bookmarkStart w:id="136" w:name="_Toc425780288"/>
      <w:bookmarkStart w:id="137" w:name="_Toc425151744"/>
      <w:bookmarkStart w:id="138" w:name="_Toc429407704"/>
      <w:bookmarkStart w:id="139" w:name="_Toc430790225"/>
      <w:r>
        <w:rPr>
          <w:rFonts w:hint="eastAsia"/>
          <w:szCs w:val="21"/>
        </w:rPr>
        <w:t>16、</w:t>
      </w:r>
      <w:r>
        <w:rPr>
          <w:szCs w:val="21"/>
        </w:rPr>
        <w:t>投标文件的修改和撤回</w:t>
      </w:r>
      <w:bookmarkEnd w:id="136"/>
      <w:bookmarkEnd w:id="137"/>
      <w:bookmarkEnd w:id="138"/>
      <w:bookmarkEnd w:id="139"/>
      <w:r>
        <w:rPr>
          <w:rFonts w:hint="eastAsia"/>
          <w:szCs w:val="21"/>
        </w:rPr>
        <w:t>（撤销）</w:t>
      </w:r>
    </w:p>
    <w:p>
      <w:pPr>
        <w:tabs>
          <w:tab w:val="left" w:pos="709"/>
        </w:tabs>
        <w:spacing w:line="360" w:lineRule="auto"/>
        <w:ind w:firstLine="420" w:firstLineChars="200"/>
        <w:contextualSpacing/>
        <w:rPr>
          <w:szCs w:val="21"/>
        </w:rPr>
      </w:pPr>
      <w:r>
        <w:rPr>
          <w:rFonts w:hint="eastAsia"/>
          <w:szCs w:val="21"/>
        </w:rPr>
        <w:t>16.1</w:t>
      </w:r>
      <w:r>
        <w:rPr>
          <w:szCs w:val="21"/>
        </w:rPr>
        <w:t>投标文件递交以后，在投标截止时间之前，投标人可以要求修改、补充或撤标。但投标人若要</w:t>
      </w:r>
      <w:r>
        <w:rPr>
          <w:rFonts w:hint="eastAsia"/>
          <w:szCs w:val="21"/>
        </w:rPr>
        <w:t>撤销</w:t>
      </w:r>
      <w:r>
        <w:rPr>
          <w:szCs w:val="21"/>
        </w:rPr>
        <w:t>投标，应提交由</w:t>
      </w:r>
      <w:r>
        <w:rPr>
          <w:rFonts w:hint="eastAsia"/>
          <w:szCs w:val="21"/>
        </w:rPr>
        <w:t>授权代表</w:t>
      </w:r>
      <w:r>
        <w:rPr>
          <w:szCs w:val="21"/>
        </w:rPr>
        <w:t>（或法定代表人）签署的正式文件。</w:t>
      </w:r>
    </w:p>
    <w:p>
      <w:pPr>
        <w:tabs>
          <w:tab w:val="left" w:pos="709"/>
        </w:tabs>
        <w:spacing w:line="360" w:lineRule="auto"/>
        <w:ind w:firstLine="420" w:firstLineChars="200"/>
        <w:contextualSpacing/>
        <w:rPr>
          <w:szCs w:val="21"/>
        </w:rPr>
      </w:pPr>
      <w:r>
        <w:rPr>
          <w:rFonts w:hint="eastAsia"/>
          <w:szCs w:val="21"/>
        </w:rPr>
        <w:t>16.2</w:t>
      </w:r>
      <w:r>
        <w:rPr>
          <w:szCs w:val="21"/>
        </w:rPr>
        <w:t>投标人修改投标文件的书面材料应装入投标文件封袋</w:t>
      </w:r>
      <w:r>
        <w:rPr>
          <w:rFonts w:hint="eastAsia"/>
          <w:szCs w:val="21"/>
        </w:rPr>
        <w:t>，</w:t>
      </w:r>
      <w:r>
        <w:rPr>
          <w:szCs w:val="21"/>
        </w:rPr>
        <w:t>重新按规定密封，若单独封装递交，除按上述第1</w:t>
      </w:r>
      <w:r>
        <w:rPr>
          <w:rFonts w:hint="eastAsia"/>
          <w:szCs w:val="21"/>
        </w:rPr>
        <w:t>4</w:t>
      </w:r>
      <w:r>
        <w:rPr>
          <w:szCs w:val="21"/>
        </w:rPr>
        <w:t>条规定封装外，还需在封套上标明</w:t>
      </w:r>
      <w:r>
        <w:rPr>
          <w:rFonts w:hint="eastAsia"/>
          <w:szCs w:val="21"/>
        </w:rPr>
        <w:t>“</w:t>
      </w:r>
      <w:r>
        <w:rPr>
          <w:szCs w:val="21"/>
        </w:rPr>
        <w:t>修改/补充投标文件（并注明招标编号）</w:t>
      </w:r>
      <w:r>
        <w:rPr>
          <w:rFonts w:hint="eastAsia"/>
          <w:szCs w:val="21"/>
        </w:rPr>
        <w:t>”</w:t>
      </w:r>
      <w:r>
        <w:rPr>
          <w:szCs w:val="21"/>
        </w:rPr>
        <w:t>和</w:t>
      </w:r>
      <w:r>
        <w:rPr>
          <w:rFonts w:hint="eastAsia"/>
          <w:szCs w:val="21"/>
        </w:rPr>
        <w:t>“</w:t>
      </w:r>
      <w:r>
        <w:rPr>
          <w:szCs w:val="21"/>
        </w:rPr>
        <w:t>开标时启封</w:t>
      </w:r>
      <w:r>
        <w:rPr>
          <w:rFonts w:hint="eastAsia"/>
          <w:szCs w:val="21"/>
        </w:rPr>
        <w:t>”</w:t>
      </w:r>
      <w:r>
        <w:rPr>
          <w:szCs w:val="21"/>
        </w:rPr>
        <w:t>字样。</w:t>
      </w:r>
    </w:p>
    <w:p>
      <w:pPr>
        <w:tabs>
          <w:tab w:val="left" w:pos="709"/>
        </w:tabs>
        <w:spacing w:line="360" w:lineRule="auto"/>
        <w:ind w:firstLine="420" w:firstLineChars="200"/>
        <w:contextualSpacing/>
        <w:rPr>
          <w:sz w:val="24"/>
          <w:szCs w:val="24"/>
        </w:rPr>
      </w:pPr>
      <w:r>
        <w:rPr>
          <w:rFonts w:hint="eastAsia"/>
          <w:szCs w:val="21"/>
        </w:rPr>
        <w:t>16.3</w:t>
      </w:r>
      <w:r>
        <w:rPr>
          <w:szCs w:val="21"/>
        </w:rPr>
        <w:t>在投标截止时间之后，投标人不得对其投标文件进行修改。投标截止时间到达后或开标以后投标人要</w:t>
      </w:r>
      <w:r>
        <w:rPr>
          <w:rFonts w:hint="eastAsia"/>
          <w:szCs w:val="21"/>
        </w:rPr>
        <w:t>撤销</w:t>
      </w:r>
      <w:r>
        <w:rPr>
          <w:szCs w:val="21"/>
        </w:rPr>
        <w:t>投标的，按1</w:t>
      </w:r>
      <w:r>
        <w:rPr>
          <w:rFonts w:hint="eastAsia"/>
          <w:szCs w:val="21"/>
        </w:rPr>
        <w:t>6</w:t>
      </w:r>
      <w:r>
        <w:rPr>
          <w:szCs w:val="21"/>
        </w:rPr>
        <w:t>.1条规定办理。</w:t>
      </w:r>
    </w:p>
    <w:p>
      <w:pPr>
        <w:pStyle w:val="3"/>
        <w:spacing w:before="120" w:beforeLines="50" w:after="120" w:afterLines="50"/>
        <w:rPr>
          <w:rFonts w:ascii="Times New Roman"/>
          <w:szCs w:val="28"/>
        </w:rPr>
      </w:pPr>
      <w:bookmarkStart w:id="140" w:name="_Toc425151745"/>
      <w:bookmarkStart w:id="141" w:name="_Toc430790226"/>
      <w:bookmarkStart w:id="142" w:name="_Toc445193547"/>
      <w:bookmarkStart w:id="143" w:name="_Toc496003207"/>
      <w:bookmarkStart w:id="144" w:name="_Toc498429635"/>
      <w:bookmarkStart w:id="145" w:name="_Toc505353786"/>
      <w:bookmarkStart w:id="146" w:name="_Toc28537"/>
      <w:bookmarkStart w:id="147" w:name="_Toc429407705"/>
      <w:bookmarkStart w:id="148" w:name="_Toc425780289"/>
      <w:bookmarkStart w:id="149" w:name="_Toc456853672"/>
      <w:r>
        <w:rPr>
          <w:rFonts w:hint="eastAsia" w:ascii="Times New Roman"/>
          <w:szCs w:val="28"/>
        </w:rPr>
        <w:t>六、</w:t>
      </w:r>
      <w:r>
        <w:rPr>
          <w:rFonts w:ascii="Times New Roman"/>
          <w:szCs w:val="28"/>
        </w:rPr>
        <w:t>开标</w:t>
      </w:r>
      <w:bookmarkEnd w:id="140"/>
      <w:bookmarkEnd w:id="141"/>
      <w:bookmarkEnd w:id="142"/>
      <w:bookmarkEnd w:id="143"/>
      <w:bookmarkEnd w:id="144"/>
      <w:bookmarkEnd w:id="145"/>
      <w:bookmarkEnd w:id="146"/>
      <w:bookmarkEnd w:id="147"/>
      <w:bookmarkEnd w:id="148"/>
      <w:bookmarkEnd w:id="149"/>
    </w:p>
    <w:p>
      <w:pPr>
        <w:spacing w:line="360" w:lineRule="auto"/>
        <w:contextualSpacing/>
        <w:rPr>
          <w:szCs w:val="21"/>
        </w:rPr>
      </w:pPr>
      <w:bookmarkStart w:id="150" w:name="_Toc429407707"/>
      <w:bookmarkStart w:id="151" w:name="_Toc425151747"/>
      <w:bookmarkStart w:id="152" w:name="_Toc498429636"/>
      <w:bookmarkStart w:id="153" w:name="_Toc445193548"/>
      <w:bookmarkStart w:id="154" w:name="_Toc496003208"/>
      <w:bookmarkStart w:id="155" w:name="_Toc456853673"/>
      <w:bookmarkStart w:id="156" w:name="_Toc430790228"/>
      <w:bookmarkStart w:id="157" w:name="_Toc425780291"/>
      <w:r>
        <w:rPr>
          <w:rFonts w:hint="eastAsia"/>
          <w:szCs w:val="21"/>
        </w:rPr>
        <w:t>17、开标</w:t>
      </w:r>
    </w:p>
    <w:p>
      <w:pPr>
        <w:spacing w:line="360" w:lineRule="auto"/>
        <w:ind w:firstLine="420" w:firstLineChars="200"/>
        <w:contextualSpacing/>
        <w:rPr>
          <w:szCs w:val="21"/>
        </w:rPr>
      </w:pPr>
      <w:r>
        <w:rPr>
          <w:rFonts w:hint="eastAsia"/>
          <w:szCs w:val="21"/>
        </w:rPr>
        <w:t>17.1采购代理机构将按照采购公告规定的时间、地点组织开标，开标采取先开资格证明文件和技术商务文件，在资格证明文件和技术商务文件评审结束后开启报价文件并唱标的顺序进行。</w:t>
      </w:r>
    </w:p>
    <w:p>
      <w:pPr>
        <w:spacing w:line="360" w:lineRule="auto"/>
        <w:ind w:firstLine="420" w:firstLineChars="200"/>
        <w:contextualSpacing/>
        <w:rPr>
          <w:szCs w:val="21"/>
          <w:highlight w:val="none"/>
        </w:rPr>
      </w:pPr>
      <w:r>
        <w:rPr>
          <w:rFonts w:hint="eastAsia"/>
          <w:szCs w:val="21"/>
          <w:highlight w:val="none"/>
        </w:rPr>
        <w:t>17.2投标人应当在采购文件要求提交投标文件的截止时间前，将投标文件密封送达投标地点，代理机构将在规定的时间和地点进行开标。投标人的法定代表人或其授权代表应确保手机畅通并及时关注加入的开标微信群，采购代理机构收到投标文件后，应当记载投标文件送达时间和密封情况，签收保存。投标人的法定代表人或其授权代表未按时签到的，视同放弃开标监督权利、认可开标结果。</w:t>
      </w:r>
    </w:p>
    <w:p>
      <w:pPr>
        <w:spacing w:line="360" w:lineRule="auto"/>
        <w:ind w:firstLine="420" w:firstLineChars="200"/>
        <w:contextualSpacing/>
        <w:rPr>
          <w:szCs w:val="21"/>
          <w:highlight w:val="none"/>
        </w:rPr>
      </w:pPr>
      <w:r>
        <w:rPr>
          <w:rFonts w:hint="eastAsia"/>
          <w:szCs w:val="21"/>
          <w:highlight w:val="none"/>
        </w:rPr>
        <w:t>17.3开标时，按投标人提交投标文件的登记顺序当众拆封、清点投标文件（包括正本、副本）数量，将其中密封的报价文件集中等候拆封，将拆封后的资格证明文件、技术商务文件由采购代理机构送至评审地点。</w:t>
      </w:r>
    </w:p>
    <w:p>
      <w:pPr>
        <w:spacing w:line="360" w:lineRule="auto"/>
        <w:ind w:firstLine="420" w:firstLineChars="200"/>
        <w:contextualSpacing/>
        <w:rPr>
          <w:szCs w:val="21"/>
          <w:highlight w:val="none"/>
        </w:rPr>
      </w:pPr>
      <w:r>
        <w:rPr>
          <w:rFonts w:hint="eastAsia"/>
          <w:szCs w:val="21"/>
          <w:highlight w:val="none"/>
        </w:rPr>
        <w:t>17.4对不符合装订要求的投标文件，由采购代理机构退还投标人法定代表人或其授权代表。投标人提交的报价文件未单独密封的，如开标时发生报价泄露，由投标人自行承担相关责任。</w:t>
      </w:r>
    </w:p>
    <w:p>
      <w:pPr>
        <w:spacing w:line="360" w:lineRule="auto"/>
        <w:ind w:firstLine="420" w:firstLineChars="200"/>
        <w:contextualSpacing/>
        <w:rPr>
          <w:szCs w:val="21"/>
          <w:highlight w:val="none"/>
        </w:rPr>
      </w:pPr>
      <w:r>
        <w:rPr>
          <w:rFonts w:hint="eastAsia"/>
          <w:szCs w:val="21"/>
          <w:highlight w:val="none"/>
        </w:rPr>
        <w:t>17.5资格审查、技术商务评审结束后，采购代理机构宣布技术商务评审无效投标人名单及理由；公布经技术商务评审符合采购需求的投标人名单及其技术商务得分。</w:t>
      </w:r>
    </w:p>
    <w:p>
      <w:pPr>
        <w:spacing w:line="360" w:lineRule="auto"/>
        <w:ind w:firstLine="420" w:firstLineChars="200"/>
        <w:contextualSpacing/>
        <w:rPr>
          <w:szCs w:val="21"/>
        </w:rPr>
      </w:pPr>
      <w:r>
        <w:rPr>
          <w:rFonts w:hint="eastAsia"/>
          <w:szCs w:val="21"/>
        </w:rPr>
        <w:t>17.6采购代理机构拆封投标人报价文件，宣读《投标（开标）一览表》有关内容，同时制作开标记录表。唱标结束后，采购代理机构将报价文件及开标记录表送至评审地点，由评标委员会对报价的合理性、准确性、有效性等进行审查核实。</w:t>
      </w:r>
    </w:p>
    <w:p>
      <w:pPr>
        <w:spacing w:line="360" w:lineRule="auto"/>
        <w:ind w:firstLine="420" w:firstLineChars="200"/>
        <w:contextualSpacing/>
        <w:rPr>
          <w:sz w:val="24"/>
          <w:szCs w:val="24"/>
        </w:rPr>
      </w:pPr>
      <w:r>
        <w:rPr>
          <w:rFonts w:hint="eastAsia"/>
          <w:szCs w:val="21"/>
        </w:rPr>
        <w:t>17.7评审结束后，采购代理机构公布中标候选人名单，及采购人最终确定中标人名单的时间和公告方式等。</w:t>
      </w:r>
    </w:p>
    <w:p>
      <w:pPr>
        <w:pStyle w:val="3"/>
        <w:spacing w:before="120" w:beforeLines="50" w:after="120" w:afterLines="50"/>
        <w:rPr>
          <w:rFonts w:ascii="Times New Roman"/>
          <w:szCs w:val="28"/>
        </w:rPr>
      </w:pPr>
      <w:bookmarkStart w:id="158" w:name="_Toc505353787"/>
      <w:bookmarkStart w:id="159" w:name="_Toc22431"/>
      <w:r>
        <w:rPr>
          <w:rFonts w:hint="eastAsia" w:ascii="Times New Roman"/>
          <w:szCs w:val="28"/>
        </w:rPr>
        <w:t>七、</w:t>
      </w:r>
      <w:r>
        <w:rPr>
          <w:rFonts w:ascii="Times New Roman"/>
          <w:szCs w:val="28"/>
        </w:rPr>
        <w:t>评标和定标</w:t>
      </w:r>
      <w:bookmarkEnd w:id="150"/>
      <w:bookmarkEnd w:id="151"/>
      <w:bookmarkEnd w:id="152"/>
      <w:bookmarkEnd w:id="153"/>
      <w:bookmarkEnd w:id="154"/>
      <w:bookmarkEnd w:id="155"/>
      <w:bookmarkEnd w:id="156"/>
      <w:bookmarkEnd w:id="157"/>
      <w:bookmarkEnd w:id="158"/>
      <w:bookmarkEnd w:id="159"/>
    </w:p>
    <w:p>
      <w:pPr>
        <w:spacing w:line="360" w:lineRule="auto"/>
        <w:contextualSpacing/>
        <w:rPr>
          <w:szCs w:val="21"/>
        </w:rPr>
      </w:pPr>
      <w:bookmarkStart w:id="160" w:name="_Toc425151748"/>
      <w:bookmarkStart w:id="161" w:name="_Toc430790229"/>
      <w:bookmarkStart w:id="162" w:name="_Toc425780292"/>
      <w:bookmarkStart w:id="163" w:name="_Toc429407708"/>
      <w:r>
        <w:rPr>
          <w:rFonts w:hint="eastAsia"/>
          <w:szCs w:val="21"/>
        </w:rPr>
        <w:t>18、</w:t>
      </w:r>
      <w:r>
        <w:rPr>
          <w:szCs w:val="21"/>
        </w:rPr>
        <w:t>评标委员会</w:t>
      </w:r>
      <w:bookmarkEnd w:id="160"/>
      <w:bookmarkEnd w:id="161"/>
      <w:bookmarkEnd w:id="162"/>
      <w:bookmarkEnd w:id="163"/>
    </w:p>
    <w:p>
      <w:pPr>
        <w:spacing w:line="360" w:lineRule="auto"/>
        <w:ind w:firstLine="420" w:firstLineChars="200"/>
        <w:contextualSpacing/>
        <w:rPr>
          <w:szCs w:val="21"/>
        </w:rPr>
      </w:pPr>
      <w:r>
        <w:rPr>
          <w:rFonts w:hint="eastAsia"/>
          <w:szCs w:val="21"/>
        </w:rPr>
        <w:t>18.1</w:t>
      </w:r>
      <w:r>
        <w:rPr>
          <w:szCs w:val="21"/>
        </w:rPr>
        <w:t>受采购人的委托，采购代理机构根据《</w:t>
      </w:r>
      <w:r>
        <w:rPr>
          <w:rFonts w:hint="eastAsia"/>
          <w:szCs w:val="21"/>
        </w:rPr>
        <w:t>中华人民共和国</w:t>
      </w:r>
      <w:r>
        <w:rPr>
          <w:szCs w:val="21"/>
        </w:rPr>
        <w:t>政府采购法》、财政部第8</w:t>
      </w:r>
      <w:r>
        <w:rPr>
          <w:rFonts w:hint="eastAsia"/>
          <w:szCs w:val="21"/>
        </w:rPr>
        <w:t>7</w:t>
      </w:r>
      <w:r>
        <w:rPr>
          <w:szCs w:val="21"/>
        </w:rPr>
        <w:t>号令的规定和有关的</w:t>
      </w:r>
      <w:r>
        <w:rPr>
          <w:rFonts w:hint="eastAsia"/>
          <w:szCs w:val="21"/>
        </w:rPr>
        <w:t>法律</w:t>
      </w:r>
      <w:r>
        <w:rPr>
          <w:szCs w:val="21"/>
        </w:rPr>
        <w:t>法规组建评标委员会，评标委员会负责评标工作。评标委员会由</w:t>
      </w:r>
      <w:r>
        <w:rPr>
          <w:rFonts w:hint="eastAsia"/>
          <w:szCs w:val="21"/>
        </w:rPr>
        <w:t>采购人</w:t>
      </w:r>
      <w:r>
        <w:rPr>
          <w:szCs w:val="21"/>
        </w:rPr>
        <w:t>代表和</w:t>
      </w:r>
      <w:r>
        <w:rPr>
          <w:rFonts w:hint="eastAsia"/>
          <w:szCs w:val="21"/>
        </w:rPr>
        <w:t>评审</w:t>
      </w:r>
      <w:r>
        <w:rPr>
          <w:szCs w:val="21"/>
        </w:rPr>
        <w:t>专家组成。</w:t>
      </w:r>
      <w:r>
        <w:rPr>
          <w:rFonts w:hint="eastAsia"/>
          <w:szCs w:val="21"/>
        </w:rPr>
        <w:t>评审</w:t>
      </w:r>
      <w:r>
        <w:rPr>
          <w:szCs w:val="21"/>
        </w:rPr>
        <w:t>专家将在开标日之前在管理部门的</w:t>
      </w:r>
      <w:r>
        <w:rPr>
          <w:rFonts w:hint="eastAsia"/>
          <w:szCs w:val="21"/>
        </w:rPr>
        <w:t>评审</w:t>
      </w:r>
      <w:r>
        <w:rPr>
          <w:szCs w:val="21"/>
        </w:rPr>
        <w:t>专家库中随机抽取。</w:t>
      </w:r>
      <w:r>
        <w:rPr>
          <w:rFonts w:hint="eastAsia"/>
          <w:szCs w:val="21"/>
        </w:rPr>
        <w:t>评标委员会成员名单在评标结果公告前应当保密。</w:t>
      </w:r>
    </w:p>
    <w:p>
      <w:pPr>
        <w:spacing w:line="360" w:lineRule="auto"/>
        <w:ind w:firstLine="420" w:firstLineChars="200"/>
        <w:contextualSpacing/>
        <w:rPr>
          <w:szCs w:val="21"/>
        </w:rPr>
      </w:pPr>
      <w:r>
        <w:rPr>
          <w:rFonts w:hint="eastAsia"/>
          <w:szCs w:val="21"/>
        </w:rPr>
        <w:t>18.2</w:t>
      </w:r>
      <w:r>
        <w:rPr>
          <w:szCs w:val="21"/>
        </w:rPr>
        <w:t>评标委员会将遵循公平、公正、科学、廉洁的原则和规定的程序进行评标，并且只依据投标文件本身对采购文件的响应情况进行评审，不考虑投标人在开标后提交的任何的补充声明、修正方案。</w:t>
      </w:r>
    </w:p>
    <w:p>
      <w:pPr>
        <w:spacing w:line="360" w:lineRule="auto"/>
        <w:ind w:firstLine="420" w:firstLineChars="200"/>
        <w:contextualSpacing/>
        <w:rPr>
          <w:szCs w:val="21"/>
        </w:rPr>
      </w:pPr>
      <w:r>
        <w:rPr>
          <w:rFonts w:hint="eastAsia"/>
          <w:szCs w:val="21"/>
        </w:rPr>
        <w:t>18.3</w:t>
      </w:r>
      <w:r>
        <w:rPr>
          <w:szCs w:val="21"/>
        </w:rPr>
        <w:t>评标委员会将核对投标价格和</w:t>
      </w:r>
      <w:r>
        <w:rPr>
          <w:rFonts w:hint="eastAsia"/>
          <w:szCs w:val="21"/>
        </w:rPr>
        <w:t>服务内容</w:t>
      </w:r>
      <w:r>
        <w:rPr>
          <w:szCs w:val="21"/>
        </w:rPr>
        <w:t>，对发现的价格计算错误按下述原则处理：</w:t>
      </w:r>
    </w:p>
    <w:p>
      <w:pPr>
        <w:spacing w:line="360" w:lineRule="auto"/>
        <w:ind w:firstLine="420" w:firstLineChars="200"/>
        <w:contextualSpacing/>
        <w:rPr>
          <w:szCs w:val="21"/>
        </w:rPr>
      </w:pPr>
      <w:r>
        <w:rPr>
          <w:rFonts w:hint="eastAsia"/>
          <w:szCs w:val="21"/>
        </w:rPr>
        <w:t>（1）投标文件中开标一览表内容与投标文件中相应内容不一致的，以开标一览表为准；</w:t>
      </w:r>
    </w:p>
    <w:p>
      <w:pPr>
        <w:spacing w:line="360" w:lineRule="auto"/>
        <w:ind w:firstLine="420" w:firstLineChars="200"/>
        <w:contextualSpacing/>
        <w:rPr>
          <w:szCs w:val="21"/>
        </w:rPr>
      </w:pPr>
      <w:r>
        <w:rPr>
          <w:rFonts w:hint="eastAsia"/>
          <w:szCs w:val="21"/>
        </w:rPr>
        <w:t>（2）投标文件的大写金额和小写金额不一致的，以大写金额为准；</w:t>
      </w:r>
    </w:p>
    <w:p>
      <w:pPr>
        <w:spacing w:line="360" w:lineRule="auto"/>
        <w:ind w:firstLine="420" w:firstLineChars="200"/>
        <w:contextualSpacing/>
        <w:rPr>
          <w:szCs w:val="21"/>
        </w:rPr>
      </w:pPr>
      <w:r>
        <w:rPr>
          <w:rFonts w:hint="eastAsia"/>
          <w:szCs w:val="21"/>
        </w:rPr>
        <w:t>（3）单价金额小数点或者百分比有明显错位的，以开标一览表的总价为准，并修改单价；</w:t>
      </w:r>
    </w:p>
    <w:p>
      <w:pPr>
        <w:spacing w:line="360" w:lineRule="auto"/>
        <w:ind w:firstLine="420" w:firstLineChars="200"/>
        <w:contextualSpacing/>
        <w:rPr>
          <w:szCs w:val="21"/>
        </w:rPr>
      </w:pPr>
      <w:r>
        <w:rPr>
          <w:rFonts w:hint="eastAsia"/>
          <w:szCs w:val="21"/>
        </w:rPr>
        <w:t>（4）总价金额与按单价汇总金额不一致，以单价金额计算结果为准。</w:t>
      </w:r>
    </w:p>
    <w:p>
      <w:pPr>
        <w:spacing w:line="360" w:lineRule="auto"/>
        <w:ind w:firstLine="420" w:firstLineChars="200"/>
        <w:contextualSpacing/>
        <w:rPr>
          <w:rFonts w:hint="eastAsia"/>
          <w:szCs w:val="21"/>
        </w:rPr>
      </w:pPr>
      <w:r>
        <w:rPr>
          <w:rFonts w:hint="eastAsia"/>
          <w:szCs w:val="21"/>
        </w:rPr>
        <w:t>同时出现两种以上不一致的，按照前款规定的顺序修正。修正后的报价按照本须知</w:t>
      </w:r>
      <w:r>
        <w:rPr>
          <w:szCs w:val="21"/>
        </w:rPr>
        <w:t>第20</w:t>
      </w:r>
      <w:r>
        <w:rPr>
          <w:rFonts w:hint="eastAsia"/>
          <w:szCs w:val="21"/>
        </w:rPr>
        <w:t>条的规定经投标人确认后产生约束力，投标人不确认的，其投标无效。</w:t>
      </w:r>
    </w:p>
    <w:p>
      <w:pPr>
        <w:spacing w:line="360" w:lineRule="auto"/>
        <w:ind w:firstLine="420" w:firstLineChars="200"/>
        <w:contextualSpacing/>
        <w:rPr>
          <w:szCs w:val="21"/>
        </w:rPr>
      </w:pPr>
      <w:r>
        <w:rPr>
          <w:rFonts w:hint="eastAsia"/>
          <w:szCs w:val="21"/>
        </w:rPr>
        <w:t>18.4</w:t>
      </w:r>
      <w:r>
        <w:rPr>
          <w:szCs w:val="21"/>
        </w:rPr>
        <w:t>评标委员会根据采购文件的《评标办法》及在《投标资料表》和《招标内容和要求》中所列的具体标准，对投标文件进行评审和比较。</w:t>
      </w:r>
    </w:p>
    <w:p>
      <w:pPr>
        <w:spacing w:line="360" w:lineRule="auto"/>
        <w:ind w:firstLine="420" w:firstLineChars="200"/>
        <w:contextualSpacing/>
        <w:rPr>
          <w:szCs w:val="21"/>
        </w:rPr>
      </w:pPr>
      <w:r>
        <w:rPr>
          <w:rFonts w:hint="eastAsia"/>
          <w:szCs w:val="21"/>
        </w:rPr>
        <w:t>18.5</w:t>
      </w:r>
      <w:r>
        <w:rPr>
          <w:szCs w:val="21"/>
        </w:rPr>
        <w:t>在评审</w:t>
      </w:r>
      <w:r>
        <w:rPr>
          <w:rFonts w:hint="eastAsia"/>
          <w:szCs w:val="21"/>
        </w:rPr>
        <w:t>过程</w:t>
      </w:r>
      <w:r>
        <w:rPr>
          <w:szCs w:val="21"/>
        </w:rPr>
        <w:t>中若发现投标文件的正本与副本不一致</w:t>
      </w:r>
      <w:r>
        <w:rPr>
          <w:rFonts w:hint="eastAsia"/>
          <w:szCs w:val="21"/>
        </w:rPr>
        <w:t>，</w:t>
      </w:r>
      <w:r>
        <w:rPr>
          <w:szCs w:val="21"/>
        </w:rPr>
        <w:t>则以正本为准</w:t>
      </w:r>
      <w:r>
        <w:rPr>
          <w:rFonts w:hint="eastAsia"/>
          <w:szCs w:val="21"/>
        </w:rPr>
        <w:t>。</w:t>
      </w:r>
    </w:p>
    <w:p>
      <w:pPr>
        <w:spacing w:line="360" w:lineRule="auto"/>
        <w:contextualSpacing/>
        <w:rPr>
          <w:szCs w:val="21"/>
        </w:rPr>
      </w:pPr>
      <w:bookmarkStart w:id="164" w:name="_Toc425780293"/>
      <w:bookmarkStart w:id="165" w:name="_Toc429407709"/>
      <w:bookmarkStart w:id="166" w:name="_Toc430790230"/>
      <w:bookmarkStart w:id="167" w:name="_Toc425151749"/>
      <w:r>
        <w:rPr>
          <w:rFonts w:hint="eastAsia"/>
          <w:szCs w:val="21"/>
        </w:rPr>
        <w:t>19、</w:t>
      </w:r>
      <w:bookmarkEnd w:id="164"/>
      <w:bookmarkEnd w:id="165"/>
      <w:bookmarkEnd w:id="166"/>
      <w:bookmarkEnd w:id="167"/>
      <w:bookmarkStart w:id="168" w:name="_Toc425780294"/>
      <w:bookmarkStart w:id="169" w:name="_Toc425151750"/>
      <w:bookmarkStart w:id="170" w:name="_Toc429407710"/>
      <w:bookmarkStart w:id="171" w:name="_Toc430790231"/>
      <w:r>
        <w:rPr>
          <w:rFonts w:hint="eastAsia"/>
          <w:szCs w:val="21"/>
        </w:rPr>
        <w:t>澄清问题的形式</w:t>
      </w:r>
    </w:p>
    <w:p>
      <w:pPr>
        <w:spacing w:line="360" w:lineRule="auto"/>
        <w:ind w:firstLine="420" w:firstLineChars="200"/>
        <w:contextualSpacing/>
        <w:rPr>
          <w:rFonts w:hint="eastAsia"/>
          <w:szCs w:val="21"/>
        </w:rPr>
      </w:pPr>
      <w:r>
        <w:rPr>
          <w:rFonts w:hint="eastAsia"/>
          <w:szCs w:val="21"/>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contextualSpacing/>
        <w:rPr>
          <w:rFonts w:hint="eastAsia"/>
          <w:szCs w:val="21"/>
        </w:rPr>
      </w:pPr>
      <w:r>
        <w:rPr>
          <w:rFonts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contextualSpacing/>
        <w:rPr>
          <w:szCs w:val="21"/>
        </w:rPr>
      </w:pPr>
      <w:r>
        <w:rPr>
          <w:szCs w:val="21"/>
        </w:rPr>
        <w:t>2</w:t>
      </w:r>
      <w:r>
        <w:rPr>
          <w:rFonts w:hint="eastAsia"/>
          <w:szCs w:val="21"/>
        </w:rPr>
        <w:t>0、</w:t>
      </w:r>
      <w:r>
        <w:rPr>
          <w:szCs w:val="21"/>
        </w:rPr>
        <w:t>评标办法</w:t>
      </w:r>
      <w:bookmarkEnd w:id="168"/>
      <w:bookmarkEnd w:id="169"/>
      <w:bookmarkEnd w:id="170"/>
      <w:bookmarkEnd w:id="171"/>
    </w:p>
    <w:p>
      <w:pPr>
        <w:spacing w:line="360" w:lineRule="auto"/>
        <w:ind w:firstLine="420" w:firstLineChars="200"/>
        <w:contextualSpacing/>
        <w:rPr>
          <w:szCs w:val="21"/>
        </w:rPr>
      </w:pPr>
      <w:r>
        <w:rPr>
          <w:rFonts w:hint="eastAsia"/>
          <w:szCs w:val="21"/>
        </w:rPr>
        <w:t>20.1本项目</w:t>
      </w:r>
      <w:r>
        <w:rPr>
          <w:szCs w:val="21"/>
        </w:rPr>
        <w:t>采用综合评分法。本次招标采用的评标方法</w:t>
      </w:r>
      <w:r>
        <w:rPr>
          <w:rFonts w:hint="eastAsia"/>
          <w:szCs w:val="21"/>
        </w:rPr>
        <w:t>具体说明</w:t>
      </w:r>
      <w:r>
        <w:rPr>
          <w:szCs w:val="21"/>
        </w:rPr>
        <w:t>载明在采购文件</w:t>
      </w:r>
      <w:r>
        <w:rPr>
          <w:rFonts w:hint="eastAsia"/>
          <w:szCs w:val="21"/>
        </w:rPr>
        <w:t>“</w:t>
      </w:r>
      <w:r>
        <w:rPr>
          <w:szCs w:val="21"/>
        </w:rPr>
        <w:t>评标</w:t>
      </w:r>
      <w:r>
        <w:rPr>
          <w:rFonts w:hint="eastAsia"/>
          <w:szCs w:val="21"/>
        </w:rPr>
        <w:t>办法”</w:t>
      </w:r>
      <w:r>
        <w:rPr>
          <w:szCs w:val="21"/>
        </w:rPr>
        <w:t>部分中。</w:t>
      </w:r>
    </w:p>
    <w:p>
      <w:pPr>
        <w:spacing w:line="360" w:lineRule="auto"/>
        <w:ind w:firstLine="420" w:firstLineChars="200"/>
        <w:contextualSpacing/>
        <w:rPr>
          <w:szCs w:val="21"/>
        </w:rPr>
      </w:pPr>
      <w:r>
        <w:rPr>
          <w:rFonts w:hint="eastAsia"/>
          <w:szCs w:val="21"/>
        </w:rPr>
        <w:t>20.2</w:t>
      </w:r>
      <w:r>
        <w:rPr>
          <w:szCs w:val="21"/>
        </w:rPr>
        <w:t>综合评分法：</w:t>
      </w:r>
    </w:p>
    <w:p>
      <w:pPr>
        <w:spacing w:line="360" w:lineRule="auto"/>
        <w:ind w:firstLine="420" w:firstLineChars="200"/>
        <w:contextualSpacing/>
        <w:rPr>
          <w:rFonts w:hint="eastAsia"/>
          <w:szCs w:val="21"/>
        </w:rPr>
      </w:pPr>
      <w:r>
        <w:rPr>
          <w:rFonts w:hint="eastAsia"/>
          <w:szCs w:val="21"/>
        </w:rPr>
        <w:t>投标文件满足采购文件全部实质性要求，且按照评审因素的量化指标评审得分最高的投标人为中标候选人的评标方法。</w:t>
      </w:r>
    </w:p>
    <w:p>
      <w:pPr>
        <w:spacing w:line="360" w:lineRule="auto"/>
        <w:contextualSpacing/>
        <w:rPr>
          <w:szCs w:val="21"/>
        </w:rPr>
      </w:pPr>
      <w:bookmarkStart w:id="172" w:name="_Toc422996749"/>
      <w:bookmarkEnd w:id="172"/>
      <w:bookmarkStart w:id="173" w:name="_Toc422996818"/>
      <w:bookmarkEnd w:id="173"/>
      <w:bookmarkStart w:id="174" w:name="_Toc422996750"/>
      <w:bookmarkEnd w:id="174"/>
      <w:bookmarkStart w:id="175" w:name="_Toc422996819"/>
      <w:bookmarkEnd w:id="175"/>
      <w:bookmarkStart w:id="176" w:name="_Toc425780295"/>
      <w:bookmarkStart w:id="177" w:name="_Toc429407711"/>
      <w:bookmarkStart w:id="178" w:name="_Toc430790232"/>
      <w:bookmarkStart w:id="179" w:name="_Toc425151751"/>
      <w:r>
        <w:rPr>
          <w:rFonts w:hint="eastAsia"/>
          <w:szCs w:val="21"/>
        </w:rPr>
        <w:t>21、</w:t>
      </w:r>
      <w:r>
        <w:rPr>
          <w:szCs w:val="21"/>
        </w:rPr>
        <w:t>评标程序和原则</w:t>
      </w:r>
      <w:bookmarkEnd w:id="176"/>
      <w:bookmarkEnd w:id="177"/>
      <w:bookmarkEnd w:id="178"/>
      <w:bookmarkEnd w:id="179"/>
    </w:p>
    <w:p>
      <w:pPr>
        <w:spacing w:line="360" w:lineRule="auto"/>
        <w:ind w:firstLine="420" w:firstLineChars="200"/>
        <w:contextualSpacing/>
        <w:rPr>
          <w:szCs w:val="21"/>
        </w:rPr>
      </w:pPr>
      <w:r>
        <w:rPr>
          <w:rFonts w:hint="eastAsia"/>
          <w:szCs w:val="21"/>
        </w:rPr>
        <w:t>21.1</w:t>
      </w:r>
      <w:r>
        <w:rPr>
          <w:szCs w:val="21"/>
        </w:rPr>
        <w:t>评标程序：遵循初步审查、澄清有关问题、比较与评价、推荐中标候选人的程序依次进行。</w:t>
      </w:r>
    </w:p>
    <w:p>
      <w:pPr>
        <w:spacing w:line="360" w:lineRule="auto"/>
        <w:ind w:firstLine="420" w:firstLineChars="200"/>
        <w:contextualSpacing/>
        <w:rPr>
          <w:szCs w:val="21"/>
        </w:rPr>
      </w:pPr>
      <w:r>
        <w:rPr>
          <w:rFonts w:hint="eastAsia"/>
          <w:szCs w:val="21"/>
        </w:rPr>
        <w:t>21.2</w:t>
      </w:r>
      <w:r>
        <w:rPr>
          <w:szCs w:val="21"/>
        </w:rPr>
        <w:t>初步审查</w:t>
      </w:r>
      <w:r>
        <w:rPr>
          <w:rFonts w:hint="eastAsia"/>
          <w:szCs w:val="21"/>
        </w:rPr>
        <w:t>：</w:t>
      </w:r>
      <w:r>
        <w:rPr>
          <w:szCs w:val="21"/>
        </w:rPr>
        <w:t>包含资格性审查和符合性审查。初步审查不合格者不进入澄清有关问题及后续的评标程序。</w:t>
      </w:r>
    </w:p>
    <w:p>
      <w:pPr>
        <w:spacing w:line="360" w:lineRule="auto"/>
        <w:ind w:firstLine="315" w:firstLineChars="150"/>
        <w:contextualSpacing/>
        <w:rPr>
          <w:szCs w:val="21"/>
        </w:rPr>
      </w:pPr>
      <w:r>
        <w:rPr>
          <w:rFonts w:hint="eastAsia"/>
          <w:szCs w:val="21"/>
        </w:rPr>
        <w:t>（1</w:t>
      </w:r>
      <w:r>
        <w:rPr>
          <w:szCs w:val="21"/>
        </w:rPr>
        <w:t>）资格性审查：</w:t>
      </w:r>
    </w:p>
    <w:p>
      <w:pPr>
        <w:spacing w:line="360" w:lineRule="auto"/>
        <w:ind w:firstLine="420" w:firstLineChars="200"/>
        <w:contextualSpacing/>
        <w:rPr>
          <w:szCs w:val="21"/>
        </w:rPr>
      </w:pPr>
      <w:r>
        <w:rPr>
          <w:szCs w:val="21"/>
        </w:rPr>
        <w:t>依据法律法规和采购文件的规定，</w:t>
      </w:r>
      <w:r>
        <w:rPr>
          <w:rFonts w:hint="eastAsia"/>
          <w:szCs w:val="21"/>
        </w:rPr>
        <w:t>采购人或采购代理机构</w:t>
      </w:r>
      <w:r>
        <w:rPr>
          <w:szCs w:val="21"/>
        </w:rPr>
        <w:t>对其资格证明文件齐全性和有效性等方面进行审查，以确定投标人是否具备投标资格。</w:t>
      </w:r>
    </w:p>
    <w:p>
      <w:pPr>
        <w:spacing w:line="360" w:lineRule="auto"/>
        <w:ind w:firstLine="420" w:firstLineChars="200"/>
        <w:contextualSpacing/>
        <w:rPr>
          <w:szCs w:val="21"/>
        </w:rPr>
      </w:pPr>
      <w:r>
        <w:rPr>
          <w:rFonts w:hint="eastAsia"/>
          <w:szCs w:val="21"/>
        </w:rPr>
        <w:t>（2）</w:t>
      </w:r>
      <w:r>
        <w:rPr>
          <w:szCs w:val="21"/>
        </w:rPr>
        <w:t>符合性检查：</w:t>
      </w:r>
    </w:p>
    <w:p>
      <w:pPr>
        <w:spacing w:line="360" w:lineRule="auto"/>
        <w:ind w:firstLine="420" w:firstLineChars="200"/>
        <w:contextualSpacing/>
        <w:rPr>
          <w:szCs w:val="21"/>
        </w:rPr>
      </w:pPr>
      <w:r>
        <w:rPr>
          <w:szCs w:val="21"/>
        </w:rPr>
        <w:t>依据采购文件的规定，</w:t>
      </w:r>
      <w:r>
        <w:rPr>
          <w:rFonts w:hint="eastAsia"/>
          <w:szCs w:val="21"/>
        </w:rPr>
        <w:t>评标委员会</w:t>
      </w:r>
      <w:r>
        <w:rPr>
          <w:szCs w:val="21"/>
        </w:rPr>
        <w:t>从投标文件的有效性、完整性和对采购文件的响应程度进行审查，以确定是否对采购文件的要求作出实质性响应。</w:t>
      </w:r>
    </w:p>
    <w:p>
      <w:pPr>
        <w:spacing w:line="360" w:lineRule="auto"/>
        <w:ind w:firstLine="420" w:firstLineChars="200"/>
        <w:contextualSpacing/>
        <w:rPr>
          <w:szCs w:val="21"/>
        </w:rPr>
      </w:pPr>
      <w:r>
        <w:rPr>
          <w:rFonts w:hint="eastAsia"/>
          <w:szCs w:val="21"/>
        </w:rPr>
        <w:t>21.3</w:t>
      </w:r>
      <w:r>
        <w:rPr>
          <w:szCs w:val="21"/>
        </w:rPr>
        <w:t>澄清有关问题：按第</w:t>
      </w:r>
      <w:r>
        <w:rPr>
          <w:rFonts w:hint="eastAsia"/>
          <w:szCs w:val="21"/>
        </w:rPr>
        <w:t>18</w:t>
      </w:r>
      <w:r>
        <w:rPr>
          <w:szCs w:val="21"/>
        </w:rPr>
        <w:t>条规定进行。</w:t>
      </w:r>
    </w:p>
    <w:p>
      <w:pPr>
        <w:spacing w:line="360" w:lineRule="auto"/>
        <w:ind w:firstLine="420" w:firstLineChars="200"/>
        <w:contextualSpacing/>
        <w:rPr>
          <w:szCs w:val="21"/>
        </w:rPr>
      </w:pPr>
      <w:r>
        <w:rPr>
          <w:rFonts w:hint="eastAsia"/>
          <w:szCs w:val="21"/>
        </w:rPr>
        <w:t>21.4</w:t>
      </w:r>
      <w:r>
        <w:rPr>
          <w:szCs w:val="21"/>
        </w:rPr>
        <w:t>比较与评价：</w:t>
      </w:r>
    </w:p>
    <w:p>
      <w:pPr>
        <w:spacing w:line="360" w:lineRule="auto"/>
        <w:ind w:firstLine="420" w:firstLineChars="200"/>
        <w:contextualSpacing/>
        <w:rPr>
          <w:szCs w:val="21"/>
        </w:rPr>
      </w:pPr>
      <w:r>
        <w:rPr>
          <w:rFonts w:hint="eastAsia"/>
          <w:szCs w:val="21"/>
        </w:rPr>
        <w:t>21.4.1</w:t>
      </w:r>
      <w:r>
        <w:rPr>
          <w:szCs w:val="21"/>
        </w:rPr>
        <w:t>技术</w:t>
      </w:r>
      <w:r>
        <w:rPr>
          <w:rFonts w:hint="eastAsia"/>
          <w:szCs w:val="21"/>
        </w:rPr>
        <w:t>商务</w:t>
      </w:r>
      <w:r>
        <w:rPr>
          <w:szCs w:val="21"/>
        </w:rPr>
        <w:t>评价：按照采购文件的要求和</w:t>
      </w:r>
      <w:r>
        <w:rPr>
          <w:rFonts w:hint="eastAsia"/>
          <w:szCs w:val="21"/>
        </w:rPr>
        <w:t>《</w:t>
      </w:r>
      <w:r>
        <w:rPr>
          <w:szCs w:val="21"/>
        </w:rPr>
        <w:t>评标</w:t>
      </w:r>
      <w:r>
        <w:rPr>
          <w:rFonts w:hint="eastAsia"/>
          <w:szCs w:val="21"/>
        </w:rPr>
        <w:t>标准》</w:t>
      </w:r>
      <w:r>
        <w:rPr>
          <w:szCs w:val="21"/>
        </w:rPr>
        <w:t>对照投标文件的响应进行</w:t>
      </w:r>
      <w:r>
        <w:rPr>
          <w:rFonts w:hint="eastAsia"/>
          <w:szCs w:val="21"/>
        </w:rPr>
        <w:t>技术商务</w:t>
      </w:r>
      <w:r>
        <w:rPr>
          <w:szCs w:val="21"/>
        </w:rPr>
        <w:t>评价，评定其偏差程度，并计算其相应的</w:t>
      </w:r>
      <w:r>
        <w:rPr>
          <w:rFonts w:hint="eastAsia"/>
          <w:szCs w:val="21"/>
        </w:rPr>
        <w:t>技术商务评分</w:t>
      </w:r>
      <w:r>
        <w:rPr>
          <w:szCs w:val="21"/>
        </w:rPr>
        <w:t>分值。</w:t>
      </w:r>
    </w:p>
    <w:p>
      <w:pPr>
        <w:spacing w:line="360" w:lineRule="auto"/>
        <w:ind w:firstLine="420" w:firstLineChars="200"/>
        <w:contextualSpacing/>
        <w:rPr>
          <w:rFonts w:hint="eastAsia"/>
          <w:szCs w:val="21"/>
        </w:rPr>
      </w:pPr>
      <w:r>
        <w:rPr>
          <w:rFonts w:hint="eastAsia"/>
          <w:szCs w:val="21"/>
        </w:rPr>
        <w:t>21.4.2</w:t>
      </w:r>
      <w:r>
        <w:rPr>
          <w:szCs w:val="21"/>
        </w:rPr>
        <w:t>综合评价：对经过技术</w:t>
      </w:r>
      <w:r>
        <w:rPr>
          <w:rFonts w:hint="eastAsia"/>
          <w:szCs w:val="21"/>
        </w:rPr>
        <w:t>商务</w:t>
      </w:r>
      <w:r>
        <w:rPr>
          <w:szCs w:val="21"/>
        </w:rPr>
        <w:t>评价的投标，按</w:t>
      </w:r>
      <w:r>
        <w:rPr>
          <w:rFonts w:hint="eastAsia"/>
          <w:szCs w:val="21"/>
        </w:rPr>
        <w:t>《</w:t>
      </w:r>
      <w:r>
        <w:rPr>
          <w:szCs w:val="21"/>
        </w:rPr>
        <w:t>评标标准</w:t>
      </w:r>
      <w:r>
        <w:rPr>
          <w:rFonts w:hint="eastAsia"/>
          <w:szCs w:val="21"/>
        </w:rPr>
        <w:t>》</w:t>
      </w:r>
      <w:r>
        <w:rPr>
          <w:szCs w:val="21"/>
        </w:rPr>
        <w:t>规定的评价办法进行综合评价，并按以下原则进行评审计算：</w:t>
      </w:r>
    </w:p>
    <w:p>
      <w:pPr>
        <w:spacing w:line="360" w:lineRule="auto"/>
        <w:ind w:firstLine="420" w:firstLineChars="200"/>
        <w:contextualSpacing/>
        <w:rPr>
          <w:szCs w:val="21"/>
        </w:rPr>
      </w:pPr>
      <w:r>
        <w:rPr>
          <w:szCs w:val="21"/>
        </w:rPr>
        <w:t>综合评分法的</w:t>
      </w:r>
      <w:r>
        <w:rPr>
          <w:rFonts w:hint="eastAsia"/>
          <w:szCs w:val="21"/>
        </w:rPr>
        <w:t>最终</w:t>
      </w:r>
      <w:r>
        <w:rPr>
          <w:szCs w:val="21"/>
        </w:rPr>
        <w:t>得分计算：综合得分=</w:t>
      </w:r>
      <w:r>
        <w:rPr>
          <w:rFonts w:hint="eastAsia"/>
          <w:szCs w:val="21"/>
        </w:rPr>
        <w:t>报价</w:t>
      </w:r>
      <w:r>
        <w:rPr>
          <w:szCs w:val="21"/>
        </w:rPr>
        <w:t>得分+技术</w:t>
      </w:r>
      <w:r>
        <w:rPr>
          <w:rFonts w:hint="eastAsia"/>
          <w:szCs w:val="21"/>
        </w:rPr>
        <w:t>商务</w:t>
      </w:r>
      <w:r>
        <w:rPr>
          <w:szCs w:val="21"/>
        </w:rPr>
        <w:t>评审得分</w:t>
      </w:r>
    </w:p>
    <w:p>
      <w:pPr>
        <w:spacing w:line="360" w:lineRule="auto"/>
        <w:ind w:firstLine="420" w:firstLineChars="200"/>
        <w:contextualSpacing/>
        <w:rPr>
          <w:szCs w:val="21"/>
        </w:rPr>
      </w:pPr>
      <w:r>
        <w:rPr>
          <w:szCs w:val="21"/>
        </w:rPr>
        <w:t>综合评价结束，按照上述第2</w:t>
      </w:r>
      <w:r>
        <w:rPr>
          <w:rFonts w:hint="eastAsia"/>
          <w:szCs w:val="21"/>
        </w:rPr>
        <w:t>0</w:t>
      </w:r>
      <w:r>
        <w:rPr>
          <w:szCs w:val="21"/>
        </w:rPr>
        <w:t>条规定，列出进入最终评审各投标</w:t>
      </w:r>
      <w:r>
        <w:rPr>
          <w:rFonts w:hint="eastAsia"/>
          <w:szCs w:val="21"/>
        </w:rPr>
        <w:t>人</w:t>
      </w:r>
      <w:r>
        <w:rPr>
          <w:szCs w:val="21"/>
        </w:rPr>
        <w:t>排序次序。</w:t>
      </w:r>
    </w:p>
    <w:p>
      <w:pPr>
        <w:spacing w:line="360" w:lineRule="auto"/>
        <w:ind w:firstLine="420" w:firstLineChars="200"/>
        <w:contextualSpacing/>
        <w:rPr>
          <w:szCs w:val="21"/>
        </w:rPr>
      </w:pPr>
      <w:r>
        <w:rPr>
          <w:rFonts w:hint="eastAsia"/>
          <w:szCs w:val="21"/>
        </w:rPr>
        <w:t>21.5</w:t>
      </w:r>
      <w:r>
        <w:rPr>
          <w:szCs w:val="21"/>
        </w:rPr>
        <w:t>推荐中标</w:t>
      </w:r>
      <w:r>
        <w:rPr>
          <w:rFonts w:hint="eastAsia"/>
          <w:szCs w:val="21"/>
        </w:rPr>
        <w:t>候选人</w:t>
      </w:r>
      <w:r>
        <w:rPr>
          <w:szCs w:val="21"/>
        </w:rPr>
        <w:t>：按2</w:t>
      </w:r>
      <w:r>
        <w:rPr>
          <w:rFonts w:hint="eastAsia"/>
          <w:szCs w:val="21"/>
        </w:rPr>
        <w:t>2</w:t>
      </w:r>
      <w:r>
        <w:rPr>
          <w:szCs w:val="21"/>
        </w:rPr>
        <w:t>条规定推荐中标</w:t>
      </w:r>
      <w:r>
        <w:rPr>
          <w:rFonts w:hint="eastAsia"/>
          <w:szCs w:val="21"/>
        </w:rPr>
        <w:t>候选人</w:t>
      </w:r>
      <w:r>
        <w:rPr>
          <w:szCs w:val="21"/>
        </w:rPr>
        <w:t>。</w:t>
      </w:r>
    </w:p>
    <w:p>
      <w:pPr>
        <w:spacing w:line="360" w:lineRule="auto"/>
        <w:contextualSpacing/>
        <w:rPr>
          <w:szCs w:val="21"/>
        </w:rPr>
      </w:pPr>
      <w:bookmarkStart w:id="180" w:name="_Toc425780296"/>
      <w:bookmarkStart w:id="181" w:name="_Toc430790233"/>
      <w:bookmarkStart w:id="182" w:name="_Toc429407712"/>
      <w:bookmarkStart w:id="183" w:name="_Toc425151752"/>
      <w:r>
        <w:rPr>
          <w:rFonts w:hint="eastAsia"/>
          <w:szCs w:val="21"/>
        </w:rPr>
        <w:t>22、</w:t>
      </w:r>
      <w:r>
        <w:rPr>
          <w:szCs w:val="21"/>
        </w:rPr>
        <w:t>推荐中标</w:t>
      </w:r>
      <w:r>
        <w:rPr>
          <w:rFonts w:hint="eastAsia"/>
          <w:szCs w:val="21"/>
        </w:rPr>
        <w:t>候选人</w:t>
      </w:r>
      <w:bookmarkEnd w:id="180"/>
      <w:bookmarkEnd w:id="181"/>
      <w:bookmarkEnd w:id="182"/>
      <w:bookmarkEnd w:id="183"/>
    </w:p>
    <w:p>
      <w:pPr>
        <w:spacing w:line="360" w:lineRule="auto"/>
        <w:ind w:firstLine="420" w:firstLineChars="200"/>
        <w:contextualSpacing/>
        <w:rPr>
          <w:rFonts w:hint="eastAsia"/>
          <w:szCs w:val="21"/>
        </w:rPr>
      </w:pPr>
      <w:bookmarkStart w:id="184" w:name="_Toc430790234"/>
      <w:bookmarkStart w:id="185" w:name="_Toc425151753"/>
      <w:bookmarkStart w:id="186" w:name="_Toc429407713"/>
      <w:bookmarkStart w:id="187" w:name="_Toc425780297"/>
      <w:r>
        <w:rPr>
          <w:rFonts w:hint="eastAsia"/>
          <w:szCs w:val="21"/>
        </w:rPr>
        <w:t>评标委员会根据各有效投标人的综合得分由高到低排定顺序，推荐本项目的中标候选人。</w:t>
      </w:r>
    </w:p>
    <w:p>
      <w:pPr>
        <w:spacing w:line="360" w:lineRule="auto"/>
        <w:contextualSpacing/>
        <w:rPr>
          <w:szCs w:val="21"/>
        </w:rPr>
      </w:pPr>
      <w:r>
        <w:rPr>
          <w:rFonts w:hint="eastAsia"/>
          <w:szCs w:val="21"/>
        </w:rPr>
        <w:t>23、</w:t>
      </w:r>
      <w:bookmarkEnd w:id="184"/>
      <w:bookmarkEnd w:id="185"/>
      <w:bookmarkEnd w:id="186"/>
      <w:bookmarkEnd w:id="187"/>
      <w:r>
        <w:rPr>
          <w:szCs w:val="21"/>
        </w:rPr>
        <w:t>采购方式</w:t>
      </w:r>
      <w:r>
        <w:rPr>
          <w:rFonts w:hint="eastAsia"/>
          <w:szCs w:val="21"/>
        </w:rPr>
        <w:t>转换</w:t>
      </w:r>
    </w:p>
    <w:p>
      <w:pPr>
        <w:spacing w:line="360" w:lineRule="auto"/>
        <w:ind w:firstLine="420" w:firstLineChars="200"/>
        <w:contextualSpacing/>
        <w:rPr>
          <w:szCs w:val="21"/>
        </w:rPr>
      </w:pPr>
      <w:r>
        <w:rPr>
          <w:rFonts w:hint="eastAsia"/>
          <w:szCs w:val="21"/>
        </w:rPr>
        <w:t>公开招标数额标准以上的采购项目，投标截止后投标人不足</w:t>
      </w:r>
      <w:r>
        <w:rPr>
          <w:szCs w:val="21"/>
        </w:rPr>
        <w:t>3</w:t>
      </w:r>
      <w:r>
        <w:rPr>
          <w:rFonts w:hint="eastAsia"/>
          <w:szCs w:val="21"/>
        </w:rPr>
        <w:t>家或者通过资格审查或符合性审查的投标人不足</w:t>
      </w:r>
      <w:r>
        <w:rPr>
          <w:szCs w:val="21"/>
        </w:rPr>
        <w:t>3</w:t>
      </w:r>
      <w:r>
        <w:rPr>
          <w:rFonts w:hint="eastAsia"/>
          <w:szCs w:val="21"/>
        </w:rPr>
        <w:t>家的，除采购任务取消情形外，按照以下方式处理： </w:t>
      </w:r>
    </w:p>
    <w:p>
      <w:pPr>
        <w:spacing w:line="360" w:lineRule="auto"/>
        <w:ind w:firstLine="420" w:firstLineChars="200"/>
        <w:contextualSpacing/>
        <w:rPr>
          <w:szCs w:val="21"/>
        </w:rPr>
      </w:pPr>
      <w:r>
        <w:rPr>
          <w:rFonts w:hint="eastAsia"/>
          <w:szCs w:val="21"/>
        </w:rPr>
        <w:t>23.1采购文件存在不合理条款或者招标程序不符合规定的，采购人、采购代理机构改正后依法重新招标； </w:t>
      </w:r>
    </w:p>
    <w:p>
      <w:pPr>
        <w:spacing w:line="360" w:lineRule="auto"/>
        <w:ind w:firstLine="420" w:firstLineChars="200"/>
        <w:contextualSpacing/>
        <w:rPr>
          <w:szCs w:val="21"/>
        </w:rPr>
      </w:pPr>
      <w:r>
        <w:rPr>
          <w:rFonts w:hint="eastAsia"/>
          <w:szCs w:val="21"/>
        </w:rPr>
        <w:t>23.2采购文件没有不合理条款、招标程序符合规定，需要采用其他采购方式采购的，采购人依法报财政部门批准。 </w:t>
      </w:r>
    </w:p>
    <w:p>
      <w:pPr>
        <w:spacing w:line="360" w:lineRule="auto"/>
        <w:contextualSpacing/>
        <w:rPr>
          <w:szCs w:val="21"/>
        </w:rPr>
      </w:pPr>
      <w:bookmarkStart w:id="188" w:name="_Toc430790235"/>
      <w:bookmarkStart w:id="189" w:name="_Toc425151754"/>
      <w:bookmarkStart w:id="190" w:name="_Toc425780298"/>
      <w:bookmarkStart w:id="191" w:name="_Toc429407714"/>
      <w:r>
        <w:rPr>
          <w:rFonts w:hint="eastAsia"/>
          <w:szCs w:val="21"/>
        </w:rPr>
        <w:t>24、</w:t>
      </w:r>
      <w:bookmarkEnd w:id="188"/>
      <w:bookmarkEnd w:id="189"/>
      <w:bookmarkEnd w:id="190"/>
      <w:bookmarkEnd w:id="191"/>
      <w:r>
        <w:rPr>
          <w:rFonts w:hint="eastAsia"/>
          <w:szCs w:val="21"/>
        </w:rPr>
        <w:t>评标过程的监控与保密</w:t>
      </w:r>
    </w:p>
    <w:p>
      <w:pPr>
        <w:spacing w:line="360" w:lineRule="auto"/>
        <w:ind w:firstLine="420" w:firstLineChars="200"/>
        <w:contextualSpacing/>
        <w:rPr>
          <w:rFonts w:hint="eastAsia"/>
          <w:szCs w:val="21"/>
        </w:rPr>
      </w:pPr>
      <w:r>
        <w:rPr>
          <w:rFonts w:hint="eastAsia"/>
          <w:szCs w:val="21"/>
        </w:rPr>
        <w:t>24.1本项目评标过程实行全程录音、录像监控，投标人在评标过程中所进行的试图影响评标结果的不公正活动，可能导致其投标被拒绝。</w:t>
      </w:r>
    </w:p>
    <w:p>
      <w:pPr>
        <w:spacing w:line="360" w:lineRule="auto"/>
        <w:ind w:firstLine="420" w:firstLineChars="200"/>
        <w:contextualSpacing/>
        <w:rPr>
          <w:rFonts w:hint="eastAsia"/>
          <w:szCs w:val="21"/>
        </w:rPr>
      </w:pPr>
      <w:r>
        <w:rPr>
          <w:rFonts w:hint="eastAsia"/>
          <w:szCs w:val="21"/>
        </w:rPr>
        <w:t>24.2开标后到中标通知书发出之前，所有涉及评标委员会名单以及对投标文件的澄清、评价、比较等情况，评标委员会成员、采购人和采购代理机构的有关人员均不得向投标人或其他无关人员透露。</w:t>
      </w:r>
    </w:p>
    <w:p>
      <w:pPr>
        <w:spacing w:line="360" w:lineRule="auto"/>
        <w:contextualSpacing/>
        <w:rPr>
          <w:rFonts w:hint="eastAsia"/>
          <w:szCs w:val="21"/>
        </w:rPr>
      </w:pPr>
      <w:r>
        <w:rPr>
          <w:rFonts w:hint="eastAsia"/>
          <w:szCs w:val="21"/>
        </w:rPr>
        <w:t>25、确定中标人、评标结果公示与质疑</w:t>
      </w:r>
    </w:p>
    <w:p>
      <w:pPr>
        <w:spacing w:line="360" w:lineRule="auto"/>
        <w:ind w:firstLine="420" w:firstLineChars="200"/>
        <w:contextualSpacing/>
        <w:rPr>
          <w:rFonts w:hint="eastAsia"/>
          <w:szCs w:val="21"/>
        </w:rPr>
      </w:pPr>
      <w:r>
        <w:rPr>
          <w:rFonts w:hint="eastAsia"/>
          <w:szCs w:val="21"/>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360" w:lineRule="auto"/>
        <w:ind w:firstLine="420" w:firstLineChars="200"/>
        <w:contextualSpacing/>
        <w:rPr>
          <w:rFonts w:hint="eastAsia"/>
          <w:szCs w:val="21"/>
        </w:rPr>
      </w:pPr>
      <w:r>
        <w:rPr>
          <w:rFonts w:hint="eastAsia"/>
          <w:szCs w:val="21"/>
        </w:rPr>
        <w:t>25.2代理机构自中标人确定之日起2个工作日内，在发布招标公告的网站上对中标结果进行公示，中标结果公告期限为1个工作日。</w:t>
      </w:r>
    </w:p>
    <w:p>
      <w:pPr>
        <w:spacing w:line="360" w:lineRule="auto"/>
        <w:ind w:firstLine="420" w:firstLineChars="200"/>
        <w:contextualSpacing/>
        <w:rPr>
          <w:sz w:val="24"/>
          <w:szCs w:val="24"/>
        </w:rPr>
      </w:pPr>
      <w:r>
        <w:rPr>
          <w:rFonts w:hint="eastAsia"/>
          <w:szCs w:val="21"/>
        </w:rPr>
        <w:t>25.3投标人若对评标结果有异议，可在中标公告期限届满之日起七个工作日内向采购人提出书面质疑，质疑书应该有质疑人名称、地址、公章、法定代表人（负责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pPr>
        <w:pStyle w:val="3"/>
        <w:spacing w:before="120" w:beforeLines="50" w:after="120" w:afterLines="50"/>
        <w:rPr>
          <w:rFonts w:ascii="Times New Roman"/>
          <w:sz w:val="24"/>
          <w:szCs w:val="24"/>
        </w:rPr>
      </w:pPr>
      <w:bookmarkStart w:id="192" w:name="_Toc425151756"/>
      <w:bookmarkStart w:id="193" w:name="_Toc425780300"/>
      <w:bookmarkStart w:id="194" w:name="_Toc456853674"/>
      <w:bookmarkStart w:id="195" w:name="_Toc429407716"/>
      <w:bookmarkStart w:id="196" w:name="_Toc496003209"/>
      <w:bookmarkStart w:id="197" w:name="_Toc445193549"/>
      <w:bookmarkStart w:id="198" w:name="_Toc505353788"/>
      <w:bookmarkStart w:id="199" w:name="_Toc498429637"/>
      <w:bookmarkStart w:id="200" w:name="_Toc430790237"/>
      <w:bookmarkStart w:id="201" w:name="_Toc3849"/>
      <w:r>
        <w:rPr>
          <w:rFonts w:hint="eastAsia" w:ascii="Times New Roman"/>
          <w:szCs w:val="28"/>
        </w:rPr>
        <w:t>八、</w:t>
      </w:r>
      <w:r>
        <w:rPr>
          <w:rFonts w:ascii="Times New Roman"/>
          <w:szCs w:val="28"/>
        </w:rPr>
        <w:t>无效投标认定</w:t>
      </w:r>
      <w:bookmarkEnd w:id="192"/>
      <w:bookmarkEnd w:id="193"/>
      <w:bookmarkEnd w:id="194"/>
      <w:bookmarkEnd w:id="195"/>
      <w:bookmarkEnd w:id="196"/>
      <w:bookmarkEnd w:id="197"/>
      <w:bookmarkEnd w:id="198"/>
      <w:bookmarkEnd w:id="199"/>
      <w:bookmarkEnd w:id="200"/>
      <w:bookmarkEnd w:id="201"/>
    </w:p>
    <w:p>
      <w:pPr>
        <w:spacing w:line="360" w:lineRule="auto"/>
        <w:contextualSpacing/>
        <w:rPr>
          <w:szCs w:val="21"/>
        </w:rPr>
      </w:pPr>
      <w:bookmarkStart w:id="202" w:name="_Toc430790238"/>
      <w:bookmarkStart w:id="203" w:name="_Toc425151757"/>
      <w:bookmarkStart w:id="204" w:name="_Toc425780301"/>
      <w:bookmarkStart w:id="205" w:name="_Toc429407717"/>
      <w:r>
        <w:rPr>
          <w:rFonts w:hint="eastAsia"/>
          <w:szCs w:val="21"/>
        </w:rPr>
        <w:t>26、</w:t>
      </w:r>
      <w:bookmarkEnd w:id="202"/>
      <w:bookmarkEnd w:id="203"/>
      <w:bookmarkEnd w:id="204"/>
      <w:bookmarkEnd w:id="205"/>
      <w:r>
        <w:rPr>
          <w:rFonts w:hint="eastAsia"/>
          <w:szCs w:val="21"/>
        </w:rPr>
        <w:t>实质上没有响应采购文件要求的投标将被视为无效投标。</w:t>
      </w:r>
    </w:p>
    <w:p>
      <w:pPr>
        <w:spacing w:line="360" w:lineRule="auto"/>
        <w:ind w:firstLine="420" w:firstLineChars="200"/>
        <w:contextualSpacing/>
        <w:rPr>
          <w:rFonts w:hint="eastAsia"/>
          <w:szCs w:val="21"/>
        </w:rPr>
      </w:pPr>
      <w:r>
        <w:rPr>
          <w:rFonts w:hint="eastAsia"/>
          <w:szCs w:val="21"/>
        </w:rPr>
        <w:t>26.1在资格审查时，不具备采购文件中规定的资格要求的，或者资格证明文件不全的，投标文件将被视为无效。</w:t>
      </w:r>
    </w:p>
    <w:p>
      <w:pPr>
        <w:spacing w:line="360" w:lineRule="auto"/>
        <w:ind w:firstLine="420" w:firstLineChars="200"/>
        <w:contextualSpacing/>
        <w:rPr>
          <w:szCs w:val="21"/>
        </w:rPr>
      </w:pPr>
      <w:r>
        <w:rPr>
          <w:rFonts w:hint="eastAsia"/>
          <w:szCs w:val="21"/>
        </w:rPr>
        <w:t>26.2</w:t>
      </w:r>
      <w:r>
        <w:rPr>
          <w:szCs w:val="21"/>
        </w:rPr>
        <w:t>在符合性审查时，如发现下列情形之一的，投标文件将被视为无效：</w:t>
      </w:r>
    </w:p>
    <w:p>
      <w:pPr>
        <w:pStyle w:val="2"/>
        <w:spacing w:line="360" w:lineRule="auto"/>
        <w:ind w:firstLine="411" w:firstLineChars="196"/>
        <w:contextualSpacing/>
        <w:rPr>
          <w:rFonts w:hint="eastAsia" w:eastAsia="宋体"/>
          <w:sz w:val="21"/>
          <w:szCs w:val="21"/>
        </w:rPr>
      </w:pPr>
      <w:r>
        <w:rPr>
          <w:rFonts w:hint="eastAsia" w:eastAsia="宋体"/>
          <w:sz w:val="21"/>
          <w:szCs w:val="21"/>
        </w:rPr>
        <w:t>（1）投标文件未按采购文件要求签署、签章的；</w:t>
      </w:r>
    </w:p>
    <w:p>
      <w:pPr>
        <w:pStyle w:val="2"/>
        <w:spacing w:line="360" w:lineRule="auto"/>
        <w:ind w:firstLine="411" w:firstLineChars="196"/>
        <w:contextualSpacing/>
        <w:rPr>
          <w:rFonts w:hint="eastAsia" w:eastAsia="宋体"/>
          <w:sz w:val="21"/>
          <w:szCs w:val="21"/>
        </w:rPr>
      </w:pPr>
      <w:r>
        <w:rPr>
          <w:rFonts w:hint="eastAsia" w:eastAsia="宋体"/>
          <w:sz w:val="21"/>
          <w:szCs w:val="21"/>
        </w:rPr>
        <w:t>（2）投标有效期不满足采购文件要求的；</w:t>
      </w:r>
    </w:p>
    <w:p>
      <w:pPr>
        <w:pStyle w:val="2"/>
        <w:spacing w:line="360" w:lineRule="auto"/>
        <w:ind w:firstLine="411" w:firstLineChars="196"/>
        <w:contextualSpacing/>
        <w:rPr>
          <w:rFonts w:hint="eastAsia" w:eastAsia="宋体"/>
          <w:sz w:val="21"/>
          <w:szCs w:val="21"/>
        </w:rPr>
      </w:pPr>
      <w:r>
        <w:rPr>
          <w:rFonts w:hint="eastAsia" w:eastAsia="宋体"/>
          <w:sz w:val="21"/>
          <w:szCs w:val="21"/>
        </w:rPr>
        <w:t>（3）明显不符合采购文件要求的，或者与采购文件中标注“★”的条款发生实质性偏离的；</w:t>
      </w:r>
    </w:p>
    <w:p>
      <w:pPr>
        <w:pStyle w:val="2"/>
        <w:spacing w:line="360" w:lineRule="auto"/>
        <w:ind w:firstLine="411" w:firstLineChars="196"/>
        <w:contextualSpacing/>
        <w:rPr>
          <w:rFonts w:hint="eastAsia" w:eastAsia="宋体"/>
          <w:sz w:val="21"/>
          <w:szCs w:val="21"/>
        </w:rPr>
      </w:pPr>
      <w:r>
        <w:rPr>
          <w:rFonts w:hint="eastAsia" w:eastAsia="宋体"/>
          <w:sz w:val="21"/>
          <w:szCs w:val="21"/>
        </w:rPr>
        <w:t>（4）与第五部分采购内容及要求中标注“▲”的条款发生实质性偏离的；</w:t>
      </w:r>
    </w:p>
    <w:p>
      <w:pPr>
        <w:pStyle w:val="2"/>
        <w:spacing w:line="360" w:lineRule="auto"/>
        <w:ind w:firstLine="411" w:firstLineChars="196"/>
        <w:contextualSpacing/>
        <w:rPr>
          <w:rFonts w:hint="eastAsia" w:eastAsia="宋体"/>
          <w:sz w:val="21"/>
          <w:szCs w:val="21"/>
        </w:rPr>
      </w:pPr>
      <w:r>
        <w:rPr>
          <w:rFonts w:hint="eastAsia" w:eastAsia="宋体"/>
          <w:sz w:val="21"/>
          <w:szCs w:val="21"/>
        </w:rPr>
        <w:t>（5）投标文件中含有采购人不能接受的附加条件的；</w:t>
      </w:r>
    </w:p>
    <w:p>
      <w:pPr>
        <w:pStyle w:val="2"/>
        <w:spacing w:line="360" w:lineRule="auto"/>
        <w:ind w:firstLine="411" w:firstLineChars="196"/>
        <w:contextualSpacing/>
        <w:rPr>
          <w:rFonts w:hint="eastAsia" w:eastAsia="宋体"/>
          <w:sz w:val="21"/>
          <w:szCs w:val="21"/>
        </w:rPr>
      </w:pPr>
      <w:r>
        <w:rPr>
          <w:rFonts w:hint="eastAsia" w:eastAsia="宋体"/>
          <w:sz w:val="21"/>
          <w:szCs w:val="21"/>
        </w:rPr>
        <w:t>（6）投标声明书无法定代表人签名，或委托人未提供法定代表人授权委托书、填写项目不齐全的；</w:t>
      </w:r>
    </w:p>
    <w:p>
      <w:pPr>
        <w:pStyle w:val="2"/>
        <w:spacing w:line="360" w:lineRule="auto"/>
        <w:ind w:firstLine="411" w:firstLineChars="196"/>
        <w:contextualSpacing/>
        <w:rPr>
          <w:rFonts w:hint="eastAsia" w:eastAsia="宋体"/>
          <w:sz w:val="21"/>
          <w:szCs w:val="21"/>
        </w:rPr>
      </w:pPr>
      <w:r>
        <w:rPr>
          <w:rFonts w:hint="eastAsia" w:eastAsia="宋体"/>
          <w:sz w:val="21"/>
          <w:szCs w:val="21"/>
        </w:rPr>
        <w:t>（7）投标文件格式不规范、提供资料不齐全或者内容虚假的；</w:t>
      </w:r>
    </w:p>
    <w:p>
      <w:pPr>
        <w:pStyle w:val="2"/>
        <w:spacing w:line="360" w:lineRule="auto"/>
        <w:ind w:firstLine="411" w:firstLineChars="196"/>
        <w:contextualSpacing/>
        <w:rPr>
          <w:rFonts w:hint="eastAsia" w:eastAsia="宋体"/>
          <w:sz w:val="21"/>
          <w:szCs w:val="21"/>
        </w:rPr>
      </w:pPr>
      <w:r>
        <w:rPr>
          <w:rFonts w:hint="eastAsia" w:eastAsia="宋体"/>
          <w:sz w:val="21"/>
          <w:szCs w:val="21"/>
        </w:rPr>
        <w:t>（8）投标文件的实质性内容未使用中文表述、表述不明确、前后矛盾或者使用计量单位不符合采购文件要求的（经评标委员会认定并允许其当场更正的笔误除外）；</w:t>
      </w:r>
    </w:p>
    <w:p>
      <w:pPr>
        <w:pStyle w:val="2"/>
        <w:spacing w:line="360" w:lineRule="auto"/>
        <w:ind w:firstLine="411" w:firstLineChars="196"/>
        <w:contextualSpacing/>
        <w:rPr>
          <w:rFonts w:hint="eastAsia" w:eastAsia="宋体"/>
          <w:sz w:val="21"/>
          <w:szCs w:val="21"/>
        </w:rPr>
      </w:pPr>
      <w:r>
        <w:rPr>
          <w:rFonts w:hint="eastAsia" w:eastAsia="宋体"/>
          <w:sz w:val="21"/>
          <w:szCs w:val="21"/>
        </w:rPr>
        <w:t>（9）投标文件的关键内容字迹模糊、无法辨认的，或者投标文件中经修正的内容字迹模糊难以辨认或者修改处未按规定签署、盖章的；</w:t>
      </w:r>
    </w:p>
    <w:p>
      <w:pPr>
        <w:pStyle w:val="2"/>
        <w:spacing w:line="360" w:lineRule="auto"/>
        <w:ind w:firstLine="411" w:firstLineChars="196"/>
        <w:contextualSpacing/>
        <w:rPr>
          <w:rFonts w:eastAsia="宋体"/>
          <w:sz w:val="21"/>
          <w:szCs w:val="21"/>
        </w:rPr>
      </w:pPr>
      <w:r>
        <w:rPr>
          <w:rFonts w:hint="eastAsia" w:eastAsia="宋体"/>
          <w:sz w:val="21"/>
          <w:szCs w:val="21"/>
        </w:rPr>
        <w:t>（10）法律、法规和采购文件规定的其他无效情形。</w:t>
      </w:r>
    </w:p>
    <w:p>
      <w:pPr>
        <w:spacing w:line="360" w:lineRule="auto"/>
        <w:ind w:firstLine="420" w:firstLineChars="200"/>
        <w:contextualSpacing/>
        <w:rPr>
          <w:szCs w:val="21"/>
        </w:rPr>
      </w:pPr>
      <w:r>
        <w:rPr>
          <w:rFonts w:hint="eastAsia"/>
          <w:szCs w:val="21"/>
        </w:rPr>
        <w:t>26.3在技术商务评审时，如发现下列情形之一的，</w:t>
      </w:r>
      <w:r>
        <w:rPr>
          <w:szCs w:val="21"/>
        </w:rPr>
        <w:t>投标文件将被视为无效：</w:t>
      </w:r>
    </w:p>
    <w:p>
      <w:pPr>
        <w:pStyle w:val="2"/>
        <w:spacing w:line="360" w:lineRule="auto"/>
        <w:ind w:firstLine="411" w:firstLineChars="196"/>
        <w:contextualSpacing/>
        <w:rPr>
          <w:rFonts w:eastAsia="宋体"/>
          <w:sz w:val="21"/>
          <w:szCs w:val="21"/>
        </w:rPr>
      </w:pPr>
      <w:r>
        <w:rPr>
          <w:rFonts w:eastAsia="宋体"/>
          <w:sz w:val="21"/>
          <w:szCs w:val="21"/>
        </w:rPr>
        <w:t>（1）</w:t>
      </w:r>
      <w:r>
        <w:rPr>
          <w:rFonts w:hint="eastAsia" w:eastAsia="宋体"/>
          <w:sz w:val="21"/>
          <w:szCs w:val="21"/>
        </w:rPr>
        <w:t>未提供或未如实提供投标货物的技术参数，或者投标文件标明的响应或偏离与事实不符或虚假投标的</w:t>
      </w:r>
      <w:r>
        <w:rPr>
          <w:rFonts w:eastAsia="宋体"/>
          <w:sz w:val="21"/>
          <w:szCs w:val="21"/>
        </w:rPr>
        <w:t>；</w:t>
      </w:r>
    </w:p>
    <w:p>
      <w:pPr>
        <w:pStyle w:val="2"/>
        <w:spacing w:line="360" w:lineRule="auto"/>
        <w:ind w:firstLine="411" w:firstLineChars="196"/>
        <w:contextualSpacing/>
        <w:rPr>
          <w:rFonts w:eastAsia="宋体"/>
          <w:sz w:val="21"/>
          <w:szCs w:val="21"/>
        </w:rPr>
      </w:pPr>
      <w:r>
        <w:rPr>
          <w:rFonts w:eastAsia="宋体"/>
          <w:sz w:val="21"/>
          <w:szCs w:val="21"/>
        </w:rPr>
        <w:t>（</w:t>
      </w:r>
      <w:r>
        <w:rPr>
          <w:rFonts w:hint="eastAsia" w:eastAsia="宋体"/>
          <w:sz w:val="21"/>
          <w:szCs w:val="21"/>
        </w:rPr>
        <w:t>2</w:t>
      </w:r>
      <w:r>
        <w:rPr>
          <w:rFonts w:eastAsia="宋体"/>
          <w:sz w:val="21"/>
          <w:szCs w:val="21"/>
        </w:rPr>
        <w:t>）</w:t>
      </w:r>
      <w:r>
        <w:rPr>
          <w:rFonts w:hint="eastAsia" w:eastAsia="宋体"/>
          <w:sz w:val="21"/>
          <w:szCs w:val="21"/>
        </w:rPr>
        <w:t>明显不符合采购文件要求的规格型号、质量标准</w:t>
      </w:r>
      <w:r>
        <w:rPr>
          <w:rFonts w:eastAsia="宋体"/>
          <w:sz w:val="21"/>
          <w:szCs w:val="21"/>
        </w:rPr>
        <w:t>；</w:t>
      </w:r>
    </w:p>
    <w:p>
      <w:pPr>
        <w:pStyle w:val="2"/>
        <w:spacing w:line="360" w:lineRule="auto"/>
        <w:ind w:firstLine="420" w:firstLineChars="200"/>
        <w:contextualSpacing/>
        <w:rPr>
          <w:rFonts w:hint="eastAsia" w:eastAsia="宋体"/>
          <w:sz w:val="21"/>
          <w:szCs w:val="21"/>
        </w:rPr>
      </w:pPr>
      <w:r>
        <w:rPr>
          <w:rFonts w:hint="eastAsia" w:eastAsia="宋体"/>
          <w:sz w:val="21"/>
          <w:szCs w:val="21"/>
        </w:rPr>
        <w:t>（3）投标技术方案不明确，存在一个或一个以上备选（替代）投标方案的。</w:t>
      </w:r>
    </w:p>
    <w:p>
      <w:pPr>
        <w:spacing w:line="360" w:lineRule="auto"/>
        <w:ind w:firstLine="420" w:firstLineChars="200"/>
        <w:contextualSpacing/>
        <w:rPr>
          <w:szCs w:val="21"/>
        </w:rPr>
      </w:pPr>
      <w:r>
        <w:rPr>
          <w:rFonts w:hint="eastAsia"/>
          <w:szCs w:val="21"/>
        </w:rPr>
        <w:t>26.4</w:t>
      </w:r>
      <w:r>
        <w:rPr>
          <w:szCs w:val="21"/>
        </w:rPr>
        <w:t>在报价评审时，如发现下列情形之一的，投标文件将被视为无效：</w:t>
      </w:r>
    </w:p>
    <w:p>
      <w:pPr>
        <w:pStyle w:val="2"/>
        <w:spacing w:line="360" w:lineRule="auto"/>
        <w:ind w:firstLine="411" w:firstLineChars="196"/>
        <w:contextualSpacing/>
        <w:rPr>
          <w:rFonts w:eastAsia="宋体"/>
          <w:sz w:val="21"/>
          <w:szCs w:val="21"/>
        </w:rPr>
      </w:pPr>
      <w:r>
        <w:rPr>
          <w:rFonts w:eastAsia="宋体"/>
          <w:sz w:val="21"/>
          <w:szCs w:val="21"/>
        </w:rPr>
        <w:t>（1）</w:t>
      </w:r>
      <w:r>
        <w:rPr>
          <w:rFonts w:hint="eastAsia" w:eastAsia="宋体"/>
          <w:bCs/>
          <w:sz w:val="21"/>
          <w:szCs w:val="21"/>
        </w:rPr>
        <w:t>报价超过采购文件中规定的预算金额或者最高限价的</w:t>
      </w:r>
      <w:r>
        <w:rPr>
          <w:rFonts w:eastAsia="宋体"/>
          <w:sz w:val="21"/>
          <w:szCs w:val="21"/>
        </w:rPr>
        <w:t>；</w:t>
      </w:r>
    </w:p>
    <w:p>
      <w:pPr>
        <w:pStyle w:val="2"/>
        <w:spacing w:line="360" w:lineRule="auto"/>
        <w:ind w:firstLine="411" w:firstLineChars="196"/>
        <w:contextualSpacing/>
        <w:rPr>
          <w:rFonts w:hint="eastAsia" w:eastAsia="宋体"/>
          <w:sz w:val="21"/>
          <w:szCs w:val="21"/>
        </w:rPr>
      </w:pPr>
      <w:r>
        <w:rPr>
          <w:rFonts w:eastAsia="宋体"/>
          <w:sz w:val="21"/>
          <w:szCs w:val="21"/>
        </w:rPr>
        <w:t>（2）</w:t>
      </w:r>
      <w:r>
        <w:rPr>
          <w:rFonts w:hint="eastAsia" w:eastAsia="宋体"/>
          <w:bCs/>
          <w:sz w:val="21"/>
          <w:szCs w:val="21"/>
        </w:rPr>
        <w:t>未采用投标文件要求的报价形式报价的</w:t>
      </w:r>
      <w:r>
        <w:rPr>
          <w:rFonts w:hint="eastAsia" w:eastAsia="宋体"/>
          <w:sz w:val="21"/>
          <w:szCs w:val="21"/>
        </w:rPr>
        <w:t>；</w:t>
      </w:r>
    </w:p>
    <w:p>
      <w:pPr>
        <w:pStyle w:val="2"/>
        <w:spacing w:line="360" w:lineRule="auto"/>
        <w:ind w:firstLine="420" w:firstLineChars="200"/>
        <w:contextualSpacing/>
        <w:rPr>
          <w:rFonts w:hint="eastAsia" w:eastAsia="宋体"/>
          <w:sz w:val="21"/>
          <w:szCs w:val="21"/>
        </w:rPr>
      </w:pPr>
      <w:r>
        <w:rPr>
          <w:rFonts w:hint="eastAsia" w:eastAsia="宋体"/>
          <w:sz w:val="21"/>
          <w:szCs w:val="21"/>
        </w:rPr>
        <w:t>（3）投标报价具有选择性的；</w:t>
      </w:r>
    </w:p>
    <w:p>
      <w:pPr>
        <w:pStyle w:val="2"/>
        <w:spacing w:line="360" w:lineRule="auto"/>
        <w:ind w:firstLine="420" w:firstLineChars="200"/>
        <w:contextualSpacing/>
        <w:rPr>
          <w:rFonts w:hint="eastAsia" w:eastAsia="宋体"/>
          <w:sz w:val="21"/>
          <w:szCs w:val="21"/>
        </w:rPr>
      </w:pPr>
      <w:r>
        <w:rPr>
          <w:rFonts w:hint="eastAsia" w:eastAsia="宋体"/>
          <w:sz w:val="21"/>
          <w:szCs w:val="21"/>
        </w:rPr>
        <w:t>（4）投标人的报价低于其他通过符合性审查投标人的报价，评标委员会认为有可能影响产品质量或者不能诚信履约要求其在评标现场合理的时间内提供书面说明，必要时提交相关证明材料，投标人不能证明其报价合理性的；</w:t>
      </w:r>
    </w:p>
    <w:p>
      <w:pPr>
        <w:pStyle w:val="2"/>
        <w:spacing w:line="360" w:lineRule="auto"/>
        <w:ind w:firstLine="420" w:firstLineChars="200"/>
        <w:contextualSpacing/>
        <w:rPr>
          <w:rFonts w:hint="eastAsia" w:eastAsia="宋体"/>
          <w:sz w:val="21"/>
          <w:szCs w:val="21"/>
        </w:rPr>
      </w:pPr>
      <w:r>
        <w:rPr>
          <w:rFonts w:hint="eastAsia" w:eastAsia="宋体"/>
          <w:sz w:val="21"/>
          <w:szCs w:val="21"/>
        </w:rPr>
        <w:t>（5）投标报价中出现重大缺项、漏项或被评标委员会</w:t>
      </w:r>
      <w:r>
        <w:rPr>
          <w:rFonts w:hint="eastAsia" w:eastAsia="宋体"/>
          <w:bCs/>
          <w:sz w:val="21"/>
          <w:szCs w:val="21"/>
        </w:rPr>
        <w:t>认为投标人的报价明显低于</w:t>
      </w:r>
      <w:r>
        <w:rPr>
          <w:rFonts w:hint="eastAsia" w:eastAsia="宋体"/>
          <w:sz w:val="21"/>
          <w:szCs w:val="21"/>
        </w:rPr>
        <w:t>其他通过符合性审查投标人的报价，且投标人不能证明其报价合理性的；</w:t>
      </w:r>
    </w:p>
    <w:p>
      <w:pPr>
        <w:pStyle w:val="2"/>
        <w:spacing w:line="360" w:lineRule="auto"/>
        <w:ind w:firstLine="420" w:firstLineChars="200"/>
        <w:contextualSpacing/>
        <w:rPr>
          <w:rFonts w:eastAsia="宋体"/>
          <w:sz w:val="21"/>
          <w:szCs w:val="21"/>
        </w:rPr>
      </w:pPr>
      <w:r>
        <w:rPr>
          <w:rFonts w:hint="eastAsia" w:eastAsia="宋体"/>
          <w:sz w:val="21"/>
          <w:szCs w:val="21"/>
        </w:rPr>
        <w:t>（6）</w:t>
      </w:r>
      <w:r>
        <w:rPr>
          <w:rFonts w:hint="eastAsia" w:eastAsia="宋体"/>
          <w:bCs/>
          <w:sz w:val="21"/>
          <w:szCs w:val="21"/>
        </w:rPr>
        <w:t>采购文件规定的其他无效情形。</w:t>
      </w:r>
    </w:p>
    <w:p>
      <w:pPr>
        <w:spacing w:line="360" w:lineRule="auto"/>
        <w:ind w:firstLine="420" w:firstLineChars="200"/>
        <w:contextualSpacing/>
        <w:rPr>
          <w:rFonts w:hint="eastAsia"/>
          <w:szCs w:val="21"/>
        </w:rPr>
      </w:pPr>
      <w:r>
        <w:rPr>
          <w:rFonts w:hint="eastAsia"/>
          <w:szCs w:val="21"/>
        </w:rPr>
        <w:t>26.5</w:t>
      </w:r>
      <w:r>
        <w:rPr>
          <w:szCs w:val="21"/>
        </w:rPr>
        <w:t>被拒绝的投标文件为无效。</w:t>
      </w:r>
    </w:p>
    <w:p>
      <w:pPr>
        <w:pStyle w:val="3"/>
        <w:spacing w:before="120" w:beforeLines="50" w:after="120" w:afterLines="50"/>
        <w:rPr>
          <w:rFonts w:ascii="Times New Roman"/>
          <w:szCs w:val="28"/>
        </w:rPr>
      </w:pPr>
      <w:bookmarkStart w:id="206" w:name="_Toc445193550"/>
      <w:bookmarkStart w:id="207" w:name="_Toc456853675"/>
      <w:bookmarkStart w:id="208" w:name="_Toc425780302"/>
      <w:bookmarkStart w:id="209" w:name="_Toc24423"/>
      <w:bookmarkStart w:id="210" w:name="_Toc430790239"/>
      <w:bookmarkStart w:id="211" w:name="_Toc429407718"/>
      <w:bookmarkStart w:id="212" w:name="_Toc496003210"/>
      <w:bookmarkStart w:id="213" w:name="_Toc498429638"/>
      <w:bookmarkStart w:id="214" w:name="_Toc505353789"/>
      <w:bookmarkStart w:id="215" w:name="_Toc425151758"/>
      <w:r>
        <w:rPr>
          <w:rFonts w:hint="eastAsia" w:ascii="Times New Roman"/>
          <w:szCs w:val="28"/>
        </w:rPr>
        <w:t>九、</w:t>
      </w:r>
      <w:r>
        <w:rPr>
          <w:rFonts w:ascii="Times New Roman"/>
          <w:szCs w:val="28"/>
        </w:rPr>
        <w:t>授予合同</w:t>
      </w:r>
      <w:bookmarkEnd w:id="206"/>
      <w:bookmarkEnd w:id="207"/>
      <w:bookmarkEnd w:id="208"/>
      <w:bookmarkEnd w:id="209"/>
      <w:bookmarkEnd w:id="210"/>
      <w:bookmarkEnd w:id="211"/>
      <w:bookmarkEnd w:id="212"/>
      <w:bookmarkEnd w:id="213"/>
      <w:bookmarkEnd w:id="214"/>
      <w:bookmarkEnd w:id="215"/>
    </w:p>
    <w:p>
      <w:pPr>
        <w:spacing w:line="360" w:lineRule="auto"/>
        <w:contextualSpacing/>
        <w:rPr>
          <w:szCs w:val="21"/>
        </w:rPr>
      </w:pPr>
      <w:bookmarkStart w:id="216" w:name="_Toc425151759"/>
      <w:bookmarkStart w:id="217" w:name="_Toc430790240"/>
      <w:bookmarkStart w:id="218" w:name="_Toc429407719"/>
      <w:bookmarkStart w:id="219" w:name="_Toc425780303"/>
      <w:r>
        <w:rPr>
          <w:rFonts w:hint="eastAsia"/>
          <w:szCs w:val="21"/>
        </w:rPr>
        <w:t>27、</w:t>
      </w:r>
      <w:r>
        <w:rPr>
          <w:szCs w:val="21"/>
        </w:rPr>
        <w:t>数量变更</w:t>
      </w:r>
      <w:bookmarkEnd w:id="216"/>
      <w:bookmarkEnd w:id="217"/>
      <w:bookmarkEnd w:id="218"/>
      <w:bookmarkEnd w:id="219"/>
    </w:p>
    <w:p>
      <w:pPr>
        <w:spacing w:line="360" w:lineRule="auto"/>
        <w:ind w:firstLine="420" w:firstLineChars="200"/>
        <w:contextualSpacing/>
        <w:rPr>
          <w:szCs w:val="21"/>
        </w:rPr>
      </w:pPr>
      <w:r>
        <w:rPr>
          <w:szCs w:val="21"/>
        </w:rPr>
        <w:t>采购人在授予合同时具有变更数量的权力，可以在采购文件《投标资料表》中规定的合同金额变更范围内，变更招标的数量和服务内容，但不能对单价或其他条款和条件作任何改变。</w:t>
      </w:r>
    </w:p>
    <w:p>
      <w:pPr>
        <w:spacing w:line="360" w:lineRule="auto"/>
        <w:contextualSpacing/>
        <w:rPr>
          <w:szCs w:val="21"/>
        </w:rPr>
      </w:pPr>
      <w:bookmarkStart w:id="220" w:name="_Toc425151760"/>
      <w:bookmarkStart w:id="221" w:name="_Toc425780304"/>
      <w:bookmarkStart w:id="222" w:name="_Toc430790241"/>
      <w:bookmarkStart w:id="223" w:name="_Toc429407720"/>
      <w:r>
        <w:rPr>
          <w:rFonts w:hint="eastAsia"/>
          <w:szCs w:val="21"/>
        </w:rPr>
        <w:t>28、</w:t>
      </w:r>
      <w:r>
        <w:rPr>
          <w:szCs w:val="21"/>
        </w:rPr>
        <w:t>中标通知</w:t>
      </w:r>
      <w:bookmarkEnd w:id="220"/>
      <w:bookmarkEnd w:id="221"/>
      <w:bookmarkEnd w:id="222"/>
      <w:bookmarkEnd w:id="223"/>
    </w:p>
    <w:p>
      <w:pPr>
        <w:spacing w:line="360" w:lineRule="auto"/>
        <w:ind w:firstLine="420" w:firstLineChars="200"/>
        <w:contextualSpacing/>
        <w:rPr>
          <w:rFonts w:hint="eastAsia"/>
          <w:szCs w:val="21"/>
        </w:rPr>
      </w:pPr>
      <w:r>
        <w:rPr>
          <w:rFonts w:hint="eastAsia"/>
          <w:szCs w:val="21"/>
        </w:rPr>
        <w:t>28.1采购代理机构自中标人确定之日起2个工作日内，在指定的媒体上公告中标结果。中标公告期限为1个工作日。</w:t>
      </w:r>
    </w:p>
    <w:p>
      <w:pPr>
        <w:spacing w:line="360" w:lineRule="auto"/>
        <w:ind w:firstLine="420" w:firstLineChars="200"/>
        <w:contextualSpacing/>
        <w:rPr>
          <w:szCs w:val="21"/>
        </w:rPr>
      </w:pPr>
      <w:r>
        <w:rPr>
          <w:rFonts w:hint="eastAsia"/>
          <w:szCs w:val="21"/>
        </w:rPr>
        <w:t>28.</w:t>
      </w:r>
      <w:r>
        <w:rPr>
          <w:szCs w:val="21"/>
        </w:rPr>
        <w:t>2在发布中标公告</w:t>
      </w:r>
      <w:r>
        <w:rPr>
          <w:rFonts w:hint="eastAsia"/>
          <w:szCs w:val="21"/>
        </w:rPr>
        <w:t>的同时</w:t>
      </w:r>
      <w:r>
        <w:rPr>
          <w:szCs w:val="21"/>
        </w:rPr>
        <w:t>本采购代理机构向中标</w:t>
      </w:r>
      <w:r>
        <w:rPr>
          <w:rFonts w:hint="eastAsia"/>
          <w:szCs w:val="21"/>
        </w:rPr>
        <w:t>人</w:t>
      </w:r>
      <w:r>
        <w:rPr>
          <w:szCs w:val="21"/>
        </w:rPr>
        <w:t>发出中标通知</w:t>
      </w:r>
      <w:r>
        <w:rPr>
          <w:rFonts w:hint="eastAsia"/>
          <w:szCs w:val="21"/>
        </w:rPr>
        <w:t>书</w:t>
      </w:r>
      <w:r>
        <w:rPr>
          <w:szCs w:val="21"/>
        </w:rPr>
        <w:t>，向其他投标人发出招标结果通知书，中标通知书对采购人和中标</w:t>
      </w:r>
      <w:r>
        <w:rPr>
          <w:rFonts w:hint="eastAsia"/>
          <w:szCs w:val="21"/>
        </w:rPr>
        <w:t>人</w:t>
      </w:r>
      <w:r>
        <w:rPr>
          <w:szCs w:val="21"/>
        </w:rPr>
        <w:t>具有同等法律效力。</w:t>
      </w:r>
    </w:p>
    <w:p>
      <w:pPr>
        <w:spacing w:line="360" w:lineRule="auto"/>
        <w:ind w:firstLine="420" w:firstLineChars="200"/>
        <w:contextualSpacing/>
        <w:rPr>
          <w:szCs w:val="21"/>
        </w:rPr>
      </w:pPr>
      <w:r>
        <w:rPr>
          <w:rFonts w:hint="eastAsia"/>
          <w:szCs w:val="21"/>
        </w:rPr>
        <w:t>28.</w:t>
      </w:r>
      <w:r>
        <w:rPr>
          <w:szCs w:val="21"/>
        </w:rPr>
        <w:t>3中标</w:t>
      </w:r>
      <w:r>
        <w:rPr>
          <w:rFonts w:hint="eastAsia"/>
          <w:szCs w:val="21"/>
        </w:rPr>
        <w:t>人</w:t>
      </w:r>
      <w:r>
        <w:rPr>
          <w:szCs w:val="21"/>
        </w:rPr>
        <w:t>按下述第</w:t>
      </w:r>
      <w:r>
        <w:rPr>
          <w:rFonts w:hint="eastAsia"/>
          <w:szCs w:val="21"/>
        </w:rPr>
        <w:t>29</w:t>
      </w:r>
      <w:r>
        <w:rPr>
          <w:szCs w:val="21"/>
        </w:rPr>
        <w:t>条规定与采购人签订合同，中标通知书是合同的组成部分。</w:t>
      </w:r>
    </w:p>
    <w:p>
      <w:pPr>
        <w:spacing w:line="360" w:lineRule="auto"/>
        <w:contextualSpacing/>
        <w:rPr>
          <w:szCs w:val="21"/>
        </w:rPr>
      </w:pPr>
      <w:bookmarkStart w:id="224" w:name="_Toc425151761"/>
      <w:bookmarkStart w:id="225" w:name="_Toc425780305"/>
      <w:bookmarkStart w:id="226" w:name="_Toc429407721"/>
      <w:bookmarkStart w:id="227" w:name="_Toc430790242"/>
      <w:r>
        <w:rPr>
          <w:rFonts w:hint="eastAsia"/>
          <w:szCs w:val="21"/>
        </w:rPr>
        <w:t>29、</w:t>
      </w:r>
      <w:r>
        <w:rPr>
          <w:szCs w:val="21"/>
        </w:rPr>
        <w:t>签订合同</w:t>
      </w:r>
      <w:bookmarkEnd w:id="224"/>
      <w:bookmarkEnd w:id="225"/>
      <w:bookmarkEnd w:id="226"/>
      <w:bookmarkEnd w:id="227"/>
    </w:p>
    <w:p>
      <w:pPr>
        <w:spacing w:line="360" w:lineRule="auto"/>
        <w:ind w:firstLine="420" w:firstLineChars="200"/>
        <w:contextualSpacing/>
        <w:rPr>
          <w:szCs w:val="21"/>
        </w:rPr>
      </w:pPr>
      <w:r>
        <w:rPr>
          <w:rFonts w:hint="eastAsia"/>
          <w:szCs w:val="21"/>
        </w:rPr>
        <w:t>29.1</w:t>
      </w:r>
      <w:r>
        <w:rPr>
          <w:szCs w:val="21"/>
        </w:rPr>
        <w:t>中标</w:t>
      </w:r>
      <w:r>
        <w:rPr>
          <w:rFonts w:hint="eastAsia"/>
          <w:szCs w:val="21"/>
        </w:rPr>
        <w:t>人</w:t>
      </w:r>
      <w:r>
        <w:rPr>
          <w:szCs w:val="21"/>
        </w:rPr>
        <w:t>在本采购代理机构发出中标通知书的</w:t>
      </w:r>
      <w:r>
        <w:rPr>
          <w:rFonts w:hint="eastAsia"/>
          <w:szCs w:val="21"/>
        </w:rPr>
        <w:t>30</w:t>
      </w:r>
      <w:r>
        <w:rPr>
          <w:szCs w:val="21"/>
        </w:rPr>
        <w:t>日内，应与采购人按照采购文件和中标</w:t>
      </w:r>
      <w:r>
        <w:rPr>
          <w:rFonts w:hint="eastAsia"/>
          <w:szCs w:val="21"/>
        </w:rPr>
        <w:t>人</w:t>
      </w:r>
      <w:r>
        <w:rPr>
          <w:szCs w:val="21"/>
        </w:rPr>
        <w:t>的投标文件的约定内容签订书面合同。否则，采购人可按本须知第2</w:t>
      </w:r>
      <w:r>
        <w:rPr>
          <w:rFonts w:hint="eastAsia"/>
          <w:szCs w:val="21"/>
        </w:rPr>
        <w:t>2</w:t>
      </w:r>
      <w:r>
        <w:rPr>
          <w:szCs w:val="21"/>
        </w:rPr>
        <w:t>条的规定处理，撤销其中标资格并按本须知规定另选中标</w:t>
      </w:r>
      <w:r>
        <w:rPr>
          <w:rFonts w:hint="eastAsia"/>
          <w:szCs w:val="21"/>
        </w:rPr>
        <w:t>人</w:t>
      </w:r>
      <w:r>
        <w:rPr>
          <w:szCs w:val="21"/>
        </w:rPr>
        <w:t>或重新招标。</w:t>
      </w:r>
    </w:p>
    <w:p>
      <w:pPr>
        <w:spacing w:line="360" w:lineRule="auto"/>
        <w:ind w:firstLine="420" w:firstLineChars="200"/>
        <w:contextualSpacing/>
        <w:rPr>
          <w:rFonts w:hint="eastAsia"/>
          <w:szCs w:val="21"/>
        </w:rPr>
      </w:pPr>
      <w:r>
        <w:rPr>
          <w:rFonts w:hint="eastAsia"/>
          <w:szCs w:val="21"/>
        </w:rPr>
        <w:t>29.2</w:t>
      </w:r>
      <w:r>
        <w:rPr>
          <w:szCs w:val="21"/>
        </w:rPr>
        <w:t>采购文件、中标</w:t>
      </w:r>
      <w:r>
        <w:rPr>
          <w:rFonts w:hint="eastAsia"/>
          <w:szCs w:val="21"/>
        </w:rPr>
        <w:t>人</w:t>
      </w:r>
      <w:r>
        <w:rPr>
          <w:szCs w:val="21"/>
        </w:rPr>
        <w:t>的投标文件及在评标过程中提交的澄清文件均应作为合同附件。</w:t>
      </w:r>
    </w:p>
    <w:p>
      <w:pPr>
        <w:spacing w:line="360" w:lineRule="auto"/>
        <w:contextualSpacing/>
        <w:rPr>
          <w:szCs w:val="21"/>
        </w:rPr>
      </w:pPr>
      <w:r>
        <w:rPr>
          <w:rFonts w:hint="eastAsia"/>
          <w:szCs w:val="21"/>
        </w:rPr>
        <w:t>30、</w:t>
      </w:r>
      <w:r>
        <w:rPr>
          <w:szCs w:val="21"/>
        </w:rPr>
        <w:t>履约保证金</w:t>
      </w:r>
    </w:p>
    <w:p>
      <w:pPr>
        <w:spacing w:line="360" w:lineRule="auto"/>
        <w:ind w:firstLine="420" w:firstLineChars="200"/>
        <w:contextualSpacing/>
        <w:rPr>
          <w:szCs w:val="21"/>
        </w:rPr>
      </w:pPr>
      <w:r>
        <w:rPr>
          <w:rFonts w:hint="eastAsia"/>
          <w:szCs w:val="21"/>
        </w:rPr>
        <w:t>30.1</w:t>
      </w:r>
      <w:r>
        <w:rPr>
          <w:szCs w:val="21"/>
        </w:rPr>
        <w:t>签订合同前，中标人应根据采购文件确定的履约保证金的金额交纳履约保证金。</w:t>
      </w:r>
    </w:p>
    <w:p>
      <w:pPr>
        <w:spacing w:line="360" w:lineRule="auto"/>
        <w:ind w:firstLine="420" w:firstLineChars="200"/>
        <w:contextualSpacing/>
        <w:rPr>
          <w:szCs w:val="21"/>
        </w:rPr>
      </w:pPr>
      <w:r>
        <w:rPr>
          <w:rFonts w:hint="eastAsia"/>
          <w:szCs w:val="21"/>
        </w:rPr>
        <w:t>30.2</w:t>
      </w:r>
      <w:r>
        <w:rPr>
          <w:szCs w:val="21"/>
        </w:rPr>
        <w:t>签订合同后，如中标人不按双方合同约定履约，则没收其全部履约保证金，履约保证金不足以赔偿损失的，按实际损失赔偿。</w:t>
      </w:r>
    </w:p>
    <w:p>
      <w:pPr>
        <w:spacing w:line="360" w:lineRule="auto"/>
        <w:ind w:firstLine="420" w:firstLineChars="200"/>
        <w:contextualSpacing/>
        <w:rPr>
          <w:sz w:val="24"/>
          <w:szCs w:val="24"/>
        </w:rPr>
      </w:pPr>
      <w:r>
        <w:rPr>
          <w:rFonts w:hint="eastAsia"/>
          <w:szCs w:val="21"/>
        </w:rPr>
        <w:t>30.3采购人负责对中标人的履约行为进行验收，验收标准为本项目的采购文件以及中标人的投标文件，要求验收必须符合相关政策法规和地方标准。</w:t>
      </w:r>
    </w:p>
    <w:p>
      <w:pPr>
        <w:pStyle w:val="3"/>
        <w:spacing w:before="120" w:beforeLines="50" w:after="120" w:afterLines="50"/>
        <w:rPr>
          <w:rFonts w:ascii="Times New Roman"/>
          <w:szCs w:val="28"/>
        </w:rPr>
      </w:pPr>
      <w:bookmarkStart w:id="228" w:name="_Toc30697"/>
      <w:bookmarkStart w:id="229" w:name="_Toc425151763"/>
      <w:bookmarkStart w:id="230" w:name="_Toc430790244"/>
      <w:bookmarkStart w:id="231" w:name="_Toc498429639"/>
      <w:bookmarkStart w:id="232" w:name="_Toc505353790"/>
      <w:bookmarkStart w:id="233" w:name="_Toc429407723"/>
      <w:bookmarkStart w:id="234" w:name="_Toc445193551"/>
      <w:bookmarkStart w:id="235" w:name="_Toc456853676"/>
      <w:bookmarkStart w:id="236" w:name="_Toc425780307"/>
      <w:r>
        <w:rPr>
          <w:rFonts w:hint="eastAsia" w:ascii="Times New Roman"/>
          <w:szCs w:val="28"/>
        </w:rPr>
        <w:t>十、招标服务费用</w:t>
      </w:r>
      <w:bookmarkEnd w:id="228"/>
      <w:bookmarkEnd w:id="229"/>
      <w:bookmarkEnd w:id="230"/>
      <w:bookmarkEnd w:id="231"/>
      <w:bookmarkEnd w:id="232"/>
      <w:bookmarkEnd w:id="233"/>
      <w:bookmarkEnd w:id="234"/>
      <w:bookmarkEnd w:id="235"/>
      <w:bookmarkEnd w:id="236"/>
    </w:p>
    <w:p>
      <w:pPr>
        <w:spacing w:line="360" w:lineRule="auto"/>
        <w:contextualSpacing/>
        <w:rPr>
          <w:szCs w:val="21"/>
        </w:rPr>
      </w:pPr>
      <w:bookmarkStart w:id="237" w:name="_Toc425151764"/>
      <w:bookmarkStart w:id="238" w:name="_Toc429407724"/>
      <w:bookmarkStart w:id="239" w:name="_Toc425780308"/>
      <w:bookmarkStart w:id="240" w:name="_Toc430790245"/>
      <w:r>
        <w:rPr>
          <w:rFonts w:hint="eastAsia"/>
          <w:szCs w:val="21"/>
        </w:rPr>
        <w:t>31、</w:t>
      </w:r>
      <w:r>
        <w:rPr>
          <w:szCs w:val="21"/>
        </w:rPr>
        <w:t>招标服务费</w:t>
      </w:r>
      <w:bookmarkEnd w:id="237"/>
      <w:bookmarkEnd w:id="238"/>
      <w:bookmarkEnd w:id="239"/>
      <w:bookmarkEnd w:id="240"/>
    </w:p>
    <w:p>
      <w:pPr>
        <w:spacing w:line="360" w:lineRule="auto"/>
        <w:ind w:firstLine="420" w:firstLineChars="200"/>
        <w:contextualSpacing/>
        <w:rPr>
          <w:rFonts w:hint="eastAsia"/>
          <w:sz w:val="24"/>
          <w:szCs w:val="24"/>
        </w:rPr>
      </w:pPr>
      <w:r>
        <w:rPr>
          <w:rFonts w:hint="eastAsia"/>
          <w:szCs w:val="21"/>
        </w:rPr>
        <w:t>中标人</w:t>
      </w:r>
      <w:r>
        <w:rPr>
          <w:szCs w:val="21"/>
        </w:rPr>
        <w:t>应向本采购代理机构支付招标服务费。招标服务费的收费依据及相关规定载明在采购文件《投标资料表》中。</w:t>
      </w:r>
    </w:p>
    <w:p>
      <w:pPr>
        <w:spacing w:line="440" w:lineRule="exact"/>
        <w:ind w:firstLine="420" w:firstLineChars="200"/>
        <w:contextualSpacing/>
      </w:pPr>
    </w:p>
    <w:p>
      <w:pPr>
        <w:pStyle w:val="3"/>
        <w:spacing w:before="120" w:beforeLines="50" w:after="120" w:afterLines="50"/>
        <w:rPr>
          <w:rFonts w:ascii="Times New Roman"/>
          <w:szCs w:val="28"/>
        </w:rPr>
      </w:pPr>
      <w:bookmarkStart w:id="241" w:name="_Toc498429640"/>
      <w:bookmarkStart w:id="242" w:name="_Toc2372"/>
      <w:bookmarkStart w:id="243" w:name="_Toc429407725"/>
      <w:bookmarkStart w:id="244" w:name="_Toc456853677"/>
      <w:bookmarkStart w:id="245" w:name="_Toc496003211"/>
      <w:bookmarkStart w:id="246" w:name="_Toc430790246"/>
      <w:bookmarkStart w:id="247" w:name="_Toc445193552"/>
      <w:bookmarkStart w:id="248" w:name="_Toc425780309"/>
      <w:bookmarkStart w:id="249" w:name="_Toc505353791"/>
      <w:bookmarkStart w:id="250" w:name="_Toc425151765"/>
      <w:r>
        <w:rPr>
          <w:rFonts w:hint="eastAsia" w:ascii="Times New Roman"/>
          <w:szCs w:val="28"/>
        </w:rPr>
        <w:t>十一、</w:t>
      </w:r>
      <w:r>
        <w:rPr>
          <w:rFonts w:ascii="Times New Roman"/>
          <w:szCs w:val="28"/>
        </w:rPr>
        <w:t>政府采购活动中有关中小企业的相关规定（采购进口产品的项目不适用）</w:t>
      </w:r>
      <w:bookmarkEnd w:id="241"/>
      <w:bookmarkEnd w:id="242"/>
      <w:bookmarkEnd w:id="243"/>
      <w:bookmarkEnd w:id="244"/>
      <w:bookmarkEnd w:id="245"/>
      <w:bookmarkEnd w:id="246"/>
      <w:bookmarkEnd w:id="247"/>
      <w:bookmarkEnd w:id="248"/>
      <w:bookmarkEnd w:id="249"/>
      <w:bookmarkEnd w:id="250"/>
    </w:p>
    <w:bookmarkEnd w:id="105"/>
    <w:p>
      <w:pPr>
        <w:spacing w:line="360" w:lineRule="auto"/>
        <w:contextualSpacing/>
        <w:rPr>
          <w:rFonts w:hint="eastAsia"/>
          <w:szCs w:val="21"/>
        </w:rPr>
      </w:pPr>
      <w:r>
        <w:rPr>
          <w:rFonts w:hint="eastAsia"/>
          <w:szCs w:val="21"/>
        </w:rPr>
        <w:t>32、参加政府采购活动的中小企业（含中型、小型、微型企业，其他地方同）应当同时符合以下条件：</w:t>
      </w:r>
    </w:p>
    <w:p>
      <w:pPr>
        <w:widowControl/>
        <w:spacing w:line="360" w:lineRule="auto"/>
        <w:ind w:firstLine="420" w:firstLineChars="200"/>
        <w:contextualSpacing/>
        <w:jc w:val="left"/>
        <w:rPr>
          <w:rFonts w:hint="eastAsia" w:cs="宋体"/>
          <w:szCs w:val="21"/>
        </w:rPr>
      </w:pPr>
      <w:r>
        <w:rPr>
          <w:rFonts w:hint="eastAsia" w:cs="宋体"/>
          <w:szCs w:val="21"/>
          <w:lang w:bidi="ar"/>
        </w:rPr>
        <w:t>32.1符合中小企业划分标准（具体见工信部联企业[2011]300号）；</w:t>
      </w:r>
    </w:p>
    <w:p>
      <w:pPr>
        <w:widowControl/>
        <w:spacing w:line="360" w:lineRule="auto"/>
        <w:ind w:firstLine="420" w:firstLineChars="200"/>
        <w:contextualSpacing/>
        <w:jc w:val="left"/>
        <w:rPr>
          <w:rFonts w:hint="eastAsia" w:cs="宋体"/>
          <w:szCs w:val="21"/>
        </w:rPr>
      </w:pPr>
      <w:r>
        <w:rPr>
          <w:rFonts w:hint="eastAsia" w:cs="宋体"/>
          <w:szCs w:val="21"/>
          <w:lang w:bidi="ar"/>
        </w:rPr>
        <w:t>32.2提供本企业制造的货物、承担的工程或者服务，或者提供其他中小企业制造的货物。本项所称货物不包括使用大型企业注册商标的货物。</w:t>
      </w:r>
    </w:p>
    <w:p>
      <w:pPr>
        <w:widowControl/>
        <w:spacing w:line="360" w:lineRule="auto"/>
        <w:ind w:firstLine="420" w:firstLineChars="200"/>
        <w:contextualSpacing/>
        <w:jc w:val="left"/>
        <w:rPr>
          <w:rFonts w:hint="eastAsia" w:cs="宋体"/>
          <w:szCs w:val="21"/>
        </w:rPr>
      </w:pPr>
      <w:r>
        <w:rPr>
          <w:rFonts w:hint="eastAsia" w:cs="宋体"/>
          <w:szCs w:val="21"/>
          <w:lang w:bidi="ar"/>
        </w:rPr>
        <w:t>32.3小型、微型企业提供中型企业制造的货物的，视同为中型企业。</w:t>
      </w:r>
    </w:p>
    <w:p>
      <w:pPr>
        <w:spacing w:line="360" w:lineRule="auto"/>
        <w:contextualSpacing/>
        <w:rPr>
          <w:rFonts w:hint="eastAsia"/>
          <w:szCs w:val="21"/>
        </w:rPr>
      </w:pPr>
      <w:r>
        <w:rPr>
          <w:rFonts w:hint="eastAsia"/>
          <w:szCs w:val="21"/>
        </w:rPr>
        <w:t>33、参加政府采购活动的中小企业应当提供《中小企业声明函》。</w:t>
      </w:r>
    </w:p>
    <w:p>
      <w:pPr>
        <w:spacing w:line="360" w:lineRule="auto"/>
        <w:contextualSpacing/>
        <w:rPr>
          <w:rFonts w:hint="eastAsia"/>
          <w:szCs w:val="21"/>
        </w:rPr>
      </w:pPr>
      <w:r>
        <w:rPr>
          <w:rFonts w:hint="eastAsia"/>
          <w:szCs w:val="21"/>
        </w:rPr>
        <w:t>34、对于非专门面向中小企业的项目，对小型和微型企业产品的价格应给予6％-10％的扣除，用扣除后的价格参与评审。具体扣除比例见第四部分 评标办法及评分标准（如有）。</w:t>
      </w:r>
    </w:p>
    <w:p>
      <w:pPr>
        <w:spacing w:line="360" w:lineRule="auto"/>
        <w:contextualSpacing/>
        <w:rPr>
          <w:rFonts w:hint="eastAsia"/>
          <w:szCs w:val="21"/>
        </w:rPr>
      </w:pPr>
      <w:r>
        <w:rPr>
          <w:rFonts w:hint="eastAsia"/>
          <w:szCs w:val="21"/>
        </w:rPr>
        <w:t>35、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spacing w:line="360" w:lineRule="auto"/>
        <w:contextualSpacing/>
        <w:rPr>
          <w:rFonts w:hint="eastAsia"/>
          <w:szCs w:val="21"/>
        </w:rPr>
      </w:pPr>
      <w:r>
        <w:rPr>
          <w:rFonts w:hint="eastAsia"/>
          <w:szCs w:val="21"/>
        </w:rPr>
        <w:t>36、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spacing w:line="360" w:lineRule="auto"/>
        <w:contextualSpacing/>
        <w:rPr>
          <w:rFonts w:hint="eastAsia"/>
          <w:szCs w:val="21"/>
        </w:rPr>
      </w:pPr>
      <w:r>
        <w:rPr>
          <w:rFonts w:hint="eastAsia"/>
          <w:szCs w:val="21"/>
        </w:rPr>
        <w:t>37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contextualSpacing/>
        <w:rPr>
          <w:rFonts w:hint="eastAsia"/>
          <w:sz w:val="24"/>
          <w:szCs w:val="24"/>
        </w:rPr>
      </w:pPr>
      <w:r>
        <w:rPr>
          <w:rFonts w:hint="eastAsia"/>
          <w:szCs w:val="21"/>
        </w:rPr>
        <w:t>38、根据《关于促进残疾人就业政府采购政策的通知》（财库[2018]141号）规定，在政府采购活动中，残疾人福利性单位视同小型、微型企业。残疾人福利性单位参加政府采购活动时，提供《残疾人福利性单位声明函》。</w:t>
      </w:r>
    </w:p>
    <w:p>
      <w:pPr>
        <w:spacing w:before="60" w:after="60" w:line="0" w:lineRule="atLeast"/>
        <w:rPr>
          <w:w w:val="80"/>
          <w:sz w:val="24"/>
        </w:rPr>
        <w:sectPr>
          <w:footerReference r:id="rId9" w:type="default"/>
          <w:pgSz w:w="11907" w:h="16840"/>
          <w:pgMar w:top="1247" w:right="1531" w:bottom="1304" w:left="1531" w:header="284" w:footer="705" w:gutter="0"/>
          <w:pgNumType w:start="1"/>
          <w:cols w:space="720" w:num="1"/>
          <w:docGrid w:linePitch="285" w:charSpace="0"/>
        </w:sectPr>
      </w:pPr>
    </w:p>
    <w:p>
      <w:pPr>
        <w:pStyle w:val="40"/>
        <w:rPr>
          <w:rFonts w:hint="eastAsia" w:ascii="Times New Roman" w:hAnsi="Times New Roman"/>
          <w:kern w:val="44"/>
          <w:lang w:eastAsia="zh-CN"/>
        </w:rPr>
      </w:pPr>
      <w:bookmarkStart w:id="251" w:name="_Toc156754840"/>
      <w:bookmarkStart w:id="252" w:name="_Toc263083251"/>
      <w:bookmarkStart w:id="253" w:name="_Toc157022441"/>
      <w:bookmarkStart w:id="254" w:name="_Toc517688080"/>
      <w:bookmarkStart w:id="255" w:name="_Toc7549"/>
      <w:r>
        <w:rPr>
          <w:rFonts w:hint="eastAsia" w:ascii="Times New Roman" w:hAnsi="Times New Roman"/>
          <w:kern w:val="44"/>
        </w:rPr>
        <w:t>第四部分 评标</w:t>
      </w:r>
      <w:bookmarkEnd w:id="251"/>
      <w:bookmarkEnd w:id="252"/>
      <w:bookmarkEnd w:id="253"/>
      <w:r>
        <w:rPr>
          <w:rFonts w:hint="eastAsia" w:ascii="Times New Roman" w:hAnsi="Times New Roman"/>
          <w:kern w:val="44"/>
        </w:rPr>
        <w:t>办法及标准</w:t>
      </w:r>
      <w:bookmarkEnd w:id="254"/>
      <w:bookmarkEnd w:id="255"/>
    </w:p>
    <w:p>
      <w:pPr>
        <w:rPr>
          <w:rFonts w:hint="eastAsia"/>
        </w:rPr>
      </w:pPr>
    </w:p>
    <w:p>
      <w:pPr>
        <w:spacing w:line="360" w:lineRule="auto"/>
        <w:ind w:firstLine="420" w:firstLineChars="200"/>
        <w:contextualSpacing/>
        <w:rPr>
          <w:szCs w:val="21"/>
        </w:rPr>
      </w:pPr>
      <w:bookmarkStart w:id="256" w:name="_Toc471938831"/>
      <w:bookmarkStart w:id="257" w:name="_Toc263083254"/>
      <w:bookmarkStart w:id="258" w:name="_Toc208222299"/>
      <w:bookmarkStart w:id="259" w:name="_Toc246663002"/>
      <w:bookmarkStart w:id="260" w:name="_Toc243312838"/>
      <w:bookmarkStart w:id="261" w:name="_Toc202897570"/>
      <w:bookmarkStart w:id="262" w:name="_Toc203406683"/>
      <w:bookmarkStart w:id="263" w:name="_Toc250837977"/>
      <w:r>
        <w:rPr>
          <w:rFonts w:hint="eastAsia"/>
          <w:szCs w:val="21"/>
        </w:rPr>
        <w:t>本评标办法是对《投标人须知》中的七、评标和定标的具体补充，如有不一致，以本办法为准。</w:t>
      </w:r>
    </w:p>
    <w:p>
      <w:pPr>
        <w:spacing w:line="360" w:lineRule="auto"/>
        <w:ind w:firstLine="420" w:firstLineChars="200"/>
        <w:contextualSpacing/>
        <w:rPr>
          <w:szCs w:val="21"/>
        </w:rPr>
      </w:pPr>
      <w:r>
        <w:rPr>
          <w:rFonts w:hint="eastAsia"/>
          <w:szCs w:val="21"/>
        </w:rPr>
        <w:t>评标委员会按照采购文件“投标人须知”中关于评标委员会、评标办法、评标程序和原则、推荐中标候选人、定标等规定和本标准开展评标工作。</w:t>
      </w:r>
    </w:p>
    <w:p>
      <w:pPr>
        <w:pStyle w:val="4"/>
        <w:spacing w:before="0" w:after="0" w:line="360" w:lineRule="auto"/>
        <w:ind w:firstLine="200"/>
        <w:contextualSpacing/>
        <w:rPr>
          <w:rFonts w:ascii="Times New Roman" w:hAnsi="Times New Roman" w:eastAsia="宋体"/>
          <w:b w:val="0"/>
          <w:sz w:val="21"/>
          <w:szCs w:val="21"/>
        </w:rPr>
      </w:pPr>
      <w:bookmarkStart w:id="264" w:name="_Toc263083252"/>
      <w:bookmarkStart w:id="265" w:name="_Toc15649"/>
      <w:bookmarkStart w:id="266" w:name="_Toc250837975"/>
      <w:r>
        <w:rPr>
          <w:rFonts w:hint="eastAsia" w:ascii="Times New Roman" w:hAnsi="Times New Roman" w:eastAsia="宋体"/>
          <w:b w:val="0"/>
          <w:sz w:val="21"/>
          <w:szCs w:val="21"/>
        </w:rPr>
        <w:t>●评标办法</w:t>
      </w:r>
      <w:bookmarkEnd w:id="264"/>
      <w:bookmarkEnd w:id="265"/>
    </w:p>
    <w:p>
      <w:pPr>
        <w:spacing w:line="360" w:lineRule="auto"/>
        <w:ind w:firstLine="411" w:firstLineChars="196"/>
        <w:contextualSpacing/>
        <w:rPr>
          <w:szCs w:val="21"/>
        </w:rPr>
      </w:pPr>
      <w:r>
        <w:rPr>
          <w:rFonts w:hint="eastAsia"/>
          <w:szCs w:val="21"/>
        </w:rPr>
        <w:t>本次采购招标项目选用：综合评分法</w:t>
      </w:r>
      <w:bookmarkEnd w:id="266"/>
    </w:p>
    <w:p>
      <w:pPr>
        <w:pStyle w:val="4"/>
        <w:spacing w:before="0" w:after="0" w:line="360" w:lineRule="auto"/>
        <w:ind w:firstLine="200"/>
        <w:contextualSpacing/>
        <w:rPr>
          <w:rFonts w:ascii="Times New Roman" w:hAnsi="Times New Roman" w:eastAsia="宋体"/>
          <w:b w:val="0"/>
          <w:sz w:val="21"/>
          <w:szCs w:val="21"/>
        </w:rPr>
      </w:pPr>
      <w:bookmarkStart w:id="267" w:name="_Toc263083253"/>
      <w:bookmarkStart w:id="268" w:name="_Toc27070"/>
      <w:bookmarkStart w:id="269" w:name="_Toc250837976"/>
      <w:r>
        <w:rPr>
          <w:rFonts w:hint="eastAsia" w:ascii="Times New Roman" w:hAnsi="Times New Roman" w:eastAsia="宋体"/>
          <w:b w:val="0"/>
          <w:sz w:val="21"/>
          <w:szCs w:val="21"/>
        </w:rPr>
        <w:t>●评标细则</w:t>
      </w:r>
      <w:bookmarkEnd w:id="267"/>
      <w:bookmarkEnd w:id="268"/>
      <w:bookmarkEnd w:id="269"/>
    </w:p>
    <w:p>
      <w:pPr>
        <w:spacing w:line="360" w:lineRule="auto"/>
        <w:ind w:firstLine="420" w:firstLineChars="200"/>
        <w:contextualSpacing/>
        <w:rPr>
          <w:szCs w:val="21"/>
        </w:rPr>
      </w:pPr>
      <w:r>
        <w:rPr>
          <w:rFonts w:hint="eastAsia"/>
          <w:szCs w:val="21"/>
        </w:rPr>
        <w:t>1、对初步审查（含资格审查、符合性审查）合格者进行评分。</w:t>
      </w:r>
    </w:p>
    <w:p>
      <w:pPr>
        <w:spacing w:line="360" w:lineRule="auto"/>
        <w:ind w:firstLine="420" w:firstLineChars="200"/>
        <w:contextualSpacing/>
        <w:rPr>
          <w:szCs w:val="21"/>
        </w:rPr>
      </w:pPr>
      <w:r>
        <w:rPr>
          <w:rFonts w:hint="eastAsia"/>
          <w:szCs w:val="21"/>
        </w:rPr>
        <w:t>2、</w:t>
      </w:r>
      <w:r>
        <w:rPr>
          <w:szCs w:val="21"/>
        </w:rPr>
        <w:t>每位评委</w:t>
      </w:r>
      <w:r>
        <w:rPr>
          <w:rFonts w:hint="eastAsia"/>
          <w:szCs w:val="21"/>
        </w:rPr>
        <w:t>根据《评分标准》</w:t>
      </w:r>
      <w:r>
        <w:rPr>
          <w:szCs w:val="21"/>
        </w:rPr>
        <w:t>独立逐栏打分，每栏分值不得超出规定的分值范围；各评分因素分值保留小数点后</w:t>
      </w:r>
      <w:r>
        <w:rPr>
          <w:rFonts w:hint="eastAsia"/>
          <w:szCs w:val="21"/>
        </w:rPr>
        <w:t>二</w:t>
      </w:r>
      <w:r>
        <w:rPr>
          <w:szCs w:val="21"/>
        </w:rPr>
        <w:t>位。</w:t>
      </w:r>
    </w:p>
    <w:p>
      <w:pPr>
        <w:spacing w:line="360" w:lineRule="auto"/>
        <w:ind w:firstLine="420" w:firstLineChars="200"/>
        <w:contextualSpacing/>
        <w:rPr>
          <w:szCs w:val="21"/>
        </w:rPr>
      </w:pPr>
      <w:r>
        <w:rPr>
          <w:rFonts w:hint="eastAsia"/>
          <w:szCs w:val="21"/>
        </w:rPr>
        <w:t>3、</w:t>
      </w:r>
      <w:r>
        <w:rPr>
          <w:szCs w:val="21"/>
        </w:rPr>
        <w:t>价格评审基准价格与价格评审：有效投标中的最低投标报价为基准价格，其投标价格分得满分。其余投标价格分得分计算按照“评分标准”中评审得分公式计算，以四舍五入方法</w:t>
      </w:r>
      <w:r>
        <w:rPr>
          <w:rFonts w:hint="eastAsia"/>
          <w:szCs w:val="21"/>
        </w:rPr>
        <w:t>修约</w:t>
      </w:r>
      <w:r>
        <w:rPr>
          <w:szCs w:val="21"/>
        </w:rPr>
        <w:t>到小数点后</w:t>
      </w:r>
      <w:r>
        <w:rPr>
          <w:rFonts w:hint="eastAsia"/>
          <w:szCs w:val="21"/>
        </w:rPr>
        <w:t>两</w:t>
      </w:r>
      <w:r>
        <w:rPr>
          <w:szCs w:val="21"/>
        </w:rPr>
        <w:t>位。</w:t>
      </w:r>
    </w:p>
    <w:p>
      <w:pPr>
        <w:spacing w:line="360" w:lineRule="auto"/>
        <w:ind w:firstLine="420" w:firstLineChars="200"/>
        <w:contextualSpacing/>
        <w:rPr>
          <w:szCs w:val="21"/>
        </w:rPr>
      </w:pPr>
      <w:r>
        <w:rPr>
          <w:rFonts w:hint="eastAsia"/>
          <w:szCs w:val="21"/>
        </w:rPr>
        <w:t>4、</w:t>
      </w:r>
      <w:r>
        <w:rPr>
          <w:szCs w:val="21"/>
        </w:rPr>
        <w:t>最终得分：各评委</w:t>
      </w:r>
      <w:r>
        <w:rPr>
          <w:rFonts w:hint="eastAsia"/>
          <w:szCs w:val="21"/>
        </w:rPr>
        <w:t>技术商务分的算术平均值+投标价格分=最终得分</w:t>
      </w:r>
      <w:r>
        <w:rPr>
          <w:szCs w:val="21"/>
        </w:rPr>
        <w:t>，以四舍五入法</w:t>
      </w:r>
      <w:r>
        <w:rPr>
          <w:rFonts w:hint="eastAsia"/>
          <w:szCs w:val="21"/>
        </w:rPr>
        <w:t>修约</w:t>
      </w:r>
      <w:r>
        <w:rPr>
          <w:szCs w:val="21"/>
        </w:rPr>
        <w:t>到小数点后</w:t>
      </w:r>
      <w:r>
        <w:rPr>
          <w:rFonts w:hint="eastAsia"/>
          <w:szCs w:val="21"/>
        </w:rPr>
        <w:t>二</w:t>
      </w:r>
      <w:r>
        <w:rPr>
          <w:szCs w:val="21"/>
        </w:rPr>
        <w:t>位</w:t>
      </w:r>
      <w:r>
        <w:rPr>
          <w:rFonts w:hint="eastAsia"/>
          <w:szCs w:val="21"/>
        </w:rPr>
        <w:t>。</w:t>
      </w:r>
    </w:p>
    <w:p>
      <w:pPr>
        <w:spacing w:line="360" w:lineRule="auto"/>
        <w:ind w:firstLine="420" w:firstLineChars="200"/>
        <w:contextualSpacing/>
        <w:rPr>
          <w:rFonts w:hint="eastAsia"/>
          <w:szCs w:val="21"/>
        </w:rPr>
      </w:pPr>
      <w:r>
        <w:rPr>
          <w:rFonts w:hint="eastAsia"/>
          <w:szCs w:val="21"/>
        </w:rPr>
        <w:t>5、评价排序：按评审后得分由高到低顺序排列。得分相同的，按投标报价由低到高顺序的排名确定中标候选人，得分且投标报价相同的并列，抽签决定中标候选人。</w:t>
      </w:r>
    </w:p>
    <w:p>
      <w:pPr>
        <w:pStyle w:val="4"/>
        <w:spacing w:before="0" w:after="0" w:line="360" w:lineRule="auto"/>
        <w:ind w:firstLine="200"/>
        <w:contextualSpacing/>
        <w:rPr>
          <w:rFonts w:ascii="Times New Roman" w:hAnsi="Times New Roman" w:eastAsia="宋体"/>
          <w:b w:val="0"/>
          <w:sz w:val="21"/>
          <w:szCs w:val="21"/>
        </w:rPr>
      </w:pPr>
      <w:bookmarkStart w:id="270" w:name="_Toc8190"/>
      <w:r>
        <w:rPr>
          <w:rFonts w:hint="eastAsia" w:ascii="Times New Roman" w:hAnsi="Times New Roman" w:eastAsia="宋体"/>
          <w:b w:val="0"/>
          <w:sz w:val="21"/>
          <w:szCs w:val="21"/>
        </w:rPr>
        <w:t>●其他说明</w:t>
      </w:r>
      <w:bookmarkEnd w:id="270"/>
    </w:p>
    <w:p>
      <w:pPr>
        <w:spacing w:line="360" w:lineRule="auto"/>
        <w:ind w:firstLine="420" w:firstLineChars="200"/>
        <w:contextualSpacing/>
        <w:rPr>
          <w:szCs w:val="21"/>
        </w:rPr>
      </w:pPr>
      <w:r>
        <w:rPr>
          <w:rFonts w:hint="eastAsia"/>
          <w:szCs w:val="21"/>
        </w:rPr>
        <w:t>有效投标：通过初步审查且投标报价符合评审范围。</w:t>
      </w:r>
    </w:p>
    <w:p>
      <w:pPr>
        <w:spacing w:line="360" w:lineRule="auto"/>
        <w:ind w:firstLine="420" w:firstLineChars="200"/>
        <w:contextualSpacing/>
        <w:rPr>
          <w:rFonts w:hint="eastAsia"/>
          <w:szCs w:val="21"/>
        </w:rPr>
      </w:pPr>
      <w:r>
        <w:rPr>
          <w:szCs w:val="21"/>
        </w:rPr>
        <w:t>本次采购为非专门面向中小企业，本次评标将对中小企业声明函满足采购文件要求的小型和微型企业产品的价格</w:t>
      </w:r>
      <w:r>
        <w:rPr>
          <w:rFonts w:hint="eastAsia"/>
          <w:szCs w:val="21"/>
        </w:rPr>
        <w:t>（包括监狱企业）</w:t>
      </w:r>
      <w:r>
        <w:rPr>
          <w:szCs w:val="21"/>
        </w:rPr>
        <w:t>给予6%的扣除，用扣除后的价格参与评审。</w:t>
      </w:r>
    </w:p>
    <w:p>
      <w:pPr>
        <w:pStyle w:val="4"/>
        <w:spacing w:before="0" w:after="0" w:line="360" w:lineRule="auto"/>
        <w:ind w:firstLine="200"/>
        <w:contextualSpacing/>
        <w:rPr>
          <w:rFonts w:ascii="Times New Roman" w:hAnsi="Times New Roman" w:eastAsia="宋体"/>
          <w:b w:val="0"/>
          <w:sz w:val="24"/>
          <w:szCs w:val="24"/>
        </w:rPr>
      </w:pPr>
      <w:bookmarkStart w:id="271" w:name="_Toc27877"/>
      <w:r>
        <w:rPr>
          <w:rFonts w:hint="eastAsia" w:ascii="Times New Roman" w:hAnsi="Times New Roman" w:eastAsia="宋体"/>
          <w:b w:val="0"/>
          <w:sz w:val="21"/>
          <w:szCs w:val="21"/>
        </w:rPr>
        <w:t>●评分标准</w:t>
      </w:r>
      <w:bookmarkEnd w:id="256"/>
      <w:bookmarkEnd w:id="257"/>
      <w:bookmarkEnd w:id="258"/>
      <w:bookmarkEnd w:id="259"/>
      <w:bookmarkEnd w:id="260"/>
      <w:bookmarkEnd w:id="261"/>
      <w:bookmarkEnd w:id="262"/>
      <w:bookmarkEnd w:id="263"/>
      <w:bookmarkEnd w:id="271"/>
      <w:bookmarkStart w:id="272" w:name="_Toc146800983"/>
      <w:bookmarkStart w:id="273" w:name="_Toc157022442"/>
      <w:bookmarkStart w:id="274" w:name="_Toc263083257"/>
    </w:p>
    <w:p/>
    <w:p>
      <w:pPr>
        <w:spacing w:line="360" w:lineRule="auto"/>
        <w:contextualSpacing/>
        <w:jc w:val="center"/>
        <w:rPr>
          <w:rFonts w:hint="eastAsia"/>
          <w:b/>
          <w:sz w:val="30"/>
          <w:szCs w:val="30"/>
        </w:rPr>
      </w:pPr>
      <w:r>
        <w:rPr>
          <w:b/>
          <w:sz w:val="30"/>
          <w:szCs w:val="30"/>
        </w:rPr>
        <w:br w:type="page"/>
      </w:r>
      <w:r>
        <w:rPr>
          <w:rFonts w:hint="eastAsia"/>
          <w:b/>
          <w:sz w:val="30"/>
          <w:szCs w:val="30"/>
        </w:rPr>
        <w:t>评分标准</w:t>
      </w:r>
    </w:p>
    <w:tbl>
      <w:tblPr>
        <w:tblStyle w:val="44"/>
        <w:tblpPr w:leftFromText="180" w:rightFromText="180" w:vertAnchor="text" w:horzAnchor="margin" w:tblpXSpec="center" w:tblpY="4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widowControl/>
              <w:snapToGrid w:val="0"/>
              <w:spacing w:line="400" w:lineRule="exact"/>
              <w:contextualSpacing/>
              <w:jc w:val="center"/>
              <w:rPr>
                <w:rFonts w:ascii="Times New Roman" w:hAnsi="Times New Roman"/>
                <w:szCs w:val="24"/>
                <w:highlight w:val="none"/>
              </w:rPr>
            </w:pPr>
            <w:r>
              <w:rPr>
                <w:rFonts w:hint="eastAsia" w:ascii="Times New Roman" w:hAnsi="Times New Roman"/>
                <w:szCs w:val="24"/>
                <w:highlight w:val="none"/>
              </w:rPr>
              <w:t>序号</w:t>
            </w:r>
          </w:p>
        </w:tc>
        <w:tc>
          <w:tcPr>
            <w:tcW w:w="9356" w:type="dxa"/>
            <w:tcBorders>
              <w:tl2br w:val="single" w:color="auto" w:sz="4" w:space="0"/>
            </w:tcBorders>
            <w:noWrap w:val="0"/>
            <w:vAlign w:val="center"/>
          </w:tcPr>
          <w:p>
            <w:pPr>
              <w:widowControl/>
              <w:snapToGrid w:val="0"/>
              <w:spacing w:line="400" w:lineRule="exact"/>
              <w:ind w:right="105"/>
              <w:contextualSpacing/>
              <w:jc w:val="right"/>
              <w:rPr>
                <w:rFonts w:hint="eastAsia" w:ascii="Times New Roman" w:hAnsi="Times New Roman"/>
                <w:szCs w:val="24"/>
                <w:highlight w:val="none"/>
              </w:rPr>
            </w:pPr>
          </w:p>
          <w:p>
            <w:pPr>
              <w:widowControl/>
              <w:snapToGrid w:val="0"/>
              <w:spacing w:line="400" w:lineRule="exact"/>
              <w:contextualSpacing/>
              <w:rPr>
                <w:rFonts w:ascii="Times New Roman" w:hAnsi="Times New Roman"/>
                <w:szCs w:val="24"/>
                <w:highlight w:val="none"/>
              </w:rPr>
            </w:pPr>
            <w:r>
              <w:rPr>
                <w:rFonts w:hint="eastAsia" w:ascii="Times New Roman" w:hAnsi="Times New Roman"/>
                <w:szCs w:val="24"/>
                <w:highlight w:val="none"/>
              </w:rPr>
              <w:t>评分项目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noWrap w:val="0"/>
            <w:vAlign w:val="center"/>
          </w:tcPr>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技</w:t>
            </w:r>
          </w:p>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术</w:t>
            </w:r>
          </w:p>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商</w:t>
            </w:r>
          </w:p>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务</w:t>
            </w:r>
          </w:p>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分</w:t>
            </w:r>
          </w:p>
          <w:p>
            <w:pPr>
              <w:snapToGrid w:val="0"/>
              <w:spacing w:line="400" w:lineRule="exact"/>
              <w:contextualSpacing/>
              <w:jc w:val="center"/>
              <w:rPr>
                <w:rFonts w:hint="eastAsia" w:ascii="Times New Roman" w:hAnsi="Times New Roman"/>
                <w:szCs w:val="24"/>
                <w:highlight w:val="none"/>
              </w:rPr>
            </w:pPr>
            <w:r>
              <w:rPr>
                <w:rFonts w:ascii="Times New Roman" w:hAnsi="Times New Roman"/>
                <w:szCs w:val="24"/>
                <w:highlight w:val="none"/>
              </w:rPr>
              <w:t>70</w:t>
            </w:r>
          </w:p>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分</w:t>
            </w:r>
          </w:p>
        </w:tc>
        <w:tc>
          <w:tcPr>
            <w:tcW w:w="9356" w:type="dxa"/>
            <w:noWrap w:val="0"/>
            <w:vAlign w:val="center"/>
          </w:tcPr>
          <w:p>
            <w:pPr>
              <w:tabs>
                <w:tab w:val="left" w:pos="509"/>
              </w:tabs>
              <w:autoSpaceDE/>
              <w:autoSpaceDN/>
              <w:snapToGrid/>
              <w:spacing w:line="400" w:lineRule="exact"/>
              <w:rPr>
                <w:rFonts w:hint="eastAsia" w:ascii="Times New Roman" w:hAnsi="Times New Roman" w:cs="宋体"/>
                <w:kern w:val="0"/>
                <w:szCs w:val="21"/>
                <w:highlight w:val="none"/>
                <w:lang w:bidi="ar"/>
              </w:rPr>
            </w:pPr>
            <w:r>
              <w:rPr>
                <w:rFonts w:hint="eastAsia" w:ascii="Times New Roman" w:hAnsi="Times New Roman" w:cs="宋体"/>
                <w:kern w:val="0"/>
                <w:szCs w:val="21"/>
                <w:highlight w:val="none"/>
                <w:lang w:bidi="ar"/>
              </w:rPr>
              <w:t>投标人综合实力（</w:t>
            </w:r>
            <w:r>
              <w:rPr>
                <w:rFonts w:hint="eastAsia" w:ascii="Times New Roman" w:hAnsi="Times New Roman" w:cs="宋体"/>
                <w:kern w:val="0"/>
                <w:szCs w:val="21"/>
                <w:highlight w:val="none"/>
                <w:lang w:val="en-US" w:eastAsia="zh-CN" w:bidi="ar"/>
              </w:rPr>
              <w:t>7</w:t>
            </w:r>
            <w:r>
              <w:rPr>
                <w:rFonts w:hint="eastAsia" w:ascii="Times New Roman" w:hAnsi="Times New Roman" w:cs="宋体"/>
                <w:kern w:val="0"/>
                <w:szCs w:val="21"/>
                <w:highlight w:val="none"/>
                <w:lang w:bidi="ar"/>
              </w:rPr>
              <w:t>分）</w:t>
            </w:r>
          </w:p>
          <w:p>
            <w:pPr>
              <w:tabs>
                <w:tab w:val="left" w:pos="509"/>
              </w:tabs>
              <w:adjustRightInd/>
              <w:snapToGrid/>
              <w:spacing w:line="360" w:lineRule="auto"/>
              <w:rPr>
                <w:rFonts w:hint="eastAsia" w:ascii="Times New Roman" w:hAnsi="Times New Roman" w:cs="宋体"/>
                <w:kern w:val="0"/>
                <w:szCs w:val="21"/>
                <w:highlight w:val="none"/>
                <w:lang w:bidi="ar"/>
              </w:rPr>
            </w:pPr>
            <w:r>
              <w:rPr>
                <w:rFonts w:hint="eastAsia" w:ascii="Times New Roman" w:hAnsi="Times New Roman" w:cs="宋体"/>
                <w:kern w:val="0"/>
                <w:szCs w:val="21"/>
                <w:highlight w:val="none"/>
                <w:lang w:bidi="ar"/>
              </w:rPr>
              <w:t>1、投标人具备有效期内的质量管理体系认证证书，符合GB/T19001/ISO9001，得1分；</w:t>
            </w:r>
          </w:p>
          <w:p>
            <w:pPr>
              <w:tabs>
                <w:tab w:val="left" w:pos="509"/>
              </w:tabs>
              <w:adjustRightInd/>
              <w:snapToGrid/>
              <w:spacing w:line="360" w:lineRule="auto"/>
              <w:rPr>
                <w:rFonts w:hint="eastAsia" w:ascii="Times New Roman" w:hAnsi="Times New Roman" w:cs="宋体"/>
                <w:kern w:val="0"/>
                <w:szCs w:val="21"/>
                <w:highlight w:val="none"/>
                <w:lang w:bidi="ar"/>
              </w:rPr>
            </w:pPr>
            <w:r>
              <w:rPr>
                <w:rFonts w:hint="eastAsia" w:ascii="Times New Roman" w:hAnsi="Times New Roman" w:cs="宋体"/>
                <w:kern w:val="0"/>
                <w:szCs w:val="21"/>
                <w:highlight w:val="none"/>
                <w:lang w:bidi="ar"/>
              </w:rPr>
              <w:t>2、投标人具备有效期内的省级及以上部门颁发的高新技术企业证书的，得1分；</w:t>
            </w:r>
          </w:p>
          <w:p>
            <w:pPr>
              <w:tabs>
                <w:tab w:val="left" w:pos="509"/>
              </w:tabs>
              <w:adjustRightInd/>
              <w:snapToGrid/>
              <w:spacing w:line="360" w:lineRule="auto"/>
              <w:rPr>
                <w:rFonts w:hint="eastAsia" w:ascii="Times New Roman" w:hAnsi="Times New Roman" w:cs="宋体"/>
                <w:kern w:val="0"/>
                <w:szCs w:val="21"/>
                <w:highlight w:val="none"/>
                <w:lang w:bidi="ar"/>
              </w:rPr>
            </w:pPr>
            <w:r>
              <w:rPr>
                <w:rFonts w:hint="eastAsia" w:ascii="Times New Roman" w:hAnsi="Times New Roman" w:cs="宋体"/>
                <w:kern w:val="0"/>
                <w:szCs w:val="21"/>
                <w:highlight w:val="none"/>
                <w:lang w:val="en-US" w:eastAsia="zh-CN" w:bidi="ar"/>
              </w:rPr>
              <w:t>3</w:t>
            </w:r>
            <w:r>
              <w:rPr>
                <w:rFonts w:hint="eastAsia" w:ascii="Times New Roman" w:hAnsi="Times New Roman" w:cs="宋体"/>
                <w:kern w:val="0"/>
                <w:szCs w:val="21"/>
                <w:highlight w:val="none"/>
                <w:lang w:eastAsia="zh-CN" w:bidi="ar"/>
              </w:rPr>
              <w:t>、</w:t>
            </w:r>
            <w:r>
              <w:rPr>
                <w:rFonts w:hint="eastAsia" w:ascii="Times New Roman" w:hAnsi="Times New Roman" w:cs="宋体"/>
                <w:kern w:val="0"/>
                <w:szCs w:val="21"/>
                <w:highlight w:val="none"/>
                <w:lang w:bidi="ar"/>
              </w:rPr>
              <w:t>投标人具备有效期内的信息安全管理体系认证证书，得1分；</w:t>
            </w:r>
          </w:p>
          <w:p>
            <w:pPr>
              <w:pStyle w:val="42"/>
              <w:spacing w:line="360" w:lineRule="auto"/>
              <w:ind w:firstLine="0" w:firstLineChars="0"/>
              <w:rPr>
                <w:rFonts w:hint="eastAsia" w:eastAsia="宋体"/>
                <w:lang w:eastAsia="zh-CN"/>
              </w:rPr>
            </w:pPr>
            <w:r>
              <w:rPr>
                <w:rFonts w:hint="eastAsia" w:ascii="Times New Roman" w:hAnsi="Times New Roman" w:cs="宋体"/>
                <w:kern w:val="0"/>
                <w:szCs w:val="21"/>
                <w:highlight w:val="none"/>
                <w:lang w:val="en-US" w:eastAsia="zh-CN" w:bidi="ar"/>
              </w:rPr>
              <w:t>4</w:t>
            </w:r>
            <w:r>
              <w:rPr>
                <w:rFonts w:hint="eastAsia" w:ascii="Times New Roman" w:hAnsi="Times New Roman" w:cs="宋体"/>
                <w:kern w:val="0"/>
                <w:szCs w:val="21"/>
                <w:highlight w:val="none"/>
                <w:lang w:eastAsia="zh-CN" w:bidi="ar"/>
              </w:rPr>
              <w:t>、</w:t>
            </w:r>
            <w:r>
              <w:rPr>
                <w:rFonts w:hint="eastAsia" w:ascii="Times New Roman" w:hAnsi="Times New Roman" w:cs="宋体"/>
                <w:kern w:val="0"/>
                <w:szCs w:val="21"/>
                <w:highlight w:val="none"/>
                <w:lang w:bidi="ar"/>
              </w:rPr>
              <w:t>投标人具备有效期内的信息技术服务管理体系认证证书，得1分</w:t>
            </w:r>
            <w:r>
              <w:rPr>
                <w:rFonts w:hint="eastAsia" w:ascii="Times New Roman" w:hAnsi="Times New Roman" w:cs="宋体"/>
                <w:kern w:val="0"/>
                <w:szCs w:val="21"/>
                <w:highlight w:val="none"/>
                <w:lang w:eastAsia="zh-CN" w:bidi="ar"/>
              </w:rPr>
              <w:t>；</w:t>
            </w:r>
          </w:p>
          <w:p>
            <w:pPr>
              <w:tabs>
                <w:tab w:val="left" w:pos="509"/>
              </w:tabs>
              <w:autoSpaceDE/>
              <w:autoSpaceDN/>
              <w:snapToGrid/>
              <w:spacing w:line="360" w:lineRule="auto"/>
              <w:rPr>
                <w:rFonts w:hint="eastAsia" w:ascii="Times New Roman" w:hAnsi="Times New Roman" w:cs="宋体"/>
                <w:kern w:val="0"/>
                <w:szCs w:val="21"/>
                <w:highlight w:val="none"/>
                <w:lang w:bidi="ar"/>
              </w:rPr>
            </w:pPr>
            <w:r>
              <w:rPr>
                <w:rFonts w:hint="eastAsia" w:ascii="Times New Roman" w:hAnsi="Times New Roman" w:cs="宋体"/>
                <w:kern w:val="0"/>
                <w:szCs w:val="21"/>
                <w:highlight w:val="none"/>
                <w:lang w:val="en-US" w:eastAsia="zh-CN" w:bidi="ar"/>
              </w:rPr>
              <w:t>5</w:t>
            </w:r>
            <w:r>
              <w:rPr>
                <w:rFonts w:hint="eastAsia" w:ascii="Times New Roman" w:hAnsi="Times New Roman" w:cs="宋体"/>
                <w:kern w:val="0"/>
                <w:szCs w:val="21"/>
                <w:highlight w:val="none"/>
                <w:lang w:bidi="ar"/>
              </w:rPr>
              <w:t>、投标人具备有效期内的第三方信用服务机构出具的企业信用等级证书，信用等级为“AAA”的得3分，信用等级为“AA”的得2分，信用等级为“A”的得1分</w:t>
            </w:r>
            <w:r>
              <w:rPr>
                <w:rFonts w:hint="eastAsia" w:ascii="Times New Roman" w:hAnsi="Times New Roman" w:cs="宋体"/>
                <w:kern w:val="0"/>
                <w:szCs w:val="21"/>
                <w:highlight w:val="none"/>
                <w:lang w:eastAsia="zh-CN" w:bidi="ar"/>
              </w:rPr>
              <w:t>（</w:t>
            </w:r>
            <w:r>
              <w:rPr>
                <w:rFonts w:hint="eastAsia" w:ascii="Times New Roman" w:hAnsi="Times New Roman" w:cs="宋体"/>
                <w:kern w:val="0"/>
                <w:szCs w:val="21"/>
                <w:highlight w:val="none"/>
                <w:lang w:val="en-US" w:eastAsia="zh-CN" w:bidi="ar"/>
              </w:rPr>
              <w:t>满分3分，只计取最高项得分，不累计得分）。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napToGrid w:val="0"/>
              <w:spacing w:line="400" w:lineRule="exact"/>
              <w:contextualSpacing/>
              <w:jc w:val="center"/>
              <w:rPr>
                <w:rFonts w:hint="eastAsia" w:ascii="Times New Roman" w:hAnsi="Times New Roman"/>
                <w:szCs w:val="24"/>
                <w:highlight w:val="none"/>
              </w:rPr>
            </w:pPr>
          </w:p>
        </w:tc>
        <w:tc>
          <w:tcPr>
            <w:tcW w:w="9356" w:type="dxa"/>
            <w:noWrap w:val="0"/>
            <w:vAlign w:val="center"/>
          </w:tcPr>
          <w:p>
            <w:pPr>
              <w:autoSpaceDE w:val="0"/>
              <w:autoSpaceDN w:val="0"/>
              <w:snapToGrid w:val="0"/>
              <w:spacing w:line="400" w:lineRule="exact"/>
              <w:rPr>
                <w:rFonts w:hint="eastAsia" w:ascii="Times New Roman" w:hAnsi="Times New Roman" w:cs="宋体"/>
                <w:kern w:val="0"/>
                <w:szCs w:val="21"/>
                <w:highlight w:val="none"/>
                <w:lang w:bidi="ar"/>
              </w:rPr>
            </w:pPr>
            <w:r>
              <w:rPr>
                <w:rFonts w:hint="eastAsia" w:ascii="Times New Roman" w:hAnsi="Times New Roman" w:cs="宋体"/>
                <w:kern w:val="0"/>
                <w:szCs w:val="21"/>
                <w:highlight w:val="none"/>
                <w:lang w:bidi="ar"/>
              </w:rPr>
              <w:t>同类项目业绩服务业绩（</w:t>
            </w:r>
            <w:r>
              <w:rPr>
                <w:rFonts w:hint="eastAsia" w:ascii="Times New Roman" w:hAnsi="Times New Roman" w:cs="宋体"/>
                <w:kern w:val="0"/>
                <w:szCs w:val="21"/>
                <w:highlight w:val="none"/>
                <w:lang w:val="en-US" w:eastAsia="zh-CN" w:bidi="ar"/>
              </w:rPr>
              <w:t>5</w:t>
            </w:r>
            <w:r>
              <w:rPr>
                <w:rFonts w:hint="eastAsia" w:ascii="Times New Roman" w:hAnsi="Times New Roman" w:cs="宋体"/>
                <w:kern w:val="0"/>
                <w:szCs w:val="21"/>
                <w:highlight w:val="none"/>
                <w:lang w:bidi="ar"/>
              </w:rPr>
              <w:t>分）</w:t>
            </w:r>
          </w:p>
          <w:p>
            <w:pPr>
              <w:autoSpaceDE w:val="0"/>
              <w:autoSpaceDN w:val="0"/>
              <w:snapToGrid w:val="0"/>
              <w:spacing w:line="400" w:lineRule="exact"/>
              <w:rPr>
                <w:rFonts w:hint="eastAsia" w:ascii="Times New Roman" w:hAnsi="Times New Roman" w:eastAsia="宋体" w:cs="宋体"/>
                <w:kern w:val="0"/>
                <w:szCs w:val="21"/>
                <w:highlight w:val="none"/>
                <w:lang w:eastAsia="zh-CN" w:bidi="ar"/>
              </w:rPr>
            </w:pPr>
            <w:r>
              <w:rPr>
                <w:rFonts w:hint="eastAsia" w:ascii="Times New Roman" w:hAnsi="Times New Roman" w:cs="宋体"/>
                <w:kern w:val="0"/>
                <w:szCs w:val="21"/>
                <w:highlight w:val="none"/>
                <w:lang w:bidi="ar"/>
              </w:rPr>
              <w:t>投标人提供201</w:t>
            </w:r>
            <w:r>
              <w:rPr>
                <w:rFonts w:hint="eastAsia" w:ascii="Times New Roman" w:hAnsi="Times New Roman" w:cs="宋体"/>
                <w:kern w:val="0"/>
                <w:szCs w:val="21"/>
                <w:highlight w:val="none"/>
                <w:lang w:val="en-US" w:eastAsia="zh-CN" w:bidi="ar"/>
              </w:rPr>
              <w:t>7</w:t>
            </w:r>
            <w:r>
              <w:rPr>
                <w:rFonts w:hint="eastAsia" w:ascii="Times New Roman" w:hAnsi="Times New Roman" w:cs="宋体"/>
                <w:kern w:val="0"/>
                <w:szCs w:val="21"/>
                <w:highlight w:val="none"/>
                <w:lang w:bidi="ar"/>
              </w:rPr>
              <w:t>年1月以来具有类似项目业绩</w:t>
            </w:r>
            <w:r>
              <w:rPr>
                <w:rFonts w:hint="eastAsia" w:ascii="Times New Roman" w:hAnsi="Times New Roman" w:cs="宋体"/>
                <w:kern w:val="0"/>
                <w:szCs w:val="21"/>
                <w:highlight w:val="none"/>
                <w:lang w:eastAsia="zh-CN" w:bidi="ar"/>
              </w:rPr>
              <w:t>，</w:t>
            </w:r>
            <w:r>
              <w:rPr>
                <w:rFonts w:hint="eastAsia" w:ascii="Times New Roman" w:hAnsi="Times New Roman" w:cs="宋体"/>
                <w:kern w:val="0"/>
                <w:szCs w:val="21"/>
                <w:highlight w:val="none"/>
                <w:lang w:bidi="ar"/>
              </w:rPr>
              <w:t>每个得</w:t>
            </w:r>
            <w:r>
              <w:rPr>
                <w:rFonts w:hint="eastAsia" w:ascii="Times New Roman" w:hAnsi="Times New Roman" w:cs="宋体"/>
                <w:kern w:val="0"/>
                <w:szCs w:val="21"/>
                <w:highlight w:val="none"/>
                <w:lang w:val="en-US" w:eastAsia="zh-CN" w:bidi="ar"/>
              </w:rPr>
              <w:t>1</w:t>
            </w:r>
            <w:r>
              <w:rPr>
                <w:rFonts w:hint="eastAsia" w:ascii="Times New Roman" w:hAnsi="Times New Roman" w:cs="宋体"/>
                <w:kern w:val="0"/>
                <w:szCs w:val="21"/>
                <w:highlight w:val="none"/>
                <w:lang w:bidi="ar"/>
              </w:rPr>
              <w:t>分，最多得</w:t>
            </w:r>
            <w:r>
              <w:rPr>
                <w:rFonts w:hint="eastAsia" w:ascii="Times New Roman" w:hAnsi="Times New Roman" w:cs="宋体"/>
                <w:kern w:val="0"/>
                <w:szCs w:val="21"/>
                <w:highlight w:val="none"/>
                <w:lang w:val="en-US" w:eastAsia="zh-CN" w:bidi="ar"/>
              </w:rPr>
              <w:t>5</w:t>
            </w:r>
            <w:r>
              <w:rPr>
                <w:rFonts w:hint="eastAsia" w:ascii="Times New Roman" w:hAnsi="Times New Roman" w:cs="宋体"/>
                <w:kern w:val="0"/>
                <w:szCs w:val="21"/>
                <w:highlight w:val="none"/>
                <w:lang w:bidi="ar"/>
              </w:rPr>
              <w:t>分。注：每个业绩证明资料必须包括合同及其验收报告，复印件加盖公章</w:t>
            </w:r>
            <w:r>
              <w:rPr>
                <w:rFonts w:hint="eastAsia" w:ascii="Times New Roman" w:hAnsi="Times New Roman" w:cs="宋体"/>
                <w:kern w:val="0"/>
                <w:szCs w:val="21"/>
                <w:highlight w:val="none"/>
                <w:lang w:val="en-US" w:eastAsia="zh-CN" w:bidi="ar"/>
              </w:rPr>
              <w:t>编入投标文件</w:t>
            </w:r>
            <w:r>
              <w:rPr>
                <w:rFonts w:hint="eastAsia" w:ascii="Times New Roman" w:hAnsi="Times New Roman" w:cs="宋体"/>
                <w:kern w:val="0"/>
                <w:szCs w:val="21"/>
                <w:highlight w:val="none"/>
                <w:lang w:bidi="ar"/>
              </w:rPr>
              <w:t>（投标时携带合同原件备查）</w:t>
            </w:r>
            <w:r>
              <w:rPr>
                <w:rFonts w:hint="eastAsia" w:ascii="Times New Roman" w:hAnsi="Times New Roman" w:cs="宋体"/>
                <w:kern w:val="0"/>
                <w:szCs w:val="21"/>
                <w:highlight w:val="none"/>
                <w:lang w:eastAsia="zh-CN" w:bidi="ar"/>
              </w:rPr>
              <w:t>，</w:t>
            </w:r>
            <w:r>
              <w:rPr>
                <w:rFonts w:hint="eastAsia" w:ascii="Times New Roman" w:hAnsi="Times New Roman" w:cs="宋体"/>
                <w:kern w:val="0"/>
                <w:szCs w:val="21"/>
                <w:highlight w:val="none"/>
                <w:lang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highlight w:val="none"/>
              </w:rPr>
            </w:pPr>
          </w:p>
        </w:tc>
        <w:tc>
          <w:tcPr>
            <w:tcW w:w="9356" w:type="dxa"/>
            <w:noWrap w:val="0"/>
            <w:vAlign w:val="center"/>
          </w:tcPr>
          <w:p>
            <w:pPr>
              <w:autoSpaceDE w:val="0"/>
              <w:autoSpaceDN w:val="0"/>
              <w:snapToGrid w:val="0"/>
              <w:spacing w:line="400" w:lineRule="exact"/>
              <w:rPr>
                <w:rFonts w:hint="eastAsia" w:ascii="Times New Roman" w:hAnsi="Times New Roman"/>
                <w:szCs w:val="21"/>
                <w:highlight w:val="none"/>
              </w:rPr>
            </w:pPr>
            <w:r>
              <w:rPr>
                <w:rFonts w:hint="eastAsia" w:ascii="Arial" w:hAnsi="宋体" w:cs="Arial"/>
                <w:szCs w:val="21"/>
                <w:highlight w:val="none"/>
              </w:rPr>
              <w:t>投标产品技术性能、功能、成熟度与需求的吻合程度</w:t>
            </w:r>
            <w:r>
              <w:rPr>
                <w:rFonts w:hint="eastAsia" w:ascii="Times New Roman" w:hAnsi="Times New Roman"/>
                <w:szCs w:val="21"/>
                <w:highlight w:val="none"/>
              </w:rPr>
              <w:t>（</w:t>
            </w:r>
            <w:r>
              <w:rPr>
                <w:rFonts w:hint="eastAsia" w:ascii="Times New Roman" w:hAnsi="Times New Roman"/>
                <w:szCs w:val="21"/>
                <w:highlight w:val="none"/>
                <w:lang w:val="en-US" w:eastAsia="zh-CN"/>
              </w:rPr>
              <w:t>10</w:t>
            </w:r>
            <w:r>
              <w:rPr>
                <w:rFonts w:hint="eastAsia" w:ascii="Times New Roman" w:hAnsi="Times New Roman"/>
                <w:szCs w:val="21"/>
                <w:highlight w:val="none"/>
              </w:rPr>
              <w:t>分）</w:t>
            </w:r>
          </w:p>
          <w:p>
            <w:pPr>
              <w:autoSpaceDE w:val="0"/>
              <w:autoSpaceDN w:val="0"/>
              <w:snapToGrid w:val="0"/>
              <w:spacing w:line="400" w:lineRule="exact"/>
              <w:rPr>
                <w:rFonts w:hint="eastAsia" w:ascii="Times New Roman" w:hAnsi="Times New Roman"/>
                <w:szCs w:val="21"/>
                <w:highlight w:val="none"/>
              </w:rPr>
            </w:pPr>
            <w:r>
              <w:rPr>
                <w:rFonts w:hint="eastAsia" w:ascii="Arial" w:hAnsi="宋体" w:cs="Arial"/>
                <w:szCs w:val="21"/>
                <w:highlight w:val="none"/>
              </w:rPr>
              <w:t>根据所投产品基本功能、技术指标与需求的吻合程度和偏差情况（包括所投标产品的规格型号、详细配置、主要技术参数等），是否能够满足采购文件要求，能满足招标货物的所有性能及技术指标要求得</w:t>
            </w:r>
            <w:r>
              <w:rPr>
                <w:rFonts w:hint="eastAsia" w:ascii="Arial" w:hAnsi="宋体" w:cs="Arial"/>
                <w:szCs w:val="21"/>
                <w:highlight w:val="none"/>
                <w:lang w:val="en-US" w:eastAsia="zh-CN"/>
              </w:rPr>
              <w:t>10</w:t>
            </w:r>
            <w:r>
              <w:rPr>
                <w:rFonts w:hint="eastAsia" w:ascii="Arial" w:hAnsi="宋体" w:cs="Arial"/>
                <w:szCs w:val="21"/>
                <w:highlight w:val="none"/>
              </w:rPr>
              <w:t>分；每有一项不满足扣1分，扣完为止。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highlight w:val="none"/>
              </w:rPr>
            </w:pPr>
          </w:p>
        </w:tc>
        <w:tc>
          <w:tcPr>
            <w:tcW w:w="9356" w:type="dxa"/>
            <w:noWrap w:val="0"/>
            <w:vAlign w:val="center"/>
          </w:tcPr>
          <w:p>
            <w:pPr>
              <w:autoSpaceDE w:val="0"/>
              <w:autoSpaceDN w:val="0"/>
              <w:snapToGrid w:val="0"/>
              <w:spacing w:line="400" w:lineRule="exact"/>
              <w:rPr>
                <w:rFonts w:hint="eastAsia" w:ascii="Arial" w:hAnsi="宋体" w:cs="Arial"/>
                <w:szCs w:val="21"/>
                <w:highlight w:val="none"/>
              </w:rPr>
            </w:pPr>
            <w:r>
              <w:rPr>
                <w:rFonts w:hint="eastAsia" w:ascii="Arial" w:hAnsi="宋体" w:cs="Arial"/>
                <w:szCs w:val="21"/>
                <w:highlight w:val="none"/>
              </w:rPr>
              <w:t>检测报告</w:t>
            </w:r>
            <w:r>
              <w:rPr>
                <w:rFonts w:hint="eastAsia" w:ascii="Times New Roman" w:hAnsi="Times New Roman" w:cs="宋体"/>
                <w:kern w:val="0"/>
                <w:szCs w:val="21"/>
                <w:highlight w:val="none"/>
                <w:lang w:bidi="ar"/>
              </w:rPr>
              <w:t>（</w:t>
            </w:r>
            <w:r>
              <w:rPr>
                <w:rFonts w:hint="eastAsia" w:ascii="Times New Roman" w:hAnsi="Times New Roman" w:cs="宋体"/>
                <w:kern w:val="0"/>
                <w:szCs w:val="21"/>
                <w:highlight w:val="none"/>
                <w:lang w:val="en-US" w:eastAsia="zh-CN" w:bidi="ar"/>
              </w:rPr>
              <w:t>6</w:t>
            </w:r>
            <w:r>
              <w:rPr>
                <w:rFonts w:hint="eastAsia" w:ascii="Times New Roman" w:hAnsi="Times New Roman" w:cs="宋体"/>
                <w:kern w:val="0"/>
                <w:szCs w:val="21"/>
                <w:highlight w:val="none"/>
                <w:lang w:bidi="ar"/>
              </w:rPr>
              <w:t>分）</w:t>
            </w:r>
          </w:p>
          <w:p>
            <w:pPr>
              <w:autoSpaceDE w:val="0"/>
              <w:autoSpaceDN w:val="0"/>
              <w:snapToGrid w:val="0"/>
              <w:spacing w:line="400" w:lineRule="exact"/>
              <w:rPr>
                <w:rFonts w:hint="eastAsia" w:ascii="Arial" w:hAnsi="宋体" w:cs="Arial"/>
                <w:szCs w:val="21"/>
                <w:highlight w:val="none"/>
              </w:rPr>
            </w:pPr>
            <w:r>
              <w:rPr>
                <w:rFonts w:hint="eastAsia" w:ascii="Arial" w:hAnsi="宋体" w:cs="Arial"/>
                <w:szCs w:val="21"/>
                <w:highlight w:val="none"/>
              </w:rPr>
              <w:t>所投智能询讯问专用终端、智能存取管理设备需提供通过公安部相关部门出具的检测报告复印件并加盖原厂公章，每有一项得3分,最多得6分。</w:t>
            </w:r>
            <w:r>
              <w:rPr>
                <w:rFonts w:hint="eastAsia" w:ascii="Arial" w:hAnsi="宋体" w:cs="Arial"/>
                <w:szCs w:val="21"/>
                <w:highlight w:val="none"/>
                <w:lang w:val="en-US" w:eastAsia="zh-CN"/>
              </w:rPr>
              <w:t>检测报告</w:t>
            </w:r>
            <w:r>
              <w:rPr>
                <w:rFonts w:hint="eastAsia" w:ascii="Times New Roman" w:hAnsi="Times New Roman" w:cs="宋体"/>
                <w:kern w:val="0"/>
                <w:szCs w:val="21"/>
                <w:highlight w:val="none"/>
                <w:lang w:bidi="ar"/>
              </w:rPr>
              <w:t>复印件加盖公章</w:t>
            </w:r>
            <w:r>
              <w:rPr>
                <w:rFonts w:hint="eastAsia" w:ascii="Times New Roman" w:hAnsi="Times New Roman" w:cs="宋体"/>
                <w:kern w:val="0"/>
                <w:szCs w:val="21"/>
                <w:highlight w:val="none"/>
                <w:lang w:val="en-US" w:eastAsia="zh-CN" w:bidi="ar"/>
              </w:rPr>
              <w:t>编入投标文件</w:t>
            </w:r>
            <w:r>
              <w:rPr>
                <w:rFonts w:hint="eastAsia" w:ascii="Times New Roman" w:hAnsi="Times New Roman" w:cs="宋体"/>
                <w:kern w:val="0"/>
                <w:szCs w:val="21"/>
                <w:highlight w:val="none"/>
                <w:lang w:bidi="ar"/>
              </w:rPr>
              <w:t>（投标时携带原件备查）</w:t>
            </w:r>
            <w:r>
              <w:rPr>
                <w:rFonts w:hint="eastAsia" w:ascii="Times New Roman" w:hAnsi="Times New Roman" w:cs="宋体"/>
                <w:kern w:val="0"/>
                <w:szCs w:val="21"/>
                <w:highlight w:val="none"/>
                <w:lang w:eastAsia="zh-CN" w:bidi="ar"/>
              </w:rPr>
              <w:t>，</w:t>
            </w:r>
            <w:r>
              <w:rPr>
                <w:rFonts w:hint="eastAsia" w:ascii="Times New Roman" w:hAnsi="Times New Roman" w:cs="宋体"/>
                <w:kern w:val="0"/>
                <w:szCs w:val="21"/>
                <w:highlight w:val="none"/>
                <w:lang w:bidi="ar"/>
              </w:rPr>
              <w:t>否则不得分</w:t>
            </w:r>
            <w:r>
              <w:rPr>
                <w:rFonts w:hint="eastAsia" w:ascii="Arial" w:hAnsi="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highlight w:val="none"/>
              </w:rPr>
            </w:pPr>
          </w:p>
        </w:tc>
        <w:tc>
          <w:tcPr>
            <w:tcW w:w="9356" w:type="dxa"/>
            <w:noWrap w:val="0"/>
            <w:vAlign w:val="center"/>
          </w:tcPr>
          <w:p>
            <w:pPr>
              <w:autoSpaceDE w:val="0"/>
              <w:autoSpaceDN w:val="0"/>
              <w:snapToGrid w:val="0"/>
              <w:spacing w:line="400" w:lineRule="exact"/>
              <w:rPr>
                <w:rFonts w:hint="eastAsia" w:ascii="Arial" w:hAnsi="宋体" w:cs="Arial"/>
                <w:szCs w:val="21"/>
                <w:highlight w:val="none"/>
                <w:lang w:val="en-US" w:eastAsia="zh-CN"/>
              </w:rPr>
            </w:pPr>
            <w:r>
              <w:rPr>
                <w:rFonts w:hint="eastAsia" w:ascii="Arial" w:hAnsi="宋体" w:cs="Arial"/>
                <w:szCs w:val="21"/>
                <w:highlight w:val="none"/>
                <w:lang w:val="en-US" w:eastAsia="zh-CN"/>
              </w:rPr>
              <w:t>拟投入本项目人员实力</w:t>
            </w:r>
            <w:r>
              <w:rPr>
                <w:rFonts w:hint="eastAsia" w:ascii="Arial" w:hAnsi="宋体" w:cs="Arial"/>
                <w:kern w:val="2"/>
                <w:szCs w:val="21"/>
                <w:highlight w:val="none"/>
                <w:lang w:bidi="ar"/>
              </w:rPr>
              <w:t>（</w:t>
            </w:r>
            <w:r>
              <w:rPr>
                <w:rFonts w:hint="default" w:ascii="Times New Roman" w:hAnsi="Times New Roman" w:cs="宋体"/>
                <w:kern w:val="0"/>
                <w:szCs w:val="21"/>
                <w:highlight w:val="none"/>
                <w:lang w:val="en-US" w:eastAsia="zh-CN" w:bidi="ar"/>
              </w:rPr>
              <w:t>6</w:t>
            </w:r>
            <w:r>
              <w:rPr>
                <w:rFonts w:hint="default" w:ascii="Times New Roman" w:hAnsi="Times New Roman" w:cs="宋体"/>
                <w:kern w:val="0"/>
                <w:szCs w:val="21"/>
                <w:highlight w:val="none"/>
                <w:lang w:bidi="ar"/>
              </w:rPr>
              <w:t>分</w:t>
            </w:r>
            <w:r>
              <w:rPr>
                <w:rFonts w:hint="eastAsia" w:ascii="Arial" w:hAnsi="宋体" w:cs="Arial"/>
                <w:kern w:val="2"/>
                <w:szCs w:val="21"/>
                <w:highlight w:val="none"/>
                <w:lang w:bidi="ar"/>
              </w:rPr>
              <w:t>）</w:t>
            </w:r>
          </w:p>
          <w:p>
            <w:pPr>
              <w:autoSpaceDE w:val="0"/>
              <w:autoSpaceDN w:val="0"/>
              <w:snapToGrid w:val="0"/>
              <w:spacing w:line="400" w:lineRule="exact"/>
              <w:rPr>
                <w:rFonts w:hint="eastAsia" w:ascii="Arial" w:hAnsi="宋体" w:cs="Arial"/>
                <w:szCs w:val="21"/>
                <w:highlight w:val="none"/>
              </w:rPr>
            </w:pPr>
            <w:r>
              <w:rPr>
                <w:rFonts w:hint="eastAsia" w:ascii="Arial" w:hAnsi="宋体" w:cs="Arial"/>
                <w:szCs w:val="21"/>
                <w:highlight w:val="none"/>
                <w:lang w:val="en-US" w:eastAsia="zh-CN"/>
              </w:rPr>
              <w:t>拟投入本</w:t>
            </w:r>
            <w:r>
              <w:rPr>
                <w:rFonts w:hint="eastAsia" w:ascii="Arial" w:hAnsi="宋体" w:cs="Arial"/>
                <w:szCs w:val="21"/>
                <w:highlight w:val="none"/>
              </w:rPr>
              <w:t>项目人员具备高级信息系统项目管理师或PMP证书的，每提供1人得2分，满分6分。</w:t>
            </w:r>
            <w:r>
              <w:rPr>
                <w:rFonts w:hint="eastAsia" w:ascii="Arial" w:hAnsi="宋体" w:cs="Arial"/>
                <w:szCs w:val="21"/>
                <w:highlight w:val="none"/>
                <w:lang w:val="en-US" w:eastAsia="zh-CN"/>
              </w:rPr>
              <w:t>人员证书</w:t>
            </w:r>
            <w:r>
              <w:rPr>
                <w:rFonts w:hint="eastAsia" w:ascii="Times New Roman" w:hAnsi="Times New Roman" w:cs="宋体"/>
                <w:kern w:val="0"/>
                <w:szCs w:val="21"/>
                <w:highlight w:val="none"/>
                <w:lang w:bidi="ar"/>
              </w:rPr>
              <w:t>复印件加盖公章</w:t>
            </w:r>
            <w:r>
              <w:rPr>
                <w:rFonts w:hint="eastAsia" w:ascii="Times New Roman" w:hAnsi="Times New Roman" w:cs="宋体"/>
                <w:kern w:val="0"/>
                <w:szCs w:val="21"/>
                <w:highlight w:val="none"/>
                <w:lang w:val="en-US" w:eastAsia="zh-CN" w:bidi="ar"/>
              </w:rPr>
              <w:t>编入投标文件</w:t>
            </w:r>
            <w:r>
              <w:rPr>
                <w:rFonts w:hint="eastAsia" w:ascii="Times New Roman" w:hAnsi="Times New Roman" w:cs="宋体"/>
                <w:kern w:val="0"/>
                <w:szCs w:val="21"/>
                <w:highlight w:val="none"/>
                <w:lang w:bidi="ar"/>
              </w:rPr>
              <w:t>（投标时携带原件备查）</w:t>
            </w:r>
            <w:r>
              <w:rPr>
                <w:rFonts w:hint="eastAsia" w:ascii="Times New Roman" w:hAnsi="Times New Roman" w:cs="宋体"/>
                <w:kern w:val="0"/>
                <w:szCs w:val="21"/>
                <w:highlight w:val="none"/>
                <w:lang w:eastAsia="zh-CN" w:bidi="ar"/>
              </w:rPr>
              <w:t>，</w:t>
            </w:r>
            <w:r>
              <w:rPr>
                <w:rFonts w:hint="eastAsia" w:ascii="Times New Roman" w:hAnsi="Times New Roman" w:cs="宋体"/>
                <w:kern w:val="0"/>
                <w:szCs w:val="21"/>
                <w:highlight w:val="none"/>
                <w:lang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highlight w:val="none"/>
              </w:rPr>
            </w:pPr>
          </w:p>
        </w:tc>
        <w:tc>
          <w:tcPr>
            <w:tcW w:w="9356" w:type="dxa"/>
            <w:noWrap w:val="0"/>
            <w:vAlign w:val="center"/>
          </w:tcPr>
          <w:p>
            <w:pPr>
              <w:autoSpaceDE w:val="0"/>
              <w:autoSpaceDN w:val="0"/>
              <w:snapToGrid w:val="0"/>
              <w:spacing w:line="400" w:lineRule="exact"/>
              <w:rPr>
                <w:rFonts w:hint="eastAsia" w:ascii="Arial" w:hAnsi="宋体" w:cs="Arial"/>
                <w:szCs w:val="21"/>
                <w:highlight w:val="none"/>
              </w:rPr>
            </w:pPr>
            <w:r>
              <w:rPr>
                <w:rFonts w:hint="eastAsia" w:ascii="Arial" w:hAnsi="宋体" w:cs="Arial"/>
                <w:szCs w:val="21"/>
                <w:highlight w:val="none"/>
              </w:rPr>
              <w:t>实施方案</w:t>
            </w:r>
            <w:r>
              <w:rPr>
                <w:rFonts w:hint="eastAsia" w:ascii="Times New Roman" w:hAnsi="Times New Roman" w:cs="宋体"/>
                <w:kern w:val="0"/>
                <w:szCs w:val="21"/>
                <w:highlight w:val="none"/>
                <w:lang w:bidi="ar"/>
              </w:rPr>
              <w:t>（</w:t>
            </w:r>
            <w:r>
              <w:rPr>
                <w:rFonts w:hint="eastAsia" w:ascii="Times New Roman" w:hAnsi="Times New Roman" w:cs="宋体"/>
                <w:kern w:val="0"/>
                <w:szCs w:val="21"/>
                <w:highlight w:val="none"/>
                <w:lang w:val="en-US" w:eastAsia="zh-CN" w:bidi="ar"/>
              </w:rPr>
              <w:t>9</w:t>
            </w:r>
            <w:r>
              <w:rPr>
                <w:rFonts w:hint="eastAsia" w:ascii="Times New Roman" w:hAnsi="Times New Roman" w:cs="宋体"/>
                <w:kern w:val="0"/>
                <w:szCs w:val="21"/>
                <w:highlight w:val="none"/>
                <w:lang w:bidi="ar"/>
              </w:rPr>
              <w:t>分）</w:t>
            </w:r>
          </w:p>
          <w:p>
            <w:pPr>
              <w:autoSpaceDE w:val="0"/>
              <w:autoSpaceDN w:val="0"/>
              <w:snapToGrid w:val="0"/>
              <w:spacing w:line="400" w:lineRule="exact"/>
              <w:rPr>
                <w:rFonts w:hint="eastAsia" w:ascii="Arial" w:hAnsi="宋体" w:cs="Arial"/>
                <w:szCs w:val="21"/>
                <w:highlight w:val="none"/>
              </w:rPr>
            </w:pPr>
            <w:r>
              <w:rPr>
                <w:rFonts w:hint="eastAsia" w:ascii="Arial" w:hAnsi="宋体" w:cs="Arial"/>
                <w:szCs w:val="21"/>
                <w:highlight w:val="none"/>
                <w:lang w:val="en-US" w:eastAsia="zh-CN"/>
              </w:rPr>
              <w:t>评标专家</w:t>
            </w:r>
            <w:r>
              <w:rPr>
                <w:rFonts w:hint="eastAsia" w:ascii="Arial" w:hAnsi="宋体" w:cs="Arial"/>
                <w:szCs w:val="21"/>
                <w:highlight w:val="none"/>
              </w:rPr>
              <w:t>根据各响应供应商针对本项目的实施方案（智能设备）</w:t>
            </w:r>
            <w:r>
              <w:rPr>
                <w:rFonts w:hint="eastAsia" w:ascii="Arial" w:hAnsi="宋体" w:cs="Arial"/>
                <w:szCs w:val="21"/>
                <w:highlight w:val="none"/>
                <w:lang w:val="en-US" w:eastAsia="zh-CN"/>
              </w:rPr>
              <w:t>进行综合评审</w:t>
            </w:r>
            <w:r>
              <w:rPr>
                <w:rFonts w:hint="eastAsia" w:ascii="Arial" w:hAnsi="宋体"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highlight w:val="none"/>
              </w:rPr>
            </w:pPr>
          </w:p>
        </w:tc>
        <w:tc>
          <w:tcPr>
            <w:tcW w:w="9356" w:type="dxa"/>
            <w:noWrap w:val="0"/>
            <w:vAlign w:val="center"/>
          </w:tcPr>
          <w:p>
            <w:pPr>
              <w:rPr>
                <w:highlight w:val="none"/>
              </w:rPr>
            </w:pPr>
            <w:r>
              <w:rPr>
                <w:rFonts w:hint="eastAsia" w:ascii="Arial" w:hAnsi="宋体" w:cs="Arial"/>
                <w:szCs w:val="21"/>
                <w:highlight w:val="none"/>
              </w:rPr>
              <w:t>项目总体方案设计</w:t>
            </w:r>
            <w:r>
              <w:rPr>
                <w:rFonts w:hint="eastAsia" w:ascii="Times New Roman" w:hAnsi="Times New Roman" w:cs="宋体"/>
                <w:kern w:val="0"/>
                <w:szCs w:val="21"/>
                <w:highlight w:val="none"/>
                <w:lang w:bidi="ar"/>
              </w:rPr>
              <w:t>（</w:t>
            </w:r>
            <w:r>
              <w:rPr>
                <w:rFonts w:hint="eastAsia" w:ascii="Times New Roman" w:hAnsi="Times New Roman" w:cs="宋体"/>
                <w:kern w:val="0"/>
                <w:szCs w:val="21"/>
                <w:highlight w:val="none"/>
                <w:lang w:val="en-US" w:eastAsia="zh-CN" w:bidi="ar"/>
              </w:rPr>
              <w:t>6</w:t>
            </w:r>
            <w:r>
              <w:rPr>
                <w:rFonts w:hint="eastAsia" w:ascii="Times New Roman" w:hAnsi="Times New Roman" w:cs="宋体"/>
                <w:kern w:val="0"/>
                <w:szCs w:val="21"/>
                <w:highlight w:val="none"/>
                <w:lang w:bidi="ar"/>
              </w:rPr>
              <w:t>分）</w:t>
            </w:r>
          </w:p>
          <w:p>
            <w:pPr>
              <w:numPr>
                <w:ilvl w:val="0"/>
                <w:numId w:val="0"/>
              </w:numPr>
              <w:spacing w:line="400" w:lineRule="exact"/>
              <w:rPr>
                <w:rFonts w:hint="eastAsia" w:ascii="Arial" w:hAnsi="宋体" w:cs="Arial"/>
                <w:szCs w:val="21"/>
                <w:highlight w:val="none"/>
              </w:rPr>
            </w:pPr>
            <w:r>
              <w:rPr>
                <w:rFonts w:hint="eastAsia" w:ascii="Arial" w:hAnsi="宋体" w:cs="Arial"/>
                <w:szCs w:val="21"/>
                <w:highlight w:val="none"/>
                <w:lang w:val="en-US" w:eastAsia="zh-CN"/>
              </w:rPr>
              <w:t>1.</w:t>
            </w:r>
            <w:r>
              <w:rPr>
                <w:rFonts w:hint="eastAsia" w:ascii="Arial" w:hAnsi="宋体" w:cs="Arial"/>
                <w:szCs w:val="21"/>
                <w:highlight w:val="none"/>
              </w:rPr>
              <w:t>软件实现功能及软硬件结合实现的功能整体思路</w:t>
            </w:r>
            <w:r>
              <w:rPr>
                <w:rFonts w:hint="eastAsia" w:ascii="Arial" w:hAnsi="宋体" w:cs="Arial"/>
                <w:szCs w:val="21"/>
                <w:highlight w:val="none"/>
                <w:lang w:eastAsia="zh-CN"/>
              </w:rPr>
              <w:t>；</w:t>
            </w:r>
          </w:p>
          <w:p>
            <w:pPr>
              <w:autoSpaceDE w:val="0"/>
              <w:autoSpaceDN w:val="0"/>
              <w:snapToGrid w:val="0"/>
              <w:spacing w:line="400" w:lineRule="exact"/>
              <w:rPr>
                <w:rFonts w:hint="eastAsia" w:ascii="Arial" w:hAnsi="宋体" w:cs="Arial"/>
                <w:szCs w:val="21"/>
                <w:highlight w:val="none"/>
                <w:lang w:val="en-US" w:eastAsia="zh-CN"/>
              </w:rPr>
            </w:pPr>
            <w:r>
              <w:rPr>
                <w:rFonts w:hint="eastAsia" w:ascii="Arial" w:hAnsi="宋体" w:cs="Arial"/>
                <w:szCs w:val="21"/>
                <w:highlight w:val="none"/>
              </w:rPr>
              <w:t>2.硬件设备配置合理符合实际需求等理解性等综合因素</w:t>
            </w:r>
            <w:r>
              <w:rPr>
                <w:rFonts w:hint="eastAsia" w:ascii="Arial" w:hAnsi="宋体" w:cs="Arial"/>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highlight w:val="none"/>
              </w:rPr>
            </w:pPr>
          </w:p>
        </w:tc>
        <w:tc>
          <w:tcPr>
            <w:tcW w:w="9356" w:type="dxa"/>
            <w:noWrap w:val="0"/>
            <w:vAlign w:val="center"/>
          </w:tcPr>
          <w:p>
            <w:pPr>
              <w:autoSpaceDE w:val="0"/>
              <w:autoSpaceDN w:val="0"/>
              <w:snapToGrid w:val="0"/>
              <w:spacing w:line="400" w:lineRule="exact"/>
              <w:rPr>
                <w:rFonts w:hint="eastAsia" w:ascii="Arial" w:hAnsi="宋体" w:cs="Arial"/>
                <w:szCs w:val="21"/>
                <w:highlight w:val="none"/>
              </w:rPr>
            </w:pPr>
            <w:r>
              <w:rPr>
                <w:rFonts w:hint="eastAsia" w:ascii="Arial" w:hAnsi="宋体" w:cs="Arial"/>
                <w:szCs w:val="21"/>
                <w:highlight w:val="none"/>
              </w:rPr>
              <w:t>培训</w:t>
            </w:r>
            <w:r>
              <w:rPr>
                <w:rFonts w:hint="eastAsia" w:ascii="Arial" w:hAnsi="宋体" w:cs="Arial"/>
                <w:szCs w:val="21"/>
                <w:highlight w:val="none"/>
                <w:lang w:val="en-US" w:eastAsia="zh-CN"/>
              </w:rPr>
              <w:t>方案</w:t>
            </w:r>
            <w:r>
              <w:rPr>
                <w:rFonts w:hint="eastAsia" w:ascii="Times New Roman" w:hAnsi="Times New Roman" w:cs="宋体"/>
                <w:kern w:val="0"/>
                <w:szCs w:val="21"/>
                <w:highlight w:val="none"/>
                <w:lang w:bidi="ar"/>
              </w:rPr>
              <w:t>（</w:t>
            </w:r>
            <w:r>
              <w:rPr>
                <w:rFonts w:hint="default" w:ascii="Times New Roman" w:hAnsi="Times New Roman" w:cs="宋体"/>
                <w:kern w:val="0"/>
                <w:szCs w:val="21"/>
                <w:highlight w:val="none"/>
                <w:lang w:val="en-US" w:eastAsia="zh-CN" w:bidi="ar"/>
              </w:rPr>
              <w:t>3</w:t>
            </w:r>
            <w:r>
              <w:rPr>
                <w:rFonts w:hint="eastAsia" w:ascii="Times New Roman" w:hAnsi="Times New Roman" w:cs="宋体"/>
                <w:kern w:val="0"/>
                <w:szCs w:val="21"/>
                <w:highlight w:val="none"/>
                <w:lang w:bidi="ar"/>
              </w:rPr>
              <w:t>分）</w:t>
            </w:r>
          </w:p>
          <w:p>
            <w:pPr>
              <w:autoSpaceDE w:val="0"/>
              <w:autoSpaceDN w:val="0"/>
              <w:snapToGrid w:val="0"/>
              <w:spacing w:line="400" w:lineRule="exact"/>
              <w:rPr>
                <w:rFonts w:hint="default" w:ascii="Arial" w:hAnsi="宋体" w:cs="Arial"/>
                <w:szCs w:val="21"/>
                <w:highlight w:val="none"/>
                <w:lang w:val="en-US"/>
              </w:rPr>
            </w:pPr>
            <w:r>
              <w:rPr>
                <w:rFonts w:hint="eastAsia" w:ascii="Arial" w:hAnsi="宋体" w:cs="Arial"/>
                <w:szCs w:val="21"/>
                <w:highlight w:val="none"/>
                <w:lang w:val="en-US" w:eastAsia="zh-CN"/>
              </w:rPr>
              <w:t>评标专家</w:t>
            </w:r>
            <w:r>
              <w:rPr>
                <w:rFonts w:hint="eastAsia" w:ascii="Arial" w:hAnsi="Arial" w:cs="Arial"/>
                <w:highlight w:val="none"/>
              </w:rPr>
              <w:t>根据投标人提供培训方案及师资力量</w:t>
            </w:r>
            <w:r>
              <w:rPr>
                <w:rFonts w:hint="eastAsia" w:ascii="Arial" w:hAnsi="宋体" w:cs="Arial"/>
                <w:szCs w:val="21"/>
                <w:highlight w:val="none"/>
                <w:lang w:val="en-US" w:eastAsia="zh-CN"/>
              </w:rPr>
              <w:t>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highlight w:val="none"/>
              </w:rPr>
            </w:pPr>
          </w:p>
        </w:tc>
        <w:tc>
          <w:tcPr>
            <w:tcW w:w="9356" w:type="dxa"/>
            <w:noWrap w:val="0"/>
            <w:vAlign w:val="center"/>
          </w:tcPr>
          <w:p>
            <w:pPr>
              <w:autoSpaceDE w:val="0"/>
              <w:autoSpaceDN w:val="0"/>
              <w:snapToGrid w:val="0"/>
              <w:spacing w:line="400" w:lineRule="exact"/>
              <w:rPr>
                <w:rFonts w:hint="default" w:ascii="Times New Roman" w:hAnsi="Times New Roman" w:cs="宋体"/>
                <w:kern w:val="0"/>
                <w:szCs w:val="21"/>
                <w:highlight w:val="none"/>
                <w:lang w:bidi="ar"/>
              </w:rPr>
            </w:pPr>
            <w:r>
              <w:rPr>
                <w:rFonts w:hint="default" w:ascii="Times New Roman" w:hAnsi="Times New Roman" w:cs="宋体"/>
                <w:kern w:val="0"/>
                <w:szCs w:val="21"/>
                <w:highlight w:val="none"/>
                <w:lang w:bidi="ar"/>
              </w:rPr>
              <w:t>售后服务方案（</w:t>
            </w:r>
            <w:r>
              <w:rPr>
                <w:rFonts w:hint="default" w:ascii="Times New Roman" w:hAnsi="Times New Roman" w:cs="宋体"/>
                <w:kern w:val="0"/>
                <w:szCs w:val="21"/>
                <w:highlight w:val="none"/>
                <w:lang w:val="en-US" w:eastAsia="zh-CN" w:bidi="ar"/>
              </w:rPr>
              <w:t>3</w:t>
            </w:r>
            <w:r>
              <w:rPr>
                <w:rFonts w:hint="default" w:ascii="Times New Roman" w:hAnsi="Times New Roman" w:cs="宋体"/>
                <w:kern w:val="0"/>
                <w:szCs w:val="21"/>
                <w:highlight w:val="none"/>
                <w:lang w:bidi="ar"/>
              </w:rPr>
              <w:t>分）</w:t>
            </w:r>
          </w:p>
          <w:p>
            <w:pPr>
              <w:autoSpaceDE w:val="0"/>
              <w:autoSpaceDN w:val="0"/>
              <w:snapToGrid w:val="0"/>
              <w:spacing w:line="400" w:lineRule="exact"/>
              <w:rPr>
                <w:rFonts w:hint="default" w:ascii="Times New Roman" w:hAnsi="Times New Roman" w:eastAsia="宋体" w:cs="宋体"/>
                <w:kern w:val="0"/>
                <w:szCs w:val="21"/>
                <w:highlight w:val="none"/>
                <w:lang w:eastAsia="zh-CN" w:bidi="ar"/>
              </w:rPr>
            </w:pPr>
            <w:r>
              <w:rPr>
                <w:rFonts w:hint="default" w:ascii="Times New Roman" w:hAnsi="Times New Roman" w:cs="宋体"/>
                <w:kern w:val="0"/>
                <w:szCs w:val="21"/>
                <w:highlight w:val="none"/>
                <w:lang w:val="en-US" w:eastAsia="zh-CN" w:bidi="ar"/>
              </w:rPr>
              <w:t>评标专家</w:t>
            </w:r>
            <w:r>
              <w:rPr>
                <w:rFonts w:hint="default" w:ascii="Times New Roman" w:hAnsi="Times New Roman" w:cs="宋体"/>
                <w:kern w:val="0"/>
                <w:szCs w:val="21"/>
                <w:highlight w:val="none"/>
                <w:lang w:bidi="ar"/>
              </w:rPr>
              <w:t>根据售后服务承诺的情况</w:t>
            </w:r>
            <w:r>
              <w:rPr>
                <w:rFonts w:hint="default" w:ascii="Times New Roman" w:hAnsi="Times New Roman" w:cs="宋体"/>
                <w:kern w:val="0"/>
                <w:szCs w:val="21"/>
                <w:highlight w:val="none"/>
                <w:lang w:val="en-US" w:eastAsia="zh-CN" w:bidi="ar"/>
              </w:rPr>
              <w:t>进行</w:t>
            </w:r>
            <w:r>
              <w:rPr>
                <w:rFonts w:hint="default" w:ascii="Times New Roman" w:hAnsi="Times New Roman" w:cs="宋体"/>
                <w:kern w:val="0"/>
                <w:szCs w:val="21"/>
                <w:highlight w:val="none"/>
                <w:lang w:bidi="ar"/>
              </w:rPr>
              <w:t>综合</w:t>
            </w:r>
            <w:r>
              <w:rPr>
                <w:rFonts w:hint="default" w:ascii="Times New Roman" w:hAnsi="Times New Roman" w:cs="宋体"/>
                <w:kern w:val="0"/>
                <w:szCs w:val="21"/>
                <w:highlight w:val="none"/>
                <w:lang w:val="en-US" w:eastAsia="zh-CN" w:bidi="ar"/>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highlight w:val="none"/>
              </w:rPr>
            </w:pPr>
          </w:p>
        </w:tc>
        <w:tc>
          <w:tcPr>
            <w:tcW w:w="9356" w:type="dxa"/>
            <w:noWrap w:val="0"/>
            <w:vAlign w:val="center"/>
          </w:tcPr>
          <w:p>
            <w:pPr>
              <w:autoSpaceDE w:val="0"/>
              <w:autoSpaceDN w:val="0"/>
              <w:snapToGrid w:val="0"/>
              <w:spacing w:line="400" w:lineRule="exact"/>
              <w:rPr>
                <w:rFonts w:hint="default"/>
              </w:rPr>
            </w:pPr>
            <w:r>
              <w:rPr>
                <w:rFonts w:hint="default"/>
              </w:rPr>
              <w:t>现场演示（1</w:t>
            </w:r>
            <w:r>
              <w:rPr>
                <w:rFonts w:hint="eastAsia"/>
                <w:lang w:val="en-US" w:eastAsia="zh-CN"/>
              </w:rPr>
              <w:t>5</w:t>
            </w:r>
            <w:r>
              <w:rPr>
                <w:rFonts w:hint="default"/>
              </w:rPr>
              <w:t>分）</w:t>
            </w:r>
          </w:p>
          <w:p>
            <w:pPr>
              <w:autoSpaceDE w:val="0"/>
              <w:autoSpaceDN w:val="0"/>
              <w:snapToGrid w:val="0"/>
              <w:spacing w:line="400" w:lineRule="exact"/>
              <w:rPr>
                <w:rFonts w:hint="default"/>
              </w:rPr>
            </w:pPr>
            <w:r>
              <w:rPr>
                <w:rFonts w:hint="default"/>
              </w:rPr>
              <w:t>各投标人针对本项目的</w:t>
            </w:r>
            <w:r>
              <w:rPr>
                <w:rFonts w:hint="eastAsia"/>
                <w:lang w:eastAsia="zh-CN"/>
              </w:rPr>
              <w:t>“</w:t>
            </w:r>
            <w:r>
              <w:rPr>
                <w:rFonts w:hint="default"/>
              </w:rPr>
              <w:t>公安机关办案区物联网管控平台软件</w:t>
            </w:r>
            <w:r>
              <w:rPr>
                <w:rFonts w:hint="eastAsia"/>
                <w:lang w:eastAsia="zh-CN"/>
              </w:rPr>
              <w:t>”</w:t>
            </w:r>
            <w:r>
              <w:rPr>
                <w:rFonts w:hint="eastAsia"/>
                <w:lang w:val="en-US" w:eastAsia="zh-CN"/>
              </w:rPr>
              <w:t>和</w:t>
            </w:r>
            <w:r>
              <w:rPr>
                <w:rFonts w:hint="eastAsia"/>
                <w:sz w:val="24"/>
                <w:szCs w:val="24"/>
              </w:rPr>
              <w:t>“</w:t>
            </w:r>
            <w:r>
              <w:rPr>
                <w:rFonts w:hint="eastAsia"/>
                <w:szCs w:val="22"/>
              </w:rPr>
              <w:t>一体化数字签名屏”</w:t>
            </w:r>
            <w:r>
              <w:rPr>
                <w:rFonts w:hint="default"/>
              </w:rPr>
              <w:t>进行现场功能演示，给予评分（演示时间不超过1</w:t>
            </w:r>
            <w:r>
              <w:rPr>
                <w:rFonts w:hint="eastAsia"/>
                <w:lang w:val="en-US" w:eastAsia="zh-CN"/>
              </w:rPr>
              <w:t>0</w:t>
            </w:r>
            <w:r>
              <w:rPr>
                <w:rFonts w:hint="default"/>
              </w:rPr>
              <w:t>分钟）：</w:t>
            </w:r>
          </w:p>
          <w:p>
            <w:pPr>
              <w:autoSpaceDE w:val="0"/>
              <w:autoSpaceDN w:val="0"/>
              <w:snapToGrid w:val="0"/>
              <w:spacing w:line="400" w:lineRule="exact"/>
              <w:rPr>
                <w:rFonts w:hint="default"/>
              </w:rPr>
            </w:pPr>
            <w:r>
              <w:rPr>
                <w:rFonts w:hint="eastAsia"/>
                <w:lang w:val="en-US" w:eastAsia="zh-CN"/>
              </w:rPr>
              <w:t>1</w:t>
            </w:r>
            <w:r>
              <w:rPr>
                <w:rFonts w:hint="default"/>
              </w:rPr>
              <w:t>、系统演示随身物品柜分配功能，可根据当事人的随身物品数量、大小选择大、中、小类型的柜子分配给当事人存放随身物品。完全满足采购要求的2分；部分满足的0-1分。</w:t>
            </w:r>
          </w:p>
          <w:p>
            <w:pPr>
              <w:autoSpaceDE w:val="0"/>
              <w:autoSpaceDN w:val="0"/>
              <w:snapToGrid w:val="0"/>
              <w:spacing w:line="400" w:lineRule="exact"/>
              <w:rPr>
                <w:rFonts w:hint="default"/>
              </w:rPr>
            </w:pPr>
            <w:r>
              <w:rPr>
                <w:rFonts w:hint="eastAsia"/>
                <w:lang w:val="en-US" w:eastAsia="zh-CN"/>
              </w:rPr>
              <w:t>2</w:t>
            </w:r>
            <w:r>
              <w:rPr>
                <w:rFonts w:hint="default"/>
              </w:rPr>
              <w:t>、系统演示随身物品拍照功能，可对随身物品进行拍照存证。完全满足采购要求的2分；部分满足的0-1分。</w:t>
            </w:r>
          </w:p>
          <w:p>
            <w:pPr>
              <w:autoSpaceDE w:val="0"/>
              <w:autoSpaceDN w:val="0"/>
              <w:snapToGrid w:val="0"/>
              <w:spacing w:line="400" w:lineRule="exact"/>
              <w:rPr>
                <w:rFonts w:hint="default"/>
              </w:rPr>
            </w:pPr>
            <w:r>
              <w:rPr>
                <w:rFonts w:hint="eastAsia"/>
                <w:lang w:val="en-US" w:eastAsia="zh-CN"/>
              </w:rPr>
              <w:t>3</w:t>
            </w:r>
            <w:r>
              <w:rPr>
                <w:rFonts w:hint="default"/>
              </w:rPr>
              <w:t>、系统演示候问室智能分配功能，可根据各等候室的人员数量、性别、是否同案等条件，为人员分配到最合适的等候室。完全满足采购要求的2分；部分满足的0-1分。</w:t>
            </w:r>
          </w:p>
          <w:p>
            <w:pPr>
              <w:autoSpaceDE w:val="0"/>
              <w:autoSpaceDN w:val="0"/>
              <w:snapToGrid w:val="0"/>
              <w:spacing w:line="400" w:lineRule="exact"/>
              <w:rPr>
                <w:rFonts w:hint="default"/>
              </w:rPr>
            </w:pPr>
            <w:r>
              <w:rPr>
                <w:rFonts w:hint="eastAsia"/>
                <w:lang w:val="en-US" w:eastAsia="zh-CN"/>
              </w:rPr>
              <w:t>4</w:t>
            </w:r>
            <w:r>
              <w:rPr>
                <w:rFonts w:hint="default"/>
              </w:rPr>
              <w:t>、系统演示询/讯问室智能分配功能，可根据询/讯问室使用情况以及人员情况，分配对应询/讯问室。完全满足采购要求的2分；部分满足的0-1分。</w:t>
            </w:r>
          </w:p>
          <w:p>
            <w:pPr>
              <w:autoSpaceDE w:val="0"/>
              <w:autoSpaceDN w:val="0"/>
              <w:snapToGrid w:val="0"/>
              <w:spacing w:line="400" w:lineRule="exact"/>
              <w:rPr>
                <w:rFonts w:hint="default"/>
              </w:rPr>
            </w:pPr>
            <w:r>
              <w:rPr>
                <w:rFonts w:hint="eastAsia"/>
                <w:lang w:val="en-US" w:eastAsia="zh-CN"/>
              </w:rPr>
              <w:t>5</w:t>
            </w:r>
            <w:r>
              <w:rPr>
                <w:rFonts w:hint="default"/>
              </w:rPr>
              <w:t>、系统演示电子台账功能，系统可对嫌疑人信息、物品登记图片、活动轨迹等数据统一生成电子台账即人员登记表。完全满足采购要求的2分；部分满足的0-1分。</w:t>
            </w:r>
          </w:p>
          <w:p>
            <w:pPr>
              <w:autoSpaceDE w:val="0"/>
              <w:autoSpaceDN w:val="0"/>
              <w:snapToGrid w:val="0"/>
              <w:spacing w:line="400" w:lineRule="exact"/>
              <w:rPr>
                <w:rFonts w:hint="default"/>
                <w:szCs w:val="22"/>
              </w:rPr>
            </w:pPr>
            <w:r>
              <w:rPr>
                <w:rFonts w:hint="eastAsia"/>
                <w:sz w:val="24"/>
                <w:szCs w:val="24"/>
              </w:rPr>
              <w:t>“</w:t>
            </w:r>
            <w:r>
              <w:rPr>
                <w:rFonts w:hint="eastAsia"/>
                <w:szCs w:val="22"/>
              </w:rPr>
              <w:t>一体化数字签名屏”演示内容如下：</w:t>
            </w:r>
          </w:p>
          <w:p>
            <w:pPr>
              <w:autoSpaceDE w:val="0"/>
              <w:autoSpaceDN w:val="0"/>
              <w:snapToGrid w:val="0"/>
              <w:spacing w:line="400" w:lineRule="exact"/>
              <w:rPr>
                <w:rFonts w:hint="default"/>
                <w:szCs w:val="22"/>
              </w:rPr>
            </w:pPr>
            <w:r>
              <w:rPr>
                <w:rFonts w:hint="eastAsia"/>
                <w:szCs w:val="22"/>
              </w:rPr>
              <w:t>（</w:t>
            </w:r>
            <w:r>
              <w:rPr>
                <w:rFonts w:hint="eastAsia"/>
                <w:szCs w:val="22"/>
                <w:lang w:val="en-US" w:eastAsia="zh-CN"/>
              </w:rPr>
              <w:t>1</w:t>
            </w:r>
            <w:r>
              <w:rPr>
                <w:rFonts w:hint="eastAsia"/>
                <w:szCs w:val="22"/>
              </w:rPr>
              <w:t>）笔录推送，核对人、民警、记录人员签字功能（3分）</w:t>
            </w:r>
          </w:p>
          <w:p>
            <w:pPr>
              <w:autoSpaceDE w:val="0"/>
              <w:autoSpaceDN w:val="0"/>
              <w:snapToGrid w:val="0"/>
              <w:spacing w:line="400" w:lineRule="exact"/>
              <w:rPr>
                <w:rFonts w:hint="default"/>
                <w:szCs w:val="22"/>
              </w:rPr>
            </w:pPr>
            <w:r>
              <w:rPr>
                <w:rFonts w:hint="eastAsia"/>
                <w:szCs w:val="22"/>
              </w:rPr>
              <w:t>演示能体现办案民警签名功能的得1分，演示能体现记录人签名功能的得1分，演示能体现核对人签名功能的得1分，不能实现的得0分。</w:t>
            </w:r>
          </w:p>
          <w:p>
            <w:pPr>
              <w:autoSpaceDE w:val="0"/>
              <w:autoSpaceDN w:val="0"/>
              <w:snapToGrid w:val="0"/>
              <w:spacing w:line="400" w:lineRule="exact"/>
              <w:rPr>
                <w:rFonts w:hint="default"/>
                <w:szCs w:val="22"/>
              </w:rPr>
            </w:pPr>
            <w:r>
              <w:rPr>
                <w:rFonts w:hint="eastAsia"/>
                <w:szCs w:val="22"/>
              </w:rPr>
              <w:t>（</w:t>
            </w:r>
            <w:r>
              <w:rPr>
                <w:rFonts w:hint="eastAsia"/>
                <w:szCs w:val="22"/>
                <w:lang w:val="en-US" w:eastAsia="zh-CN"/>
              </w:rPr>
              <w:t>2</w:t>
            </w:r>
            <w:r>
              <w:rPr>
                <w:rFonts w:hint="eastAsia"/>
                <w:szCs w:val="22"/>
              </w:rPr>
              <w:t>）核对意见签写功能（1分）</w:t>
            </w:r>
          </w:p>
          <w:p>
            <w:pPr>
              <w:autoSpaceDE w:val="0"/>
              <w:autoSpaceDN w:val="0"/>
              <w:snapToGrid w:val="0"/>
              <w:spacing w:line="400" w:lineRule="exact"/>
              <w:rPr>
                <w:rFonts w:hint="default"/>
                <w:szCs w:val="22"/>
              </w:rPr>
            </w:pPr>
            <w:r>
              <w:rPr>
                <w:rFonts w:hint="eastAsia"/>
                <w:szCs w:val="22"/>
              </w:rPr>
              <w:t>演示能体现核对意见签写功能的得1分，不能实现的得0分。</w:t>
            </w:r>
          </w:p>
          <w:p>
            <w:pPr>
              <w:autoSpaceDE w:val="0"/>
              <w:autoSpaceDN w:val="0"/>
              <w:snapToGrid w:val="0"/>
              <w:spacing w:line="400" w:lineRule="exact"/>
              <w:rPr>
                <w:rFonts w:hint="default"/>
                <w:szCs w:val="22"/>
              </w:rPr>
            </w:pPr>
            <w:r>
              <w:rPr>
                <w:rFonts w:hint="eastAsia"/>
                <w:szCs w:val="22"/>
              </w:rPr>
              <w:t>（</w:t>
            </w:r>
            <w:r>
              <w:rPr>
                <w:rFonts w:hint="eastAsia"/>
                <w:szCs w:val="22"/>
                <w:lang w:val="en-US" w:eastAsia="zh-CN"/>
              </w:rPr>
              <w:t>3</w:t>
            </w:r>
            <w:r>
              <w:rPr>
                <w:rFonts w:hint="eastAsia"/>
                <w:szCs w:val="22"/>
              </w:rPr>
              <w:t>）核对人捺印功能（1分）</w:t>
            </w:r>
          </w:p>
          <w:p>
            <w:pPr>
              <w:pStyle w:val="2"/>
              <w:ind w:left="0" w:leftChars="0" w:firstLine="0" w:firstLineChars="0"/>
              <w:rPr>
                <w:rFonts w:hint="eastAsia" w:eastAsia="方正书宋简体"/>
                <w:lang w:val="en-US" w:eastAsia="zh-CN"/>
              </w:rPr>
            </w:pPr>
            <w:r>
              <w:rPr>
                <w:rFonts w:hint="eastAsia"/>
                <w:szCs w:val="22"/>
              </w:rPr>
              <w:t>演示能体现核对人捺印功能的得1分，不能实现的得0分。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noWrap w:val="0"/>
            <w:vAlign w:val="center"/>
          </w:tcPr>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价</w:t>
            </w:r>
          </w:p>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格</w:t>
            </w:r>
          </w:p>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分</w:t>
            </w:r>
          </w:p>
          <w:p>
            <w:pPr>
              <w:snapToGrid w:val="0"/>
              <w:spacing w:line="400" w:lineRule="exact"/>
              <w:contextualSpacing/>
              <w:jc w:val="center"/>
              <w:rPr>
                <w:rFonts w:hint="eastAsia" w:ascii="Times New Roman" w:hAnsi="Times New Roman"/>
                <w:szCs w:val="24"/>
                <w:highlight w:val="none"/>
              </w:rPr>
            </w:pPr>
            <w:r>
              <w:rPr>
                <w:rFonts w:ascii="Times New Roman" w:hAnsi="Times New Roman"/>
                <w:szCs w:val="24"/>
                <w:highlight w:val="none"/>
              </w:rPr>
              <w:t>30</w:t>
            </w:r>
          </w:p>
          <w:p>
            <w:pPr>
              <w:snapToGrid w:val="0"/>
              <w:spacing w:line="400" w:lineRule="exact"/>
              <w:contextualSpacing/>
              <w:jc w:val="center"/>
              <w:rPr>
                <w:rFonts w:hint="eastAsia" w:ascii="Times New Roman" w:hAnsi="Times New Roman"/>
                <w:szCs w:val="24"/>
                <w:highlight w:val="none"/>
              </w:rPr>
            </w:pPr>
            <w:r>
              <w:rPr>
                <w:rFonts w:hint="eastAsia" w:ascii="Times New Roman" w:hAnsi="Times New Roman"/>
                <w:szCs w:val="24"/>
                <w:highlight w:val="none"/>
              </w:rPr>
              <w:t>分</w:t>
            </w:r>
          </w:p>
        </w:tc>
        <w:tc>
          <w:tcPr>
            <w:tcW w:w="9356" w:type="dxa"/>
            <w:noWrap w:val="0"/>
            <w:vAlign w:val="center"/>
          </w:tcPr>
          <w:p>
            <w:pPr>
              <w:spacing w:line="300" w:lineRule="exact"/>
              <w:rPr>
                <w:rFonts w:hint="eastAsia" w:ascii="Arial" w:hAnsi="宋体" w:cs="Arial"/>
                <w:szCs w:val="21"/>
                <w:highlight w:val="none"/>
                <w:lang w:val="zh-CN"/>
              </w:rPr>
            </w:pPr>
            <w:r>
              <w:rPr>
                <w:rFonts w:hint="eastAsia" w:ascii="Arial" w:hAnsi="宋体" w:cs="Arial"/>
                <w:szCs w:val="21"/>
                <w:highlight w:val="none"/>
                <w:lang w:val="zh-CN"/>
              </w:rPr>
              <w:t>满足招标文件要求且最低的参与评审价格为评标基准价，其价格分为满分。</w:t>
            </w:r>
          </w:p>
          <w:p>
            <w:pPr>
              <w:spacing w:line="300" w:lineRule="exact"/>
              <w:rPr>
                <w:rFonts w:hint="eastAsia" w:ascii="Arial" w:hAnsi="宋体" w:cs="Arial"/>
                <w:szCs w:val="21"/>
                <w:highlight w:val="none"/>
                <w:lang w:val="zh-CN"/>
              </w:rPr>
            </w:pPr>
            <w:r>
              <w:rPr>
                <w:rFonts w:hint="eastAsia" w:ascii="Arial" w:hAnsi="宋体" w:cs="Arial"/>
                <w:szCs w:val="21"/>
                <w:highlight w:val="none"/>
                <w:lang w:val="zh-CN"/>
              </w:rPr>
              <w:t>其余投标人价格分为：</w:t>
            </w:r>
          </w:p>
          <w:p>
            <w:pPr>
              <w:spacing w:line="300" w:lineRule="exact"/>
              <w:rPr>
                <w:rFonts w:hint="eastAsia" w:ascii="Arial" w:hAnsi="宋体" w:cs="Arial"/>
                <w:szCs w:val="21"/>
                <w:highlight w:val="none"/>
              </w:rPr>
            </w:pPr>
            <w:r>
              <w:rPr>
                <w:rFonts w:hint="eastAsia" w:ascii="Arial" w:hAnsi="宋体" w:cs="Arial"/>
                <w:szCs w:val="21"/>
                <w:highlight w:val="none"/>
                <w:lang w:val="zh-CN"/>
              </w:rPr>
              <w:t xml:space="preserve">报价得分=（评标基准价/参与评审的价格）× </w:t>
            </w:r>
            <w:r>
              <w:rPr>
                <w:rFonts w:hint="eastAsia" w:ascii="Arial" w:hAnsi="宋体" w:cs="Arial"/>
                <w:szCs w:val="21"/>
                <w:highlight w:val="none"/>
              </w:rPr>
              <w:t>30</w:t>
            </w:r>
          </w:p>
          <w:p>
            <w:pPr>
              <w:spacing w:line="300" w:lineRule="exact"/>
              <w:rPr>
                <w:rFonts w:hint="eastAsia" w:ascii="Arial" w:hAnsi="宋体" w:cs="Arial"/>
                <w:szCs w:val="21"/>
                <w:highlight w:val="none"/>
                <w:lang w:val="zh-CN"/>
              </w:rPr>
            </w:pPr>
            <w:r>
              <w:rPr>
                <w:rFonts w:hint="eastAsia" w:ascii="Arial" w:hAnsi="宋体" w:cs="Arial"/>
                <w:szCs w:val="21"/>
                <w:highlight w:val="none"/>
                <w:lang w:val="zh-CN"/>
              </w:rPr>
              <w:t>参与评审的价格= 投标价格×（1-小微企业价格扣除优惠值6%（残疾人福利性单位、监狱企业视同小微企业）（见附件相关文件）</w:t>
            </w:r>
          </w:p>
          <w:p>
            <w:pPr>
              <w:widowControl/>
              <w:snapToGrid w:val="0"/>
              <w:spacing w:line="400" w:lineRule="exact"/>
              <w:contextualSpacing/>
              <w:rPr>
                <w:rFonts w:ascii="Times New Roman" w:hAnsi="Times New Roman"/>
                <w:szCs w:val="24"/>
                <w:highlight w:val="none"/>
              </w:rPr>
            </w:pPr>
            <w:r>
              <w:rPr>
                <w:rFonts w:hint="eastAsia" w:ascii="Arial" w:hAnsi="宋体" w:cs="Arial"/>
                <w:szCs w:val="21"/>
                <w:highlight w:val="none"/>
                <w:lang w:val="zh-CN"/>
              </w:rPr>
              <w:t>注：投标人的</w:t>
            </w:r>
            <w:r>
              <w:rPr>
                <w:rFonts w:hint="eastAsia" w:ascii="Arial" w:hAnsi="宋体" w:cs="Arial"/>
                <w:szCs w:val="21"/>
                <w:highlight w:val="none"/>
              </w:rPr>
              <w:t>投标</w:t>
            </w:r>
            <w:r>
              <w:rPr>
                <w:rFonts w:hint="eastAsia" w:ascii="Arial" w:hAnsi="宋体" w:cs="Arial"/>
                <w:szCs w:val="21"/>
                <w:highlight w:val="none"/>
                <w:lang w:val="zh-CN"/>
              </w:rPr>
              <w:t>报价超过</w:t>
            </w:r>
            <w:r>
              <w:rPr>
                <w:rFonts w:hint="eastAsia" w:ascii="Arial" w:hAnsi="宋体" w:cs="Arial"/>
                <w:szCs w:val="21"/>
                <w:highlight w:val="none"/>
              </w:rPr>
              <w:t>预算金额</w:t>
            </w:r>
            <w:r>
              <w:rPr>
                <w:rFonts w:hint="eastAsia" w:ascii="Arial" w:hAnsi="宋体" w:cs="Arial"/>
                <w:szCs w:val="21"/>
                <w:highlight w:val="none"/>
                <w:lang w:val="zh-CN"/>
              </w:rPr>
              <w:t>（不含</w:t>
            </w:r>
            <w:r>
              <w:rPr>
                <w:rFonts w:hint="eastAsia" w:ascii="Arial" w:hAnsi="宋体" w:cs="Arial"/>
                <w:szCs w:val="21"/>
                <w:highlight w:val="none"/>
              </w:rPr>
              <w:t>本数</w:t>
            </w:r>
            <w:r>
              <w:rPr>
                <w:rFonts w:hint="eastAsia" w:ascii="Arial" w:hAnsi="宋体" w:cs="Arial"/>
                <w:szCs w:val="21"/>
                <w:highlight w:val="none"/>
                <w:lang w:val="zh-CN"/>
              </w:rPr>
              <w:t>）的</w:t>
            </w:r>
          </w:p>
        </w:tc>
      </w:tr>
    </w:tbl>
    <w:p>
      <w:pPr>
        <w:spacing w:before="120" w:beforeLines="50"/>
        <w:ind w:left="-283" w:leftChars="-135" w:right="-210" w:rightChars="-100"/>
        <w:rPr>
          <w:b/>
          <w:sz w:val="18"/>
          <w:szCs w:val="18"/>
        </w:rPr>
        <w:sectPr>
          <w:headerReference r:id="rId10" w:type="default"/>
          <w:pgSz w:w="11907" w:h="16840"/>
          <w:pgMar w:top="1134" w:right="1531" w:bottom="1134" w:left="1276" w:header="425" w:footer="709" w:gutter="0"/>
          <w:cols w:space="720" w:num="1"/>
          <w:docGrid w:linePitch="285" w:charSpace="0"/>
        </w:sectPr>
      </w:pPr>
      <w:r>
        <w:rPr>
          <w:rFonts w:hint="eastAsia"/>
          <w:b/>
          <w:sz w:val="18"/>
          <w:szCs w:val="18"/>
        </w:rPr>
        <w:t>投标人应提供真实有效的相关证明，采购人有权利调查其真实性，若提供的相关证明存在造假情况，将取消中标资格。</w:t>
      </w:r>
    </w:p>
    <w:p>
      <w:pPr>
        <w:pStyle w:val="40"/>
        <w:rPr>
          <w:rFonts w:hint="eastAsia" w:ascii="Times New Roman" w:hAnsi="Times New Roman"/>
          <w:kern w:val="44"/>
          <w:lang w:eastAsia="zh-CN"/>
        </w:rPr>
      </w:pPr>
      <w:bookmarkStart w:id="275" w:name="_Toc2923"/>
      <w:bookmarkStart w:id="276" w:name="_Toc517688081"/>
      <w:r>
        <w:rPr>
          <w:rFonts w:hint="eastAsia" w:ascii="Times New Roman" w:hAnsi="Times New Roman"/>
          <w:kern w:val="44"/>
        </w:rPr>
        <w:t>第五部分 采购内容及</w:t>
      </w:r>
      <w:bookmarkEnd w:id="272"/>
      <w:bookmarkEnd w:id="273"/>
      <w:r>
        <w:rPr>
          <w:rFonts w:hint="eastAsia" w:ascii="Times New Roman" w:hAnsi="Times New Roman"/>
          <w:kern w:val="44"/>
        </w:rPr>
        <w:t>要求</w:t>
      </w:r>
      <w:bookmarkEnd w:id="274"/>
      <w:bookmarkEnd w:id="275"/>
      <w:bookmarkEnd w:id="276"/>
      <w:bookmarkStart w:id="277" w:name="_Toc29158565"/>
      <w:bookmarkStart w:id="278" w:name="_Toc97372533"/>
      <w:bookmarkStart w:id="279" w:name="_Toc263083265"/>
    </w:p>
    <w:p>
      <w:pPr>
        <w:spacing w:line="360" w:lineRule="auto"/>
        <w:rPr>
          <w:rFonts w:cs="宋体"/>
          <w:b/>
          <w:szCs w:val="21"/>
        </w:rPr>
      </w:pPr>
      <w:r>
        <w:rPr>
          <w:rFonts w:hint="eastAsia" w:cs="宋体"/>
          <w:b/>
          <w:szCs w:val="21"/>
        </w:rPr>
        <w:t>一、采购</w:t>
      </w:r>
      <w:r>
        <w:rPr>
          <w:rFonts w:cs="宋体"/>
          <w:b/>
          <w:szCs w:val="21"/>
        </w:rPr>
        <w:t>清单</w:t>
      </w:r>
    </w:p>
    <w:p>
      <w:pPr>
        <w:numPr>
          <w:ilvl w:val="0"/>
          <w:numId w:val="4"/>
        </w:numPr>
        <w:spacing w:before="120" w:beforeLines="50" w:line="360" w:lineRule="auto"/>
        <w:rPr>
          <w:rFonts w:hint="eastAsia" w:cs="宋体"/>
          <w:szCs w:val="21"/>
        </w:rPr>
      </w:pPr>
      <w:r>
        <w:rPr>
          <w:rFonts w:hint="eastAsia" w:cs="宋体"/>
          <w:szCs w:val="21"/>
        </w:rPr>
        <w:t>设备</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7"/>
        <w:gridCol w:w="1301"/>
        <w:gridCol w:w="6014"/>
        <w:gridCol w:w="534"/>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物品名称</w:t>
            </w:r>
          </w:p>
        </w:tc>
        <w:tc>
          <w:tcPr>
            <w:tcW w:w="3392"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功能/参数</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数量</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办案区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信息采集区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电视机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屏幕尺寸：58英寸；屏幕分辨率：超高清4K；操作系统：安卓；运行内存：1.5GB；存储内存：8GB；主机尺寸（含底座宽*高*厚）：1292x814x226；安装孔距：400*200；支持格式（高清）：2160p；屏幕比例：16:9；能效等级：三级能效；连接方式：支持有线&amp;无线</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343"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智能存取管理设备</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功能：双向随身物品存取设备，通过物品智能存取管理设备，规范执法对象随身物品存取，能够实现与办案区系统无缝对接，全面实现软、硬件与人、案、物集成关联，集成电子化台账配套设备。</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主柜参数：长900mm，宽500mm，高1980mm；正面42寸红外触摸屏、反面21.5寸触摸显示屏、双面开启；.</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43"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智能存取管理设备</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功能：双向随身物品存取设备副柜。</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副柜参数：长960mm，宽500mm，高1980mm；双面开启。</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信息登记拼接桌</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参数：尺寸：785mm*690mm*640mm，2.0冷轧钢板，钣金定制 ，集成RFID读卡器：完全支持uem4100兼容格式ID卡(64bits,Manchester编码)；产品尺寸96mm×61mm。二代证读卡器：采用USB接口，无需外接电源，可直接使用。随机阅读软件自动设置通讯口和通讯参数，自动找卡和读卡采集人员信息。</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网络摄像机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 CMOS，300万，12mm镜头，DC12V / PoE(802.3af)，IP66，背光补偿，数字宽动态，ROI，IK10</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手持式金属探测器</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功能：通过金属探测仪对执法对象进行人身安全检查，防止夹带金属物品进入执法办案功能区。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参数：采用智能节能技术，可连续工作超40个小时，低电量自动告警，测距大于9CM。</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多功能红外线测温仪</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功能：通过体温探测仪对执法对象进行体温探测，防止由于身体不适导致的意外情况发生。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参数：安全探测不伤身，闪电测体温只需一秒，自动测量。</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智能电子防拆腕带</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参数：识别距离 ： 0～ 150米；识别速度 ： 120公里 / 小时 ；识别能力 ： 具备200张/秒的防冲突性能 ；识别方式 ： 全向识别；工作频段 ： 2.4 GHz &amp;有源125KHz&amp;13.56M；通讯速率 ： 250Kb/s、1Mb/s、2Mb/s；通信机制 ： 基于时分多址和码分多址同步通信机制；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抗干扰性 ： 频道隔离技术，多个设备互不干扰；安 全 性 ： 加密计算与安全认证，防止链路侦测；重力传感 ： 支持；功耗标准 ： 平均工作功率为微瓦级；电池配置 ： 配置CR2450锂锰纽扣电池，容量550mAh；使用寿命 ： 1~1.5 年，使用授权密钥可更换电池；腕带材质 ：TPSIV+ABS材质；环境特性 ： 工作温度－40℃ ～85℃   工作湿度＜95％；防水等级 ： IP68；可 靠 性 ： 防浸泡防冲击，满足工业环境要求；外     形 ： 腕带或脚镣型，可提供OEM定制服务；尺     寸 ： 15.14×45.90×280mm；重     量 ： 55.6g；</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标准化信息采集系统硬件</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含系统软件。可集成计算机、摄像头、指掌纹采集仪或指纹采集仪、二代身份证阅读器、条形码阅读器、足迹仪、身高体重仪等；21.5＂正屏液晶显示器集成于桌面上；支持无线及有线两种方式控制摄像头升降的内嵌专用支架；含指掌纹或指纹操作；商用台式机:DELL-5050MT,i5-6500 ,4G内存,1T硬盘；500万高清摄像头EC500X通用USB2.0口；</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卡套型电子标签</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识别方式 ： 全向识别</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固定增益 ： 0～3 级可按需选定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工作频段 ： 2.45GHz、125KHz、ID卡、IC卡、NFC</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通讯速率 ： 250Kb/s、1Mb/s、2Mb/s</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通信机制 ： 基于 HDLC 时分多址和同步通信机制</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抗干扰性 ： 频道隔离技术，多个设备互不干扰</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安 全 性 ： 加密计算与安全认证，防止链路侦测</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重力传感 ：支持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求救报警 ： 自带按钮</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功耗标准 ： 平均工作功率为微瓦级</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电池配置 ： CR2032纽扣电池(2颗)</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电压检测 ： 电压低于预设值时以无线提示(可选)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封装特性 ： ABS 工程塑料</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环境特性 ： 工作温度－40℃ ～ 65℃</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工作湿度 ：＜95％</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可 靠 性 ： 防冲击，满足工业环境要求</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外     形 ： 白色方形卡</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安装方式 ： 挂绳</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网络摄像机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400万星光级1/1.8” CMOS AI泛智能抓拍半球型网络摄像机；（2.8-12mm）@F1.2，水平视场角：104.5°~39.1°</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功耗：DC： 12 V, 0.8A, Max：9W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AC24V：12.5W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PoE： (802.3af, 36V-57V), 0.35A to 0.2 A，Max：12.5W；</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虹膜采集仪</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用于虹膜注册采集工作，同时也支持认证功能。设备将采集到的虹膜图像通过USB接口传输给计算机进行处理，从而完成身份采集认证的功能。</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尺寸（长*高*厚）：203*153*47.5mm、重量：420克、输入接口：USB2.0、供电方式：USB供电、USB线长：1.4m、功率：待机0.8W/工作1.8W、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虹膜图像：分辨率640x480、眼睛的数目：双目、注册时间：≤2s、识别时间：≤1s、精确度FAR：＜0.0001%  FRR:＜0.1%</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声纹采集终端</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1.支持交谈模式采集；</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2.音频采集器能够同步采集的语音通道数为16个通道，实现高精度、高品质的录音；</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3.采集音频格式为16kHz采样率、16位量化精度，wav格式；</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4.拾音距离:支持0.8m到1.5m的远场采集；</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5.定向采集目标发言人的语音信息、准确分离问答双方；</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6.问答两路麦克风输出的信噪比达到25dB以上；</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7.采集设备具有良好的隔离度，目标说话人语音在整条语音中占比超过95%；</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8.供电接口:USB接口；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9.供电需求: 5V/300mA；</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10.兼容操作系统: XP、Win7、 Win10；</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11.环境温度范围: -20~60°C</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声纹采集软件</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1.系统采用C/S或B/S架构；</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2.兼容主流的Windows操作系统；</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3.运行环境要求：最小内存8G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4.常温下连续工作≥48小时，可实现声纹数据的计算与保存。</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5.采集数据符合公安部声纹采集标准，可接入省 级库实现数据的上报；</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6.语音活动检测：具有语音活动检测功能；</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7.信噪比：具备信噪比计算功能；</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8.有效时长检测：具有有效时长检测功能，有效语音时长≥2min；</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9.平均能量检测：具有平均能量检测功能；</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10.背景噪声检测：具有背景噪声检测功能；</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11.截幅比例检测：具有截幅比例检测功能；</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12.系统必须部署在公安内网，与本地人员信息库对接，信息自动关联；</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13.采集的声纹数据需与同步到国家声纹库中存储。</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14. 声纹采集终端系统需与国家声纹库中心对接。</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手机信息采集仪</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读取出品牌机和智能机型号、操作系统等信息，自动侦测智能平台操作系统类别及山寨机芯片类型；对设有开机密码、防盗码、无电池及电池电量耗尽的山寨机，可直接破解密码进行信息采集；可实现全文检索、查询统计、系统日志、设备管理等功能</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智能讯（询）问室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智能询讯问专用终端</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功能：通过智能询讯问专用终端可以实现自助播报执法对象权利义务告知，集成所有案件类型电子笔录审讯提纲方便民警快速办案、与同步刻录系统无缝对接，可刻录案件审讯信息等。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参数：i5CPU、120G固态硬盘、4G内存、一体化签字屏、21.5寸双屏显示器、HP1106打印机、应急报警、报警装置对接总机、摄像机、当事人阅读屏等，尺寸：长1640mm*宽770mm*高935mm；配备罗技鼠标、键盘。</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讯（询）问椅</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功能：讯（询）问椅，阿基里斯皮，手部采用U型锁约束，胸部及腰部以约束带束缚；腿部以环形脚踏锁带手脚铐，控制嫌疑人。</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参数：尺寸：700mm*720mm*700mm；</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LED显示屏</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功能：通过与智能防拆电子腕带相关联，LED显示屏可以显示执法对象在办案区的状态。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参数：LED屏显：304*152，尺寸：650*200*50mm；内扫描16扫，亚克力材质，双色显示。</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语音转写设备</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盘型麦克风阵列：多通道、高品质录音，360°拾音，有效拾音距离为1到2米，排除相互之间及环境其他噪音的干扰，保证语音信息清晰、有效。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线性麦克风阵列：±12.5°拾音，有效拾音距离为2到3米，最da可达6米。排除相互之间及环境其他噪音的干扰，保证语音信息清晰、有效</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窗口对讲机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功能：通过对讲设备使民警与执法对象的对话能够在玻璃隔断后清晰进行。                                         参数：最大通话距离:：1.5km以下(含1.5km)；材质：全铝合金箱体；</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未成年人讯（询）问室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智能询讯问专用终端</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功能：通过智能询讯问专用终端可以实现自助播报执法对象权利义务告知，集成所有案件类型电子笔录审讯提纲方便民警快速办案、与同步刻录系统无缝对接，可刻录案件审讯信息等。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参数：i5CPU、120G固态硬盘、4G内存、一体化签字屏、21.5寸双屏显示器、HP1106打印机、应急报警、报警装置对接总机、摄像机、当事人阅读屏等，尺寸：长1640mm*宽770mm*高935mm；配备罗技鼠标、键盘。</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讯（询）问椅</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功能：讯（询）问椅，阿基里斯皮，手部采用U型锁约束，胸部及腰部以约束带束缚；腿部以环形脚踏锁带手脚铐，控制嫌疑人。</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参数：尺寸：700mm*720mm*700mm；</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LED显示屏</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功能：通过与智能防拆电子腕带相关联，LED显示屏可以显示执法对象在办案区的状态。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参数：LED屏显：304*152，尺寸：650*200*50mm；内扫描16扫，亚克力材质，双色显示。</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辨认观摩室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喇叭</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低音：5.25"聚丙烯振膜，橡胶折环，12oz磁钢，25mm（1"）音圈。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高音：天然蚕丝球顶音膜，25mm（1"）音圈 ，磁液冷却，钕铁硼磁钢。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分频器：改性酚醛树脂PCB板，-12dB/Oct低通滤波器，-12dB/Oct高通滤波器，高音PTC过载保护。</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谐振频率：65Hz</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频率响应：50Hz-20KHz</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灵敏度：86dB/W/M</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推荐功放功率：10-80W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阻抗：8Ω</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功放</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尺寸 154x129x39（mm） 额定电压 12-18V 额定功率 20*2+40W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额定频率 20-20KHZ 失真率 0.4% 信噪比 80DB</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阻抗 4-8欧 功放类型 HIFI功放 材质 铝合金</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拾音器</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拾音范围：5-100平方米。音频传输距离：3000米。灵敏度：-32dB。频率响应：100Hz～16KHz。指向特性：全指向性。信噪比：80dB（1米40 dB音源SPL）30dB(10米40 dB 音源SPL)1KHz at 1 Pa。电源电压：直流稳压电源DC 12V。电源电流：120mA。工作环境温度：0℃～70℃。颜色：香槟色。外壳材质：铝合金。外形尺寸：Φ77mm×22.5mm。重量：80g</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等候室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成品坐凳</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功能：钣金坐凳，2人位，不带侧板。</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参数：材质：2.0冷轧钢板，2人座位尺寸：420mm高*800mm长*420mm宽；</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成品坐凳</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功能：钣金坐凳，2人位，带侧板。</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参数：材质：2.0冷轧钢板，2人座位尺寸：420mm高*800mm长*420mm宽；侧板材质：20mm黑胡桃木，侧板方向：一左一右(两块)；</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成品坐凳</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功能：钣金坐凳,转角位。</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参数：材质：2.0冷轧钢板，钣金坐凳转角尺寸：420mm高*500mm长*500mm宽。</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看管区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智能巡更器</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功能：办案区巡更设备，巡更人员到达指定巡更点进行打卡确认巡更信息。</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参数：巡更卡：</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识别距离 ： 0～ 150米可调，识别速度 ： 200公里 / 小时，识别能力 ： 具备200张/秒的防冲突性能，识别方式 ： 全向识别，可 靠 性 ： 防冲击，满足工业环境要求，尺    寸 ： 86×54×6 mm，重    量 ： 24g</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高精度定位基站：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工作频段 ：2401MHz~2481MHz，工作带宽 ：1MHz，发射功率 ：最大+6dBm，定位精度 ：0.2m~1m，定位延迟 ：小于100ms，安装方式 ：吸顶安装，使用数量 ：1台实现2D定位；一体化定位基站：识别距离： 最远可达150米(空旷距离测试），识别速度： 120Km/h，重    量：  258g，尺    寸： 直径160mm,高100mm，封装特性 ： ABS工程塑料封装，防水等级 ： IP67，重    量 ：720g，尺    寸 ：240*240*40mm，安装方式 ： 吊顶或墙面安装</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RUK网络读卡器</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外形尺寸(长×宽×高）：14cm×10cm×3cm。12V直流供电，最大工作负载电流&lt;0.08A，支持点对点通讯线最大长度在50m~80m之间（受双绞线质量和外围干扰）。感应离距离在0~10cm。</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集成看管台</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尺寸：长3100mm*宽700mm*高750mm，2.0mm冷轧钢板、木板材质：20mm黑胡桃木，集成品牌电脑主机，21.5寸嵌入式显示器，对讲主机：采用10.2寸数字真彩显示屏，电容式触摸屏，广播播放：可用MP3文件对所有分机进行全区、分区、定时广播、消防广播；支持喊话广播、外接音源广播。监听、监视：可循环监听、监视或单个监听、监视分机。</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LED显示屏</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功能：通过与智能防拆电子腕带相关联，LED显示屏可以显示执法对象在办案区的状态。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参数：LED屏显：304*152，尺寸：650*200*50mm；内扫描16扫，亚克力材质，双色显示。</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远程提审室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智能球型摄像机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黑白：0.002Lux @(F1.6，AGC ON)；</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信噪比大于55dB，支持背光补偿、宽动态、光学变焦等；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支持16倍数字变倍及20倍光学变焦等；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支持红外遥控、预置点视频冻结、智能运动跟踪、300个预置点设置等；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支持三码流输出、H.264等视频编码标准，G.722/G.711等多种音频编码标准；</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支持音频输入/输出，报警输入/输出/联动，支持扩展存储卡；</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支持多种安装方式，重力感应等；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图像传感器 1/2.8 Progressive Scan CMOS；</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最低照度 彩色：0.02Lux @ (F1.6，AGC ON)；黑白：0.002Lux @(F1.6，AGC ON)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分辨率及帧率 主码流：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50Hz: 25fps(1920×1080,1280×960,1280×720),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60Hz: 30fps(1920×1080,1280×960,1280×720)；</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子码流：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50Hz: 25fps(704×576,352×288,176×144),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60Hz: 30fps(704×480,352×240,176×120)；</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第三码流：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 xml:space="preserve">50Hz: 25fps(1920×1080,1280×960,1280×720,704×576,352×288,176×144),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60Hz: 30fps(1920×1080,1280×960,1280×720,704×480,352×240,176×120)；</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视频压缩： H.264/MJPEG/MPEG4；</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音频压缩： G.711alaw/G.711ulaw/G.722/G.726/MP2L2/AAC/PCM；</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白平衡： 自动/手动/自动跟踪白平衡/室外/室内/日光灯白平衡/钠灯白平衡；</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增益控制： 自动/手动；</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信噪比：≥55dB；</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3D数字降噪： 支持；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背光补偿： 支持；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区域曝光/聚焦：支持；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电子快门：1/1-1/30,000s；</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日夜模式： 自动ICR彩转黑；</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数字变倍：16倍；</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隐私遮蔽： 最多24块区域；支持马赛克、多种颜色可选；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聚焦模式： 自动/半自动/手动</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音频设备</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高保真鹅颈式有线话筒。频率响应:40HZ-16KHz;指向性:超心型;输出阻抗:75Ω,灵敏度（+/—2dB）:-40dB.供电电压:DC3V/幻象48V.咪管长度（mm）:445;咪线配置:8米双芯、卡龙母+卡龙公;重量:0.73kg.</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展台</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VGA接口高清示证展示台；</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像素：500万像素；</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变焦：整机220倍放大；</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对焦/白平衡：自动/手动；</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图像特技：正负片、冻结、旋转, 标题、同屏对比、镜像、文本/图像、黑白/彩色；</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图像存储：有；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同屏对比：有；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RGB输入输出：VGA输入，输出各两组；</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RGB输出分辨率：XGA, SXGA,WXGA,720P 16:9，1080P 16:9；</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RS232接口：有；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音频输入：3.5插口3组；</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音频输出：3.5插口1组；</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视频输入：RCA 1组；</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视频输出：RCA 1组,S-VIDEO 1组；</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麦克风输入：麦克风插座；</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HDMI输入：无；</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HDMI输出: 无；</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SD卡储存：不支持；</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侧灯：2个1.0W  LED；</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红,蓝增益：有；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亮度调节：有；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投影机开关/信号/输入切换： RS232控制；</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展开体积(mm)：510×530×570(mm)；</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收拢体积(mm)：510×410×120(mm)；</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安全锁：有；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净重：5Kg</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喇叭</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低音：5.25"聚丙烯振膜，橡胶折环，12oz磁钢，25mm（1"）音圈。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高音：天然蚕丝球顶音膜，25mm（1"）音圈 ，磁液冷却，钕铁硼磁钢。</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分频器：改性酚醛树脂PCB板，-12dB/Oct低通滤波器，-12dB/Oct高通滤波器，高音PTC过载保护。</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谐振频率：65Hz</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频率响应：50Hz-20KHz</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灵敏度：86dB/W/M</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推荐功放功率：10-80W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阻抗：8Ω</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功放</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尺寸 154x129x39（mm） 额定电压 12-18V 额定功率 20*2+40W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额定频率 20-20KHZ 失真率 0.4% 信噪比 80DB</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阻抗 4-8欧 功放类型 HIFI功放 材质 铝合金</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视频会议</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4输入机位互动终端支持H.323 多媒体框架协Q.931\H.221\H.225\H.241\H.245\RTP\RTCP 协议标准；视音频采集低于200ms；支持视音频唇音同步； 视频输入最大支持1080P@60fps 编码；支持手动接听、自动接听、手动拒听、自动拒听、视频呼出等丰富的呼叫控制功能；支持H.264 视频编码；支持G711、G722 音频编码； 融合互通，可与业内主流标准终端和网络侧设备互通，例如：华为，思科，科达；丰富的 APII接；1个 HDMI 输出 口，1个 HDMI环通输出口， 1个 HDMI输入口；1个 VGA输出 口，1个 VGA环通输出口， 1个 VGA输入口 ；最大支持 6个 SDI输入口；</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交换机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网络标准IEEE 802.3 、IEEE 802.3u、IEEE 802.3ab、IEEE 802.3x</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端口8个10/100/1000Mbps RJ45 端口</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MAC地址表支持4K的MAC地址表深度</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尺寸158mm x 100mm x 25mm</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电视机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屏幕尺寸：58英寸；屏幕分辨率：超高清4K；操作系统：安卓；运行内存：1.5GB；存储内存：8GB；主机尺寸（含底座宽*高*厚）：1292x814x226；安装孔距：400*200；支持格式（高清）：2160p；屏幕比例：16:9；能效等级：三级能效；连接方式：支持有线&amp;无线</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一体化数字签名屏</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功能：通过设备对接执法办案系统笔录文书，实现签名捺印写入文书。</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参数：驱动支持： Windows98，Me，NT4.0，2000，XP；</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支持电子签名、指纹识别</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供电电压 ：5.0V +/-.25V USB提供；</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接口连接线：定制mini USB线；功耗 ：最高1.0W；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分辨率：1280*800分辨率24位真彩色</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像素点距：0.30(水平)*0.30（垂直）mm。</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触控：支持多点触控</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尿检区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智能尿检一体机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功能：智能尿检终端，集成高性能工控机，19寸触摸显示屏，RFID读卡器，签字版，指纹采集仪、打印机、高清摄像头，小型冰箱等设备对尿检信息提供全电子化记录功能。</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设备参数：1844mm*568mm*530mm，像素：400万，冷藏温度：1-10度</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服务器</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2*Intel XEON Bronze 3104 6C /6T 1.7GHz8.25M 85W;双CPU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8GB*2/DDR4，1TB*2，RAID1，2U机架，双电源；8口/SAS/6Gb/支持RAID 0、RAID 1、RAID 10阵列；显示器、鼠键套源；8口/SAS/6Gb/支持RAID 0、RAID 1、RAID 10阵列；显示器、鼠键套</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服务器</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 X Intel Xeon Silver 4208 Processor/2.10 GHz/11 MB/8C/16T/85 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 X 16GB/DDR4/2400或2666MHz或2933MHz/ECC/REG</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 X 1TB/SAS/7200RPM/3.5寸/企业级</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 X LS382E/SAS 12Gb/半高/PCIe 3.0 x8/3008IT/SFF8643</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 X 上架导轨套件</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 X 2U 550W 1+1 冗余电源</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光盘打印刻录一体机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功能：通过同步刻录音视频设备与智能询讯问专用桌相关联，实现案件电子光盘化，有效节约纸张成本。</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要求：USB接口，打印区域120mm,支持光盘打印，包括（BD-R，DVD±R，CD-R；普通或防水可打印光盘），操作系统Windows 2000/XP/Vista/7，Mac OS X v10.2或更高，381x375x178mm，4.1kg。</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光盘</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读写速度: 8X,格式: DVD-R,刻录盘容量:≥ 4.7GB;直径: 约12cm,系列: 档案级；100张/桶</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显卡</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pascal Gpu 架构；</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1024 CUDA 并行计算处理核心；</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5GB GDDR5内存容量；</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up to 140Gb/s内存带宽；</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PCI expreess 3.0 PCIE总线；</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3.0 TELOPS FP32 单精度计算性能；75W功耗；</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4*DP1.4 显示接头；</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工作站</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1.CPU:I7-7700   内存:16G    普通硬盘：2Ⅹ1T</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2.网卡：Intel 1219-LM千兆网卡；</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3.光驱：DVD-RW；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电源：210w；</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扩展：PCLE*16卡槽、PCLE*4卡槽、PCLE*1卡槽；</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RFID定位器</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功能：通过人员身份辨识设备支撑智能防拆电子腕带的正常运行，从而达到实时掌控执法对象在办案区的活动轨迹，能够实现与办案区系统无缝对接，全面实现通过驱动办案区弱电和办案软件使办案程序有序进行。                           </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参数：识别距离： 最远可达150米(空旷距离测试），识别速度： 120Km/h，识别能力： 同时识别200张以上的标签，识别角度： 全向，工作频段： 2.4GHz、125KHz，重    量：  258g，尺    寸： 直径160mm,高100mm，防水等级 ： IP67，重    量 ：720g，尺    寸 ：240*240*40mm，安装方式 ： 吊顶或墙面安装</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网络存储设备</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4U机架式24盘位，配置24个6T硬盘；双路64位多核处理器；32GB缓存；支持SATA/SAS硬盘；6个千兆网口；冗余电源；支持网络RAID；</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案件保管室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智能案卷柜</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能基于公安网通过安全可靠的通信协议和软件系统对接；能结合二维码技术对案卷进行管理；能集成公安机关已有的智能IC卡进行案卷相关权限管理；具有大屏触摸显示器方便查看相关案卷信息和操作案卷柜。</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设备参数：1、2000mm（高）*860 mm（宽）*430mm 厚）,集成工控机、19寸触摸显示屏、二维码扫描仪、IC读卡器，设备控制模块等，可接入一个副柜。</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智能案卷柜</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副柜参数：2000mm（高）*860 mm（宽）*430mm 厚）/10门*1板开透视窗。2、门控系统等</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智能案卷柜</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设备参数：1、长860 mm*宽430mm*高2000mm,集成I5工控机、19寸触摸显示屏、二维码扫描仪、IC读卡器，设备控制模块等，单面开启，可接入一个副柜。</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二维工业条码扫描枪</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参数：工作电流266mA，工作温度-20℃-50℃，跌落高度1.8米，防护等级IP42，待机电流：109mA，外观尺寸74*115*161mm。</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条码打印机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参数：二维码打印，兼容一维码打印，2-4inch/s，双感应式定位，USB接口，大齿轮，带撕纸位</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发卡器</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参数：完全支持uem4100兼容格式ID卡(64bits,Manchester编码)；产品尺寸96mm×61mm。。</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涉案财物室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智能物证柜</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主柜参数：1、 长860 mm*宽430mm*高2000mm；共10个门；2、门控系统；3、带电源等设备，需提供IP地址。</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智能物证柜</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副柜参数：1、 柜体：长860 mm*宽430mm*高2000mm；共10个门：2、门控系统等</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保险箱</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重量: 110kg,外部尺寸：59*142*47CM，内部尺寸：60*150*55CM，产品材质：超高密度环保合金钢</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冷柜</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参数：1、净重：50kg，2、制冷方式：单温品牌，3、尺寸: 1234x600x855mm，4、开门方式: 蝴蝶门卧式功能， 5、冷藏冷冻容量: 301L(含)-400L(含)，6、冷冻能力: 16kg/24h(含)-25kg/24h(含)，7、耗电量: 0.70Kwh/24h(含)-0.99Kwh/24h(含)，8、能效等级: 二级</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货架</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参数：长1500mm*宽600mm*高2000mm；三层架子，存放中型物品物证功能；</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防磁柜</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重102KG,1500*530*480，磁带存放量36盒/抽屉，光盘存放量90盒/抽屉，单门，8个抽屉，防止外来磁场对柜内磁性物品产生磁化作用</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毒品柜</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参数：1.规格1840*900*510（mm)。</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2.外壳体全部采用1.5mm的冷轧钢板，柜体底座采用2.0mm的冷轧钢板,内外表面经酸洗磷化环氧树脂粉末喷涂，烘热固化处理。</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内胆（上，下、左、右内衬板）全部采用实芯理化板或pp（聚丙烯树脂）板；柜底部设置90*50*145mm进风口，进风口底部有不锈钢可调风阀；柜体的底板中部有Φ10mm漏液孔，漏液孔上面盖上60目304*不锈钢网；柜体底部设h=160mm黄沙(防倒）挡板，柜体内部最下层留有可以存放不少于120mm厚黄沙的填埋腔，用于埋放金属钠、黄磷（白磷）等的易燃物品；柜底装有四个Φ60mm的移动钢轮，便于易燃品毒害品储存柜移动；前轮后有2个手动调节罗杆，方便易燃品毒害品储存柜定位。</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5"/>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审讯指挥室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IP网络拨号式高级主机</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尺寸：210x330x118mm(LxWxH),工作温度：-20℃ ～ +80℃,输入电源：DC14V;工作湿度：10% ～ 90%;显示屏分辨率：1280x800像素;摄像头：500万像素;对外接口：RS-485接口</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43"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IP网络地址盒</w:t>
            </w:r>
          </w:p>
        </w:tc>
        <w:tc>
          <w:tcPr>
            <w:tcW w:w="3392"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尺寸：195x125x43mm(LxWxH);工作温度：-20℃ ～ +80℃;功耗：&lt; 2W;网络接口：标准RJ45接口;输入电源：DC12V～18V;网络协议:TCP/IP、UDP、IGMP、RTP;</w:t>
            </w:r>
          </w:p>
        </w:tc>
        <w:tc>
          <w:tcPr>
            <w:tcW w:w="30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p>
        </w:tc>
        <w:tc>
          <w:tcPr>
            <w:tcW w:w="227"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个</w:t>
            </w:r>
          </w:p>
        </w:tc>
      </w:tr>
    </w:tbl>
    <w:p>
      <w:pPr>
        <w:spacing w:before="120" w:beforeLines="50" w:line="360" w:lineRule="auto"/>
        <w:rPr>
          <w:rFonts w:hint="eastAsia" w:cs="宋体"/>
          <w:szCs w:val="21"/>
        </w:rPr>
      </w:pPr>
    </w:p>
    <w:p>
      <w:pPr>
        <w:numPr>
          <w:ilvl w:val="0"/>
          <w:numId w:val="4"/>
        </w:numPr>
        <w:spacing w:before="120" w:beforeLines="50" w:line="360" w:lineRule="auto"/>
        <w:rPr>
          <w:rFonts w:hint="eastAsia" w:cs="宋体"/>
          <w:szCs w:val="21"/>
        </w:rPr>
      </w:pPr>
      <w:r>
        <w:rPr>
          <w:rFonts w:hint="eastAsia" w:cs="宋体"/>
          <w:szCs w:val="21"/>
        </w:rPr>
        <w:t>软件系统</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1"/>
        <w:gridCol w:w="947"/>
        <w:gridCol w:w="1527"/>
        <w:gridCol w:w="489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8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5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物品名称</w:t>
            </w:r>
          </w:p>
        </w:tc>
        <w:tc>
          <w:tcPr>
            <w:tcW w:w="3622" w:type="pct"/>
            <w:gridSpan w:val="2"/>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功能/参数</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开发工作量 （人月）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38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53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公安机关办案区物联网管控平台软件</w:t>
            </w: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人员信息登记</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人员进入办案区后，使用身份证刷卡，系统根据身份证号自动获取该人员的基本信息；并自动将获取的数据填充到页面，减少办案民警进行手动输入的工作量，同时也可以对信息进行修改，查看。对重点人员进行标记。登记错误信息时可以修改。</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人身安全检查登记</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具备对入区人员的人身安全检查情况信息进行登记，可进行标记、标注并上传伤势照片，登记的内容包括安全检查时间段、是否有伤情、疾病、自述伤情、疾病等信息</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随身物品管理</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对嫌疑人的随身物品进行拍照登记管理，当事人主动将随身物品放入储物盒，民警点击页面的拍照按钮，则对物品盒内的随身物品进行拍照，同时让当事人确认无误。自动分配并打开相应的柜子，储物盒放入储物柜。</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出所管理</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具备对人员的出区流程进行管控，并对出所人员物品进行拍照。，包括临时出区，提交临时出区、人员出区、出区取物、人员登记表等。</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轨迹管理</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具备对办案区人员活动情况进行登记管理，生成民警每次进出办案区的活动轨迹和视频轨迹。可以通过此功能查看民警与嫌疑人的活动轨迹和视频轨迹。</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电子台账</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具备对嫌疑人信息、物品登记图片、行动轨迹等数据统一生成电子台账即人员登记表，并提供电子签名方式实现嫌疑人与民警在人员登记表中的签字功能。</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人员信息管理</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具备对来所的人员进行统一管理，包括来所人员姓名、性别、主办单位、人员状态、入区原因、入区时间、出区原因、出区时间、主办人 、随身物品 、一体化 、所属区域 、业务编号等信息。支持查看、新增、导出、人员信息提示、随身物品、进出情况查询等操作</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机构授权</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基础模块授权单位：</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宁波百丈*** 、宁波咸祥*** 、宁波东胜***、宁波文华***、宁波东柳***、宁波明楼***、宁波下应***、宁波东郊***、宁波瞻岐***、宁波中河***、宁波东吴***、宁波邱隘***、宁波鄞州分局边防***、宁波云龙***、宁波姜山***、宁波新城***、宁波塘溪***、宁波五乡***。</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等候室智能分配</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1、系统根据各等候室的人员数量、性别、是否同案等条件，为人员分配到最合适的等候室。</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支持手动分配等候室的功能，办案民警在办案区人员界面查找到需要手动分配等候室的人员，点击分配等候室按钮，系统会将每个等候室中的人员以图形化界面展示，可根据实际情况将人员分配到最适合的等候室。</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询/讯问室分配</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刷取智能手环获取人员信息，根据功能室使用情况以及人员情况，系统自动分配对应功能室并在等候区led进行信息提示，同时打开功能室电源，完成询讯问后自动（定时）关闭房间电源。</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支持功能室led屏根据功能室使用情况显示相关信息（询/讯问室）以及人员基本信息等，</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人员定位</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通过定位引擎，实现人员室内定位、区域人数统计；实现同案混关、男女混关的预警、自动记录人员在办案区的活动轨迹。</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电子巡更</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通过配置办案区的巡更间隔，巡更时间段，防止看管人员睡岗一下两种方式二选一：</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1，超过规定时间未巡更系统预警提醒，如未及时处理，办案区自动报警</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2，系统中登记巡更日志</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办案区预警</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24小时未出所预警，同案预警，男女混关预警，防脱逃预警，手环电量预警，心率预警、单人审讯等</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38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53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同步刻录软件</w:t>
            </w: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基础模块</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1、刻录设备集成；</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2、刻录参数设置：包括刻录文件路径设置、刻录封面字段设置、刻录封面文件位置设置、刻录时间限制、刻录光盘份数、刻录监控设备配置等；</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3、刻录封面设置：对刻录光盘封面的设置，设置封面图片、封面文字信息。</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4、刻录任务管理：查看已经刻录过的任务，包括刻录时间、刻录人、案件编号、人员编号、刻录单位、刻录状态等信息，还可以选择重新刻录。</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视频处理</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利用数字技术，实现“画中画”效果。民警可以在查看审讯视频时，在同一屏幕上显示两套审讯视频。即在正常观看的主审讯画面上，同时插入一个经过压缩的子审讯画面，以便在观看主审讯画面的同时还可以观察到整个审讯室的全部画面。</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8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53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数据墙展示</w:t>
            </w: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基础平台</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大屏可视化组件支持平台</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案件管理中心大屏</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根据执法单位的地域特性，从地域性的角度来分析展现近期地域的接处警和案件受理情况。</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以饼图的方式展现某一个地域近期对嫌疑人员的处置情况，主要是对人员进行行政处罚、刑拘、取保、监拘、逮捕、移诉等处理。</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从地域的角度，以柱状图的形式展现，各个地域执法单位在库涉案物品情况。</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案件时间轨迹展示。证据轨迹展示。</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办案中心大屏</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1、在分局办案中心嫌疑人数量、分布情况、审查民警情况；</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2、讯问室使用情况，温度、湿度情况，硬件故障情况；</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体表伤情人员数量、重点人员数量（案由人数展示）、单人讯问情况、视音频未同步刻录、未成年人情况、传染病人情况；巡更睡岗异常情况；8小时、12小时预警提示；强制措施变更未及时出区；五项检查未通过情况；</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8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53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音视频可视化执法管理平台软件</w:t>
            </w: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办案区区域管理</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对办案区区域包括等候室、审讯室、走廊、通道等区域进行结构化管理，区域划分是形成人员视频轨迹的基础数据。</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办案区轨迹视频管理</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从人员入区到出区，通过定位系统定位的人员轨迹，同相关区域的监控设备进行关联，从而可以形成到嫌疑人、办案民警、访客进入办案区，离开办案区的完整视频链，并可以进行查询下载。</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轨迹视频播放控件</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对办案区区域包括等候室、审讯室、走廊、通道等区域进行结构化管理，区域划分是形成人员视频轨迹的基础数据。</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视频处理</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1，摄像头管理、对基层单位各品牌的摄像头进行管理登记，登记包括摄像头单位、所在位置、IP地址、用户名、密码，只有登记过的摄像头才能在系统中上传录像，并可以在系统内直连摄像头进行实况预览。</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2，硬盘录像机管理，对基层单位各品牌的硬盘录像机进行管理，包括硬盘录像机的IP、端口、用户名、密码、通道个数、存储情况进行登记管理。</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3，定位设备管理，包括RFID手环、定位基站、定位天线进行统一管理。</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8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534"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远程辅助办案系统软件</w:t>
            </w: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远程提审模块</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以现代信息化技术为支撑，以公安专网为载体，建成连接看守所与公安局及所队办案区的远程提审系统，实现远程音视频可视对讲、远程刻录、远程打印、远程签字捺印等，大幅度提高公安机关的提审效率，同时保障了提审的安全性。</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8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534" w:type="pct"/>
            <w:vMerge w:val="restar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公安机关数据对接平台</w:t>
            </w: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人脸比对</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对接市局人脸平台，快速识别入区人员身份。</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8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534" w:type="pct"/>
            <w:vMerge w:val="continue"/>
            <w:noWrap w:val="0"/>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861"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众智平台对接</w:t>
            </w:r>
          </w:p>
        </w:tc>
        <w:tc>
          <w:tcPr>
            <w:tcW w:w="2761" w:type="pct"/>
            <w:noWrap w:val="0"/>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对接组织机构、用户、人员、警情、人员、案件、涉案财物相关数据。</w:t>
            </w:r>
          </w:p>
        </w:tc>
        <w:tc>
          <w:tcPr>
            <w:tcW w:w="459" w:type="pct"/>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r>
    </w:tbl>
    <w:p>
      <w:pPr>
        <w:spacing w:before="120" w:beforeLines="50" w:line="360" w:lineRule="auto"/>
        <w:rPr>
          <w:rFonts w:cs="宋体"/>
          <w:szCs w:val="21"/>
        </w:rPr>
      </w:pPr>
    </w:p>
    <w:p>
      <w:pPr>
        <w:numPr>
          <w:ilvl w:val="0"/>
          <w:numId w:val="4"/>
        </w:numPr>
        <w:spacing w:before="120" w:beforeLines="50" w:line="360" w:lineRule="auto"/>
        <w:rPr>
          <w:rFonts w:hint="eastAsia" w:cs="宋体"/>
          <w:szCs w:val="21"/>
          <w:lang w:val="en-US" w:eastAsia="zh-CN"/>
        </w:rPr>
      </w:pPr>
      <w:r>
        <w:rPr>
          <w:rFonts w:hint="eastAsia" w:cs="宋体"/>
          <w:szCs w:val="21"/>
          <w:lang w:val="en-US" w:eastAsia="zh-CN"/>
        </w:rPr>
        <w:t>参考品牌表</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5"/>
        <w:gridCol w:w="2685"/>
        <w:gridCol w:w="33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材料名称</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参考品牌</w:t>
            </w:r>
          </w:p>
        </w:tc>
        <w:tc>
          <w:tcPr>
            <w:tcW w:w="1112" w:type="pct"/>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服务器</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威灿智能、惠普、戴尔</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光盘打印刻录一体机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派美雅、清华同方、爱普生</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电脑</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联想、戴尔、惠普</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RFID定位器</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威灿智能、仁微、上海楠山</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网络存储设备</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海康威视、华为、鑫芸</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显卡</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丽台、华硕、影驰</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光盘</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派美雅、铼德、日胜</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二维工业条码扫描枪</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新大陆、霍尼韦尔、得力</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条码打印机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佳博、得力、富士通</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保险箱</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爱斐堡、得力、虎牌</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冷柜</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星星、海尔、美的</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货架</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福玛特、易存、中伟</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防磁柜</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固银、福玛特、洛克菲勒</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毒品柜</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洛克菲勒、康尔达、卡亚</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IP网络拨号式高级主机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来邦、思正、悦视科技</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IP网络地址盒</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来邦、思正、悦视科技</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电视机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海信、TCL、飞利浦</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智能存取管理设备</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威灿智能、福源智能、易存电子</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信息登记拼接桌</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威灿智能、恩尔、信和福居</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海康威视、大华、宇视科技</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手持式金属探测器</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美创达诚、中科联、科正鑫</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额温枪</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倍尔康、百乐富、 新汇康</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智能电子防拆腕带</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威灿智能、仁微科技、上海楠山</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标准化信息采集系统硬件</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北大高科、爱登特、联腾科技</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卡套型电子标签</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威灿智能、仁微科技、上海楠山</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手机信息采集仪</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高奈特、达恒科技、浦喆</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智能询讯问专用终端</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威灿智能、安智盈、中联安华</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讯（询）问椅</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威灿智能、安智盈、中联安华</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威灿智能、鸿蓝亮、弘志光电</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语音转写设备</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科大讯飞、云嘉、捷通华声</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窗口对讲机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635" cy="192405"/>
                  <wp:effectExtent l="0" t="0" r="0" b="0"/>
                  <wp:wrapNone/>
                  <wp:docPr id="1" name="TextBox_1"/>
                  <wp:cNvGraphicFramePr/>
                  <a:graphic xmlns:a="http://schemas.openxmlformats.org/drawingml/2006/main">
                    <a:graphicData uri="http://schemas.openxmlformats.org/drawingml/2006/picture">
                      <pic:pic xmlns:pic="http://schemas.openxmlformats.org/drawingml/2006/picture">
                        <pic:nvPicPr>
                          <pic:cNvPr id="1" name="TextBox_1"/>
                          <pic:cNvPicPr/>
                        </pic:nvPicPr>
                        <pic:blipFill>
                          <a:blip r:embed="rId15"/>
                          <a:stretch>
                            <a:fillRect/>
                          </a:stretch>
                        </pic:blipFill>
                        <pic:spPr>
                          <a:xfrm>
                            <a:off x="0" y="0"/>
                            <a:ext cx="381635" cy="192405"/>
                          </a:xfrm>
                          <a:prstGeom prst="rect">
                            <a:avLst/>
                          </a:prstGeom>
                          <a:noFill/>
                          <a:ln>
                            <a:noFill/>
                          </a:ln>
                        </pic:spPr>
                      </pic:pic>
                    </a:graphicData>
                  </a:graphic>
                </wp:anchor>
              </w:drawing>
            </w: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91160" cy="192405"/>
                  <wp:effectExtent l="0" t="0" r="0" b="0"/>
                  <wp:wrapNone/>
                  <wp:docPr id="2" name="TextBox_1_SpCnt_1"/>
                  <wp:cNvGraphicFramePr/>
                  <a:graphic xmlns:a="http://schemas.openxmlformats.org/drawingml/2006/main">
                    <a:graphicData uri="http://schemas.openxmlformats.org/drawingml/2006/picture">
                      <pic:pic xmlns:pic="http://schemas.openxmlformats.org/drawingml/2006/picture">
                        <pic:nvPicPr>
                          <pic:cNvPr id="2" name="TextBox_1_SpCnt_1"/>
                          <pic:cNvPicPr/>
                        </pic:nvPicPr>
                        <pic:blipFill>
                          <a:blip r:embed="rId16"/>
                          <a:stretch>
                            <a:fillRect/>
                          </a:stretch>
                        </pic:blipFill>
                        <pic:spPr>
                          <a:xfrm>
                            <a:off x="0" y="0"/>
                            <a:ext cx="391160" cy="192405"/>
                          </a:xfrm>
                          <a:prstGeom prst="rect">
                            <a:avLst/>
                          </a:prstGeom>
                          <a:noFill/>
                          <a:ln>
                            <a:noFill/>
                          </a:ln>
                        </pic:spPr>
                      </pic:pic>
                    </a:graphicData>
                  </a:graphic>
                </wp:anchor>
              </w:drawing>
            </w:r>
            <w:r>
              <w:rPr>
                <w:rFonts w:hint="eastAsia" w:ascii="宋体" w:hAnsi="宋体" w:eastAsia="宋体" w:cs="宋体"/>
                <w:i w:val="0"/>
                <w:color w:val="000000"/>
                <w:kern w:val="0"/>
                <w:sz w:val="21"/>
                <w:szCs w:val="21"/>
                <w:u w:val="none"/>
                <w:lang w:val="en-US" w:eastAsia="zh-CN" w:bidi="ar"/>
              </w:rPr>
              <w:t>吉腾、富顺达、金徽达</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喇叭</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惠威、锐创达、雷顿</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功放</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乐派、狮乐、先科</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拾音器</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艾力特、海康威视、德博声学</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成品坐凳</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威灿智能、银保科技、中联安华</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智能巡更器</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威灿智能、慧友安、唐远电子</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RUK网络读卡器</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荣士、闪迪、建和诚达</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集成看管台</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威灿智能、鹏博、中联华安</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音频设备</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海康威视、得胜、麦拉达</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视频会议</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海康威视、科达、亿联</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TP-LINK、华为、思科</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一体化数字签名屏</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威灿智能、汉王、易普森</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智能尿检一体机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威灿智能、纵横科技、中迪</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514"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公安机关办案区物联网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管控平台软件</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威灿科技、尚福泰、智慧指间</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514" w:type="pct"/>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同步刻录软件</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威灿科技、尚福泰、智慧指间</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514" w:type="pct"/>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数据墙展示</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威灿科技、尚福泰、智慧指间</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514" w:type="pct"/>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音视频可视化执法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管理平台软件</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威灿科技、尚福泰、智慧指间</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471" w:type="pct"/>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514" w:type="pct"/>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远程辅助办案系统软件</w:t>
            </w:r>
          </w:p>
        </w:tc>
        <w:tc>
          <w:tcPr>
            <w:tcW w:w="1901" w:type="pct"/>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威灿科技、尚福泰、智慧指间</w:t>
            </w:r>
          </w:p>
        </w:tc>
        <w:tc>
          <w:tcPr>
            <w:tcW w:w="1112" w:type="pct"/>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等同档次品牌及以上</w:t>
            </w:r>
          </w:p>
        </w:tc>
      </w:tr>
    </w:tbl>
    <w:p>
      <w:pPr>
        <w:pStyle w:val="2"/>
        <w:numPr>
          <w:ilvl w:val="0"/>
          <w:numId w:val="0"/>
        </w:numPr>
        <w:ind w:firstLine="0"/>
        <w:rPr>
          <w:rFonts w:hint="default"/>
          <w:lang w:val="en-US" w:eastAsia="zh-CN"/>
        </w:rPr>
      </w:pPr>
    </w:p>
    <w:p>
      <w:pPr>
        <w:spacing w:line="360" w:lineRule="auto"/>
        <w:rPr>
          <w:rFonts w:hint="eastAsia" w:cs="宋体"/>
          <w:b/>
          <w:szCs w:val="21"/>
        </w:rPr>
      </w:pPr>
    </w:p>
    <w:p>
      <w:pPr>
        <w:pStyle w:val="2"/>
        <w:rPr>
          <w:rFonts w:hint="eastAsia" w:cs="宋体"/>
          <w:b/>
          <w:szCs w:val="21"/>
        </w:rPr>
      </w:pPr>
    </w:p>
    <w:p>
      <w:pPr>
        <w:pStyle w:val="2"/>
        <w:rPr>
          <w:rFonts w:hint="eastAsia" w:cs="宋体"/>
          <w:b/>
          <w:szCs w:val="21"/>
        </w:rPr>
      </w:pPr>
    </w:p>
    <w:p>
      <w:pPr>
        <w:numPr>
          <w:ilvl w:val="0"/>
          <w:numId w:val="5"/>
        </w:numPr>
        <w:spacing w:line="360" w:lineRule="auto"/>
        <w:rPr>
          <w:rFonts w:hint="eastAsia" w:cs="宋体"/>
          <w:b/>
          <w:szCs w:val="21"/>
        </w:rPr>
      </w:pPr>
      <w:r>
        <w:rPr>
          <w:rFonts w:hint="eastAsia" w:cs="宋体"/>
          <w:b/>
          <w:szCs w:val="21"/>
        </w:rPr>
        <w:t>其他要求</w:t>
      </w:r>
    </w:p>
    <w:p>
      <w:pPr>
        <w:spacing w:line="360" w:lineRule="auto"/>
        <w:ind w:firstLine="420" w:firstLineChars="200"/>
        <w:rPr>
          <w:rFonts w:hint="eastAsia"/>
          <w:kern w:val="44"/>
          <w:szCs w:val="21"/>
        </w:rPr>
      </w:pPr>
      <w:r>
        <w:rPr>
          <w:rFonts w:hint="eastAsia"/>
          <w:kern w:val="44"/>
          <w:szCs w:val="21"/>
        </w:rPr>
        <w:t>▲1、所有产品必须经正规渠道供货，不得提供旧货、水货、假货。</w:t>
      </w:r>
    </w:p>
    <w:p>
      <w:pPr>
        <w:spacing w:line="360" w:lineRule="auto"/>
        <w:ind w:firstLine="420" w:firstLineChars="200"/>
        <w:rPr>
          <w:rFonts w:hint="eastAsia"/>
          <w:kern w:val="44"/>
          <w:szCs w:val="21"/>
        </w:rPr>
      </w:pPr>
      <w:r>
        <w:rPr>
          <w:kern w:val="44"/>
          <w:szCs w:val="21"/>
        </w:rPr>
        <w:t>2</w:t>
      </w:r>
      <w:r>
        <w:rPr>
          <w:rFonts w:hint="eastAsia"/>
          <w:kern w:val="44"/>
          <w:szCs w:val="21"/>
        </w:rPr>
        <w:t>、投标人应保证所提供的设备和技术不低于本招标要求中所提出的各项要求。</w:t>
      </w:r>
    </w:p>
    <w:p>
      <w:pPr>
        <w:spacing w:line="360" w:lineRule="auto"/>
        <w:ind w:firstLine="420" w:firstLineChars="200"/>
        <w:rPr>
          <w:rFonts w:hint="eastAsia"/>
          <w:kern w:val="44"/>
          <w:szCs w:val="21"/>
        </w:rPr>
      </w:pPr>
      <w:r>
        <w:rPr>
          <w:rFonts w:hint="eastAsia"/>
          <w:kern w:val="44"/>
          <w:szCs w:val="21"/>
        </w:rPr>
        <w:t>3、项目实施要求</w:t>
      </w:r>
    </w:p>
    <w:p>
      <w:pPr>
        <w:spacing w:line="360" w:lineRule="auto"/>
        <w:ind w:firstLine="420" w:firstLineChars="200"/>
        <w:rPr>
          <w:rFonts w:hint="eastAsia"/>
          <w:kern w:val="44"/>
          <w:szCs w:val="21"/>
        </w:rPr>
      </w:pPr>
      <w:r>
        <w:rPr>
          <w:rFonts w:hint="eastAsia"/>
          <w:kern w:val="44"/>
          <w:szCs w:val="21"/>
        </w:rPr>
        <w:t>▲（1）投标人需做出无推诿承诺：承诺与第三方供应商配合完成整体项目及现有软硬件环境的改造。</w:t>
      </w:r>
    </w:p>
    <w:p>
      <w:pPr>
        <w:spacing w:line="360" w:lineRule="auto"/>
        <w:ind w:firstLine="420" w:firstLineChars="200"/>
        <w:rPr>
          <w:rFonts w:hint="eastAsia"/>
          <w:kern w:val="44"/>
          <w:szCs w:val="21"/>
        </w:rPr>
      </w:pPr>
      <w:r>
        <w:rPr>
          <w:rFonts w:hint="eastAsia"/>
          <w:kern w:val="44"/>
          <w:szCs w:val="21"/>
        </w:rPr>
        <w:t>（2）投标人必须负责对本项目所有设备合理利用，配合采购</w:t>
      </w:r>
      <w:r>
        <w:rPr>
          <w:kern w:val="44"/>
          <w:szCs w:val="21"/>
        </w:rPr>
        <w:t>人</w:t>
      </w:r>
      <w:r>
        <w:rPr>
          <w:rFonts w:hint="eastAsia"/>
          <w:kern w:val="44"/>
          <w:szCs w:val="21"/>
        </w:rPr>
        <w:t>项目建设进行系统集成、软件开发等工作，解决系统集成中的全部技术问题，对采购人项目建设中碰到的其他技术问题，有责任和义务提供咨询和帮助。</w:t>
      </w:r>
    </w:p>
    <w:p>
      <w:pPr>
        <w:spacing w:line="360" w:lineRule="auto"/>
        <w:ind w:firstLine="420" w:firstLineChars="200"/>
        <w:rPr>
          <w:rFonts w:hint="eastAsia"/>
          <w:kern w:val="44"/>
          <w:szCs w:val="21"/>
        </w:rPr>
      </w:pPr>
      <w:r>
        <w:rPr>
          <w:rFonts w:hint="eastAsia"/>
          <w:kern w:val="44"/>
          <w:szCs w:val="21"/>
        </w:rPr>
        <w:t>（3）中标人应根据采购</w:t>
      </w:r>
      <w:r>
        <w:rPr>
          <w:kern w:val="44"/>
          <w:szCs w:val="21"/>
        </w:rPr>
        <w:t>人</w:t>
      </w:r>
      <w:r>
        <w:rPr>
          <w:rFonts w:hint="eastAsia"/>
          <w:kern w:val="44"/>
          <w:szCs w:val="21"/>
        </w:rPr>
        <w:t>的详细需求，提交实施方案得到采购人确认后实施，保证系统按时、正常地投入运行。</w:t>
      </w:r>
    </w:p>
    <w:p>
      <w:pPr>
        <w:spacing w:line="360" w:lineRule="auto"/>
        <w:ind w:firstLine="420" w:firstLineChars="200"/>
        <w:rPr>
          <w:rFonts w:hint="eastAsia"/>
          <w:kern w:val="44"/>
          <w:szCs w:val="21"/>
        </w:rPr>
      </w:pPr>
      <w:r>
        <w:rPr>
          <w:rFonts w:hint="eastAsia"/>
          <w:kern w:val="44"/>
          <w:szCs w:val="21"/>
        </w:rPr>
        <w:t>（4）货物到达采购人指定的现场后，将由中标人与采购人方共同开箱清点，并进行签字确认。货物若有差异，应由中标人承担责任。</w:t>
      </w:r>
    </w:p>
    <w:p>
      <w:pPr>
        <w:spacing w:line="360" w:lineRule="auto"/>
        <w:ind w:firstLine="420" w:firstLineChars="200"/>
        <w:rPr>
          <w:rFonts w:hint="eastAsia"/>
          <w:kern w:val="44"/>
          <w:szCs w:val="21"/>
        </w:rPr>
      </w:pPr>
      <w:r>
        <w:rPr>
          <w:rFonts w:hint="eastAsia"/>
          <w:kern w:val="44"/>
          <w:szCs w:val="21"/>
        </w:rPr>
        <w:t>（5）产品实施过程中，如果牵涉到与第三方产品集成工作，应由中标人牵头与其他供应商协调完成设备集成。</w:t>
      </w:r>
    </w:p>
    <w:p>
      <w:pPr>
        <w:spacing w:line="360" w:lineRule="auto"/>
        <w:ind w:firstLine="420" w:firstLineChars="200"/>
        <w:rPr>
          <w:rFonts w:hint="eastAsia"/>
          <w:kern w:val="44"/>
          <w:szCs w:val="21"/>
        </w:rPr>
      </w:pPr>
      <w:r>
        <w:rPr>
          <w:rFonts w:hint="eastAsia"/>
          <w:kern w:val="44"/>
          <w:szCs w:val="21"/>
        </w:rPr>
        <w:t>（6）在项目实施阶段，中标人根据系统集成方案，对本项目设备进行调试、安装及开通；项目完工后，中标人应对整个项目进行全面测试，并提供测试报告；在验收前，中标人应向采购</w:t>
      </w:r>
      <w:r>
        <w:rPr>
          <w:kern w:val="44"/>
          <w:szCs w:val="21"/>
        </w:rPr>
        <w:t>人</w:t>
      </w:r>
      <w:r>
        <w:rPr>
          <w:rFonts w:hint="eastAsia"/>
          <w:kern w:val="44"/>
          <w:szCs w:val="21"/>
        </w:rPr>
        <w:t>提供验收内容及方法，并提供验收报告交采购</w:t>
      </w:r>
      <w:r>
        <w:rPr>
          <w:kern w:val="44"/>
          <w:szCs w:val="21"/>
        </w:rPr>
        <w:t>人</w:t>
      </w:r>
      <w:r>
        <w:rPr>
          <w:rFonts w:hint="eastAsia"/>
          <w:kern w:val="44"/>
          <w:szCs w:val="21"/>
        </w:rPr>
        <w:t>确认；</w:t>
      </w:r>
    </w:p>
    <w:p>
      <w:pPr>
        <w:spacing w:line="360" w:lineRule="auto"/>
        <w:ind w:firstLine="420" w:firstLineChars="200"/>
        <w:rPr>
          <w:rFonts w:hint="eastAsia"/>
          <w:kern w:val="44"/>
          <w:szCs w:val="21"/>
        </w:rPr>
      </w:pPr>
      <w:r>
        <w:rPr>
          <w:rFonts w:hint="eastAsia"/>
          <w:kern w:val="44"/>
          <w:szCs w:val="21"/>
        </w:rPr>
        <w:t>（7）项目实施所需的一切配件（如网线、光纤线等）均需中标人提供，费用计入投标总价。</w:t>
      </w:r>
    </w:p>
    <w:p>
      <w:pPr>
        <w:spacing w:line="360" w:lineRule="auto"/>
        <w:ind w:firstLine="420" w:firstLineChars="200"/>
        <w:rPr>
          <w:rFonts w:hint="eastAsia"/>
          <w:kern w:val="44"/>
          <w:szCs w:val="21"/>
        </w:rPr>
      </w:pPr>
      <w:r>
        <w:rPr>
          <w:rFonts w:hint="eastAsia"/>
          <w:kern w:val="44"/>
          <w:szCs w:val="21"/>
        </w:rPr>
        <w:t>5、在设备质保期内，由于设备质量因素而造成的损坏，均由中标人负责免费维修和更换配件；在质保期结束前，须与采购</w:t>
      </w:r>
      <w:r>
        <w:rPr>
          <w:kern w:val="44"/>
          <w:szCs w:val="21"/>
        </w:rPr>
        <w:t>人</w:t>
      </w:r>
      <w:r>
        <w:rPr>
          <w:rFonts w:hint="eastAsia"/>
          <w:kern w:val="44"/>
          <w:szCs w:val="21"/>
        </w:rPr>
        <w:t>进行一次全面检查，任何缺陷必须由中标人负责修理或更换。</w:t>
      </w:r>
    </w:p>
    <w:p>
      <w:pPr>
        <w:spacing w:line="360" w:lineRule="auto"/>
        <w:ind w:firstLine="420" w:firstLineChars="200"/>
        <w:rPr>
          <w:rFonts w:hint="eastAsia"/>
          <w:kern w:val="44"/>
          <w:szCs w:val="21"/>
        </w:rPr>
      </w:pPr>
      <w:r>
        <w:rPr>
          <w:rFonts w:hint="eastAsia"/>
          <w:kern w:val="44"/>
          <w:szCs w:val="21"/>
        </w:rPr>
        <w:t>6、现场服务：承建方设置7*24小时维护服务热线电话，在接到用户请求服务电话后，由专职工程师并带所需一切工具在1小时内赶到客户现场进行维护工作，直到所有问题被解决为止，如果问题不能当场解决，将采取先换后修，用新产品替换的工作方式，保证客户系统的正常工作。</w:t>
      </w:r>
    </w:p>
    <w:p>
      <w:pPr>
        <w:spacing w:line="360" w:lineRule="auto"/>
        <w:ind w:firstLine="420"/>
        <w:rPr>
          <w:rFonts w:hint="eastAsia"/>
          <w:kern w:val="44"/>
          <w:szCs w:val="21"/>
        </w:rPr>
      </w:pPr>
      <w:r>
        <w:rPr>
          <w:rFonts w:hint="eastAsia"/>
          <w:kern w:val="44"/>
          <w:szCs w:val="21"/>
        </w:rPr>
        <w:t>7、中标人负责对宁波市公安局鄞州分局相关</w:t>
      </w:r>
      <w:r>
        <w:rPr>
          <w:rFonts w:hint="eastAsia"/>
          <w:kern w:val="44"/>
          <w:szCs w:val="21"/>
          <w:lang w:eastAsia="zh-CN"/>
        </w:rPr>
        <w:t>鄞州公安局执法管理中心一体化办案智能系统项目</w:t>
      </w:r>
      <w:r>
        <w:rPr>
          <w:rFonts w:hint="eastAsia"/>
          <w:kern w:val="44"/>
          <w:szCs w:val="21"/>
        </w:rPr>
        <w:t>管理员及操作人员进行应用系统使用培训，包括进行详尽的工作原理、操作使用、一般维护、常见故障排除等一系列的专业培训。使之能够正确操作与使用全部设备并能进行常见故障排除，并提供系统操作维修手册及各类设备的说明书。</w:t>
      </w:r>
    </w:p>
    <w:p>
      <w:pPr>
        <w:spacing w:line="360" w:lineRule="auto"/>
        <w:ind w:firstLine="420"/>
        <w:rPr>
          <w:rFonts w:hint="eastAsia"/>
          <w:kern w:val="44"/>
          <w:szCs w:val="21"/>
        </w:rPr>
      </w:pPr>
      <w:r>
        <w:rPr>
          <w:rFonts w:hint="eastAsia"/>
          <w:kern w:val="44"/>
          <w:szCs w:val="21"/>
        </w:rPr>
        <w:t>中标人应提供有关系统构成、基本原理、安装、运行和维护的课堂培训和操作培训。</w:t>
      </w:r>
    </w:p>
    <w:p>
      <w:pPr>
        <w:spacing w:line="360" w:lineRule="auto"/>
        <w:ind w:firstLine="420"/>
        <w:rPr>
          <w:rFonts w:hint="eastAsia"/>
          <w:kern w:val="44"/>
          <w:szCs w:val="21"/>
        </w:rPr>
      </w:pPr>
      <w:r>
        <w:rPr>
          <w:rFonts w:hint="eastAsia"/>
          <w:kern w:val="44"/>
          <w:szCs w:val="21"/>
        </w:rPr>
        <w:t>中标人必须为建设方提供设备原厂家培训。</w:t>
      </w:r>
    </w:p>
    <w:p>
      <w:pPr>
        <w:spacing w:line="360" w:lineRule="auto"/>
        <w:ind w:firstLine="420"/>
        <w:rPr>
          <w:rFonts w:hint="eastAsia"/>
          <w:kern w:val="44"/>
          <w:szCs w:val="21"/>
        </w:rPr>
      </w:pPr>
      <w:r>
        <w:rPr>
          <w:rFonts w:hint="eastAsia"/>
          <w:kern w:val="44"/>
          <w:szCs w:val="21"/>
        </w:rPr>
        <w:t>培训在采购人指定的地点进行，培训周期不低于7天。</w:t>
      </w:r>
    </w:p>
    <w:p>
      <w:pPr>
        <w:spacing w:line="360" w:lineRule="auto"/>
        <w:ind w:firstLine="420"/>
        <w:rPr>
          <w:rFonts w:hint="eastAsia"/>
          <w:kern w:val="44"/>
          <w:szCs w:val="21"/>
        </w:rPr>
      </w:pPr>
      <w:r>
        <w:rPr>
          <w:rFonts w:hint="eastAsia"/>
          <w:kern w:val="44"/>
          <w:szCs w:val="21"/>
        </w:rPr>
        <w:t>培训如果使用英语，中标人应该提供中文普通话翻译。</w:t>
      </w:r>
    </w:p>
    <w:p>
      <w:pPr>
        <w:spacing w:line="360" w:lineRule="auto"/>
        <w:ind w:firstLine="420" w:firstLineChars="200"/>
        <w:rPr>
          <w:rFonts w:hint="eastAsia"/>
          <w:kern w:val="44"/>
          <w:szCs w:val="21"/>
        </w:rPr>
      </w:pPr>
      <w:r>
        <w:rPr>
          <w:rFonts w:hint="eastAsia"/>
          <w:kern w:val="44"/>
          <w:szCs w:val="21"/>
        </w:rPr>
        <w:t>中标人应注明本技术文件各章节内提到的具体培训要求。</w:t>
      </w:r>
    </w:p>
    <w:p>
      <w:pPr>
        <w:spacing w:line="360" w:lineRule="auto"/>
        <w:ind w:firstLine="420" w:firstLineChars="200"/>
        <w:rPr>
          <w:rFonts w:cs="宋体"/>
          <w:b/>
          <w:szCs w:val="21"/>
        </w:rPr>
      </w:pPr>
      <w:r>
        <w:rPr>
          <w:rFonts w:hint="eastAsia"/>
          <w:kern w:val="44"/>
          <w:szCs w:val="21"/>
        </w:rPr>
        <w:t>▲8、投标人应承诺所有产品满足技术完整性要求。</w:t>
      </w:r>
    </w:p>
    <w:p>
      <w:pPr>
        <w:spacing w:line="360" w:lineRule="auto"/>
        <w:jc w:val="center"/>
        <w:rPr>
          <w:kern w:val="44"/>
        </w:rPr>
        <w:sectPr>
          <w:headerReference r:id="rId11" w:type="default"/>
          <w:footerReference r:id="rId12" w:type="default"/>
          <w:footerReference r:id="rId13" w:type="even"/>
          <w:pgSz w:w="11907" w:h="16840"/>
          <w:pgMar w:top="1134" w:right="1531" w:bottom="1134" w:left="1531" w:header="425" w:footer="709" w:gutter="0"/>
          <w:cols w:space="720" w:num="1"/>
          <w:docGrid w:linePitch="285" w:charSpace="0"/>
        </w:sectPr>
      </w:pPr>
      <w:bookmarkStart w:id="280" w:name="_Toc517688082"/>
    </w:p>
    <w:p>
      <w:pPr>
        <w:pStyle w:val="40"/>
        <w:rPr>
          <w:rFonts w:hint="eastAsia" w:ascii="Times New Roman" w:hAnsi="Times New Roman"/>
          <w:kern w:val="44"/>
          <w:lang w:eastAsia="zh-CN"/>
        </w:rPr>
      </w:pPr>
      <w:bookmarkStart w:id="281" w:name="_Toc25497"/>
      <w:r>
        <w:rPr>
          <w:rFonts w:ascii="Times New Roman" w:hAnsi="Times New Roman"/>
          <w:kern w:val="44"/>
          <w:lang w:eastAsia="zh-CN"/>
        </w:rPr>
        <w:t>第</w:t>
      </w:r>
      <w:r>
        <w:rPr>
          <w:rFonts w:hint="eastAsia" w:ascii="Times New Roman" w:hAnsi="Times New Roman"/>
          <w:kern w:val="44"/>
          <w:lang w:eastAsia="zh-CN"/>
        </w:rPr>
        <w:t>六</w:t>
      </w:r>
      <w:r>
        <w:rPr>
          <w:rFonts w:ascii="Times New Roman" w:hAnsi="Times New Roman"/>
          <w:kern w:val="44"/>
          <w:lang w:eastAsia="zh-CN"/>
        </w:rPr>
        <w:t>部分</w:t>
      </w:r>
      <w:r>
        <w:rPr>
          <w:rFonts w:hint="eastAsia" w:ascii="Times New Roman" w:hAnsi="Times New Roman"/>
          <w:kern w:val="44"/>
          <w:lang w:eastAsia="zh-CN"/>
        </w:rPr>
        <w:t xml:space="preserve">  拟签订的合同文本</w:t>
      </w:r>
      <w:bookmarkEnd w:id="277"/>
      <w:bookmarkEnd w:id="278"/>
      <w:bookmarkEnd w:id="279"/>
      <w:bookmarkEnd w:id="280"/>
      <w:bookmarkEnd w:id="281"/>
    </w:p>
    <w:p>
      <w:pPr>
        <w:pStyle w:val="2"/>
        <w:tabs>
          <w:tab w:val="left" w:pos="426"/>
        </w:tabs>
        <w:spacing w:line="360" w:lineRule="auto"/>
        <w:ind w:firstLine="0"/>
        <w:jc w:val="center"/>
        <w:rPr>
          <w:rFonts w:hint="eastAsia" w:eastAsia="宋体"/>
          <w:sz w:val="21"/>
          <w:szCs w:val="21"/>
        </w:rPr>
      </w:pPr>
      <w:r>
        <w:rPr>
          <w:rFonts w:hint="eastAsia" w:eastAsia="宋体"/>
          <w:sz w:val="21"/>
          <w:szCs w:val="21"/>
        </w:rPr>
        <w:t>（本合同仅供参考，最终合同以采购人与中标人签订的合同为准）</w:t>
      </w:r>
    </w:p>
    <w:p>
      <w:pPr>
        <w:spacing w:line="360" w:lineRule="auto"/>
        <w:contextualSpacing/>
        <w:rPr>
          <w:rFonts w:hint="eastAsia"/>
          <w:sz w:val="24"/>
          <w:szCs w:val="24"/>
        </w:rPr>
      </w:pPr>
      <w:bookmarkStart w:id="282" w:name="_Toc517688083"/>
      <w:r>
        <w:rPr>
          <w:rFonts w:hint="eastAsia"/>
          <w:sz w:val="24"/>
          <w:szCs w:val="24"/>
        </w:rPr>
        <w:t>甲方：</w:t>
      </w:r>
      <w:r>
        <w:rPr>
          <w:rFonts w:hint="eastAsia" w:cs="宋体"/>
          <w:kern w:val="0"/>
          <w:sz w:val="24"/>
          <w:szCs w:val="24"/>
          <w:u w:val="single"/>
        </w:rPr>
        <w:t>宁波市公安局鄞州分局</w:t>
      </w:r>
    </w:p>
    <w:p>
      <w:pPr>
        <w:spacing w:line="360" w:lineRule="auto"/>
        <w:contextualSpacing/>
        <w:rPr>
          <w:sz w:val="24"/>
          <w:szCs w:val="24"/>
          <w:u w:val="single"/>
        </w:rPr>
      </w:pPr>
      <w:r>
        <w:rPr>
          <w:rFonts w:hint="eastAsia"/>
          <w:sz w:val="24"/>
          <w:szCs w:val="24"/>
        </w:rPr>
        <w:t>乙方：</w:t>
      </w:r>
      <w:r>
        <w:rPr>
          <w:rFonts w:hint="eastAsia"/>
          <w:sz w:val="24"/>
          <w:szCs w:val="24"/>
          <w:u w:val="single"/>
        </w:rPr>
        <w:t xml:space="preserve">                            </w:t>
      </w:r>
    </w:p>
    <w:p>
      <w:pPr>
        <w:autoSpaceDE w:val="0"/>
        <w:autoSpaceDN w:val="0"/>
        <w:adjustRightInd w:val="0"/>
        <w:spacing w:line="360" w:lineRule="auto"/>
        <w:contextualSpacing/>
        <w:jc w:val="left"/>
        <w:rPr>
          <w:rFonts w:hint="eastAsia" w:cs="宋体"/>
          <w:kern w:val="0"/>
          <w:sz w:val="24"/>
          <w:szCs w:val="24"/>
        </w:rPr>
      </w:pPr>
      <w:r>
        <w:rPr>
          <w:rFonts w:hint="eastAsia" w:cs="宋体"/>
          <w:kern w:val="0"/>
          <w:sz w:val="24"/>
          <w:szCs w:val="24"/>
        </w:rPr>
        <w:t xml:space="preserve">    甲、乙双方根据甲方关于</w:t>
      </w:r>
      <w:r>
        <w:rPr>
          <w:rFonts w:hint="eastAsia" w:cs="宋体"/>
          <w:kern w:val="0"/>
          <w:sz w:val="24"/>
          <w:szCs w:val="24"/>
          <w:u w:val="single"/>
          <w:lang w:eastAsia="zh-CN"/>
        </w:rPr>
        <w:t>鄞州公安局执法管理中心一体化办案智能系统项目</w:t>
      </w:r>
      <w:r>
        <w:rPr>
          <w:rFonts w:hint="eastAsia" w:cs="宋体"/>
          <w:kern w:val="0"/>
          <w:sz w:val="24"/>
          <w:szCs w:val="24"/>
        </w:rPr>
        <w:t>公开招标的结果，签署本合同。</w:t>
      </w:r>
    </w:p>
    <w:p>
      <w:pPr>
        <w:autoSpaceDE w:val="0"/>
        <w:autoSpaceDN w:val="0"/>
        <w:adjustRightInd w:val="0"/>
        <w:spacing w:line="360" w:lineRule="auto"/>
        <w:contextualSpacing/>
        <w:jc w:val="left"/>
        <w:rPr>
          <w:rFonts w:cs="SimSun,Bold"/>
          <w:b/>
          <w:bCs/>
          <w:kern w:val="0"/>
          <w:sz w:val="24"/>
          <w:szCs w:val="24"/>
        </w:rPr>
      </w:pPr>
      <w:r>
        <w:rPr>
          <w:rFonts w:hint="eastAsia" w:cs="SimSun,Bold"/>
          <w:b/>
          <w:bCs/>
          <w:kern w:val="0"/>
          <w:sz w:val="24"/>
          <w:szCs w:val="24"/>
        </w:rPr>
        <w:t>一、采购内容：</w:t>
      </w:r>
    </w:p>
    <w:p>
      <w:pPr>
        <w:spacing w:line="360" w:lineRule="auto"/>
        <w:ind w:firstLine="480" w:firstLineChars="200"/>
        <w:contextualSpacing/>
        <w:rPr>
          <w:rFonts w:hint="eastAsia" w:cs="SimSun,Bold"/>
          <w:bCs/>
          <w:kern w:val="0"/>
          <w:sz w:val="24"/>
          <w:szCs w:val="24"/>
        </w:rPr>
      </w:pPr>
      <w:r>
        <w:rPr>
          <w:rFonts w:hint="eastAsia" w:cs="SimSun,Bold"/>
          <w:bCs/>
          <w:kern w:val="0"/>
          <w:sz w:val="24"/>
          <w:szCs w:val="24"/>
        </w:rPr>
        <w:t>执法办案管理中心一体化办案智能化系统</w:t>
      </w:r>
    </w:p>
    <w:p>
      <w:pPr>
        <w:autoSpaceDE w:val="0"/>
        <w:autoSpaceDN w:val="0"/>
        <w:adjustRightInd w:val="0"/>
        <w:spacing w:line="360" w:lineRule="auto"/>
        <w:contextualSpacing/>
        <w:jc w:val="left"/>
        <w:rPr>
          <w:rFonts w:cs="SimSun,Bold"/>
          <w:b/>
          <w:bCs/>
          <w:kern w:val="0"/>
          <w:sz w:val="24"/>
          <w:szCs w:val="24"/>
        </w:rPr>
      </w:pPr>
      <w:r>
        <w:rPr>
          <w:rFonts w:hint="eastAsia" w:cs="SimSun,Bold"/>
          <w:b/>
          <w:bCs/>
          <w:kern w:val="0"/>
          <w:sz w:val="24"/>
          <w:szCs w:val="24"/>
        </w:rPr>
        <w:t>二、合同金额：</w:t>
      </w:r>
    </w:p>
    <w:p>
      <w:pPr>
        <w:spacing w:line="360" w:lineRule="auto"/>
        <w:ind w:firstLine="480" w:firstLineChars="200"/>
        <w:contextualSpacing/>
        <w:rPr>
          <w:rFonts w:hint="eastAsia" w:cs="宋体"/>
          <w:kern w:val="0"/>
          <w:sz w:val="24"/>
          <w:szCs w:val="24"/>
        </w:rPr>
      </w:pPr>
      <w:r>
        <w:rPr>
          <w:rFonts w:hint="eastAsia" w:cs="宋体"/>
          <w:kern w:val="0"/>
          <w:sz w:val="24"/>
          <w:szCs w:val="24"/>
        </w:rPr>
        <w:t>本合同金额为人民币</w:t>
      </w:r>
      <w:r>
        <w:rPr>
          <w:rFonts w:hint="eastAsia" w:cs="宋体"/>
          <w:kern w:val="0"/>
          <w:sz w:val="24"/>
          <w:szCs w:val="24"/>
          <w:u w:val="single"/>
        </w:rPr>
        <w:t xml:space="preserve">    </w:t>
      </w:r>
      <w:r>
        <w:rPr>
          <w:rFonts w:cs="宋体"/>
          <w:kern w:val="0"/>
          <w:sz w:val="24"/>
          <w:szCs w:val="24"/>
          <w:u w:val="single"/>
        </w:rPr>
        <w:t xml:space="preserve">           </w:t>
      </w:r>
      <w:r>
        <w:rPr>
          <w:rFonts w:hint="eastAsia" w:cs="宋体"/>
          <w:kern w:val="0"/>
          <w:sz w:val="24"/>
          <w:szCs w:val="24"/>
          <w:u w:val="single"/>
        </w:rPr>
        <w:t xml:space="preserve">   </w:t>
      </w:r>
      <w:r>
        <w:rPr>
          <w:rFonts w:hint="eastAsia" w:cs="宋体"/>
          <w:kern w:val="0"/>
          <w:sz w:val="24"/>
          <w:szCs w:val="24"/>
        </w:rPr>
        <w:t>元（¥</w:t>
      </w:r>
      <w:r>
        <w:rPr>
          <w:rFonts w:cs="宋体"/>
          <w:kern w:val="0"/>
          <w:sz w:val="24"/>
          <w:szCs w:val="24"/>
          <w:u w:val="single"/>
        </w:rPr>
        <w:t xml:space="preserve">               </w:t>
      </w:r>
      <w:r>
        <w:rPr>
          <w:rFonts w:hint="eastAsia" w:cs="宋体"/>
          <w:kern w:val="0"/>
          <w:sz w:val="24"/>
          <w:szCs w:val="24"/>
        </w:rPr>
        <w:t>）。</w:t>
      </w:r>
    </w:p>
    <w:p>
      <w:pPr>
        <w:pStyle w:val="23"/>
        <w:spacing w:line="360" w:lineRule="auto"/>
        <w:contextualSpacing/>
        <w:rPr>
          <w:rFonts w:ascii="Times New Roman" w:hAnsi="Times New Roman"/>
          <w:b/>
          <w:kern w:val="2"/>
          <w:sz w:val="24"/>
          <w:szCs w:val="24"/>
          <w:lang w:eastAsia="zh-CN"/>
        </w:rPr>
      </w:pPr>
      <w:r>
        <w:rPr>
          <w:rFonts w:ascii="Times New Roman" w:hAnsi="Times New Roman"/>
          <w:b/>
          <w:kern w:val="2"/>
          <w:sz w:val="24"/>
          <w:szCs w:val="24"/>
          <w:lang w:eastAsia="zh-CN"/>
        </w:rPr>
        <w:t>三、技术资料</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1</w:t>
      </w:r>
      <w:r>
        <w:rPr>
          <w:rFonts w:hint="eastAsia" w:ascii="Times New Roman" w:hAnsi="Times New Roman"/>
          <w:kern w:val="2"/>
          <w:sz w:val="24"/>
          <w:szCs w:val="24"/>
          <w:lang w:eastAsia="zh-CN"/>
        </w:rPr>
        <w:t>、</w:t>
      </w:r>
      <w:r>
        <w:rPr>
          <w:rFonts w:ascii="Times New Roman" w:hAnsi="Times New Roman"/>
          <w:kern w:val="2"/>
          <w:sz w:val="24"/>
          <w:szCs w:val="24"/>
          <w:lang w:eastAsia="zh-CN"/>
        </w:rPr>
        <w:t>乙方应按招标文件规定的时间向甲方提供有关技术资料。</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2</w:t>
      </w:r>
      <w:r>
        <w:rPr>
          <w:rFonts w:hint="eastAsia" w:ascii="Times New Roman" w:hAnsi="Times New Roman"/>
          <w:kern w:val="2"/>
          <w:sz w:val="24"/>
          <w:szCs w:val="24"/>
          <w:lang w:eastAsia="zh-CN"/>
        </w:rPr>
        <w:t>、</w:t>
      </w:r>
      <w:r>
        <w:rPr>
          <w:rFonts w:ascii="Times New Roman" w:hAnsi="Times New Roman"/>
          <w:kern w:val="2"/>
          <w:sz w:val="24"/>
          <w:szCs w:val="24"/>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pacing w:line="360" w:lineRule="auto"/>
        <w:ind w:left="412" w:hanging="412" w:hangingChars="171"/>
        <w:contextualSpacing/>
        <w:rPr>
          <w:rFonts w:ascii="Times New Roman" w:hAnsi="Times New Roman"/>
          <w:b/>
          <w:kern w:val="2"/>
          <w:sz w:val="24"/>
          <w:szCs w:val="24"/>
          <w:lang w:eastAsia="zh-CN"/>
        </w:rPr>
      </w:pPr>
      <w:r>
        <w:rPr>
          <w:rFonts w:ascii="Times New Roman" w:hAnsi="Times New Roman"/>
          <w:b/>
          <w:kern w:val="2"/>
          <w:sz w:val="24"/>
          <w:szCs w:val="24"/>
          <w:lang w:eastAsia="zh-CN"/>
        </w:rPr>
        <w:t>四、知识产权</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乙方应保证提供服务过程中不会侵犯任何第三方的知识产权。</w:t>
      </w:r>
    </w:p>
    <w:p>
      <w:pPr>
        <w:pStyle w:val="23"/>
        <w:spacing w:line="360" w:lineRule="auto"/>
        <w:ind w:left="410" w:hanging="410" w:hangingChars="170"/>
        <w:contextualSpacing/>
        <w:rPr>
          <w:rFonts w:ascii="Times New Roman" w:hAnsi="Times New Roman"/>
          <w:b/>
          <w:kern w:val="2"/>
          <w:sz w:val="24"/>
          <w:szCs w:val="24"/>
          <w:lang w:eastAsia="zh-CN"/>
        </w:rPr>
      </w:pPr>
      <w:r>
        <w:rPr>
          <w:rFonts w:hint="eastAsia" w:ascii="Times New Roman" w:hAnsi="Times New Roman"/>
          <w:b/>
          <w:kern w:val="2"/>
          <w:sz w:val="24"/>
          <w:szCs w:val="24"/>
          <w:lang w:eastAsia="zh-CN"/>
        </w:rPr>
        <w:t>五</w:t>
      </w:r>
      <w:r>
        <w:rPr>
          <w:rFonts w:ascii="Times New Roman" w:hAnsi="Times New Roman"/>
          <w:b/>
          <w:kern w:val="2"/>
          <w:sz w:val="24"/>
          <w:szCs w:val="24"/>
          <w:lang w:eastAsia="zh-CN"/>
        </w:rPr>
        <w:t>、履约保证金</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乙方交纳人民币</w:t>
      </w:r>
      <w:r>
        <w:rPr>
          <w:rFonts w:hint="eastAsia" w:ascii="Times New Roman" w:hAnsi="Times New Roman"/>
          <w:kern w:val="2"/>
          <w:sz w:val="24"/>
          <w:szCs w:val="24"/>
          <w:u w:val="single"/>
          <w:lang w:eastAsia="zh-CN"/>
        </w:rPr>
        <w:t xml:space="preserve">             </w:t>
      </w:r>
      <w:r>
        <w:rPr>
          <w:rFonts w:ascii="Times New Roman" w:hAnsi="Times New Roman"/>
          <w:kern w:val="2"/>
          <w:sz w:val="24"/>
          <w:szCs w:val="24"/>
          <w:lang w:eastAsia="zh-CN"/>
        </w:rPr>
        <w:t>元作为本合同的履约保证金。</w:t>
      </w:r>
    </w:p>
    <w:p>
      <w:pPr>
        <w:spacing w:line="360" w:lineRule="auto"/>
        <w:contextualSpacing/>
        <w:rPr>
          <w:b/>
          <w:sz w:val="24"/>
          <w:szCs w:val="24"/>
        </w:rPr>
      </w:pPr>
      <w:r>
        <w:rPr>
          <w:rFonts w:hint="eastAsia"/>
          <w:b/>
          <w:sz w:val="24"/>
          <w:szCs w:val="24"/>
        </w:rPr>
        <w:t>六、转包或分包</w:t>
      </w:r>
    </w:p>
    <w:p>
      <w:pPr>
        <w:widowControl/>
        <w:overflowPunct w:val="0"/>
        <w:autoSpaceDE w:val="0"/>
        <w:autoSpaceDN w:val="0"/>
        <w:adjustRightInd w:val="0"/>
        <w:spacing w:line="360" w:lineRule="auto"/>
        <w:ind w:firstLine="480" w:firstLineChars="200"/>
        <w:contextualSpacing/>
        <w:jc w:val="left"/>
        <w:textAlignment w:val="baseline"/>
        <w:rPr>
          <w:sz w:val="24"/>
          <w:szCs w:val="24"/>
        </w:rPr>
      </w:pPr>
      <w:r>
        <w:rPr>
          <w:sz w:val="24"/>
          <w:szCs w:val="24"/>
        </w:rPr>
        <w:t>1</w:t>
      </w:r>
      <w:r>
        <w:rPr>
          <w:rFonts w:hint="eastAsia"/>
          <w:sz w:val="24"/>
          <w:szCs w:val="24"/>
        </w:rPr>
        <w:t>、本合同范围的服务，应由</w:t>
      </w:r>
      <w:r>
        <w:rPr>
          <w:sz w:val="24"/>
          <w:szCs w:val="24"/>
        </w:rPr>
        <w:t>乙</w:t>
      </w:r>
      <w:r>
        <w:rPr>
          <w:rFonts w:hint="eastAsia"/>
          <w:sz w:val="24"/>
          <w:szCs w:val="24"/>
        </w:rPr>
        <w:t>方直接供应，不得转让他人供应；</w:t>
      </w:r>
    </w:p>
    <w:p>
      <w:pPr>
        <w:widowControl/>
        <w:overflowPunct w:val="0"/>
        <w:autoSpaceDE w:val="0"/>
        <w:autoSpaceDN w:val="0"/>
        <w:adjustRightInd w:val="0"/>
        <w:spacing w:line="360" w:lineRule="auto"/>
        <w:ind w:firstLine="480" w:firstLineChars="200"/>
        <w:contextualSpacing/>
        <w:jc w:val="left"/>
        <w:textAlignment w:val="baseline"/>
        <w:rPr>
          <w:rFonts w:hint="eastAsia"/>
          <w:sz w:val="24"/>
          <w:szCs w:val="24"/>
        </w:rPr>
      </w:pPr>
      <w:r>
        <w:rPr>
          <w:sz w:val="24"/>
          <w:szCs w:val="24"/>
        </w:rPr>
        <w:t>2</w:t>
      </w:r>
      <w:r>
        <w:rPr>
          <w:rFonts w:hint="eastAsia"/>
          <w:sz w:val="24"/>
          <w:szCs w:val="24"/>
        </w:rPr>
        <w:t>、除非得到甲方的书面同意，</w:t>
      </w:r>
      <w:r>
        <w:rPr>
          <w:sz w:val="24"/>
          <w:szCs w:val="24"/>
        </w:rPr>
        <w:t>乙</w:t>
      </w:r>
      <w:r>
        <w:rPr>
          <w:rFonts w:hint="eastAsia"/>
          <w:sz w:val="24"/>
          <w:szCs w:val="24"/>
        </w:rPr>
        <w:t>方不得将本合同范围的服务全部或部分分包给他人供应；</w:t>
      </w:r>
    </w:p>
    <w:p>
      <w:pPr>
        <w:widowControl/>
        <w:overflowPunct w:val="0"/>
        <w:autoSpaceDE w:val="0"/>
        <w:autoSpaceDN w:val="0"/>
        <w:adjustRightInd w:val="0"/>
        <w:spacing w:line="360" w:lineRule="auto"/>
        <w:ind w:firstLine="480" w:firstLineChars="200"/>
        <w:contextualSpacing/>
        <w:jc w:val="left"/>
        <w:textAlignment w:val="baseline"/>
        <w:rPr>
          <w:sz w:val="24"/>
          <w:szCs w:val="24"/>
        </w:rPr>
      </w:pPr>
      <w:r>
        <w:rPr>
          <w:sz w:val="24"/>
          <w:szCs w:val="24"/>
        </w:rPr>
        <w:t>3</w:t>
      </w:r>
      <w:r>
        <w:rPr>
          <w:rFonts w:hint="eastAsia"/>
          <w:sz w:val="24"/>
          <w:szCs w:val="24"/>
        </w:rPr>
        <w:t>、如有转让和未经甲方同意的分包行为，甲方有权解除合同，没收履约保证金并追究乙方的违约责任。</w:t>
      </w:r>
    </w:p>
    <w:p>
      <w:pPr>
        <w:pStyle w:val="23"/>
        <w:spacing w:line="360" w:lineRule="auto"/>
        <w:ind w:firstLine="480" w:firstLineChars="200"/>
        <w:contextualSpacing/>
        <w:rPr>
          <w:rFonts w:ascii="Times New Roman" w:hAnsi="Times New Roman"/>
          <w:b w:val="0"/>
          <w:kern w:val="2"/>
          <w:sz w:val="24"/>
          <w:szCs w:val="24"/>
          <w:lang w:eastAsia="zh-CN"/>
        </w:rPr>
      </w:pPr>
      <w:r>
        <w:rPr>
          <w:rFonts w:hint="eastAsia" w:ascii="Times New Roman" w:hAnsi="Times New Roman"/>
          <w:b w:val="0"/>
          <w:kern w:val="2"/>
          <w:sz w:val="24"/>
          <w:szCs w:val="24"/>
          <w:lang w:eastAsia="zh-CN"/>
        </w:rPr>
        <w:t>七</w:t>
      </w:r>
      <w:r>
        <w:rPr>
          <w:rFonts w:ascii="Times New Roman" w:hAnsi="Times New Roman"/>
          <w:b w:val="0"/>
          <w:kern w:val="2"/>
          <w:sz w:val="24"/>
          <w:szCs w:val="24"/>
          <w:lang w:eastAsia="zh-CN"/>
        </w:rPr>
        <w:t>、质量保证期和质量保证金</w:t>
      </w:r>
      <w:r>
        <w:rPr>
          <w:rFonts w:hint="eastAsia" w:ascii="Times New Roman" w:hAnsi="Times New Roman"/>
          <w:b w:val="0"/>
          <w:kern w:val="2"/>
          <w:sz w:val="24"/>
          <w:szCs w:val="24"/>
          <w:lang w:eastAsia="zh-CN"/>
        </w:rPr>
        <w:t>（</w:t>
      </w:r>
      <w:r>
        <w:rPr>
          <w:rFonts w:ascii="Times New Roman" w:hAnsi="Times New Roman"/>
          <w:b w:val="0"/>
          <w:kern w:val="2"/>
          <w:sz w:val="24"/>
          <w:szCs w:val="24"/>
          <w:lang w:eastAsia="zh-CN"/>
        </w:rPr>
        <w:t>选用</w:t>
      </w:r>
      <w:r>
        <w:rPr>
          <w:rFonts w:hint="eastAsia" w:ascii="Times New Roman" w:hAnsi="Times New Roman"/>
          <w:b w:val="0"/>
          <w:kern w:val="2"/>
          <w:sz w:val="24"/>
          <w:szCs w:val="24"/>
          <w:lang w:eastAsia="zh-CN"/>
        </w:rPr>
        <w:t>）</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1</w:t>
      </w:r>
      <w:r>
        <w:rPr>
          <w:rFonts w:hint="eastAsia" w:ascii="Times New Roman" w:hAnsi="Times New Roman"/>
          <w:kern w:val="2"/>
          <w:sz w:val="24"/>
          <w:szCs w:val="24"/>
          <w:lang w:eastAsia="zh-CN"/>
        </w:rPr>
        <w:t>、</w:t>
      </w:r>
      <w:r>
        <w:rPr>
          <w:rFonts w:ascii="Times New Roman" w:hAnsi="Times New Roman"/>
          <w:kern w:val="2"/>
          <w:sz w:val="24"/>
          <w:szCs w:val="24"/>
          <w:lang w:eastAsia="zh-CN"/>
        </w:rPr>
        <w:t>质保期</w:t>
      </w:r>
      <w:r>
        <w:rPr>
          <w:rFonts w:hint="eastAsia" w:ascii="Times New Roman" w:hAnsi="Times New Roman"/>
          <w:kern w:val="2"/>
          <w:sz w:val="24"/>
          <w:szCs w:val="24"/>
          <w:lang w:eastAsia="zh-CN"/>
        </w:rPr>
        <w:t>：</w:t>
      </w:r>
      <w:r>
        <w:rPr>
          <w:rFonts w:hint="eastAsia" w:ascii="Times New Roman" w:hAnsi="Times New Roman"/>
          <w:kern w:val="2"/>
          <w:sz w:val="24"/>
          <w:szCs w:val="24"/>
          <w:lang w:val="en-US" w:eastAsia="zh-CN"/>
        </w:rPr>
        <w:t>软件</w:t>
      </w:r>
      <w:r>
        <w:rPr>
          <w:rFonts w:ascii="Times New Roman" w:hAnsi="Times New Roman"/>
          <w:kern w:val="2"/>
          <w:sz w:val="24"/>
          <w:szCs w:val="24"/>
          <w:u w:val="single"/>
          <w:lang w:eastAsia="zh-CN"/>
        </w:rPr>
        <w:t xml:space="preserve">      </w:t>
      </w:r>
      <w:r>
        <w:rPr>
          <w:rFonts w:ascii="Times New Roman" w:hAnsi="Times New Roman"/>
          <w:kern w:val="2"/>
          <w:sz w:val="24"/>
          <w:szCs w:val="24"/>
          <w:lang w:eastAsia="zh-CN"/>
        </w:rPr>
        <w:t>年</w:t>
      </w:r>
      <w:r>
        <w:rPr>
          <w:rFonts w:hint="eastAsia" w:ascii="Times New Roman" w:hAnsi="Times New Roman"/>
          <w:kern w:val="2"/>
          <w:sz w:val="24"/>
          <w:szCs w:val="24"/>
          <w:lang w:eastAsia="zh-CN"/>
        </w:rPr>
        <w:t>；</w:t>
      </w:r>
      <w:r>
        <w:rPr>
          <w:rFonts w:hint="eastAsia" w:ascii="Times New Roman" w:hAnsi="Times New Roman"/>
          <w:kern w:val="2"/>
          <w:sz w:val="24"/>
          <w:szCs w:val="24"/>
          <w:lang w:val="en-US" w:eastAsia="zh-CN"/>
        </w:rPr>
        <w:t>硬件</w:t>
      </w:r>
      <w:r>
        <w:rPr>
          <w:rFonts w:ascii="Times New Roman" w:hAnsi="Times New Roman"/>
          <w:kern w:val="2"/>
          <w:sz w:val="24"/>
          <w:szCs w:val="24"/>
          <w:u w:val="single"/>
          <w:lang w:eastAsia="zh-CN"/>
        </w:rPr>
        <w:t xml:space="preserve">      </w:t>
      </w:r>
      <w:r>
        <w:rPr>
          <w:rFonts w:ascii="Times New Roman" w:hAnsi="Times New Roman"/>
          <w:kern w:val="2"/>
          <w:sz w:val="24"/>
          <w:szCs w:val="24"/>
          <w:lang w:eastAsia="zh-CN"/>
        </w:rPr>
        <w:t>年。（自验收合格之日起计）</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2</w:t>
      </w:r>
      <w:r>
        <w:rPr>
          <w:rFonts w:hint="eastAsia" w:ascii="Times New Roman" w:hAnsi="Times New Roman"/>
          <w:kern w:val="2"/>
          <w:sz w:val="24"/>
          <w:szCs w:val="24"/>
          <w:lang w:eastAsia="zh-CN"/>
        </w:rPr>
        <w:t>、</w:t>
      </w:r>
      <w:r>
        <w:rPr>
          <w:rFonts w:ascii="Times New Roman" w:hAnsi="Times New Roman"/>
          <w:kern w:val="2"/>
          <w:sz w:val="24"/>
          <w:szCs w:val="24"/>
          <w:lang w:eastAsia="zh-CN"/>
        </w:rPr>
        <w:t>质保金</w:t>
      </w:r>
      <w:r>
        <w:rPr>
          <w:rFonts w:ascii="Times New Roman" w:hAnsi="Times New Roman"/>
          <w:kern w:val="2"/>
          <w:sz w:val="24"/>
          <w:szCs w:val="24"/>
          <w:u w:val="single"/>
          <w:lang w:eastAsia="zh-CN"/>
        </w:rPr>
        <w:t xml:space="preserve">      </w:t>
      </w:r>
      <w:r>
        <w:rPr>
          <w:rFonts w:ascii="Times New Roman" w:hAnsi="Times New Roman"/>
          <w:kern w:val="2"/>
          <w:sz w:val="24"/>
          <w:szCs w:val="24"/>
          <w:lang w:eastAsia="zh-CN"/>
        </w:rPr>
        <w:t>元。（履约保证金在</w:t>
      </w:r>
      <w:r>
        <w:rPr>
          <w:rFonts w:hint="eastAsia" w:ascii="Times New Roman" w:hAnsi="Times New Roman"/>
          <w:kern w:val="2"/>
          <w:sz w:val="24"/>
          <w:szCs w:val="24"/>
          <w:lang w:eastAsia="zh-CN"/>
        </w:rPr>
        <w:t>乙方</w:t>
      </w:r>
      <w:r>
        <w:rPr>
          <w:rFonts w:ascii="Times New Roman" w:hAnsi="Times New Roman"/>
          <w:kern w:val="2"/>
          <w:sz w:val="24"/>
          <w:szCs w:val="24"/>
          <w:lang w:eastAsia="zh-CN"/>
        </w:rPr>
        <w:t>按合同约定验收合格后自行转为质保金）</w:t>
      </w:r>
    </w:p>
    <w:p>
      <w:pPr>
        <w:pStyle w:val="23"/>
        <w:spacing w:line="360" w:lineRule="auto"/>
        <w:ind w:firstLine="480" w:firstLineChars="200"/>
        <w:contextualSpacing/>
        <w:rPr>
          <w:rFonts w:hint="eastAsia" w:ascii="Times New Roman" w:hAnsi="Times New Roman"/>
          <w:b w:val="0"/>
          <w:kern w:val="2"/>
          <w:sz w:val="24"/>
          <w:szCs w:val="24"/>
        </w:rPr>
      </w:pPr>
      <w:r>
        <w:rPr>
          <w:rFonts w:hint="eastAsia" w:ascii="Times New Roman" w:hAnsi="Times New Roman"/>
          <w:b w:val="0"/>
          <w:kern w:val="2"/>
          <w:sz w:val="24"/>
          <w:szCs w:val="24"/>
          <w:lang w:eastAsia="zh-CN"/>
        </w:rPr>
        <w:t>八</w:t>
      </w:r>
      <w:r>
        <w:rPr>
          <w:rFonts w:ascii="Times New Roman" w:hAnsi="Times New Roman"/>
          <w:b w:val="0"/>
          <w:kern w:val="2"/>
          <w:sz w:val="24"/>
          <w:szCs w:val="24"/>
          <w:lang w:eastAsia="zh-CN"/>
        </w:rPr>
        <w:t>、</w:t>
      </w:r>
      <w:r>
        <w:rPr>
          <w:rFonts w:hint="eastAsia" w:ascii="Times New Roman" w:hAnsi="Times New Roman"/>
          <w:b w:val="0"/>
          <w:kern w:val="2"/>
          <w:sz w:val="24"/>
          <w:szCs w:val="24"/>
        </w:rPr>
        <w:t>验收</w:t>
      </w:r>
    </w:p>
    <w:p>
      <w:pPr>
        <w:pStyle w:val="23"/>
        <w:spacing w:line="360" w:lineRule="auto"/>
        <w:contextualSpacing/>
        <w:rPr>
          <w:rFonts w:hint="eastAsia" w:ascii="Times New Roman" w:hAnsi="Times New Roman"/>
          <w:b/>
          <w:kern w:val="2"/>
          <w:sz w:val="24"/>
          <w:szCs w:val="24"/>
        </w:rPr>
      </w:pPr>
      <w:r>
        <w:rPr>
          <w:rFonts w:hint="eastAsia" w:ascii="Times New Roman" w:hAnsi="Times New Roman"/>
          <w:sz w:val="24"/>
          <w:szCs w:val="24"/>
        </w:rPr>
        <w:t xml:space="preserve">    乙方将所供货物安装调试完毕后通知甲方到场，由甲方负责验收。合同货物从验收合格次日起1个月内，出现非人为因素造成的无法排除的故障，由乙方予以调换。</w:t>
      </w:r>
    </w:p>
    <w:p>
      <w:pPr>
        <w:pStyle w:val="23"/>
        <w:spacing w:line="360" w:lineRule="auto"/>
        <w:contextualSpacing/>
        <w:rPr>
          <w:rFonts w:ascii="Times New Roman" w:hAnsi="Times New Roman"/>
          <w:b/>
          <w:kern w:val="2"/>
          <w:sz w:val="24"/>
          <w:szCs w:val="24"/>
          <w:lang w:eastAsia="zh-CN"/>
        </w:rPr>
      </w:pPr>
      <w:r>
        <w:rPr>
          <w:rFonts w:hint="eastAsia" w:ascii="Times New Roman" w:hAnsi="Times New Roman"/>
          <w:b/>
          <w:kern w:val="2"/>
          <w:sz w:val="24"/>
          <w:szCs w:val="24"/>
        </w:rPr>
        <w:t>九</w:t>
      </w:r>
      <w:r>
        <w:rPr>
          <w:rFonts w:ascii="Times New Roman" w:hAnsi="Times New Roman"/>
          <w:b/>
          <w:kern w:val="2"/>
          <w:sz w:val="24"/>
          <w:szCs w:val="24"/>
          <w:lang w:eastAsia="zh-CN"/>
        </w:rPr>
        <w:t>、</w:t>
      </w:r>
      <w:r>
        <w:rPr>
          <w:rFonts w:hint="eastAsia" w:ascii="Times New Roman" w:hAnsi="Times New Roman"/>
          <w:b/>
          <w:kern w:val="2"/>
          <w:sz w:val="24"/>
          <w:szCs w:val="24"/>
          <w:lang w:eastAsia="zh-CN"/>
        </w:rPr>
        <w:t>供货期限、</w:t>
      </w:r>
      <w:r>
        <w:rPr>
          <w:rFonts w:ascii="Times New Roman" w:hAnsi="Times New Roman"/>
          <w:b/>
          <w:kern w:val="2"/>
          <w:sz w:val="24"/>
          <w:szCs w:val="24"/>
          <w:lang w:eastAsia="zh-CN"/>
        </w:rPr>
        <w:t>地点</w:t>
      </w:r>
    </w:p>
    <w:p>
      <w:pPr>
        <w:pStyle w:val="23"/>
        <w:spacing w:line="360" w:lineRule="auto"/>
        <w:ind w:firstLine="480" w:firstLineChars="200"/>
        <w:contextualSpacing/>
        <w:rPr>
          <w:rFonts w:ascii="Times New Roman" w:hAnsi="Times New Roman"/>
          <w:kern w:val="2"/>
          <w:sz w:val="24"/>
          <w:szCs w:val="24"/>
          <w:lang w:eastAsia="zh-CN"/>
        </w:rPr>
      </w:pPr>
      <w:r>
        <w:rPr>
          <w:rFonts w:hint="eastAsia" w:ascii="Times New Roman" w:hAnsi="Times New Roman"/>
          <w:kern w:val="2"/>
          <w:sz w:val="24"/>
          <w:szCs w:val="24"/>
          <w:lang w:eastAsia="zh-CN"/>
        </w:rPr>
        <w:t>供货期限</w:t>
      </w:r>
      <w:r>
        <w:rPr>
          <w:rFonts w:ascii="Times New Roman" w:hAnsi="Times New Roman"/>
          <w:kern w:val="2"/>
          <w:sz w:val="24"/>
          <w:szCs w:val="24"/>
          <w:lang w:eastAsia="zh-CN"/>
        </w:rPr>
        <w:t>：</w:t>
      </w:r>
    </w:p>
    <w:p>
      <w:pPr>
        <w:pStyle w:val="23"/>
        <w:spacing w:line="360" w:lineRule="auto"/>
        <w:ind w:firstLine="480" w:firstLineChars="200"/>
        <w:contextualSpacing/>
        <w:rPr>
          <w:rFonts w:hint="eastAsia" w:ascii="Times New Roman" w:hAnsi="Times New Roman"/>
          <w:kern w:val="2"/>
          <w:sz w:val="24"/>
          <w:szCs w:val="24"/>
          <w:lang w:eastAsia="zh-CN"/>
        </w:rPr>
      </w:pPr>
      <w:r>
        <w:rPr>
          <w:rFonts w:hint="eastAsia" w:ascii="Times New Roman" w:hAnsi="Times New Roman"/>
          <w:kern w:val="2"/>
          <w:sz w:val="24"/>
          <w:szCs w:val="24"/>
          <w:lang w:eastAsia="zh-CN"/>
        </w:rPr>
        <w:t>供货</w:t>
      </w:r>
      <w:r>
        <w:rPr>
          <w:rFonts w:ascii="Times New Roman" w:hAnsi="Times New Roman"/>
          <w:kern w:val="2"/>
          <w:sz w:val="24"/>
          <w:szCs w:val="24"/>
          <w:lang w:eastAsia="zh-CN"/>
        </w:rPr>
        <w:t>地点</w:t>
      </w:r>
      <w:r>
        <w:rPr>
          <w:rFonts w:hint="eastAsia" w:ascii="Times New Roman" w:hAnsi="Times New Roman"/>
          <w:kern w:val="2"/>
          <w:sz w:val="24"/>
          <w:szCs w:val="24"/>
          <w:lang w:eastAsia="zh-CN"/>
        </w:rPr>
        <w:t>：</w:t>
      </w:r>
    </w:p>
    <w:p>
      <w:pPr>
        <w:spacing w:line="360" w:lineRule="auto"/>
        <w:contextualSpacing/>
        <w:rPr>
          <w:b/>
          <w:sz w:val="24"/>
          <w:szCs w:val="24"/>
        </w:rPr>
      </w:pPr>
      <w:r>
        <w:rPr>
          <w:rFonts w:hint="eastAsia"/>
          <w:b/>
          <w:sz w:val="24"/>
          <w:szCs w:val="24"/>
        </w:rPr>
        <w:t>十</w:t>
      </w:r>
      <w:r>
        <w:rPr>
          <w:b/>
          <w:sz w:val="24"/>
          <w:szCs w:val="24"/>
        </w:rPr>
        <w:t>、付款方式</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甲方在合同签订后</w:t>
      </w:r>
      <w:r>
        <w:rPr>
          <w:rFonts w:ascii="宋体" w:hAnsi="宋体" w:cs="宋体"/>
          <w:sz w:val="24"/>
          <w:szCs w:val="24"/>
        </w:rPr>
        <w:t>10个工作日内，向</w:t>
      </w:r>
      <w:r>
        <w:rPr>
          <w:rFonts w:hint="eastAsia" w:ascii="宋体" w:hAnsi="宋体" w:cs="宋体"/>
          <w:sz w:val="24"/>
          <w:szCs w:val="24"/>
        </w:rPr>
        <w:t>乙方</w:t>
      </w:r>
      <w:r>
        <w:rPr>
          <w:rFonts w:ascii="宋体" w:hAnsi="宋体" w:cs="宋体"/>
          <w:sz w:val="24"/>
          <w:szCs w:val="24"/>
        </w:rPr>
        <w:t>支付合同总价的</w:t>
      </w:r>
      <w:r>
        <w:rPr>
          <w:rFonts w:hint="eastAsia" w:ascii="宋体" w:hAnsi="宋体" w:cs="宋体"/>
          <w:sz w:val="24"/>
          <w:szCs w:val="24"/>
        </w:rPr>
        <w:t>3</w:t>
      </w:r>
      <w:r>
        <w:rPr>
          <w:rFonts w:ascii="宋体" w:hAnsi="宋体" w:cs="宋体"/>
          <w:sz w:val="24"/>
          <w:szCs w:val="24"/>
        </w:rPr>
        <w:t>0%作为首付款, 在货物安装调试完毕且验收合格后10个工作日内支付合同总价的</w:t>
      </w:r>
      <w:r>
        <w:rPr>
          <w:rFonts w:hint="eastAsia" w:ascii="宋体" w:hAnsi="宋体" w:cs="宋体"/>
          <w:sz w:val="24"/>
          <w:szCs w:val="24"/>
        </w:rPr>
        <w:t>70</w:t>
      </w:r>
      <w:r>
        <w:rPr>
          <w:rFonts w:ascii="宋体" w:hAnsi="宋体" w:cs="宋体"/>
          <w:sz w:val="24"/>
          <w:szCs w:val="24"/>
        </w:rPr>
        <w:t>%，</w:t>
      </w:r>
      <w:r>
        <w:rPr>
          <w:rFonts w:hint="eastAsia" w:ascii="宋体" w:hAnsi="宋体" w:cs="宋体"/>
          <w:sz w:val="24"/>
          <w:szCs w:val="24"/>
        </w:rPr>
        <w:t>合同期满，合同价的5%履约保证金转为质保金，待整个项目质保期满且无质量索赔后无息退还。</w:t>
      </w:r>
    </w:p>
    <w:p>
      <w:pPr>
        <w:spacing w:line="360" w:lineRule="auto"/>
        <w:contextualSpacing/>
        <w:rPr>
          <w:b/>
          <w:sz w:val="24"/>
          <w:szCs w:val="24"/>
        </w:rPr>
      </w:pPr>
      <w:r>
        <w:rPr>
          <w:rFonts w:hint="eastAsia"/>
          <w:b/>
          <w:sz w:val="24"/>
          <w:szCs w:val="24"/>
        </w:rPr>
        <w:t>十一、税费</w:t>
      </w:r>
    </w:p>
    <w:p>
      <w:pPr>
        <w:widowControl/>
        <w:overflowPunct w:val="0"/>
        <w:autoSpaceDE w:val="0"/>
        <w:autoSpaceDN w:val="0"/>
        <w:adjustRightInd w:val="0"/>
        <w:spacing w:line="360" w:lineRule="auto"/>
        <w:ind w:firstLine="480" w:firstLineChars="200"/>
        <w:contextualSpacing/>
        <w:jc w:val="left"/>
        <w:textAlignment w:val="baseline"/>
        <w:rPr>
          <w:sz w:val="24"/>
          <w:szCs w:val="24"/>
        </w:rPr>
      </w:pPr>
      <w:r>
        <w:rPr>
          <w:rFonts w:hint="eastAsia"/>
          <w:sz w:val="24"/>
          <w:szCs w:val="24"/>
        </w:rPr>
        <w:t>本合同执行中相关的一切税费均由</w:t>
      </w:r>
      <w:r>
        <w:rPr>
          <w:sz w:val="24"/>
          <w:szCs w:val="24"/>
        </w:rPr>
        <w:t>乙</w:t>
      </w:r>
      <w:r>
        <w:rPr>
          <w:rFonts w:hint="eastAsia"/>
          <w:sz w:val="24"/>
          <w:szCs w:val="24"/>
        </w:rPr>
        <w:t>方负担。</w:t>
      </w:r>
    </w:p>
    <w:p>
      <w:pPr>
        <w:pStyle w:val="23"/>
        <w:spacing w:line="360" w:lineRule="auto"/>
        <w:ind w:left="412" w:hanging="412" w:hangingChars="171"/>
        <w:contextualSpacing/>
        <w:rPr>
          <w:rFonts w:ascii="Times New Roman" w:hAnsi="Times New Roman"/>
          <w:b/>
          <w:kern w:val="2"/>
          <w:sz w:val="24"/>
          <w:szCs w:val="24"/>
          <w:lang w:eastAsia="zh-CN"/>
        </w:rPr>
      </w:pPr>
      <w:r>
        <w:rPr>
          <w:rFonts w:ascii="Times New Roman" w:hAnsi="Times New Roman"/>
          <w:b/>
          <w:kern w:val="2"/>
          <w:sz w:val="24"/>
          <w:szCs w:val="24"/>
          <w:lang w:eastAsia="zh-CN"/>
        </w:rPr>
        <w:t>十</w:t>
      </w:r>
      <w:r>
        <w:rPr>
          <w:rFonts w:hint="eastAsia" w:ascii="Times New Roman" w:hAnsi="Times New Roman"/>
          <w:b/>
          <w:kern w:val="2"/>
          <w:sz w:val="24"/>
          <w:szCs w:val="24"/>
        </w:rPr>
        <w:t>二</w:t>
      </w:r>
      <w:r>
        <w:rPr>
          <w:rFonts w:ascii="Times New Roman" w:hAnsi="Times New Roman"/>
          <w:b/>
          <w:kern w:val="2"/>
          <w:sz w:val="24"/>
          <w:szCs w:val="24"/>
          <w:lang w:eastAsia="zh-CN"/>
        </w:rPr>
        <w:t>、质量保证及后续服务</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1</w:t>
      </w:r>
      <w:r>
        <w:rPr>
          <w:rFonts w:hint="eastAsia" w:ascii="Times New Roman" w:hAnsi="Times New Roman"/>
          <w:kern w:val="2"/>
          <w:sz w:val="24"/>
          <w:szCs w:val="24"/>
          <w:lang w:eastAsia="zh-CN"/>
        </w:rPr>
        <w:t>、</w:t>
      </w:r>
      <w:r>
        <w:rPr>
          <w:rFonts w:ascii="Times New Roman" w:hAnsi="Times New Roman"/>
          <w:kern w:val="2"/>
          <w:sz w:val="24"/>
          <w:szCs w:val="24"/>
          <w:lang w:eastAsia="zh-CN"/>
        </w:rPr>
        <w:t>乙方应按招标文件规定向甲方提供服务。</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2</w:t>
      </w:r>
      <w:r>
        <w:rPr>
          <w:rFonts w:hint="eastAsia" w:ascii="Times New Roman" w:hAnsi="Times New Roman"/>
          <w:kern w:val="2"/>
          <w:sz w:val="24"/>
          <w:szCs w:val="24"/>
          <w:lang w:eastAsia="zh-CN"/>
        </w:rPr>
        <w:t>、</w:t>
      </w:r>
      <w:r>
        <w:rPr>
          <w:rFonts w:ascii="Times New Roman" w:hAnsi="Times New Roman"/>
          <w:kern w:val="2"/>
          <w:sz w:val="24"/>
          <w:szCs w:val="24"/>
          <w:lang w:eastAsia="zh-CN"/>
        </w:rPr>
        <w:t>乙方提供的服务成果在服务质量保证期内发生故障，乙方应负责免费提供后续服务。对达不到要求者，根据实际情况，经双方协商，可按以下办法处理：</w:t>
      </w:r>
    </w:p>
    <w:p>
      <w:pPr>
        <w:pStyle w:val="23"/>
        <w:spacing w:line="360" w:lineRule="auto"/>
        <w:ind w:firstLine="480" w:firstLineChars="200"/>
        <w:contextualSpacing/>
        <w:rPr>
          <w:rFonts w:ascii="Times New Roman" w:hAnsi="Times New Roman"/>
          <w:kern w:val="2"/>
          <w:sz w:val="24"/>
          <w:szCs w:val="24"/>
          <w:lang w:eastAsia="zh-CN"/>
        </w:rPr>
      </w:pPr>
      <w:r>
        <w:rPr>
          <w:rFonts w:hint="eastAsia" w:ascii="Times New Roman" w:hAnsi="Times New Roman"/>
          <w:kern w:val="2"/>
          <w:sz w:val="24"/>
          <w:szCs w:val="24"/>
          <w:lang w:eastAsia="zh-CN"/>
        </w:rPr>
        <w:t>（1）</w:t>
      </w:r>
      <w:r>
        <w:rPr>
          <w:rFonts w:ascii="Times New Roman" w:hAnsi="Times New Roman"/>
          <w:kern w:val="2"/>
          <w:sz w:val="24"/>
          <w:szCs w:val="24"/>
          <w:lang w:eastAsia="zh-CN"/>
        </w:rPr>
        <w:t>重做：由乙方承担所发生的全部费用。</w:t>
      </w:r>
    </w:p>
    <w:p>
      <w:pPr>
        <w:pStyle w:val="23"/>
        <w:spacing w:line="360" w:lineRule="auto"/>
        <w:ind w:firstLine="480" w:firstLineChars="200"/>
        <w:contextualSpacing/>
        <w:rPr>
          <w:rFonts w:ascii="Times New Roman" w:hAnsi="Times New Roman"/>
          <w:kern w:val="2"/>
          <w:sz w:val="24"/>
          <w:szCs w:val="24"/>
          <w:lang w:eastAsia="zh-CN"/>
        </w:rPr>
      </w:pPr>
      <w:r>
        <w:rPr>
          <w:rFonts w:hint="eastAsia" w:ascii="Times New Roman" w:hAnsi="Times New Roman"/>
          <w:kern w:val="2"/>
          <w:sz w:val="24"/>
          <w:szCs w:val="24"/>
          <w:lang w:eastAsia="zh-CN"/>
        </w:rPr>
        <w:t>（2）</w:t>
      </w:r>
      <w:r>
        <w:rPr>
          <w:rFonts w:ascii="Times New Roman" w:hAnsi="Times New Roman"/>
          <w:kern w:val="2"/>
          <w:sz w:val="24"/>
          <w:szCs w:val="24"/>
          <w:lang w:eastAsia="zh-CN"/>
        </w:rPr>
        <w:t>贬值处理：由甲乙双方合议定价。</w:t>
      </w:r>
    </w:p>
    <w:p>
      <w:pPr>
        <w:pStyle w:val="23"/>
        <w:spacing w:line="360" w:lineRule="auto"/>
        <w:ind w:firstLine="480" w:firstLineChars="200"/>
        <w:contextualSpacing/>
        <w:rPr>
          <w:rFonts w:ascii="Times New Roman" w:hAnsi="Times New Roman"/>
          <w:kern w:val="2"/>
          <w:sz w:val="24"/>
          <w:szCs w:val="24"/>
          <w:lang w:eastAsia="zh-CN"/>
        </w:rPr>
      </w:pPr>
      <w:r>
        <w:rPr>
          <w:rFonts w:hint="eastAsia" w:ascii="Times New Roman" w:hAnsi="Times New Roman"/>
          <w:kern w:val="2"/>
          <w:sz w:val="24"/>
          <w:szCs w:val="24"/>
          <w:lang w:eastAsia="zh-CN"/>
        </w:rPr>
        <w:t>（3）</w:t>
      </w:r>
      <w:r>
        <w:rPr>
          <w:rFonts w:ascii="Times New Roman" w:hAnsi="Times New Roman"/>
          <w:kern w:val="2"/>
          <w:sz w:val="24"/>
          <w:szCs w:val="24"/>
          <w:lang w:eastAsia="zh-CN"/>
        </w:rPr>
        <w:t>解除合同。</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3</w:t>
      </w:r>
      <w:r>
        <w:rPr>
          <w:rFonts w:hint="eastAsia" w:ascii="Times New Roman" w:hAnsi="Times New Roman"/>
          <w:kern w:val="2"/>
          <w:sz w:val="24"/>
          <w:szCs w:val="24"/>
          <w:lang w:eastAsia="zh-CN"/>
        </w:rPr>
        <w:t>、</w:t>
      </w:r>
      <w:r>
        <w:rPr>
          <w:rFonts w:ascii="Times New Roman" w:hAnsi="Times New Roman"/>
          <w:kern w:val="2"/>
          <w:sz w:val="24"/>
          <w:szCs w:val="24"/>
          <w:lang w:eastAsia="zh-CN"/>
        </w:rPr>
        <w:t>如在使用过程中发生问题，乙方在接到甲方通知后在</w:t>
      </w:r>
      <w:r>
        <w:rPr>
          <w:rFonts w:hint="eastAsia" w:ascii="Times New Roman" w:hAnsi="Times New Roman"/>
          <w:kern w:val="2"/>
          <w:sz w:val="24"/>
          <w:szCs w:val="24"/>
          <w:u w:val="single"/>
          <w:lang w:eastAsia="zh-CN"/>
        </w:rPr>
        <w:t xml:space="preserve">    </w:t>
      </w:r>
      <w:r>
        <w:rPr>
          <w:rFonts w:ascii="Times New Roman" w:hAnsi="Times New Roman"/>
          <w:kern w:val="2"/>
          <w:sz w:val="24"/>
          <w:szCs w:val="24"/>
          <w:lang w:eastAsia="zh-CN"/>
        </w:rPr>
        <w:t>小时内到达甲方现场。</w:t>
      </w:r>
    </w:p>
    <w:p>
      <w:pPr>
        <w:pStyle w:val="23"/>
        <w:spacing w:line="360" w:lineRule="auto"/>
        <w:ind w:firstLine="480" w:firstLineChars="200"/>
        <w:contextualSpacing/>
        <w:rPr>
          <w:rFonts w:ascii="Times New Roman" w:hAnsi="Times New Roman"/>
          <w:kern w:val="2"/>
          <w:sz w:val="24"/>
          <w:szCs w:val="24"/>
          <w:lang w:val="en-US" w:eastAsia="zh-CN"/>
        </w:rPr>
      </w:pPr>
      <w:r>
        <w:rPr>
          <w:rFonts w:ascii="Times New Roman" w:hAnsi="Times New Roman"/>
          <w:kern w:val="2"/>
          <w:sz w:val="24"/>
          <w:szCs w:val="24"/>
          <w:lang w:eastAsia="zh-CN"/>
        </w:rPr>
        <w:t>4</w:t>
      </w:r>
      <w:r>
        <w:rPr>
          <w:rFonts w:hint="eastAsia" w:ascii="Times New Roman" w:hAnsi="Times New Roman"/>
          <w:kern w:val="2"/>
          <w:sz w:val="24"/>
          <w:szCs w:val="24"/>
          <w:lang w:eastAsia="zh-CN"/>
        </w:rPr>
        <w:t>、</w:t>
      </w:r>
      <w:r>
        <w:rPr>
          <w:rFonts w:ascii="Times New Roman" w:hAnsi="Times New Roman"/>
          <w:kern w:val="2"/>
          <w:sz w:val="24"/>
          <w:szCs w:val="24"/>
          <w:lang w:val="en-US" w:eastAsia="zh-CN"/>
        </w:rPr>
        <w:t>在质保期内本项目所涉及所有设备处于正常工作状态的比例不小于99%，对故障设备负责免费维修，对不能修复的设备负责免费更换，人为破坏设备按合同原价提供。</w:t>
      </w:r>
    </w:p>
    <w:p>
      <w:pPr>
        <w:pStyle w:val="23"/>
        <w:spacing w:line="360" w:lineRule="auto"/>
        <w:ind w:firstLine="480" w:firstLineChars="200"/>
        <w:contextualSpacing/>
        <w:rPr>
          <w:rFonts w:ascii="Times New Roman" w:hAnsi="Times New Roman"/>
          <w:kern w:val="2"/>
          <w:sz w:val="24"/>
          <w:szCs w:val="24"/>
          <w:lang w:val="en-US" w:eastAsia="zh-CN"/>
        </w:rPr>
      </w:pPr>
      <w:r>
        <w:rPr>
          <w:rFonts w:ascii="Times New Roman" w:hAnsi="Times New Roman"/>
          <w:kern w:val="2"/>
          <w:sz w:val="24"/>
          <w:szCs w:val="24"/>
          <w:lang w:val="en-US" w:eastAsia="zh-CN"/>
        </w:rPr>
        <w:t>承建方在接到报障通知后，在半小时内响应，1小时内到达故障现场进行抢修，2小时内解决问题。</w:t>
      </w:r>
    </w:p>
    <w:p>
      <w:pPr>
        <w:pStyle w:val="23"/>
        <w:spacing w:line="360" w:lineRule="auto"/>
        <w:ind w:firstLine="480" w:firstLineChars="200"/>
        <w:contextualSpacing/>
        <w:rPr>
          <w:rFonts w:ascii="Times New Roman" w:hAnsi="Times New Roman"/>
          <w:kern w:val="2"/>
          <w:sz w:val="24"/>
          <w:szCs w:val="24"/>
          <w:lang w:val="en-US" w:eastAsia="zh-CN"/>
        </w:rPr>
      </w:pPr>
      <w:r>
        <w:rPr>
          <w:rFonts w:ascii="Times New Roman" w:hAnsi="Times New Roman"/>
          <w:kern w:val="2"/>
          <w:sz w:val="24"/>
          <w:szCs w:val="24"/>
          <w:lang w:val="en-US" w:eastAsia="zh-CN"/>
        </w:rPr>
        <w:t>承建方配备一支稳定的专业技术队伍，负责本项目的维护工作，并开通报修电话，确保7×24小时接听系统故障报修，提供维护人员名单表。</w:t>
      </w:r>
    </w:p>
    <w:p>
      <w:pPr>
        <w:pStyle w:val="23"/>
        <w:spacing w:line="360" w:lineRule="auto"/>
        <w:ind w:firstLine="480" w:firstLineChars="200"/>
        <w:contextualSpacing/>
        <w:rPr>
          <w:rFonts w:ascii="Times New Roman" w:hAnsi="Times New Roman"/>
          <w:kern w:val="2"/>
          <w:sz w:val="24"/>
          <w:szCs w:val="24"/>
          <w:lang w:val="en-US" w:eastAsia="zh-CN"/>
        </w:rPr>
      </w:pPr>
      <w:r>
        <w:rPr>
          <w:rFonts w:ascii="Times New Roman" w:hAnsi="Times New Roman"/>
          <w:kern w:val="2"/>
          <w:sz w:val="24"/>
          <w:szCs w:val="24"/>
          <w:lang w:val="en-US" w:eastAsia="zh-CN"/>
        </w:rPr>
        <w:t>制定质保期内对系统的巡视制度和对用户的回访计划。</w:t>
      </w:r>
    </w:p>
    <w:p>
      <w:pPr>
        <w:pStyle w:val="23"/>
        <w:spacing w:line="360" w:lineRule="auto"/>
        <w:ind w:firstLine="480" w:firstLineChars="200"/>
        <w:contextualSpacing/>
        <w:rPr>
          <w:rFonts w:ascii="Times New Roman" w:hAnsi="Times New Roman"/>
          <w:kern w:val="2"/>
          <w:sz w:val="24"/>
          <w:szCs w:val="24"/>
          <w:lang w:val="en-US" w:eastAsia="zh-CN"/>
        </w:rPr>
      </w:pPr>
      <w:r>
        <w:rPr>
          <w:rFonts w:ascii="Times New Roman" w:hAnsi="Times New Roman"/>
          <w:kern w:val="2"/>
          <w:sz w:val="24"/>
          <w:szCs w:val="24"/>
          <w:lang w:val="en-US" w:eastAsia="zh-CN"/>
        </w:rPr>
        <w:t>针对本项目配备足够的交通工具、通信工具、检测仪器及维修设备</w:t>
      </w:r>
    </w:p>
    <w:p>
      <w:pPr>
        <w:pStyle w:val="23"/>
        <w:spacing w:line="360" w:lineRule="auto"/>
        <w:ind w:firstLine="480" w:firstLineChars="200"/>
        <w:contextualSpacing/>
        <w:rPr>
          <w:rFonts w:ascii="Times New Roman" w:hAnsi="Times New Roman"/>
          <w:kern w:val="2"/>
          <w:sz w:val="24"/>
          <w:szCs w:val="24"/>
          <w:lang w:eastAsia="zh-CN"/>
        </w:rPr>
      </w:pPr>
      <w:r>
        <w:rPr>
          <w:rFonts w:hint="eastAsia" w:ascii="Times New Roman" w:hAnsi="Times New Roman"/>
          <w:kern w:val="2"/>
          <w:sz w:val="24"/>
          <w:szCs w:val="24"/>
          <w:lang w:val="en-US" w:eastAsia="zh-CN"/>
        </w:rPr>
        <w:t>5、</w:t>
      </w:r>
      <w:r>
        <w:rPr>
          <w:rFonts w:ascii="Times New Roman" w:hAnsi="Times New Roman"/>
          <w:kern w:val="2"/>
          <w:sz w:val="24"/>
          <w:szCs w:val="24"/>
          <w:lang w:eastAsia="zh-CN"/>
        </w:rPr>
        <w:t>在服务质量保证期内，乙方应对出现的质量及安全问题负责处理解决并承担一切费用。</w:t>
      </w:r>
    </w:p>
    <w:p>
      <w:pPr>
        <w:pStyle w:val="23"/>
        <w:spacing w:line="360" w:lineRule="auto"/>
        <w:contextualSpacing/>
        <w:rPr>
          <w:rFonts w:ascii="Times New Roman" w:hAnsi="Times New Roman"/>
          <w:b/>
          <w:kern w:val="2"/>
          <w:sz w:val="24"/>
          <w:szCs w:val="24"/>
          <w:lang w:eastAsia="zh-CN"/>
        </w:rPr>
      </w:pPr>
      <w:r>
        <w:rPr>
          <w:rFonts w:ascii="Times New Roman" w:hAnsi="Times New Roman"/>
          <w:b/>
          <w:kern w:val="2"/>
          <w:sz w:val="24"/>
          <w:szCs w:val="24"/>
          <w:lang w:eastAsia="zh-CN"/>
        </w:rPr>
        <w:t>十</w:t>
      </w:r>
      <w:r>
        <w:rPr>
          <w:rFonts w:hint="eastAsia" w:ascii="Times New Roman" w:hAnsi="Times New Roman"/>
          <w:b/>
          <w:kern w:val="2"/>
          <w:sz w:val="24"/>
          <w:szCs w:val="24"/>
        </w:rPr>
        <w:t>三</w:t>
      </w:r>
      <w:r>
        <w:rPr>
          <w:rFonts w:ascii="Times New Roman" w:hAnsi="Times New Roman"/>
          <w:b/>
          <w:kern w:val="2"/>
          <w:sz w:val="24"/>
          <w:szCs w:val="24"/>
          <w:lang w:eastAsia="zh-CN"/>
        </w:rPr>
        <w:t>、违约责任</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1</w:t>
      </w:r>
      <w:r>
        <w:rPr>
          <w:rFonts w:hint="eastAsia" w:ascii="Times New Roman" w:hAnsi="Times New Roman"/>
          <w:kern w:val="2"/>
          <w:sz w:val="24"/>
          <w:szCs w:val="24"/>
          <w:lang w:eastAsia="zh-CN"/>
        </w:rPr>
        <w:t>、</w:t>
      </w:r>
      <w:r>
        <w:rPr>
          <w:rFonts w:ascii="Times New Roman" w:hAnsi="Times New Roman"/>
          <w:kern w:val="2"/>
          <w:sz w:val="24"/>
          <w:szCs w:val="24"/>
          <w:lang w:eastAsia="zh-CN"/>
        </w:rPr>
        <w:t>甲方无正当理由拒收接受服务的，甲方向乙方偿付合同款项百分之五作为违约金。</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2</w:t>
      </w:r>
      <w:r>
        <w:rPr>
          <w:rFonts w:hint="eastAsia" w:ascii="Times New Roman" w:hAnsi="Times New Roman"/>
          <w:kern w:val="2"/>
          <w:sz w:val="24"/>
          <w:szCs w:val="24"/>
          <w:lang w:eastAsia="zh-CN"/>
        </w:rPr>
        <w:t>、</w:t>
      </w:r>
      <w:r>
        <w:rPr>
          <w:rFonts w:ascii="Times New Roman" w:hAnsi="Times New Roman"/>
          <w:kern w:val="2"/>
          <w:sz w:val="24"/>
          <w:szCs w:val="24"/>
          <w:lang w:eastAsia="zh-CN"/>
        </w:rPr>
        <w:t>甲方无故逾期验收和办理款项支付手续的</w:t>
      </w:r>
      <w:r>
        <w:rPr>
          <w:rFonts w:hint="eastAsia" w:ascii="Times New Roman" w:hAnsi="Times New Roman"/>
          <w:kern w:val="2"/>
          <w:sz w:val="24"/>
          <w:szCs w:val="24"/>
          <w:lang w:eastAsia="zh-CN"/>
        </w:rPr>
        <w:t>，</w:t>
      </w:r>
      <w:r>
        <w:rPr>
          <w:rFonts w:ascii="Times New Roman" w:hAnsi="Times New Roman"/>
          <w:kern w:val="2"/>
          <w:sz w:val="24"/>
          <w:szCs w:val="24"/>
          <w:lang w:eastAsia="zh-CN"/>
        </w:rPr>
        <w:t>甲方应按逾期付款总额每日万分之五向乙方支付违约金。</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3</w:t>
      </w:r>
      <w:r>
        <w:rPr>
          <w:rFonts w:hint="eastAsia" w:ascii="Times New Roman" w:hAnsi="Times New Roman"/>
          <w:kern w:val="2"/>
          <w:sz w:val="24"/>
          <w:szCs w:val="24"/>
          <w:lang w:eastAsia="zh-CN"/>
        </w:rPr>
        <w:t>、</w:t>
      </w:r>
      <w:r>
        <w:rPr>
          <w:rFonts w:ascii="Times New Roman" w:hAnsi="Times New Roman"/>
          <w:kern w:val="2"/>
          <w:sz w:val="24"/>
          <w:szCs w:val="24"/>
          <w:lang w:eastAsia="zh-CN"/>
        </w:rPr>
        <w:t>乙方</w:t>
      </w:r>
      <w:r>
        <w:rPr>
          <w:rFonts w:hint="eastAsia" w:ascii="Times New Roman" w:hAnsi="Times New Roman"/>
          <w:kern w:val="2"/>
          <w:sz w:val="24"/>
          <w:szCs w:val="24"/>
          <w:lang w:eastAsia="zh-CN"/>
        </w:rPr>
        <w:t>未能如</w:t>
      </w:r>
      <w:r>
        <w:rPr>
          <w:rFonts w:ascii="Times New Roman" w:hAnsi="Times New Roman"/>
          <w:kern w:val="2"/>
          <w:sz w:val="24"/>
          <w:szCs w:val="24"/>
          <w:lang w:eastAsia="zh-CN"/>
        </w:rPr>
        <w:t>期提供服务的，每日向甲方支付</w:t>
      </w:r>
      <w:r>
        <w:rPr>
          <w:rFonts w:hint="eastAsia" w:ascii="Times New Roman" w:hAnsi="Times New Roman"/>
          <w:kern w:val="2"/>
          <w:sz w:val="24"/>
          <w:szCs w:val="24"/>
          <w:lang w:eastAsia="zh-CN"/>
        </w:rPr>
        <w:t>合同款项的</w:t>
      </w:r>
      <w:r>
        <w:rPr>
          <w:rFonts w:ascii="Times New Roman" w:hAnsi="Times New Roman"/>
          <w:kern w:val="2"/>
          <w:sz w:val="24"/>
          <w:szCs w:val="24"/>
          <w:lang w:eastAsia="zh-CN"/>
        </w:rPr>
        <w:t>千分之六</w:t>
      </w:r>
      <w:r>
        <w:rPr>
          <w:rFonts w:hint="eastAsia" w:ascii="Times New Roman" w:hAnsi="Times New Roman"/>
          <w:kern w:val="2"/>
          <w:sz w:val="24"/>
          <w:szCs w:val="24"/>
          <w:lang w:eastAsia="zh-CN"/>
        </w:rPr>
        <w:t>作为</w:t>
      </w:r>
      <w:r>
        <w:rPr>
          <w:rFonts w:ascii="Times New Roman" w:hAnsi="Times New Roman"/>
          <w:kern w:val="2"/>
          <w:sz w:val="24"/>
          <w:szCs w:val="24"/>
          <w:lang w:eastAsia="zh-CN"/>
        </w:rPr>
        <w:t>违约金。乙方超过约定日期10个工作日</w:t>
      </w:r>
      <w:r>
        <w:rPr>
          <w:rFonts w:hint="eastAsia" w:ascii="Times New Roman" w:hAnsi="Times New Roman"/>
          <w:kern w:val="2"/>
          <w:sz w:val="24"/>
          <w:szCs w:val="24"/>
          <w:lang w:eastAsia="zh-CN"/>
        </w:rPr>
        <w:t>仍</w:t>
      </w:r>
      <w:r>
        <w:rPr>
          <w:rFonts w:ascii="Times New Roman" w:hAnsi="Times New Roman"/>
          <w:kern w:val="2"/>
          <w:sz w:val="24"/>
          <w:szCs w:val="24"/>
          <w:lang w:eastAsia="zh-CN"/>
        </w:rPr>
        <w:t>不能</w:t>
      </w:r>
      <w:r>
        <w:rPr>
          <w:rFonts w:hint="eastAsia" w:ascii="Times New Roman" w:hAnsi="Times New Roman"/>
          <w:kern w:val="2"/>
          <w:sz w:val="24"/>
          <w:szCs w:val="24"/>
          <w:lang w:eastAsia="zh-CN"/>
        </w:rPr>
        <w:t>提供服务</w:t>
      </w:r>
      <w:r>
        <w:rPr>
          <w:rFonts w:ascii="Times New Roman" w:hAnsi="Times New Roman"/>
          <w:kern w:val="2"/>
          <w:sz w:val="24"/>
          <w:szCs w:val="24"/>
          <w:lang w:eastAsia="zh-CN"/>
        </w:rPr>
        <w:t>的，甲方可解除本合同。乙方因</w:t>
      </w:r>
      <w:r>
        <w:rPr>
          <w:rFonts w:hint="eastAsia" w:ascii="Times New Roman" w:hAnsi="Times New Roman"/>
          <w:kern w:val="2"/>
          <w:sz w:val="24"/>
          <w:szCs w:val="24"/>
          <w:lang w:eastAsia="zh-CN"/>
        </w:rPr>
        <w:t>未能如</w:t>
      </w:r>
      <w:r>
        <w:rPr>
          <w:rFonts w:ascii="Times New Roman" w:hAnsi="Times New Roman"/>
          <w:kern w:val="2"/>
          <w:sz w:val="24"/>
          <w:szCs w:val="24"/>
          <w:lang w:eastAsia="zh-CN"/>
        </w:rPr>
        <w:t xml:space="preserve">期提供服务或因其他违约行为导致甲方解除合同的，乙方应向甲方支付合同总值5%的违约金，如造成甲方损失超过违约金的，超出部分由乙方继续承担赔偿责任。 </w:t>
      </w:r>
    </w:p>
    <w:p>
      <w:pPr>
        <w:pStyle w:val="23"/>
        <w:spacing w:line="360" w:lineRule="auto"/>
        <w:contextualSpacing/>
        <w:rPr>
          <w:rFonts w:ascii="Times New Roman" w:hAnsi="Times New Roman"/>
          <w:b/>
          <w:kern w:val="2"/>
          <w:sz w:val="24"/>
          <w:szCs w:val="24"/>
          <w:lang w:eastAsia="zh-CN"/>
        </w:rPr>
      </w:pPr>
      <w:r>
        <w:rPr>
          <w:rFonts w:ascii="Times New Roman" w:hAnsi="Times New Roman"/>
          <w:b/>
          <w:kern w:val="2"/>
          <w:sz w:val="24"/>
          <w:szCs w:val="24"/>
          <w:lang w:eastAsia="zh-CN"/>
        </w:rPr>
        <w:t>十</w:t>
      </w:r>
      <w:r>
        <w:rPr>
          <w:rFonts w:hint="eastAsia" w:ascii="Times New Roman" w:hAnsi="Times New Roman"/>
          <w:b/>
          <w:kern w:val="2"/>
          <w:sz w:val="24"/>
          <w:szCs w:val="24"/>
        </w:rPr>
        <w:t>四</w:t>
      </w:r>
      <w:r>
        <w:rPr>
          <w:rFonts w:ascii="Times New Roman" w:hAnsi="Times New Roman"/>
          <w:b/>
          <w:kern w:val="2"/>
          <w:sz w:val="24"/>
          <w:szCs w:val="24"/>
          <w:lang w:eastAsia="zh-CN"/>
        </w:rPr>
        <w:t>、不可抗力事件处理</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1</w:t>
      </w:r>
      <w:r>
        <w:rPr>
          <w:rFonts w:hint="eastAsia" w:ascii="Times New Roman" w:hAnsi="Times New Roman"/>
          <w:kern w:val="2"/>
          <w:sz w:val="24"/>
          <w:szCs w:val="24"/>
          <w:lang w:eastAsia="zh-CN"/>
        </w:rPr>
        <w:t>、</w:t>
      </w:r>
      <w:r>
        <w:rPr>
          <w:rFonts w:ascii="Times New Roman" w:hAnsi="Times New Roman"/>
          <w:kern w:val="2"/>
          <w:sz w:val="24"/>
          <w:szCs w:val="24"/>
          <w:lang w:eastAsia="zh-CN"/>
        </w:rPr>
        <w:t>在合同有效期内，任何一方因不可抗力事件导致不能履行合同，则合同履行期可延长，其延长期与不可抗力影响期相同。</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2</w:t>
      </w:r>
      <w:r>
        <w:rPr>
          <w:rFonts w:hint="eastAsia" w:ascii="Times New Roman" w:hAnsi="Times New Roman"/>
          <w:kern w:val="2"/>
          <w:sz w:val="24"/>
          <w:szCs w:val="24"/>
          <w:lang w:eastAsia="zh-CN"/>
        </w:rPr>
        <w:t>、</w:t>
      </w:r>
      <w:r>
        <w:rPr>
          <w:rFonts w:ascii="Times New Roman" w:hAnsi="Times New Roman"/>
          <w:kern w:val="2"/>
          <w:sz w:val="24"/>
          <w:szCs w:val="24"/>
          <w:lang w:eastAsia="zh-CN"/>
        </w:rPr>
        <w:t>不可抗力事件发生后，应立即通知对方，并寄送有关权威机构出具的证明。</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3</w:t>
      </w:r>
      <w:r>
        <w:rPr>
          <w:rFonts w:hint="eastAsia" w:ascii="Times New Roman" w:hAnsi="Times New Roman"/>
          <w:kern w:val="2"/>
          <w:sz w:val="24"/>
          <w:szCs w:val="24"/>
          <w:lang w:eastAsia="zh-CN"/>
        </w:rPr>
        <w:t>、</w:t>
      </w:r>
      <w:r>
        <w:rPr>
          <w:rFonts w:ascii="Times New Roman" w:hAnsi="Times New Roman"/>
          <w:kern w:val="2"/>
          <w:sz w:val="24"/>
          <w:szCs w:val="24"/>
          <w:lang w:eastAsia="zh-CN"/>
        </w:rPr>
        <w:t>不可抗力事件延续120天以上，双方应通过友好协商，确定是否继续履行合同。</w:t>
      </w:r>
    </w:p>
    <w:p>
      <w:pPr>
        <w:pStyle w:val="23"/>
        <w:spacing w:line="360" w:lineRule="auto"/>
        <w:contextualSpacing/>
        <w:rPr>
          <w:rFonts w:ascii="Times New Roman" w:hAnsi="Times New Roman"/>
          <w:b/>
          <w:kern w:val="2"/>
          <w:sz w:val="24"/>
          <w:szCs w:val="24"/>
          <w:lang w:eastAsia="zh-CN"/>
        </w:rPr>
      </w:pPr>
      <w:r>
        <w:rPr>
          <w:rFonts w:ascii="Times New Roman" w:hAnsi="Times New Roman"/>
          <w:b/>
          <w:kern w:val="2"/>
          <w:sz w:val="24"/>
          <w:szCs w:val="24"/>
          <w:lang w:eastAsia="zh-CN"/>
        </w:rPr>
        <w:t>十</w:t>
      </w:r>
      <w:r>
        <w:rPr>
          <w:rFonts w:hint="eastAsia" w:ascii="Times New Roman" w:hAnsi="Times New Roman"/>
          <w:b/>
          <w:kern w:val="2"/>
          <w:sz w:val="24"/>
          <w:szCs w:val="24"/>
        </w:rPr>
        <w:t>五</w:t>
      </w:r>
      <w:r>
        <w:rPr>
          <w:rFonts w:ascii="Times New Roman" w:hAnsi="Times New Roman"/>
          <w:b/>
          <w:kern w:val="2"/>
          <w:sz w:val="24"/>
          <w:szCs w:val="24"/>
          <w:lang w:eastAsia="zh-CN"/>
        </w:rPr>
        <w:t>、诉讼</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双方在执行合同中所发生的一切争议，应通过协商解决。如协商不成，可向</w:t>
      </w:r>
      <w:r>
        <w:rPr>
          <w:rFonts w:hint="eastAsia" w:ascii="Times New Roman" w:hAnsi="Times New Roman"/>
          <w:kern w:val="2"/>
          <w:sz w:val="24"/>
          <w:szCs w:val="24"/>
          <w:lang w:eastAsia="zh-CN"/>
        </w:rPr>
        <w:t>甲方所在</w:t>
      </w:r>
      <w:r>
        <w:rPr>
          <w:rFonts w:ascii="Times New Roman" w:hAnsi="Times New Roman"/>
          <w:kern w:val="2"/>
          <w:sz w:val="24"/>
          <w:szCs w:val="24"/>
          <w:lang w:eastAsia="zh-CN"/>
        </w:rPr>
        <w:t>地法院起诉。</w:t>
      </w:r>
    </w:p>
    <w:p>
      <w:pPr>
        <w:pStyle w:val="23"/>
        <w:spacing w:line="360" w:lineRule="auto"/>
        <w:contextualSpacing/>
        <w:rPr>
          <w:rFonts w:ascii="Times New Roman" w:hAnsi="Times New Roman"/>
          <w:b/>
          <w:kern w:val="2"/>
          <w:sz w:val="24"/>
          <w:szCs w:val="24"/>
          <w:lang w:eastAsia="zh-CN"/>
        </w:rPr>
      </w:pPr>
      <w:r>
        <w:rPr>
          <w:rFonts w:ascii="Times New Roman" w:hAnsi="Times New Roman"/>
          <w:b/>
          <w:kern w:val="2"/>
          <w:sz w:val="24"/>
          <w:szCs w:val="24"/>
          <w:lang w:eastAsia="zh-CN"/>
        </w:rPr>
        <w:t>十</w:t>
      </w:r>
      <w:r>
        <w:rPr>
          <w:rFonts w:hint="eastAsia" w:ascii="Times New Roman" w:hAnsi="Times New Roman"/>
          <w:b/>
          <w:kern w:val="2"/>
          <w:sz w:val="24"/>
          <w:szCs w:val="24"/>
        </w:rPr>
        <w:t>六</w:t>
      </w:r>
      <w:r>
        <w:rPr>
          <w:rFonts w:ascii="Times New Roman" w:hAnsi="Times New Roman"/>
          <w:b/>
          <w:kern w:val="2"/>
          <w:sz w:val="24"/>
          <w:szCs w:val="24"/>
          <w:lang w:eastAsia="zh-CN"/>
        </w:rPr>
        <w:t>、合同生效及其它</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1</w:t>
      </w:r>
      <w:r>
        <w:rPr>
          <w:rFonts w:hint="eastAsia" w:ascii="Times New Roman" w:hAnsi="Times New Roman"/>
          <w:kern w:val="2"/>
          <w:sz w:val="24"/>
          <w:szCs w:val="24"/>
          <w:lang w:eastAsia="zh-CN"/>
        </w:rPr>
        <w:t>、</w:t>
      </w:r>
      <w:r>
        <w:rPr>
          <w:rFonts w:ascii="Times New Roman" w:hAnsi="Times New Roman"/>
          <w:kern w:val="2"/>
          <w:sz w:val="24"/>
          <w:szCs w:val="24"/>
          <w:lang w:eastAsia="zh-CN"/>
        </w:rPr>
        <w:t>合同经双方法定代表人或授权代表签字并加盖单位公章后生效。</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2</w:t>
      </w:r>
      <w:r>
        <w:rPr>
          <w:rFonts w:hint="eastAsia" w:ascii="Times New Roman" w:hAnsi="Times New Roman"/>
          <w:kern w:val="2"/>
          <w:sz w:val="24"/>
          <w:szCs w:val="24"/>
          <w:lang w:eastAsia="zh-CN"/>
        </w:rPr>
        <w:t>、</w:t>
      </w:r>
      <w:r>
        <w:rPr>
          <w:rFonts w:hint="eastAsia" w:ascii="Times New Roman" w:hAnsi="Times New Roman" w:cs="ËÎÌå"/>
          <w:sz w:val="24"/>
          <w:szCs w:val="24"/>
        </w:rPr>
        <w:t>合同执行中涉及采购资金和采购内容修改或补充的，须签订书面补充协议，方可作为主合同不可分割的一部分</w:t>
      </w:r>
      <w:r>
        <w:rPr>
          <w:rFonts w:ascii="Times New Roman" w:hAnsi="Times New Roman"/>
          <w:kern w:val="2"/>
          <w:sz w:val="24"/>
          <w:szCs w:val="24"/>
          <w:lang w:eastAsia="zh-CN"/>
        </w:rPr>
        <w:t>。</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3</w:t>
      </w:r>
      <w:r>
        <w:rPr>
          <w:rFonts w:hint="eastAsia" w:ascii="Times New Roman" w:hAnsi="Times New Roman"/>
          <w:kern w:val="2"/>
          <w:sz w:val="24"/>
          <w:szCs w:val="24"/>
          <w:lang w:eastAsia="zh-CN"/>
        </w:rPr>
        <w:t>、</w:t>
      </w:r>
      <w:r>
        <w:rPr>
          <w:rFonts w:ascii="Times New Roman" w:hAnsi="Times New Roman"/>
          <w:kern w:val="2"/>
          <w:sz w:val="24"/>
          <w:szCs w:val="24"/>
          <w:lang w:eastAsia="zh-CN"/>
        </w:rPr>
        <w:t>本合同未尽事宜，遵照《合同法》有关条文执行。</w:t>
      </w:r>
    </w:p>
    <w:p>
      <w:pPr>
        <w:pStyle w:val="23"/>
        <w:spacing w:line="360" w:lineRule="auto"/>
        <w:ind w:firstLine="480" w:firstLineChars="200"/>
        <w:contextualSpacing/>
        <w:rPr>
          <w:rFonts w:ascii="Times New Roman" w:hAnsi="Times New Roman"/>
          <w:kern w:val="2"/>
          <w:sz w:val="24"/>
          <w:szCs w:val="24"/>
          <w:lang w:eastAsia="zh-CN"/>
        </w:rPr>
      </w:pPr>
      <w:r>
        <w:rPr>
          <w:rFonts w:ascii="Times New Roman" w:hAnsi="Times New Roman"/>
          <w:kern w:val="2"/>
          <w:sz w:val="24"/>
          <w:szCs w:val="24"/>
          <w:lang w:eastAsia="zh-CN"/>
        </w:rPr>
        <w:t>4</w:t>
      </w:r>
      <w:r>
        <w:rPr>
          <w:rFonts w:hint="eastAsia" w:ascii="Times New Roman" w:hAnsi="Times New Roman"/>
          <w:kern w:val="2"/>
          <w:sz w:val="24"/>
          <w:szCs w:val="24"/>
          <w:lang w:eastAsia="zh-CN"/>
        </w:rPr>
        <w:t>、</w:t>
      </w:r>
      <w:r>
        <w:rPr>
          <w:rFonts w:ascii="Times New Roman" w:hAnsi="Times New Roman"/>
          <w:kern w:val="2"/>
          <w:sz w:val="24"/>
          <w:szCs w:val="24"/>
          <w:lang w:eastAsia="zh-CN"/>
        </w:rPr>
        <w:t>本合同正本一式两份，具有同等法律效力，甲乙双方各执一份；副本</w:t>
      </w:r>
      <w:r>
        <w:rPr>
          <w:rFonts w:hint="eastAsia" w:ascii="Times New Roman" w:hAnsi="Times New Roman"/>
          <w:kern w:val="2"/>
          <w:sz w:val="24"/>
          <w:szCs w:val="24"/>
          <w:u w:val="single"/>
          <w:lang w:eastAsia="zh-CN"/>
        </w:rPr>
        <w:t xml:space="preserve">   </w:t>
      </w:r>
      <w:r>
        <w:rPr>
          <w:rFonts w:ascii="Times New Roman" w:hAnsi="Times New Roman"/>
          <w:kern w:val="2"/>
          <w:sz w:val="24"/>
          <w:szCs w:val="24"/>
          <w:lang w:eastAsia="zh-CN"/>
        </w:rPr>
        <w:t>份，</w:t>
      </w:r>
      <w:r>
        <w:rPr>
          <w:rFonts w:hint="eastAsia" w:ascii="Times New Roman" w:hAnsi="Times New Roman"/>
          <w:kern w:val="2"/>
          <w:sz w:val="24"/>
          <w:szCs w:val="24"/>
          <w:lang w:eastAsia="zh-CN"/>
        </w:rPr>
        <w:t>（</w:t>
      </w:r>
      <w:r>
        <w:rPr>
          <w:rFonts w:ascii="Times New Roman" w:hAnsi="Times New Roman"/>
          <w:kern w:val="2"/>
          <w:sz w:val="24"/>
          <w:szCs w:val="24"/>
          <w:lang w:eastAsia="zh-CN"/>
        </w:rPr>
        <w:t>用途</w:t>
      </w:r>
      <w:r>
        <w:rPr>
          <w:rFonts w:hint="eastAsia" w:ascii="Times New Roman" w:hAnsi="Times New Roman"/>
          <w:kern w:val="2"/>
          <w:sz w:val="24"/>
          <w:szCs w:val="24"/>
          <w:lang w:eastAsia="zh-CN"/>
        </w:rPr>
        <w:t>）</w:t>
      </w:r>
      <w:r>
        <w:rPr>
          <w:rFonts w:ascii="Times New Roman" w:hAnsi="Times New Roman"/>
          <w:kern w:val="2"/>
          <w:sz w:val="24"/>
          <w:szCs w:val="24"/>
          <w:lang w:eastAsia="zh-CN"/>
        </w:rPr>
        <w:t>。</w:t>
      </w:r>
    </w:p>
    <w:p>
      <w:pPr>
        <w:pStyle w:val="23"/>
        <w:spacing w:line="360" w:lineRule="auto"/>
        <w:ind w:left="480" w:hanging="480" w:hangingChars="200"/>
        <w:contextualSpacing/>
        <w:rPr>
          <w:rFonts w:hint="eastAsia" w:ascii="Times New Roman" w:hAnsi="Times New Roman"/>
          <w:kern w:val="2"/>
          <w:sz w:val="24"/>
          <w:szCs w:val="24"/>
          <w:lang w:eastAsia="zh-CN"/>
        </w:rPr>
      </w:pPr>
      <w:r>
        <w:rPr>
          <w:rFonts w:ascii="Times New Roman" w:hAnsi="Times New Roman"/>
          <w:kern w:val="2"/>
          <w:sz w:val="24"/>
          <w:szCs w:val="24"/>
          <w:lang w:eastAsia="zh-CN"/>
        </w:rPr>
        <w:t xml:space="preserve">  </w:t>
      </w:r>
    </w:p>
    <w:p>
      <w:pPr>
        <w:pStyle w:val="23"/>
        <w:spacing w:line="360" w:lineRule="auto"/>
        <w:ind w:left="480" w:hanging="480" w:hangingChars="200"/>
        <w:contextualSpacing/>
        <w:rPr>
          <w:rFonts w:hint="eastAsia" w:ascii="Times New Roman" w:hAnsi="Times New Roman"/>
          <w:kern w:val="2"/>
          <w:sz w:val="24"/>
          <w:szCs w:val="24"/>
          <w:lang w:eastAsia="zh-CN"/>
        </w:rPr>
      </w:pPr>
    </w:p>
    <w:p>
      <w:pPr>
        <w:pStyle w:val="23"/>
        <w:spacing w:line="360" w:lineRule="auto"/>
        <w:contextualSpacing/>
        <w:rPr>
          <w:rFonts w:ascii="Times New Roman" w:hAnsi="Times New Roman"/>
          <w:kern w:val="2"/>
          <w:sz w:val="24"/>
          <w:szCs w:val="24"/>
          <w:lang w:eastAsia="zh-CN"/>
        </w:rPr>
      </w:pPr>
      <w:r>
        <w:rPr>
          <w:rFonts w:ascii="Times New Roman" w:hAnsi="Times New Roman"/>
          <w:kern w:val="2"/>
          <w:sz w:val="24"/>
          <w:szCs w:val="24"/>
          <w:lang w:eastAsia="zh-CN"/>
        </w:rPr>
        <w:t>甲方：                                   乙方：</w:t>
      </w:r>
    </w:p>
    <w:p>
      <w:pPr>
        <w:pStyle w:val="23"/>
        <w:spacing w:line="360" w:lineRule="auto"/>
        <w:contextualSpacing/>
        <w:rPr>
          <w:rFonts w:ascii="Times New Roman" w:hAnsi="Times New Roman"/>
          <w:kern w:val="2"/>
          <w:sz w:val="24"/>
          <w:szCs w:val="24"/>
          <w:lang w:eastAsia="zh-CN"/>
        </w:rPr>
      </w:pPr>
      <w:r>
        <w:rPr>
          <w:rFonts w:ascii="Times New Roman" w:hAnsi="Times New Roman"/>
          <w:kern w:val="2"/>
          <w:sz w:val="24"/>
          <w:szCs w:val="24"/>
          <w:lang w:eastAsia="zh-CN"/>
        </w:rPr>
        <w:t>地址：                                   地址：</w:t>
      </w:r>
    </w:p>
    <w:p>
      <w:pPr>
        <w:pStyle w:val="23"/>
        <w:spacing w:line="360" w:lineRule="auto"/>
        <w:contextualSpacing/>
        <w:rPr>
          <w:rFonts w:ascii="Times New Roman" w:hAnsi="Times New Roman"/>
          <w:kern w:val="2"/>
          <w:sz w:val="24"/>
          <w:szCs w:val="24"/>
          <w:lang w:eastAsia="zh-CN"/>
        </w:rPr>
      </w:pPr>
      <w:r>
        <w:rPr>
          <w:rFonts w:ascii="Times New Roman" w:hAnsi="Times New Roman"/>
          <w:kern w:val="2"/>
          <w:sz w:val="24"/>
          <w:szCs w:val="24"/>
          <w:lang w:eastAsia="zh-CN"/>
        </w:rPr>
        <w:t>法定</w:t>
      </w:r>
      <w:r>
        <w:rPr>
          <w:rFonts w:hint="eastAsia" w:ascii="Times New Roman" w:hAnsi="Times New Roman"/>
          <w:kern w:val="2"/>
          <w:sz w:val="24"/>
          <w:szCs w:val="24"/>
          <w:lang w:eastAsia="zh-CN"/>
        </w:rPr>
        <w:t>（授权）</w:t>
      </w:r>
      <w:r>
        <w:rPr>
          <w:rFonts w:ascii="Times New Roman" w:hAnsi="Times New Roman"/>
          <w:kern w:val="2"/>
          <w:sz w:val="24"/>
          <w:szCs w:val="24"/>
          <w:lang w:eastAsia="zh-CN"/>
        </w:rPr>
        <w:t>代表人：                     法定</w:t>
      </w:r>
      <w:r>
        <w:rPr>
          <w:rFonts w:hint="eastAsia" w:ascii="Times New Roman" w:hAnsi="Times New Roman"/>
          <w:kern w:val="2"/>
          <w:sz w:val="24"/>
          <w:szCs w:val="24"/>
          <w:lang w:eastAsia="zh-CN"/>
        </w:rPr>
        <w:t>（授权）</w:t>
      </w:r>
      <w:r>
        <w:rPr>
          <w:rFonts w:ascii="Times New Roman" w:hAnsi="Times New Roman"/>
          <w:kern w:val="2"/>
          <w:sz w:val="24"/>
          <w:szCs w:val="24"/>
          <w:lang w:eastAsia="zh-CN"/>
        </w:rPr>
        <w:t>代表人：</w:t>
      </w:r>
    </w:p>
    <w:p>
      <w:pPr>
        <w:pStyle w:val="23"/>
        <w:snapToGrid w:val="0"/>
        <w:spacing w:line="360" w:lineRule="auto"/>
        <w:rPr>
          <w:rFonts w:ascii="Times New Roman" w:hAnsi="Times New Roman"/>
          <w:kern w:val="44"/>
        </w:rPr>
      </w:pPr>
      <w:r>
        <w:rPr>
          <w:rFonts w:ascii="Times New Roman" w:hAnsi="Times New Roman"/>
          <w:kern w:val="2"/>
          <w:sz w:val="24"/>
          <w:szCs w:val="24"/>
          <w:lang w:eastAsia="zh-CN"/>
        </w:rPr>
        <w:t>签</w:t>
      </w:r>
      <w:r>
        <w:rPr>
          <w:rFonts w:hint="eastAsia" w:ascii="Times New Roman" w:hAnsi="Times New Roman"/>
          <w:kern w:val="2"/>
          <w:sz w:val="24"/>
          <w:szCs w:val="24"/>
          <w:lang w:eastAsia="zh-CN"/>
        </w:rPr>
        <w:t>字日期</w:t>
      </w:r>
      <w:r>
        <w:rPr>
          <w:rFonts w:ascii="Times New Roman" w:hAnsi="Times New Roman"/>
          <w:kern w:val="2"/>
          <w:sz w:val="24"/>
          <w:szCs w:val="24"/>
          <w:lang w:eastAsia="zh-CN"/>
        </w:rPr>
        <w:t xml:space="preserve">：      年  月  日  </w:t>
      </w:r>
      <w:r>
        <w:rPr>
          <w:rFonts w:hint="eastAsia" w:ascii="Times New Roman" w:hAnsi="Times New Roman"/>
          <w:kern w:val="2"/>
          <w:sz w:val="24"/>
          <w:szCs w:val="24"/>
          <w:lang w:eastAsia="zh-CN"/>
        </w:rPr>
        <w:t xml:space="preserve">    </w:t>
      </w:r>
      <w:r>
        <w:rPr>
          <w:rFonts w:ascii="Times New Roman" w:hAnsi="Times New Roman"/>
          <w:kern w:val="2"/>
          <w:sz w:val="24"/>
          <w:szCs w:val="24"/>
          <w:lang w:eastAsia="zh-CN"/>
        </w:rPr>
        <w:t xml:space="preserve">         签</w:t>
      </w:r>
      <w:r>
        <w:rPr>
          <w:rFonts w:hint="eastAsia" w:ascii="Times New Roman" w:hAnsi="Times New Roman"/>
          <w:kern w:val="2"/>
          <w:sz w:val="24"/>
          <w:szCs w:val="24"/>
          <w:lang w:eastAsia="zh-CN"/>
        </w:rPr>
        <w:t>字</w:t>
      </w:r>
      <w:r>
        <w:rPr>
          <w:rFonts w:ascii="Times New Roman" w:hAnsi="Times New Roman"/>
          <w:kern w:val="2"/>
          <w:sz w:val="24"/>
          <w:szCs w:val="24"/>
          <w:lang w:eastAsia="zh-CN"/>
        </w:rPr>
        <w:t>日期：      年  月  日</w:t>
      </w:r>
    </w:p>
    <w:p>
      <w:pPr>
        <w:pStyle w:val="23"/>
        <w:snapToGrid w:val="0"/>
        <w:spacing w:line="360" w:lineRule="auto"/>
        <w:rPr>
          <w:kern w:val="44"/>
          <w:szCs w:val="21"/>
        </w:rPr>
      </w:pPr>
    </w:p>
    <w:p>
      <w:pPr>
        <w:pStyle w:val="40"/>
        <w:rPr>
          <w:rFonts w:hint="eastAsia" w:ascii="Times New Roman" w:hAnsi="Times New Roman"/>
          <w:kern w:val="44"/>
          <w:sz w:val="36"/>
          <w:szCs w:val="36"/>
          <w:lang w:eastAsia="zh-CN"/>
        </w:rPr>
      </w:pPr>
      <w:r>
        <w:rPr>
          <w:rFonts w:ascii="Times New Roman" w:hAnsi="Times New Roman"/>
          <w:kern w:val="44"/>
        </w:rPr>
        <w:br w:type="page"/>
      </w:r>
      <w:bookmarkStart w:id="283" w:name="_Toc13692"/>
      <w:r>
        <w:rPr>
          <w:rFonts w:hint="eastAsia" w:ascii="Times New Roman" w:hAnsi="Times New Roman"/>
          <w:kern w:val="44"/>
        </w:rPr>
        <w:t>第七部分   格式与表格</w:t>
      </w:r>
      <w:bookmarkEnd w:id="0"/>
      <w:bookmarkEnd w:id="282"/>
      <w:bookmarkEnd w:id="283"/>
    </w:p>
    <w:p>
      <w:pPr>
        <w:spacing w:line="360" w:lineRule="auto"/>
        <w:rPr>
          <w:rFonts w:hint="eastAsia"/>
          <w:szCs w:val="21"/>
        </w:rPr>
      </w:pPr>
    </w:p>
    <w:p>
      <w:pPr>
        <w:spacing w:line="360" w:lineRule="auto"/>
        <w:rPr>
          <w:szCs w:val="21"/>
        </w:rPr>
      </w:pPr>
      <w:r>
        <w:rPr>
          <w:szCs w:val="21"/>
        </w:rPr>
        <w:t>1</w:t>
      </w:r>
      <w:r>
        <w:rPr>
          <w:rFonts w:hint="eastAsia"/>
          <w:szCs w:val="21"/>
        </w:rPr>
        <w:t>、所有投标文件的外包装封面格式：（可选用）</w:t>
      </w:r>
    </w:p>
    <w:p>
      <w:pPr>
        <w:spacing w:line="360" w:lineRule="auto"/>
        <w:jc w:val="center"/>
        <w:rPr>
          <w:bCs/>
          <w:szCs w:val="21"/>
        </w:rPr>
      </w:pPr>
    </w:p>
    <w:p>
      <w:pPr>
        <w:spacing w:line="360" w:lineRule="auto"/>
        <w:jc w:val="center"/>
        <w:rPr>
          <w:rFonts w:hint="eastAsia"/>
          <w:b/>
          <w:bCs/>
          <w:szCs w:val="21"/>
        </w:rPr>
      </w:pPr>
      <w:r>
        <w:rPr>
          <w:rFonts w:hint="eastAsia"/>
          <w:b/>
          <w:bCs/>
          <w:szCs w:val="21"/>
        </w:rPr>
        <w:t>投</w:t>
      </w:r>
      <w:r>
        <w:rPr>
          <w:b/>
          <w:bCs/>
          <w:szCs w:val="21"/>
        </w:rPr>
        <w:t xml:space="preserve"> </w:t>
      </w:r>
      <w:r>
        <w:rPr>
          <w:rFonts w:hint="eastAsia"/>
          <w:b/>
          <w:bCs/>
          <w:szCs w:val="21"/>
        </w:rPr>
        <w:t>标</w:t>
      </w:r>
      <w:r>
        <w:rPr>
          <w:b/>
          <w:bCs/>
          <w:szCs w:val="21"/>
        </w:rPr>
        <w:t xml:space="preserve"> </w:t>
      </w:r>
      <w:r>
        <w:rPr>
          <w:rFonts w:hint="eastAsia"/>
          <w:b/>
          <w:bCs/>
          <w:szCs w:val="21"/>
        </w:rPr>
        <w:t>文</w:t>
      </w:r>
      <w:r>
        <w:rPr>
          <w:b/>
          <w:bCs/>
          <w:szCs w:val="21"/>
        </w:rPr>
        <w:t xml:space="preserve"> </w:t>
      </w:r>
      <w:r>
        <w:rPr>
          <w:rFonts w:hint="eastAsia"/>
          <w:b/>
          <w:bCs/>
          <w:szCs w:val="21"/>
        </w:rPr>
        <w:t>件</w:t>
      </w:r>
    </w:p>
    <w:p>
      <w:pPr>
        <w:spacing w:line="360" w:lineRule="auto"/>
        <w:rPr>
          <w:bCs/>
          <w:szCs w:val="21"/>
        </w:rPr>
      </w:pPr>
    </w:p>
    <w:p>
      <w:pPr>
        <w:spacing w:line="360" w:lineRule="auto"/>
        <w:rPr>
          <w:bCs/>
          <w:szCs w:val="21"/>
        </w:rPr>
      </w:pPr>
    </w:p>
    <w:p>
      <w:pPr>
        <w:spacing w:line="360" w:lineRule="auto"/>
        <w:ind w:firstLine="1785" w:firstLineChars="850"/>
        <w:rPr>
          <w:bCs/>
          <w:szCs w:val="21"/>
        </w:rPr>
      </w:pPr>
      <w:r>
        <w:rPr>
          <w:rFonts w:hint="eastAsia"/>
          <w:bCs/>
          <w:szCs w:val="21"/>
        </w:rPr>
        <w:t>项目名称：</w:t>
      </w:r>
    </w:p>
    <w:p>
      <w:pPr>
        <w:spacing w:line="360" w:lineRule="auto"/>
        <w:ind w:firstLine="1785" w:firstLineChars="850"/>
        <w:rPr>
          <w:rFonts w:hint="eastAsia"/>
          <w:bCs/>
          <w:szCs w:val="21"/>
        </w:rPr>
      </w:pPr>
      <w:r>
        <w:rPr>
          <w:rFonts w:hint="eastAsia"/>
          <w:bCs/>
          <w:szCs w:val="21"/>
        </w:rPr>
        <w:t>项目编号：</w:t>
      </w:r>
    </w:p>
    <w:p>
      <w:pPr>
        <w:spacing w:line="360" w:lineRule="auto"/>
        <w:ind w:firstLine="1785" w:firstLineChars="850"/>
        <w:rPr>
          <w:bCs/>
          <w:szCs w:val="21"/>
        </w:rPr>
      </w:pPr>
      <w:r>
        <w:rPr>
          <w:rFonts w:hint="eastAsia"/>
          <w:bCs/>
          <w:szCs w:val="21"/>
        </w:rPr>
        <w:t>投标文件名称：资格证明文件/报价文件/技术商务文件</w:t>
      </w:r>
      <w:r>
        <w:rPr>
          <w:bCs/>
          <w:szCs w:val="21"/>
        </w:rPr>
        <w:t xml:space="preserve"> </w:t>
      </w:r>
    </w:p>
    <w:p>
      <w:pPr>
        <w:pStyle w:val="5"/>
        <w:spacing w:line="360" w:lineRule="auto"/>
        <w:ind w:firstLine="1785" w:firstLineChars="850"/>
        <w:rPr>
          <w:rFonts w:ascii="Times New Roman"/>
          <w:bCs/>
          <w:szCs w:val="21"/>
        </w:rPr>
      </w:pPr>
      <w:r>
        <w:rPr>
          <w:rFonts w:hint="eastAsia" w:ascii="Times New Roman"/>
          <w:bCs/>
          <w:szCs w:val="21"/>
        </w:rPr>
        <w:t>投标人名称</w:t>
      </w:r>
      <w:r>
        <w:rPr>
          <w:rFonts w:hint="eastAsia" w:ascii="Times New Roman"/>
          <w:bCs/>
          <w:szCs w:val="21"/>
          <w:lang w:eastAsia="zh-CN"/>
        </w:rPr>
        <w:t>（盖章）</w:t>
      </w:r>
      <w:r>
        <w:rPr>
          <w:rFonts w:hint="eastAsia" w:ascii="Times New Roman"/>
          <w:bCs/>
          <w:szCs w:val="21"/>
        </w:rPr>
        <w:t>：</w:t>
      </w:r>
    </w:p>
    <w:p>
      <w:pPr>
        <w:pStyle w:val="5"/>
        <w:spacing w:line="360" w:lineRule="auto"/>
        <w:ind w:firstLine="1785" w:firstLineChars="850"/>
        <w:rPr>
          <w:rFonts w:hint="eastAsia" w:ascii="Times New Roman"/>
          <w:bCs/>
          <w:szCs w:val="21"/>
          <w:lang w:eastAsia="zh-CN"/>
        </w:rPr>
      </w:pPr>
      <w:r>
        <w:rPr>
          <w:rFonts w:hint="eastAsia" w:ascii="Times New Roman"/>
          <w:bCs/>
          <w:szCs w:val="21"/>
        </w:rPr>
        <w:t>投标人地址：</w:t>
      </w:r>
    </w:p>
    <w:p>
      <w:pPr>
        <w:pStyle w:val="5"/>
        <w:spacing w:line="360" w:lineRule="auto"/>
        <w:ind w:firstLine="1785" w:firstLineChars="850"/>
        <w:rPr>
          <w:rFonts w:ascii="Times New Roman"/>
          <w:bCs/>
          <w:szCs w:val="21"/>
          <w:lang w:eastAsia="zh-CN"/>
        </w:rPr>
      </w:pPr>
      <w:r>
        <w:rPr>
          <w:rFonts w:hint="eastAsia" w:ascii="Times New Roman"/>
          <w:bCs/>
          <w:szCs w:val="21"/>
          <w:lang w:eastAsia="zh-CN"/>
        </w:rPr>
        <w:t>法定代表人或授权代表人（签字或盖章）</w:t>
      </w:r>
    </w:p>
    <w:p>
      <w:pPr>
        <w:pStyle w:val="5"/>
        <w:spacing w:line="360" w:lineRule="auto"/>
        <w:ind w:firstLine="1785" w:firstLineChars="850"/>
        <w:rPr>
          <w:rFonts w:ascii="Times New Roman"/>
          <w:bCs/>
          <w:szCs w:val="21"/>
        </w:rPr>
      </w:pPr>
      <w:r>
        <w:rPr>
          <w:rFonts w:hint="eastAsia" w:ascii="Times New Roman"/>
          <w:szCs w:val="21"/>
        </w:rPr>
        <w:t xml:space="preserve">                  开标时启封</w:t>
      </w:r>
    </w:p>
    <w:p>
      <w:pPr>
        <w:spacing w:line="360" w:lineRule="auto"/>
        <w:ind w:firstLine="3570" w:firstLineChars="1700"/>
        <w:rPr>
          <w:bCs/>
          <w:szCs w:val="21"/>
        </w:rPr>
      </w:pPr>
    </w:p>
    <w:p>
      <w:pPr>
        <w:spacing w:line="360" w:lineRule="auto"/>
        <w:ind w:firstLine="645"/>
        <w:jc w:val="center"/>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pPr>
        <w:spacing w:line="360" w:lineRule="auto"/>
        <w:rPr>
          <w:rFonts w:hint="eastAsia"/>
          <w:szCs w:val="21"/>
        </w:rPr>
      </w:pPr>
    </w:p>
    <w:p>
      <w:pPr>
        <w:spacing w:line="360" w:lineRule="auto"/>
        <w:rPr>
          <w:szCs w:val="21"/>
        </w:rPr>
      </w:pPr>
      <w:r>
        <w:rPr>
          <w:rFonts w:hint="eastAsia"/>
          <w:szCs w:val="21"/>
        </w:rPr>
        <w:t>2、封面格式：（可选用）</w:t>
      </w:r>
    </w:p>
    <w:p>
      <w:pPr>
        <w:spacing w:line="360" w:lineRule="auto"/>
        <w:rPr>
          <w:b/>
          <w:bCs/>
          <w:szCs w:val="21"/>
        </w:rPr>
      </w:pPr>
      <w:r>
        <w:rPr>
          <w:szCs w:val="21"/>
        </w:rPr>
        <w:t xml:space="preserve">                                                    </w:t>
      </w:r>
      <w:r>
        <w:rPr>
          <w:rFonts w:hint="eastAsia"/>
          <w:b/>
          <w:bCs/>
          <w:szCs w:val="21"/>
        </w:rPr>
        <w:t>正本</w:t>
      </w:r>
      <w:r>
        <w:rPr>
          <w:b/>
          <w:bCs/>
          <w:szCs w:val="21"/>
        </w:rPr>
        <w:t>/</w:t>
      </w:r>
      <w:r>
        <w:rPr>
          <w:rFonts w:hint="eastAsia"/>
          <w:b/>
          <w:bCs/>
          <w:szCs w:val="21"/>
        </w:rPr>
        <w:t>或副本</w:t>
      </w:r>
    </w:p>
    <w:p>
      <w:pPr>
        <w:spacing w:line="360" w:lineRule="auto"/>
        <w:rPr>
          <w:bCs/>
          <w:szCs w:val="21"/>
        </w:rPr>
      </w:pPr>
    </w:p>
    <w:p>
      <w:pPr>
        <w:spacing w:line="360" w:lineRule="auto"/>
        <w:jc w:val="center"/>
        <w:rPr>
          <w:rFonts w:hint="eastAsia"/>
          <w:b/>
          <w:bCs/>
          <w:szCs w:val="21"/>
        </w:rPr>
      </w:pPr>
      <w:r>
        <w:rPr>
          <w:rFonts w:hint="eastAsia"/>
          <w:b/>
          <w:bCs/>
          <w:szCs w:val="21"/>
        </w:rPr>
        <w:t>投 标 文 件</w:t>
      </w:r>
    </w:p>
    <w:p>
      <w:pPr>
        <w:spacing w:line="360" w:lineRule="auto"/>
        <w:rPr>
          <w:bCs/>
          <w:szCs w:val="21"/>
        </w:rPr>
      </w:pPr>
    </w:p>
    <w:p>
      <w:pPr>
        <w:spacing w:line="360" w:lineRule="auto"/>
        <w:rPr>
          <w:bCs/>
          <w:szCs w:val="21"/>
        </w:rPr>
      </w:pPr>
    </w:p>
    <w:p>
      <w:pPr>
        <w:spacing w:line="360" w:lineRule="auto"/>
        <w:ind w:firstLine="1575" w:firstLineChars="750"/>
        <w:rPr>
          <w:bCs/>
          <w:szCs w:val="21"/>
        </w:rPr>
      </w:pPr>
      <w:r>
        <w:rPr>
          <w:rFonts w:hint="eastAsia"/>
          <w:bCs/>
          <w:szCs w:val="21"/>
        </w:rPr>
        <w:t>项目名称：</w:t>
      </w:r>
    </w:p>
    <w:p>
      <w:pPr>
        <w:spacing w:line="360" w:lineRule="auto"/>
        <w:rPr>
          <w:rFonts w:hint="eastAsia"/>
          <w:bCs/>
          <w:szCs w:val="21"/>
        </w:rPr>
      </w:pPr>
      <w:r>
        <w:rPr>
          <w:bCs/>
          <w:szCs w:val="21"/>
        </w:rPr>
        <w:t xml:space="preserve">    </w:t>
      </w:r>
      <w:r>
        <w:rPr>
          <w:rFonts w:hint="eastAsia"/>
          <w:bCs/>
          <w:szCs w:val="21"/>
        </w:rPr>
        <w:t xml:space="preserve">          </w:t>
      </w:r>
      <w:r>
        <w:rPr>
          <w:bCs/>
          <w:szCs w:val="21"/>
        </w:rPr>
        <w:t xml:space="preserve"> </w:t>
      </w:r>
      <w:r>
        <w:rPr>
          <w:rFonts w:hint="eastAsia"/>
          <w:bCs/>
          <w:szCs w:val="21"/>
        </w:rPr>
        <w:t>项目编号：</w:t>
      </w:r>
    </w:p>
    <w:p>
      <w:pPr>
        <w:spacing w:line="360" w:lineRule="auto"/>
        <w:ind w:firstLine="1575" w:firstLineChars="750"/>
        <w:rPr>
          <w:bCs/>
          <w:szCs w:val="21"/>
        </w:rPr>
      </w:pPr>
      <w:r>
        <w:rPr>
          <w:rFonts w:hint="eastAsia"/>
          <w:bCs/>
          <w:szCs w:val="21"/>
        </w:rPr>
        <w:t>投标文件名称：资格证明文件/报价文件/技术商务文件</w:t>
      </w:r>
    </w:p>
    <w:p>
      <w:pPr>
        <w:pStyle w:val="5"/>
        <w:spacing w:line="360" w:lineRule="auto"/>
        <w:ind w:firstLine="1575" w:firstLineChars="750"/>
        <w:rPr>
          <w:rFonts w:ascii="Times New Roman"/>
          <w:bCs/>
          <w:szCs w:val="21"/>
        </w:rPr>
      </w:pPr>
      <w:r>
        <w:rPr>
          <w:rFonts w:hint="eastAsia" w:ascii="Times New Roman"/>
          <w:bCs/>
          <w:szCs w:val="21"/>
        </w:rPr>
        <w:t>投标人名称</w:t>
      </w:r>
      <w:r>
        <w:rPr>
          <w:rFonts w:hint="eastAsia" w:ascii="Times New Roman"/>
          <w:bCs/>
          <w:szCs w:val="21"/>
          <w:lang w:eastAsia="zh-CN"/>
        </w:rPr>
        <w:t>（盖章）</w:t>
      </w:r>
      <w:r>
        <w:rPr>
          <w:rFonts w:hint="eastAsia" w:ascii="Times New Roman"/>
          <w:bCs/>
          <w:szCs w:val="21"/>
        </w:rPr>
        <w:t>：</w:t>
      </w:r>
    </w:p>
    <w:p>
      <w:pPr>
        <w:pStyle w:val="5"/>
        <w:spacing w:line="360" w:lineRule="auto"/>
        <w:ind w:firstLine="1575" w:firstLineChars="750"/>
        <w:rPr>
          <w:rFonts w:ascii="Times New Roman"/>
          <w:bCs/>
          <w:szCs w:val="21"/>
        </w:rPr>
      </w:pPr>
      <w:r>
        <w:rPr>
          <w:rFonts w:hint="eastAsia" w:ascii="Times New Roman"/>
          <w:bCs/>
          <w:szCs w:val="21"/>
        </w:rPr>
        <w:t>投标人地址：</w:t>
      </w:r>
    </w:p>
    <w:p>
      <w:pPr>
        <w:pStyle w:val="5"/>
        <w:spacing w:line="360" w:lineRule="auto"/>
        <w:ind w:firstLine="1558" w:firstLineChars="742"/>
        <w:rPr>
          <w:rFonts w:ascii="Times New Roman"/>
          <w:bCs/>
          <w:szCs w:val="21"/>
        </w:rPr>
      </w:pPr>
      <w:r>
        <w:rPr>
          <w:rFonts w:hint="eastAsia" w:ascii="Times New Roman"/>
          <w:bCs/>
          <w:szCs w:val="21"/>
          <w:lang w:eastAsia="zh-CN"/>
        </w:rPr>
        <w:t>法定代表人或授权代表人（签字或盖章）</w:t>
      </w:r>
    </w:p>
    <w:p>
      <w:pPr>
        <w:pStyle w:val="5"/>
        <w:spacing w:line="360" w:lineRule="auto"/>
        <w:ind w:firstLine="873" w:firstLineChars="416"/>
        <w:rPr>
          <w:rFonts w:ascii="Times New Roman"/>
          <w:szCs w:val="21"/>
        </w:rPr>
      </w:pPr>
    </w:p>
    <w:p>
      <w:pPr>
        <w:spacing w:line="360" w:lineRule="auto"/>
        <w:ind w:firstLine="645"/>
        <w:jc w:val="cente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pStyle w:val="4"/>
        <w:spacing w:before="0" w:after="0" w:line="240" w:lineRule="auto"/>
        <w:ind w:right="-567"/>
        <w:jc w:val="left"/>
        <w:rPr>
          <w:rFonts w:ascii="Times New Roman" w:hAnsi="Times New Roman" w:eastAsia="宋体"/>
          <w:b w:val="0"/>
          <w:sz w:val="18"/>
          <w:szCs w:val="18"/>
        </w:rPr>
      </w:pPr>
      <w:bookmarkStart w:id="284" w:name="_Toc97372565"/>
      <w:r>
        <w:rPr>
          <w:rFonts w:ascii="Times New Roman" w:hAnsi="Times New Roman" w:eastAsia="宋体"/>
          <w:b w:val="0"/>
          <w:sz w:val="18"/>
          <w:szCs w:val="18"/>
        </w:rPr>
        <w:br w:type="page"/>
      </w:r>
      <w:bookmarkStart w:id="285" w:name="_Toc3969"/>
      <w:r>
        <w:rPr>
          <w:rFonts w:hint="eastAsia" w:ascii="Times New Roman" w:hAnsi="Times New Roman" w:eastAsia="宋体"/>
          <w:b w:val="0"/>
          <w:sz w:val="18"/>
          <w:szCs w:val="18"/>
        </w:rPr>
        <w:t>格式一 投标函</w:t>
      </w:r>
      <w:bookmarkEnd w:id="284"/>
      <w:bookmarkEnd w:id="285"/>
    </w:p>
    <w:p>
      <w:pPr>
        <w:pStyle w:val="3"/>
        <w:spacing w:line="360" w:lineRule="exact"/>
        <w:rPr>
          <w:rFonts w:ascii="Times New Roman"/>
          <w:sz w:val="32"/>
          <w:szCs w:val="32"/>
        </w:rPr>
      </w:pPr>
      <w:bookmarkStart w:id="286" w:name="_Toc498429649"/>
      <w:bookmarkStart w:id="287" w:name="_Toc13716"/>
      <w:bookmarkStart w:id="288" w:name="_Toc505353794"/>
      <w:bookmarkStart w:id="289" w:name="_Toc496003216"/>
      <w:r>
        <w:rPr>
          <w:rFonts w:hint="eastAsia" w:ascii="Times New Roman"/>
          <w:sz w:val="32"/>
          <w:szCs w:val="32"/>
        </w:rPr>
        <w:t>投标函</w:t>
      </w:r>
      <w:bookmarkEnd w:id="286"/>
      <w:bookmarkEnd w:id="287"/>
      <w:bookmarkEnd w:id="288"/>
      <w:bookmarkEnd w:id="289"/>
    </w:p>
    <w:p>
      <w:pPr>
        <w:spacing w:line="360" w:lineRule="exact"/>
        <w:rPr>
          <w:w w:val="80"/>
        </w:rPr>
      </w:pPr>
    </w:p>
    <w:p>
      <w:pPr>
        <w:pStyle w:val="2"/>
        <w:spacing w:line="360" w:lineRule="auto"/>
        <w:ind w:firstLine="0"/>
        <w:contextualSpacing/>
        <w:rPr>
          <w:rFonts w:eastAsia="宋体"/>
          <w:szCs w:val="24"/>
        </w:rPr>
      </w:pPr>
      <w:r>
        <w:rPr>
          <w:rFonts w:hint="eastAsia" w:eastAsia="宋体"/>
          <w:szCs w:val="24"/>
        </w:rPr>
        <w:t>致：中冠工程管理咨询有限公司</w:t>
      </w:r>
    </w:p>
    <w:p>
      <w:pPr>
        <w:pStyle w:val="2"/>
        <w:spacing w:line="360" w:lineRule="auto"/>
        <w:ind w:firstLine="490"/>
        <w:contextualSpacing/>
        <w:rPr>
          <w:rFonts w:eastAsia="宋体"/>
          <w:szCs w:val="24"/>
          <w:u w:val="single"/>
        </w:rPr>
      </w:pPr>
      <w:r>
        <w:rPr>
          <w:rFonts w:hint="eastAsia" w:eastAsia="宋体"/>
          <w:szCs w:val="24"/>
          <w:u w:val="single"/>
        </w:rPr>
        <w:t>（投标人全称）</w:t>
      </w:r>
      <w:r>
        <w:rPr>
          <w:rFonts w:hint="eastAsia" w:eastAsia="宋体"/>
          <w:szCs w:val="24"/>
        </w:rPr>
        <w:t>授权</w:t>
      </w:r>
      <w:r>
        <w:rPr>
          <w:rFonts w:hint="eastAsia" w:eastAsia="宋体"/>
          <w:szCs w:val="24"/>
          <w:u w:val="single"/>
        </w:rPr>
        <w:t>（全权代表姓名、职务）</w:t>
      </w:r>
      <w:r>
        <w:rPr>
          <w:rFonts w:hint="eastAsia" w:eastAsia="宋体"/>
          <w:szCs w:val="24"/>
        </w:rPr>
        <w:t>为本公司合法代理人，参加贵方组织的</w:t>
      </w:r>
      <w:r>
        <w:rPr>
          <w:rFonts w:hint="eastAsia" w:eastAsia="宋体"/>
          <w:szCs w:val="24"/>
          <w:u w:val="single"/>
        </w:rPr>
        <w:t>（项目编号、项目名称）</w:t>
      </w:r>
      <w:r>
        <w:rPr>
          <w:rFonts w:hint="eastAsia" w:eastAsia="宋体"/>
          <w:szCs w:val="24"/>
        </w:rPr>
        <w:t>招投标活动，代表本公司处理招投标活动中的一切事宜。在此：</w:t>
      </w:r>
    </w:p>
    <w:p>
      <w:pPr>
        <w:pStyle w:val="2"/>
        <w:tabs>
          <w:tab w:val="left" w:pos="426"/>
        </w:tabs>
        <w:spacing w:line="360" w:lineRule="auto"/>
        <w:ind w:firstLine="0"/>
        <w:contextualSpacing/>
        <w:rPr>
          <w:rFonts w:eastAsia="宋体"/>
          <w:szCs w:val="24"/>
        </w:rPr>
      </w:pPr>
      <w:r>
        <w:rPr>
          <w:rFonts w:hint="eastAsia" w:eastAsia="宋体"/>
          <w:szCs w:val="24"/>
        </w:rPr>
        <w:t>1、提供采购文件中“投标须知”规定的全部投标文件资料：</w:t>
      </w:r>
    </w:p>
    <w:p>
      <w:pPr>
        <w:pStyle w:val="2"/>
        <w:tabs>
          <w:tab w:val="left" w:pos="993"/>
        </w:tabs>
        <w:spacing w:line="360" w:lineRule="auto"/>
        <w:ind w:firstLineChars="200"/>
        <w:contextualSpacing/>
        <w:rPr>
          <w:rFonts w:hint="eastAsia" w:eastAsia="宋体"/>
          <w:szCs w:val="24"/>
        </w:rPr>
      </w:pPr>
      <w:r>
        <w:rPr>
          <w:rFonts w:hint="eastAsia" w:eastAsia="宋体"/>
          <w:szCs w:val="24"/>
        </w:rPr>
        <w:t>（1）资格证明文件：正本</w:t>
      </w:r>
      <w:r>
        <w:rPr>
          <w:rFonts w:hint="eastAsia" w:eastAsia="宋体"/>
          <w:szCs w:val="24"/>
          <w:u w:val="single"/>
        </w:rPr>
        <w:t>1</w:t>
      </w:r>
      <w:r>
        <w:rPr>
          <w:rFonts w:hint="eastAsia" w:eastAsia="宋体"/>
          <w:szCs w:val="24"/>
        </w:rPr>
        <w:t>份，副本</w:t>
      </w:r>
      <w:r>
        <w:rPr>
          <w:rFonts w:eastAsia="宋体"/>
          <w:szCs w:val="24"/>
          <w:u w:val="single"/>
        </w:rPr>
        <w:t>4</w:t>
      </w:r>
      <w:r>
        <w:rPr>
          <w:rFonts w:hint="eastAsia" w:eastAsia="宋体"/>
          <w:szCs w:val="24"/>
        </w:rPr>
        <w:t>份，</w:t>
      </w:r>
      <w:r>
        <w:rPr>
          <w:rFonts w:eastAsia="宋体"/>
          <w:szCs w:val="24"/>
        </w:rPr>
        <w:t>电子版</w:t>
      </w:r>
      <w:r>
        <w:rPr>
          <w:rFonts w:hint="eastAsia" w:eastAsia="宋体"/>
          <w:szCs w:val="24"/>
          <w:u w:val="single"/>
        </w:rPr>
        <w:t>1</w:t>
      </w:r>
      <w:r>
        <w:rPr>
          <w:rFonts w:hint="eastAsia" w:eastAsia="宋体"/>
          <w:szCs w:val="24"/>
        </w:rPr>
        <w:t>份；</w:t>
      </w:r>
    </w:p>
    <w:p>
      <w:pPr>
        <w:pStyle w:val="2"/>
        <w:tabs>
          <w:tab w:val="left" w:pos="993"/>
        </w:tabs>
        <w:spacing w:line="360" w:lineRule="auto"/>
        <w:ind w:firstLineChars="200"/>
        <w:contextualSpacing/>
        <w:rPr>
          <w:rFonts w:eastAsia="宋体"/>
          <w:szCs w:val="24"/>
        </w:rPr>
      </w:pPr>
      <w:r>
        <w:rPr>
          <w:rFonts w:hint="eastAsia" w:eastAsia="宋体"/>
          <w:szCs w:val="24"/>
        </w:rPr>
        <w:t>（2）报价文件：正本</w:t>
      </w:r>
      <w:r>
        <w:rPr>
          <w:rFonts w:hint="eastAsia" w:eastAsia="宋体"/>
          <w:szCs w:val="24"/>
          <w:u w:val="single"/>
        </w:rPr>
        <w:t>1</w:t>
      </w:r>
      <w:r>
        <w:rPr>
          <w:rFonts w:hint="eastAsia" w:eastAsia="宋体"/>
          <w:szCs w:val="24"/>
        </w:rPr>
        <w:t>份，副本</w:t>
      </w:r>
      <w:r>
        <w:rPr>
          <w:rFonts w:eastAsia="宋体"/>
          <w:szCs w:val="24"/>
          <w:u w:val="single"/>
        </w:rPr>
        <w:t>4</w:t>
      </w:r>
      <w:r>
        <w:rPr>
          <w:rFonts w:hint="eastAsia" w:eastAsia="宋体"/>
          <w:szCs w:val="24"/>
        </w:rPr>
        <w:t>份，</w:t>
      </w:r>
      <w:r>
        <w:rPr>
          <w:rFonts w:eastAsia="宋体"/>
          <w:szCs w:val="24"/>
        </w:rPr>
        <w:t>电子版</w:t>
      </w:r>
      <w:r>
        <w:rPr>
          <w:rFonts w:hint="eastAsia" w:eastAsia="宋体"/>
          <w:szCs w:val="24"/>
          <w:u w:val="single"/>
        </w:rPr>
        <w:t>1</w:t>
      </w:r>
      <w:r>
        <w:rPr>
          <w:rFonts w:hint="eastAsia" w:eastAsia="宋体"/>
          <w:szCs w:val="24"/>
        </w:rPr>
        <w:t>份；</w:t>
      </w:r>
    </w:p>
    <w:p>
      <w:pPr>
        <w:pStyle w:val="2"/>
        <w:tabs>
          <w:tab w:val="left" w:pos="993"/>
        </w:tabs>
        <w:spacing w:line="360" w:lineRule="auto"/>
        <w:ind w:firstLineChars="200"/>
        <w:contextualSpacing/>
        <w:rPr>
          <w:rFonts w:eastAsia="宋体"/>
          <w:szCs w:val="24"/>
        </w:rPr>
      </w:pPr>
      <w:r>
        <w:rPr>
          <w:rFonts w:hint="eastAsia" w:eastAsia="宋体"/>
          <w:szCs w:val="24"/>
        </w:rPr>
        <w:t>（3）技术商务文件：正本</w:t>
      </w:r>
      <w:r>
        <w:rPr>
          <w:rFonts w:hint="eastAsia" w:eastAsia="宋体"/>
          <w:szCs w:val="24"/>
          <w:u w:val="single"/>
        </w:rPr>
        <w:t>1</w:t>
      </w:r>
      <w:r>
        <w:rPr>
          <w:rFonts w:hint="eastAsia" w:eastAsia="宋体"/>
          <w:szCs w:val="24"/>
        </w:rPr>
        <w:t>份，副本</w:t>
      </w:r>
      <w:r>
        <w:rPr>
          <w:rFonts w:eastAsia="宋体"/>
          <w:szCs w:val="24"/>
          <w:u w:val="single"/>
        </w:rPr>
        <w:t>4</w:t>
      </w:r>
      <w:r>
        <w:rPr>
          <w:rFonts w:hint="eastAsia" w:eastAsia="宋体"/>
          <w:szCs w:val="24"/>
        </w:rPr>
        <w:t>份，</w:t>
      </w:r>
      <w:r>
        <w:rPr>
          <w:rFonts w:eastAsia="宋体"/>
          <w:szCs w:val="24"/>
        </w:rPr>
        <w:t>电子版</w:t>
      </w:r>
      <w:r>
        <w:rPr>
          <w:rFonts w:hint="eastAsia" w:eastAsia="宋体"/>
          <w:szCs w:val="24"/>
          <w:u w:val="single"/>
        </w:rPr>
        <w:t>1</w:t>
      </w:r>
      <w:r>
        <w:rPr>
          <w:rFonts w:hint="eastAsia" w:eastAsia="宋体"/>
          <w:szCs w:val="24"/>
        </w:rPr>
        <w:t>份；</w:t>
      </w:r>
    </w:p>
    <w:p>
      <w:pPr>
        <w:pStyle w:val="2"/>
        <w:tabs>
          <w:tab w:val="left" w:pos="426"/>
        </w:tabs>
        <w:spacing w:line="360" w:lineRule="auto"/>
        <w:ind w:firstLine="0"/>
        <w:contextualSpacing/>
        <w:rPr>
          <w:rFonts w:eastAsia="宋体"/>
          <w:szCs w:val="24"/>
        </w:rPr>
      </w:pPr>
      <w:r>
        <w:rPr>
          <w:rFonts w:hint="eastAsia" w:eastAsia="宋体"/>
          <w:szCs w:val="24"/>
        </w:rPr>
        <w:t>2、据此函，签字代表宣布并承诺如下：</w:t>
      </w:r>
    </w:p>
    <w:p>
      <w:pPr>
        <w:pStyle w:val="2"/>
        <w:spacing w:line="360" w:lineRule="auto"/>
        <w:ind w:firstLineChars="200"/>
        <w:contextualSpacing/>
        <w:rPr>
          <w:rFonts w:eastAsia="宋体"/>
          <w:szCs w:val="24"/>
        </w:rPr>
      </w:pPr>
      <w:r>
        <w:rPr>
          <w:rFonts w:hint="eastAsia" w:eastAsia="宋体"/>
          <w:szCs w:val="24"/>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pPr>
        <w:pStyle w:val="2"/>
        <w:spacing w:line="360" w:lineRule="auto"/>
        <w:ind w:firstLineChars="200"/>
        <w:contextualSpacing/>
        <w:rPr>
          <w:rFonts w:eastAsia="宋体"/>
          <w:szCs w:val="24"/>
        </w:rPr>
      </w:pPr>
      <w:r>
        <w:rPr>
          <w:rFonts w:hint="eastAsia" w:eastAsia="宋体"/>
          <w:szCs w:val="24"/>
        </w:rPr>
        <w:t>（2）本投标自开标之日起</w:t>
      </w:r>
      <w:r>
        <w:rPr>
          <w:rFonts w:hint="eastAsia" w:eastAsia="宋体"/>
          <w:szCs w:val="24"/>
          <w:u w:val="single"/>
        </w:rPr>
        <w:t xml:space="preserve">     </w:t>
      </w:r>
      <w:r>
        <w:rPr>
          <w:rFonts w:hint="eastAsia" w:eastAsia="宋体"/>
          <w:szCs w:val="24"/>
        </w:rPr>
        <w:t>天内有效。</w:t>
      </w:r>
    </w:p>
    <w:p>
      <w:pPr>
        <w:pStyle w:val="2"/>
        <w:spacing w:line="360" w:lineRule="auto"/>
        <w:ind w:firstLineChars="200"/>
        <w:contextualSpacing/>
        <w:rPr>
          <w:rFonts w:eastAsia="宋体"/>
          <w:szCs w:val="24"/>
        </w:rPr>
      </w:pPr>
      <w:r>
        <w:rPr>
          <w:rFonts w:hint="eastAsia" w:eastAsia="宋体"/>
          <w:szCs w:val="24"/>
        </w:rPr>
        <w:t>（3）保证遵守采购文件有关条款规定。</w:t>
      </w:r>
    </w:p>
    <w:p>
      <w:pPr>
        <w:pStyle w:val="2"/>
        <w:spacing w:line="360" w:lineRule="auto"/>
        <w:ind w:firstLineChars="200"/>
        <w:contextualSpacing/>
        <w:rPr>
          <w:rFonts w:eastAsia="宋体"/>
          <w:szCs w:val="24"/>
        </w:rPr>
      </w:pPr>
      <w:r>
        <w:rPr>
          <w:rFonts w:hint="eastAsia" w:eastAsia="宋体"/>
          <w:szCs w:val="24"/>
        </w:rPr>
        <w:t>（4）保证在中标后忠实地执行与采购人所签署的合同，并承担合同规定的责任义务。保证在中标后按照采购文件的规定支付招标代理服务费。</w:t>
      </w:r>
    </w:p>
    <w:p>
      <w:pPr>
        <w:pStyle w:val="2"/>
        <w:spacing w:line="360" w:lineRule="auto"/>
        <w:ind w:firstLineChars="200"/>
        <w:contextualSpacing/>
        <w:rPr>
          <w:rFonts w:eastAsia="宋体"/>
          <w:szCs w:val="24"/>
        </w:rPr>
      </w:pPr>
      <w:r>
        <w:rPr>
          <w:rFonts w:hint="eastAsia" w:eastAsia="宋体"/>
          <w:szCs w:val="24"/>
        </w:rPr>
        <w:t>（5）承诺应贵方要求提供任何与该项目投标有关的数据、情况和技术资料。</w:t>
      </w:r>
    </w:p>
    <w:p>
      <w:pPr>
        <w:pStyle w:val="2"/>
        <w:tabs>
          <w:tab w:val="left" w:pos="426"/>
        </w:tabs>
        <w:spacing w:line="360" w:lineRule="auto"/>
        <w:ind w:firstLine="0"/>
        <w:contextualSpacing/>
        <w:rPr>
          <w:rFonts w:hint="eastAsia" w:eastAsia="宋体"/>
          <w:szCs w:val="24"/>
        </w:rPr>
      </w:pPr>
      <w:r>
        <w:rPr>
          <w:rFonts w:hint="eastAsia" w:eastAsia="宋体"/>
          <w:szCs w:val="24"/>
        </w:rPr>
        <w:t>3、与本项目有关的澄清、补充文件请发送至：</w:t>
      </w:r>
    </w:p>
    <w:p>
      <w:pPr>
        <w:pStyle w:val="2"/>
        <w:spacing w:line="360" w:lineRule="auto"/>
        <w:ind w:firstLineChars="200"/>
        <w:rPr>
          <w:rFonts w:eastAsia="宋体" w:cs="宋体"/>
          <w:szCs w:val="24"/>
        </w:rPr>
      </w:pPr>
      <w:r>
        <w:rPr>
          <w:rFonts w:hint="eastAsia" w:eastAsia="宋体" w:cs="宋体"/>
          <w:szCs w:val="24"/>
        </w:rPr>
        <w:t>电子邮箱：</w:t>
      </w:r>
      <w:r>
        <w:rPr>
          <w:rFonts w:hint="eastAsia" w:eastAsia="宋体" w:cs="宋体"/>
          <w:szCs w:val="24"/>
          <w:u w:val="single"/>
        </w:rPr>
        <w:t xml:space="preserve">                 </w:t>
      </w:r>
      <w:r>
        <w:rPr>
          <w:rFonts w:hint="eastAsia" w:eastAsia="宋体" w:cs="宋体"/>
          <w:szCs w:val="24"/>
        </w:rPr>
        <w:t xml:space="preserve">  传真号码：</w:t>
      </w:r>
      <w:r>
        <w:rPr>
          <w:rFonts w:hint="eastAsia" w:eastAsia="宋体" w:cs="宋体"/>
          <w:szCs w:val="24"/>
          <w:u w:val="single"/>
        </w:rPr>
        <w:t xml:space="preserve">                </w:t>
      </w:r>
    </w:p>
    <w:p>
      <w:pPr>
        <w:pStyle w:val="2"/>
        <w:tabs>
          <w:tab w:val="left" w:pos="426"/>
        </w:tabs>
        <w:spacing w:line="360" w:lineRule="auto"/>
        <w:ind w:firstLine="0"/>
        <w:contextualSpacing/>
        <w:rPr>
          <w:rFonts w:eastAsia="宋体"/>
          <w:szCs w:val="24"/>
        </w:rPr>
      </w:pPr>
      <w:r>
        <w:rPr>
          <w:rFonts w:hint="eastAsia" w:eastAsia="宋体"/>
          <w:szCs w:val="24"/>
        </w:rPr>
        <w:t>4、与本投标有关的一切往来通讯请寄：</w:t>
      </w:r>
    </w:p>
    <w:p>
      <w:pPr>
        <w:pStyle w:val="2"/>
        <w:spacing w:line="360" w:lineRule="auto"/>
        <w:ind w:left="480" w:firstLine="0"/>
        <w:contextualSpacing/>
        <w:rPr>
          <w:rFonts w:eastAsia="宋体"/>
          <w:szCs w:val="24"/>
          <w:u w:val="single"/>
        </w:rPr>
      </w:pPr>
      <w:r>
        <w:rPr>
          <w:rFonts w:hint="eastAsia" w:eastAsia="宋体"/>
          <w:szCs w:val="24"/>
        </w:rPr>
        <w:t>地址：</w:t>
      </w:r>
      <w:r>
        <w:rPr>
          <w:rFonts w:hint="eastAsia" w:eastAsia="宋体"/>
          <w:szCs w:val="24"/>
          <w:u w:val="single"/>
        </w:rPr>
        <w:t xml:space="preserve">                                 </w:t>
      </w:r>
    </w:p>
    <w:p>
      <w:pPr>
        <w:pStyle w:val="2"/>
        <w:spacing w:line="360" w:lineRule="auto"/>
        <w:ind w:left="480" w:firstLine="0"/>
        <w:contextualSpacing/>
        <w:rPr>
          <w:rFonts w:eastAsia="宋体"/>
          <w:szCs w:val="24"/>
          <w:u w:val="single"/>
        </w:rPr>
      </w:pPr>
      <w:r>
        <w:rPr>
          <w:rFonts w:hint="eastAsia" w:eastAsia="宋体"/>
          <w:szCs w:val="24"/>
        </w:rPr>
        <w:t>邮编：</w:t>
      </w:r>
      <w:r>
        <w:rPr>
          <w:rFonts w:hint="eastAsia" w:eastAsia="宋体"/>
          <w:szCs w:val="24"/>
          <w:u w:val="single"/>
        </w:rPr>
        <w:t xml:space="preserve">        </w:t>
      </w:r>
      <w:r>
        <w:rPr>
          <w:rFonts w:hint="eastAsia" w:eastAsia="宋体"/>
          <w:szCs w:val="24"/>
        </w:rPr>
        <w:t xml:space="preserve">    电话：</w:t>
      </w:r>
      <w:r>
        <w:rPr>
          <w:rFonts w:hint="eastAsia" w:eastAsia="宋体"/>
          <w:szCs w:val="24"/>
          <w:u w:val="single"/>
        </w:rPr>
        <w:t xml:space="preserve">         </w:t>
      </w:r>
      <w:r>
        <w:rPr>
          <w:rFonts w:hint="eastAsia" w:eastAsia="宋体"/>
          <w:szCs w:val="24"/>
        </w:rPr>
        <w:t xml:space="preserve">    传真：</w:t>
      </w:r>
      <w:r>
        <w:rPr>
          <w:rFonts w:hint="eastAsia" w:eastAsia="宋体"/>
          <w:szCs w:val="24"/>
          <w:u w:val="single"/>
        </w:rPr>
        <w:t xml:space="preserve">         </w:t>
      </w:r>
    </w:p>
    <w:p>
      <w:pPr>
        <w:pStyle w:val="2"/>
        <w:spacing w:line="360" w:lineRule="auto"/>
        <w:ind w:firstLine="0"/>
        <w:contextualSpacing/>
        <w:rPr>
          <w:rFonts w:eastAsia="宋体"/>
          <w:szCs w:val="24"/>
        </w:rPr>
      </w:pPr>
    </w:p>
    <w:p>
      <w:pPr>
        <w:pStyle w:val="2"/>
        <w:tabs>
          <w:tab w:val="left" w:pos="4185"/>
        </w:tabs>
        <w:spacing w:line="360" w:lineRule="auto"/>
        <w:ind w:firstLine="360" w:firstLineChars="150"/>
        <w:contextualSpacing/>
        <w:rPr>
          <w:rFonts w:hint="eastAsia" w:eastAsia="宋体"/>
          <w:szCs w:val="24"/>
        </w:rPr>
      </w:pPr>
      <w:r>
        <w:rPr>
          <w:rFonts w:hint="eastAsia" w:eastAsia="宋体"/>
          <w:szCs w:val="24"/>
        </w:rPr>
        <w:t>投标人（盖章）：</w:t>
      </w:r>
    </w:p>
    <w:p>
      <w:pPr>
        <w:pStyle w:val="2"/>
        <w:tabs>
          <w:tab w:val="left" w:pos="4185"/>
        </w:tabs>
        <w:spacing w:line="360" w:lineRule="auto"/>
        <w:ind w:firstLine="0"/>
        <w:contextualSpacing/>
        <w:rPr>
          <w:rFonts w:hint="eastAsia" w:eastAsia="宋体"/>
          <w:szCs w:val="24"/>
        </w:rPr>
      </w:pPr>
    </w:p>
    <w:p>
      <w:pPr>
        <w:pStyle w:val="2"/>
        <w:tabs>
          <w:tab w:val="left" w:pos="4185"/>
        </w:tabs>
        <w:spacing w:line="360" w:lineRule="auto"/>
        <w:ind w:firstLine="360" w:firstLineChars="150"/>
        <w:contextualSpacing/>
        <w:rPr>
          <w:rFonts w:eastAsia="宋体"/>
          <w:szCs w:val="24"/>
        </w:rPr>
      </w:pPr>
      <w:r>
        <w:rPr>
          <w:rFonts w:hint="eastAsia" w:eastAsia="宋体"/>
          <w:szCs w:val="24"/>
        </w:rPr>
        <w:t>法定代表人或授权代表人（签字或盖章）：</w:t>
      </w:r>
    </w:p>
    <w:p>
      <w:pPr>
        <w:pStyle w:val="2"/>
        <w:tabs>
          <w:tab w:val="left" w:pos="4841"/>
        </w:tabs>
        <w:spacing w:line="360" w:lineRule="auto"/>
        <w:ind w:firstLine="0"/>
        <w:contextualSpacing/>
        <w:rPr>
          <w:rFonts w:hint="eastAsia" w:eastAsia="宋体"/>
          <w:szCs w:val="24"/>
        </w:rPr>
      </w:pPr>
    </w:p>
    <w:p>
      <w:pPr>
        <w:pStyle w:val="2"/>
        <w:tabs>
          <w:tab w:val="left" w:pos="4841"/>
        </w:tabs>
        <w:spacing w:line="360" w:lineRule="auto"/>
        <w:ind w:firstLine="360" w:firstLineChars="150"/>
        <w:contextualSpacing/>
        <w:rPr>
          <w:rFonts w:eastAsia="宋体"/>
          <w:szCs w:val="24"/>
        </w:rPr>
        <w:sectPr>
          <w:pgSz w:w="11907" w:h="16840"/>
          <w:pgMar w:top="1134" w:right="1531" w:bottom="1134" w:left="1531" w:header="425" w:footer="709" w:gutter="0"/>
          <w:cols w:space="720" w:num="1"/>
          <w:docGrid w:linePitch="285" w:charSpace="0"/>
        </w:sectPr>
      </w:pPr>
      <w:r>
        <w:rPr>
          <w:rFonts w:hint="eastAsia" w:eastAsia="宋体"/>
          <w:szCs w:val="24"/>
        </w:rPr>
        <w:t>日期：</w:t>
      </w:r>
    </w:p>
    <w:p>
      <w:pPr>
        <w:pStyle w:val="4"/>
        <w:spacing w:before="0" w:after="0" w:line="240" w:lineRule="auto"/>
        <w:ind w:right="-567"/>
        <w:jc w:val="left"/>
        <w:rPr>
          <w:rFonts w:hint="eastAsia" w:ascii="Times New Roman" w:hAnsi="Times New Roman" w:eastAsia="宋体"/>
          <w:b w:val="0"/>
          <w:sz w:val="18"/>
          <w:szCs w:val="18"/>
        </w:rPr>
      </w:pPr>
      <w:bookmarkStart w:id="290" w:name="_Toc32101"/>
      <w:bookmarkStart w:id="291" w:name="_Toc97372566"/>
      <w:r>
        <w:rPr>
          <w:rFonts w:hint="eastAsia" w:ascii="Times New Roman" w:hAnsi="Times New Roman" w:eastAsia="宋体"/>
          <w:b w:val="0"/>
          <w:sz w:val="18"/>
          <w:szCs w:val="18"/>
        </w:rPr>
        <w:t>格式二 开标一览表</w:t>
      </w:r>
      <w:bookmarkEnd w:id="290"/>
      <w:bookmarkEnd w:id="291"/>
    </w:p>
    <w:p>
      <w:pPr>
        <w:rPr>
          <w:rFonts w:hint="eastAsia"/>
        </w:rPr>
      </w:pPr>
    </w:p>
    <w:p>
      <w:pPr>
        <w:pStyle w:val="3"/>
        <w:spacing w:after="120" w:afterLines="50" w:line="360" w:lineRule="exact"/>
        <w:rPr>
          <w:rFonts w:hint="eastAsia" w:ascii="Times New Roman"/>
          <w:sz w:val="32"/>
          <w:szCs w:val="32"/>
        </w:rPr>
      </w:pPr>
      <w:bookmarkStart w:id="292" w:name="_Toc13451"/>
      <w:bookmarkStart w:id="293" w:name="_Toc498429650"/>
      <w:bookmarkStart w:id="294" w:name="_Toc496003217"/>
      <w:bookmarkStart w:id="295" w:name="_Toc505353795"/>
      <w:r>
        <w:rPr>
          <w:rFonts w:hint="eastAsia" w:ascii="Times New Roman"/>
          <w:sz w:val="32"/>
          <w:szCs w:val="32"/>
        </w:rPr>
        <w:t>开标一览表</w:t>
      </w:r>
      <w:bookmarkEnd w:id="292"/>
      <w:bookmarkEnd w:id="293"/>
      <w:bookmarkEnd w:id="294"/>
      <w:bookmarkEnd w:id="295"/>
    </w:p>
    <w:p>
      <w:pPr>
        <w:rPr>
          <w:rFonts w:hint="eastAsia"/>
        </w:rPr>
      </w:pPr>
    </w:p>
    <w:p>
      <w:pPr>
        <w:pStyle w:val="2"/>
        <w:spacing w:line="360" w:lineRule="auto"/>
        <w:ind w:firstLine="0"/>
        <w:rPr>
          <w:rFonts w:eastAsia="宋体"/>
          <w:sz w:val="21"/>
          <w:szCs w:val="21"/>
        </w:rPr>
      </w:pPr>
      <w:r>
        <w:rPr>
          <w:rFonts w:hint="eastAsia" w:eastAsia="宋体"/>
          <w:sz w:val="21"/>
          <w:szCs w:val="21"/>
        </w:rPr>
        <w:t>项目名称：</w:t>
      </w:r>
      <w:r>
        <w:rPr>
          <w:rFonts w:hint="eastAsia" w:eastAsia="宋体"/>
          <w:sz w:val="21"/>
          <w:szCs w:val="21"/>
          <w:u w:val="single"/>
        </w:rPr>
        <w:t xml:space="preserve">                                  </w:t>
      </w:r>
      <w:r>
        <w:rPr>
          <w:rFonts w:hint="eastAsia" w:eastAsia="宋体"/>
          <w:sz w:val="21"/>
          <w:szCs w:val="21"/>
        </w:rPr>
        <w:t xml:space="preserve"> 项目编号：</w:t>
      </w:r>
      <w:r>
        <w:rPr>
          <w:rFonts w:hint="eastAsia" w:eastAsia="宋体"/>
          <w:sz w:val="21"/>
          <w:szCs w:val="21"/>
          <w:u w:val="single"/>
        </w:rPr>
        <w:t xml:space="preserve">                           </w:t>
      </w:r>
    </w:p>
    <w:tbl>
      <w:tblPr>
        <w:tblStyle w:val="44"/>
        <w:tblW w:w="94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16"/>
        <w:gridCol w:w="1702"/>
        <w:gridCol w:w="1419"/>
        <w:gridCol w:w="50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16" w:type="dxa"/>
            <w:tcBorders>
              <w:top w:val="single" w:color="auto" w:sz="4" w:space="0"/>
              <w:bottom w:val="single" w:color="auto" w:sz="4" w:space="0"/>
              <w:right w:val="single" w:color="auto" w:sz="4" w:space="0"/>
            </w:tcBorders>
            <w:noWrap w:val="0"/>
            <w:tcMar>
              <w:left w:w="0" w:type="dxa"/>
              <w:right w:w="0" w:type="dxa"/>
            </w:tcMar>
            <w:vAlign w:val="center"/>
          </w:tcPr>
          <w:p>
            <w:pPr>
              <w:pStyle w:val="2"/>
              <w:spacing w:line="360" w:lineRule="exact"/>
              <w:ind w:firstLine="0"/>
              <w:jc w:val="center"/>
              <w:rPr>
                <w:rFonts w:ascii="Times New Roman" w:hAnsi="Times New Roman" w:eastAsia="宋体" w:cs="宋体"/>
                <w:kern w:val="0"/>
                <w:szCs w:val="24"/>
              </w:rPr>
            </w:pPr>
            <w:r>
              <w:rPr>
                <w:rFonts w:hint="eastAsia" w:ascii="Times New Roman" w:hAnsi="Times New Roman" w:eastAsia="宋体" w:cs="宋体"/>
                <w:kern w:val="0"/>
                <w:szCs w:val="24"/>
              </w:rPr>
              <w:t>序号</w:t>
            </w:r>
          </w:p>
        </w:tc>
        <w:tc>
          <w:tcPr>
            <w:tcW w:w="1701" w:type="dxa"/>
            <w:tcBorders>
              <w:top w:val="single" w:color="auto" w:sz="4" w:space="0"/>
              <w:left w:val="single" w:color="auto" w:sz="4" w:space="0"/>
              <w:bottom w:val="single" w:color="auto" w:sz="4" w:space="0"/>
            </w:tcBorders>
            <w:noWrap w:val="0"/>
            <w:tcMar>
              <w:left w:w="0" w:type="dxa"/>
              <w:right w:w="0" w:type="dxa"/>
            </w:tcMar>
            <w:vAlign w:val="center"/>
          </w:tcPr>
          <w:p>
            <w:pPr>
              <w:tabs>
                <w:tab w:val="left" w:pos="426"/>
              </w:tabs>
              <w:spacing w:line="360" w:lineRule="exact"/>
              <w:contextualSpacing/>
              <w:jc w:val="center"/>
              <w:rPr>
                <w:rFonts w:hint="eastAsia" w:ascii="Times New Roman" w:hAnsi="Times New Roman" w:cs="宋体"/>
                <w:kern w:val="0"/>
                <w:sz w:val="24"/>
                <w:szCs w:val="24"/>
              </w:rPr>
            </w:pPr>
            <w:r>
              <w:rPr>
                <w:rFonts w:hint="eastAsia" w:ascii="Times New Roman" w:hAnsi="Times New Roman" w:cs="宋体"/>
                <w:kern w:val="0"/>
                <w:sz w:val="24"/>
                <w:szCs w:val="24"/>
              </w:rPr>
              <w:t>采购内容</w:t>
            </w:r>
          </w:p>
        </w:tc>
        <w:tc>
          <w:tcPr>
            <w:tcW w:w="1418" w:type="dxa"/>
            <w:tcBorders>
              <w:top w:val="single" w:color="auto" w:sz="4" w:space="0"/>
            </w:tcBorders>
            <w:noWrap w:val="0"/>
            <w:tcMar>
              <w:left w:w="0" w:type="dxa"/>
              <w:right w:w="0" w:type="dxa"/>
            </w:tcMar>
            <w:vAlign w:val="center"/>
          </w:tcPr>
          <w:p>
            <w:pPr>
              <w:pStyle w:val="2"/>
              <w:spacing w:line="360" w:lineRule="exact"/>
              <w:ind w:firstLine="0"/>
              <w:jc w:val="center"/>
              <w:rPr>
                <w:rFonts w:hint="eastAsia" w:ascii="Times New Roman" w:hAnsi="Times New Roman" w:eastAsia="宋体" w:cs="宋体"/>
                <w:kern w:val="0"/>
                <w:szCs w:val="24"/>
              </w:rPr>
            </w:pPr>
            <w:r>
              <w:rPr>
                <w:rFonts w:hint="eastAsia" w:ascii="Times New Roman" w:hAnsi="Times New Roman" w:eastAsia="宋体" w:cs="宋体"/>
                <w:kern w:val="0"/>
                <w:szCs w:val="24"/>
              </w:rPr>
              <w:t>数量</w:t>
            </w:r>
          </w:p>
        </w:tc>
        <w:tc>
          <w:tcPr>
            <w:tcW w:w="5057" w:type="dxa"/>
            <w:tcBorders>
              <w:top w:val="single" w:color="auto" w:sz="4" w:space="0"/>
              <w:left w:val="single" w:color="auto" w:sz="4" w:space="0"/>
            </w:tcBorders>
            <w:noWrap w:val="0"/>
            <w:vAlign w:val="center"/>
          </w:tcPr>
          <w:p>
            <w:pPr>
              <w:pStyle w:val="2"/>
              <w:spacing w:line="360" w:lineRule="exact"/>
              <w:ind w:firstLine="0"/>
              <w:jc w:val="center"/>
              <w:rPr>
                <w:rFonts w:hint="eastAsia" w:ascii="Times New Roman" w:hAnsi="Times New Roman" w:eastAsia="宋体" w:cs="宋体"/>
                <w:kern w:val="0"/>
                <w:szCs w:val="24"/>
              </w:rPr>
            </w:pPr>
            <w:r>
              <w:rPr>
                <w:rFonts w:hint="eastAsia" w:ascii="Times New Roman" w:hAnsi="Times New Roman" w:eastAsia="宋体" w:cs="宋体"/>
                <w:kern w:val="0"/>
                <w:szCs w:val="24"/>
              </w:rPr>
              <w:t>投标报价（元）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63" w:hRule="atLeast"/>
          <w:jc w:val="center"/>
        </w:trPr>
        <w:tc>
          <w:tcPr>
            <w:tcW w:w="1316" w:type="dxa"/>
            <w:tcBorders>
              <w:right w:val="single" w:color="auto" w:sz="4" w:space="0"/>
            </w:tcBorders>
            <w:noWrap w:val="0"/>
            <w:tcMar>
              <w:left w:w="0" w:type="dxa"/>
              <w:right w:w="0" w:type="dxa"/>
            </w:tcMar>
            <w:vAlign w:val="center"/>
          </w:tcPr>
          <w:p>
            <w:pPr>
              <w:pStyle w:val="2"/>
              <w:spacing w:line="360" w:lineRule="exact"/>
              <w:ind w:firstLine="0"/>
              <w:jc w:val="center"/>
              <w:rPr>
                <w:rFonts w:ascii="Times New Roman" w:hAnsi="Times New Roman" w:eastAsia="宋体" w:cs="宋体"/>
                <w:kern w:val="0"/>
                <w:szCs w:val="24"/>
              </w:rPr>
            </w:pPr>
            <w:r>
              <w:rPr>
                <w:rFonts w:ascii="Times New Roman" w:hAnsi="Times New Roman" w:eastAsia="宋体" w:cs="宋体"/>
                <w:kern w:val="0"/>
                <w:szCs w:val="24"/>
              </w:rPr>
              <w:t>1</w:t>
            </w:r>
          </w:p>
        </w:tc>
        <w:tc>
          <w:tcPr>
            <w:tcW w:w="1701" w:type="dxa"/>
            <w:tcBorders>
              <w:left w:val="single" w:color="auto" w:sz="4" w:space="0"/>
            </w:tcBorders>
            <w:noWrap w:val="0"/>
            <w:vAlign w:val="center"/>
          </w:tcPr>
          <w:p>
            <w:pPr>
              <w:tabs>
                <w:tab w:val="left" w:pos="426"/>
              </w:tabs>
              <w:spacing w:line="360" w:lineRule="exact"/>
              <w:contextualSpacing/>
              <w:jc w:val="center"/>
              <w:rPr>
                <w:rFonts w:hint="eastAsia" w:ascii="Times New Roman" w:hAnsi="Times New Roman"/>
                <w:sz w:val="24"/>
                <w:szCs w:val="24"/>
              </w:rPr>
            </w:pPr>
            <w:r>
              <w:rPr>
                <w:rFonts w:hint="eastAsia" w:ascii="Times New Roman" w:hAnsi="Times New Roman"/>
                <w:sz w:val="24"/>
                <w:szCs w:val="24"/>
              </w:rPr>
              <w:t>办案功能区管控系统、办案设备采购及安装，具体详见第五部分“采购内容及要求”</w:t>
            </w:r>
          </w:p>
        </w:tc>
        <w:tc>
          <w:tcPr>
            <w:tcW w:w="1418" w:type="dxa"/>
            <w:noWrap w:val="0"/>
            <w:tcMar>
              <w:left w:w="0" w:type="dxa"/>
              <w:right w:w="113" w:type="dxa"/>
            </w:tcMar>
            <w:vAlign w:val="center"/>
          </w:tcPr>
          <w:p>
            <w:pPr>
              <w:pStyle w:val="2"/>
              <w:spacing w:line="360" w:lineRule="exact"/>
              <w:ind w:firstLine="0"/>
              <w:jc w:val="center"/>
              <w:rPr>
                <w:rFonts w:ascii="Times New Roman" w:hAnsi="Times New Roman" w:eastAsia="宋体" w:cs="宋体"/>
                <w:kern w:val="0"/>
                <w:szCs w:val="24"/>
              </w:rPr>
            </w:pPr>
            <w:r>
              <w:rPr>
                <w:rFonts w:hint="eastAsia" w:ascii="Times New Roman" w:hAnsi="Times New Roman" w:eastAsia="宋体" w:cs="宋体"/>
                <w:kern w:val="0"/>
                <w:szCs w:val="24"/>
              </w:rPr>
              <w:t>一批</w:t>
            </w:r>
          </w:p>
        </w:tc>
        <w:tc>
          <w:tcPr>
            <w:tcW w:w="5057" w:type="dxa"/>
            <w:tcBorders>
              <w:left w:val="single" w:color="auto" w:sz="4" w:space="0"/>
            </w:tcBorders>
            <w:noWrap w:val="0"/>
            <w:vAlign w:val="center"/>
          </w:tcPr>
          <w:p>
            <w:pPr>
              <w:pStyle w:val="2"/>
              <w:spacing w:line="360" w:lineRule="exact"/>
              <w:ind w:firstLine="0"/>
              <w:jc w:val="center"/>
              <w:rPr>
                <w:rFonts w:ascii="Times New Roman" w:hAnsi="Times New Roman"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53" w:hRule="atLeast"/>
          <w:jc w:val="center"/>
        </w:trPr>
        <w:tc>
          <w:tcPr>
            <w:tcW w:w="3017" w:type="dxa"/>
            <w:gridSpan w:val="2"/>
            <w:vMerge w:val="restart"/>
            <w:noWrap w:val="0"/>
            <w:tcMar>
              <w:left w:w="0" w:type="dxa"/>
              <w:right w:w="0" w:type="dxa"/>
            </w:tcMar>
            <w:vAlign w:val="center"/>
          </w:tcPr>
          <w:p>
            <w:pPr>
              <w:pStyle w:val="2"/>
              <w:spacing w:line="360" w:lineRule="exact"/>
              <w:ind w:firstLine="0"/>
              <w:jc w:val="center"/>
              <w:rPr>
                <w:rFonts w:ascii="Times New Roman" w:hAnsi="Times New Roman" w:eastAsia="宋体"/>
                <w:szCs w:val="24"/>
              </w:rPr>
            </w:pPr>
            <w:r>
              <w:rPr>
                <w:rFonts w:hint="eastAsia" w:ascii="Times New Roman" w:hAnsi="Times New Roman" w:eastAsia="宋体"/>
                <w:szCs w:val="24"/>
              </w:rPr>
              <w:t>投标总价合计（元）</w:t>
            </w:r>
          </w:p>
        </w:tc>
        <w:tc>
          <w:tcPr>
            <w:tcW w:w="1418" w:type="dxa"/>
            <w:tcBorders>
              <w:right w:val="single" w:color="auto" w:sz="4" w:space="0"/>
            </w:tcBorders>
            <w:noWrap w:val="0"/>
            <w:vAlign w:val="center"/>
          </w:tcPr>
          <w:p>
            <w:pPr>
              <w:pStyle w:val="2"/>
              <w:spacing w:line="360" w:lineRule="exact"/>
              <w:ind w:firstLine="0"/>
              <w:jc w:val="center"/>
              <w:rPr>
                <w:rFonts w:ascii="Times New Roman" w:hAnsi="Times New Roman" w:eastAsia="宋体"/>
                <w:szCs w:val="24"/>
              </w:rPr>
            </w:pPr>
            <w:r>
              <w:rPr>
                <w:rFonts w:hint="eastAsia" w:ascii="Times New Roman" w:hAnsi="Times New Roman" w:eastAsia="宋体"/>
                <w:szCs w:val="24"/>
              </w:rPr>
              <w:t>大写</w:t>
            </w:r>
          </w:p>
        </w:tc>
        <w:tc>
          <w:tcPr>
            <w:tcW w:w="5057" w:type="dxa"/>
            <w:tcBorders>
              <w:left w:val="single" w:color="auto" w:sz="4" w:space="0"/>
            </w:tcBorders>
            <w:noWrap w:val="0"/>
            <w:vAlign w:val="center"/>
          </w:tcPr>
          <w:p>
            <w:pPr>
              <w:pStyle w:val="2"/>
              <w:spacing w:line="360" w:lineRule="exact"/>
              <w:ind w:firstLine="0"/>
              <w:jc w:val="center"/>
              <w:rPr>
                <w:rFonts w:eastAsia="宋体"/>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53" w:hRule="atLeast"/>
          <w:jc w:val="center"/>
        </w:trPr>
        <w:tc>
          <w:tcPr>
            <w:tcW w:w="3017" w:type="dxa"/>
            <w:gridSpan w:val="2"/>
            <w:vMerge w:val="continue"/>
            <w:noWrap w:val="0"/>
            <w:tcMar>
              <w:left w:w="0" w:type="dxa"/>
              <w:right w:w="0" w:type="dxa"/>
            </w:tcMar>
            <w:vAlign w:val="center"/>
          </w:tcPr>
          <w:p>
            <w:pPr>
              <w:pStyle w:val="2"/>
              <w:spacing w:line="360" w:lineRule="exact"/>
              <w:ind w:firstLine="0"/>
              <w:jc w:val="center"/>
              <w:rPr>
                <w:rFonts w:hint="eastAsia" w:eastAsia="宋体"/>
                <w:szCs w:val="24"/>
              </w:rPr>
            </w:pPr>
          </w:p>
        </w:tc>
        <w:tc>
          <w:tcPr>
            <w:tcW w:w="1418" w:type="dxa"/>
            <w:tcBorders>
              <w:right w:val="single" w:color="auto" w:sz="4" w:space="0"/>
            </w:tcBorders>
            <w:noWrap w:val="0"/>
            <w:vAlign w:val="center"/>
          </w:tcPr>
          <w:p>
            <w:pPr>
              <w:pStyle w:val="2"/>
              <w:spacing w:line="360" w:lineRule="exact"/>
              <w:ind w:firstLine="0"/>
              <w:jc w:val="center"/>
              <w:rPr>
                <w:rFonts w:eastAsia="宋体"/>
                <w:szCs w:val="24"/>
              </w:rPr>
            </w:pPr>
            <w:r>
              <w:rPr>
                <w:rFonts w:hint="eastAsia" w:eastAsia="宋体"/>
                <w:szCs w:val="24"/>
              </w:rPr>
              <w:t>小写</w:t>
            </w:r>
          </w:p>
        </w:tc>
        <w:tc>
          <w:tcPr>
            <w:tcW w:w="5057" w:type="dxa"/>
            <w:tcBorders>
              <w:left w:val="single" w:color="auto" w:sz="4" w:space="0"/>
            </w:tcBorders>
            <w:noWrap w:val="0"/>
            <w:vAlign w:val="center"/>
          </w:tcPr>
          <w:p>
            <w:pPr>
              <w:pStyle w:val="2"/>
              <w:spacing w:line="360" w:lineRule="exact"/>
              <w:ind w:firstLine="0"/>
              <w:jc w:val="center"/>
              <w:rPr>
                <w:rFonts w:eastAsia="宋体"/>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65" w:hRule="atLeast"/>
          <w:jc w:val="center"/>
        </w:trPr>
        <w:tc>
          <w:tcPr>
            <w:tcW w:w="1316" w:type="dxa"/>
            <w:tcBorders>
              <w:top w:val="single" w:color="auto" w:sz="4" w:space="0"/>
            </w:tcBorders>
            <w:noWrap w:val="0"/>
            <w:tcMar>
              <w:left w:w="0" w:type="dxa"/>
              <w:right w:w="0" w:type="dxa"/>
            </w:tcMar>
            <w:vAlign w:val="center"/>
          </w:tcPr>
          <w:p>
            <w:pPr>
              <w:pStyle w:val="2"/>
              <w:spacing w:line="360" w:lineRule="exact"/>
              <w:ind w:left="-123" w:firstLine="0"/>
              <w:jc w:val="center"/>
              <w:rPr>
                <w:rFonts w:ascii="Times New Roman" w:hAnsi="Times New Roman" w:eastAsia="宋体"/>
                <w:szCs w:val="24"/>
              </w:rPr>
            </w:pPr>
            <w:r>
              <w:rPr>
                <w:rFonts w:hint="eastAsia" w:ascii="Times New Roman" w:hAnsi="Times New Roman" w:eastAsia="宋体"/>
                <w:szCs w:val="24"/>
              </w:rPr>
              <w:t>投标声明</w:t>
            </w:r>
          </w:p>
        </w:tc>
        <w:tc>
          <w:tcPr>
            <w:tcW w:w="8176" w:type="dxa"/>
            <w:gridSpan w:val="3"/>
            <w:tcBorders>
              <w:top w:val="single" w:color="auto" w:sz="4" w:space="0"/>
            </w:tcBorders>
            <w:noWrap w:val="0"/>
            <w:vAlign w:val="center"/>
          </w:tcPr>
          <w:p>
            <w:pPr>
              <w:widowControl/>
              <w:spacing w:line="360" w:lineRule="exact"/>
              <w:ind w:left="103" w:right="100"/>
              <w:jc w:val="center"/>
              <w:rPr>
                <w:rFonts w:ascii="Times New Roman" w:hAnsi="Times New Roman"/>
                <w:sz w:val="24"/>
                <w:szCs w:val="24"/>
              </w:rPr>
            </w:pPr>
          </w:p>
        </w:tc>
      </w:tr>
    </w:tbl>
    <w:p>
      <w:pPr>
        <w:pStyle w:val="2"/>
        <w:ind w:right="420" w:firstLine="478" w:firstLineChars="228"/>
        <w:rPr>
          <w:rFonts w:eastAsia="宋体"/>
          <w:sz w:val="21"/>
        </w:rPr>
      </w:pPr>
    </w:p>
    <w:p>
      <w:pPr>
        <w:pStyle w:val="2"/>
        <w:ind w:right="420"/>
        <w:jc w:val="left"/>
        <w:rPr>
          <w:rFonts w:eastAsia="宋体"/>
          <w:szCs w:val="24"/>
        </w:rPr>
      </w:pPr>
      <w:r>
        <w:rPr>
          <w:rFonts w:hint="eastAsia" w:eastAsia="宋体"/>
          <w:szCs w:val="24"/>
        </w:rPr>
        <w:t>投标人（盖章）：</w:t>
      </w:r>
    </w:p>
    <w:p>
      <w:pPr>
        <w:pStyle w:val="2"/>
        <w:ind w:right="420" w:firstLineChars="200"/>
        <w:jc w:val="left"/>
        <w:rPr>
          <w:rFonts w:hint="eastAsia" w:eastAsia="宋体"/>
          <w:szCs w:val="24"/>
        </w:rPr>
      </w:pPr>
    </w:p>
    <w:p>
      <w:pPr>
        <w:pStyle w:val="2"/>
        <w:ind w:right="420" w:firstLineChars="200"/>
        <w:jc w:val="left"/>
        <w:rPr>
          <w:rFonts w:eastAsia="宋体"/>
          <w:szCs w:val="24"/>
        </w:rPr>
      </w:pPr>
      <w:r>
        <w:rPr>
          <w:rFonts w:hint="eastAsia" w:eastAsia="宋体"/>
          <w:szCs w:val="24"/>
        </w:rPr>
        <w:t>法定代表人或授权代表人（签字或盖章）：</w:t>
      </w:r>
    </w:p>
    <w:p>
      <w:pPr>
        <w:pStyle w:val="2"/>
        <w:ind w:right="420" w:firstLineChars="200"/>
        <w:jc w:val="left"/>
        <w:rPr>
          <w:rFonts w:eastAsia="宋体"/>
          <w:szCs w:val="24"/>
        </w:rPr>
      </w:pPr>
    </w:p>
    <w:p>
      <w:pPr>
        <w:pStyle w:val="2"/>
        <w:ind w:right="420" w:firstLineChars="200"/>
        <w:jc w:val="left"/>
        <w:rPr>
          <w:rFonts w:eastAsia="宋体"/>
          <w:b/>
          <w:sz w:val="18"/>
          <w:szCs w:val="18"/>
        </w:rPr>
      </w:pPr>
      <w:r>
        <w:rPr>
          <w:rFonts w:hint="eastAsia" w:eastAsia="宋体"/>
          <w:szCs w:val="24"/>
        </w:rPr>
        <w:t>日期：</w:t>
      </w:r>
      <w:bookmarkStart w:id="296" w:name="_Toc97372569"/>
      <w:r>
        <w:rPr>
          <w:rFonts w:eastAsia="宋体"/>
          <w:b/>
          <w:sz w:val="18"/>
          <w:szCs w:val="18"/>
        </w:rPr>
        <w:br w:type="page"/>
      </w:r>
      <w:r>
        <w:rPr>
          <w:rFonts w:hint="eastAsia" w:eastAsia="宋体"/>
          <w:sz w:val="18"/>
          <w:szCs w:val="18"/>
        </w:rPr>
        <w:t>格式三 分项</w:t>
      </w:r>
      <w:r>
        <w:rPr>
          <w:rFonts w:eastAsia="宋体"/>
          <w:sz w:val="18"/>
          <w:szCs w:val="18"/>
        </w:rPr>
        <w:t>报价</w:t>
      </w:r>
      <w:r>
        <w:rPr>
          <w:rFonts w:hint="eastAsia" w:eastAsia="宋体"/>
          <w:sz w:val="18"/>
          <w:szCs w:val="18"/>
        </w:rPr>
        <w:t>表</w:t>
      </w:r>
    </w:p>
    <w:p>
      <w:pPr>
        <w:pStyle w:val="3"/>
        <w:spacing w:after="120" w:afterLines="50" w:line="360" w:lineRule="exact"/>
        <w:rPr>
          <w:rFonts w:hint="eastAsia" w:ascii="Times New Roman"/>
          <w:sz w:val="32"/>
          <w:szCs w:val="32"/>
        </w:rPr>
      </w:pPr>
      <w:bookmarkStart w:id="297" w:name="_Toc27962"/>
      <w:r>
        <w:rPr>
          <w:rFonts w:hint="eastAsia" w:ascii="Times New Roman"/>
          <w:sz w:val="32"/>
          <w:szCs w:val="32"/>
        </w:rPr>
        <w:t>分项</w:t>
      </w:r>
      <w:r>
        <w:rPr>
          <w:rFonts w:ascii="Times New Roman"/>
          <w:sz w:val="32"/>
          <w:szCs w:val="32"/>
        </w:rPr>
        <w:t>报价</w:t>
      </w:r>
      <w:r>
        <w:rPr>
          <w:rFonts w:hint="eastAsia" w:ascii="Times New Roman"/>
          <w:sz w:val="32"/>
          <w:szCs w:val="32"/>
        </w:rPr>
        <w:t>表</w:t>
      </w:r>
      <w:bookmarkEnd w:id="297"/>
    </w:p>
    <w:p>
      <w:pPr>
        <w:rPr>
          <w:rFonts w:hint="eastAsia"/>
        </w:rPr>
      </w:pPr>
    </w:p>
    <w:p>
      <w:pPr>
        <w:spacing w:line="360" w:lineRule="auto"/>
        <w:ind w:left="141" w:leftChars="67"/>
        <w:rPr>
          <w:szCs w:val="21"/>
          <w:u w:val="single"/>
        </w:rPr>
      </w:pPr>
      <w:r>
        <w:rPr>
          <w:rFonts w:hint="eastAsia"/>
          <w:szCs w:val="21"/>
        </w:rPr>
        <w:t>项目名称：</w:t>
      </w:r>
      <w:r>
        <w:rPr>
          <w:rFonts w:hint="eastAsia"/>
          <w:szCs w:val="21"/>
          <w:u w:val="single"/>
        </w:rPr>
        <w:t xml:space="preserve">                                  </w:t>
      </w:r>
      <w:r>
        <w:rPr>
          <w:rFonts w:hint="eastAsia"/>
          <w:szCs w:val="21"/>
        </w:rPr>
        <w:t xml:space="preserve"> 项目编号：</w:t>
      </w:r>
      <w:r>
        <w:rPr>
          <w:rFonts w:hint="eastAsia"/>
          <w:szCs w:val="21"/>
          <w:u w:val="single"/>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301"/>
        <w:gridCol w:w="1559"/>
        <w:gridCol w:w="1985"/>
        <w:gridCol w:w="99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序号</w:t>
            </w:r>
          </w:p>
        </w:tc>
        <w:tc>
          <w:tcPr>
            <w:tcW w:w="2301"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货物名称</w:t>
            </w:r>
          </w:p>
        </w:tc>
        <w:tc>
          <w:tcPr>
            <w:tcW w:w="1559"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单位及数量</w:t>
            </w:r>
          </w:p>
        </w:tc>
        <w:tc>
          <w:tcPr>
            <w:tcW w:w="1985"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品牌型号、产地</w:t>
            </w:r>
          </w:p>
        </w:tc>
        <w:tc>
          <w:tcPr>
            <w:tcW w:w="99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单价</w:t>
            </w:r>
          </w:p>
        </w:tc>
        <w:tc>
          <w:tcPr>
            <w:tcW w:w="120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0" w:type="dxa"/>
            <w:noWrap w:val="0"/>
            <w:vAlign w:val="center"/>
          </w:tcPr>
          <w:p>
            <w:pPr>
              <w:adjustRightInd w:val="0"/>
              <w:snapToGrid w:val="0"/>
              <w:jc w:val="center"/>
              <w:rPr>
                <w:rFonts w:hint="eastAsia" w:ascii="宋体" w:hAnsi="宋体" w:cs="宋体"/>
                <w:szCs w:val="21"/>
              </w:rPr>
            </w:pPr>
          </w:p>
        </w:tc>
        <w:tc>
          <w:tcPr>
            <w:tcW w:w="2301" w:type="dxa"/>
            <w:noWrap w:val="0"/>
            <w:vAlign w:val="center"/>
          </w:tcPr>
          <w:p>
            <w:pPr>
              <w:adjustRightInd w:val="0"/>
              <w:snapToGrid w:val="0"/>
              <w:jc w:val="center"/>
              <w:rPr>
                <w:rFonts w:hint="eastAsia" w:ascii="宋体" w:hAnsi="宋体" w:cs="宋体"/>
                <w:szCs w:val="21"/>
              </w:rPr>
            </w:pPr>
          </w:p>
        </w:tc>
        <w:tc>
          <w:tcPr>
            <w:tcW w:w="1559" w:type="dxa"/>
            <w:noWrap w:val="0"/>
            <w:vAlign w:val="center"/>
          </w:tcPr>
          <w:p>
            <w:pPr>
              <w:adjustRightInd w:val="0"/>
              <w:snapToGrid w:val="0"/>
              <w:jc w:val="center"/>
              <w:rPr>
                <w:rFonts w:hint="eastAsia" w:ascii="宋体" w:hAnsi="宋体" w:cs="宋体"/>
                <w:szCs w:val="21"/>
              </w:rPr>
            </w:pPr>
          </w:p>
        </w:tc>
        <w:tc>
          <w:tcPr>
            <w:tcW w:w="1985" w:type="dxa"/>
            <w:noWrap w:val="0"/>
            <w:vAlign w:val="center"/>
          </w:tcPr>
          <w:p>
            <w:pPr>
              <w:adjustRightInd w:val="0"/>
              <w:snapToGrid w:val="0"/>
              <w:jc w:val="center"/>
              <w:rPr>
                <w:rFonts w:hint="eastAsia" w:ascii="宋体" w:hAnsi="宋体" w:cs="宋体"/>
                <w:szCs w:val="21"/>
              </w:rPr>
            </w:pPr>
          </w:p>
        </w:tc>
        <w:tc>
          <w:tcPr>
            <w:tcW w:w="992" w:type="dxa"/>
            <w:noWrap w:val="0"/>
            <w:vAlign w:val="center"/>
          </w:tcPr>
          <w:p>
            <w:pPr>
              <w:adjustRightInd w:val="0"/>
              <w:snapToGrid w:val="0"/>
              <w:jc w:val="center"/>
              <w:rPr>
                <w:rFonts w:hint="eastAsia" w:ascii="宋体" w:hAnsi="宋体" w:cs="宋体"/>
                <w:szCs w:val="21"/>
              </w:rPr>
            </w:pPr>
          </w:p>
        </w:tc>
        <w:tc>
          <w:tcPr>
            <w:tcW w:w="1202"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67" w:type="dxa"/>
            <w:gridSpan w:val="5"/>
            <w:noWrap w:val="0"/>
            <w:vAlign w:val="center"/>
          </w:tcPr>
          <w:p>
            <w:pPr>
              <w:adjustRightInd w:val="0"/>
              <w:snapToGrid w:val="0"/>
              <w:jc w:val="center"/>
              <w:rPr>
                <w:rFonts w:hint="eastAsia" w:ascii="宋体" w:hAnsi="宋体" w:cs="宋体"/>
                <w:szCs w:val="21"/>
              </w:rPr>
            </w:pPr>
            <w:r>
              <w:rPr>
                <w:rFonts w:hint="eastAsia" w:ascii="宋体" w:hAnsi="宋体" w:cs="宋体"/>
                <w:szCs w:val="21"/>
              </w:rPr>
              <w:t>投标总价合计</w:t>
            </w:r>
          </w:p>
        </w:tc>
        <w:tc>
          <w:tcPr>
            <w:tcW w:w="1202" w:type="dxa"/>
            <w:noWrap w:val="0"/>
            <w:vAlign w:val="center"/>
          </w:tcPr>
          <w:p>
            <w:pPr>
              <w:adjustRightInd w:val="0"/>
              <w:snapToGrid w:val="0"/>
              <w:jc w:val="center"/>
              <w:rPr>
                <w:rFonts w:hint="eastAsia" w:ascii="宋体" w:hAnsi="宋体" w:cs="宋体"/>
                <w:szCs w:val="21"/>
              </w:rPr>
            </w:pPr>
          </w:p>
        </w:tc>
      </w:tr>
    </w:tbl>
    <w:p>
      <w:pPr>
        <w:spacing w:before="120" w:beforeLines="50" w:line="360" w:lineRule="auto"/>
        <w:ind w:left="141" w:leftChars="67"/>
      </w:pPr>
      <w:r>
        <w:rPr>
          <w:rFonts w:hint="eastAsia"/>
        </w:rPr>
        <w:t>注：本表</w:t>
      </w:r>
      <w:r>
        <w:t>中</w:t>
      </w:r>
      <w:r>
        <w:rPr>
          <w:rFonts w:hint="eastAsia"/>
        </w:rPr>
        <w:t>“</w:t>
      </w:r>
      <w:r>
        <w:rPr>
          <w:rFonts w:hint="eastAsia"/>
          <w:szCs w:val="21"/>
        </w:rPr>
        <w:t>合计</w:t>
      </w:r>
      <w:r>
        <w:rPr>
          <w:rFonts w:hint="eastAsia"/>
        </w:rPr>
        <w:t>”与《开标</w:t>
      </w:r>
      <w:r>
        <w:t>一览表</w:t>
      </w:r>
      <w:r>
        <w:rPr>
          <w:rFonts w:hint="eastAsia"/>
        </w:rPr>
        <w:t>》中“投标报价”一致</w:t>
      </w:r>
      <w:r>
        <w:t>。</w:t>
      </w:r>
    </w:p>
    <w:p>
      <w:pPr>
        <w:spacing w:before="120" w:beforeLines="50" w:line="360" w:lineRule="auto"/>
        <w:ind w:left="141" w:leftChars="67"/>
      </w:pPr>
    </w:p>
    <w:p>
      <w:pPr>
        <w:spacing w:before="120" w:beforeLines="50" w:line="360" w:lineRule="auto"/>
        <w:ind w:left="141" w:leftChars="67"/>
      </w:pPr>
    </w:p>
    <w:p>
      <w:pPr>
        <w:pStyle w:val="2"/>
        <w:ind w:right="420" w:firstLine="0"/>
        <w:jc w:val="left"/>
        <w:rPr>
          <w:rFonts w:eastAsia="宋体"/>
          <w:szCs w:val="24"/>
        </w:rPr>
      </w:pPr>
      <w:r>
        <w:rPr>
          <w:rFonts w:hint="eastAsia" w:eastAsia="宋体"/>
          <w:szCs w:val="24"/>
        </w:rPr>
        <w:t>投标人（盖章）：</w:t>
      </w:r>
    </w:p>
    <w:p>
      <w:pPr>
        <w:pStyle w:val="2"/>
        <w:ind w:right="420" w:firstLine="0"/>
        <w:jc w:val="left"/>
        <w:rPr>
          <w:rFonts w:hint="eastAsia" w:eastAsia="宋体"/>
          <w:szCs w:val="24"/>
        </w:rPr>
      </w:pPr>
    </w:p>
    <w:p>
      <w:pPr>
        <w:pStyle w:val="2"/>
        <w:ind w:right="420" w:firstLine="0"/>
        <w:jc w:val="left"/>
        <w:rPr>
          <w:rFonts w:eastAsia="宋体"/>
          <w:szCs w:val="24"/>
        </w:rPr>
      </w:pPr>
      <w:r>
        <w:rPr>
          <w:rFonts w:hint="eastAsia" w:eastAsia="宋体"/>
          <w:szCs w:val="24"/>
        </w:rPr>
        <w:t>法定代表人或授权代表人（签字或盖章）：</w:t>
      </w:r>
    </w:p>
    <w:p>
      <w:pPr>
        <w:pStyle w:val="2"/>
        <w:ind w:right="420" w:firstLine="0"/>
        <w:jc w:val="left"/>
        <w:rPr>
          <w:rFonts w:eastAsia="宋体"/>
          <w:szCs w:val="24"/>
        </w:rPr>
      </w:pPr>
    </w:p>
    <w:p>
      <w:pPr>
        <w:pStyle w:val="2"/>
        <w:ind w:right="420" w:firstLine="0"/>
        <w:jc w:val="left"/>
        <w:rPr>
          <w:rFonts w:hint="eastAsia"/>
        </w:rPr>
      </w:pPr>
      <w:r>
        <w:rPr>
          <w:rFonts w:hint="eastAsia" w:eastAsia="宋体"/>
          <w:szCs w:val="24"/>
        </w:rPr>
        <w:t>日期：</w:t>
      </w:r>
    </w:p>
    <w:p>
      <w:pPr>
        <w:pStyle w:val="2"/>
        <w:ind w:right="420" w:firstLine="0"/>
        <w:jc w:val="left"/>
        <w:rPr>
          <w:rFonts w:hint="eastAsia" w:eastAsia="宋体"/>
          <w:b/>
          <w:sz w:val="18"/>
          <w:szCs w:val="18"/>
        </w:rPr>
      </w:pPr>
      <w:r>
        <w:rPr>
          <w:rFonts w:eastAsia="宋体"/>
          <w:sz w:val="18"/>
          <w:szCs w:val="18"/>
        </w:rPr>
        <w:br w:type="page"/>
      </w:r>
      <w:r>
        <w:rPr>
          <w:rFonts w:hint="eastAsia" w:eastAsia="宋体"/>
          <w:sz w:val="18"/>
          <w:szCs w:val="18"/>
        </w:rPr>
        <w:t>格式</w:t>
      </w:r>
      <w:bookmarkEnd w:id="296"/>
      <w:r>
        <w:rPr>
          <w:rFonts w:hint="eastAsia" w:eastAsia="宋体"/>
          <w:sz w:val="18"/>
          <w:szCs w:val="18"/>
        </w:rPr>
        <w:t>四 合格投标人承诺函</w:t>
      </w:r>
    </w:p>
    <w:p>
      <w:pPr>
        <w:spacing w:line="360" w:lineRule="auto"/>
        <w:jc w:val="center"/>
        <w:outlineLvl w:val="1"/>
        <w:rPr>
          <w:rFonts w:hint="eastAsia"/>
          <w:b/>
          <w:bCs/>
          <w:sz w:val="24"/>
        </w:rPr>
      </w:pPr>
    </w:p>
    <w:p>
      <w:pPr>
        <w:spacing w:line="360" w:lineRule="auto"/>
        <w:jc w:val="center"/>
        <w:outlineLvl w:val="1"/>
        <w:rPr>
          <w:rFonts w:hint="eastAsia"/>
          <w:b/>
          <w:bCs/>
          <w:sz w:val="24"/>
        </w:rPr>
      </w:pPr>
      <w:bookmarkStart w:id="298" w:name="_Toc19189"/>
      <w:r>
        <w:rPr>
          <w:rFonts w:hint="eastAsia"/>
          <w:b/>
          <w:bCs/>
          <w:sz w:val="24"/>
        </w:rPr>
        <w:t>合格投标人承诺函</w:t>
      </w:r>
      <w:bookmarkEnd w:id="298"/>
    </w:p>
    <w:p>
      <w:pPr>
        <w:spacing w:line="360" w:lineRule="auto"/>
        <w:jc w:val="center"/>
        <w:outlineLvl w:val="1"/>
        <w:rPr>
          <w:rFonts w:hint="eastAsia"/>
          <w:b/>
          <w:bCs/>
          <w:szCs w:val="21"/>
        </w:rPr>
      </w:pPr>
    </w:p>
    <w:p>
      <w:pPr>
        <w:spacing w:line="360" w:lineRule="auto"/>
        <w:contextualSpacing/>
        <w:rPr>
          <w:rFonts w:hint="eastAsia" w:cs="宋体"/>
          <w:b/>
          <w:sz w:val="24"/>
          <w:szCs w:val="24"/>
        </w:rPr>
      </w:pPr>
      <w:r>
        <w:rPr>
          <w:rFonts w:hint="eastAsia" w:cs="宋体"/>
          <w:b/>
          <w:sz w:val="24"/>
          <w:szCs w:val="24"/>
        </w:rPr>
        <w:t>致：中冠工程管理咨询有限公司</w:t>
      </w:r>
    </w:p>
    <w:p>
      <w:pPr>
        <w:adjustRightInd w:val="0"/>
        <w:spacing w:line="360" w:lineRule="auto"/>
        <w:ind w:firstLine="482" w:firstLineChars="200"/>
        <w:contextualSpacing/>
        <w:textAlignment w:val="baseline"/>
        <w:rPr>
          <w:rFonts w:hint="eastAsia" w:cs="宋体"/>
          <w:b/>
          <w:sz w:val="24"/>
          <w:szCs w:val="24"/>
        </w:rPr>
      </w:pPr>
      <w:bookmarkStart w:id="299" w:name="_Toc399148312"/>
      <w:r>
        <w:rPr>
          <w:rFonts w:hint="eastAsia" w:cs="宋体"/>
          <w:b/>
          <w:sz w:val="24"/>
          <w:szCs w:val="24"/>
        </w:rPr>
        <w:t>我方郑重承诺</w:t>
      </w:r>
      <w:bookmarkEnd w:id="299"/>
      <w:r>
        <w:rPr>
          <w:rFonts w:hint="eastAsia" w:cs="宋体"/>
          <w:b/>
          <w:sz w:val="24"/>
          <w:szCs w:val="24"/>
        </w:rPr>
        <w:t>：</w:t>
      </w:r>
    </w:p>
    <w:p>
      <w:pPr>
        <w:spacing w:line="360" w:lineRule="auto"/>
        <w:ind w:firstLine="480" w:firstLineChars="200"/>
        <w:contextualSpacing/>
        <w:rPr>
          <w:rFonts w:hint="eastAsia" w:cs="宋体"/>
          <w:bCs/>
          <w:sz w:val="24"/>
          <w:szCs w:val="24"/>
        </w:rPr>
      </w:pPr>
      <w:r>
        <w:rPr>
          <w:rFonts w:hint="eastAsia" w:cs="宋体"/>
          <w:bCs/>
          <w:sz w:val="24"/>
          <w:szCs w:val="24"/>
        </w:rPr>
        <w:t>（一）</w:t>
      </w:r>
      <w:r>
        <w:rPr>
          <w:rFonts w:hint="eastAsia" w:cs="宋体"/>
          <w:kern w:val="0"/>
          <w:sz w:val="24"/>
          <w:szCs w:val="24"/>
          <w:lang w:bidi="ar"/>
        </w:rPr>
        <w:t>具有履行合同所必需的设备和专业技术能力；</w:t>
      </w:r>
    </w:p>
    <w:p>
      <w:pPr>
        <w:spacing w:line="360" w:lineRule="auto"/>
        <w:ind w:firstLine="480" w:firstLineChars="200"/>
        <w:contextualSpacing/>
        <w:rPr>
          <w:rFonts w:hint="eastAsia" w:cs="宋体"/>
          <w:bCs/>
          <w:sz w:val="24"/>
          <w:szCs w:val="24"/>
        </w:rPr>
      </w:pPr>
      <w:r>
        <w:rPr>
          <w:rFonts w:hint="eastAsia" w:cs="宋体"/>
          <w:bCs/>
          <w:sz w:val="24"/>
          <w:szCs w:val="24"/>
        </w:rPr>
        <w:t>（二）</w:t>
      </w:r>
      <w:r>
        <w:rPr>
          <w:rFonts w:hint="eastAsia" w:cs="宋体"/>
          <w:kern w:val="0"/>
          <w:sz w:val="24"/>
          <w:szCs w:val="24"/>
          <w:lang w:bidi="ar"/>
        </w:rPr>
        <w:t>参加政府采购活动前3年内在经营活动中没有重大违法记录；</w:t>
      </w:r>
    </w:p>
    <w:p>
      <w:pPr>
        <w:spacing w:line="360" w:lineRule="auto"/>
        <w:ind w:firstLine="480" w:firstLineChars="200"/>
        <w:contextualSpacing/>
        <w:rPr>
          <w:rFonts w:hint="eastAsia" w:cs="Arial"/>
          <w:bCs/>
          <w:sz w:val="24"/>
          <w:szCs w:val="24"/>
        </w:rPr>
      </w:pPr>
      <w:r>
        <w:rPr>
          <w:rFonts w:hint="eastAsia" w:cs="宋体"/>
          <w:bCs/>
          <w:sz w:val="24"/>
          <w:szCs w:val="24"/>
        </w:rPr>
        <w:t>（三）我单位符合以下条件：</w:t>
      </w:r>
      <w:r>
        <w:rPr>
          <w:rFonts w:hint="eastAsia" w:cs="Arial"/>
          <w:bCs/>
          <w:sz w:val="24"/>
          <w:szCs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2"/>
        <w:rPr>
          <w:rFonts w:hint="default" w:eastAsia="方正书宋简体"/>
          <w:lang w:val="en-US" w:eastAsia="zh-CN"/>
        </w:rPr>
      </w:pPr>
      <w:r>
        <w:rPr>
          <w:rFonts w:hint="eastAsia" w:cs="Arial"/>
          <w:bCs/>
          <w:sz w:val="24"/>
          <w:szCs w:val="24"/>
          <w:lang w:eastAsia="zh-CN"/>
        </w:rPr>
        <w:t>（</w:t>
      </w:r>
      <w:r>
        <w:rPr>
          <w:rFonts w:hint="eastAsia" w:cs="Arial"/>
          <w:bCs/>
          <w:sz w:val="24"/>
          <w:szCs w:val="24"/>
          <w:lang w:val="en-US" w:eastAsia="zh-CN"/>
        </w:rPr>
        <w:t>四）</w:t>
      </w:r>
      <w:r>
        <w:rPr>
          <w:rFonts w:hint="eastAsia" w:cs="宋体"/>
          <w:sz w:val="24"/>
          <w:szCs w:val="24"/>
        </w:rPr>
        <w:t>我单位及我单位法定代表人均无行贿犯罪记录</w:t>
      </w:r>
    </w:p>
    <w:p>
      <w:pPr>
        <w:spacing w:line="360" w:lineRule="auto"/>
        <w:ind w:firstLine="590" w:firstLineChars="245"/>
        <w:contextualSpacing/>
        <w:outlineLvl w:val="1"/>
        <w:rPr>
          <w:rFonts w:hint="eastAsia" w:cs="宋体"/>
          <w:b/>
          <w:sz w:val="24"/>
          <w:szCs w:val="24"/>
        </w:rPr>
      </w:pPr>
      <w:bookmarkStart w:id="300" w:name="_Toc29660"/>
    </w:p>
    <w:p>
      <w:pPr>
        <w:spacing w:line="360" w:lineRule="auto"/>
        <w:ind w:firstLine="590" w:firstLineChars="245"/>
        <w:contextualSpacing/>
        <w:outlineLvl w:val="1"/>
        <w:rPr>
          <w:rFonts w:hint="eastAsia"/>
          <w:b/>
          <w:bCs/>
          <w:sz w:val="24"/>
          <w:szCs w:val="24"/>
        </w:rPr>
      </w:pPr>
      <w:r>
        <w:rPr>
          <w:rFonts w:hint="eastAsia" w:cs="宋体"/>
          <w:b/>
          <w:sz w:val="24"/>
          <w:szCs w:val="24"/>
        </w:rPr>
        <w:t>特此承诺。</w:t>
      </w:r>
      <w:bookmarkEnd w:id="300"/>
    </w:p>
    <w:p>
      <w:pPr>
        <w:spacing w:line="360" w:lineRule="auto"/>
        <w:contextualSpacing/>
        <w:outlineLvl w:val="1"/>
        <w:rPr>
          <w:rFonts w:hint="eastAsia"/>
          <w:b/>
          <w:bCs/>
          <w:sz w:val="24"/>
          <w:szCs w:val="24"/>
        </w:rPr>
      </w:pPr>
    </w:p>
    <w:p>
      <w:pPr>
        <w:spacing w:line="360" w:lineRule="auto"/>
        <w:contextualSpacing/>
        <w:outlineLvl w:val="1"/>
        <w:rPr>
          <w:rFonts w:hint="eastAsia"/>
          <w:sz w:val="24"/>
          <w:szCs w:val="24"/>
        </w:rPr>
      </w:pPr>
    </w:p>
    <w:p>
      <w:pPr>
        <w:spacing w:line="360" w:lineRule="auto"/>
        <w:contextualSpacing/>
        <w:outlineLvl w:val="1"/>
        <w:rPr>
          <w:rFonts w:hint="eastAsia"/>
          <w:sz w:val="24"/>
          <w:szCs w:val="24"/>
        </w:rPr>
      </w:pPr>
    </w:p>
    <w:p>
      <w:pPr>
        <w:spacing w:line="360" w:lineRule="auto"/>
        <w:contextualSpacing/>
        <w:outlineLvl w:val="1"/>
        <w:rPr>
          <w:rFonts w:hint="eastAsia"/>
          <w:sz w:val="24"/>
          <w:szCs w:val="24"/>
        </w:rPr>
      </w:pPr>
    </w:p>
    <w:p>
      <w:pPr>
        <w:spacing w:line="360" w:lineRule="auto"/>
        <w:contextualSpacing/>
        <w:outlineLvl w:val="1"/>
        <w:rPr>
          <w:rFonts w:hint="eastAsia"/>
          <w:sz w:val="24"/>
          <w:szCs w:val="24"/>
        </w:rPr>
      </w:pPr>
      <w:bookmarkStart w:id="301" w:name="_Toc26253"/>
      <w:r>
        <w:rPr>
          <w:rFonts w:hint="eastAsia"/>
          <w:sz w:val="24"/>
          <w:szCs w:val="24"/>
        </w:rPr>
        <w:t>投标人（盖章）：</w:t>
      </w:r>
      <w:bookmarkEnd w:id="301"/>
    </w:p>
    <w:p>
      <w:pPr>
        <w:spacing w:line="360" w:lineRule="auto"/>
        <w:contextualSpacing/>
        <w:outlineLvl w:val="1"/>
        <w:rPr>
          <w:rFonts w:hint="eastAsia"/>
          <w:sz w:val="24"/>
          <w:szCs w:val="24"/>
        </w:rPr>
      </w:pPr>
    </w:p>
    <w:p>
      <w:pPr>
        <w:spacing w:line="360" w:lineRule="auto"/>
        <w:contextualSpacing/>
        <w:outlineLvl w:val="1"/>
        <w:rPr>
          <w:rFonts w:hint="eastAsia"/>
          <w:sz w:val="24"/>
          <w:szCs w:val="24"/>
        </w:rPr>
      </w:pPr>
      <w:bookmarkStart w:id="302" w:name="_Toc27454"/>
      <w:r>
        <w:rPr>
          <w:rFonts w:hint="eastAsia"/>
          <w:sz w:val="24"/>
          <w:szCs w:val="24"/>
        </w:rPr>
        <w:t>法定代表人或授权代表人（签字或盖章）：</w:t>
      </w:r>
      <w:bookmarkEnd w:id="302"/>
    </w:p>
    <w:p>
      <w:pPr>
        <w:spacing w:line="360" w:lineRule="auto"/>
        <w:contextualSpacing/>
        <w:outlineLvl w:val="1"/>
        <w:rPr>
          <w:rFonts w:hint="eastAsia"/>
          <w:sz w:val="24"/>
          <w:szCs w:val="24"/>
        </w:rPr>
      </w:pPr>
    </w:p>
    <w:p>
      <w:pPr>
        <w:spacing w:line="360" w:lineRule="auto"/>
        <w:contextualSpacing/>
        <w:outlineLvl w:val="1"/>
        <w:rPr>
          <w:rFonts w:hint="eastAsia"/>
          <w:b/>
          <w:sz w:val="18"/>
          <w:szCs w:val="18"/>
        </w:rPr>
      </w:pPr>
      <w:bookmarkStart w:id="303" w:name="_Toc6162"/>
      <w:r>
        <w:rPr>
          <w:rFonts w:hint="eastAsia"/>
          <w:sz w:val="24"/>
          <w:szCs w:val="24"/>
        </w:rPr>
        <w:t>日期：</w:t>
      </w:r>
      <w:r>
        <w:rPr>
          <w:b/>
          <w:sz w:val="18"/>
          <w:szCs w:val="18"/>
        </w:rPr>
        <w:t xml:space="preserve"> </w:t>
      </w:r>
      <w:r>
        <w:rPr>
          <w:b/>
          <w:sz w:val="18"/>
          <w:szCs w:val="18"/>
        </w:rPr>
        <w:br w:type="page"/>
      </w:r>
      <w:r>
        <w:rPr>
          <w:rStyle w:val="61"/>
          <w:rFonts w:hint="eastAsia" w:ascii="Times New Roman" w:hAnsi="Times New Roman" w:eastAsia="宋体"/>
          <w:b w:val="0"/>
          <w:sz w:val="18"/>
          <w:szCs w:val="18"/>
        </w:rPr>
        <w:t>格式五  技术、商务条款偏离表</w:t>
      </w:r>
      <w:bookmarkEnd w:id="303"/>
    </w:p>
    <w:p/>
    <w:p>
      <w:pPr>
        <w:rPr>
          <w:rFonts w:hint="eastAsia"/>
        </w:rPr>
      </w:pPr>
    </w:p>
    <w:p/>
    <w:p>
      <w:pPr>
        <w:pStyle w:val="3"/>
        <w:spacing w:after="120" w:afterLines="50" w:line="360" w:lineRule="exact"/>
        <w:rPr>
          <w:rFonts w:hint="eastAsia" w:ascii="Times New Roman"/>
          <w:sz w:val="32"/>
          <w:szCs w:val="32"/>
        </w:rPr>
      </w:pPr>
      <w:bookmarkStart w:id="304" w:name="_Toc505353797"/>
      <w:bookmarkStart w:id="305" w:name="_Toc11597"/>
      <w:bookmarkStart w:id="306" w:name="_Toc496003220"/>
      <w:bookmarkStart w:id="307" w:name="_Toc498429653"/>
      <w:r>
        <w:rPr>
          <w:rFonts w:hint="eastAsia" w:ascii="Times New Roman"/>
          <w:sz w:val="32"/>
          <w:szCs w:val="32"/>
        </w:rPr>
        <w:t>技术、商务条款偏离表</w:t>
      </w:r>
      <w:bookmarkEnd w:id="304"/>
      <w:bookmarkEnd w:id="305"/>
      <w:bookmarkEnd w:id="306"/>
      <w:bookmarkEnd w:id="307"/>
    </w:p>
    <w:p/>
    <w:p>
      <w:pPr>
        <w:pStyle w:val="2"/>
        <w:tabs>
          <w:tab w:val="right" w:pos="8847"/>
        </w:tabs>
        <w:ind w:firstLine="0"/>
        <w:rPr>
          <w:rFonts w:eastAsia="宋体"/>
          <w:szCs w:val="24"/>
          <w:u w:val="single"/>
        </w:rPr>
      </w:pPr>
      <w:r>
        <w:rPr>
          <w:rFonts w:hint="eastAsia" w:eastAsia="宋体"/>
          <w:szCs w:val="24"/>
        </w:rPr>
        <w:t>项目编号：                        项目名称：</w:t>
      </w:r>
    </w:p>
    <w:tbl>
      <w:tblPr>
        <w:tblStyle w:val="44"/>
        <w:tblW w:w="921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985"/>
        <w:gridCol w:w="2528"/>
        <w:gridCol w:w="99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wBefore w:w="0" w:type="auto"/>
          <w:wAfter w:w="0" w:type="auto"/>
          <w:trHeight w:val="780" w:hRule="atLeast"/>
          <w:jc w:val="center"/>
        </w:trPr>
        <w:tc>
          <w:tcPr>
            <w:tcW w:w="709" w:type="dxa"/>
            <w:tcBorders>
              <w:top w:val="single" w:color="auto" w:sz="4" w:space="0"/>
              <w:bottom w:val="single" w:color="auto" w:sz="4" w:space="0"/>
            </w:tcBorders>
            <w:noWrap w:val="0"/>
            <w:tcMar>
              <w:left w:w="0" w:type="dxa"/>
              <w:right w:w="0" w:type="dxa"/>
            </w:tcMar>
            <w:vAlign w:val="center"/>
          </w:tcPr>
          <w:p>
            <w:pPr>
              <w:pStyle w:val="2"/>
              <w:spacing w:line="340" w:lineRule="exact"/>
              <w:ind w:firstLine="0"/>
              <w:contextualSpacing/>
              <w:jc w:val="center"/>
              <w:rPr>
                <w:rFonts w:hint="eastAsia" w:ascii="宋体" w:hAnsi="宋体" w:eastAsia="宋体" w:cs="宋体"/>
                <w:sz w:val="21"/>
                <w:szCs w:val="21"/>
              </w:rPr>
            </w:pPr>
            <w:r>
              <w:rPr>
                <w:rFonts w:hint="eastAsia" w:ascii="宋体" w:hAnsi="宋体" w:eastAsia="宋体" w:cs="宋体"/>
                <w:sz w:val="21"/>
                <w:szCs w:val="21"/>
              </w:rPr>
              <w:t>序号</w:t>
            </w:r>
          </w:p>
        </w:tc>
        <w:tc>
          <w:tcPr>
            <w:tcW w:w="4985" w:type="dxa"/>
            <w:tcBorders>
              <w:top w:val="single" w:color="auto" w:sz="4" w:space="0"/>
              <w:bottom w:val="single" w:color="auto" w:sz="4" w:space="0"/>
            </w:tcBorders>
            <w:noWrap w:val="0"/>
            <w:tcMar>
              <w:left w:w="0" w:type="dxa"/>
              <w:right w:w="0" w:type="dxa"/>
            </w:tcMar>
            <w:vAlign w:val="center"/>
          </w:tcPr>
          <w:p>
            <w:pPr>
              <w:pStyle w:val="2"/>
              <w:spacing w:line="340" w:lineRule="exact"/>
              <w:ind w:firstLine="0"/>
              <w:contextualSpacing/>
              <w:jc w:val="center"/>
              <w:rPr>
                <w:rFonts w:hint="eastAsia" w:ascii="宋体" w:hAnsi="宋体" w:eastAsia="宋体" w:cs="宋体"/>
                <w:sz w:val="21"/>
                <w:szCs w:val="21"/>
              </w:rPr>
            </w:pPr>
            <w:r>
              <w:rPr>
                <w:rFonts w:hint="eastAsia" w:ascii="宋体" w:hAnsi="宋体" w:eastAsia="宋体" w:cs="宋体"/>
                <w:sz w:val="21"/>
                <w:szCs w:val="21"/>
              </w:rPr>
              <w:t>《采购文件》服务要求</w:t>
            </w:r>
          </w:p>
        </w:tc>
        <w:tc>
          <w:tcPr>
            <w:tcW w:w="2528" w:type="dxa"/>
            <w:tcBorders>
              <w:top w:val="single" w:color="auto" w:sz="4" w:space="0"/>
              <w:bottom w:val="single" w:color="auto" w:sz="4" w:space="0"/>
            </w:tcBorders>
            <w:noWrap w:val="0"/>
            <w:tcMar>
              <w:left w:w="0" w:type="dxa"/>
              <w:right w:w="0" w:type="dxa"/>
            </w:tcMar>
            <w:vAlign w:val="center"/>
          </w:tcPr>
          <w:p>
            <w:pPr>
              <w:pStyle w:val="2"/>
              <w:spacing w:line="340" w:lineRule="exact"/>
              <w:ind w:firstLine="0"/>
              <w:contextualSpacing/>
              <w:jc w:val="center"/>
              <w:rPr>
                <w:rFonts w:hint="eastAsia" w:ascii="宋体" w:hAnsi="宋体" w:eastAsia="宋体" w:cs="宋体"/>
                <w:sz w:val="21"/>
                <w:szCs w:val="21"/>
              </w:rPr>
            </w:pPr>
            <w:r>
              <w:rPr>
                <w:rFonts w:hint="eastAsia" w:ascii="宋体" w:hAnsi="宋体" w:eastAsia="宋体" w:cs="宋体"/>
                <w:sz w:val="21"/>
                <w:szCs w:val="21"/>
              </w:rPr>
              <w:t>《投标文件》服务响应</w:t>
            </w:r>
          </w:p>
        </w:tc>
        <w:tc>
          <w:tcPr>
            <w:tcW w:w="992" w:type="dxa"/>
            <w:tcBorders>
              <w:top w:val="single" w:color="auto" w:sz="4" w:space="0"/>
              <w:bottom w:val="single" w:color="auto" w:sz="4" w:space="0"/>
            </w:tcBorders>
            <w:noWrap w:val="0"/>
            <w:tcMar>
              <w:left w:w="0" w:type="dxa"/>
              <w:right w:w="0" w:type="dxa"/>
            </w:tcMar>
            <w:vAlign w:val="center"/>
          </w:tcPr>
          <w:p>
            <w:pPr>
              <w:pStyle w:val="2"/>
              <w:spacing w:line="340" w:lineRule="exact"/>
              <w:ind w:firstLine="0"/>
              <w:contextualSpacing/>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378" w:hRule="atLeast"/>
          <w:jc w:val="center"/>
        </w:trPr>
        <w:tc>
          <w:tcPr>
            <w:tcW w:w="709"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cs="宋体"/>
                <w:szCs w:val="21"/>
              </w:rPr>
            </w:pPr>
            <w:r>
              <w:rPr>
                <w:rFonts w:hint="eastAsia" w:ascii="宋体" w:hAnsi="宋体" w:cs="宋体"/>
                <w:szCs w:val="21"/>
              </w:rPr>
              <w:t>1</w:t>
            </w:r>
          </w:p>
        </w:tc>
        <w:tc>
          <w:tcPr>
            <w:tcW w:w="4985" w:type="dxa"/>
            <w:tcBorders>
              <w:top w:val="single" w:color="auto" w:sz="4" w:space="0"/>
            </w:tcBorders>
            <w:noWrap w:val="0"/>
            <w:tcMar>
              <w:left w:w="0" w:type="dxa"/>
              <w:right w:w="0" w:type="dxa"/>
            </w:tcMar>
            <w:vAlign w:val="center"/>
          </w:tcPr>
          <w:p>
            <w:pPr>
              <w:spacing w:line="340" w:lineRule="exact"/>
              <w:contextualSpacing/>
              <w:rPr>
                <w:rFonts w:hint="eastAsia" w:ascii="宋体" w:hAnsi="宋体" w:cs="宋体"/>
                <w:szCs w:val="21"/>
              </w:rPr>
            </w:pPr>
            <w:r>
              <w:rPr>
                <w:rFonts w:hint="eastAsia" w:ascii="宋体" w:hAnsi="宋体" w:cs="宋体"/>
                <w:szCs w:val="21"/>
              </w:rPr>
              <w:t>供货地点：采购人指定地点。</w:t>
            </w:r>
          </w:p>
        </w:tc>
        <w:tc>
          <w:tcPr>
            <w:tcW w:w="2528"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cs="宋体"/>
                <w:szCs w:val="21"/>
              </w:rPr>
            </w:pPr>
          </w:p>
        </w:tc>
        <w:tc>
          <w:tcPr>
            <w:tcW w:w="992"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445"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szCs w:val="21"/>
              </w:rPr>
            </w:pPr>
            <w:r>
              <w:rPr>
                <w:rFonts w:hint="eastAsia" w:ascii="宋体" w:hAnsi="宋体" w:cs="宋体"/>
                <w:szCs w:val="21"/>
              </w:rPr>
              <w:t>2</w:t>
            </w:r>
          </w:p>
        </w:tc>
        <w:tc>
          <w:tcPr>
            <w:tcW w:w="4985" w:type="dxa"/>
            <w:noWrap w:val="0"/>
            <w:tcMar>
              <w:left w:w="0" w:type="dxa"/>
              <w:right w:w="0" w:type="dxa"/>
            </w:tcMar>
            <w:vAlign w:val="center"/>
          </w:tcPr>
          <w:p>
            <w:pPr>
              <w:spacing w:line="340" w:lineRule="exact"/>
              <w:contextualSpacing/>
              <w:rPr>
                <w:rFonts w:hint="eastAsia" w:ascii="宋体" w:hAnsi="宋体" w:cs="宋体"/>
                <w:szCs w:val="21"/>
              </w:rPr>
            </w:pPr>
            <w:r>
              <w:rPr>
                <w:rFonts w:hint="eastAsia" w:ascii="宋体" w:hAnsi="宋体" w:cs="宋体"/>
                <w:szCs w:val="21"/>
              </w:rPr>
              <w:t>供货期限：在合同签订后，且现场满足智能设备进场条件后30日历天内供货并调试完成。</w:t>
            </w:r>
          </w:p>
        </w:tc>
        <w:tc>
          <w:tcPr>
            <w:tcW w:w="2528" w:type="dxa"/>
            <w:noWrap w:val="0"/>
            <w:tcMar>
              <w:left w:w="0" w:type="dxa"/>
              <w:right w:w="0" w:type="dxa"/>
            </w:tcMar>
            <w:vAlign w:val="center"/>
          </w:tcPr>
          <w:p>
            <w:pPr>
              <w:spacing w:line="340" w:lineRule="exact"/>
              <w:contextualSpacing/>
              <w:jc w:val="center"/>
              <w:rPr>
                <w:rFonts w:hint="eastAsia" w:ascii="宋体" w:hAnsi="宋体" w:cs="宋体"/>
                <w:szCs w:val="21"/>
              </w:rPr>
            </w:pPr>
          </w:p>
        </w:tc>
        <w:tc>
          <w:tcPr>
            <w:tcW w:w="992" w:type="dxa"/>
            <w:noWrap w:val="0"/>
            <w:tcMar>
              <w:left w:w="0" w:type="dxa"/>
              <w:right w:w="0" w:type="dxa"/>
            </w:tcMar>
            <w:vAlign w:val="center"/>
          </w:tcPr>
          <w:p>
            <w:pPr>
              <w:spacing w:line="340" w:lineRule="exact"/>
              <w:contextualSpacing/>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397"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szCs w:val="21"/>
              </w:rPr>
            </w:pPr>
            <w:r>
              <w:rPr>
                <w:rFonts w:hint="eastAsia" w:ascii="宋体" w:hAnsi="宋体" w:cs="宋体"/>
                <w:szCs w:val="21"/>
              </w:rPr>
              <w:t>3</w:t>
            </w:r>
          </w:p>
        </w:tc>
        <w:tc>
          <w:tcPr>
            <w:tcW w:w="4985" w:type="dxa"/>
            <w:noWrap w:val="0"/>
            <w:tcMar>
              <w:left w:w="0" w:type="dxa"/>
              <w:right w:w="0" w:type="dxa"/>
            </w:tcMar>
            <w:vAlign w:val="center"/>
          </w:tcPr>
          <w:p>
            <w:pPr>
              <w:spacing w:line="340" w:lineRule="exact"/>
              <w:contextualSpacing/>
              <w:rPr>
                <w:rFonts w:hint="eastAsia" w:ascii="宋体" w:hAnsi="宋体" w:cs="宋体"/>
                <w:szCs w:val="21"/>
              </w:rPr>
            </w:pPr>
            <w:r>
              <w:rPr>
                <w:rFonts w:hint="eastAsia" w:ascii="宋体" w:hAnsi="宋体" w:cs="宋体"/>
                <w:szCs w:val="21"/>
              </w:rPr>
              <w:t>履约保证金：中标人于合同签订前向采购人缴纳合同总价5%的履约保证金，履约完成后转为质保金，待所有货物质保期满且无质量索赔后无息退还。</w:t>
            </w:r>
          </w:p>
        </w:tc>
        <w:tc>
          <w:tcPr>
            <w:tcW w:w="2528" w:type="dxa"/>
            <w:noWrap w:val="0"/>
            <w:tcMar>
              <w:left w:w="0" w:type="dxa"/>
              <w:right w:w="0" w:type="dxa"/>
            </w:tcMar>
            <w:vAlign w:val="center"/>
          </w:tcPr>
          <w:p>
            <w:pPr>
              <w:spacing w:line="340" w:lineRule="exact"/>
              <w:contextualSpacing/>
              <w:jc w:val="center"/>
              <w:rPr>
                <w:rFonts w:hint="eastAsia" w:ascii="宋体" w:hAnsi="宋体" w:cs="宋体"/>
                <w:szCs w:val="21"/>
              </w:rPr>
            </w:pPr>
          </w:p>
        </w:tc>
        <w:tc>
          <w:tcPr>
            <w:tcW w:w="992" w:type="dxa"/>
            <w:noWrap w:val="0"/>
            <w:tcMar>
              <w:left w:w="0" w:type="dxa"/>
              <w:right w:w="0" w:type="dxa"/>
            </w:tcMar>
            <w:vAlign w:val="center"/>
          </w:tcPr>
          <w:p>
            <w:pPr>
              <w:spacing w:line="340" w:lineRule="exact"/>
              <w:contextualSpacing/>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378"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szCs w:val="21"/>
              </w:rPr>
            </w:pPr>
            <w:r>
              <w:rPr>
                <w:rFonts w:hint="eastAsia" w:ascii="宋体" w:hAnsi="宋体" w:cs="宋体"/>
                <w:szCs w:val="21"/>
              </w:rPr>
              <w:t>4</w:t>
            </w:r>
          </w:p>
        </w:tc>
        <w:tc>
          <w:tcPr>
            <w:tcW w:w="4985" w:type="dxa"/>
            <w:noWrap w:val="0"/>
            <w:tcMar>
              <w:left w:w="0" w:type="dxa"/>
              <w:right w:w="0" w:type="dxa"/>
            </w:tcMar>
            <w:vAlign w:val="center"/>
          </w:tcPr>
          <w:p>
            <w:pPr>
              <w:tabs>
                <w:tab w:val="left" w:pos="851"/>
              </w:tabs>
              <w:spacing w:line="340" w:lineRule="exact"/>
              <w:contextualSpacing/>
              <w:rPr>
                <w:rFonts w:hint="eastAsia" w:ascii="宋体" w:hAnsi="宋体" w:cs="宋体"/>
                <w:szCs w:val="21"/>
              </w:rPr>
            </w:pPr>
            <w:r>
              <w:rPr>
                <w:rFonts w:hint="eastAsia" w:ascii="宋体" w:hAnsi="宋体" w:cs="宋体"/>
                <w:szCs w:val="21"/>
              </w:rPr>
              <w:t>付款方式：采购人在合同签订后10个工作日内，向中标单位支付合同总价的30%作为首付款, 在货物安装调试完毕且验收合格后10个工作日内支付合同总价的70%，履约保证金转为质保金，待所有货物质保期满且无质量索赔后无息退还。</w:t>
            </w:r>
          </w:p>
        </w:tc>
        <w:tc>
          <w:tcPr>
            <w:tcW w:w="2528" w:type="dxa"/>
            <w:noWrap w:val="0"/>
            <w:tcMar>
              <w:left w:w="0" w:type="dxa"/>
              <w:right w:w="0" w:type="dxa"/>
            </w:tcMar>
            <w:vAlign w:val="center"/>
          </w:tcPr>
          <w:p>
            <w:pPr>
              <w:spacing w:line="340" w:lineRule="exact"/>
              <w:contextualSpacing/>
              <w:jc w:val="center"/>
              <w:rPr>
                <w:rFonts w:hint="eastAsia" w:ascii="宋体" w:hAnsi="宋体" w:cs="宋体"/>
                <w:szCs w:val="21"/>
              </w:rPr>
            </w:pPr>
          </w:p>
        </w:tc>
        <w:tc>
          <w:tcPr>
            <w:tcW w:w="992" w:type="dxa"/>
            <w:noWrap w:val="0"/>
            <w:tcMar>
              <w:left w:w="0" w:type="dxa"/>
              <w:right w:w="0" w:type="dxa"/>
            </w:tcMar>
            <w:vAlign w:val="center"/>
          </w:tcPr>
          <w:p>
            <w:pPr>
              <w:spacing w:line="340" w:lineRule="exact"/>
              <w:contextualSpacing/>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322"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szCs w:val="21"/>
              </w:rPr>
            </w:pPr>
            <w:r>
              <w:rPr>
                <w:rFonts w:hint="eastAsia" w:ascii="宋体" w:hAnsi="宋体" w:cs="宋体"/>
                <w:szCs w:val="21"/>
              </w:rPr>
              <w:t>5</w:t>
            </w:r>
          </w:p>
        </w:tc>
        <w:tc>
          <w:tcPr>
            <w:tcW w:w="4985" w:type="dxa"/>
            <w:noWrap w:val="0"/>
            <w:tcMar>
              <w:left w:w="0" w:type="dxa"/>
              <w:right w:w="0" w:type="dxa"/>
            </w:tcMar>
            <w:vAlign w:val="center"/>
          </w:tcPr>
          <w:p>
            <w:pPr>
              <w:spacing w:line="340" w:lineRule="exact"/>
              <w:contextualSpacing/>
              <w:rPr>
                <w:rFonts w:hint="eastAsia" w:ascii="宋体" w:hAnsi="宋体" w:cs="宋体"/>
                <w:szCs w:val="21"/>
              </w:rPr>
            </w:pPr>
            <w:r>
              <w:rPr>
                <w:rFonts w:hint="eastAsia" w:ascii="宋体" w:hAnsi="宋体" w:cs="宋体"/>
                <w:szCs w:val="21"/>
              </w:rPr>
              <w:t>质保期：硬件质保期为验收合格之日起一年，软件质保期为验收合格之日起二年。</w:t>
            </w:r>
          </w:p>
        </w:tc>
        <w:tc>
          <w:tcPr>
            <w:tcW w:w="2528" w:type="dxa"/>
            <w:noWrap w:val="0"/>
            <w:tcMar>
              <w:left w:w="0" w:type="dxa"/>
              <w:right w:w="0" w:type="dxa"/>
            </w:tcMar>
            <w:vAlign w:val="center"/>
          </w:tcPr>
          <w:p>
            <w:pPr>
              <w:spacing w:line="340" w:lineRule="exact"/>
              <w:contextualSpacing/>
              <w:jc w:val="center"/>
              <w:rPr>
                <w:rFonts w:hint="eastAsia" w:ascii="宋体" w:hAnsi="宋体" w:cs="宋体"/>
                <w:szCs w:val="21"/>
              </w:rPr>
            </w:pPr>
          </w:p>
        </w:tc>
        <w:tc>
          <w:tcPr>
            <w:tcW w:w="992" w:type="dxa"/>
            <w:noWrap w:val="0"/>
            <w:tcMar>
              <w:left w:w="0" w:type="dxa"/>
              <w:right w:w="0" w:type="dxa"/>
            </w:tcMar>
            <w:vAlign w:val="center"/>
          </w:tcPr>
          <w:p>
            <w:pPr>
              <w:spacing w:line="340" w:lineRule="exact"/>
              <w:contextualSpacing/>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501"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szCs w:val="21"/>
              </w:rPr>
            </w:pPr>
            <w:r>
              <w:rPr>
                <w:rFonts w:hint="eastAsia" w:ascii="宋体" w:hAnsi="宋体" w:cs="宋体"/>
                <w:szCs w:val="21"/>
              </w:rPr>
              <w:t>6</w:t>
            </w:r>
          </w:p>
        </w:tc>
        <w:tc>
          <w:tcPr>
            <w:tcW w:w="4985" w:type="dxa"/>
            <w:noWrap w:val="0"/>
            <w:tcMar>
              <w:left w:w="0" w:type="dxa"/>
              <w:right w:w="0" w:type="dxa"/>
            </w:tcMar>
            <w:vAlign w:val="center"/>
          </w:tcPr>
          <w:p>
            <w:pPr>
              <w:pStyle w:val="234"/>
              <w:jc w:val="left"/>
              <w:rPr>
                <w:rFonts w:hint="eastAsia"/>
                <w:szCs w:val="21"/>
              </w:rPr>
            </w:pPr>
            <w:r>
              <w:rPr>
                <w:rFonts w:hint="eastAsia"/>
                <w:szCs w:val="21"/>
              </w:rPr>
              <w:t>……</w:t>
            </w:r>
          </w:p>
        </w:tc>
        <w:tc>
          <w:tcPr>
            <w:tcW w:w="2528" w:type="dxa"/>
            <w:noWrap w:val="0"/>
            <w:tcMar>
              <w:left w:w="0" w:type="dxa"/>
              <w:right w:w="0" w:type="dxa"/>
            </w:tcMar>
            <w:vAlign w:val="center"/>
          </w:tcPr>
          <w:p>
            <w:pPr>
              <w:spacing w:line="340" w:lineRule="exact"/>
              <w:contextualSpacing/>
              <w:jc w:val="center"/>
              <w:rPr>
                <w:rFonts w:hint="eastAsia" w:ascii="宋体" w:hAnsi="宋体" w:cs="宋体"/>
                <w:szCs w:val="21"/>
              </w:rPr>
            </w:pPr>
          </w:p>
        </w:tc>
        <w:tc>
          <w:tcPr>
            <w:tcW w:w="992" w:type="dxa"/>
            <w:noWrap w:val="0"/>
            <w:tcMar>
              <w:left w:w="0" w:type="dxa"/>
              <w:right w:w="0" w:type="dxa"/>
            </w:tcMar>
            <w:vAlign w:val="center"/>
          </w:tcPr>
          <w:p>
            <w:pPr>
              <w:spacing w:line="340" w:lineRule="exact"/>
              <w:contextualSpacing/>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szCs w:val="21"/>
              </w:rPr>
            </w:pPr>
            <w:r>
              <w:rPr>
                <w:rFonts w:hint="eastAsia" w:ascii="宋体" w:hAnsi="宋体" w:cs="宋体"/>
                <w:szCs w:val="21"/>
              </w:rPr>
              <w:t>......</w:t>
            </w:r>
          </w:p>
        </w:tc>
        <w:tc>
          <w:tcPr>
            <w:tcW w:w="4985" w:type="dxa"/>
            <w:noWrap w:val="0"/>
            <w:tcMar>
              <w:left w:w="0" w:type="dxa"/>
              <w:right w:w="0" w:type="dxa"/>
            </w:tcMar>
            <w:vAlign w:val="center"/>
          </w:tcPr>
          <w:p>
            <w:pPr>
              <w:spacing w:line="340" w:lineRule="exact"/>
              <w:contextualSpacing/>
              <w:jc w:val="center"/>
              <w:rPr>
                <w:rFonts w:hint="eastAsia" w:ascii="宋体" w:hAnsi="宋体" w:cs="宋体"/>
                <w:szCs w:val="21"/>
              </w:rPr>
            </w:pPr>
          </w:p>
        </w:tc>
        <w:tc>
          <w:tcPr>
            <w:tcW w:w="2528" w:type="dxa"/>
            <w:noWrap w:val="0"/>
            <w:tcMar>
              <w:left w:w="0" w:type="dxa"/>
              <w:right w:w="0" w:type="dxa"/>
            </w:tcMar>
            <w:vAlign w:val="center"/>
          </w:tcPr>
          <w:p>
            <w:pPr>
              <w:spacing w:line="340" w:lineRule="exact"/>
              <w:contextualSpacing/>
              <w:jc w:val="center"/>
              <w:rPr>
                <w:rFonts w:hint="eastAsia" w:ascii="宋体" w:hAnsi="宋体" w:cs="宋体"/>
                <w:szCs w:val="21"/>
              </w:rPr>
            </w:pPr>
          </w:p>
        </w:tc>
        <w:tc>
          <w:tcPr>
            <w:tcW w:w="992" w:type="dxa"/>
            <w:noWrap w:val="0"/>
            <w:tcMar>
              <w:left w:w="0" w:type="dxa"/>
              <w:right w:w="0" w:type="dxa"/>
            </w:tcMar>
            <w:vAlign w:val="center"/>
          </w:tcPr>
          <w:p>
            <w:pPr>
              <w:spacing w:line="340" w:lineRule="exact"/>
              <w:contextualSpacing/>
              <w:jc w:val="center"/>
              <w:rPr>
                <w:rFonts w:hint="eastAsia" w:ascii="宋体" w:hAnsi="宋体" w:cs="宋体"/>
                <w:szCs w:val="21"/>
              </w:rPr>
            </w:pPr>
          </w:p>
        </w:tc>
      </w:tr>
    </w:tbl>
    <w:p>
      <w:pPr>
        <w:pStyle w:val="2"/>
        <w:ind w:firstLine="0"/>
        <w:rPr>
          <w:rFonts w:eastAsia="宋体"/>
          <w:sz w:val="21"/>
          <w:szCs w:val="21"/>
        </w:rPr>
      </w:pPr>
      <w:r>
        <w:rPr>
          <w:rFonts w:hint="eastAsia" w:eastAsia="宋体"/>
          <w:sz w:val="21"/>
          <w:szCs w:val="21"/>
        </w:rPr>
        <w:t>备注：1、列明采购文件的服务要求与投标文件对应响应，并说明偏离状况；2、无偏离应在本表空白处醒目地注明“无服务条款偏离”的字样。3、本表格供参考，投标人可根据项目实际情况自拟（增减）表格。</w:t>
      </w:r>
      <w:r>
        <w:rPr>
          <w:rFonts w:hint="eastAsia" w:eastAsia="宋体"/>
          <w:sz w:val="18"/>
          <w:szCs w:val="18"/>
        </w:rPr>
        <w:t>4、</w:t>
      </w:r>
      <w:r>
        <w:rPr>
          <w:rFonts w:hint="eastAsia" w:eastAsia="宋体" w:cs="宋体"/>
          <w:b/>
          <w:sz w:val="18"/>
          <w:szCs w:val="18"/>
        </w:rPr>
        <w:t>投标人应在投标文件中对《第五部分 采购内容及要求》中的条款作一对一应答，应答必须有具体内容，不得仅以“符合”、“满足”等词语作简单回答</w:t>
      </w:r>
    </w:p>
    <w:p>
      <w:pPr>
        <w:ind w:right="420"/>
        <w:rPr>
          <w:rFonts w:hint="eastAsia"/>
          <w:sz w:val="24"/>
          <w:szCs w:val="24"/>
        </w:rPr>
      </w:pPr>
    </w:p>
    <w:p>
      <w:pPr>
        <w:ind w:right="420"/>
        <w:rPr>
          <w:sz w:val="24"/>
          <w:szCs w:val="24"/>
        </w:rPr>
      </w:pPr>
      <w:r>
        <w:rPr>
          <w:rFonts w:hint="eastAsia"/>
          <w:sz w:val="24"/>
          <w:szCs w:val="24"/>
        </w:rPr>
        <w:t>投标人（盖章）：</w:t>
      </w:r>
    </w:p>
    <w:p>
      <w:pPr>
        <w:rPr>
          <w:sz w:val="24"/>
          <w:szCs w:val="24"/>
        </w:rPr>
      </w:pPr>
    </w:p>
    <w:p>
      <w:pPr>
        <w:rPr>
          <w:sz w:val="24"/>
          <w:szCs w:val="24"/>
          <w:u w:val="single"/>
        </w:rPr>
      </w:pPr>
      <w:r>
        <w:rPr>
          <w:rFonts w:hint="eastAsia"/>
          <w:sz w:val="24"/>
          <w:szCs w:val="24"/>
        </w:rPr>
        <w:t>法定代表人或授权代表人（签字或盖章）：</w:t>
      </w:r>
    </w:p>
    <w:p>
      <w:pPr>
        <w:rPr>
          <w:sz w:val="24"/>
          <w:szCs w:val="24"/>
        </w:rPr>
      </w:pPr>
    </w:p>
    <w:p>
      <w:pPr>
        <w:rPr>
          <w:sz w:val="24"/>
          <w:szCs w:val="24"/>
        </w:rPr>
      </w:pPr>
      <w:r>
        <w:rPr>
          <w:rFonts w:hint="eastAsia"/>
          <w:sz w:val="24"/>
          <w:szCs w:val="24"/>
        </w:rPr>
        <w:t>日期：</w:t>
      </w:r>
      <w:bookmarkStart w:id="308" w:name="_Toc196402988"/>
    </w:p>
    <w:p>
      <w:pPr>
        <w:pStyle w:val="4"/>
        <w:tabs>
          <w:tab w:val="left" w:pos="1415"/>
        </w:tabs>
        <w:spacing w:before="0" w:after="0" w:line="240" w:lineRule="auto"/>
        <w:rPr>
          <w:rFonts w:ascii="Times New Roman" w:hAnsi="Times New Roman" w:eastAsia="宋体"/>
          <w:b w:val="0"/>
          <w:w w:val="80"/>
          <w:sz w:val="18"/>
          <w:szCs w:val="18"/>
        </w:rPr>
      </w:pPr>
      <w:r>
        <w:rPr>
          <w:rFonts w:ascii="Times New Roman" w:hAnsi="Times New Roman" w:eastAsia="宋体"/>
          <w:sz w:val="24"/>
        </w:rPr>
        <w:br w:type="page"/>
      </w:r>
      <w:bookmarkEnd w:id="308"/>
      <w:bookmarkStart w:id="309" w:name="_Toc29990"/>
      <w:r>
        <w:rPr>
          <w:rFonts w:hint="eastAsia" w:ascii="Times New Roman" w:hAnsi="Times New Roman" w:eastAsia="宋体"/>
          <w:b w:val="0"/>
          <w:sz w:val="18"/>
          <w:szCs w:val="18"/>
        </w:rPr>
        <w:t>格式六 类似项目业绩表</w:t>
      </w:r>
      <w:bookmarkEnd w:id="309"/>
    </w:p>
    <w:p>
      <w:pPr>
        <w:spacing w:line="360" w:lineRule="auto"/>
        <w:rPr>
          <w:w w:val="80"/>
          <w:u w:val="single"/>
        </w:rPr>
      </w:pPr>
    </w:p>
    <w:p>
      <w:pPr>
        <w:pStyle w:val="3"/>
        <w:spacing w:after="120" w:afterLines="50" w:line="360" w:lineRule="exact"/>
        <w:rPr>
          <w:rFonts w:ascii="Times New Roman"/>
          <w:sz w:val="32"/>
          <w:szCs w:val="32"/>
        </w:rPr>
      </w:pPr>
      <w:bookmarkStart w:id="310" w:name="_Toc498429654"/>
      <w:bookmarkStart w:id="311" w:name="_Toc14059"/>
      <w:bookmarkStart w:id="312" w:name="_Toc514758501"/>
      <w:bookmarkStart w:id="313" w:name="_Toc496003221"/>
      <w:r>
        <w:rPr>
          <w:rFonts w:hint="eastAsia" w:ascii="Times New Roman"/>
          <w:sz w:val="32"/>
          <w:szCs w:val="32"/>
        </w:rPr>
        <w:t>类似项目业绩表</w:t>
      </w:r>
      <w:bookmarkEnd w:id="310"/>
      <w:bookmarkEnd w:id="311"/>
      <w:bookmarkEnd w:id="312"/>
      <w:bookmarkEnd w:id="313"/>
    </w:p>
    <w:p>
      <w:pPr>
        <w:rPr>
          <w:w w:val="80"/>
          <w:sz w:val="28"/>
        </w:rPr>
      </w:pPr>
    </w:p>
    <w:p>
      <w:pPr>
        <w:pStyle w:val="2"/>
        <w:tabs>
          <w:tab w:val="right" w:pos="8847"/>
        </w:tabs>
        <w:ind w:firstLine="0"/>
        <w:rPr>
          <w:rFonts w:eastAsia="宋体"/>
          <w:szCs w:val="24"/>
          <w:u w:val="single"/>
        </w:rPr>
      </w:pPr>
      <w:r>
        <w:rPr>
          <w:rFonts w:hint="eastAsia" w:eastAsia="宋体"/>
          <w:szCs w:val="24"/>
        </w:rPr>
        <w:t>项目编号：                         项目名称：</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1654"/>
        <w:gridCol w:w="1753"/>
        <w:gridCol w:w="1276"/>
        <w:gridCol w:w="1701"/>
        <w:gridCol w:w="175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05" w:hRule="atLeast"/>
        </w:trPr>
        <w:tc>
          <w:tcPr>
            <w:tcW w:w="709"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序号</w:t>
            </w:r>
          </w:p>
        </w:tc>
        <w:tc>
          <w:tcPr>
            <w:tcW w:w="1654" w:type="dxa"/>
            <w:tcBorders>
              <w:top w:val="single" w:color="auto" w:sz="4" w:space="0"/>
              <w:bottom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服务名称</w:t>
            </w:r>
          </w:p>
        </w:tc>
        <w:tc>
          <w:tcPr>
            <w:tcW w:w="1753"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业主名称</w:t>
            </w:r>
          </w:p>
        </w:tc>
        <w:tc>
          <w:tcPr>
            <w:tcW w:w="1276"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合同金额</w:t>
            </w:r>
          </w:p>
        </w:tc>
        <w:tc>
          <w:tcPr>
            <w:tcW w:w="1701"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合同签订时间</w:t>
            </w:r>
          </w:p>
        </w:tc>
        <w:tc>
          <w:tcPr>
            <w:tcW w:w="1753"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1</w:t>
            </w:r>
          </w:p>
        </w:tc>
        <w:tc>
          <w:tcPr>
            <w:tcW w:w="1654"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c>
          <w:tcPr>
            <w:tcW w:w="1753"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c>
          <w:tcPr>
            <w:tcW w:w="1276"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c>
          <w:tcPr>
            <w:tcW w:w="1701"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c>
          <w:tcPr>
            <w:tcW w:w="1753"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2</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3</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4</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5</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6</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7</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8</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9</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10</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11</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bl>
    <w:p>
      <w:pPr>
        <w:spacing w:line="360" w:lineRule="auto"/>
        <w:rPr>
          <w:b/>
          <w:szCs w:val="21"/>
        </w:rPr>
      </w:pPr>
      <w:r>
        <w:rPr>
          <w:rFonts w:hint="eastAsia"/>
          <w:b/>
          <w:szCs w:val="21"/>
        </w:rPr>
        <w:t>附合同复印件</w:t>
      </w:r>
    </w:p>
    <w:p>
      <w:pPr>
        <w:rPr>
          <w:rFonts w:hint="eastAsia"/>
          <w:sz w:val="24"/>
          <w:szCs w:val="24"/>
        </w:rPr>
      </w:pPr>
    </w:p>
    <w:p>
      <w:pPr>
        <w:rPr>
          <w:rFonts w:hint="eastAsia"/>
          <w:sz w:val="24"/>
          <w:szCs w:val="24"/>
        </w:rPr>
      </w:pPr>
    </w:p>
    <w:p>
      <w:pPr>
        <w:rPr>
          <w:rFonts w:hint="eastAsia"/>
          <w:sz w:val="24"/>
          <w:szCs w:val="24"/>
        </w:rPr>
      </w:pPr>
    </w:p>
    <w:p>
      <w:pPr>
        <w:spacing w:line="360" w:lineRule="auto"/>
        <w:rPr>
          <w:sz w:val="24"/>
          <w:szCs w:val="24"/>
        </w:rPr>
      </w:pPr>
      <w:r>
        <w:rPr>
          <w:rFonts w:hint="eastAsia"/>
          <w:sz w:val="24"/>
          <w:szCs w:val="24"/>
        </w:rPr>
        <w:t>投标人（盖章）：</w:t>
      </w:r>
    </w:p>
    <w:p>
      <w:pPr>
        <w:spacing w:line="360" w:lineRule="auto"/>
        <w:rPr>
          <w:sz w:val="24"/>
          <w:szCs w:val="24"/>
          <w:u w:val="single"/>
        </w:rPr>
      </w:pPr>
      <w:r>
        <w:rPr>
          <w:rFonts w:hint="eastAsia"/>
          <w:sz w:val="24"/>
          <w:szCs w:val="24"/>
        </w:rPr>
        <w:t>法定代表人或授权代表人（签字或盖章）：</w:t>
      </w:r>
    </w:p>
    <w:p>
      <w:pPr>
        <w:spacing w:line="360" w:lineRule="auto"/>
        <w:rPr>
          <w:w w:val="80"/>
          <w:sz w:val="28"/>
          <w:szCs w:val="28"/>
        </w:rPr>
        <w:sectPr>
          <w:pgSz w:w="11907" w:h="16840"/>
          <w:pgMar w:top="1134" w:right="1531" w:bottom="1134" w:left="1531" w:header="425" w:footer="709" w:gutter="0"/>
          <w:cols w:space="720" w:num="1"/>
          <w:docGrid w:linePitch="285" w:charSpace="0"/>
        </w:sectPr>
      </w:pPr>
      <w:r>
        <w:rPr>
          <w:rFonts w:hint="eastAsia"/>
          <w:sz w:val="24"/>
          <w:szCs w:val="24"/>
        </w:rPr>
        <w:t>日期：</w:t>
      </w:r>
    </w:p>
    <w:p>
      <w:pPr>
        <w:pStyle w:val="4"/>
        <w:spacing w:before="0" w:after="0" w:line="240" w:lineRule="auto"/>
        <w:ind w:right="-567"/>
        <w:jc w:val="left"/>
        <w:rPr>
          <w:rFonts w:ascii="Times New Roman" w:hAnsi="Times New Roman" w:eastAsia="宋体"/>
        </w:rPr>
      </w:pPr>
      <w:bookmarkStart w:id="314" w:name="_Toc97372573"/>
      <w:bookmarkStart w:id="315" w:name="_Toc13368"/>
      <w:r>
        <w:rPr>
          <w:rFonts w:hint="eastAsia" w:ascii="Times New Roman" w:hAnsi="Times New Roman" w:eastAsia="宋体"/>
          <w:b w:val="0"/>
          <w:sz w:val="18"/>
          <w:szCs w:val="18"/>
        </w:rPr>
        <w:t xml:space="preserve">格式七 </w:t>
      </w:r>
      <w:r>
        <w:rPr>
          <w:rFonts w:hint="eastAsia" w:ascii="Times New Roman" w:hAnsi="Times New Roman" w:eastAsia="宋体"/>
          <w:b w:val="0"/>
          <w:bCs w:val="0"/>
          <w:sz w:val="18"/>
          <w:szCs w:val="18"/>
        </w:rPr>
        <w:t>法定代表人授权书</w:t>
      </w:r>
      <w:bookmarkEnd w:id="314"/>
      <w:bookmarkEnd w:id="315"/>
    </w:p>
    <w:p>
      <w:pPr>
        <w:pStyle w:val="2"/>
        <w:ind w:firstLine="0"/>
        <w:rPr>
          <w:rFonts w:eastAsia="宋体"/>
          <w:w w:val="80"/>
          <w:sz w:val="28"/>
        </w:rPr>
      </w:pPr>
    </w:p>
    <w:p>
      <w:pPr>
        <w:pStyle w:val="2"/>
        <w:ind w:firstLine="0"/>
        <w:jc w:val="center"/>
        <w:rPr>
          <w:rFonts w:eastAsia="宋体"/>
          <w:w w:val="80"/>
          <w:sz w:val="28"/>
        </w:rPr>
      </w:pPr>
    </w:p>
    <w:p>
      <w:pPr>
        <w:pStyle w:val="3"/>
        <w:spacing w:after="120" w:afterLines="50" w:line="360" w:lineRule="exact"/>
        <w:rPr>
          <w:rFonts w:ascii="Times New Roman"/>
          <w:sz w:val="32"/>
          <w:szCs w:val="32"/>
        </w:rPr>
      </w:pPr>
      <w:bookmarkStart w:id="316" w:name="_Toc498429655"/>
      <w:bookmarkStart w:id="317" w:name="_Toc505353799"/>
      <w:bookmarkStart w:id="318" w:name="_Toc14318"/>
      <w:bookmarkStart w:id="319" w:name="_Toc496003222"/>
      <w:r>
        <w:rPr>
          <w:rFonts w:hint="eastAsia" w:ascii="Times New Roman"/>
          <w:sz w:val="32"/>
          <w:szCs w:val="32"/>
        </w:rPr>
        <w:t>法定代表人授权书</w:t>
      </w:r>
      <w:bookmarkEnd w:id="316"/>
      <w:bookmarkEnd w:id="317"/>
      <w:bookmarkEnd w:id="318"/>
      <w:bookmarkEnd w:id="319"/>
    </w:p>
    <w:p>
      <w:pPr>
        <w:pStyle w:val="2"/>
        <w:ind w:firstLine="0"/>
        <w:jc w:val="center"/>
        <w:rPr>
          <w:rFonts w:eastAsia="宋体"/>
          <w:w w:val="80"/>
        </w:rPr>
      </w:pPr>
    </w:p>
    <w:p>
      <w:pPr>
        <w:pStyle w:val="2"/>
        <w:ind w:firstLine="0"/>
        <w:rPr>
          <w:rFonts w:eastAsia="宋体"/>
          <w:w w:val="80"/>
        </w:rPr>
      </w:pPr>
    </w:p>
    <w:p>
      <w:pPr>
        <w:pStyle w:val="2"/>
        <w:spacing w:line="360" w:lineRule="auto"/>
        <w:ind w:firstLine="0"/>
        <w:rPr>
          <w:rFonts w:eastAsia="宋体"/>
          <w:szCs w:val="24"/>
        </w:rPr>
      </w:pPr>
      <w:r>
        <w:rPr>
          <w:rFonts w:hint="eastAsia" w:eastAsia="宋体"/>
          <w:szCs w:val="24"/>
        </w:rPr>
        <w:t>致：中冠工程管理咨询有限公司</w:t>
      </w:r>
    </w:p>
    <w:p>
      <w:pPr>
        <w:pStyle w:val="2"/>
        <w:spacing w:line="360" w:lineRule="auto"/>
        <w:ind w:firstLine="0"/>
        <w:rPr>
          <w:rFonts w:eastAsia="宋体"/>
          <w:szCs w:val="24"/>
        </w:rPr>
      </w:pPr>
    </w:p>
    <w:p>
      <w:pPr>
        <w:pStyle w:val="2"/>
        <w:spacing w:before="120" w:beforeLines="50" w:after="120" w:afterLines="50" w:line="480" w:lineRule="auto"/>
        <w:ind w:right="340" w:firstLine="516"/>
        <w:rPr>
          <w:rFonts w:eastAsia="宋体"/>
          <w:szCs w:val="24"/>
        </w:rPr>
      </w:pPr>
      <w:r>
        <w:rPr>
          <w:rFonts w:hint="eastAsia" w:eastAsia="宋体"/>
          <w:szCs w:val="24"/>
          <w:u w:val="single"/>
        </w:rPr>
        <w:t>（投标人全称）</w:t>
      </w:r>
      <w:r>
        <w:rPr>
          <w:rFonts w:hint="eastAsia" w:eastAsia="宋体"/>
          <w:szCs w:val="24"/>
        </w:rPr>
        <w:t>法定代表人</w:t>
      </w:r>
      <w:r>
        <w:rPr>
          <w:rFonts w:hint="eastAsia" w:eastAsia="宋体"/>
          <w:szCs w:val="24"/>
          <w:u w:val="single"/>
        </w:rPr>
        <w:t>（姓名、职务）</w:t>
      </w:r>
      <w:r>
        <w:rPr>
          <w:rFonts w:hint="eastAsia" w:eastAsia="宋体"/>
          <w:szCs w:val="24"/>
        </w:rPr>
        <w:t>授权</w:t>
      </w:r>
      <w:r>
        <w:rPr>
          <w:rFonts w:hint="eastAsia" w:eastAsia="宋体"/>
          <w:szCs w:val="24"/>
          <w:u w:val="single"/>
        </w:rPr>
        <w:t>（被授权代表姓名、职务）</w:t>
      </w:r>
      <w:r>
        <w:rPr>
          <w:rFonts w:hint="eastAsia" w:eastAsia="宋体"/>
          <w:szCs w:val="24"/>
        </w:rPr>
        <w:t>为本公司合法代理人，参加贵采购代理机构组织的</w:t>
      </w:r>
      <w:r>
        <w:rPr>
          <w:rFonts w:hint="eastAsia" w:eastAsia="宋体"/>
          <w:szCs w:val="24"/>
          <w:u w:val="single"/>
        </w:rPr>
        <w:t xml:space="preserve">   （项目编号）（项目名称）                      </w:t>
      </w:r>
      <w:r>
        <w:rPr>
          <w:rFonts w:hint="eastAsia" w:eastAsia="宋体"/>
          <w:szCs w:val="24"/>
        </w:rPr>
        <w:t>项目的招标投标活动，全权代表本公司处理招标投标活动中的一切事宜。</w:t>
      </w:r>
    </w:p>
    <w:p>
      <w:pPr>
        <w:pStyle w:val="2"/>
        <w:spacing w:before="120" w:beforeLines="50" w:after="120" w:afterLines="50" w:line="480" w:lineRule="auto"/>
        <w:ind w:firstLine="426"/>
        <w:rPr>
          <w:rFonts w:eastAsia="宋体"/>
          <w:szCs w:val="24"/>
          <w:u w:val="single"/>
        </w:rPr>
      </w:pPr>
      <w:r>
        <w:rPr>
          <w:rFonts w:hint="eastAsia" w:eastAsia="宋体"/>
          <w:szCs w:val="24"/>
        </w:rPr>
        <w:t>本授权书于</w:t>
      </w:r>
      <w:r>
        <w:rPr>
          <w:rFonts w:hint="eastAsia" w:eastAsia="宋体"/>
          <w:szCs w:val="24"/>
          <w:u w:val="single"/>
        </w:rPr>
        <w:t xml:space="preserve">  </w:t>
      </w:r>
      <w:r>
        <w:rPr>
          <w:rFonts w:eastAsia="宋体"/>
          <w:szCs w:val="24"/>
          <w:u w:val="single"/>
        </w:rPr>
        <w:t xml:space="preserve">  </w:t>
      </w:r>
      <w:r>
        <w:rPr>
          <w:rFonts w:hint="eastAsia" w:eastAsia="宋体"/>
          <w:szCs w:val="24"/>
          <w:u w:val="single"/>
        </w:rPr>
        <w:t xml:space="preserve">  </w:t>
      </w:r>
      <w:r>
        <w:rPr>
          <w:rFonts w:hint="eastAsia" w:eastAsia="宋体"/>
          <w:szCs w:val="24"/>
        </w:rPr>
        <w:t>年</w:t>
      </w:r>
      <w:r>
        <w:rPr>
          <w:rFonts w:hint="eastAsia" w:eastAsia="宋体"/>
          <w:szCs w:val="24"/>
          <w:u w:val="single"/>
        </w:rPr>
        <w:t xml:space="preserve">    </w:t>
      </w:r>
      <w:r>
        <w:rPr>
          <w:rFonts w:hint="eastAsia" w:eastAsia="宋体"/>
          <w:szCs w:val="24"/>
        </w:rPr>
        <w:t>月</w:t>
      </w:r>
      <w:r>
        <w:rPr>
          <w:rFonts w:hint="eastAsia" w:eastAsia="宋体"/>
          <w:szCs w:val="24"/>
          <w:u w:val="single"/>
        </w:rPr>
        <w:t xml:space="preserve"> </w:t>
      </w:r>
      <w:r>
        <w:rPr>
          <w:rFonts w:eastAsia="宋体"/>
          <w:szCs w:val="24"/>
          <w:u w:val="single"/>
        </w:rPr>
        <w:t xml:space="preserve"> </w:t>
      </w:r>
      <w:r>
        <w:rPr>
          <w:rFonts w:hint="eastAsia" w:eastAsia="宋体"/>
          <w:szCs w:val="24"/>
          <w:u w:val="single"/>
        </w:rPr>
        <w:t xml:space="preserve">  </w:t>
      </w:r>
      <w:r>
        <w:rPr>
          <w:rFonts w:hint="eastAsia" w:eastAsia="宋体"/>
          <w:szCs w:val="24"/>
        </w:rPr>
        <w:t>日签字或</w:t>
      </w:r>
      <w:r>
        <w:rPr>
          <w:rFonts w:eastAsia="宋体"/>
          <w:szCs w:val="24"/>
        </w:rPr>
        <w:t>盖章后</w:t>
      </w:r>
      <w:r>
        <w:rPr>
          <w:rFonts w:hint="eastAsia" w:eastAsia="宋体"/>
          <w:szCs w:val="24"/>
        </w:rPr>
        <w:t>生效，特此声明。</w:t>
      </w:r>
    </w:p>
    <w:p>
      <w:pPr>
        <w:spacing w:line="360" w:lineRule="auto"/>
        <w:contextualSpacing/>
        <w:rPr>
          <w:rFonts w:hint="eastAsia"/>
          <w:bCs/>
          <w:sz w:val="24"/>
          <w:szCs w:val="24"/>
        </w:rPr>
      </w:pPr>
      <w:r>
        <w:rPr>
          <w:rFonts w:hint="eastAsia"/>
          <w:bCs/>
          <w:sz w:val="24"/>
          <w:szCs w:val="24"/>
        </w:rPr>
        <w:t>（后附被授权人身份证正反面复印件）</w:t>
      </w:r>
    </w:p>
    <w:p>
      <w:pPr>
        <w:pStyle w:val="2"/>
        <w:spacing w:line="480" w:lineRule="auto"/>
        <w:ind w:firstLine="0"/>
        <w:rPr>
          <w:rFonts w:eastAsia="宋体"/>
          <w:szCs w:val="24"/>
        </w:rPr>
      </w:pPr>
    </w:p>
    <w:p>
      <w:pPr>
        <w:pStyle w:val="2"/>
        <w:spacing w:line="480" w:lineRule="auto"/>
        <w:ind w:firstLine="0"/>
        <w:rPr>
          <w:rFonts w:eastAsia="宋体"/>
          <w:szCs w:val="24"/>
        </w:rPr>
      </w:pPr>
    </w:p>
    <w:p>
      <w:pPr>
        <w:pStyle w:val="2"/>
        <w:spacing w:line="360" w:lineRule="auto"/>
        <w:ind w:left="3969" w:firstLine="0"/>
        <w:rPr>
          <w:rFonts w:eastAsia="宋体"/>
          <w:szCs w:val="24"/>
        </w:rPr>
      </w:pPr>
      <w:r>
        <w:rPr>
          <w:rFonts w:hint="eastAsia" w:eastAsia="宋体"/>
          <w:szCs w:val="24"/>
        </w:rPr>
        <w:t>法定代表人（签字或盖章）：</w:t>
      </w:r>
    </w:p>
    <w:p>
      <w:pPr>
        <w:pStyle w:val="2"/>
        <w:spacing w:line="360" w:lineRule="auto"/>
        <w:ind w:firstLine="0"/>
        <w:rPr>
          <w:rFonts w:eastAsia="宋体"/>
          <w:szCs w:val="24"/>
        </w:rPr>
      </w:pPr>
    </w:p>
    <w:p>
      <w:pPr>
        <w:pStyle w:val="2"/>
        <w:spacing w:line="360" w:lineRule="auto"/>
        <w:ind w:left="3969" w:firstLine="0"/>
        <w:rPr>
          <w:rFonts w:eastAsia="宋体"/>
          <w:szCs w:val="24"/>
        </w:rPr>
      </w:pPr>
      <w:r>
        <w:rPr>
          <w:rFonts w:hint="eastAsia" w:eastAsia="宋体"/>
          <w:szCs w:val="24"/>
        </w:rPr>
        <w:t>投标人（盖章）：</w:t>
      </w:r>
    </w:p>
    <w:p>
      <w:pPr>
        <w:pStyle w:val="2"/>
        <w:spacing w:line="360" w:lineRule="auto"/>
        <w:ind w:firstLine="0"/>
        <w:rPr>
          <w:rFonts w:eastAsia="宋体"/>
          <w:szCs w:val="24"/>
        </w:rPr>
      </w:pPr>
    </w:p>
    <w:p>
      <w:pPr>
        <w:pStyle w:val="2"/>
        <w:spacing w:line="360" w:lineRule="auto"/>
        <w:ind w:left="3969" w:firstLine="0"/>
        <w:rPr>
          <w:rFonts w:eastAsia="宋体"/>
          <w:szCs w:val="24"/>
        </w:rPr>
      </w:pPr>
      <w:r>
        <w:rPr>
          <w:rFonts w:hint="eastAsia" w:eastAsia="宋体"/>
          <w:szCs w:val="24"/>
        </w:rPr>
        <w:t>日期：</w:t>
      </w:r>
    </w:p>
    <w:p>
      <w:pPr>
        <w:pStyle w:val="2"/>
        <w:spacing w:line="360" w:lineRule="auto"/>
        <w:ind w:firstLine="0"/>
        <w:rPr>
          <w:rFonts w:eastAsia="宋体"/>
          <w:szCs w:val="24"/>
        </w:rPr>
      </w:pPr>
    </w:p>
    <w:p>
      <w:pPr>
        <w:pStyle w:val="2"/>
        <w:spacing w:line="360" w:lineRule="auto"/>
        <w:ind w:firstLine="0"/>
        <w:rPr>
          <w:rFonts w:eastAsia="宋体"/>
          <w:szCs w:val="24"/>
        </w:rPr>
      </w:pPr>
      <w:r>
        <w:rPr>
          <w:rFonts w:hint="eastAsia" w:eastAsia="宋体"/>
          <w:szCs w:val="24"/>
        </w:rPr>
        <w:t>附：</w:t>
      </w:r>
    </w:p>
    <w:p>
      <w:pPr>
        <w:pStyle w:val="2"/>
        <w:spacing w:before="60" w:after="60" w:line="360" w:lineRule="auto"/>
        <w:ind w:left="306" w:firstLine="0"/>
        <w:rPr>
          <w:rFonts w:eastAsia="宋体"/>
          <w:szCs w:val="24"/>
        </w:rPr>
      </w:pPr>
      <w:r>
        <w:rPr>
          <w:rFonts w:hint="eastAsia" w:eastAsia="宋体"/>
          <w:szCs w:val="24"/>
        </w:rPr>
        <w:t>被授权人姓名（印刷体）：</w:t>
      </w:r>
    </w:p>
    <w:p>
      <w:pPr>
        <w:pStyle w:val="2"/>
        <w:spacing w:before="60" w:after="60" w:line="360" w:lineRule="auto"/>
        <w:ind w:left="306" w:firstLine="0"/>
        <w:rPr>
          <w:rFonts w:eastAsia="宋体"/>
          <w:szCs w:val="24"/>
        </w:rPr>
      </w:pPr>
      <w:r>
        <w:rPr>
          <w:rFonts w:hint="eastAsia" w:eastAsia="宋体"/>
          <w:szCs w:val="24"/>
        </w:rPr>
        <w:t>职务：</w:t>
      </w:r>
    </w:p>
    <w:p>
      <w:pPr>
        <w:pStyle w:val="2"/>
        <w:spacing w:before="60" w:after="60" w:line="360" w:lineRule="auto"/>
        <w:ind w:left="306" w:firstLine="0"/>
        <w:rPr>
          <w:rFonts w:eastAsia="宋体"/>
          <w:szCs w:val="24"/>
        </w:rPr>
      </w:pPr>
      <w:r>
        <w:rPr>
          <w:rFonts w:hint="eastAsia" w:eastAsia="宋体"/>
          <w:szCs w:val="24"/>
        </w:rPr>
        <w:t>被授权人（签字或盖章）：</w:t>
      </w:r>
    </w:p>
    <w:p>
      <w:pPr>
        <w:pStyle w:val="2"/>
        <w:spacing w:before="60" w:after="60" w:line="360" w:lineRule="auto"/>
        <w:ind w:left="306" w:firstLine="0"/>
        <w:rPr>
          <w:rFonts w:eastAsia="宋体"/>
          <w:szCs w:val="24"/>
        </w:rPr>
      </w:pPr>
      <w:r>
        <w:rPr>
          <w:rFonts w:hint="eastAsia" w:eastAsia="宋体"/>
          <w:szCs w:val="24"/>
        </w:rPr>
        <w:t>详细通讯地址：</w:t>
      </w:r>
    </w:p>
    <w:p>
      <w:pPr>
        <w:pStyle w:val="2"/>
        <w:spacing w:before="60" w:after="60" w:line="360" w:lineRule="auto"/>
        <w:ind w:left="306" w:firstLine="0"/>
        <w:rPr>
          <w:rFonts w:eastAsia="宋体"/>
          <w:szCs w:val="24"/>
        </w:rPr>
      </w:pPr>
      <w:r>
        <w:rPr>
          <w:rFonts w:hint="eastAsia" w:eastAsia="宋体"/>
          <w:szCs w:val="24"/>
        </w:rPr>
        <w:t>传真：</w:t>
      </w:r>
    </w:p>
    <w:p>
      <w:pPr>
        <w:pStyle w:val="2"/>
        <w:spacing w:before="60" w:after="60" w:line="360" w:lineRule="auto"/>
        <w:ind w:left="306" w:firstLine="0"/>
        <w:rPr>
          <w:rFonts w:eastAsia="宋体"/>
          <w:szCs w:val="24"/>
        </w:rPr>
      </w:pPr>
      <w:r>
        <w:rPr>
          <w:rFonts w:hint="eastAsia" w:eastAsia="宋体"/>
          <w:szCs w:val="24"/>
        </w:rPr>
        <w:t>电话：</w:t>
      </w:r>
    </w:p>
    <w:p>
      <w:pPr>
        <w:pStyle w:val="3"/>
        <w:spacing w:after="120" w:afterLines="50" w:line="360" w:lineRule="exact"/>
        <w:rPr>
          <w:rFonts w:hint="eastAsia" w:ascii="Times New Roman"/>
          <w:b w:val="0"/>
          <w:sz w:val="24"/>
        </w:rPr>
      </w:pPr>
      <w:r>
        <w:rPr>
          <w:rFonts w:ascii="Times New Roman"/>
          <w:w w:val="80"/>
        </w:rPr>
        <w:br w:type="page"/>
      </w:r>
      <w:bookmarkStart w:id="320" w:name="_Toc505353800"/>
      <w:bookmarkStart w:id="321" w:name="_Toc498429656"/>
      <w:bookmarkStart w:id="322" w:name="_Toc25450"/>
      <w:r>
        <w:rPr>
          <w:rFonts w:hint="eastAsia" w:ascii="Times New Roman"/>
          <w:sz w:val="32"/>
          <w:szCs w:val="32"/>
        </w:rPr>
        <w:t>法定代表人身份证明书</w:t>
      </w:r>
      <w:bookmarkEnd w:id="320"/>
      <w:bookmarkEnd w:id="321"/>
      <w:bookmarkEnd w:id="322"/>
    </w:p>
    <w:p>
      <w:pPr>
        <w:spacing w:line="360" w:lineRule="auto"/>
        <w:rPr>
          <w:rFonts w:hint="eastAsia"/>
          <w:bCs/>
          <w:szCs w:val="21"/>
        </w:rPr>
      </w:pPr>
    </w:p>
    <w:p>
      <w:pPr>
        <w:spacing w:line="360" w:lineRule="auto"/>
        <w:contextualSpacing/>
        <w:rPr>
          <w:rFonts w:hint="eastAsia"/>
          <w:bCs/>
          <w:sz w:val="24"/>
          <w:szCs w:val="24"/>
          <w:u w:val="single"/>
        </w:rPr>
      </w:pPr>
      <w:r>
        <w:rPr>
          <w:rFonts w:hint="eastAsia"/>
          <w:bCs/>
          <w:sz w:val="24"/>
          <w:szCs w:val="24"/>
        </w:rPr>
        <w:t>单位名称：</w:t>
      </w:r>
      <w:r>
        <w:rPr>
          <w:rFonts w:hint="eastAsia"/>
          <w:bCs/>
          <w:sz w:val="24"/>
          <w:szCs w:val="24"/>
          <w:u w:val="single"/>
        </w:rPr>
        <w:t xml:space="preserve">                                                                </w:t>
      </w:r>
    </w:p>
    <w:p>
      <w:pPr>
        <w:spacing w:line="360" w:lineRule="auto"/>
        <w:contextualSpacing/>
        <w:rPr>
          <w:rFonts w:hint="eastAsia"/>
          <w:bCs/>
          <w:sz w:val="24"/>
          <w:szCs w:val="24"/>
        </w:rPr>
      </w:pPr>
      <w:r>
        <w:rPr>
          <w:rFonts w:hint="eastAsia"/>
          <w:bCs/>
          <w:sz w:val="24"/>
          <w:szCs w:val="24"/>
        </w:rPr>
        <w:t>地    址：</w:t>
      </w:r>
      <w:r>
        <w:rPr>
          <w:rFonts w:hint="eastAsia"/>
          <w:bCs/>
          <w:sz w:val="24"/>
          <w:szCs w:val="24"/>
          <w:u w:val="single"/>
        </w:rPr>
        <w:t xml:space="preserve">                                                                </w:t>
      </w:r>
    </w:p>
    <w:p>
      <w:pPr>
        <w:spacing w:line="360" w:lineRule="auto"/>
        <w:contextualSpacing/>
        <w:rPr>
          <w:rFonts w:hint="eastAsia"/>
          <w:bCs/>
          <w:sz w:val="24"/>
          <w:szCs w:val="24"/>
        </w:rPr>
      </w:pPr>
      <w:r>
        <w:rPr>
          <w:rFonts w:hint="eastAsia"/>
          <w:bCs/>
          <w:sz w:val="24"/>
          <w:szCs w:val="24"/>
        </w:rPr>
        <w:t>姓    名：</w:t>
      </w:r>
      <w:r>
        <w:rPr>
          <w:rFonts w:hint="eastAsia"/>
          <w:bCs/>
          <w:sz w:val="24"/>
          <w:szCs w:val="24"/>
          <w:u w:val="single"/>
        </w:rPr>
        <w:t xml:space="preserve">                          </w:t>
      </w:r>
      <w:r>
        <w:rPr>
          <w:rFonts w:hint="eastAsia"/>
          <w:bCs/>
          <w:sz w:val="24"/>
          <w:szCs w:val="24"/>
        </w:rPr>
        <w:t xml:space="preserve">  性    别：</w:t>
      </w:r>
      <w:r>
        <w:rPr>
          <w:rFonts w:hint="eastAsia"/>
          <w:bCs/>
          <w:sz w:val="24"/>
          <w:szCs w:val="24"/>
          <w:u w:val="single"/>
        </w:rPr>
        <w:t xml:space="preserve">                          </w:t>
      </w:r>
    </w:p>
    <w:p>
      <w:pPr>
        <w:spacing w:line="360" w:lineRule="auto"/>
        <w:contextualSpacing/>
        <w:rPr>
          <w:rFonts w:hint="eastAsia"/>
          <w:bCs/>
          <w:sz w:val="24"/>
          <w:szCs w:val="24"/>
        </w:rPr>
      </w:pPr>
      <w:r>
        <w:rPr>
          <w:rFonts w:hint="eastAsia"/>
          <w:bCs/>
          <w:sz w:val="24"/>
          <w:szCs w:val="24"/>
        </w:rPr>
        <w:t>年    龄：</w:t>
      </w:r>
      <w:r>
        <w:rPr>
          <w:rFonts w:hint="eastAsia"/>
          <w:bCs/>
          <w:sz w:val="24"/>
          <w:szCs w:val="24"/>
          <w:u w:val="single"/>
        </w:rPr>
        <w:t xml:space="preserve">                          </w:t>
      </w:r>
      <w:r>
        <w:rPr>
          <w:rFonts w:hint="eastAsia"/>
          <w:bCs/>
          <w:sz w:val="24"/>
          <w:szCs w:val="24"/>
        </w:rPr>
        <w:t xml:space="preserve">  职    务：</w:t>
      </w:r>
      <w:r>
        <w:rPr>
          <w:rFonts w:hint="eastAsia"/>
          <w:bCs/>
          <w:sz w:val="24"/>
          <w:szCs w:val="24"/>
          <w:u w:val="single"/>
        </w:rPr>
        <w:t xml:space="preserve">                          </w:t>
      </w:r>
    </w:p>
    <w:p>
      <w:pPr>
        <w:spacing w:line="360" w:lineRule="auto"/>
        <w:contextualSpacing/>
        <w:rPr>
          <w:rFonts w:hint="eastAsia"/>
          <w:bCs/>
          <w:sz w:val="24"/>
          <w:szCs w:val="24"/>
        </w:rPr>
      </w:pPr>
      <w:r>
        <w:rPr>
          <w:rFonts w:hint="eastAsia"/>
          <w:bCs/>
          <w:sz w:val="24"/>
          <w:szCs w:val="24"/>
        </w:rPr>
        <w:t>身份证号码：</w:t>
      </w:r>
      <w:r>
        <w:rPr>
          <w:rFonts w:hint="eastAsia"/>
          <w:bCs/>
          <w:sz w:val="24"/>
          <w:szCs w:val="24"/>
          <w:u w:val="single"/>
        </w:rPr>
        <w:t xml:space="preserve">                     </w:t>
      </w:r>
      <w:r>
        <w:rPr>
          <w:rFonts w:hint="eastAsia"/>
          <w:bCs/>
          <w:sz w:val="24"/>
          <w:szCs w:val="24"/>
        </w:rPr>
        <w:t>系</w:t>
      </w:r>
      <w:r>
        <w:rPr>
          <w:rFonts w:hint="eastAsia"/>
          <w:bCs/>
          <w:sz w:val="24"/>
          <w:szCs w:val="24"/>
          <w:u w:val="single"/>
        </w:rPr>
        <w:t xml:space="preserve">               </w:t>
      </w:r>
      <w:r>
        <w:rPr>
          <w:rFonts w:hint="eastAsia"/>
          <w:bCs/>
          <w:sz w:val="24"/>
          <w:szCs w:val="24"/>
        </w:rPr>
        <w:t>（投标人单位全称）的法定代表人。</w:t>
      </w:r>
    </w:p>
    <w:p>
      <w:pPr>
        <w:spacing w:line="360" w:lineRule="auto"/>
        <w:contextualSpacing/>
        <w:rPr>
          <w:rFonts w:hint="eastAsia"/>
          <w:bCs/>
          <w:sz w:val="24"/>
          <w:szCs w:val="24"/>
        </w:rPr>
      </w:pPr>
      <w:r>
        <w:rPr>
          <w:rFonts w:hint="eastAsia"/>
          <w:bCs/>
          <w:sz w:val="24"/>
          <w:szCs w:val="24"/>
        </w:rPr>
        <w:t xml:space="preserve">    特此证明。</w:t>
      </w:r>
    </w:p>
    <w:p>
      <w:pPr>
        <w:spacing w:line="360" w:lineRule="auto"/>
        <w:contextualSpacing/>
        <w:rPr>
          <w:rFonts w:hint="eastAsia"/>
          <w:bCs/>
          <w:sz w:val="24"/>
          <w:szCs w:val="24"/>
        </w:rPr>
      </w:pPr>
    </w:p>
    <w:p>
      <w:pPr>
        <w:spacing w:line="360" w:lineRule="auto"/>
        <w:contextualSpacing/>
        <w:rPr>
          <w:rFonts w:hint="eastAsia"/>
          <w:bCs/>
          <w:sz w:val="24"/>
          <w:szCs w:val="24"/>
        </w:rPr>
      </w:pPr>
      <w:r>
        <w:rPr>
          <w:rFonts w:hint="eastAsia"/>
          <w:bCs/>
          <w:sz w:val="24"/>
          <w:szCs w:val="24"/>
        </w:rPr>
        <w:t>（后附法定代表人身份证正反面复印件）</w:t>
      </w:r>
    </w:p>
    <w:p>
      <w:pPr>
        <w:spacing w:line="360" w:lineRule="auto"/>
        <w:contextualSpacing/>
        <w:rPr>
          <w:rFonts w:hint="eastAsia"/>
          <w:bCs/>
          <w:sz w:val="24"/>
          <w:szCs w:val="24"/>
        </w:rPr>
      </w:pPr>
    </w:p>
    <w:p>
      <w:pPr>
        <w:spacing w:line="360" w:lineRule="auto"/>
        <w:contextualSpacing/>
        <w:rPr>
          <w:rFonts w:hint="eastAsia"/>
          <w:bCs/>
          <w:sz w:val="24"/>
          <w:szCs w:val="24"/>
        </w:rPr>
      </w:pPr>
    </w:p>
    <w:p>
      <w:pPr>
        <w:spacing w:line="360" w:lineRule="auto"/>
        <w:contextualSpacing/>
        <w:rPr>
          <w:rFonts w:hint="eastAsia"/>
          <w:bCs/>
          <w:sz w:val="24"/>
          <w:szCs w:val="24"/>
        </w:rPr>
      </w:pPr>
    </w:p>
    <w:p>
      <w:pPr>
        <w:spacing w:line="360" w:lineRule="auto"/>
        <w:contextualSpacing/>
        <w:rPr>
          <w:rFonts w:hint="eastAsia"/>
          <w:bCs/>
          <w:sz w:val="24"/>
          <w:szCs w:val="24"/>
        </w:rPr>
      </w:pPr>
      <w:r>
        <w:rPr>
          <w:rFonts w:hint="eastAsia"/>
          <w:bCs/>
          <w:sz w:val="24"/>
          <w:szCs w:val="24"/>
        </w:rPr>
        <w:t>投标人（盖章）：</w:t>
      </w:r>
    </w:p>
    <w:p>
      <w:pPr>
        <w:spacing w:line="360" w:lineRule="auto"/>
        <w:contextualSpacing/>
        <w:rPr>
          <w:rFonts w:hint="eastAsia"/>
          <w:bCs/>
          <w:sz w:val="24"/>
          <w:szCs w:val="24"/>
        </w:rPr>
      </w:pPr>
      <w:r>
        <w:rPr>
          <w:rFonts w:hint="eastAsia"/>
          <w:bCs/>
          <w:sz w:val="24"/>
          <w:szCs w:val="24"/>
        </w:rPr>
        <w:t>法定代表人（签字或盖章）：</w:t>
      </w:r>
    </w:p>
    <w:p>
      <w:pPr>
        <w:spacing w:line="360" w:lineRule="auto"/>
        <w:contextualSpacing/>
        <w:rPr>
          <w:rFonts w:hint="eastAsia"/>
          <w:b/>
          <w:szCs w:val="21"/>
        </w:rPr>
      </w:pPr>
      <w:r>
        <w:rPr>
          <w:rFonts w:hint="eastAsia"/>
          <w:bCs/>
          <w:sz w:val="24"/>
          <w:szCs w:val="24"/>
        </w:rPr>
        <w:t>日期：</w:t>
      </w:r>
    </w:p>
    <w:p>
      <w:pPr>
        <w:rPr>
          <w:w w:val="80"/>
        </w:rPr>
        <w:sectPr>
          <w:pgSz w:w="11907" w:h="16840"/>
          <w:pgMar w:top="1134" w:right="1531" w:bottom="1134" w:left="1531" w:header="425" w:footer="709" w:gutter="0"/>
          <w:cols w:space="720" w:num="1"/>
          <w:docGrid w:linePitch="285" w:charSpace="0"/>
        </w:sectPr>
      </w:pPr>
    </w:p>
    <w:p>
      <w:pPr>
        <w:pStyle w:val="4"/>
        <w:spacing w:before="0" w:after="0" w:line="240" w:lineRule="auto"/>
        <w:ind w:right="-567"/>
        <w:jc w:val="left"/>
        <w:rPr>
          <w:rFonts w:ascii="Times New Roman" w:hAnsi="Times New Roman" w:eastAsia="宋体"/>
          <w:b w:val="0"/>
          <w:sz w:val="18"/>
          <w:szCs w:val="18"/>
        </w:rPr>
      </w:pPr>
      <w:bookmarkStart w:id="323" w:name="_Toc369171081"/>
      <w:bookmarkStart w:id="324" w:name="_Toc16269"/>
      <w:r>
        <w:rPr>
          <w:rFonts w:hint="eastAsia" w:ascii="Times New Roman" w:hAnsi="Times New Roman" w:eastAsia="宋体"/>
          <w:b w:val="0"/>
          <w:sz w:val="18"/>
          <w:szCs w:val="18"/>
        </w:rPr>
        <w:t>格式八 中小企业声明函</w:t>
      </w:r>
      <w:bookmarkEnd w:id="323"/>
      <w:bookmarkEnd w:id="324"/>
    </w:p>
    <w:p/>
    <w:p/>
    <w:p>
      <w:pPr>
        <w:pStyle w:val="3"/>
        <w:spacing w:after="120" w:afterLines="50" w:line="360" w:lineRule="exact"/>
        <w:rPr>
          <w:rFonts w:ascii="Times New Roman"/>
          <w:sz w:val="32"/>
          <w:szCs w:val="32"/>
        </w:rPr>
      </w:pPr>
      <w:bookmarkStart w:id="325" w:name="_Toc498429657"/>
      <w:bookmarkStart w:id="326" w:name="_Toc18450"/>
      <w:bookmarkStart w:id="327" w:name="_Toc496003223"/>
      <w:bookmarkStart w:id="328" w:name="_Toc505353801"/>
      <w:r>
        <w:rPr>
          <w:rFonts w:hint="eastAsia" w:ascii="Times New Roman"/>
          <w:sz w:val="32"/>
          <w:szCs w:val="32"/>
        </w:rPr>
        <w:t>中小企业</w:t>
      </w:r>
      <w:r>
        <w:rPr>
          <w:rFonts w:ascii="Times New Roman"/>
          <w:sz w:val="32"/>
          <w:szCs w:val="32"/>
        </w:rPr>
        <w:t>声明函</w:t>
      </w:r>
      <w:bookmarkEnd w:id="325"/>
      <w:bookmarkEnd w:id="326"/>
      <w:bookmarkEnd w:id="327"/>
      <w:bookmarkEnd w:id="328"/>
    </w:p>
    <w:p/>
    <w:p>
      <w:pPr>
        <w:spacing w:line="440" w:lineRule="exact"/>
        <w:ind w:firstLine="592" w:firstLineChars="247"/>
        <w:contextualSpacing/>
        <w:rPr>
          <w:sz w:val="24"/>
          <w:szCs w:val="24"/>
        </w:rPr>
      </w:pPr>
      <w:r>
        <w:rPr>
          <w:sz w:val="24"/>
          <w:szCs w:val="24"/>
        </w:rPr>
        <w:t>根据财政部《政府采购促进中小企业发展暂行办法》（财库[2011]181号）和宁波市财政局《关于政府采购促进中小企业发展若干问题的通知》（甬采购办[2012]1427号）的规定，本单位郑重声明：</w:t>
      </w:r>
      <w:r>
        <w:rPr>
          <w:sz w:val="24"/>
          <w:szCs w:val="24"/>
        </w:rPr>
        <w:br w:type="textWrapping"/>
      </w:r>
      <w:r>
        <w:rPr>
          <w:sz w:val="24"/>
          <w:szCs w:val="24"/>
        </w:rPr>
        <w:t>　　1.依据工业和信息化部、国家统计局、国家发展和改革委员会、财政部《关于印发中小企业划型标准规定的通知》（工信部联企业[2011]300号）规定的划分标准，本单位为______（大型、中型、小型、微型、不划型</w:t>
      </w:r>
      <w:r>
        <w:rPr>
          <w:rFonts w:hint="eastAsia"/>
          <w:sz w:val="24"/>
          <w:szCs w:val="24"/>
        </w:rPr>
        <w:t>、监狱</w:t>
      </w:r>
      <w:r>
        <w:rPr>
          <w:sz w:val="24"/>
          <w:szCs w:val="24"/>
        </w:rPr>
        <w:t>）企业，其中所属行业为________________、上年末从业人员____人、上年营业收入____万元、上年资产总额____万元。</w:t>
      </w:r>
      <w:r>
        <w:rPr>
          <w:sz w:val="24"/>
          <w:szCs w:val="24"/>
        </w:rPr>
        <w:br w:type="textWrapping"/>
      </w:r>
      <w:r>
        <w:rPr>
          <w:sz w:val="24"/>
          <w:szCs w:val="24"/>
        </w:rPr>
        <w:t>　　2.本单位参加______项目（项目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r>
        <w:rPr>
          <w:sz w:val="24"/>
          <w:szCs w:val="24"/>
        </w:rPr>
        <w:br w:type="textWrapping"/>
      </w:r>
      <w:r>
        <w:rPr>
          <w:sz w:val="24"/>
          <w:szCs w:val="24"/>
        </w:rPr>
        <w:t>　　本单位对上述声明的真实性负责。如有虚假，将依法承担相应责任。</w:t>
      </w:r>
      <w:r>
        <w:rPr>
          <w:sz w:val="24"/>
          <w:szCs w:val="24"/>
        </w:rPr>
        <w:br w:type="textWrapping"/>
      </w:r>
    </w:p>
    <w:p>
      <w:pPr>
        <w:spacing w:line="440" w:lineRule="exact"/>
        <w:contextualSpacing/>
        <w:rPr>
          <w:sz w:val="24"/>
          <w:szCs w:val="24"/>
        </w:rPr>
      </w:pPr>
    </w:p>
    <w:p>
      <w:pPr>
        <w:spacing w:line="440" w:lineRule="exact"/>
        <w:contextualSpacing/>
        <w:rPr>
          <w:sz w:val="24"/>
          <w:szCs w:val="24"/>
        </w:rPr>
      </w:pPr>
      <w:r>
        <w:rPr>
          <w:sz w:val="24"/>
          <w:szCs w:val="24"/>
        </w:rPr>
        <w:t>投标</w:t>
      </w:r>
      <w:r>
        <w:rPr>
          <w:rFonts w:hint="eastAsia"/>
          <w:sz w:val="24"/>
          <w:szCs w:val="24"/>
        </w:rPr>
        <w:t>人</w:t>
      </w:r>
      <w:r>
        <w:rPr>
          <w:sz w:val="24"/>
          <w:szCs w:val="24"/>
        </w:rPr>
        <w:t>（盖章）：</w:t>
      </w:r>
    </w:p>
    <w:p>
      <w:pPr>
        <w:spacing w:line="440" w:lineRule="exact"/>
        <w:contextualSpacing/>
        <w:rPr>
          <w:sz w:val="24"/>
          <w:szCs w:val="24"/>
        </w:rPr>
      </w:pPr>
      <w:r>
        <w:rPr>
          <w:sz w:val="24"/>
          <w:szCs w:val="24"/>
        </w:rPr>
        <w:t>日  期：</w:t>
      </w:r>
    </w:p>
    <w:p>
      <w:pPr>
        <w:spacing w:line="440" w:lineRule="exact"/>
        <w:contextualSpacing/>
        <w:rPr>
          <w:rFonts w:hint="eastAsia"/>
          <w:sz w:val="24"/>
          <w:szCs w:val="24"/>
        </w:rPr>
      </w:pPr>
      <w:r>
        <w:rPr>
          <w:sz w:val="24"/>
          <w:szCs w:val="24"/>
        </w:rPr>
        <w:br w:type="page"/>
      </w:r>
      <w:r>
        <w:rPr>
          <w:sz w:val="24"/>
          <w:szCs w:val="24"/>
        </w:rPr>
        <w:t>填写说明：</w:t>
      </w:r>
      <w:r>
        <w:rPr>
          <w:sz w:val="24"/>
          <w:szCs w:val="24"/>
        </w:rPr>
        <w:br w:type="textWrapping"/>
      </w:r>
      <w:r>
        <w:rPr>
          <w:sz w:val="24"/>
          <w:szCs w:val="24"/>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r>
        <w:rPr>
          <w:sz w:val="24"/>
          <w:szCs w:val="24"/>
        </w:rPr>
        <w:br w:type="textWrapping"/>
      </w:r>
      <w:r>
        <w:rPr>
          <w:sz w:val="24"/>
          <w:szCs w:val="24"/>
        </w:rPr>
        <w:t>2、第1条宁波政府采购网（</w:t>
      </w:r>
      <w:r>
        <w:rPr>
          <w:sz w:val="24"/>
          <w:szCs w:val="24"/>
          <w:lang/>
        </w:rPr>
        <w:drawing>
          <wp:inline distT="0" distB="0" distL="114300" distR="114300">
            <wp:extent cx="190500" cy="139700"/>
            <wp:effectExtent l="0" t="0" r="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190500" cy="139700"/>
                    </a:xfrm>
                    <a:prstGeom prst="rect">
                      <a:avLst/>
                    </a:prstGeom>
                    <a:noFill/>
                    <a:ln>
                      <a:noFill/>
                    </a:ln>
                  </pic:spPr>
                </pic:pic>
              </a:graphicData>
            </a:graphic>
          </wp:inline>
        </w:drawing>
      </w:r>
      <w:r>
        <w:rPr>
          <w:sz w:val="24"/>
          <w:szCs w:val="24"/>
        </w:rPr>
        <w:t>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r>
        <w:rPr>
          <w:sz w:val="24"/>
          <w:szCs w:val="24"/>
        </w:rPr>
        <w:br w:type="textWrapping"/>
      </w:r>
      <w:r>
        <w:rPr>
          <w:sz w:val="24"/>
          <w:szCs w:val="24"/>
        </w:rPr>
        <w:t>3、第2条有多个标包的，须按每个标包分别填写，无此分类货物金额的应填“零”。</w:t>
      </w:r>
      <w:r>
        <w:rPr>
          <w:sz w:val="24"/>
          <w:szCs w:val="24"/>
        </w:rPr>
        <w:br w:type="textWrapping"/>
      </w:r>
      <w:r>
        <w:rPr>
          <w:sz w:val="24"/>
          <w:szCs w:val="24"/>
        </w:rPr>
        <w:t>4、联合体投标的，由联合体主办方提供本表。</w:t>
      </w:r>
      <w:r>
        <w:rPr>
          <w:sz w:val="24"/>
          <w:szCs w:val="24"/>
        </w:rPr>
        <w:br w:type="textWrapping"/>
      </w:r>
      <w:r>
        <w:rPr>
          <w:sz w:val="24"/>
          <w:szCs w:val="24"/>
        </w:rPr>
        <w:t>5、资格入围式项目（一个标包由多家中标入围）：采购人公布项目预算的，第2条有关金额按市场预估总价、投标预估总价除以入围数量填写；未公布预算的或入围数量的，投标人无需填写。</w:t>
      </w:r>
      <w:r>
        <w:rPr>
          <w:sz w:val="24"/>
          <w:szCs w:val="24"/>
        </w:rPr>
        <w:br w:type="textWrapping"/>
      </w:r>
      <w:r>
        <w:rPr>
          <w:sz w:val="24"/>
          <w:szCs w:val="24"/>
        </w:rPr>
        <w:t>6、投标价格为费率的项目、中标价格按单价执行的项目：采购人公布项目预算的，第2条有关金额按市场预估总价、投标预估总价填写；未公布预算的，投标人无需填写。</w:t>
      </w:r>
      <w:r>
        <w:rPr>
          <w:sz w:val="24"/>
          <w:szCs w:val="24"/>
        </w:rPr>
        <w:br w:type="textWrapping"/>
      </w:r>
      <w:r>
        <w:rPr>
          <w:sz w:val="24"/>
          <w:szCs w:val="24"/>
        </w:rPr>
        <w:t>7、列入国家节能产品清单、环保产品清单的产品以中国政府采购网(</w:t>
      </w:r>
      <w:r>
        <w:rPr>
          <w:sz w:val="24"/>
          <w:szCs w:val="24"/>
          <w:lang/>
        </w:rPr>
        <w:drawing>
          <wp:inline distT="0" distB="0" distL="114300" distR="114300">
            <wp:extent cx="190500" cy="139700"/>
            <wp:effectExtent l="0" t="0" r="0"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190500" cy="139700"/>
                    </a:xfrm>
                    <a:prstGeom prst="rect">
                      <a:avLst/>
                    </a:prstGeom>
                    <a:noFill/>
                    <a:ln>
                      <a:noFill/>
                    </a:ln>
                  </pic:spPr>
                </pic:pic>
              </a:graphicData>
            </a:graphic>
          </wp:inline>
        </w:drawing>
      </w:r>
      <w:r>
        <w:rPr>
          <w:sz w:val="24"/>
          <w:szCs w:val="24"/>
        </w:rPr>
        <w:t>www.cc</w:t>
      </w:r>
      <w:r>
        <w:rPr>
          <w:rFonts w:cs="宋体"/>
          <w:kern w:val="0"/>
          <w:sz w:val="24"/>
          <w:szCs w:val="24"/>
        </w:rPr>
        <w:t>gp.gov</w:t>
      </w:r>
      <w:r>
        <w:rPr>
          <w:sz w:val="24"/>
          <w:szCs w:val="24"/>
        </w:rPr>
        <w:t>.cn)上财政部发布的文件为准。</w:t>
      </w:r>
    </w:p>
    <w:p>
      <w:pPr>
        <w:pStyle w:val="4"/>
        <w:spacing w:before="0" w:after="0" w:line="240" w:lineRule="auto"/>
        <w:ind w:right="-567"/>
        <w:jc w:val="left"/>
        <w:rPr>
          <w:rFonts w:hint="eastAsia" w:ascii="Times New Roman" w:hAnsi="Times New Roman" w:eastAsia="宋体"/>
          <w:sz w:val="24"/>
          <w:szCs w:val="24"/>
        </w:rPr>
      </w:pPr>
      <w:r>
        <w:rPr>
          <w:rFonts w:ascii="Times New Roman" w:hAnsi="Times New Roman" w:eastAsia="宋体"/>
          <w:sz w:val="24"/>
          <w:szCs w:val="24"/>
        </w:rPr>
        <w:br w:type="page"/>
      </w:r>
      <w:bookmarkStart w:id="329" w:name="OLE_LINK13"/>
      <w:bookmarkStart w:id="330" w:name="OLE_LINK14"/>
    </w:p>
    <w:p>
      <w:pPr>
        <w:pStyle w:val="4"/>
        <w:spacing w:before="0" w:after="0" w:line="240" w:lineRule="auto"/>
        <w:ind w:right="-567"/>
        <w:jc w:val="left"/>
        <w:rPr>
          <w:rFonts w:ascii="Times New Roman" w:hAnsi="Times New Roman" w:eastAsia="宋体"/>
          <w:b w:val="0"/>
          <w:sz w:val="18"/>
          <w:szCs w:val="18"/>
        </w:rPr>
      </w:pPr>
      <w:bookmarkStart w:id="331" w:name="_Toc28076"/>
      <w:r>
        <w:rPr>
          <w:rFonts w:hint="eastAsia" w:ascii="Times New Roman" w:hAnsi="Times New Roman" w:eastAsia="宋体"/>
          <w:b w:val="0"/>
          <w:sz w:val="18"/>
          <w:szCs w:val="18"/>
        </w:rPr>
        <w:t>格式九 残疾人福利性单位声明函（选用）</w:t>
      </w:r>
      <w:bookmarkEnd w:id="331"/>
    </w:p>
    <w:p>
      <w:pPr>
        <w:pStyle w:val="2"/>
        <w:spacing w:line="360" w:lineRule="auto"/>
        <w:ind w:firstLine="0"/>
        <w:jc w:val="center"/>
        <w:rPr>
          <w:rFonts w:hint="eastAsia" w:eastAsia="宋体"/>
          <w:szCs w:val="24"/>
        </w:rPr>
      </w:pPr>
    </w:p>
    <w:p>
      <w:pPr>
        <w:pStyle w:val="2"/>
        <w:spacing w:line="360" w:lineRule="auto"/>
        <w:ind w:firstLine="0"/>
        <w:jc w:val="center"/>
        <w:rPr>
          <w:rFonts w:hint="eastAsia" w:eastAsia="宋体"/>
          <w:szCs w:val="24"/>
        </w:rPr>
      </w:pPr>
    </w:p>
    <w:p>
      <w:pPr>
        <w:pStyle w:val="2"/>
        <w:spacing w:line="360" w:lineRule="auto"/>
        <w:ind w:firstLine="0"/>
        <w:jc w:val="center"/>
        <w:rPr>
          <w:rFonts w:hint="eastAsia" w:eastAsia="宋体"/>
          <w:szCs w:val="24"/>
        </w:rPr>
      </w:pPr>
    </w:p>
    <w:p>
      <w:pPr>
        <w:pStyle w:val="3"/>
        <w:spacing w:after="120" w:afterLines="50" w:line="360" w:lineRule="exact"/>
        <w:rPr>
          <w:rFonts w:hint="eastAsia" w:ascii="Times New Roman"/>
          <w:sz w:val="32"/>
          <w:szCs w:val="32"/>
        </w:rPr>
      </w:pPr>
      <w:bookmarkStart w:id="332" w:name="_Toc15761"/>
      <w:bookmarkStart w:id="333" w:name="_Toc505353802"/>
      <w:r>
        <w:rPr>
          <w:rFonts w:hint="eastAsia" w:ascii="Times New Roman"/>
          <w:sz w:val="32"/>
          <w:szCs w:val="32"/>
        </w:rPr>
        <w:t>残疾人福利性单位声明函</w:t>
      </w:r>
      <w:bookmarkEnd w:id="329"/>
      <w:bookmarkEnd w:id="330"/>
      <w:bookmarkEnd w:id="332"/>
      <w:bookmarkEnd w:id="333"/>
    </w:p>
    <w:p>
      <w:pPr>
        <w:pStyle w:val="2"/>
        <w:spacing w:line="360" w:lineRule="auto"/>
        <w:ind w:firstLine="0"/>
        <w:jc w:val="center"/>
        <w:rPr>
          <w:rFonts w:hint="eastAsia" w:eastAsia="宋体"/>
          <w:b/>
          <w:sz w:val="28"/>
          <w:szCs w:val="28"/>
        </w:rPr>
      </w:pPr>
    </w:p>
    <w:p>
      <w:pPr>
        <w:spacing w:line="360" w:lineRule="auto"/>
        <w:ind w:firstLine="480" w:firstLineChars="200"/>
        <w:contextualSpacing/>
        <w:rPr>
          <w:rFonts w:hint="eastAsia"/>
          <w:sz w:val="24"/>
          <w:szCs w:val="24"/>
        </w:rPr>
      </w:pPr>
      <w:r>
        <w:rPr>
          <w:rFonts w:hint="eastAsia"/>
          <w:sz w:val="24"/>
          <w:szCs w:val="24"/>
        </w:rPr>
        <w:t>本单位郑重声明，根据《财政部 民政部 中国残疾人联合会关于促进残疾人就业政府采购政策的通知》（财库</w:t>
      </w:r>
      <w:r>
        <w:rPr>
          <w:szCs w:val="21"/>
        </w:rPr>
        <w:t>[</w:t>
      </w:r>
      <w:r>
        <w:rPr>
          <w:rFonts w:hint="eastAsia"/>
          <w:sz w:val="24"/>
          <w:szCs w:val="24"/>
        </w:rPr>
        <w:t>2018</w:t>
      </w:r>
      <w:r>
        <w:rPr>
          <w:szCs w:val="21"/>
        </w:rPr>
        <w:t>]</w:t>
      </w:r>
      <w:r>
        <w:rPr>
          <w:rFonts w:hint="eastAsia"/>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sz w:val="24"/>
          <w:szCs w:val="24"/>
        </w:rPr>
      </w:pPr>
      <w:r>
        <w:rPr>
          <w:rFonts w:hint="eastAsia"/>
          <w:sz w:val="24"/>
          <w:szCs w:val="24"/>
        </w:rPr>
        <w:t>本单位对上述声明的真实性负责。如有虚假，将依法承担相应责任。</w:t>
      </w:r>
    </w:p>
    <w:p>
      <w:pPr>
        <w:spacing w:line="360" w:lineRule="auto"/>
        <w:ind w:firstLine="504" w:firstLineChars="200"/>
        <w:contextualSpacing/>
        <w:rPr>
          <w:rFonts w:hint="eastAsia"/>
          <w:spacing w:val="6"/>
          <w:sz w:val="24"/>
          <w:szCs w:val="24"/>
        </w:rPr>
      </w:pPr>
    </w:p>
    <w:p>
      <w:pPr>
        <w:spacing w:line="360" w:lineRule="auto"/>
        <w:ind w:firstLine="504" w:firstLineChars="200"/>
        <w:contextualSpacing/>
        <w:rPr>
          <w:rFonts w:hint="eastAsia"/>
          <w:spacing w:val="6"/>
          <w:sz w:val="24"/>
          <w:szCs w:val="24"/>
        </w:rPr>
      </w:pPr>
    </w:p>
    <w:p>
      <w:pPr>
        <w:tabs>
          <w:tab w:val="left" w:pos="4860"/>
        </w:tabs>
        <w:spacing w:line="360" w:lineRule="auto"/>
        <w:ind w:right="1560" w:firstLine="504" w:firstLineChars="200"/>
        <w:contextualSpacing/>
        <w:jc w:val="center"/>
        <w:rPr>
          <w:rFonts w:hint="eastAsia"/>
          <w:spacing w:val="6"/>
          <w:sz w:val="24"/>
          <w:szCs w:val="24"/>
        </w:rPr>
      </w:pPr>
      <w:r>
        <w:rPr>
          <w:rFonts w:hint="eastAsia"/>
          <w:spacing w:val="6"/>
          <w:sz w:val="24"/>
          <w:szCs w:val="24"/>
        </w:rPr>
        <w:t xml:space="preserve">                                   企业名称（盖章）： </w:t>
      </w:r>
    </w:p>
    <w:p>
      <w:pPr>
        <w:spacing w:line="360" w:lineRule="auto"/>
        <w:contextualSpacing/>
        <w:jc w:val="left"/>
        <w:rPr>
          <w:spacing w:val="6"/>
          <w:sz w:val="24"/>
          <w:szCs w:val="24"/>
        </w:rPr>
      </w:pPr>
      <w:r>
        <w:rPr>
          <w:rFonts w:hint="eastAsia"/>
          <w:spacing w:val="6"/>
          <w:sz w:val="24"/>
          <w:szCs w:val="24"/>
        </w:rPr>
        <w:t xml:space="preserve">                                            日  期：</w:t>
      </w:r>
    </w:p>
    <w:p>
      <w:pPr>
        <w:pStyle w:val="4"/>
        <w:spacing w:before="0" w:after="0" w:line="240" w:lineRule="auto"/>
        <w:ind w:right="-567"/>
        <w:jc w:val="left"/>
        <w:rPr>
          <w:rFonts w:ascii="Times New Roman" w:hAnsi="Times New Roman" w:eastAsia="宋体"/>
          <w:b w:val="0"/>
          <w:sz w:val="18"/>
          <w:szCs w:val="18"/>
        </w:rPr>
      </w:pPr>
      <w:r>
        <w:rPr>
          <w:spacing w:val="6"/>
          <w:sz w:val="24"/>
          <w:szCs w:val="24"/>
        </w:rPr>
        <w:br w:type="page"/>
      </w:r>
      <w:bookmarkStart w:id="334" w:name="_Toc20794"/>
      <w:r>
        <w:rPr>
          <w:rFonts w:hint="eastAsia" w:ascii="Times New Roman" w:hAnsi="Times New Roman" w:eastAsia="宋体"/>
          <w:b w:val="0"/>
          <w:sz w:val="18"/>
          <w:szCs w:val="18"/>
        </w:rPr>
        <w:t>格式十 技术商务</w:t>
      </w:r>
      <w:r>
        <w:rPr>
          <w:rFonts w:ascii="Times New Roman" w:hAnsi="Times New Roman" w:eastAsia="宋体"/>
          <w:b w:val="0"/>
          <w:sz w:val="18"/>
          <w:szCs w:val="18"/>
        </w:rPr>
        <w:t>分</w:t>
      </w:r>
      <w:r>
        <w:rPr>
          <w:rFonts w:hint="eastAsia" w:ascii="Times New Roman" w:hAnsi="Times New Roman" w:eastAsia="宋体"/>
          <w:b w:val="0"/>
          <w:sz w:val="18"/>
          <w:szCs w:val="18"/>
        </w:rPr>
        <w:t>自评表</w:t>
      </w:r>
      <w:bookmarkEnd w:id="334"/>
    </w:p>
    <w:tbl>
      <w:tblPr>
        <w:tblStyle w:val="44"/>
        <w:tblpPr w:leftFromText="180" w:rightFromText="180" w:vertAnchor="text" w:horzAnchor="margin" w:tblpXSpec="center" w:tblpY="4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946"/>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noWrap w:val="0"/>
            <w:vAlign w:val="center"/>
          </w:tcPr>
          <w:p>
            <w:pPr>
              <w:widowControl/>
              <w:snapToGrid w:val="0"/>
              <w:spacing w:line="400" w:lineRule="exact"/>
              <w:contextualSpacing/>
              <w:jc w:val="center"/>
              <w:rPr>
                <w:rFonts w:ascii="Times New Roman" w:hAnsi="Times New Roman"/>
                <w:szCs w:val="24"/>
              </w:rPr>
            </w:pPr>
            <w:r>
              <w:rPr>
                <w:rFonts w:hint="eastAsia" w:ascii="Times New Roman" w:hAnsi="Times New Roman"/>
                <w:szCs w:val="24"/>
              </w:rPr>
              <w:t>序号</w:t>
            </w:r>
          </w:p>
        </w:tc>
        <w:tc>
          <w:tcPr>
            <w:tcW w:w="6946" w:type="dxa"/>
            <w:tcBorders>
              <w:tl2br w:val="single" w:color="auto" w:sz="4" w:space="0"/>
            </w:tcBorders>
            <w:noWrap w:val="0"/>
            <w:vAlign w:val="center"/>
          </w:tcPr>
          <w:p>
            <w:pPr>
              <w:widowControl/>
              <w:snapToGrid w:val="0"/>
              <w:spacing w:line="400" w:lineRule="exact"/>
              <w:ind w:right="105"/>
              <w:contextualSpacing/>
              <w:jc w:val="right"/>
              <w:rPr>
                <w:rFonts w:hint="eastAsia" w:ascii="Times New Roman" w:hAnsi="Times New Roman"/>
                <w:szCs w:val="24"/>
              </w:rPr>
            </w:pPr>
          </w:p>
          <w:p>
            <w:pPr>
              <w:widowControl/>
              <w:snapToGrid w:val="0"/>
              <w:spacing w:line="400" w:lineRule="exact"/>
              <w:contextualSpacing/>
              <w:rPr>
                <w:rFonts w:ascii="Times New Roman" w:hAnsi="Times New Roman"/>
                <w:szCs w:val="24"/>
              </w:rPr>
            </w:pPr>
            <w:r>
              <w:rPr>
                <w:rFonts w:hint="eastAsia" w:ascii="Times New Roman" w:hAnsi="Times New Roman"/>
                <w:szCs w:val="24"/>
              </w:rPr>
              <w:t>评分项目</w:t>
            </w:r>
          </w:p>
        </w:tc>
        <w:tc>
          <w:tcPr>
            <w:tcW w:w="992" w:type="dxa"/>
            <w:noWrap w:val="0"/>
            <w:vAlign w:val="center"/>
          </w:tcPr>
          <w:p>
            <w:pPr>
              <w:widowControl/>
              <w:snapToGrid w:val="0"/>
              <w:spacing w:line="400" w:lineRule="exact"/>
              <w:ind w:right="-105"/>
              <w:contextualSpacing/>
              <w:jc w:val="center"/>
              <w:rPr>
                <w:rFonts w:hint="eastAsia"/>
                <w:szCs w:val="24"/>
              </w:rPr>
            </w:pPr>
            <w:r>
              <w:rPr>
                <w:rFonts w:hint="eastAsia"/>
                <w:szCs w:val="24"/>
              </w:rPr>
              <w:t>自评分</w:t>
            </w:r>
          </w:p>
        </w:tc>
        <w:tc>
          <w:tcPr>
            <w:tcW w:w="1276" w:type="dxa"/>
            <w:noWrap w:val="0"/>
            <w:vAlign w:val="center"/>
          </w:tcPr>
          <w:p>
            <w:pPr>
              <w:widowControl/>
              <w:snapToGrid w:val="0"/>
              <w:spacing w:line="400" w:lineRule="exact"/>
              <w:ind w:right="-105"/>
              <w:contextualSpacing/>
              <w:jc w:val="center"/>
              <w:rPr>
                <w:rFonts w:hint="eastAsia"/>
                <w:szCs w:val="24"/>
              </w:rPr>
            </w:pPr>
            <w:r>
              <w:rPr>
                <w:rFonts w:hint="eastAsia"/>
                <w:szCs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75" w:type="dxa"/>
            <w:vMerge w:val="restart"/>
            <w:noWrap w:val="0"/>
            <w:vAlign w:val="center"/>
          </w:tcPr>
          <w:p>
            <w:pPr>
              <w:snapToGrid w:val="0"/>
              <w:spacing w:line="400" w:lineRule="exact"/>
              <w:contextualSpacing/>
              <w:jc w:val="center"/>
              <w:rPr>
                <w:rFonts w:hint="eastAsia" w:ascii="Times New Roman" w:hAnsi="Times New Roman"/>
                <w:szCs w:val="24"/>
              </w:rPr>
            </w:pPr>
            <w:r>
              <w:rPr>
                <w:rFonts w:hint="eastAsia" w:ascii="Times New Roman" w:hAnsi="Times New Roman"/>
                <w:szCs w:val="24"/>
              </w:rPr>
              <w:t>技</w:t>
            </w:r>
          </w:p>
          <w:p>
            <w:pPr>
              <w:snapToGrid w:val="0"/>
              <w:spacing w:line="400" w:lineRule="exact"/>
              <w:contextualSpacing/>
              <w:jc w:val="center"/>
              <w:rPr>
                <w:rFonts w:hint="eastAsia" w:ascii="Times New Roman" w:hAnsi="Times New Roman"/>
                <w:szCs w:val="24"/>
              </w:rPr>
            </w:pPr>
            <w:r>
              <w:rPr>
                <w:rFonts w:hint="eastAsia" w:ascii="Times New Roman" w:hAnsi="Times New Roman"/>
                <w:szCs w:val="24"/>
              </w:rPr>
              <w:t>术</w:t>
            </w:r>
          </w:p>
          <w:p>
            <w:pPr>
              <w:snapToGrid w:val="0"/>
              <w:spacing w:line="400" w:lineRule="exact"/>
              <w:contextualSpacing/>
              <w:jc w:val="center"/>
              <w:rPr>
                <w:rFonts w:hint="eastAsia" w:ascii="Times New Roman" w:hAnsi="Times New Roman"/>
                <w:szCs w:val="24"/>
              </w:rPr>
            </w:pPr>
            <w:r>
              <w:rPr>
                <w:rFonts w:hint="eastAsia" w:ascii="Times New Roman" w:hAnsi="Times New Roman"/>
                <w:szCs w:val="24"/>
              </w:rPr>
              <w:t>商</w:t>
            </w:r>
          </w:p>
          <w:p>
            <w:pPr>
              <w:snapToGrid w:val="0"/>
              <w:spacing w:line="400" w:lineRule="exact"/>
              <w:contextualSpacing/>
              <w:jc w:val="center"/>
              <w:rPr>
                <w:rFonts w:hint="eastAsia" w:ascii="Times New Roman" w:hAnsi="Times New Roman"/>
                <w:szCs w:val="24"/>
              </w:rPr>
            </w:pPr>
            <w:r>
              <w:rPr>
                <w:rFonts w:hint="eastAsia" w:ascii="Times New Roman" w:hAnsi="Times New Roman"/>
                <w:szCs w:val="24"/>
              </w:rPr>
              <w:t>务</w:t>
            </w:r>
          </w:p>
          <w:p>
            <w:pPr>
              <w:snapToGrid w:val="0"/>
              <w:spacing w:line="400" w:lineRule="exact"/>
              <w:contextualSpacing/>
              <w:jc w:val="center"/>
              <w:rPr>
                <w:rFonts w:hint="eastAsia" w:ascii="Times New Roman" w:hAnsi="Times New Roman"/>
                <w:szCs w:val="24"/>
              </w:rPr>
            </w:pPr>
            <w:r>
              <w:rPr>
                <w:rFonts w:hint="eastAsia" w:ascii="Times New Roman" w:hAnsi="Times New Roman"/>
                <w:szCs w:val="24"/>
              </w:rPr>
              <w:t>分</w:t>
            </w:r>
          </w:p>
          <w:p>
            <w:pPr>
              <w:snapToGrid w:val="0"/>
              <w:spacing w:line="400" w:lineRule="exact"/>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rPr>
            </w:pPr>
            <w:r>
              <w:rPr>
                <w:rFonts w:hint="eastAsia" w:ascii="Times New Roman" w:hAnsi="Times New Roman"/>
                <w:szCs w:val="24"/>
                <w:lang w:bidi="ar"/>
              </w:rPr>
              <w:t>投标人综合实力</w:t>
            </w:r>
          </w:p>
        </w:tc>
        <w:tc>
          <w:tcPr>
            <w:tcW w:w="992" w:type="dxa"/>
            <w:noWrap w:val="0"/>
            <w:vAlign w:val="center"/>
          </w:tcPr>
          <w:p>
            <w:pPr>
              <w:autoSpaceDE w:val="0"/>
              <w:autoSpaceDN w:val="0"/>
              <w:snapToGrid w:val="0"/>
              <w:spacing w:line="400" w:lineRule="exact"/>
              <w:jc w:val="center"/>
              <w:rPr>
                <w:rFonts w:hint="eastAsia"/>
                <w:szCs w:val="24"/>
              </w:rPr>
            </w:pPr>
          </w:p>
        </w:tc>
        <w:tc>
          <w:tcPr>
            <w:tcW w:w="1276" w:type="dxa"/>
            <w:noWrap w:val="0"/>
            <w:vAlign w:val="center"/>
          </w:tcPr>
          <w:p>
            <w:pPr>
              <w:autoSpaceDE w:val="0"/>
              <w:autoSpaceDN w:val="0"/>
              <w:snapToGrid w:val="0"/>
              <w:spacing w:line="400" w:lineRule="exact"/>
              <w:jc w:val="center"/>
              <w:rPr>
                <w:rFonts w:hint="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rPr>
            </w:pPr>
            <w:r>
              <w:rPr>
                <w:rFonts w:hint="eastAsia" w:ascii="Times New Roman" w:hAnsi="Times New Roman"/>
                <w:szCs w:val="24"/>
                <w:lang w:bidi="ar"/>
              </w:rPr>
              <w:t>同类项目业绩服务业绩</w:t>
            </w:r>
          </w:p>
        </w:tc>
        <w:tc>
          <w:tcPr>
            <w:tcW w:w="992" w:type="dxa"/>
            <w:noWrap w:val="0"/>
            <w:vAlign w:val="center"/>
          </w:tcPr>
          <w:p>
            <w:pPr>
              <w:autoSpaceDE w:val="0"/>
              <w:autoSpaceDN w:val="0"/>
              <w:snapToGrid w:val="0"/>
              <w:spacing w:line="400" w:lineRule="exact"/>
              <w:jc w:val="center"/>
              <w:rPr>
                <w:rFonts w:hint="eastAsia"/>
                <w:szCs w:val="21"/>
              </w:rPr>
            </w:pPr>
          </w:p>
        </w:tc>
        <w:tc>
          <w:tcPr>
            <w:tcW w:w="1276" w:type="dxa"/>
            <w:noWrap w:val="0"/>
            <w:vAlign w:val="center"/>
          </w:tcPr>
          <w:p>
            <w:pPr>
              <w:autoSpaceDE w:val="0"/>
              <w:autoSpaceDN w:val="0"/>
              <w:snapToGrid w:val="0"/>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lang w:bidi="ar"/>
              </w:rPr>
            </w:pPr>
            <w:r>
              <w:rPr>
                <w:rFonts w:hint="eastAsia" w:ascii="Times New Roman" w:hAnsi="Times New Roman"/>
                <w:szCs w:val="24"/>
              </w:rPr>
              <w:t>投标产品技术性能、功能、成熟度与需求的吻合程度</w:t>
            </w:r>
          </w:p>
        </w:tc>
        <w:tc>
          <w:tcPr>
            <w:tcW w:w="992" w:type="dxa"/>
            <w:noWrap w:val="0"/>
            <w:vAlign w:val="center"/>
          </w:tcPr>
          <w:p>
            <w:pPr>
              <w:spacing w:line="380" w:lineRule="exact"/>
              <w:jc w:val="center"/>
              <w:rPr>
                <w:rFonts w:hint="eastAsia" w:cs="宋体"/>
                <w:kern w:val="0"/>
                <w:szCs w:val="21"/>
                <w:lang w:bidi="ar"/>
              </w:rPr>
            </w:pPr>
          </w:p>
        </w:tc>
        <w:tc>
          <w:tcPr>
            <w:tcW w:w="1276" w:type="dxa"/>
            <w:noWrap w:val="0"/>
            <w:vAlign w:val="center"/>
          </w:tcPr>
          <w:p>
            <w:pPr>
              <w:spacing w:line="380" w:lineRule="exact"/>
              <w:jc w:val="center"/>
              <w:rPr>
                <w:rFonts w:hint="eastAsia"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rPr>
            </w:pPr>
            <w:r>
              <w:rPr>
                <w:rFonts w:hint="eastAsia" w:ascii="Times New Roman" w:hAnsi="Times New Roman"/>
                <w:szCs w:val="24"/>
              </w:rPr>
              <w:t>专利、证书</w:t>
            </w:r>
          </w:p>
        </w:tc>
        <w:tc>
          <w:tcPr>
            <w:tcW w:w="992" w:type="dxa"/>
            <w:noWrap w:val="0"/>
            <w:vAlign w:val="center"/>
          </w:tcPr>
          <w:p>
            <w:pPr>
              <w:autoSpaceDE w:val="0"/>
              <w:autoSpaceDN w:val="0"/>
              <w:snapToGrid w:val="0"/>
              <w:spacing w:line="400" w:lineRule="exact"/>
              <w:jc w:val="center"/>
              <w:rPr>
                <w:rFonts w:hint="eastAsia"/>
                <w:szCs w:val="21"/>
              </w:rPr>
            </w:pPr>
          </w:p>
        </w:tc>
        <w:tc>
          <w:tcPr>
            <w:tcW w:w="1276" w:type="dxa"/>
            <w:noWrap w:val="0"/>
            <w:vAlign w:val="center"/>
          </w:tcPr>
          <w:p>
            <w:pPr>
              <w:autoSpaceDE w:val="0"/>
              <w:autoSpaceDN w:val="0"/>
              <w:snapToGrid w:val="0"/>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rPr>
            </w:pPr>
            <w:r>
              <w:rPr>
                <w:rFonts w:hint="eastAsia" w:ascii="Times New Roman" w:hAnsi="Times New Roman"/>
                <w:szCs w:val="24"/>
              </w:rPr>
              <w:t>检测报告</w:t>
            </w:r>
          </w:p>
        </w:tc>
        <w:tc>
          <w:tcPr>
            <w:tcW w:w="992" w:type="dxa"/>
            <w:noWrap w:val="0"/>
            <w:vAlign w:val="center"/>
          </w:tcPr>
          <w:p>
            <w:pPr>
              <w:autoSpaceDE w:val="0"/>
              <w:autoSpaceDN w:val="0"/>
              <w:snapToGrid w:val="0"/>
              <w:spacing w:line="400" w:lineRule="exact"/>
              <w:jc w:val="center"/>
              <w:rPr>
                <w:rFonts w:hint="eastAsia"/>
                <w:color w:val="FF0000"/>
                <w:szCs w:val="21"/>
              </w:rPr>
            </w:pPr>
          </w:p>
        </w:tc>
        <w:tc>
          <w:tcPr>
            <w:tcW w:w="1276" w:type="dxa"/>
            <w:noWrap w:val="0"/>
            <w:vAlign w:val="center"/>
          </w:tcPr>
          <w:p>
            <w:pPr>
              <w:autoSpaceDE w:val="0"/>
              <w:autoSpaceDN w:val="0"/>
              <w:snapToGrid w:val="0"/>
              <w:spacing w:line="400" w:lineRule="exact"/>
              <w:jc w:val="center"/>
              <w:rPr>
                <w:rFonts w:hint="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rPr>
            </w:pPr>
            <w:r>
              <w:rPr>
                <w:rFonts w:hint="eastAsia" w:ascii="Times New Roman" w:hAnsi="Times New Roman"/>
                <w:szCs w:val="24"/>
              </w:rPr>
              <w:t>拟投入本项目人员实力</w:t>
            </w:r>
          </w:p>
        </w:tc>
        <w:tc>
          <w:tcPr>
            <w:tcW w:w="992" w:type="dxa"/>
            <w:noWrap w:val="0"/>
            <w:vAlign w:val="center"/>
          </w:tcPr>
          <w:p>
            <w:pPr>
              <w:autoSpaceDE w:val="0"/>
              <w:autoSpaceDN w:val="0"/>
              <w:snapToGrid w:val="0"/>
              <w:spacing w:line="400" w:lineRule="exact"/>
              <w:jc w:val="center"/>
              <w:rPr>
                <w:rFonts w:hint="eastAsia"/>
                <w:szCs w:val="21"/>
              </w:rPr>
            </w:pPr>
          </w:p>
        </w:tc>
        <w:tc>
          <w:tcPr>
            <w:tcW w:w="1276" w:type="dxa"/>
            <w:noWrap w:val="0"/>
            <w:vAlign w:val="center"/>
          </w:tcPr>
          <w:p>
            <w:pPr>
              <w:autoSpaceDE w:val="0"/>
              <w:autoSpaceDN w:val="0"/>
              <w:snapToGrid w:val="0"/>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rPr>
            </w:pPr>
            <w:r>
              <w:rPr>
                <w:rFonts w:hint="eastAsia" w:ascii="Times New Roman" w:hAnsi="Times New Roman"/>
                <w:szCs w:val="24"/>
              </w:rPr>
              <w:t>实施方案</w:t>
            </w:r>
          </w:p>
        </w:tc>
        <w:tc>
          <w:tcPr>
            <w:tcW w:w="992" w:type="dxa"/>
            <w:noWrap w:val="0"/>
            <w:vAlign w:val="center"/>
          </w:tcPr>
          <w:p>
            <w:pPr>
              <w:autoSpaceDE w:val="0"/>
              <w:autoSpaceDN w:val="0"/>
              <w:snapToGrid w:val="0"/>
              <w:spacing w:line="400" w:lineRule="exact"/>
              <w:jc w:val="center"/>
              <w:rPr>
                <w:rFonts w:hint="eastAsia"/>
                <w:szCs w:val="21"/>
              </w:rPr>
            </w:pPr>
            <w:r>
              <w:rPr>
                <w:rFonts w:hint="eastAsia"/>
                <w:szCs w:val="21"/>
              </w:rPr>
              <w:t>/</w:t>
            </w:r>
          </w:p>
        </w:tc>
        <w:tc>
          <w:tcPr>
            <w:tcW w:w="1276" w:type="dxa"/>
            <w:noWrap w:val="0"/>
            <w:vAlign w:val="center"/>
          </w:tcPr>
          <w:p>
            <w:pPr>
              <w:autoSpaceDE w:val="0"/>
              <w:autoSpaceDN w:val="0"/>
              <w:snapToGrid w:val="0"/>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rPr>
            </w:pPr>
            <w:r>
              <w:rPr>
                <w:rFonts w:hint="eastAsia" w:ascii="Times New Roman" w:hAnsi="Times New Roman"/>
                <w:szCs w:val="24"/>
              </w:rPr>
              <w:t>培训方案</w:t>
            </w:r>
          </w:p>
        </w:tc>
        <w:tc>
          <w:tcPr>
            <w:tcW w:w="992" w:type="dxa"/>
            <w:noWrap w:val="0"/>
            <w:vAlign w:val="center"/>
          </w:tcPr>
          <w:p>
            <w:pPr>
              <w:autoSpaceDE w:val="0"/>
              <w:autoSpaceDN w:val="0"/>
              <w:snapToGrid w:val="0"/>
              <w:spacing w:line="400" w:lineRule="exact"/>
              <w:jc w:val="center"/>
              <w:rPr>
                <w:rFonts w:hint="eastAsia"/>
                <w:szCs w:val="21"/>
              </w:rPr>
            </w:pPr>
            <w:r>
              <w:rPr>
                <w:rFonts w:hint="eastAsia"/>
                <w:szCs w:val="21"/>
              </w:rPr>
              <w:t>/</w:t>
            </w:r>
          </w:p>
        </w:tc>
        <w:tc>
          <w:tcPr>
            <w:tcW w:w="1276" w:type="dxa"/>
            <w:noWrap w:val="0"/>
            <w:vAlign w:val="center"/>
          </w:tcPr>
          <w:p>
            <w:pPr>
              <w:autoSpaceDE w:val="0"/>
              <w:autoSpaceDN w:val="0"/>
              <w:snapToGrid w:val="0"/>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rPr>
            </w:pPr>
            <w:r>
              <w:rPr>
                <w:rFonts w:hint="eastAsia" w:ascii="Times New Roman" w:hAnsi="Times New Roman"/>
                <w:szCs w:val="24"/>
                <w:lang w:bidi="ar"/>
              </w:rPr>
              <w:t>项目总体方案设计</w:t>
            </w:r>
          </w:p>
        </w:tc>
        <w:tc>
          <w:tcPr>
            <w:tcW w:w="992" w:type="dxa"/>
            <w:noWrap w:val="0"/>
            <w:vAlign w:val="center"/>
          </w:tcPr>
          <w:p>
            <w:pPr>
              <w:autoSpaceDE w:val="0"/>
              <w:autoSpaceDN w:val="0"/>
              <w:snapToGrid w:val="0"/>
              <w:spacing w:line="400" w:lineRule="exact"/>
              <w:jc w:val="center"/>
              <w:rPr>
                <w:rFonts w:hint="eastAsia"/>
                <w:szCs w:val="21"/>
              </w:rPr>
            </w:pPr>
            <w:r>
              <w:rPr>
                <w:rFonts w:hint="eastAsia"/>
                <w:szCs w:val="21"/>
              </w:rPr>
              <w:t>/</w:t>
            </w:r>
          </w:p>
        </w:tc>
        <w:tc>
          <w:tcPr>
            <w:tcW w:w="1276" w:type="dxa"/>
            <w:noWrap w:val="0"/>
            <w:vAlign w:val="center"/>
          </w:tcPr>
          <w:p>
            <w:pPr>
              <w:autoSpaceDE w:val="0"/>
              <w:autoSpaceDN w:val="0"/>
              <w:snapToGrid w:val="0"/>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75" w:type="dxa"/>
            <w:vMerge w:val="continue"/>
            <w:noWrap w:val="0"/>
            <w:textDirection w:val="tbRlV"/>
            <w:vAlign w:val="center"/>
          </w:tcPr>
          <w:p>
            <w:pPr>
              <w:snapToGrid w:val="0"/>
              <w:spacing w:line="400" w:lineRule="exact"/>
              <w:ind w:left="113" w:right="113"/>
              <w:contextualSpacing/>
              <w:jc w:val="center"/>
              <w:rPr>
                <w:rFonts w:hint="eastAsia" w:ascii="Times New Roman" w:hAnsi="Times New Roman"/>
                <w:szCs w:val="24"/>
              </w:rPr>
            </w:pPr>
          </w:p>
        </w:tc>
        <w:tc>
          <w:tcPr>
            <w:tcW w:w="6946" w:type="dxa"/>
            <w:noWrap w:val="0"/>
            <w:vAlign w:val="center"/>
          </w:tcPr>
          <w:p>
            <w:pPr>
              <w:widowControl/>
              <w:snapToGrid w:val="0"/>
              <w:spacing w:line="400" w:lineRule="exact"/>
              <w:contextualSpacing/>
              <w:jc w:val="left"/>
              <w:rPr>
                <w:rFonts w:hint="eastAsia" w:ascii="Times New Roman" w:hAnsi="Times New Roman"/>
                <w:szCs w:val="24"/>
                <w:lang w:bidi="ar"/>
              </w:rPr>
            </w:pPr>
            <w:r>
              <w:rPr>
                <w:rFonts w:hint="eastAsia" w:ascii="Times New Roman" w:hAnsi="Times New Roman"/>
                <w:szCs w:val="24"/>
                <w:lang w:bidi="ar"/>
              </w:rPr>
              <w:t>售后服务方案</w:t>
            </w:r>
          </w:p>
        </w:tc>
        <w:tc>
          <w:tcPr>
            <w:tcW w:w="992" w:type="dxa"/>
            <w:noWrap w:val="0"/>
            <w:vAlign w:val="center"/>
          </w:tcPr>
          <w:p>
            <w:pPr>
              <w:autoSpaceDE w:val="0"/>
              <w:autoSpaceDN w:val="0"/>
              <w:snapToGrid w:val="0"/>
              <w:spacing w:line="400" w:lineRule="exact"/>
              <w:jc w:val="center"/>
              <w:rPr>
                <w:rFonts w:hint="eastAsia"/>
                <w:szCs w:val="21"/>
              </w:rPr>
            </w:pPr>
            <w:r>
              <w:rPr>
                <w:rFonts w:hint="eastAsia"/>
                <w:szCs w:val="21"/>
              </w:rPr>
              <w:t>/</w:t>
            </w:r>
          </w:p>
        </w:tc>
        <w:tc>
          <w:tcPr>
            <w:tcW w:w="1276" w:type="dxa"/>
            <w:noWrap w:val="0"/>
            <w:vAlign w:val="center"/>
          </w:tcPr>
          <w:p>
            <w:pPr>
              <w:autoSpaceDE w:val="0"/>
              <w:autoSpaceDN w:val="0"/>
              <w:snapToGrid w:val="0"/>
              <w:spacing w:line="400" w:lineRule="exact"/>
              <w:jc w:val="center"/>
              <w:rPr>
                <w:rFonts w:hint="eastAsia"/>
                <w:szCs w:val="21"/>
              </w:rPr>
            </w:pPr>
          </w:p>
        </w:tc>
      </w:tr>
    </w:tbl>
    <w:p>
      <w:pPr>
        <w:spacing w:line="360" w:lineRule="auto"/>
        <w:contextualSpacing/>
        <w:jc w:val="left"/>
        <w:rPr>
          <w:rFonts w:hint="eastAsia"/>
          <w:spacing w:val="6"/>
          <w:sz w:val="24"/>
          <w:szCs w:val="24"/>
        </w:rPr>
      </w:pPr>
    </w:p>
    <w:p>
      <w:pPr>
        <w:pStyle w:val="4"/>
        <w:spacing w:before="0" w:after="0" w:line="240" w:lineRule="auto"/>
        <w:ind w:right="-567"/>
        <w:jc w:val="left"/>
        <w:rPr>
          <w:rFonts w:hint="eastAsia" w:ascii="Times New Roman" w:hAnsi="Times New Roman" w:eastAsia="宋体"/>
          <w:b w:val="0"/>
          <w:sz w:val="18"/>
          <w:szCs w:val="18"/>
        </w:rPr>
      </w:pPr>
      <w:r>
        <w:rPr>
          <w:rFonts w:ascii="Times New Roman" w:hAnsi="Times New Roman" w:eastAsia="宋体"/>
          <w:b w:val="0"/>
          <w:sz w:val="18"/>
          <w:szCs w:val="18"/>
        </w:rPr>
        <w:br w:type="page"/>
      </w:r>
      <w:bookmarkStart w:id="335" w:name="_Toc31716"/>
      <w:r>
        <w:rPr>
          <w:rFonts w:hint="eastAsia" w:ascii="Times New Roman" w:hAnsi="Times New Roman" w:eastAsia="宋体"/>
          <w:b w:val="0"/>
          <w:sz w:val="18"/>
          <w:szCs w:val="18"/>
        </w:rPr>
        <w:t>银行资信证明开具要求</w:t>
      </w:r>
      <w:bookmarkEnd w:id="335"/>
    </w:p>
    <w:p>
      <w:pPr>
        <w:rPr>
          <w:rFonts w:hint="eastAsia"/>
        </w:rPr>
      </w:pPr>
    </w:p>
    <w:p/>
    <w:p>
      <w:pPr>
        <w:pStyle w:val="3"/>
        <w:spacing w:after="120" w:afterLines="50" w:line="360" w:lineRule="exact"/>
        <w:rPr>
          <w:rFonts w:hint="eastAsia" w:ascii="Times New Roman"/>
          <w:sz w:val="32"/>
          <w:szCs w:val="32"/>
        </w:rPr>
      </w:pPr>
      <w:bookmarkStart w:id="336" w:name="_Toc505353803"/>
      <w:bookmarkStart w:id="337" w:name="_Toc15329"/>
      <w:r>
        <w:rPr>
          <w:rFonts w:hint="eastAsia" w:ascii="Times New Roman"/>
          <w:sz w:val="32"/>
          <w:szCs w:val="32"/>
        </w:rPr>
        <w:t>银行资信证明</w:t>
      </w:r>
      <w:bookmarkEnd w:id="336"/>
      <w:r>
        <w:rPr>
          <w:rFonts w:hint="eastAsia" w:ascii="Times New Roman"/>
          <w:sz w:val="32"/>
          <w:szCs w:val="32"/>
        </w:rPr>
        <w:t>开具要求</w:t>
      </w:r>
      <w:bookmarkEnd w:id="337"/>
    </w:p>
    <w:p>
      <w:pPr>
        <w:rPr>
          <w:rFonts w:hint="eastAsia"/>
        </w:rPr>
      </w:pPr>
    </w:p>
    <w:p>
      <w:pPr>
        <w:rPr>
          <w:rFonts w:hint="eastAsia"/>
        </w:rPr>
      </w:pPr>
    </w:p>
    <w:p>
      <w:pPr>
        <w:spacing w:line="360" w:lineRule="auto"/>
        <w:contextualSpacing/>
        <w:rPr>
          <w:rFonts w:hint="eastAsia"/>
          <w:sz w:val="24"/>
          <w:szCs w:val="24"/>
        </w:rPr>
      </w:pPr>
      <w:r>
        <w:rPr>
          <w:rFonts w:hint="eastAsia"/>
          <w:sz w:val="24"/>
          <w:szCs w:val="24"/>
        </w:rPr>
        <w:t>银行资信证明开具要求：</w:t>
      </w:r>
    </w:p>
    <w:p>
      <w:pPr>
        <w:spacing w:line="360" w:lineRule="auto"/>
        <w:ind w:firstLine="480" w:firstLineChars="200"/>
        <w:contextualSpacing/>
        <w:rPr>
          <w:sz w:val="24"/>
          <w:szCs w:val="24"/>
        </w:rPr>
      </w:pPr>
      <w:r>
        <w:rPr>
          <w:rFonts w:hint="eastAsia"/>
          <w:sz w:val="24"/>
          <w:szCs w:val="24"/>
        </w:rPr>
        <w:t>1、非投标人基本账户的开户银行出具的资信证明无效。</w:t>
      </w:r>
    </w:p>
    <w:p>
      <w:pPr>
        <w:spacing w:line="360" w:lineRule="auto"/>
        <w:ind w:firstLine="480" w:firstLineChars="200"/>
        <w:contextualSpacing/>
        <w:rPr>
          <w:sz w:val="24"/>
          <w:szCs w:val="24"/>
        </w:rPr>
      </w:pPr>
      <w:r>
        <w:rPr>
          <w:rFonts w:hint="eastAsia"/>
          <w:sz w:val="24"/>
          <w:szCs w:val="24"/>
        </w:rPr>
        <w:t>2、证明投标人资金往来结算信誉情况良好。</w:t>
      </w:r>
    </w:p>
    <w:p>
      <w:pPr>
        <w:spacing w:line="360" w:lineRule="auto"/>
        <w:ind w:firstLine="480" w:firstLineChars="200"/>
        <w:contextualSpacing/>
        <w:rPr>
          <w:sz w:val="24"/>
          <w:szCs w:val="24"/>
        </w:rPr>
      </w:pPr>
      <w:r>
        <w:rPr>
          <w:rFonts w:hint="eastAsia"/>
          <w:sz w:val="24"/>
          <w:szCs w:val="24"/>
        </w:rPr>
        <w:t>3、落款应有银行公章或银行资信证明专用章或业务专用章及日期。</w:t>
      </w:r>
    </w:p>
    <w:p>
      <w:pPr>
        <w:spacing w:line="360" w:lineRule="auto"/>
        <w:ind w:firstLine="480" w:firstLineChars="200"/>
        <w:contextualSpacing/>
        <w:rPr>
          <w:rFonts w:hint="eastAsia"/>
        </w:rPr>
      </w:pPr>
      <w:r>
        <w:rPr>
          <w:rFonts w:hint="eastAsia"/>
          <w:sz w:val="24"/>
          <w:szCs w:val="24"/>
        </w:rPr>
        <w:t>4、银行资信证明应是在开标日前六个月之内出具的，否则为无效证明，有关企业资信等级的证明不能替代本证明。</w:t>
      </w:r>
    </w:p>
    <w:sectPr>
      <w:pgSz w:w="11907" w:h="16840"/>
      <w:pgMar w:top="1134" w:right="1531" w:bottom="1134" w:left="1531" w:header="425" w:footer="709"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Sans Serif">
    <w:altName w:val="Courier New"/>
    <w:panose1 w:val="00000000000000000000"/>
    <w:charset w:val="00"/>
    <w:family w:val="swiss"/>
    <w:pitch w:val="default"/>
    <w:sig w:usb0="000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1" w:usb1="080E0000" w:usb2="00000010" w:usb3="00000000" w:csb0="00040000" w:csb1="00000000"/>
  </w:font>
  <w:font w:name="方正书宋简体">
    <w:altName w:val="宋体"/>
    <w:panose1 w:val="00000000000000000000"/>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SimSun,Bold">
    <w:altName w:val="宋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fldChar w:fldCharType="begin"/>
    </w:r>
    <w:r>
      <w:rPr>
        <w:rStyle w:val="48"/>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19</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C0VEfSAQAAowMAAA4AAABkcnMvZTJvRG9jLnhtbK1TS27bMBDd F8gdCO5jKQ6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Laht5RYZnDgpx/fTz9/ n359I9dJnt5DjVmPHvPi8N4NuDTzPeBlYj3IYNIX+RCMo7jHs7hiiISnR9WyqkoMcYzNDuIXz899 gPggnCHJaGjA6WVR2eEjxDF1TknVrLtXWucJakt6RL2p3t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sLRUR9IBAACjAwAADgAAAAAAAAABACAAAAAi AQAAZHJzL2Uyb0RvYy54bWxQSwUGAAAAAAYABgBZAQAAZgU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49</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TptznSAQAAowMAAA4AAABkcnMvZTJvRG9jLnhtbK1TS27bMBDd F8gdCO5jKUbSCILloIWRoEDRFkh6AJoiLQL8gUNb8gXaG3TVTfc9l8/RISU5RbrJohtqhjN8M+/N aHU3GE0OIoBytqFXi5ISYblrld019OvT/WVFCURmW6adFQ09CqB364s3q97XYuk6p1sRCIJYqHvf 0C5GXxcF8E4YBgvnhcWgdMGwiG7YFW1gPaIbXSzL8m3Ru9D64LgAwNvNGKQTYngNoJNScbFxfG+E jSNqEJpFpASd8kDXuVspBY+fpQQRiW4oMo35xCJob9NZrFes3gXmO8WnFthrWnjByTBlsegZasMi I/ug/oEyigcHTsYFd6YYiWRFkMVV+UKbx455kbmg1ODPosP/g+WfDl8CUW1DbymxzODATz++n37+ Pv36Rq6TPL2HGrMePebF4b0bcGnme8DLxHqQwaQv8iEYR3GPZ3HFEAlPj6plVZUY4hibHcQvnp/7 APFBOEOS0dCA08uissNHiGPqnJKqWXevtM4T1Jb0iHpT3d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9Om3OdIBAACjAwAADgAAAAAAAAABACAAAAAi AQAAZHJzL2Uyb0RvYy54bWxQSwUGAAAAAAYABgBZAQAAZgU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49</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p>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HHfF/SAQAAowMAAA4AAABkcnMvZTJvRG9jLnhtbK1TS27bMBDd F8gdCO5rKQbcCoLloIWRoEDRFkhzAJoiLQL8gUNb8gXaG3TVTfc9l8/RISU5QbLJohtqhjN8M+/N aH0zGE2OIoBytqHXi5ISYblrld039OH77duKEojMtkw7Kxp6EkBvNldv1r2vxdJ1TrciEASxUPe+ oV2Mvi4K4J0wDBbOC4tB6YJhEd2wL9rAekQ3uliW5buid6H1wXEBgLfbMUgnxPAaQCel4mLr+MEI G0fUIDSLSAk65YFucrdSCh6/SgkiEt1QZBrziUXQ3qWz2KxZvQ/Md4pPLbDXtPCMk2HKYtEL1JZF Rg5BvYAyigcHTsYFd6YYiWRFkMV1+Uyb+455kbmg1OAvosP/g+Vfjt8CUW1DV5RYZnDg518/z7// nv/8IMskT++hxqx7j3lx+OgGXJr5HvAysR5kMOmLfAjGUdzTRVwxRMLTo2pZVSWGOMZmB/GLx+c+ QLwTzpBkNDTg9LKo7PgZ4pg6p6Rq1t0qrfMEtSU9oq6q96v84hJCdG2xSGIxdpusOOyGidrOtSdk 1uMKNNTixlOiP1lUOG3LbITZ2M3GwQe17/I6pVbAfzhEbCd3mSqMsFNhnF3mOe1ZWo6nfs56/Lc2 /w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Acd8X9IBAACjAwAADgAAAAAAAAABACAAAAAi AQAAZHJzL2Uyb0RvYy54bWxQSwUGAAAAAAYABgBZAQAAZgUAAAAA ">
              <v:fill on="f" focussize="0,0"/>
              <v:stroke on="f" weight="1.25pt"/>
              <v:imagedata o:title=""/>
              <o:lock v:ext="edit" aspectratio="f"/>
              <v:textbox inset="0mm,0mm,0mm,0mm" style="mso-fit-shape-to-text:t;">
                <w:txbxContent>
                  <w:p>
                    <w:pPr>
                      <w:pStyle w:val="28"/>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tabs>
        <w:tab w:val="right" w:pos="9813"/>
        <w:tab w:val="clear" w:pos="4153"/>
        <w:tab w:val="clear" w:pos="8306"/>
      </w:tabs>
      <w:ind w:left="-966" w:right="-968"/>
      <w:rPr>
        <w:rFonts w:ascii="宋体" w:hAnsi="宋体"/>
        <w:w w:val="80"/>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szCs w:val="1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0A89E"/>
    <w:multiLevelType w:val="singleLevel"/>
    <w:tmpl w:val="DDF0A89E"/>
    <w:lvl w:ilvl="0" w:tentative="0">
      <w:start w:val="2"/>
      <w:numFmt w:val="chineseCounting"/>
      <w:suff w:val="nothing"/>
      <w:lvlText w:val="%1、"/>
      <w:lvlJc w:val="left"/>
      <w:rPr>
        <w:rFonts w:hint="eastAsia"/>
      </w:rPr>
    </w:lvl>
  </w:abstractNum>
  <w:abstractNum w:abstractNumId="1">
    <w:nsid w:val="00000017"/>
    <w:multiLevelType w:val="multilevel"/>
    <w:tmpl w:val="00000017"/>
    <w:lvl w:ilvl="0" w:tentative="0">
      <w:start w:val="1"/>
      <w:numFmt w:val="decimal"/>
      <w:pStyle w:val="2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9"/>
      <w:suff w:val="nothing"/>
      <w:lvlText w:val="%1.%2　"/>
      <w:lvlJc w:val="left"/>
      <w:pPr>
        <w:ind w:left="824"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123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37"/>
    <w:multiLevelType w:val="multilevel"/>
    <w:tmpl w:val="00000037"/>
    <w:lvl w:ilvl="0" w:tentative="0">
      <w:start w:val="1"/>
      <w:numFmt w:val="decimal"/>
      <w:suff w:val="nothing"/>
      <w:lvlText w:val="表%1　"/>
      <w:lvlJc w:val="left"/>
      <w:pPr>
        <w:ind w:left="189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pStyle w:val="212"/>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E13204C"/>
    <w:multiLevelType w:val="multilevel"/>
    <w:tmpl w:val="3E13204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67"/>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59EA49"/>
    <w:multiLevelType w:val="singleLevel"/>
    <w:tmpl w:val="7359EA49"/>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AC"/>
    <w:rsid w:val="000003F3"/>
    <w:rsid w:val="000013D2"/>
    <w:rsid w:val="000013FC"/>
    <w:rsid w:val="00001AA8"/>
    <w:rsid w:val="000029FD"/>
    <w:rsid w:val="00002B84"/>
    <w:rsid w:val="000034BE"/>
    <w:rsid w:val="000048C8"/>
    <w:rsid w:val="000055B5"/>
    <w:rsid w:val="00015552"/>
    <w:rsid w:val="00015618"/>
    <w:rsid w:val="00016049"/>
    <w:rsid w:val="000206C5"/>
    <w:rsid w:val="00020A49"/>
    <w:rsid w:val="0002103D"/>
    <w:rsid w:val="000212C0"/>
    <w:rsid w:val="000215D8"/>
    <w:rsid w:val="00021865"/>
    <w:rsid w:val="000218E1"/>
    <w:rsid w:val="00024AB4"/>
    <w:rsid w:val="000317C2"/>
    <w:rsid w:val="00032CE2"/>
    <w:rsid w:val="00033286"/>
    <w:rsid w:val="00033C98"/>
    <w:rsid w:val="00035AAB"/>
    <w:rsid w:val="00035FD2"/>
    <w:rsid w:val="00040B75"/>
    <w:rsid w:val="00045B24"/>
    <w:rsid w:val="00047B1C"/>
    <w:rsid w:val="00052730"/>
    <w:rsid w:val="00057AD9"/>
    <w:rsid w:val="0006035D"/>
    <w:rsid w:val="00063557"/>
    <w:rsid w:val="000678AE"/>
    <w:rsid w:val="00070E03"/>
    <w:rsid w:val="00074870"/>
    <w:rsid w:val="000766D0"/>
    <w:rsid w:val="00076779"/>
    <w:rsid w:val="00077819"/>
    <w:rsid w:val="000803FE"/>
    <w:rsid w:val="00081E45"/>
    <w:rsid w:val="000828AB"/>
    <w:rsid w:val="000852F3"/>
    <w:rsid w:val="0008574F"/>
    <w:rsid w:val="00086148"/>
    <w:rsid w:val="0008643C"/>
    <w:rsid w:val="00086C56"/>
    <w:rsid w:val="00093BA5"/>
    <w:rsid w:val="0009568D"/>
    <w:rsid w:val="000A1BA8"/>
    <w:rsid w:val="000A1D18"/>
    <w:rsid w:val="000A228D"/>
    <w:rsid w:val="000A5419"/>
    <w:rsid w:val="000A7FF3"/>
    <w:rsid w:val="000B0888"/>
    <w:rsid w:val="000B2165"/>
    <w:rsid w:val="000B2E71"/>
    <w:rsid w:val="000B49AA"/>
    <w:rsid w:val="000B5589"/>
    <w:rsid w:val="000B5E87"/>
    <w:rsid w:val="000B72B8"/>
    <w:rsid w:val="000C0078"/>
    <w:rsid w:val="000C0D27"/>
    <w:rsid w:val="000C29BD"/>
    <w:rsid w:val="000C2F8C"/>
    <w:rsid w:val="000C644F"/>
    <w:rsid w:val="000D0697"/>
    <w:rsid w:val="000D5D9A"/>
    <w:rsid w:val="000D6A0E"/>
    <w:rsid w:val="000D7520"/>
    <w:rsid w:val="000D7938"/>
    <w:rsid w:val="000E0365"/>
    <w:rsid w:val="000E12FD"/>
    <w:rsid w:val="000E1927"/>
    <w:rsid w:val="000E3F83"/>
    <w:rsid w:val="000E7D3C"/>
    <w:rsid w:val="000F0327"/>
    <w:rsid w:val="000F0B42"/>
    <w:rsid w:val="000F1E72"/>
    <w:rsid w:val="001033E7"/>
    <w:rsid w:val="00103A10"/>
    <w:rsid w:val="00107F97"/>
    <w:rsid w:val="00110CE4"/>
    <w:rsid w:val="00112AFF"/>
    <w:rsid w:val="00112FD4"/>
    <w:rsid w:val="00117287"/>
    <w:rsid w:val="001205E2"/>
    <w:rsid w:val="00120757"/>
    <w:rsid w:val="00121029"/>
    <w:rsid w:val="0012106B"/>
    <w:rsid w:val="00121B44"/>
    <w:rsid w:val="00122D92"/>
    <w:rsid w:val="00130603"/>
    <w:rsid w:val="0013267B"/>
    <w:rsid w:val="00134AC8"/>
    <w:rsid w:val="0013542D"/>
    <w:rsid w:val="001359A6"/>
    <w:rsid w:val="001367EF"/>
    <w:rsid w:val="001369CB"/>
    <w:rsid w:val="00141C05"/>
    <w:rsid w:val="00143178"/>
    <w:rsid w:val="00143A1D"/>
    <w:rsid w:val="00146431"/>
    <w:rsid w:val="00151FCF"/>
    <w:rsid w:val="00155404"/>
    <w:rsid w:val="00161A92"/>
    <w:rsid w:val="00163F99"/>
    <w:rsid w:val="00164EAA"/>
    <w:rsid w:val="001650C2"/>
    <w:rsid w:val="0016580B"/>
    <w:rsid w:val="00165829"/>
    <w:rsid w:val="0016623F"/>
    <w:rsid w:val="00170511"/>
    <w:rsid w:val="00171441"/>
    <w:rsid w:val="00173D6E"/>
    <w:rsid w:val="00174260"/>
    <w:rsid w:val="00177EB4"/>
    <w:rsid w:val="00180E84"/>
    <w:rsid w:val="00181EB1"/>
    <w:rsid w:val="00183BAB"/>
    <w:rsid w:val="00183E9C"/>
    <w:rsid w:val="001845FD"/>
    <w:rsid w:val="00185262"/>
    <w:rsid w:val="001870C4"/>
    <w:rsid w:val="00187D06"/>
    <w:rsid w:val="00190399"/>
    <w:rsid w:val="00191F28"/>
    <w:rsid w:val="001931C8"/>
    <w:rsid w:val="001935AE"/>
    <w:rsid w:val="001942F0"/>
    <w:rsid w:val="00194FC1"/>
    <w:rsid w:val="001A139A"/>
    <w:rsid w:val="001A28FE"/>
    <w:rsid w:val="001A2D7B"/>
    <w:rsid w:val="001A7697"/>
    <w:rsid w:val="001B06EB"/>
    <w:rsid w:val="001B17B2"/>
    <w:rsid w:val="001B3071"/>
    <w:rsid w:val="001B344B"/>
    <w:rsid w:val="001B4E0C"/>
    <w:rsid w:val="001C17A1"/>
    <w:rsid w:val="001C322B"/>
    <w:rsid w:val="001C32C8"/>
    <w:rsid w:val="001C52A0"/>
    <w:rsid w:val="001C59CA"/>
    <w:rsid w:val="001C7DD8"/>
    <w:rsid w:val="001D2DD8"/>
    <w:rsid w:val="001D57ED"/>
    <w:rsid w:val="001D5CF2"/>
    <w:rsid w:val="001D6996"/>
    <w:rsid w:val="001D7C5D"/>
    <w:rsid w:val="001D7DE1"/>
    <w:rsid w:val="001E1CB4"/>
    <w:rsid w:val="001E4B81"/>
    <w:rsid w:val="001E6D0F"/>
    <w:rsid w:val="001F239D"/>
    <w:rsid w:val="001F6589"/>
    <w:rsid w:val="001F65B5"/>
    <w:rsid w:val="001F66FE"/>
    <w:rsid w:val="001F719A"/>
    <w:rsid w:val="001F756C"/>
    <w:rsid w:val="00200E9E"/>
    <w:rsid w:val="00206B21"/>
    <w:rsid w:val="00207EA1"/>
    <w:rsid w:val="0021402A"/>
    <w:rsid w:val="00216373"/>
    <w:rsid w:val="00217BA6"/>
    <w:rsid w:val="002231DA"/>
    <w:rsid w:val="002272F4"/>
    <w:rsid w:val="0022771A"/>
    <w:rsid w:val="00227D12"/>
    <w:rsid w:val="002317F0"/>
    <w:rsid w:val="00233EEB"/>
    <w:rsid w:val="002367A2"/>
    <w:rsid w:val="00236848"/>
    <w:rsid w:val="002414F7"/>
    <w:rsid w:val="00243CF2"/>
    <w:rsid w:val="00244FCC"/>
    <w:rsid w:val="00247EF3"/>
    <w:rsid w:val="00251562"/>
    <w:rsid w:val="002547F7"/>
    <w:rsid w:val="002567AC"/>
    <w:rsid w:val="00260747"/>
    <w:rsid w:val="0026120C"/>
    <w:rsid w:val="00262303"/>
    <w:rsid w:val="00265D16"/>
    <w:rsid w:val="00266CB5"/>
    <w:rsid w:val="002716B1"/>
    <w:rsid w:val="00271920"/>
    <w:rsid w:val="0027249E"/>
    <w:rsid w:val="002736DA"/>
    <w:rsid w:val="002747E0"/>
    <w:rsid w:val="00275D93"/>
    <w:rsid w:val="0028051A"/>
    <w:rsid w:val="00280A51"/>
    <w:rsid w:val="00281EE3"/>
    <w:rsid w:val="00284E7D"/>
    <w:rsid w:val="00291A19"/>
    <w:rsid w:val="00296EBC"/>
    <w:rsid w:val="00297B4F"/>
    <w:rsid w:val="002A28C6"/>
    <w:rsid w:val="002A56AD"/>
    <w:rsid w:val="002A598E"/>
    <w:rsid w:val="002B053B"/>
    <w:rsid w:val="002B0BF2"/>
    <w:rsid w:val="002B384B"/>
    <w:rsid w:val="002B42F3"/>
    <w:rsid w:val="002B5C3E"/>
    <w:rsid w:val="002B65F0"/>
    <w:rsid w:val="002B6FC5"/>
    <w:rsid w:val="002C0968"/>
    <w:rsid w:val="002C0B68"/>
    <w:rsid w:val="002C3CEB"/>
    <w:rsid w:val="002C55EA"/>
    <w:rsid w:val="002C5675"/>
    <w:rsid w:val="002C6533"/>
    <w:rsid w:val="002D3075"/>
    <w:rsid w:val="002D4B2D"/>
    <w:rsid w:val="002D5E74"/>
    <w:rsid w:val="002D6A36"/>
    <w:rsid w:val="002D6CD2"/>
    <w:rsid w:val="002D78CE"/>
    <w:rsid w:val="002E084C"/>
    <w:rsid w:val="002E1221"/>
    <w:rsid w:val="002E1FD2"/>
    <w:rsid w:val="002E2331"/>
    <w:rsid w:val="002E7D9F"/>
    <w:rsid w:val="002F246F"/>
    <w:rsid w:val="002F26DC"/>
    <w:rsid w:val="002F2CFE"/>
    <w:rsid w:val="002F65F4"/>
    <w:rsid w:val="003000F8"/>
    <w:rsid w:val="003025DF"/>
    <w:rsid w:val="0030387D"/>
    <w:rsid w:val="0030498F"/>
    <w:rsid w:val="00306357"/>
    <w:rsid w:val="0030763F"/>
    <w:rsid w:val="003079D7"/>
    <w:rsid w:val="0031025A"/>
    <w:rsid w:val="00313112"/>
    <w:rsid w:val="003132EB"/>
    <w:rsid w:val="003132FF"/>
    <w:rsid w:val="00314D41"/>
    <w:rsid w:val="00314E0C"/>
    <w:rsid w:val="00314E8F"/>
    <w:rsid w:val="00315E3D"/>
    <w:rsid w:val="0031619F"/>
    <w:rsid w:val="0031710B"/>
    <w:rsid w:val="003177A5"/>
    <w:rsid w:val="00317BE1"/>
    <w:rsid w:val="00317F0E"/>
    <w:rsid w:val="00325ADD"/>
    <w:rsid w:val="00327EDE"/>
    <w:rsid w:val="003333B3"/>
    <w:rsid w:val="003373A2"/>
    <w:rsid w:val="0033743B"/>
    <w:rsid w:val="00341209"/>
    <w:rsid w:val="00341368"/>
    <w:rsid w:val="0034485A"/>
    <w:rsid w:val="00344F0B"/>
    <w:rsid w:val="0034593F"/>
    <w:rsid w:val="00346811"/>
    <w:rsid w:val="00346BCA"/>
    <w:rsid w:val="00347A3B"/>
    <w:rsid w:val="00347BED"/>
    <w:rsid w:val="00350438"/>
    <w:rsid w:val="00354760"/>
    <w:rsid w:val="00354F8F"/>
    <w:rsid w:val="00355D72"/>
    <w:rsid w:val="00357CA3"/>
    <w:rsid w:val="003600DF"/>
    <w:rsid w:val="0036025E"/>
    <w:rsid w:val="00361264"/>
    <w:rsid w:val="003613C6"/>
    <w:rsid w:val="00361E54"/>
    <w:rsid w:val="00361F99"/>
    <w:rsid w:val="003634DD"/>
    <w:rsid w:val="003649A2"/>
    <w:rsid w:val="003652C4"/>
    <w:rsid w:val="00370134"/>
    <w:rsid w:val="003727A3"/>
    <w:rsid w:val="0037303C"/>
    <w:rsid w:val="0037619C"/>
    <w:rsid w:val="003766C1"/>
    <w:rsid w:val="00377F70"/>
    <w:rsid w:val="00381C55"/>
    <w:rsid w:val="00382F33"/>
    <w:rsid w:val="00385864"/>
    <w:rsid w:val="00385E88"/>
    <w:rsid w:val="00386FF7"/>
    <w:rsid w:val="003954BB"/>
    <w:rsid w:val="003955AE"/>
    <w:rsid w:val="0039750E"/>
    <w:rsid w:val="00397B83"/>
    <w:rsid w:val="003A01B6"/>
    <w:rsid w:val="003A089A"/>
    <w:rsid w:val="003A0B10"/>
    <w:rsid w:val="003A1ADE"/>
    <w:rsid w:val="003A3A12"/>
    <w:rsid w:val="003B086F"/>
    <w:rsid w:val="003B1543"/>
    <w:rsid w:val="003B2B86"/>
    <w:rsid w:val="003B32B7"/>
    <w:rsid w:val="003B36FB"/>
    <w:rsid w:val="003B61FE"/>
    <w:rsid w:val="003B70E6"/>
    <w:rsid w:val="003B7717"/>
    <w:rsid w:val="003B7CFB"/>
    <w:rsid w:val="003C3206"/>
    <w:rsid w:val="003C5E2E"/>
    <w:rsid w:val="003C6A9B"/>
    <w:rsid w:val="003D0204"/>
    <w:rsid w:val="003D054A"/>
    <w:rsid w:val="003D0E65"/>
    <w:rsid w:val="003D2101"/>
    <w:rsid w:val="003D2681"/>
    <w:rsid w:val="003D5116"/>
    <w:rsid w:val="003D5715"/>
    <w:rsid w:val="003D63CB"/>
    <w:rsid w:val="003D67CB"/>
    <w:rsid w:val="003D6D63"/>
    <w:rsid w:val="003E033D"/>
    <w:rsid w:val="003E0C52"/>
    <w:rsid w:val="003F4886"/>
    <w:rsid w:val="003F67F8"/>
    <w:rsid w:val="003F696E"/>
    <w:rsid w:val="00403EB6"/>
    <w:rsid w:val="00421AB4"/>
    <w:rsid w:val="004316D6"/>
    <w:rsid w:val="00431D2F"/>
    <w:rsid w:val="00434B6E"/>
    <w:rsid w:val="004355A4"/>
    <w:rsid w:val="004355BC"/>
    <w:rsid w:val="00436724"/>
    <w:rsid w:val="00440E53"/>
    <w:rsid w:val="00440EAA"/>
    <w:rsid w:val="00441B46"/>
    <w:rsid w:val="00441C4F"/>
    <w:rsid w:val="00441DFB"/>
    <w:rsid w:val="00443049"/>
    <w:rsid w:val="0044683F"/>
    <w:rsid w:val="004575A3"/>
    <w:rsid w:val="00460255"/>
    <w:rsid w:val="00460CDE"/>
    <w:rsid w:val="004610E8"/>
    <w:rsid w:val="0046180F"/>
    <w:rsid w:val="004635B0"/>
    <w:rsid w:val="00463AAE"/>
    <w:rsid w:val="00463B37"/>
    <w:rsid w:val="00464EDC"/>
    <w:rsid w:val="00465CFE"/>
    <w:rsid w:val="00465EEB"/>
    <w:rsid w:val="004676C9"/>
    <w:rsid w:val="00471566"/>
    <w:rsid w:val="004733D5"/>
    <w:rsid w:val="004748CC"/>
    <w:rsid w:val="004769FE"/>
    <w:rsid w:val="0047702C"/>
    <w:rsid w:val="004810EB"/>
    <w:rsid w:val="00481BC6"/>
    <w:rsid w:val="00481EAC"/>
    <w:rsid w:val="00482E27"/>
    <w:rsid w:val="00483FAE"/>
    <w:rsid w:val="00485DF9"/>
    <w:rsid w:val="00490EAF"/>
    <w:rsid w:val="004916B0"/>
    <w:rsid w:val="004938FF"/>
    <w:rsid w:val="004945AB"/>
    <w:rsid w:val="004949B6"/>
    <w:rsid w:val="004961A8"/>
    <w:rsid w:val="00496C48"/>
    <w:rsid w:val="004A0288"/>
    <w:rsid w:val="004A2E59"/>
    <w:rsid w:val="004A3CD0"/>
    <w:rsid w:val="004B06F1"/>
    <w:rsid w:val="004B2472"/>
    <w:rsid w:val="004B4A3C"/>
    <w:rsid w:val="004B63DD"/>
    <w:rsid w:val="004C0565"/>
    <w:rsid w:val="004C2F9A"/>
    <w:rsid w:val="004C33F0"/>
    <w:rsid w:val="004C3A0D"/>
    <w:rsid w:val="004C6C0B"/>
    <w:rsid w:val="004C74C5"/>
    <w:rsid w:val="004C7DAD"/>
    <w:rsid w:val="004D00AC"/>
    <w:rsid w:val="004D100C"/>
    <w:rsid w:val="004D19D4"/>
    <w:rsid w:val="004D24EC"/>
    <w:rsid w:val="004E0E72"/>
    <w:rsid w:val="004E31BC"/>
    <w:rsid w:val="004E32D6"/>
    <w:rsid w:val="004E3B58"/>
    <w:rsid w:val="004E5BF0"/>
    <w:rsid w:val="004E6627"/>
    <w:rsid w:val="004F07C6"/>
    <w:rsid w:val="0050129B"/>
    <w:rsid w:val="00501304"/>
    <w:rsid w:val="00502039"/>
    <w:rsid w:val="0050245A"/>
    <w:rsid w:val="005044BD"/>
    <w:rsid w:val="005101D9"/>
    <w:rsid w:val="00513B0D"/>
    <w:rsid w:val="005143AC"/>
    <w:rsid w:val="00514681"/>
    <w:rsid w:val="00515607"/>
    <w:rsid w:val="00522CB7"/>
    <w:rsid w:val="00523626"/>
    <w:rsid w:val="0052398A"/>
    <w:rsid w:val="005304BF"/>
    <w:rsid w:val="00530FFF"/>
    <w:rsid w:val="0053255E"/>
    <w:rsid w:val="005335B1"/>
    <w:rsid w:val="00535EDE"/>
    <w:rsid w:val="0053607D"/>
    <w:rsid w:val="00545030"/>
    <w:rsid w:val="00547A70"/>
    <w:rsid w:val="0055187C"/>
    <w:rsid w:val="0055211B"/>
    <w:rsid w:val="00555CF6"/>
    <w:rsid w:val="00557E49"/>
    <w:rsid w:val="0056276C"/>
    <w:rsid w:val="0056506A"/>
    <w:rsid w:val="00565914"/>
    <w:rsid w:val="00566056"/>
    <w:rsid w:val="005665F8"/>
    <w:rsid w:val="0056771D"/>
    <w:rsid w:val="00570776"/>
    <w:rsid w:val="0057345C"/>
    <w:rsid w:val="00576A6C"/>
    <w:rsid w:val="00576D41"/>
    <w:rsid w:val="005775D0"/>
    <w:rsid w:val="005808B4"/>
    <w:rsid w:val="0058206E"/>
    <w:rsid w:val="005831A1"/>
    <w:rsid w:val="00585271"/>
    <w:rsid w:val="00585F84"/>
    <w:rsid w:val="005867F6"/>
    <w:rsid w:val="005873DA"/>
    <w:rsid w:val="0059151D"/>
    <w:rsid w:val="005951A9"/>
    <w:rsid w:val="00596924"/>
    <w:rsid w:val="0059696C"/>
    <w:rsid w:val="005A058C"/>
    <w:rsid w:val="005A0A42"/>
    <w:rsid w:val="005A23D8"/>
    <w:rsid w:val="005A5C63"/>
    <w:rsid w:val="005A6653"/>
    <w:rsid w:val="005A70BE"/>
    <w:rsid w:val="005B46A9"/>
    <w:rsid w:val="005C1BBF"/>
    <w:rsid w:val="005C58D5"/>
    <w:rsid w:val="005C5AB9"/>
    <w:rsid w:val="005D2644"/>
    <w:rsid w:val="005D7DF3"/>
    <w:rsid w:val="005E3023"/>
    <w:rsid w:val="005E432D"/>
    <w:rsid w:val="005E5561"/>
    <w:rsid w:val="005E5680"/>
    <w:rsid w:val="005E651C"/>
    <w:rsid w:val="005F04A6"/>
    <w:rsid w:val="005F05D4"/>
    <w:rsid w:val="005F4F28"/>
    <w:rsid w:val="005F54A7"/>
    <w:rsid w:val="005F58D5"/>
    <w:rsid w:val="00601B05"/>
    <w:rsid w:val="00606466"/>
    <w:rsid w:val="0060653D"/>
    <w:rsid w:val="006108D8"/>
    <w:rsid w:val="0061095C"/>
    <w:rsid w:val="0061155D"/>
    <w:rsid w:val="0061260A"/>
    <w:rsid w:val="00612B9E"/>
    <w:rsid w:val="006145E5"/>
    <w:rsid w:val="006258BC"/>
    <w:rsid w:val="0062758A"/>
    <w:rsid w:val="00627BF0"/>
    <w:rsid w:val="00631D01"/>
    <w:rsid w:val="00632AF4"/>
    <w:rsid w:val="00632C72"/>
    <w:rsid w:val="00633E3E"/>
    <w:rsid w:val="00633FE3"/>
    <w:rsid w:val="006341FF"/>
    <w:rsid w:val="006347D8"/>
    <w:rsid w:val="00637256"/>
    <w:rsid w:val="006373DE"/>
    <w:rsid w:val="00641DCC"/>
    <w:rsid w:val="00642070"/>
    <w:rsid w:val="006421FC"/>
    <w:rsid w:val="0064392D"/>
    <w:rsid w:val="00652859"/>
    <w:rsid w:val="0065408C"/>
    <w:rsid w:val="0065429A"/>
    <w:rsid w:val="006577C6"/>
    <w:rsid w:val="006577DA"/>
    <w:rsid w:val="006603E0"/>
    <w:rsid w:val="006653B5"/>
    <w:rsid w:val="006660FD"/>
    <w:rsid w:val="00666B7A"/>
    <w:rsid w:val="00667922"/>
    <w:rsid w:val="006706C2"/>
    <w:rsid w:val="006714AD"/>
    <w:rsid w:val="006714EF"/>
    <w:rsid w:val="006726DA"/>
    <w:rsid w:val="00675635"/>
    <w:rsid w:val="00676043"/>
    <w:rsid w:val="006763AA"/>
    <w:rsid w:val="0067784E"/>
    <w:rsid w:val="00677A9E"/>
    <w:rsid w:val="00680C50"/>
    <w:rsid w:val="006817BB"/>
    <w:rsid w:val="006866E3"/>
    <w:rsid w:val="00690098"/>
    <w:rsid w:val="00695CB0"/>
    <w:rsid w:val="006A031D"/>
    <w:rsid w:val="006A0654"/>
    <w:rsid w:val="006A0783"/>
    <w:rsid w:val="006A3FB6"/>
    <w:rsid w:val="006A653E"/>
    <w:rsid w:val="006A68F5"/>
    <w:rsid w:val="006A6D2A"/>
    <w:rsid w:val="006B1F52"/>
    <w:rsid w:val="006B4C38"/>
    <w:rsid w:val="006C1388"/>
    <w:rsid w:val="006C139F"/>
    <w:rsid w:val="006C2358"/>
    <w:rsid w:val="006C3338"/>
    <w:rsid w:val="006C338C"/>
    <w:rsid w:val="006C4B0D"/>
    <w:rsid w:val="006C6D1A"/>
    <w:rsid w:val="006C70D0"/>
    <w:rsid w:val="006D29FE"/>
    <w:rsid w:val="006D3312"/>
    <w:rsid w:val="006D6384"/>
    <w:rsid w:val="006E003C"/>
    <w:rsid w:val="006E0E9E"/>
    <w:rsid w:val="006E1D05"/>
    <w:rsid w:val="006E46C3"/>
    <w:rsid w:val="006E65E6"/>
    <w:rsid w:val="006E67A9"/>
    <w:rsid w:val="006E7494"/>
    <w:rsid w:val="006F1A28"/>
    <w:rsid w:val="006F522F"/>
    <w:rsid w:val="006F6677"/>
    <w:rsid w:val="006F7C32"/>
    <w:rsid w:val="00701F1A"/>
    <w:rsid w:val="00706A69"/>
    <w:rsid w:val="00707BAD"/>
    <w:rsid w:val="00711869"/>
    <w:rsid w:val="007118F1"/>
    <w:rsid w:val="00711F2E"/>
    <w:rsid w:val="007123AA"/>
    <w:rsid w:val="0071585A"/>
    <w:rsid w:val="00716915"/>
    <w:rsid w:val="00716E6E"/>
    <w:rsid w:val="0072006A"/>
    <w:rsid w:val="00721C0A"/>
    <w:rsid w:val="007264F9"/>
    <w:rsid w:val="00727022"/>
    <w:rsid w:val="00731DB2"/>
    <w:rsid w:val="007340B9"/>
    <w:rsid w:val="00736804"/>
    <w:rsid w:val="007407B5"/>
    <w:rsid w:val="007417E1"/>
    <w:rsid w:val="0074300D"/>
    <w:rsid w:val="00744062"/>
    <w:rsid w:val="00746F07"/>
    <w:rsid w:val="0075275B"/>
    <w:rsid w:val="00753CA2"/>
    <w:rsid w:val="0075748F"/>
    <w:rsid w:val="00761324"/>
    <w:rsid w:val="00761BBB"/>
    <w:rsid w:val="00763AD7"/>
    <w:rsid w:val="0076539F"/>
    <w:rsid w:val="00766D84"/>
    <w:rsid w:val="00766DF9"/>
    <w:rsid w:val="0076728D"/>
    <w:rsid w:val="00771C8C"/>
    <w:rsid w:val="007723C1"/>
    <w:rsid w:val="00772DA5"/>
    <w:rsid w:val="0077466E"/>
    <w:rsid w:val="00777629"/>
    <w:rsid w:val="00781DB4"/>
    <w:rsid w:val="00782322"/>
    <w:rsid w:val="007823AD"/>
    <w:rsid w:val="00782B65"/>
    <w:rsid w:val="00785068"/>
    <w:rsid w:val="00786048"/>
    <w:rsid w:val="00787FE6"/>
    <w:rsid w:val="007900CC"/>
    <w:rsid w:val="00791DBC"/>
    <w:rsid w:val="007936CF"/>
    <w:rsid w:val="007952D7"/>
    <w:rsid w:val="00795557"/>
    <w:rsid w:val="007A038D"/>
    <w:rsid w:val="007A40A8"/>
    <w:rsid w:val="007A4B12"/>
    <w:rsid w:val="007A648D"/>
    <w:rsid w:val="007B2235"/>
    <w:rsid w:val="007B3041"/>
    <w:rsid w:val="007B46FC"/>
    <w:rsid w:val="007B4E47"/>
    <w:rsid w:val="007C1C31"/>
    <w:rsid w:val="007C4B5D"/>
    <w:rsid w:val="007C4BAC"/>
    <w:rsid w:val="007D0A20"/>
    <w:rsid w:val="007D13E0"/>
    <w:rsid w:val="007D21AF"/>
    <w:rsid w:val="007D76B7"/>
    <w:rsid w:val="007D7CD6"/>
    <w:rsid w:val="007D7E90"/>
    <w:rsid w:val="007E0BA6"/>
    <w:rsid w:val="007E1862"/>
    <w:rsid w:val="007E1D01"/>
    <w:rsid w:val="007E4085"/>
    <w:rsid w:val="007E60D5"/>
    <w:rsid w:val="007E61D9"/>
    <w:rsid w:val="007E63A6"/>
    <w:rsid w:val="007E6B06"/>
    <w:rsid w:val="007E7E5B"/>
    <w:rsid w:val="007F2A22"/>
    <w:rsid w:val="007F2C40"/>
    <w:rsid w:val="007F4168"/>
    <w:rsid w:val="007F4840"/>
    <w:rsid w:val="007F6B30"/>
    <w:rsid w:val="007F71F8"/>
    <w:rsid w:val="007F77C6"/>
    <w:rsid w:val="008006FA"/>
    <w:rsid w:val="0080160B"/>
    <w:rsid w:val="008025A9"/>
    <w:rsid w:val="00802BB9"/>
    <w:rsid w:val="00804045"/>
    <w:rsid w:val="00804F2C"/>
    <w:rsid w:val="00807AAC"/>
    <w:rsid w:val="00813E73"/>
    <w:rsid w:val="008145A9"/>
    <w:rsid w:val="00817C65"/>
    <w:rsid w:val="00825CB7"/>
    <w:rsid w:val="00825EEB"/>
    <w:rsid w:val="00826AAC"/>
    <w:rsid w:val="0082780F"/>
    <w:rsid w:val="00827A16"/>
    <w:rsid w:val="00830CD1"/>
    <w:rsid w:val="008319BB"/>
    <w:rsid w:val="00833EFC"/>
    <w:rsid w:val="00835404"/>
    <w:rsid w:val="00836B7E"/>
    <w:rsid w:val="008373C7"/>
    <w:rsid w:val="00840A27"/>
    <w:rsid w:val="00841743"/>
    <w:rsid w:val="00843621"/>
    <w:rsid w:val="00844681"/>
    <w:rsid w:val="00844ED5"/>
    <w:rsid w:val="00845305"/>
    <w:rsid w:val="0084651B"/>
    <w:rsid w:val="0085068B"/>
    <w:rsid w:val="00851DBE"/>
    <w:rsid w:val="008531EE"/>
    <w:rsid w:val="008533EB"/>
    <w:rsid w:val="00853A3A"/>
    <w:rsid w:val="0085705B"/>
    <w:rsid w:val="00860520"/>
    <w:rsid w:val="00860B9D"/>
    <w:rsid w:val="00860E2E"/>
    <w:rsid w:val="008629C5"/>
    <w:rsid w:val="0087301E"/>
    <w:rsid w:val="00874A32"/>
    <w:rsid w:val="00875AAC"/>
    <w:rsid w:val="0088154C"/>
    <w:rsid w:val="008826FA"/>
    <w:rsid w:val="0088690D"/>
    <w:rsid w:val="0088773E"/>
    <w:rsid w:val="00887888"/>
    <w:rsid w:val="00887CD0"/>
    <w:rsid w:val="0089675D"/>
    <w:rsid w:val="008973E5"/>
    <w:rsid w:val="008A211C"/>
    <w:rsid w:val="008A2E46"/>
    <w:rsid w:val="008A40B0"/>
    <w:rsid w:val="008B134C"/>
    <w:rsid w:val="008B6B3E"/>
    <w:rsid w:val="008B76F5"/>
    <w:rsid w:val="008C134D"/>
    <w:rsid w:val="008C4D94"/>
    <w:rsid w:val="008C532C"/>
    <w:rsid w:val="008C73D1"/>
    <w:rsid w:val="008C79D1"/>
    <w:rsid w:val="008D1547"/>
    <w:rsid w:val="008D1E14"/>
    <w:rsid w:val="008D3A46"/>
    <w:rsid w:val="008D6058"/>
    <w:rsid w:val="008E2093"/>
    <w:rsid w:val="008E2DEB"/>
    <w:rsid w:val="008E4AD4"/>
    <w:rsid w:val="008E62C3"/>
    <w:rsid w:val="008E6E3E"/>
    <w:rsid w:val="008E795D"/>
    <w:rsid w:val="008E7E33"/>
    <w:rsid w:val="008F1B5E"/>
    <w:rsid w:val="008F25C8"/>
    <w:rsid w:val="008F7327"/>
    <w:rsid w:val="0090142B"/>
    <w:rsid w:val="009019C4"/>
    <w:rsid w:val="00901D71"/>
    <w:rsid w:val="00902F3B"/>
    <w:rsid w:val="00906586"/>
    <w:rsid w:val="009100F2"/>
    <w:rsid w:val="009105AA"/>
    <w:rsid w:val="00911432"/>
    <w:rsid w:val="009126EE"/>
    <w:rsid w:val="00913A1E"/>
    <w:rsid w:val="0091470B"/>
    <w:rsid w:val="00914DF6"/>
    <w:rsid w:val="009162C4"/>
    <w:rsid w:val="00916FC1"/>
    <w:rsid w:val="0092287C"/>
    <w:rsid w:val="00922FAE"/>
    <w:rsid w:val="0092518E"/>
    <w:rsid w:val="00926528"/>
    <w:rsid w:val="0092696E"/>
    <w:rsid w:val="00932CED"/>
    <w:rsid w:val="0093447F"/>
    <w:rsid w:val="00940E16"/>
    <w:rsid w:val="009425C1"/>
    <w:rsid w:val="00947ED9"/>
    <w:rsid w:val="00955BEE"/>
    <w:rsid w:val="009600D8"/>
    <w:rsid w:val="00960498"/>
    <w:rsid w:val="0096123C"/>
    <w:rsid w:val="00965A8D"/>
    <w:rsid w:val="00972F43"/>
    <w:rsid w:val="00975EE7"/>
    <w:rsid w:val="009760E2"/>
    <w:rsid w:val="00977F56"/>
    <w:rsid w:val="009817B7"/>
    <w:rsid w:val="00981E31"/>
    <w:rsid w:val="009829B7"/>
    <w:rsid w:val="0098634F"/>
    <w:rsid w:val="00987603"/>
    <w:rsid w:val="00992B2F"/>
    <w:rsid w:val="0099304E"/>
    <w:rsid w:val="00993C0B"/>
    <w:rsid w:val="009964D9"/>
    <w:rsid w:val="00996746"/>
    <w:rsid w:val="009A6ED2"/>
    <w:rsid w:val="009B1028"/>
    <w:rsid w:val="009B112C"/>
    <w:rsid w:val="009B38D4"/>
    <w:rsid w:val="009B5C4E"/>
    <w:rsid w:val="009B7AC3"/>
    <w:rsid w:val="009C103A"/>
    <w:rsid w:val="009C5171"/>
    <w:rsid w:val="009D0752"/>
    <w:rsid w:val="009D2087"/>
    <w:rsid w:val="009D253F"/>
    <w:rsid w:val="009D33F9"/>
    <w:rsid w:val="009D650D"/>
    <w:rsid w:val="009D6C89"/>
    <w:rsid w:val="009D7FA3"/>
    <w:rsid w:val="009E1106"/>
    <w:rsid w:val="009E1CA9"/>
    <w:rsid w:val="009E239A"/>
    <w:rsid w:val="009E3757"/>
    <w:rsid w:val="009E5BE8"/>
    <w:rsid w:val="009E624D"/>
    <w:rsid w:val="009E648A"/>
    <w:rsid w:val="009F1C17"/>
    <w:rsid w:val="009F2019"/>
    <w:rsid w:val="009F22C3"/>
    <w:rsid w:val="009F22CE"/>
    <w:rsid w:val="00A028BA"/>
    <w:rsid w:val="00A02B8F"/>
    <w:rsid w:val="00A05AAE"/>
    <w:rsid w:val="00A0607F"/>
    <w:rsid w:val="00A0703B"/>
    <w:rsid w:val="00A07D7F"/>
    <w:rsid w:val="00A10B0A"/>
    <w:rsid w:val="00A10D14"/>
    <w:rsid w:val="00A119F5"/>
    <w:rsid w:val="00A125D6"/>
    <w:rsid w:val="00A13848"/>
    <w:rsid w:val="00A140EF"/>
    <w:rsid w:val="00A16791"/>
    <w:rsid w:val="00A21687"/>
    <w:rsid w:val="00A22EB5"/>
    <w:rsid w:val="00A246CC"/>
    <w:rsid w:val="00A3074B"/>
    <w:rsid w:val="00A30E40"/>
    <w:rsid w:val="00A31172"/>
    <w:rsid w:val="00A31AE9"/>
    <w:rsid w:val="00A3273C"/>
    <w:rsid w:val="00A3307E"/>
    <w:rsid w:val="00A34748"/>
    <w:rsid w:val="00A364D1"/>
    <w:rsid w:val="00A400A6"/>
    <w:rsid w:val="00A40E07"/>
    <w:rsid w:val="00A423D0"/>
    <w:rsid w:val="00A4431F"/>
    <w:rsid w:val="00A4447B"/>
    <w:rsid w:val="00A4464A"/>
    <w:rsid w:val="00A44A0F"/>
    <w:rsid w:val="00A46067"/>
    <w:rsid w:val="00A470F8"/>
    <w:rsid w:val="00A536B1"/>
    <w:rsid w:val="00A54A85"/>
    <w:rsid w:val="00A55012"/>
    <w:rsid w:val="00A55258"/>
    <w:rsid w:val="00A55487"/>
    <w:rsid w:val="00A55ACC"/>
    <w:rsid w:val="00A55F41"/>
    <w:rsid w:val="00A56FCD"/>
    <w:rsid w:val="00A572BB"/>
    <w:rsid w:val="00A64829"/>
    <w:rsid w:val="00A64B42"/>
    <w:rsid w:val="00A66C3D"/>
    <w:rsid w:val="00A71817"/>
    <w:rsid w:val="00A73A94"/>
    <w:rsid w:val="00A74777"/>
    <w:rsid w:val="00A74EDE"/>
    <w:rsid w:val="00A7551D"/>
    <w:rsid w:val="00A77A0F"/>
    <w:rsid w:val="00A80447"/>
    <w:rsid w:val="00A8244A"/>
    <w:rsid w:val="00A8255B"/>
    <w:rsid w:val="00A85570"/>
    <w:rsid w:val="00A86F39"/>
    <w:rsid w:val="00A87868"/>
    <w:rsid w:val="00A87C2E"/>
    <w:rsid w:val="00A9270A"/>
    <w:rsid w:val="00A94D25"/>
    <w:rsid w:val="00A9508B"/>
    <w:rsid w:val="00A95A43"/>
    <w:rsid w:val="00A97BA4"/>
    <w:rsid w:val="00A97E20"/>
    <w:rsid w:val="00AA409A"/>
    <w:rsid w:val="00AA529E"/>
    <w:rsid w:val="00AA7222"/>
    <w:rsid w:val="00AA7FC6"/>
    <w:rsid w:val="00AB0644"/>
    <w:rsid w:val="00AB4639"/>
    <w:rsid w:val="00AB558F"/>
    <w:rsid w:val="00AC08D0"/>
    <w:rsid w:val="00AC5972"/>
    <w:rsid w:val="00AC6F11"/>
    <w:rsid w:val="00AC7958"/>
    <w:rsid w:val="00AC7BFD"/>
    <w:rsid w:val="00AD1AE9"/>
    <w:rsid w:val="00AD3FBF"/>
    <w:rsid w:val="00AD42E5"/>
    <w:rsid w:val="00AE1124"/>
    <w:rsid w:val="00AE2A90"/>
    <w:rsid w:val="00AE2BCD"/>
    <w:rsid w:val="00AE2F23"/>
    <w:rsid w:val="00AF2210"/>
    <w:rsid w:val="00AF665D"/>
    <w:rsid w:val="00AF79B7"/>
    <w:rsid w:val="00B02C65"/>
    <w:rsid w:val="00B04EA2"/>
    <w:rsid w:val="00B04EA4"/>
    <w:rsid w:val="00B0677A"/>
    <w:rsid w:val="00B07436"/>
    <w:rsid w:val="00B10010"/>
    <w:rsid w:val="00B11793"/>
    <w:rsid w:val="00B1284B"/>
    <w:rsid w:val="00B14FD9"/>
    <w:rsid w:val="00B16E3B"/>
    <w:rsid w:val="00B178CF"/>
    <w:rsid w:val="00B2046C"/>
    <w:rsid w:val="00B22291"/>
    <w:rsid w:val="00B22566"/>
    <w:rsid w:val="00B30141"/>
    <w:rsid w:val="00B333FA"/>
    <w:rsid w:val="00B35674"/>
    <w:rsid w:val="00B35C4C"/>
    <w:rsid w:val="00B36CB5"/>
    <w:rsid w:val="00B3716F"/>
    <w:rsid w:val="00B413AF"/>
    <w:rsid w:val="00B44A8A"/>
    <w:rsid w:val="00B478A8"/>
    <w:rsid w:val="00B53914"/>
    <w:rsid w:val="00B53A1A"/>
    <w:rsid w:val="00B55B8D"/>
    <w:rsid w:val="00B55BEC"/>
    <w:rsid w:val="00B6040F"/>
    <w:rsid w:val="00B606A0"/>
    <w:rsid w:val="00B62A8D"/>
    <w:rsid w:val="00B663B8"/>
    <w:rsid w:val="00B668F6"/>
    <w:rsid w:val="00B67355"/>
    <w:rsid w:val="00B67B00"/>
    <w:rsid w:val="00B738A7"/>
    <w:rsid w:val="00B73AFD"/>
    <w:rsid w:val="00B768C1"/>
    <w:rsid w:val="00B7738B"/>
    <w:rsid w:val="00B77ABF"/>
    <w:rsid w:val="00B8198C"/>
    <w:rsid w:val="00B81DE4"/>
    <w:rsid w:val="00B847AF"/>
    <w:rsid w:val="00B8502F"/>
    <w:rsid w:val="00B85CC2"/>
    <w:rsid w:val="00B91299"/>
    <w:rsid w:val="00B91DF2"/>
    <w:rsid w:val="00B96A29"/>
    <w:rsid w:val="00B977FD"/>
    <w:rsid w:val="00BA06D6"/>
    <w:rsid w:val="00BA2AA9"/>
    <w:rsid w:val="00BA66C8"/>
    <w:rsid w:val="00BB1FAC"/>
    <w:rsid w:val="00BB2AEB"/>
    <w:rsid w:val="00BB3640"/>
    <w:rsid w:val="00BB4C0B"/>
    <w:rsid w:val="00BB6588"/>
    <w:rsid w:val="00BB77F8"/>
    <w:rsid w:val="00BC05DB"/>
    <w:rsid w:val="00BC22C7"/>
    <w:rsid w:val="00BC3264"/>
    <w:rsid w:val="00BC34B3"/>
    <w:rsid w:val="00BC3FB4"/>
    <w:rsid w:val="00BC460B"/>
    <w:rsid w:val="00BC48D6"/>
    <w:rsid w:val="00BC6063"/>
    <w:rsid w:val="00BC6263"/>
    <w:rsid w:val="00BC7F5C"/>
    <w:rsid w:val="00BD249A"/>
    <w:rsid w:val="00BD6DF7"/>
    <w:rsid w:val="00BD75AA"/>
    <w:rsid w:val="00BE3494"/>
    <w:rsid w:val="00BE51DE"/>
    <w:rsid w:val="00BE67A1"/>
    <w:rsid w:val="00BF210B"/>
    <w:rsid w:val="00BF4D36"/>
    <w:rsid w:val="00BF55A2"/>
    <w:rsid w:val="00C050F0"/>
    <w:rsid w:val="00C05D7A"/>
    <w:rsid w:val="00C107CD"/>
    <w:rsid w:val="00C12B2D"/>
    <w:rsid w:val="00C14283"/>
    <w:rsid w:val="00C22A33"/>
    <w:rsid w:val="00C22D3F"/>
    <w:rsid w:val="00C22FF5"/>
    <w:rsid w:val="00C26333"/>
    <w:rsid w:val="00C26822"/>
    <w:rsid w:val="00C30EC9"/>
    <w:rsid w:val="00C31950"/>
    <w:rsid w:val="00C31CCA"/>
    <w:rsid w:val="00C32A09"/>
    <w:rsid w:val="00C35DC2"/>
    <w:rsid w:val="00C367D6"/>
    <w:rsid w:val="00C3757B"/>
    <w:rsid w:val="00C37D21"/>
    <w:rsid w:val="00C41062"/>
    <w:rsid w:val="00C41F64"/>
    <w:rsid w:val="00C42D6F"/>
    <w:rsid w:val="00C43A05"/>
    <w:rsid w:val="00C43D27"/>
    <w:rsid w:val="00C5070A"/>
    <w:rsid w:val="00C52D96"/>
    <w:rsid w:val="00C536AB"/>
    <w:rsid w:val="00C55C8F"/>
    <w:rsid w:val="00C56023"/>
    <w:rsid w:val="00C56381"/>
    <w:rsid w:val="00C60300"/>
    <w:rsid w:val="00C62E07"/>
    <w:rsid w:val="00C647A0"/>
    <w:rsid w:val="00C6766B"/>
    <w:rsid w:val="00C703AA"/>
    <w:rsid w:val="00C71A64"/>
    <w:rsid w:val="00C73146"/>
    <w:rsid w:val="00C74AF1"/>
    <w:rsid w:val="00C74CB9"/>
    <w:rsid w:val="00C75FDC"/>
    <w:rsid w:val="00C76A61"/>
    <w:rsid w:val="00C76BB0"/>
    <w:rsid w:val="00C7722A"/>
    <w:rsid w:val="00C77A4C"/>
    <w:rsid w:val="00C8061E"/>
    <w:rsid w:val="00C82602"/>
    <w:rsid w:val="00C82A9F"/>
    <w:rsid w:val="00C83D45"/>
    <w:rsid w:val="00C83F55"/>
    <w:rsid w:val="00C86E36"/>
    <w:rsid w:val="00C879ED"/>
    <w:rsid w:val="00C92439"/>
    <w:rsid w:val="00C93856"/>
    <w:rsid w:val="00C94B1A"/>
    <w:rsid w:val="00C9771E"/>
    <w:rsid w:val="00CA0EDC"/>
    <w:rsid w:val="00CA0F2C"/>
    <w:rsid w:val="00CA2AA4"/>
    <w:rsid w:val="00CA5FCE"/>
    <w:rsid w:val="00CB2561"/>
    <w:rsid w:val="00CB28A0"/>
    <w:rsid w:val="00CB4DC2"/>
    <w:rsid w:val="00CB6795"/>
    <w:rsid w:val="00CB6D41"/>
    <w:rsid w:val="00CB6E94"/>
    <w:rsid w:val="00CB791D"/>
    <w:rsid w:val="00CC0C96"/>
    <w:rsid w:val="00CC1C82"/>
    <w:rsid w:val="00CC2506"/>
    <w:rsid w:val="00CC322B"/>
    <w:rsid w:val="00CC4219"/>
    <w:rsid w:val="00CC4AD6"/>
    <w:rsid w:val="00CC4F0C"/>
    <w:rsid w:val="00CC51FA"/>
    <w:rsid w:val="00CC5794"/>
    <w:rsid w:val="00CC7F43"/>
    <w:rsid w:val="00CD0F75"/>
    <w:rsid w:val="00CD2242"/>
    <w:rsid w:val="00CD3167"/>
    <w:rsid w:val="00CD4E25"/>
    <w:rsid w:val="00CD7C49"/>
    <w:rsid w:val="00CE069E"/>
    <w:rsid w:val="00CE1023"/>
    <w:rsid w:val="00CE4623"/>
    <w:rsid w:val="00CE49CD"/>
    <w:rsid w:val="00CE7BAC"/>
    <w:rsid w:val="00CF0700"/>
    <w:rsid w:val="00CF0EDE"/>
    <w:rsid w:val="00CF22A9"/>
    <w:rsid w:val="00CF26C8"/>
    <w:rsid w:val="00CF34A6"/>
    <w:rsid w:val="00CF6E29"/>
    <w:rsid w:val="00D00612"/>
    <w:rsid w:val="00D021E4"/>
    <w:rsid w:val="00D02628"/>
    <w:rsid w:val="00D028EE"/>
    <w:rsid w:val="00D03031"/>
    <w:rsid w:val="00D03A70"/>
    <w:rsid w:val="00D06E87"/>
    <w:rsid w:val="00D0755C"/>
    <w:rsid w:val="00D07924"/>
    <w:rsid w:val="00D10B5E"/>
    <w:rsid w:val="00D12925"/>
    <w:rsid w:val="00D13B3B"/>
    <w:rsid w:val="00D13DFF"/>
    <w:rsid w:val="00D1727B"/>
    <w:rsid w:val="00D20BFE"/>
    <w:rsid w:val="00D2271A"/>
    <w:rsid w:val="00D240BB"/>
    <w:rsid w:val="00D24222"/>
    <w:rsid w:val="00D26311"/>
    <w:rsid w:val="00D26562"/>
    <w:rsid w:val="00D276F2"/>
    <w:rsid w:val="00D334F9"/>
    <w:rsid w:val="00D37AF0"/>
    <w:rsid w:val="00D41565"/>
    <w:rsid w:val="00D4185F"/>
    <w:rsid w:val="00D42B25"/>
    <w:rsid w:val="00D4373A"/>
    <w:rsid w:val="00D43F08"/>
    <w:rsid w:val="00D44531"/>
    <w:rsid w:val="00D46760"/>
    <w:rsid w:val="00D46FA7"/>
    <w:rsid w:val="00D5013F"/>
    <w:rsid w:val="00D550FC"/>
    <w:rsid w:val="00D55C67"/>
    <w:rsid w:val="00D57622"/>
    <w:rsid w:val="00D62CDB"/>
    <w:rsid w:val="00D674C2"/>
    <w:rsid w:val="00D675FA"/>
    <w:rsid w:val="00D71052"/>
    <w:rsid w:val="00D72937"/>
    <w:rsid w:val="00D72C9B"/>
    <w:rsid w:val="00D74C20"/>
    <w:rsid w:val="00D76DCD"/>
    <w:rsid w:val="00D77AA6"/>
    <w:rsid w:val="00D806FC"/>
    <w:rsid w:val="00D8076D"/>
    <w:rsid w:val="00D837C9"/>
    <w:rsid w:val="00D83E9A"/>
    <w:rsid w:val="00D848FB"/>
    <w:rsid w:val="00D966A2"/>
    <w:rsid w:val="00D975AC"/>
    <w:rsid w:val="00DA0102"/>
    <w:rsid w:val="00DA2240"/>
    <w:rsid w:val="00DA2F67"/>
    <w:rsid w:val="00DA364B"/>
    <w:rsid w:val="00DA5F96"/>
    <w:rsid w:val="00DA7F0F"/>
    <w:rsid w:val="00DB0782"/>
    <w:rsid w:val="00DB112C"/>
    <w:rsid w:val="00DB2EFB"/>
    <w:rsid w:val="00DB3497"/>
    <w:rsid w:val="00DB7E80"/>
    <w:rsid w:val="00DC105A"/>
    <w:rsid w:val="00DC295D"/>
    <w:rsid w:val="00DC3230"/>
    <w:rsid w:val="00DC58C5"/>
    <w:rsid w:val="00DC6181"/>
    <w:rsid w:val="00DC64F8"/>
    <w:rsid w:val="00DC7F5D"/>
    <w:rsid w:val="00DD140F"/>
    <w:rsid w:val="00DD1E51"/>
    <w:rsid w:val="00DD2D4F"/>
    <w:rsid w:val="00DD7D0A"/>
    <w:rsid w:val="00DE0213"/>
    <w:rsid w:val="00DE0B43"/>
    <w:rsid w:val="00DE0FBA"/>
    <w:rsid w:val="00DE62C6"/>
    <w:rsid w:val="00DF07CE"/>
    <w:rsid w:val="00DF2952"/>
    <w:rsid w:val="00DF411C"/>
    <w:rsid w:val="00DF4A57"/>
    <w:rsid w:val="00DF4A9A"/>
    <w:rsid w:val="00DF5624"/>
    <w:rsid w:val="00DF5C97"/>
    <w:rsid w:val="00E011F9"/>
    <w:rsid w:val="00E023C0"/>
    <w:rsid w:val="00E11D7B"/>
    <w:rsid w:val="00E133F2"/>
    <w:rsid w:val="00E14A82"/>
    <w:rsid w:val="00E1558E"/>
    <w:rsid w:val="00E1656B"/>
    <w:rsid w:val="00E168D9"/>
    <w:rsid w:val="00E20251"/>
    <w:rsid w:val="00E21C64"/>
    <w:rsid w:val="00E24EA0"/>
    <w:rsid w:val="00E25374"/>
    <w:rsid w:val="00E256A0"/>
    <w:rsid w:val="00E25C8F"/>
    <w:rsid w:val="00E25E26"/>
    <w:rsid w:val="00E30009"/>
    <w:rsid w:val="00E40896"/>
    <w:rsid w:val="00E40F3D"/>
    <w:rsid w:val="00E426E8"/>
    <w:rsid w:val="00E4524D"/>
    <w:rsid w:val="00E46A1C"/>
    <w:rsid w:val="00E47571"/>
    <w:rsid w:val="00E505EC"/>
    <w:rsid w:val="00E51A3F"/>
    <w:rsid w:val="00E51F10"/>
    <w:rsid w:val="00E52A97"/>
    <w:rsid w:val="00E53494"/>
    <w:rsid w:val="00E538C6"/>
    <w:rsid w:val="00E541AC"/>
    <w:rsid w:val="00E55910"/>
    <w:rsid w:val="00E55C74"/>
    <w:rsid w:val="00E566E2"/>
    <w:rsid w:val="00E57169"/>
    <w:rsid w:val="00E57BA0"/>
    <w:rsid w:val="00E66F52"/>
    <w:rsid w:val="00E75214"/>
    <w:rsid w:val="00E7575D"/>
    <w:rsid w:val="00E75DE7"/>
    <w:rsid w:val="00E76280"/>
    <w:rsid w:val="00E7796A"/>
    <w:rsid w:val="00E8071E"/>
    <w:rsid w:val="00E81651"/>
    <w:rsid w:val="00E82A5A"/>
    <w:rsid w:val="00E839B0"/>
    <w:rsid w:val="00E83EA2"/>
    <w:rsid w:val="00E85FC5"/>
    <w:rsid w:val="00E922B9"/>
    <w:rsid w:val="00E96EC6"/>
    <w:rsid w:val="00EA229F"/>
    <w:rsid w:val="00EA300D"/>
    <w:rsid w:val="00EA5B54"/>
    <w:rsid w:val="00EA6715"/>
    <w:rsid w:val="00EA69CF"/>
    <w:rsid w:val="00EB0072"/>
    <w:rsid w:val="00EB3F74"/>
    <w:rsid w:val="00EB6328"/>
    <w:rsid w:val="00EB7096"/>
    <w:rsid w:val="00EC0101"/>
    <w:rsid w:val="00EC1175"/>
    <w:rsid w:val="00EC2BCF"/>
    <w:rsid w:val="00EC3224"/>
    <w:rsid w:val="00EC5FCF"/>
    <w:rsid w:val="00EC711A"/>
    <w:rsid w:val="00EC7292"/>
    <w:rsid w:val="00ED1253"/>
    <w:rsid w:val="00EE2353"/>
    <w:rsid w:val="00EE327E"/>
    <w:rsid w:val="00EE4E16"/>
    <w:rsid w:val="00EF06BA"/>
    <w:rsid w:val="00EF3CB5"/>
    <w:rsid w:val="00EF54A2"/>
    <w:rsid w:val="00EF58BA"/>
    <w:rsid w:val="00EF6605"/>
    <w:rsid w:val="00F006C2"/>
    <w:rsid w:val="00F0170E"/>
    <w:rsid w:val="00F044F3"/>
    <w:rsid w:val="00F04520"/>
    <w:rsid w:val="00F050EA"/>
    <w:rsid w:val="00F062E2"/>
    <w:rsid w:val="00F077DF"/>
    <w:rsid w:val="00F12C21"/>
    <w:rsid w:val="00F14FA5"/>
    <w:rsid w:val="00F17DCA"/>
    <w:rsid w:val="00F22230"/>
    <w:rsid w:val="00F23027"/>
    <w:rsid w:val="00F250E7"/>
    <w:rsid w:val="00F2527A"/>
    <w:rsid w:val="00F26BB0"/>
    <w:rsid w:val="00F30889"/>
    <w:rsid w:val="00F31B2B"/>
    <w:rsid w:val="00F31CAA"/>
    <w:rsid w:val="00F32CE1"/>
    <w:rsid w:val="00F3576B"/>
    <w:rsid w:val="00F37479"/>
    <w:rsid w:val="00F40142"/>
    <w:rsid w:val="00F433C6"/>
    <w:rsid w:val="00F434B8"/>
    <w:rsid w:val="00F435BA"/>
    <w:rsid w:val="00F441F3"/>
    <w:rsid w:val="00F51C40"/>
    <w:rsid w:val="00F5226E"/>
    <w:rsid w:val="00F60B9B"/>
    <w:rsid w:val="00F64820"/>
    <w:rsid w:val="00F64850"/>
    <w:rsid w:val="00F65BD0"/>
    <w:rsid w:val="00F70BBA"/>
    <w:rsid w:val="00F70FD8"/>
    <w:rsid w:val="00F80875"/>
    <w:rsid w:val="00F82055"/>
    <w:rsid w:val="00F82C7D"/>
    <w:rsid w:val="00F835D4"/>
    <w:rsid w:val="00F83EAE"/>
    <w:rsid w:val="00F84D20"/>
    <w:rsid w:val="00F8568B"/>
    <w:rsid w:val="00F86032"/>
    <w:rsid w:val="00F9003A"/>
    <w:rsid w:val="00F90546"/>
    <w:rsid w:val="00F907F3"/>
    <w:rsid w:val="00F91DDC"/>
    <w:rsid w:val="00F92ED1"/>
    <w:rsid w:val="00F934F3"/>
    <w:rsid w:val="00F93E28"/>
    <w:rsid w:val="00F93EFB"/>
    <w:rsid w:val="00F94369"/>
    <w:rsid w:val="00F95B19"/>
    <w:rsid w:val="00FA37CC"/>
    <w:rsid w:val="00FA3C7F"/>
    <w:rsid w:val="00FA4158"/>
    <w:rsid w:val="00FA7EBD"/>
    <w:rsid w:val="00FB0C07"/>
    <w:rsid w:val="00FB4920"/>
    <w:rsid w:val="00FB4D30"/>
    <w:rsid w:val="00FB5EB2"/>
    <w:rsid w:val="00FC001F"/>
    <w:rsid w:val="00FC067F"/>
    <w:rsid w:val="00FC5AF7"/>
    <w:rsid w:val="00FC7228"/>
    <w:rsid w:val="00FD04EE"/>
    <w:rsid w:val="00FD472F"/>
    <w:rsid w:val="00FE09BD"/>
    <w:rsid w:val="00FE0BC9"/>
    <w:rsid w:val="00FE15BF"/>
    <w:rsid w:val="00FE1A95"/>
    <w:rsid w:val="00FE53DA"/>
    <w:rsid w:val="00FE55F0"/>
    <w:rsid w:val="00FE6A01"/>
    <w:rsid w:val="026244EC"/>
    <w:rsid w:val="063C3801"/>
    <w:rsid w:val="06FF7974"/>
    <w:rsid w:val="0CFF0449"/>
    <w:rsid w:val="0EBE22B2"/>
    <w:rsid w:val="1CA65934"/>
    <w:rsid w:val="233D12B4"/>
    <w:rsid w:val="34193E6D"/>
    <w:rsid w:val="345E124E"/>
    <w:rsid w:val="39FC1897"/>
    <w:rsid w:val="3B2852E7"/>
    <w:rsid w:val="3E420D22"/>
    <w:rsid w:val="414A330E"/>
    <w:rsid w:val="43683AE2"/>
    <w:rsid w:val="47B76964"/>
    <w:rsid w:val="4D7823BF"/>
    <w:rsid w:val="51286F02"/>
    <w:rsid w:val="55B20AF2"/>
    <w:rsid w:val="5BF653A0"/>
    <w:rsid w:val="5BF917E8"/>
    <w:rsid w:val="5E343EFE"/>
    <w:rsid w:val="628C2AB1"/>
    <w:rsid w:val="63FE5738"/>
    <w:rsid w:val="65CA636D"/>
    <w:rsid w:val="689325FF"/>
    <w:rsid w:val="693D578C"/>
    <w:rsid w:val="70456DC4"/>
    <w:rsid w:val="71CF7E08"/>
    <w:rsid w:val="72206859"/>
    <w:rsid w:val="740F42A3"/>
    <w:rsid w:val="7B0E523D"/>
    <w:rsid w:val="7CA47A8A"/>
    <w:rsid w:val="7DBC6CF1"/>
    <w:rsid w:val="7F3059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88"/>
    <w:qFormat/>
    <w:uiPriority w:val="0"/>
    <w:pPr>
      <w:keepNext/>
      <w:spacing w:line="380" w:lineRule="exact"/>
      <w:jc w:val="center"/>
      <w:outlineLvl w:val="0"/>
    </w:pPr>
    <w:rPr>
      <w:rFonts w:ascii="宋体"/>
      <w:b/>
      <w:bCs/>
      <w:sz w:val="28"/>
    </w:rPr>
  </w:style>
  <w:style w:type="paragraph" w:styleId="4">
    <w:name w:val="heading 2"/>
    <w:basedOn w:val="1"/>
    <w:next w:val="5"/>
    <w:link w:val="6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18"/>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25"/>
    <w:qFormat/>
    <w:uiPriority w:val="0"/>
    <w:pPr>
      <w:widowControl/>
      <w:spacing w:before="240" w:after="60"/>
      <w:jc w:val="left"/>
      <w:outlineLvl w:val="4"/>
    </w:pPr>
    <w:rPr>
      <w:rFonts w:ascii="MS Sans Serif" w:hAnsi="Arial" w:eastAsia="MS Sans Serif"/>
      <w:kern w:val="0"/>
      <w:sz w:val="24"/>
    </w:rPr>
  </w:style>
  <w:style w:type="paragraph" w:styleId="9">
    <w:name w:val="heading 6"/>
    <w:basedOn w:val="1"/>
    <w:next w:val="5"/>
    <w:link w:val="141"/>
    <w:qFormat/>
    <w:uiPriority w:val="0"/>
    <w:pPr>
      <w:keepNext/>
      <w:keepLines/>
      <w:spacing w:before="240" w:after="64" w:line="320" w:lineRule="auto"/>
      <w:outlineLvl w:val="5"/>
    </w:pPr>
    <w:rPr>
      <w:rFonts w:ascii="黑体" w:hAnsi="黑体" w:eastAsia="楷体"/>
      <w:b/>
      <w:sz w:val="24"/>
    </w:rPr>
  </w:style>
  <w:style w:type="paragraph" w:styleId="10">
    <w:name w:val="heading 7"/>
    <w:basedOn w:val="1"/>
    <w:next w:val="5"/>
    <w:link w:val="142"/>
    <w:qFormat/>
    <w:uiPriority w:val="0"/>
    <w:pPr>
      <w:keepNext/>
      <w:keepLines/>
      <w:spacing w:before="240" w:after="64" w:line="320" w:lineRule="auto"/>
      <w:outlineLvl w:val="6"/>
    </w:pPr>
    <w:rPr>
      <w:rFonts w:ascii="Arial" w:hAnsi="Arial"/>
      <w:b/>
      <w:sz w:val="24"/>
    </w:rPr>
  </w:style>
  <w:style w:type="paragraph" w:styleId="11">
    <w:name w:val="heading 8"/>
    <w:basedOn w:val="1"/>
    <w:next w:val="5"/>
    <w:link w:val="94"/>
    <w:qFormat/>
    <w:uiPriority w:val="0"/>
    <w:pPr>
      <w:keepNext/>
      <w:keepLines/>
      <w:spacing w:before="240" w:after="64" w:line="320" w:lineRule="auto"/>
      <w:outlineLvl w:val="7"/>
    </w:pPr>
    <w:rPr>
      <w:rFonts w:ascii="黑体" w:hAnsi="黑体" w:eastAsia="楷体"/>
      <w:sz w:val="24"/>
    </w:rPr>
  </w:style>
  <w:style w:type="paragraph" w:styleId="12">
    <w:name w:val="heading 9"/>
    <w:basedOn w:val="1"/>
    <w:next w:val="5"/>
    <w:link w:val="112"/>
    <w:qFormat/>
    <w:uiPriority w:val="0"/>
    <w:pPr>
      <w:keepNext/>
      <w:keepLines/>
      <w:spacing w:before="240" w:after="64" w:line="320" w:lineRule="auto"/>
      <w:outlineLvl w:val="8"/>
    </w:pPr>
    <w:rPr>
      <w:rFonts w:ascii="黑体" w:hAnsi="黑体" w:eastAsia="楷体"/>
    </w:rPr>
  </w:style>
  <w:style w:type="character" w:default="1" w:styleId="46">
    <w:name w:val="Default Paragraph Font"/>
    <w:unhideWhenUsed/>
    <w:uiPriority w:val="1"/>
  </w:style>
  <w:style w:type="table" w:default="1" w:styleId="4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44"/>
      <w:tblCellMar>
        <w:top w:w="0" w:type="dxa"/>
        <w:left w:w="108" w:type="dxa"/>
        <w:bottom w:w="0" w:type="dxa"/>
        <w:right w:w="108" w:type="dxa"/>
      </w:tblCellMar>
    </w:tblPr>
  </w:style>
  <w:style w:type="paragraph" w:styleId="2">
    <w:name w:val="Body Text Indent"/>
    <w:basedOn w:val="1"/>
    <w:link w:val="81"/>
    <w:qFormat/>
    <w:uiPriority w:val="0"/>
    <w:pPr>
      <w:spacing w:line="380" w:lineRule="exact"/>
      <w:ind w:firstLine="480"/>
    </w:pPr>
    <w:rPr>
      <w:rFonts w:eastAsia="方正书宋简体"/>
      <w:sz w:val="24"/>
    </w:rPr>
  </w:style>
  <w:style w:type="paragraph" w:styleId="5">
    <w:name w:val="Normal Indent"/>
    <w:basedOn w:val="1"/>
    <w:link w:val="96"/>
    <w:qFormat/>
    <w:uiPriority w:val="0"/>
    <w:pPr>
      <w:adjustRightInd w:val="0"/>
      <w:spacing w:line="315" w:lineRule="atLeast"/>
      <w:ind w:firstLine="420"/>
      <w:jc w:val="left"/>
      <w:textAlignment w:val="baseline"/>
    </w:pPr>
    <w:rPr>
      <w:rFonts w:ascii="宋体"/>
      <w:kern w:val="0"/>
    </w:rPr>
  </w:style>
  <w:style w:type="paragraph" w:styleId="13">
    <w:name w:val="toc 7"/>
    <w:basedOn w:val="1"/>
    <w:next w:val="1"/>
    <w:uiPriority w:val="0"/>
    <w:pPr>
      <w:ind w:left="2520" w:leftChars="1200"/>
    </w:pPr>
    <w:rPr>
      <w:szCs w:val="24"/>
    </w:rPr>
  </w:style>
  <w:style w:type="paragraph" w:styleId="14">
    <w:name w:val="List Number"/>
    <w:basedOn w:val="1"/>
    <w:uiPriority w:val="0"/>
    <w:pPr>
      <w:widowControl/>
      <w:tabs>
        <w:tab w:val="left" w:pos="420"/>
        <w:tab w:val="left" w:pos="454"/>
      </w:tabs>
      <w:spacing w:afterLines="50"/>
      <w:ind w:left="454" w:hanging="284"/>
      <w:jc w:val="left"/>
    </w:pPr>
    <w:rPr>
      <w:rFonts w:ascii="Arial" w:hAnsi="Arial" w:cs="Arial"/>
      <w:kern w:val="0"/>
      <w:sz w:val="24"/>
    </w:rPr>
  </w:style>
  <w:style w:type="paragraph" w:styleId="15">
    <w:name w:val="caption"/>
    <w:basedOn w:val="1"/>
    <w:next w:val="1"/>
    <w:qFormat/>
    <w:uiPriority w:val="0"/>
    <w:rPr>
      <w:rFonts w:ascii="黑体" w:hAnsi="黑体" w:eastAsia="楷体" w:cs="黑体"/>
      <w:sz w:val="20"/>
    </w:rPr>
  </w:style>
  <w:style w:type="paragraph" w:styleId="16">
    <w:name w:val="Document Map"/>
    <w:basedOn w:val="1"/>
    <w:link w:val="116"/>
    <w:qFormat/>
    <w:uiPriority w:val="0"/>
    <w:pPr>
      <w:shd w:val="clear" w:color="auto" w:fill="000080"/>
    </w:pPr>
  </w:style>
  <w:style w:type="paragraph" w:styleId="17">
    <w:name w:val="annotation text"/>
    <w:basedOn w:val="1"/>
    <w:link w:val="97"/>
    <w:uiPriority w:val="0"/>
    <w:pPr>
      <w:jc w:val="left"/>
    </w:pPr>
  </w:style>
  <w:style w:type="paragraph" w:styleId="18">
    <w:name w:val="Body Text"/>
    <w:basedOn w:val="1"/>
    <w:link w:val="84"/>
    <w:uiPriority w:val="0"/>
    <w:pPr>
      <w:spacing w:after="120"/>
    </w:pPr>
  </w:style>
  <w:style w:type="paragraph" w:styleId="19">
    <w:name w:val="List Number 3"/>
    <w:basedOn w:val="1"/>
    <w:uiPriority w:val="0"/>
    <w:pPr>
      <w:widowControl/>
      <w:tabs>
        <w:tab w:val="left" w:pos="482"/>
        <w:tab w:val="left" w:pos="1157"/>
      </w:tabs>
      <w:spacing w:afterLines="50"/>
      <w:ind w:left="482" w:hanging="340"/>
      <w:jc w:val="left"/>
    </w:pPr>
    <w:rPr>
      <w:rFonts w:ascii="Arial" w:hAnsi="Arial" w:cs="Arial"/>
      <w:kern w:val="0"/>
      <w:sz w:val="24"/>
    </w:rPr>
  </w:style>
  <w:style w:type="paragraph" w:styleId="20">
    <w:name w:val="Block Text"/>
    <w:basedOn w:val="1"/>
    <w:uiPriority w:val="0"/>
    <w:pPr>
      <w:adjustRightInd w:val="0"/>
      <w:snapToGrid w:val="0"/>
      <w:spacing w:line="300" w:lineRule="auto"/>
      <w:ind w:left="958" w:right="-120" w:rightChars="-120"/>
      <w:jc w:val="left"/>
    </w:pPr>
    <w:rPr>
      <w:rFonts w:hint="eastAsia" w:ascii="Century Gothic" w:hAnsi="Century Gothic" w:cs="Arial"/>
      <w:sz w:val="28"/>
    </w:rPr>
  </w:style>
  <w:style w:type="paragraph" w:styleId="21">
    <w:name w:val="toc 5"/>
    <w:basedOn w:val="1"/>
    <w:next w:val="1"/>
    <w:uiPriority w:val="0"/>
    <w:pPr>
      <w:ind w:left="1680" w:leftChars="800"/>
    </w:pPr>
    <w:rPr>
      <w:szCs w:val="24"/>
    </w:rPr>
  </w:style>
  <w:style w:type="paragraph" w:styleId="22">
    <w:name w:val="toc 3"/>
    <w:basedOn w:val="1"/>
    <w:next w:val="1"/>
    <w:uiPriority w:val="39"/>
    <w:pPr>
      <w:tabs>
        <w:tab w:val="left" w:pos="1236"/>
        <w:tab w:val="right" w:leader="dot" w:pos="8789"/>
      </w:tabs>
      <w:ind w:left="840" w:leftChars="400"/>
    </w:pPr>
  </w:style>
  <w:style w:type="paragraph" w:styleId="23">
    <w:name w:val="Plain Text"/>
    <w:basedOn w:val="1"/>
    <w:link w:val="108"/>
    <w:qFormat/>
    <w:uiPriority w:val="0"/>
    <w:pPr>
      <w:widowControl/>
      <w:overflowPunct w:val="0"/>
      <w:autoSpaceDE w:val="0"/>
      <w:autoSpaceDN w:val="0"/>
      <w:adjustRightInd w:val="0"/>
      <w:jc w:val="left"/>
      <w:textAlignment w:val="baseline"/>
    </w:pPr>
    <w:rPr>
      <w:rFonts w:ascii="宋体" w:hAnsi="Courier New"/>
      <w:kern w:val="0"/>
      <w:sz w:val="20"/>
    </w:rPr>
  </w:style>
  <w:style w:type="paragraph" w:styleId="24">
    <w:name w:val="toc 8"/>
    <w:basedOn w:val="1"/>
    <w:next w:val="1"/>
    <w:uiPriority w:val="0"/>
    <w:pPr>
      <w:ind w:left="2940" w:leftChars="1400"/>
    </w:pPr>
    <w:rPr>
      <w:szCs w:val="24"/>
    </w:rPr>
  </w:style>
  <w:style w:type="paragraph" w:styleId="25">
    <w:name w:val="Date"/>
    <w:basedOn w:val="1"/>
    <w:next w:val="1"/>
    <w:link w:val="69"/>
    <w:uiPriority w:val="0"/>
    <w:pPr>
      <w:adjustRightInd w:val="0"/>
      <w:spacing w:line="312" w:lineRule="atLeast"/>
      <w:jc w:val="right"/>
      <w:textAlignment w:val="baseline"/>
    </w:pPr>
    <w:rPr>
      <w:rFonts w:ascii="宋体"/>
      <w:kern w:val="0"/>
      <w:sz w:val="24"/>
    </w:rPr>
  </w:style>
  <w:style w:type="paragraph" w:styleId="26">
    <w:name w:val="Body Text Indent 2"/>
    <w:basedOn w:val="1"/>
    <w:link w:val="138"/>
    <w:uiPriority w:val="0"/>
    <w:pPr>
      <w:spacing w:line="380" w:lineRule="exact"/>
      <w:ind w:left="840" w:hanging="45"/>
    </w:pPr>
    <w:rPr>
      <w:rFonts w:ascii="宋体"/>
      <w:sz w:val="24"/>
    </w:rPr>
  </w:style>
  <w:style w:type="paragraph" w:styleId="27">
    <w:name w:val="Balloon Text"/>
    <w:basedOn w:val="1"/>
    <w:link w:val="111"/>
    <w:qFormat/>
    <w:uiPriority w:val="0"/>
    <w:rPr>
      <w:sz w:val="18"/>
      <w:szCs w:val="18"/>
    </w:rPr>
  </w:style>
  <w:style w:type="paragraph" w:styleId="28">
    <w:name w:val="footer"/>
    <w:basedOn w:val="1"/>
    <w:link w:val="140"/>
    <w:uiPriority w:val="0"/>
    <w:pPr>
      <w:tabs>
        <w:tab w:val="center" w:pos="4153"/>
        <w:tab w:val="right" w:pos="8306"/>
      </w:tabs>
      <w:snapToGrid w:val="0"/>
      <w:jc w:val="left"/>
    </w:pPr>
    <w:rPr>
      <w:sz w:val="18"/>
      <w:szCs w:val="18"/>
    </w:rPr>
  </w:style>
  <w:style w:type="paragraph" w:styleId="29">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iPriority w:val="39"/>
    <w:pPr>
      <w:tabs>
        <w:tab w:val="right" w:leader="middleDot" w:pos="8789"/>
      </w:tabs>
      <w:spacing w:line="360" w:lineRule="auto"/>
    </w:pPr>
    <w:rPr>
      <w:sz w:val="24"/>
    </w:rPr>
  </w:style>
  <w:style w:type="paragraph" w:styleId="31">
    <w:name w:val="toc 4"/>
    <w:basedOn w:val="1"/>
    <w:next w:val="1"/>
    <w:uiPriority w:val="0"/>
    <w:pPr>
      <w:ind w:left="1260" w:leftChars="600"/>
    </w:pPr>
    <w:rPr>
      <w:szCs w:val="24"/>
    </w:rPr>
  </w:style>
  <w:style w:type="paragraph" w:styleId="32">
    <w:name w:val="toc 6"/>
    <w:basedOn w:val="1"/>
    <w:next w:val="1"/>
    <w:uiPriority w:val="0"/>
    <w:pPr>
      <w:ind w:left="2100" w:leftChars="1000"/>
    </w:pPr>
    <w:rPr>
      <w:szCs w:val="24"/>
    </w:rPr>
  </w:style>
  <w:style w:type="paragraph" w:styleId="33">
    <w:name w:val="List 5"/>
    <w:basedOn w:val="1"/>
    <w:uiPriority w:val="0"/>
    <w:pPr>
      <w:ind w:left="100" w:leftChars="800" w:hanging="200" w:hangingChars="200"/>
    </w:pPr>
    <w:rPr>
      <w:rFonts w:ascii="Arial" w:hAnsi="Arial" w:cs="Arial"/>
    </w:rPr>
  </w:style>
  <w:style w:type="paragraph" w:styleId="34">
    <w:name w:val="Body Text Indent 3"/>
    <w:basedOn w:val="1"/>
    <w:link w:val="114"/>
    <w:uiPriority w:val="0"/>
    <w:pPr>
      <w:spacing w:line="380" w:lineRule="exact"/>
      <w:ind w:left="525"/>
    </w:pPr>
    <w:rPr>
      <w:rFonts w:ascii="宋体"/>
      <w:sz w:val="24"/>
    </w:rPr>
  </w:style>
  <w:style w:type="paragraph" w:styleId="35">
    <w:name w:val="toc 2"/>
    <w:basedOn w:val="1"/>
    <w:next w:val="1"/>
    <w:uiPriority w:val="39"/>
    <w:pPr>
      <w:tabs>
        <w:tab w:val="right" w:leader="middleDot" w:pos="8789"/>
      </w:tabs>
      <w:spacing w:after="60"/>
      <w:ind w:left="420" w:leftChars="200"/>
    </w:pPr>
  </w:style>
  <w:style w:type="paragraph" w:styleId="36">
    <w:name w:val="toc 9"/>
    <w:basedOn w:val="1"/>
    <w:next w:val="1"/>
    <w:uiPriority w:val="0"/>
    <w:pPr>
      <w:ind w:left="3360" w:leftChars="1600"/>
    </w:pPr>
    <w:rPr>
      <w:szCs w:val="24"/>
    </w:rPr>
  </w:style>
  <w:style w:type="paragraph" w:styleId="37">
    <w:name w:val="Body Text 2"/>
    <w:basedOn w:val="1"/>
    <w:link w:val="72"/>
    <w:uiPriority w:val="0"/>
    <w:rPr>
      <w:rFonts w:ascii="Arial" w:hAnsi="Arial"/>
      <w:kern w:val="0"/>
      <w:sz w:val="24"/>
      <w:szCs w:val="24"/>
    </w:rPr>
  </w:style>
  <w:style w:type="paragraph" w:styleId="38">
    <w:name w:val="HTML Preformatted"/>
    <w:basedOn w:val="1"/>
    <w:link w:val="119"/>
    <w:uiPriority w:val="99"/>
    <w:rPr>
      <w:rFonts w:ascii="Courier New" w:hAnsi="Courier New"/>
      <w:sz w:val="20"/>
    </w:rPr>
  </w:style>
  <w:style w:type="paragraph" w:styleId="39">
    <w:name w:val="Normal (Web)"/>
    <w:basedOn w:val="1"/>
    <w:qFormat/>
    <w:uiPriority w:val="99"/>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40">
    <w:name w:val="Title"/>
    <w:basedOn w:val="1"/>
    <w:next w:val="1"/>
    <w:link w:val="79"/>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80"/>
    <w:uiPriority w:val="0"/>
    <w:rPr>
      <w:b/>
      <w:bCs/>
    </w:rPr>
  </w:style>
  <w:style w:type="paragraph" w:styleId="42">
    <w:name w:val="Body Text First Indent"/>
    <w:basedOn w:val="18"/>
    <w:link w:val="143"/>
    <w:uiPriority w:val="0"/>
    <w:pPr>
      <w:ind w:firstLine="420" w:firstLineChars="100"/>
    </w:pPr>
    <w:rPr>
      <w:szCs w:val="24"/>
    </w:rPr>
  </w:style>
  <w:style w:type="paragraph" w:styleId="43">
    <w:name w:val="Body Text First Indent 2"/>
    <w:basedOn w:val="2"/>
    <w:link w:val="83"/>
    <w:unhideWhenUsed/>
    <w:qFormat/>
    <w:uiPriority w:val="99"/>
    <w:pPr>
      <w:spacing w:after="120" w:line="240" w:lineRule="auto"/>
      <w:ind w:left="420" w:leftChars="200" w:firstLine="420" w:firstLineChars="200"/>
    </w:pPr>
    <w:rPr>
      <w:sz w:val="21"/>
    </w:rPr>
  </w:style>
  <w:style w:type="table" w:styleId="45">
    <w:name w:val="Table Grid"/>
    <w:basedOn w:val="44"/>
    <w:qFormat/>
    <w:uiPriority w:val="0"/>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basedOn w:val="46"/>
    <w:uiPriority w:val="0"/>
  </w:style>
  <w:style w:type="character" w:styleId="49">
    <w:name w:val="FollowedHyperlink"/>
    <w:unhideWhenUsed/>
    <w:uiPriority w:val="99"/>
    <w:rPr>
      <w:color w:val="954F72"/>
      <w:u w:val="single"/>
    </w:rPr>
  </w:style>
  <w:style w:type="character" w:styleId="50">
    <w:name w:val="Hyperlink"/>
    <w:uiPriority w:val="99"/>
    <w:rPr>
      <w:color w:val="0000FF"/>
      <w:u w:val="single"/>
    </w:rPr>
  </w:style>
  <w:style w:type="character" w:styleId="51">
    <w:name w:val="annotation reference"/>
    <w:uiPriority w:val="0"/>
    <w:rPr>
      <w:sz w:val="21"/>
      <w:szCs w:val="21"/>
    </w:rPr>
  </w:style>
  <w:style w:type="character" w:customStyle="1" w:styleId="52">
    <w:name w:val="标准文本 Char Char"/>
    <w:link w:val="53"/>
    <w:uiPriority w:val="0"/>
    <w:rPr>
      <w:rFonts w:ascii="Arial" w:hAnsi="Arial"/>
      <w:sz w:val="24"/>
    </w:rPr>
  </w:style>
  <w:style w:type="paragraph" w:customStyle="1" w:styleId="53">
    <w:name w:val="标准文本"/>
    <w:basedOn w:val="1"/>
    <w:link w:val="52"/>
    <w:uiPriority w:val="0"/>
    <w:pPr>
      <w:spacing w:line="360" w:lineRule="auto"/>
      <w:ind w:firstLine="480" w:firstLineChars="200"/>
    </w:pPr>
    <w:rPr>
      <w:rFonts w:ascii="Arial" w:hAnsi="Arial"/>
      <w:kern w:val="0"/>
      <w:sz w:val="24"/>
    </w:rPr>
  </w:style>
  <w:style w:type="character" w:customStyle="1" w:styleId="54">
    <w:name w:val="批注主题 Char Char"/>
    <w:link w:val="55"/>
    <w:uiPriority w:val="0"/>
    <w:rPr>
      <w:rFonts w:ascii="Calibri" w:hAnsi="Calibri"/>
      <w:b/>
      <w:bCs/>
    </w:rPr>
  </w:style>
  <w:style w:type="paragraph" w:customStyle="1" w:styleId="55">
    <w:name w:val="批注主题1"/>
    <w:basedOn w:val="17"/>
    <w:next w:val="17"/>
    <w:link w:val="54"/>
    <w:uiPriority w:val="0"/>
    <w:rPr>
      <w:rFonts w:ascii="Calibri" w:hAnsi="Calibri"/>
      <w:b/>
      <w:bCs/>
      <w:kern w:val="0"/>
      <w:sz w:val="20"/>
    </w:rPr>
  </w:style>
  <w:style w:type="character" w:customStyle="1" w:styleId="56">
    <w:name w:val="Char Char121"/>
    <w:uiPriority w:val="0"/>
    <w:rPr>
      <w:rFonts w:ascii="Century Gothic" w:hAnsi="楷体_GB2312" w:eastAsia="Century Gothic" w:cs="楷体_GB2312"/>
      <w:kern w:val="2"/>
      <w:sz w:val="21"/>
      <w:szCs w:val="21"/>
      <w:lang w:val="en-US" w:eastAsia="zh-CN" w:bidi="ar-SA"/>
    </w:rPr>
  </w:style>
  <w:style w:type="character" w:customStyle="1" w:styleId="57">
    <w:name w:val="List Paragraph Char"/>
    <w:link w:val="58"/>
    <w:qFormat/>
    <w:locked/>
    <w:uiPriority w:val="0"/>
    <w:rPr>
      <w:kern w:val="2"/>
      <w:sz w:val="21"/>
      <w:szCs w:val="24"/>
    </w:rPr>
  </w:style>
  <w:style w:type="paragraph" w:customStyle="1" w:styleId="58">
    <w:name w:val="列出段落12"/>
    <w:basedOn w:val="1"/>
    <w:link w:val="57"/>
    <w:qFormat/>
    <w:uiPriority w:val="0"/>
    <w:pPr>
      <w:ind w:firstLine="420" w:firstLineChars="200"/>
    </w:pPr>
    <w:rPr>
      <w:szCs w:val="24"/>
    </w:rPr>
  </w:style>
  <w:style w:type="character" w:customStyle="1" w:styleId="59">
    <w:name w:val="样式1 Char Char"/>
    <w:link w:val="60"/>
    <w:qFormat/>
    <w:uiPriority w:val="0"/>
    <w:rPr>
      <w:rFonts w:ascii="宋体" w:hAnsi="宋体"/>
      <w:color w:val="222222"/>
      <w:sz w:val="28"/>
      <w:szCs w:val="28"/>
    </w:rPr>
  </w:style>
  <w:style w:type="paragraph" w:customStyle="1" w:styleId="60">
    <w:name w:val="样式1"/>
    <w:basedOn w:val="1"/>
    <w:link w:val="59"/>
    <w:uiPriority w:val="0"/>
    <w:pPr>
      <w:spacing w:line="360" w:lineRule="auto"/>
      <w:ind w:firstLine="560" w:firstLineChars="200"/>
    </w:pPr>
    <w:rPr>
      <w:rFonts w:ascii="宋体" w:hAnsi="宋体"/>
      <w:color w:val="222222"/>
      <w:kern w:val="0"/>
      <w:sz w:val="28"/>
      <w:szCs w:val="28"/>
    </w:rPr>
  </w:style>
  <w:style w:type="character" w:customStyle="1" w:styleId="61">
    <w:name w:val="标题 2 Char"/>
    <w:link w:val="4"/>
    <w:uiPriority w:val="0"/>
    <w:rPr>
      <w:rFonts w:ascii="Arial" w:hAnsi="Arial" w:eastAsia="黑体"/>
      <w:b/>
      <w:bCs/>
      <w:kern w:val="2"/>
      <w:sz w:val="32"/>
      <w:szCs w:val="32"/>
      <w:lang w:val="en-US" w:eastAsia="zh-CN" w:bidi="ar-SA"/>
    </w:rPr>
  </w:style>
  <w:style w:type="character" w:customStyle="1" w:styleId="62">
    <w:name w:val="页眉 Char Char"/>
    <w:uiPriority w:val="0"/>
    <w:rPr>
      <w:rFonts w:ascii="Calibri" w:hAnsi="Calibri" w:eastAsia="宋体" w:cs="Times New Roman"/>
      <w:sz w:val="18"/>
      <w:szCs w:val="18"/>
    </w:rPr>
  </w:style>
  <w:style w:type="character" w:customStyle="1" w:styleId="63">
    <w:name w:val="正文首行缩进 2 Char"/>
    <w:qFormat/>
    <w:uiPriority w:val="99"/>
    <w:rPr>
      <w:rFonts w:eastAsia="方正书宋简体"/>
      <w:kern w:val="2"/>
      <w:sz w:val="21"/>
      <w:lang w:val="en-US" w:eastAsia="zh-CN" w:bidi="ar-SA"/>
    </w:rPr>
  </w:style>
  <w:style w:type="character" w:customStyle="1" w:styleId="64">
    <w:name w:val="Char Char Char"/>
    <w:uiPriority w:val="0"/>
    <w:rPr>
      <w:rFonts w:ascii="Courier New" w:eastAsia="Courier New"/>
      <w:color w:val="FF0000"/>
      <w:kern w:val="2"/>
      <w:sz w:val="24"/>
      <w:szCs w:val="24"/>
      <w:u w:val="single"/>
      <w:lang w:val="en-US" w:eastAsia="zh-CN" w:bidi="ar-SA"/>
    </w:rPr>
  </w:style>
  <w:style w:type="character" w:customStyle="1" w:styleId="65">
    <w:name w:val="批注框文本 字符"/>
    <w:uiPriority w:val="0"/>
    <w:rPr>
      <w:rFonts w:ascii="Calibri" w:hAnsi="Calibri" w:eastAsia="宋体" w:cs="Times New Roman"/>
      <w:kern w:val="2"/>
      <w:sz w:val="18"/>
      <w:szCs w:val="18"/>
    </w:rPr>
  </w:style>
  <w:style w:type="character" w:customStyle="1" w:styleId="66">
    <w:name w:val="H4 Char1"/>
    <w:aliases w:val="heading 4 Char1,h4 Char1,PIM 4 Char1,bullet Char1,bl Char1,bb Char1,H41 Char1,H42 Char1,H43 Char1,H44 Char1,H45 Char1,H46 Char1,H47 Char1,H48 Char1,H49 Char1,H410 Char1,H411 Char1,H421 Char1,H431 Char1,H441 Char1,H451 Char1,H461 Char1,H412 Char"/>
    <w:uiPriority w:val="0"/>
    <w:rPr>
      <w:rFonts w:ascii="MS Sans Serif" w:hAnsi="仿宋_GB2312" w:eastAsia="MS Sans Serif" w:cs="Times New Roman"/>
      <w:snapToGrid w:val="0"/>
      <w:kern w:val="0"/>
      <w:sz w:val="24"/>
      <w:szCs w:val="20"/>
    </w:rPr>
  </w:style>
  <w:style w:type="character" w:customStyle="1" w:styleId="67">
    <w:name w:val="font41"/>
    <w:qFormat/>
    <w:uiPriority w:val="0"/>
    <w:rPr>
      <w:rFonts w:hint="eastAsia" w:ascii="微软雅黑" w:hAnsi="微软雅黑" w:eastAsia="微软雅黑" w:cs="微软雅黑"/>
      <w:b/>
      <w:color w:val="000000"/>
      <w:sz w:val="18"/>
      <w:szCs w:val="18"/>
      <w:u w:val="none"/>
    </w:rPr>
  </w:style>
  <w:style w:type="character" w:customStyle="1" w:styleId="68">
    <w:name w:val="Char Char12"/>
    <w:uiPriority w:val="0"/>
    <w:rPr>
      <w:rFonts w:ascii="Century Gothic" w:hAnsi="Century Gothic" w:eastAsia="Century Gothic" w:cs="Arial"/>
      <w:sz w:val="24"/>
    </w:rPr>
  </w:style>
  <w:style w:type="character" w:customStyle="1" w:styleId="69">
    <w:name w:val="日期 Char"/>
    <w:link w:val="25"/>
    <w:uiPriority w:val="0"/>
    <w:rPr>
      <w:rFonts w:ascii="宋体" w:eastAsia="宋体"/>
      <w:sz w:val="24"/>
      <w:lang w:val="en-US" w:eastAsia="zh-CN" w:bidi="ar-SA"/>
    </w:rPr>
  </w:style>
  <w:style w:type="character" w:customStyle="1" w:styleId="70">
    <w:name w:val="Char Char21"/>
    <w:uiPriority w:val="0"/>
    <w:rPr>
      <w:rFonts w:eastAsia="Century Gothic"/>
      <w:b/>
      <w:bCs/>
      <w:kern w:val="44"/>
      <w:sz w:val="32"/>
      <w:szCs w:val="44"/>
      <w:lang w:val="en-US" w:eastAsia="zh-CN" w:bidi="ar-SA"/>
    </w:rPr>
  </w:style>
  <w:style w:type="character" w:customStyle="1" w:styleId="71">
    <w:name w:val="zbggtop11 style5"/>
    <w:basedOn w:val="46"/>
    <w:uiPriority w:val="0"/>
  </w:style>
  <w:style w:type="character" w:customStyle="1" w:styleId="72">
    <w:name w:val="正文文本 2 Char"/>
    <w:link w:val="37"/>
    <w:uiPriority w:val="0"/>
    <w:rPr>
      <w:rFonts w:ascii="Arial" w:hAnsi="Arial"/>
      <w:sz w:val="24"/>
      <w:szCs w:val="24"/>
    </w:rPr>
  </w:style>
  <w:style w:type="character" w:customStyle="1" w:styleId="73">
    <w:name w:val="样式 正文1 + Times New Roman Char"/>
    <w:link w:val="74"/>
    <w:locked/>
    <w:uiPriority w:val="0"/>
    <w:rPr>
      <w:lang w:val="en-GB" w:eastAsia="en-US"/>
    </w:rPr>
  </w:style>
  <w:style w:type="paragraph" w:customStyle="1" w:styleId="74">
    <w:name w:val="样式 正文1 + Times New Roman"/>
    <w:basedOn w:val="1"/>
    <w:link w:val="73"/>
    <w:uiPriority w:val="0"/>
    <w:pPr>
      <w:widowControl/>
      <w:spacing w:line="360" w:lineRule="auto"/>
      <w:ind w:firstLine="200" w:firstLineChars="200"/>
    </w:pPr>
    <w:rPr>
      <w:kern w:val="0"/>
      <w:sz w:val="20"/>
      <w:lang w:val="en-GB" w:eastAsia="en-US"/>
    </w:rPr>
  </w:style>
  <w:style w:type="character" w:customStyle="1" w:styleId="75">
    <w:name w:val="文档结构图 字符"/>
    <w:qFormat/>
    <w:uiPriority w:val="0"/>
    <w:rPr>
      <w:rFonts w:ascii="宋体" w:hAnsi="Calibri" w:cs="Times New Roman"/>
      <w:kern w:val="2"/>
      <w:sz w:val="18"/>
      <w:szCs w:val="18"/>
    </w:rPr>
  </w:style>
  <w:style w:type="character" w:customStyle="1" w:styleId="76">
    <w:name w:val="H4 Char"/>
    <w:aliases w:val="heading 4 Char,h4 Char,PIM 4 Char,bullet Char,bl Char,bb Char,H41 Char,H42 Char,H43 Char,H44 Char,H45 Char,H46 Char,H47 Char,H48 Char,H49 Char,H410 Char,H411 Char,H421 Char,H431 Char,H441 Char,H451 Char,H461 Char,H471 Char,H481 Char,H491 Char"/>
    <w:uiPriority w:val="0"/>
    <w:rPr>
      <w:rFonts w:ascii="Arial" w:hAnsi="Arial" w:eastAsia="黑体" w:cs="Times New Roman"/>
      <w:b/>
      <w:bCs/>
      <w:sz w:val="28"/>
      <w:szCs w:val="28"/>
    </w:rPr>
  </w:style>
  <w:style w:type="character" w:customStyle="1" w:styleId="77">
    <w:name w:val="纯文本 Char2"/>
    <w:uiPriority w:val="0"/>
    <w:rPr>
      <w:rFonts w:ascii="宋体" w:hAnsi="Courier New" w:eastAsia="宋体"/>
      <w:kern w:val="2"/>
      <w:sz w:val="24"/>
      <w:szCs w:val="24"/>
      <w:lang w:val="en-US" w:eastAsia="zh-CN" w:bidi="ar-SA"/>
    </w:rPr>
  </w:style>
  <w:style w:type="character" w:customStyle="1" w:styleId="78">
    <w:name w:val="批注文字 Char Char"/>
    <w:uiPriority w:val="0"/>
    <w:rPr>
      <w:rFonts w:ascii="Calibri" w:hAnsi="Calibri" w:eastAsia="宋体" w:cs="Times New Roman"/>
    </w:rPr>
  </w:style>
  <w:style w:type="character" w:customStyle="1" w:styleId="79">
    <w:name w:val="标题 Char"/>
    <w:link w:val="40"/>
    <w:uiPriority w:val="0"/>
    <w:rPr>
      <w:rFonts w:ascii="Cambria" w:hAnsi="Cambria" w:cs="Times New Roman"/>
      <w:b/>
      <w:bCs/>
      <w:kern w:val="2"/>
      <w:sz w:val="32"/>
      <w:szCs w:val="32"/>
    </w:rPr>
  </w:style>
  <w:style w:type="character" w:customStyle="1" w:styleId="80">
    <w:name w:val="批注主题 Char"/>
    <w:link w:val="41"/>
    <w:uiPriority w:val="0"/>
    <w:rPr>
      <w:rFonts w:eastAsia="宋体"/>
      <w:b/>
      <w:bCs/>
      <w:kern w:val="2"/>
      <w:sz w:val="21"/>
      <w:lang w:val="en-US" w:eastAsia="zh-CN" w:bidi="ar-SA"/>
    </w:rPr>
  </w:style>
  <w:style w:type="character" w:customStyle="1" w:styleId="81">
    <w:name w:val="正文文本缩进 Char"/>
    <w:link w:val="2"/>
    <w:uiPriority w:val="0"/>
    <w:rPr>
      <w:rFonts w:eastAsia="方正书宋简体"/>
      <w:kern w:val="2"/>
      <w:sz w:val="24"/>
      <w:lang w:val="en-US" w:eastAsia="zh-CN" w:bidi="ar-SA"/>
    </w:rPr>
  </w:style>
  <w:style w:type="character" w:customStyle="1" w:styleId="82">
    <w:name w:val="font61"/>
    <w:qFormat/>
    <w:uiPriority w:val="0"/>
    <w:rPr>
      <w:rFonts w:hint="eastAsia" w:ascii="宋体" w:hAnsi="宋体" w:eastAsia="宋体" w:cs="宋体"/>
      <w:color w:val="444445"/>
      <w:sz w:val="18"/>
      <w:szCs w:val="18"/>
      <w:u w:val="none"/>
    </w:rPr>
  </w:style>
  <w:style w:type="character" w:customStyle="1" w:styleId="83">
    <w:name w:val="正文首行缩进 2 Char1"/>
    <w:link w:val="43"/>
    <w:qFormat/>
    <w:uiPriority w:val="99"/>
    <w:rPr>
      <w:rFonts w:eastAsia="方正书宋简体"/>
      <w:kern w:val="2"/>
      <w:sz w:val="21"/>
      <w:lang w:val="en-US" w:eastAsia="zh-CN" w:bidi="ar-SA"/>
    </w:rPr>
  </w:style>
  <w:style w:type="character" w:customStyle="1" w:styleId="84">
    <w:name w:val="正文文本 Char"/>
    <w:link w:val="18"/>
    <w:uiPriority w:val="0"/>
    <w:rPr>
      <w:kern w:val="2"/>
      <w:sz w:val="21"/>
    </w:rPr>
  </w:style>
  <w:style w:type="character" w:customStyle="1" w:styleId="85">
    <w:name w:val="普通文字 Char Char1"/>
    <w:aliases w:val="纯文本 Char Char Char,纯文本 Char Char1,普通文字 Char Char Char,普通文字 Char1,纯文本 Char Char Char Char Char Char Char Char Char Char Char Char Char Char,普通文字1 Char,普通文字2 Char,普通文字3 Char,普通文字4 Char,普通文字5 Char,普通文字6 Char,普通文字11 Char,普通文字21 Char,正 文 1 Ch"/>
    <w:uiPriority w:val="0"/>
    <w:rPr>
      <w:rFonts w:ascii="Century Gothic" w:hAnsi="楷体_GB2312" w:eastAsia="Century Gothic" w:cs="楷体_GB2312"/>
      <w:kern w:val="2"/>
      <w:sz w:val="21"/>
      <w:szCs w:val="21"/>
      <w:lang w:val="en-US" w:eastAsia="zh-CN" w:bidi="ar-SA"/>
    </w:rPr>
  </w:style>
  <w:style w:type="character" w:customStyle="1" w:styleId="86">
    <w:name w:val="标题 3 Char Char"/>
    <w:uiPriority w:val="0"/>
    <w:rPr>
      <w:rFonts w:ascii="Times New Roman" w:hAnsi="Times New Roman" w:eastAsia="宋体" w:cs="Times New Roman"/>
      <w:kern w:val="0"/>
      <w:sz w:val="24"/>
      <w:szCs w:val="20"/>
    </w:rPr>
  </w:style>
  <w:style w:type="character" w:customStyle="1" w:styleId="87">
    <w:name w:val="页脚 Char Char"/>
    <w:uiPriority w:val="0"/>
    <w:rPr>
      <w:rFonts w:ascii="Calibri" w:hAnsi="Calibri" w:eastAsia="宋体" w:cs="Times New Roman"/>
      <w:sz w:val="18"/>
      <w:szCs w:val="18"/>
    </w:rPr>
  </w:style>
  <w:style w:type="character" w:customStyle="1" w:styleId="88">
    <w:name w:val="标题 1 Char"/>
    <w:link w:val="3"/>
    <w:uiPriority w:val="0"/>
    <w:rPr>
      <w:rFonts w:ascii="宋体" w:eastAsia="宋体"/>
      <w:b/>
      <w:bCs/>
      <w:kern w:val="2"/>
      <w:sz w:val="28"/>
      <w:lang w:val="en-US" w:eastAsia="zh-CN" w:bidi="ar-SA"/>
    </w:rPr>
  </w:style>
  <w:style w:type="character" w:customStyle="1" w:styleId="89">
    <w:name w:val="font21"/>
    <w:qFormat/>
    <w:uiPriority w:val="0"/>
    <w:rPr>
      <w:rFonts w:hint="eastAsia" w:ascii="仿宋_GB2312" w:eastAsia="仿宋_GB2312" w:cs="仿宋_GB2312"/>
      <w:color w:val="000000"/>
      <w:sz w:val="24"/>
      <w:szCs w:val="24"/>
      <w:u w:val="none"/>
    </w:rPr>
  </w:style>
  <w:style w:type="character" w:customStyle="1" w:styleId="90">
    <w:name w:val="标题 1 Char Char"/>
    <w:uiPriority w:val="0"/>
    <w:rPr>
      <w:rFonts w:eastAsia="宋体"/>
      <w:b/>
      <w:spacing w:val="-2"/>
      <w:sz w:val="24"/>
      <w:lang w:val="en-US" w:eastAsia="zh-CN" w:bidi="ar-SA"/>
    </w:rPr>
  </w:style>
  <w:style w:type="character" w:customStyle="1" w:styleId="91">
    <w:name w:val="正文文本缩进 字符"/>
    <w:uiPriority w:val="0"/>
    <w:rPr>
      <w:rFonts w:ascii="Calibri" w:hAnsi="Calibri" w:eastAsia="宋体" w:cs="Times New Roman"/>
      <w:kern w:val="2"/>
      <w:sz w:val="21"/>
      <w:szCs w:val="24"/>
    </w:rPr>
  </w:style>
  <w:style w:type="character" w:customStyle="1" w:styleId="92">
    <w:name w:val="文档结构图 Char Char"/>
    <w:link w:val="93"/>
    <w:uiPriority w:val="0"/>
    <w:rPr>
      <w:rFonts w:ascii="Tahoma" w:hAnsi="Tahoma"/>
      <w:sz w:val="16"/>
      <w:szCs w:val="16"/>
    </w:rPr>
  </w:style>
  <w:style w:type="paragraph" w:customStyle="1" w:styleId="93">
    <w:name w:val="文档结构图1"/>
    <w:basedOn w:val="1"/>
    <w:link w:val="92"/>
    <w:uiPriority w:val="0"/>
    <w:rPr>
      <w:rFonts w:ascii="Tahoma" w:hAnsi="Tahoma"/>
      <w:kern w:val="0"/>
      <w:sz w:val="16"/>
      <w:szCs w:val="16"/>
    </w:rPr>
  </w:style>
  <w:style w:type="character" w:customStyle="1" w:styleId="94">
    <w:name w:val="标题 8 Char"/>
    <w:link w:val="11"/>
    <w:uiPriority w:val="0"/>
    <w:rPr>
      <w:rFonts w:ascii="黑体" w:hAnsi="黑体" w:eastAsia="楷体"/>
      <w:kern w:val="2"/>
      <w:sz w:val="24"/>
    </w:rPr>
  </w:style>
  <w:style w:type="character" w:customStyle="1" w:styleId="95">
    <w:name w:val="标题 Char Char"/>
    <w:uiPriority w:val="0"/>
    <w:rPr>
      <w:rFonts w:ascii="Cambria" w:hAnsi="Cambria" w:eastAsia="宋体" w:cs="Times New Roman"/>
      <w:b/>
      <w:bCs/>
      <w:sz w:val="32"/>
      <w:szCs w:val="32"/>
    </w:rPr>
  </w:style>
  <w:style w:type="character" w:customStyle="1" w:styleId="96">
    <w:name w:val="正文缩进 Char"/>
    <w:link w:val="5"/>
    <w:qFormat/>
    <w:uiPriority w:val="0"/>
    <w:rPr>
      <w:rFonts w:ascii="宋体"/>
      <w:sz w:val="21"/>
    </w:rPr>
  </w:style>
  <w:style w:type="character" w:customStyle="1" w:styleId="97">
    <w:name w:val="批注文字 Char"/>
    <w:link w:val="17"/>
    <w:uiPriority w:val="0"/>
    <w:rPr>
      <w:rFonts w:eastAsia="宋体"/>
      <w:kern w:val="2"/>
      <w:sz w:val="21"/>
      <w:lang w:val="en-US" w:eastAsia="zh-CN" w:bidi="ar-SA"/>
    </w:rPr>
  </w:style>
  <w:style w:type="character" w:customStyle="1" w:styleId="98">
    <w:name w:val="已访问的超链接1"/>
    <w:uiPriority w:val="0"/>
    <w:rPr>
      <w:color w:val="800080"/>
      <w:u w:val="single"/>
    </w:rPr>
  </w:style>
  <w:style w:type="character" w:customStyle="1" w:styleId="99">
    <w:name w:val="tpc_content1"/>
    <w:uiPriority w:val="0"/>
    <w:rPr>
      <w:sz w:val="20"/>
      <w:szCs w:val="20"/>
    </w:rPr>
  </w:style>
  <w:style w:type="character" w:customStyle="1" w:styleId="100">
    <w:name w:val="页眉 Char"/>
    <w:link w:val="29"/>
    <w:uiPriority w:val="0"/>
    <w:rPr>
      <w:rFonts w:eastAsia="宋体"/>
      <w:kern w:val="2"/>
      <w:sz w:val="18"/>
      <w:szCs w:val="18"/>
      <w:lang w:val="en-US" w:eastAsia="zh-CN" w:bidi="ar-SA"/>
    </w:rPr>
  </w:style>
  <w:style w:type="character" w:customStyle="1" w:styleId="101">
    <w:name w:val="正文2 Char Char"/>
    <w:link w:val="102"/>
    <w:qFormat/>
    <w:uiPriority w:val="0"/>
    <w:rPr>
      <w:kern w:val="2"/>
      <w:sz w:val="24"/>
    </w:rPr>
  </w:style>
  <w:style w:type="paragraph" w:customStyle="1" w:styleId="102">
    <w:name w:val="正文2"/>
    <w:basedOn w:val="1"/>
    <w:link w:val="101"/>
    <w:qFormat/>
    <w:uiPriority w:val="0"/>
    <w:pPr>
      <w:spacing w:before="156" w:line="360" w:lineRule="auto"/>
      <w:ind w:firstLine="510" w:firstLineChars="200"/>
    </w:pPr>
    <w:rPr>
      <w:sz w:val="24"/>
    </w:rPr>
  </w:style>
  <w:style w:type="character" w:customStyle="1" w:styleId="103">
    <w:name w:val="font01"/>
    <w:qFormat/>
    <w:uiPriority w:val="0"/>
    <w:rPr>
      <w:rFonts w:hint="eastAsia" w:ascii="微软雅黑" w:hAnsi="微软雅黑" w:eastAsia="微软雅黑" w:cs="微软雅黑"/>
      <w:b/>
      <w:color w:val="000000"/>
      <w:sz w:val="15"/>
      <w:szCs w:val="15"/>
      <w:u w:val="none"/>
    </w:rPr>
  </w:style>
  <w:style w:type="character" w:customStyle="1" w:styleId="104">
    <w:name w:val="font51"/>
    <w:qFormat/>
    <w:uiPriority w:val="0"/>
    <w:rPr>
      <w:rFonts w:hint="eastAsia" w:ascii="宋体" w:hAnsi="宋体" w:eastAsia="宋体" w:cs="宋体"/>
      <w:color w:val="000000"/>
      <w:sz w:val="18"/>
      <w:szCs w:val="18"/>
      <w:u w:val="none"/>
    </w:rPr>
  </w:style>
  <w:style w:type="character" w:customStyle="1" w:styleId="105">
    <w:name w:val="纯文本 字符"/>
    <w:uiPriority w:val="0"/>
    <w:rPr>
      <w:rFonts w:ascii="宋体" w:hAnsi="Courier New"/>
      <w:kern w:val="2"/>
      <w:sz w:val="24"/>
      <w:szCs w:val="24"/>
      <w:lang w:bidi="ar-SA"/>
    </w:rPr>
  </w:style>
  <w:style w:type="character" w:customStyle="1" w:styleId="106">
    <w:name w:val="正文标准 Char Char"/>
    <w:link w:val="107"/>
    <w:uiPriority w:val="0"/>
    <w:rPr>
      <w:rFonts w:ascii="Arial" w:hAnsi="Arial"/>
      <w:sz w:val="24"/>
      <w:szCs w:val="21"/>
    </w:rPr>
  </w:style>
  <w:style w:type="paragraph" w:customStyle="1" w:styleId="107">
    <w:name w:val="正文标准"/>
    <w:basedOn w:val="1"/>
    <w:link w:val="106"/>
    <w:uiPriority w:val="0"/>
    <w:pPr>
      <w:spacing w:beforeLines="50"/>
      <w:ind w:firstLine="200" w:firstLineChars="200"/>
    </w:pPr>
    <w:rPr>
      <w:rFonts w:ascii="Arial" w:hAnsi="Arial"/>
      <w:kern w:val="0"/>
      <w:sz w:val="24"/>
      <w:szCs w:val="21"/>
    </w:rPr>
  </w:style>
  <w:style w:type="character" w:customStyle="1" w:styleId="108">
    <w:name w:val="纯文本 Char"/>
    <w:link w:val="23"/>
    <w:qFormat/>
    <w:uiPriority w:val="0"/>
    <w:rPr>
      <w:rFonts w:ascii="宋体" w:hAnsi="Courier New"/>
    </w:rPr>
  </w:style>
  <w:style w:type="character" w:customStyle="1" w:styleId="109">
    <w:name w:val="正文文本缩进 2 Char Char"/>
    <w:uiPriority w:val="0"/>
    <w:rPr>
      <w:rFonts w:ascii="宋体" w:eastAsia="宋体"/>
      <w:kern w:val="2"/>
      <w:sz w:val="24"/>
      <w:lang w:val="en-US" w:eastAsia="zh-CN" w:bidi="ar-SA"/>
    </w:rPr>
  </w:style>
  <w:style w:type="character" w:customStyle="1" w:styleId="110">
    <w:name w:val="BOD 0 Char"/>
    <w:aliases w:val="Level 3 Head Char,H3 Char,Heading 3 - old Char,level_3 Char,PIM 3 Char,h3 Char,sect1.2.3 Char,sect1.2.31 Char,sect1.2.32 Char,sect1.2.311 Char,sect1.2.33 Char,sect1.2.312 Char,Bold Head Char,bh Char,L3 Char,dd heading 3 Char,dh3 Char,3 Char"/>
    <w:uiPriority w:val="0"/>
    <w:rPr>
      <w:rFonts w:ascii="Calibri" w:hAnsi="Calibri" w:eastAsia="宋体" w:cs="Times New Roman"/>
      <w:b/>
      <w:bCs/>
      <w:sz w:val="32"/>
      <w:szCs w:val="32"/>
    </w:rPr>
  </w:style>
  <w:style w:type="character" w:customStyle="1" w:styleId="111">
    <w:name w:val="批注框文本 Char"/>
    <w:link w:val="27"/>
    <w:uiPriority w:val="0"/>
    <w:rPr>
      <w:rFonts w:eastAsia="宋体"/>
      <w:kern w:val="2"/>
      <w:sz w:val="18"/>
      <w:szCs w:val="18"/>
      <w:lang w:val="en-US" w:eastAsia="zh-CN" w:bidi="ar-SA"/>
    </w:rPr>
  </w:style>
  <w:style w:type="character" w:customStyle="1" w:styleId="112">
    <w:name w:val="标题 9 Char"/>
    <w:link w:val="12"/>
    <w:uiPriority w:val="0"/>
    <w:rPr>
      <w:rFonts w:ascii="黑体" w:hAnsi="黑体" w:eastAsia="楷体"/>
      <w:kern w:val="2"/>
      <w:sz w:val="21"/>
    </w:rPr>
  </w:style>
  <w:style w:type="character" w:customStyle="1" w:styleId="113">
    <w:name w:val="Char Char Char Char Char Char1"/>
    <w:uiPriority w:val="0"/>
    <w:rPr>
      <w:rFonts w:ascii="宋体" w:hAnsi="Courier New"/>
      <w:kern w:val="2"/>
      <w:sz w:val="24"/>
      <w:szCs w:val="24"/>
    </w:rPr>
  </w:style>
  <w:style w:type="character" w:customStyle="1" w:styleId="114">
    <w:name w:val="正文文本缩进 3 Char"/>
    <w:link w:val="34"/>
    <w:uiPriority w:val="0"/>
    <w:rPr>
      <w:rFonts w:ascii="宋体" w:eastAsia="宋体"/>
      <w:kern w:val="2"/>
      <w:sz w:val="24"/>
      <w:lang w:val="en-US" w:eastAsia="zh-CN" w:bidi="ar-SA"/>
    </w:rPr>
  </w:style>
  <w:style w:type="character" w:customStyle="1" w:styleId="115">
    <w:name w:val="批注引用1"/>
    <w:uiPriority w:val="0"/>
    <w:rPr>
      <w:sz w:val="21"/>
      <w:szCs w:val="21"/>
    </w:rPr>
  </w:style>
  <w:style w:type="character" w:customStyle="1" w:styleId="116">
    <w:name w:val="文档结构图 Char"/>
    <w:link w:val="16"/>
    <w:uiPriority w:val="0"/>
    <w:rPr>
      <w:kern w:val="2"/>
      <w:sz w:val="21"/>
      <w:shd w:val="clear" w:color="auto" w:fill="000080"/>
    </w:rPr>
  </w:style>
  <w:style w:type="character" w:customStyle="1" w:styleId="117">
    <w:name w:val="纯文本 Char Char"/>
    <w:uiPriority w:val="0"/>
    <w:rPr>
      <w:rFonts w:ascii="宋体" w:hAnsi="Courier New" w:cs="Courier New"/>
      <w:kern w:val="2"/>
      <w:sz w:val="21"/>
      <w:szCs w:val="21"/>
    </w:rPr>
  </w:style>
  <w:style w:type="character" w:customStyle="1" w:styleId="118">
    <w:name w:val="标题 3 Char"/>
    <w:link w:val="6"/>
    <w:uiPriority w:val="0"/>
    <w:rPr>
      <w:rFonts w:eastAsia="宋体"/>
      <w:b/>
      <w:bCs/>
      <w:kern w:val="2"/>
      <w:sz w:val="32"/>
      <w:szCs w:val="32"/>
      <w:lang w:val="en-US" w:eastAsia="zh-CN" w:bidi="ar-SA"/>
    </w:rPr>
  </w:style>
  <w:style w:type="character" w:customStyle="1" w:styleId="119">
    <w:name w:val="HTML 预设格式 Char"/>
    <w:link w:val="38"/>
    <w:uiPriority w:val="99"/>
    <w:rPr>
      <w:rFonts w:ascii="Courier New" w:hAnsi="Courier New" w:cs="Courier New"/>
      <w:kern w:val="2"/>
    </w:rPr>
  </w:style>
  <w:style w:type="character" w:customStyle="1" w:styleId="120">
    <w:name w:val="font31"/>
    <w:basedOn w:val="46"/>
    <w:qFormat/>
    <w:uiPriority w:val="0"/>
    <w:rPr>
      <w:rFonts w:hint="eastAsia" w:ascii="宋体" w:hAnsi="宋体" w:eastAsia="宋体" w:cs="宋体"/>
      <w:b/>
      <w:color w:val="000000"/>
      <w:sz w:val="20"/>
      <w:szCs w:val="20"/>
      <w:u w:val="none"/>
    </w:rPr>
  </w:style>
  <w:style w:type="character" w:customStyle="1" w:styleId="121">
    <w:name w:val="正文文本 Char Char"/>
    <w:uiPriority w:val="0"/>
    <w:rPr>
      <w:rFonts w:ascii="Calibri" w:hAnsi="Calibri" w:eastAsia="宋体" w:cs="Times New Roman"/>
    </w:rPr>
  </w:style>
  <w:style w:type="character" w:customStyle="1" w:styleId="122">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ascii="Arial" w:hAnsi="Arial" w:eastAsia="宋体" w:cs="Times New Roman"/>
      <w:b/>
      <w:bCs/>
      <w:sz w:val="32"/>
      <w:szCs w:val="32"/>
    </w:rPr>
  </w:style>
  <w:style w:type="character" w:customStyle="1" w:styleId="123">
    <w:name w:val="标题 4 Char"/>
    <w:link w:val="7"/>
    <w:uiPriority w:val="0"/>
    <w:rPr>
      <w:rFonts w:ascii="Cambria" w:hAnsi="Cambria" w:eastAsia="宋体"/>
      <w:b/>
      <w:bCs/>
      <w:kern w:val="2"/>
      <w:sz w:val="28"/>
      <w:szCs w:val="28"/>
      <w:lang w:val="en-US" w:eastAsia="zh-CN" w:bidi="ar-SA"/>
    </w:rPr>
  </w:style>
  <w:style w:type="character" w:customStyle="1" w:styleId="124">
    <w:name w:val="段 Char"/>
    <w:uiPriority w:val="0"/>
    <w:rPr>
      <w:rFonts w:ascii="宋体" w:eastAsia="宋体"/>
      <w:sz w:val="21"/>
      <w:lang w:val="en-US" w:eastAsia="zh-CN" w:bidi="ar-SA"/>
    </w:rPr>
  </w:style>
  <w:style w:type="character" w:customStyle="1" w:styleId="125">
    <w:name w:val="标题 5 Char"/>
    <w:link w:val="8"/>
    <w:uiPriority w:val="0"/>
    <w:rPr>
      <w:rFonts w:ascii="MS Sans Serif" w:hAnsi="Arial" w:eastAsia="MS Sans Serif"/>
      <w:sz w:val="24"/>
    </w:rPr>
  </w:style>
  <w:style w:type="character" w:customStyle="1" w:styleId="126">
    <w:name w:val="font11"/>
    <w:qFormat/>
    <w:uiPriority w:val="0"/>
    <w:rPr>
      <w:rFonts w:hint="eastAsia" w:ascii="仿宋_GB2312" w:eastAsia="仿宋_GB2312" w:cs="仿宋_GB2312"/>
      <w:color w:val="000000"/>
      <w:sz w:val="24"/>
      <w:szCs w:val="24"/>
      <w:u w:val="none"/>
    </w:rPr>
  </w:style>
  <w:style w:type="character" w:customStyle="1" w:styleId="127">
    <w:name w:val="pagename"/>
    <w:basedOn w:val="46"/>
    <w:uiPriority w:val="0"/>
  </w:style>
  <w:style w:type="character" w:customStyle="1" w:styleId="128">
    <w:name w:val="style1"/>
    <w:basedOn w:val="46"/>
    <w:uiPriority w:val="0"/>
  </w:style>
  <w:style w:type="character" w:customStyle="1" w:styleId="129">
    <w:name w:val="批注框文本 Char Char"/>
    <w:uiPriority w:val="0"/>
    <w:rPr>
      <w:rFonts w:ascii="Calibri" w:hAnsi="Calibri" w:eastAsia="宋体" w:cs="Times New Roman"/>
      <w:sz w:val="16"/>
      <w:szCs w:val="16"/>
    </w:rPr>
  </w:style>
  <w:style w:type="character" w:customStyle="1" w:styleId="130">
    <w:name w:val="段 Char Char"/>
    <w:link w:val="131"/>
    <w:uiPriority w:val="0"/>
    <w:rPr>
      <w:rFonts w:ascii="宋体"/>
      <w:sz w:val="21"/>
      <w:lang w:val="en-US" w:eastAsia="zh-CN" w:bidi="ar-SA"/>
    </w:rPr>
  </w:style>
  <w:style w:type="paragraph" w:customStyle="1" w:styleId="131">
    <w:name w:val="段"/>
    <w:link w:val="130"/>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character" w:customStyle="1" w:styleId="132">
    <w:name w:val="正文文本缩进 Char Char"/>
    <w:uiPriority w:val="0"/>
    <w:rPr>
      <w:kern w:val="2"/>
      <w:sz w:val="21"/>
      <w:szCs w:val="24"/>
    </w:rPr>
  </w:style>
  <w:style w:type="character" w:customStyle="1" w:styleId="133">
    <w:name w:val="zbggmain style9"/>
    <w:uiPriority w:val="0"/>
    <w:rPr>
      <w:rFonts w:ascii="Courier New" w:eastAsia="Courier New"/>
      <w:b/>
      <w:kern w:val="2"/>
      <w:sz w:val="32"/>
      <w:szCs w:val="32"/>
      <w:lang w:val="en-US" w:eastAsia="zh-CN" w:bidi="ar-SA"/>
    </w:rPr>
  </w:style>
  <w:style w:type="character" w:customStyle="1" w:styleId="134">
    <w:name w:val="三级目录"/>
    <w:uiPriority w:val="0"/>
    <w:rPr>
      <w:rFonts w:hint="default" w:ascii="宋体" w:hAnsi="宋体"/>
      <w:b/>
      <w:bCs/>
      <w:sz w:val="23"/>
    </w:rPr>
  </w:style>
  <w:style w:type="character" w:customStyle="1" w:styleId="135">
    <w:name w:val="标题 4 Char Char"/>
    <w:uiPriority w:val="0"/>
    <w:rPr>
      <w:rFonts w:ascii="Times New Roman" w:hAnsi="Times New Roman" w:eastAsia="宋体" w:cs="Times New Roman"/>
      <w:sz w:val="24"/>
      <w:szCs w:val="20"/>
    </w:rPr>
  </w:style>
  <w:style w:type="character" w:customStyle="1" w:styleId="136">
    <w:name w:val="表格抬头 Char Char"/>
    <w:link w:val="137"/>
    <w:uiPriority w:val="0"/>
    <w:rPr>
      <w:rFonts w:ascii="黑体" w:eastAsia="黑体"/>
      <w:b/>
    </w:rPr>
  </w:style>
  <w:style w:type="paragraph" w:customStyle="1" w:styleId="137">
    <w:name w:val="表格抬头"/>
    <w:basedOn w:val="1"/>
    <w:link w:val="136"/>
    <w:uiPriority w:val="0"/>
    <w:pPr>
      <w:jc w:val="center"/>
    </w:pPr>
    <w:rPr>
      <w:rFonts w:ascii="黑体" w:eastAsia="黑体"/>
      <w:b/>
      <w:kern w:val="0"/>
      <w:sz w:val="20"/>
    </w:rPr>
  </w:style>
  <w:style w:type="character" w:customStyle="1" w:styleId="138">
    <w:name w:val="正文文本缩进 2 Char"/>
    <w:link w:val="26"/>
    <w:uiPriority w:val="0"/>
    <w:rPr>
      <w:rFonts w:ascii="宋体" w:eastAsia="宋体"/>
      <w:kern w:val="2"/>
      <w:sz w:val="24"/>
      <w:lang w:val="en-US" w:eastAsia="zh-CN" w:bidi="ar-SA"/>
    </w:rPr>
  </w:style>
  <w:style w:type="character" w:customStyle="1" w:styleId="139">
    <w:name w:val="Char Char18"/>
    <w:uiPriority w:val="0"/>
    <w:rPr>
      <w:rFonts w:ascii="Arial" w:hAnsi="Arial" w:eastAsia="Century Gothic" w:cs="Times New Roman"/>
      <w:b/>
      <w:bCs/>
      <w:kern w:val="44"/>
      <w:sz w:val="44"/>
      <w:szCs w:val="44"/>
    </w:rPr>
  </w:style>
  <w:style w:type="character" w:customStyle="1" w:styleId="140">
    <w:name w:val="页脚 Char"/>
    <w:link w:val="28"/>
    <w:uiPriority w:val="0"/>
    <w:rPr>
      <w:rFonts w:eastAsia="宋体"/>
      <w:kern w:val="2"/>
      <w:sz w:val="18"/>
      <w:szCs w:val="18"/>
      <w:lang w:val="en-US" w:eastAsia="zh-CN" w:bidi="ar-SA"/>
    </w:rPr>
  </w:style>
  <w:style w:type="character" w:customStyle="1" w:styleId="141">
    <w:name w:val="标题 6 Char"/>
    <w:link w:val="9"/>
    <w:uiPriority w:val="0"/>
    <w:rPr>
      <w:rFonts w:ascii="黑体" w:hAnsi="黑体" w:eastAsia="楷体"/>
      <w:b/>
      <w:kern w:val="2"/>
      <w:sz w:val="24"/>
    </w:rPr>
  </w:style>
  <w:style w:type="character" w:customStyle="1" w:styleId="142">
    <w:name w:val="标题 7 Char"/>
    <w:link w:val="10"/>
    <w:uiPriority w:val="0"/>
    <w:rPr>
      <w:rFonts w:ascii="Arial" w:hAnsi="Arial"/>
      <w:b/>
      <w:kern w:val="2"/>
      <w:sz w:val="24"/>
    </w:rPr>
  </w:style>
  <w:style w:type="character" w:customStyle="1" w:styleId="143">
    <w:name w:val="正文首行缩进 Char"/>
    <w:link w:val="42"/>
    <w:uiPriority w:val="0"/>
    <w:rPr>
      <w:kern w:val="2"/>
      <w:sz w:val="21"/>
      <w:szCs w:val="24"/>
    </w:rPr>
  </w:style>
  <w:style w:type="character" w:customStyle="1" w:styleId="144">
    <w:name w:val="bulletintext1"/>
    <w:uiPriority w:val="0"/>
    <w:rPr>
      <w:color w:val="000000"/>
      <w:sz w:val="18"/>
    </w:rPr>
  </w:style>
  <w:style w:type="paragraph" w:customStyle="1" w:styleId="145">
    <w:name w:val="Char Char Char Char Char Char Char Char"/>
    <w:basedOn w:val="1"/>
    <w:uiPriority w:val="0"/>
    <w:pPr>
      <w:tabs>
        <w:tab w:val="left" w:pos="360"/>
      </w:tabs>
    </w:pPr>
    <w:rPr>
      <w:rFonts w:ascii="Calibri" w:hAnsi="Calibri"/>
    </w:rPr>
  </w:style>
  <w:style w:type="paragraph" w:customStyle="1" w:styleId="146">
    <w:name w:val="p15"/>
    <w:basedOn w:val="1"/>
    <w:uiPriority w:val="0"/>
    <w:pPr>
      <w:widowControl/>
      <w:snapToGrid w:val="0"/>
      <w:spacing w:line="360" w:lineRule="auto"/>
      <w:ind w:firstLine="420"/>
      <w:jc w:val="left"/>
    </w:pPr>
    <w:rPr>
      <w:rFonts w:ascii="Arial" w:hAnsi="Arial" w:cs="Arial"/>
      <w:kern w:val="0"/>
      <w:sz w:val="24"/>
      <w:szCs w:val="24"/>
    </w:rPr>
  </w:style>
  <w:style w:type="paragraph" w:customStyle="1" w:styleId="147">
    <w:name w:val="xl3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48">
    <w:name w:val="标书标题4"/>
    <w:basedOn w:val="7"/>
    <w:uiPriority w:val="0"/>
    <w:pPr>
      <w:adjustRightInd w:val="0"/>
      <w:snapToGrid w:val="0"/>
      <w:spacing w:before="0" w:after="0" w:line="300" w:lineRule="auto"/>
    </w:pPr>
    <w:rPr>
      <w:rFonts w:ascii="MS Sans Serif" w:hAnsi="仿宋_GB2312" w:eastAsia="Courier New"/>
      <w:bCs w:val="0"/>
      <w:color w:val="000000"/>
      <w:kern w:val="0"/>
      <w:szCs w:val="32"/>
    </w:rPr>
  </w:style>
  <w:style w:type="paragraph" w:customStyle="1" w:styleId="149">
    <w:name w:val="正文首行缩进1"/>
    <w:basedOn w:val="1"/>
    <w:uiPriority w:val="0"/>
    <w:pPr>
      <w:autoSpaceDE w:val="0"/>
      <w:autoSpaceDN w:val="0"/>
      <w:adjustRightInd w:val="0"/>
      <w:snapToGrid w:val="0"/>
      <w:spacing w:line="360" w:lineRule="auto"/>
      <w:ind w:firstLine="425"/>
    </w:pPr>
    <w:rPr>
      <w:rFonts w:ascii="Calibri" w:hAnsi="Calibri"/>
      <w:kern w:val="0"/>
      <w:sz w:val="20"/>
    </w:rPr>
  </w:style>
  <w:style w:type="paragraph" w:customStyle="1" w:styleId="150">
    <w:name w:val="p20"/>
    <w:basedOn w:val="1"/>
    <w:uiPriority w:val="0"/>
    <w:pPr>
      <w:widowControl/>
      <w:ind w:firstLine="420"/>
    </w:pPr>
    <w:rPr>
      <w:rFonts w:ascii="Calibri" w:hAnsi="Calibri" w:cs="宋体"/>
      <w:kern w:val="0"/>
      <w:szCs w:val="21"/>
    </w:rPr>
  </w:style>
  <w:style w:type="paragraph" w:customStyle="1" w:styleId="151">
    <w:name w:val="正文表标题"/>
    <w:next w:val="131"/>
    <w:uiPriority w:val="0"/>
    <w:pPr>
      <w:tabs>
        <w:tab w:val="left" w:pos="360"/>
        <w:tab w:val="left" w:pos="846"/>
      </w:tabs>
      <w:spacing w:beforeLines="50" w:afterLines="50"/>
      <w:ind w:left="846" w:hanging="420"/>
      <w:jc w:val="center"/>
    </w:pPr>
    <w:rPr>
      <w:rFonts w:ascii="黑体" w:eastAsia="黑体"/>
      <w:sz w:val="21"/>
      <w:lang w:val="en-US" w:eastAsia="zh-CN" w:bidi="ar-SA"/>
    </w:rPr>
  </w:style>
  <w:style w:type="paragraph" w:customStyle="1" w:styleId="152">
    <w:name w:val="Char21"/>
    <w:basedOn w:val="1"/>
    <w:uiPriority w:val="0"/>
    <w:rPr>
      <w:rFonts w:ascii="仿宋_GB2312" w:eastAsia="仿宋_GB2312"/>
      <w:b/>
      <w:sz w:val="32"/>
      <w:szCs w:val="32"/>
    </w:rPr>
  </w:style>
  <w:style w:type="paragraph" w:customStyle="1" w:styleId="153">
    <w:name w:val="Char1"/>
    <w:basedOn w:val="1"/>
    <w:uiPriority w:val="0"/>
    <w:rPr>
      <w:szCs w:val="24"/>
    </w:rPr>
  </w:style>
  <w:style w:type="paragraph" w:customStyle="1" w:styleId="154">
    <w:name w:val="其他发布日期"/>
    <w:basedOn w:val="1"/>
    <w:uiPriority w:val="0"/>
    <w:pPr>
      <w:widowControl/>
      <w:jc w:val="left"/>
    </w:pPr>
    <w:rPr>
      <w:rFonts w:eastAsia="黑体"/>
      <w:kern w:val="0"/>
      <w:sz w:val="28"/>
    </w:rPr>
  </w:style>
  <w:style w:type="paragraph" w:customStyle="1" w:styleId="155">
    <w:name w:val="p16"/>
    <w:basedOn w:val="1"/>
    <w:uiPriority w:val="0"/>
    <w:pPr>
      <w:widowControl/>
      <w:ind w:firstLine="420"/>
    </w:pPr>
    <w:rPr>
      <w:rFonts w:ascii="Calibri" w:hAnsi="Calibri" w:cs="宋体"/>
      <w:kern w:val="0"/>
      <w:szCs w:val="21"/>
    </w:rPr>
  </w:style>
  <w:style w:type="paragraph" w:customStyle="1" w:styleId="156">
    <w:name w:val="_Style 27"/>
    <w:next w:val="1"/>
    <w:uiPriority w:val="0"/>
    <w:pPr>
      <w:widowControl w:val="0"/>
      <w:jc w:val="both"/>
    </w:pPr>
    <w:rPr>
      <w:kern w:val="2"/>
      <w:sz w:val="21"/>
      <w:szCs w:val="24"/>
      <w:lang w:val="en-US" w:eastAsia="zh-CN" w:bidi="ar-SA"/>
    </w:rPr>
  </w:style>
  <w:style w:type="paragraph" w:customStyle="1" w:styleId="157">
    <w:name w:val="xl38"/>
    <w:basedOn w:val="1"/>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58">
    <w:name w:val="Char1 Char Char Char"/>
    <w:basedOn w:val="1"/>
    <w:uiPriority w:val="0"/>
    <w:rPr>
      <w:rFonts w:ascii="仿宋_GB2312" w:eastAsia="仿宋_GB2312" w:cs="仿宋_GB2312"/>
      <w:b/>
      <w:bCs/>
      <w:sz w:val="32"/>
      <w:szCs w:val="32"/>
    </w:rPr>
  </w:style>
  <w:style w:type="paragraph" w:customStyle="1" w:styleId="159">
    <w:name w:val="一级条标题"/>
    <w:next w:val="131"/>
    <w:uiPriority w:val="0"/>
    <w:pPr>
      <w:numPr>
        <w:ilvl w:val="1"/>
        <w:numId w:val="1"/>
      </w:numPr>
      <w:spacing w:beforeLines="50" w:afterLines="50"/>
      <w:outlineLvl w:val="2"/>
    </w:pPr>
    <w:rPr>
      <w:rFonts w:ascii="黑体" w:eastAsia="黑体"/>
      <w:sz w:val="21"/>
      <w:szCs w:val="21"/>
      <w:lang w:val="en-US" w:eastAsia="zh-CN" w:bidi="ar-SA"/>
    </w:rPr>
  </w:style>
  <w:style w:type="paragraph" w:customStyle="1" w:styleId="160">
    <w:name w:val="正文文本 21"/>
    <w:basedOn w:val="1"/>
    <w:uiPriority w:val="0"/>
    <w:pPr>
      <w:adjustRightInd w:val="0"/>
      <w:spacing w:line="300" w:lineRule="auto"/>
      <w:jc w:val="center"/>
    </w:pPr>
    <w:rPr>
      <w:rFonts w:hint="eastAsia" w:ascii="Century Gothic" w:hAnsi="Century Gothic"/>
      <w:sz w:val="24"/>
    </w:rPr>
  </w:style>
  <w:style w:type="paragraph" w:customStyle="1" w:styleId="161">
    <w:name w:val="Char3 Char Char Char"/>
    <w:basedOn w:val="1"/>
    <w:uiPriority w:val="0"/>
    <w:pPr>
      <w:widowControl/>
      <w:spacing w:after="160" w:line="240" w:lineRule="exact"/>
      <w:jc w:val="left"/>
    </w:pPr>
    <w:rPr>
      <w:rFonts w:ascii="Arial" w:hAnsi="Arial" w:cs="Arial"/>
    </w:rPr>
  </w:style>
  <w:style w:type="paragraph" w:customStyle="1" w:styleId="162">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163">
    <w:name w:val="正文缩进1"/>
    <w:basedOn w:val="1"/>
    <w:uiPriority w:val="0"/>
    <w:pPr>
      <w:ind w:firstLine="420" w:firstLineChars="200"/>
    </w:pPr>
    <w:rPr>
      <w:rFonts w:ascii="Calibri" w:hAnsi="Calibri"/>
      <w:szCs w:val="22"/>
    </w:rPr>
  </w:style>
  <w:style w:type="paragraph" w:customStyle="1" w:styleId="164">
    <w:name w:val="样式 表格正文 + 两端对齐"/>
    <w:basedOn w:val="1"/>
    <w:uiPriority w:val="0"/>
    <w:pPr>
      <w:spacing w:line="300" w:lineRule="auto"/>
    </w:pPr>
    <w:rPr>
      <w:sz w:val="24"/>
    </w:rPr>
  </w:style>
  <w:style w:type="paragraph" w:customStyle="1" w:styleId="165">
    <w:name w:val="p19"/>
    <w:basedOn w:val="1"/>
    <w:uiPriority w:val="0"/>
    <w:pPr>
      <w:widowControl/>
      <w:pBdr>
        <w:bottom w:val="single" w:color="000000" w:sz="6" w:space="1"/>
      </w:pBdr>
      <w:jc w:val="center"/>
    </w:pPr>
    <w:rPr>
      <w:rFonts w:ascii="Calibri" w:hAnsi="Calibri" w:cs="宋体"/>
      <w:kern w:val="0"/>
      <w:sz w:val="18"/>
      <w:szCs w:val="18"/>
    </w:rPr>
  </w:style>
  <w:style w:type="paragraph" w:customStyle="1" w:styleId="166">
    <w:name w:val="Char Char Char Char"/>
    <w:basedOn w:val="1"/>
    <w:uiPriority w:val="0"/>
    <w:rPr>
      <w:rFonts w:ascii="Arial" w:hAnsi="Arial"/>
    </w:rPr>
  </w:style>
  <w:style w:type="paragraph" w:customStyle="1" w:styleId="167">
    <w:name w:val="样式 标题 5 + 右侧:  -0.18 字符"/>
    <w:basedOn w:val="1"/>
    <w:uiPriority w:val="0"/>
    <w:pPr>
      <w:numPr>
        <w:ilvl w:val="4"/>
        <w:numId w:val="2"/>
      </w:numPr>
      <w:tabs>
        <w:tab w:val="left" w:pos="1008"/>
      </w:tabs>
    </w:pPr>
    <w:rPr>
      <w:szCs w:val="24"/>
    </w:rPr>
  </w:style>
  <w:style w:type="paragraph" w:customStyle="1" w:styleId="168">
    <w:name w:val="font5"/>
    <w:basedOn w:val="1"/>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69">
    <w:name w:val="xl27"/>
    <w:basedOn w:val="1"/>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70">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styleId="171">
    <w:name w:val=""/>
    <w:semiHidden/>
    <w:uiPriority w:val="99"/>
    <w:rPr>
      <w:kern w:val="2"/>
      <w:sz w:val="21"/>
      <w:lang w:val="en-US" w:eastAsia="zh-CN" w:bidi="ar-SA"/>
    </w:rPr>
  </w:style>
  <w:style w:type="paragraph" w:customStyle="1" w:styleId="172">
    <w:name w:val="xl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3">
    <w:name w:val="*Body 1"/>
    <w:uiPriority w:val="0"/>
    <w:pPr>
      <w:spacing w:after="240" w:line="360" w:lineRule="auto"/>
      <w:ind w:left="-1276" w:firstLine="454"/>
    </w:pPr>
    <w:rPr>
      <w:sz w:val="22"/>
      <w:lang w:val="en-US" w:eastAsia="en-US" w:bidi="ar-SA"/>
    </w:rPr>
  </w:style>
  <w:style w:type="paragraph" w:customStyle="1" w:styleId="174">
    <w:name w:val="p21"/>
    <w:basedOn w:val="1"/>
    <w:uiPriority w:val="0"/>
    <w:pPr>
      <w:widowControl/>
      <w:jc w:val="left"/>
    </w:pPr>
    <w:rPr>
      <w:rFonts w:ascii="Calibri" w:hAnsi="Calibri" w:cs="宋体"/>
      <w:kern w:val="0"/>
      <w:sz w:val="18"/>
      <w:szCs w:val="18"/>
    </w:rPr>
  </w:style>
  <w:style w:type="paragraph" w:customStyle="1" w:styleId="17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6">
    <w:name w:val="Defaul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77">
    <w:name w:val="Char Char Char1 Char8"/>
    <w:basedOn w:val="1"/>
    <w:unhideWhenUsed/>
    <w:uiPriority w:val="99"/>
    <w:pPr>
      <w:spacing w:line="360" w:lineRule="auto"/>
      <w:ind w:firstLine="200" w:firstLineChars="200"/>
    </w:pPr>
    <w:rPr>
      <w:rFonts w:hint="eastAsia" w:ascii="宋体" w:hAnsi="宋体"/>
      <w:sz w:val="24"/>
    </w:rPr>
  </w:style>
  <w:style w:type="paragraph" w:customStyle="1" w:styleId="178">
    <w:name w:val="1."/>
    <w:basedOn w:val="1"/>
    <w:uiPriority w:val="0"/>
    <w:pPr>
      <w:spacing w:line="360" w:lineRule="auto"/>
      <w:ind w:firstLine="480" w:firstLineChars="200"/>
    </w:pPr>
    <w:rPr>
      <w:rFonts w:ascii="宋体" w:hAnsi="宋体"/>
      <w:sz w:val="24"/>
      <w:szCs w:val="24"/>
    </w:rPr>
  </w:style>
  <w:style w:type="paragraph" w:customStyle="1" w:styleId="179">
    <w:name w:val="xl2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0">
    <w:name w:val="xl3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1">
    <w:name w:val="二级条标题"/>
    <w:basedOn w:val="159"/>
    <w:next w:val="131"/>
    <w:uiPriority w:val="0"/>
    <w:pPr>
      <w:numPr>
        <w:ilvl w:val="0"/>
        <w:numId w:val="0"/>
      </w:numPr>
      <w:spacing w:before="50" w:after="50"/>
      <w:ind w:left="1236"/>
      <w:outlineLvl w:val="3"/>
    </w:pPr>
  </w:style>
  <w:style w:type="paragraph" w:customStyle="1" w:styleId="182">
    <w:name w:val="修订1"/>
    <w:semiHidden/>
    <w:uiPriority w:val="99"/>
    <w:rPr>
      <w:kern w:val="2"/>
      <w:sz w:val="21"/>
      <w:lang w:val="en-US" w:eastAsia="zh-CN" w:bidi="ar-SA"/>
    </w:rPr>
  </w:style>
  <w:style w:type="paragraph" w:customStyle="1" w:styleId="183">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4">
    <w:name w:val="列出段落111"/>
    <w:basedOn w:val="1"/>
    <w:qFormat/>
    <w:uiPriority w:val="0"/>
    <w:pPr>
      <w:ind w:firstLine="420" w:firstLineChars="200"/>
    </w:pPr>
    <w:rPr>
      <w:rFonts w:ascii="Calibri" w:hAnsi="Calibri"/>
      <w:szCs w:val="22"/>
    </w:rPr>
  </w:style>
  <w:style w:type="paragraph" w:customStyle="1" w:styleId="185">
    <w:name w:val="样式5"/>
    <w:basedOn w:val="7"/>
    <w:uiPriority w:val="0"/>
    <w:pPr>
      <w:jc w:val="center"/>
    </w:pPr>
    <w:rPr>
      <w:rFonts w:ascii="Century Gothic" w:hAnsi="Century Gothic" w:eastAsia="Century Gothic"/>
      <w:sz w:val="32"/>
      <w:szCs w:val="32"/>
    </w:rPr>
  </w:style>
  <w:style w:type="paragraph" w:customStyle="1" w:styleId="186">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7">
    <w:name w:val="Body Text 21"/>
    <w:basedOn w:val="1"/>
    <w:uiPriority w:val="0"/>
    <w:pPr>
      <w:adjustRightInd w:val="0"/>
      <w:spacing w:line="300" w:lineRule="auto"/>
      <w:jc w:val="center"/>
    </w:pPr>
    <w:rPr>
      <w:rFonts w:hint="eastAsia" w:ascii="Century Gothic" w:hAnsi="Century Gothic" w:cs="Arial"/>
      <w:sz w:val="24"/>
    </w:rPr>
  </w:style>
  <w:style w:type="paragraph" w:customStyle="1" w:styleId="188">
    <w:name w:val="三级条标题"/>
    <w:basedOn w:val="181"/>
    <w:next w:val="131"/>
    <w:uiPriority w:val="0"/>
    <w:pPr>
      <w:ind w:left="0"/>
      <w:outlineLvl w:val="4"/>
    </w:pPr>
  </w:style>
  <w:style w:type="paragraph" w:customStyle="1" w:styleId="189">
    <w:name w:val="列出段落11"/>
    <w:basedOn w:val="1"/>
    <w:uiPriority w:val="0"/>
    <w:pPr>
      <w:ind w:firstLine="420" w:firstLineChars="200"/>
    </w:pPr>
    <w:rPr>
      <w:rFonts w:ascii="Calibri" w:hAnsi="Calibri"/>
      <w:szCs w:val="22"/>
    </w:rPr>
  </w:style>
  <w:style w:type="paragraph" w:customStyle="1" w:styleId="190">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191">
    <w:name w:val="*正文"/>
    <w:basedOn w:val="1"/>
    <w:qFormat/>
    <w:uiPriority w:val="0"/>
    <w:pPr>
      <w:spacing w:line="360" w:lineRule="auto"/>
      <w:ind w:firstLine="200" w:firstLineChars="200"/>
    </w:pPr>
    <w:rPr>
      <w:rFonts w:ascii="宋体"/>
      <w:sz w:val="24"/>
      <w:szCs w:val="24"/>
    </w:rPr>
  </w:style>
  <w:style w:type="paragraph" w:customStyle="1" w:styleId="192">
    <w:name w:val="p0"/>
    <w:basedOn w:val="1"/>
    <w:uiPriority w:val="99"/>
    <w:pPr>
      <w:widowControl/>
    </w:pPr>
    <w:rPr>
      <w:rFonts w:ascii="Calibri" w:hAnsi="Calibri" w:cs="宋体"/>
      <w:kern w:val="0"/>
      <w:szCs w:val="21"/>
    </w:rPr>
  </w:style>
  <w:style w:type="paragraph" w:customStyle="1" w:styleId="193">
    <w:name w:val="Char2"/>
    <w:basedOn w:val="1"/>
    <w:uiPriority w:val="0"/>
    <w:rPr>
      <w:rFonts w:ascii="Courier New" w:hAnsi="Arial" w:eastAsia="Courier New" w:cs="Arial"/>
      <w:b/>
      <w:sz w:val="32"/>
      <w:szCs w:val="32"/>
    </w:rPr>
  </w:style>
  <w:style w:type="paragraph" w:customStyle="1" w:styleId="194">
    <w:name w:val="正文文字格式"/>
    <w:basedOn w:val="1"/>
    <w:uiPriority w:val="0"/>
    <w:pPr>
      <w:spacing w:line="460" w:lineRule="exact"/>
      <w:ind w:firstLine="505"/>
      <w:jc w:val="left"/>
    </w:pPr>
    <w:rPr>
      <w:rFonts w:ascii="Century Gothic" w:hAnsi="Arial" w:cs="Arial"/>
      <w:kern w:val="24"/>
      <w:sz w:val="24"/>
    </w:rPr>
  </w:style>
  <w:style w:type="paragraph" w:customStyle="1" w:styleId="195">
    <w:name w:val="二级无"/>
    <w:basedOn w:val="181"/>
    <w:uiPriority w:val="0"/>
    <w:pPr>
      <w:spacing w:before="0" w:after="0"/>
    </w:pPr>
    <w:rPr>
      <w:rFonts w:ascii="宋体" w:eastAsia="宋体"/>
    </w:rPr>
  </w:style>
  <w:style w:type="paragraph" w:customStyle="1" w:styleId="196">
    <w:name w:val="正文段"/>
    <w:basedOn w:val="1"/>
    <w:uiPriority w:val="0"/>
    <w:pPr>
      <w:widowControl/>
      <w:snapToGrid w:val="0"/>
      <w:spacing w:afterLines="50"/>
      <w:ind w:firstLine="200" w:firstLineChars="200"/>
    </w:pPr>
    <w:rPr>
      <w:rFonts w:ascii="Arial" w:hAnsi="Arial" w:cs="Arial"/>
      <w:kern w:val="0"/>
      <w:sz w:val="24"/>
    </w:rPr>
  </w:style>
  <w:style w:type="paragraph" w:customStyle="1" w:styleId="197">
    <w:name w:val="font6"/>
    <w:basedOn w:val="1"/>
    <w:uiPriority w:val="0"/>
    <w:pPr>
      <w:widowControl/>
      <w:spacing w:before="100" w:beforeAutospacing="1" w:after="100" w:afterAutospacing="1"/>
      <w:jc w:val="left"/>
    </w:pPr>
    <w:rPr>
      <w:rFonts w:ascii="Arial" w:hAnsi="Arial" w:cs="Arial"/>
      <w:kern w:val="0"/>
      <w:sz w:val="18"/>
      <w:szCs w:val="18"/>
    </w:rPr>
  </w:style>
  <w:style w:type="paragraph" w:customStyle="1" w:styleId="198">
    <w:name w:val="Char Char Char Char1"/>
    <w:basedOn w:val="1"/>
    <w:uiPriority w:val="0"/>
    <w:pPr>
      <w:widowControl/>
      <w:spacing w:after="160" w:line="240" w:lineRule="exact"/>
      <w:jc w:val="left"/>
    </w:pPr>
    <w:rPr>
      <w:rFonts w:ascii="Verdana" w:hAnsi="Verdana"/>
      <w:kern w:val="0"/>
      <w:sz w:val="20"/>
      <w:lang w:eastAsia="en-US"/>
    </w:rPr>
  </w:style>
  <w:style w:type="paragraph" w:customStyle="1" w:styleId="199">
    <w:name w:val="表格文字"/>
    <w:basedOn w:val="1"/>
    <w:uiPriority w:val="0"/>
    <w:pPr>
      <w:adjustRightInd w:val="0"/>
      <w:spacing w:line="360" w:lineRule="auto"/>
      <w:ind w:firstLine="200" w:firstLineChars="200"/>
      <w:jc w:val="left"/>
      <w:textAlignment w:val="baseline"/>
    </w:pPr>
    <w:rPr>
      <w:rFonts w:ascii="Arial" w:hAnsi="Arial"/>
      <w:kern w:val="0"/>
      <w:sz w:val="24"/>
    </w:rPr>
  </w:style>
  <w:style w:type="paragraph" w:customStyle="1" w:styleId="200">
    <w:name w:val=" Char"/>
    <w:basedOn w:val="1"/>
    <w:uiPriority w:val="0"/>
    <w:rPr>
      <w:rFonts w:ascii="仿宋_GB2312"/>
      <w:b/>
      <w:sz w:val="32"/>
    </w:rPr>
  </w:style>
  <w:style w:type="paragraph" w:customStyle="1" w:styleId="201">
    <w:name w:val="xl3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2">
    <w:name w:val="Char Char Char2 Char"/>
    <w:basedOn w:val="1"/>
    <w:uiPriority w:val="0"/>
    <w:pPr>
      <w:ind w:left="540"/>
    </w:pPr>
    <w:rPr>
      <w:szCs w:val="24"/>
    </w:rPr>
  </w:style>
  <w:style w:type="paragraph" w:customStyle="1" w:styleId="203">
    <w:name w:val="列出段落1"/>
    <w:basedOn w:val="1"/>
    <w:qFormat/>
    <w:uiPriority w:val="0"/>
    <w:pPr>
      <w:ind w:firstLine="420" w:firstLineChars="200"/>
    </w:pPr>
    <w:rPr>
      <w:rFonts w:ascii="Calibri" w:hAnsi="Calibri"/>
      <w:szCs w:val="22"/>
    </w:rPr>
  </w:style>
  <w:style w:type="paragraph" w:customStyle="1" w:styleId="204">
    <w:name w:val="xl3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5">
    <w:name w:val="五级条标题"/>
    <w:basedOn w:val="206"/>
    <w:next w:val="131"/>
    <w:uiPriority w:val="0"/>
    <w:pPr>
      <w:outlineLvl w:val="6"/>
    </w:pPr>
  </w:style>
  <w:style w:type="paragraph" w:customStyle="1" w:styleId="206">
    <w:name w:val="四级条标题"/>
    <w:basedOn w:val="188"/>
    <w:next w:val="131"/>
    <w:uiPriority w:val="0"/>
    <w:pPr>
      <w:outlineLvl w:val="5"/>
    </w:pPr>
  </w:style>
  <w:style w:type="paragraph" w:customStyle="1" w:styleId="207">
    <w:name w:val="xl2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208">
    <w:name w:val="p17"/>
    <w:basedOn w:val="1"/>
    <w:uiPriority w:val="0"/>
    <w:pPr>
      <w:widowControl/>
      <w:ind w:firstLine="420"/>
    </w:pPr>
    <w:rPr>
      <w:rFonts w:ascii="Calibri" w:hAnsi="Calibri" w:cs="宋体"/>
      <w:kern w:val="0"/>
      <w:szCs w:val="21"/>
    </w:rPr>
  </w:style>
  <w:style w:type="paragraph" w:customStyle="1" w:styleId="209">
    <w:name w:val="正文图标题"/>
    <w:next w:val="131"/>
    <w:uiPriority w:val="0"/>
    <w:pPr>
      <w:tabs>
        <w:tab w:val="left" w:pos="360"/>
      </w:tabs>
      <w:spacing w:beforeLines="50" w:afterLines="50"/>
      <w:jc w:val="center"/>
    </w:pPr>
    <w:rPr>
      <w:rFonts w:ascii="黑体" w:eastAsia="黑体"/>
      <w:sz w:val="21"/>
      <w:lang w:val="en-US" w:eastAsia="zh-CN" w:bidi="ar-SA"/>
    </w:rPr>
  </w:style>
  <w:style w:type="paragraph" w:customStyle="1" w:styleId="210">
    <w:name w:val="默认段落字体 Para Char Char Char Char Char Char Char Char Char1 Char Char Char Char"/>
    <w:basedOn w:val="1"/>
    <w:uiPriority w:val="0"/>
    <w:rPr>
      <w:rFonts w:ascii="Tahoma" w:hAnsi="Tahoma"/>
      <w:sz w:val="24"/>
    </w:rPr>
  </w:style>
  <w:style w:type="paragraph" w:customStyle="1" w:styleId="211">
    <w:name w:val="章标题"/>
    <w:next w:val="131"/>
    <w:uiPriority w:val="0"/>
    <w:pPr>
      <w:numPr>
        <w:ilvl w:val="0"/>
        <w:numId w:val="1"/>
      </w:numPr>
      <w:spacing w:beforeLines="100" w:afterLines="100"/>
      <w:jc w:val="both"/>
      <w:outlineLvl w:val="1"/>
    </w:pPr>
    <w:rPr>
      <w:rFonts w:ascii="黑体" w:eastAsia="黑体"/>
      <w:sz w:val="21"/>
      <w:lang w:val="en-US" w:eastAsia="zh-CN" w:bidi="ar-SA"/>
    </w:rPr>
  </w:style>
  <w:style w:type="paragraph" w:customStyle="1" w:styleId="212">
    <w:name w:val="四级无"/>
    <w:basedOn w:val="1"/>
    <w:uiPriority w:val="0"/>
    <w:pPr>
      <w:widowControl/>
      <w:numPr>
        <w:ilvl w:val="4"/>
        <w:numId w:val="3"/>
      </w:numPr>
      <w:jc w:val="left"/>
      <w:outlineLvl w:val="5"/>
    </w:pPr>
    <w:rPr>
      <w:rFonts w:ascii="宋体"/>
      <w:kern w:val="0"/>
      <w:szCs w:val="21"/>
    </w:rPr>
  </w:style>
  <w:style w:type="paragraph" w:customStyle="1" w:styleId="213">
    <w:name w:val="列出段落2"/>
    <w:basedOn w:val="1"/>
    <w:uiPriority w:val="0"/>
    <w:pPr>
      <w:ind w:firstLine="420" w:firstLineChars="200"/>
    </w:pPr>
    <w:rPr>
      <w:rFonts w:ascii="Calibri" w:hAnsi="Calibri"/>
      <w:szCs w:val="22"/>
    </w:rPr>
  </w:style>
  <w:style w:type="paragraph" w:customStyle="1" w:styleId="214">
    <w:name w:val="正文1"/>
    <w:basedOn w:val="1"/>
    <w:uiPriority w:val="0"/>
    <w:pPr>
      <w:tabs>
        <w:tab w:val="left" w:pos="306"/>
      </w:tabs>
      <w:spacing w:line="360" w:lineRule="auto"/>
      <w:ind w:left="306" w:hanging="360"/>
      <w:jc w:val="left"/>
    </w:pPr>
    <w:rPr>
      <w:rFonts w:ascii="宋体" w:hAnsi="宋体"/>
      <w:spacing w:val="4"/>
      <w:sz w:val="18"/>
    </w:rPr>
  </w:style>
  <w:style w:type="paragraph" w:customStyle="1" w:styleId="215">
    <w:name w:val="标书标题2"/>
    <w:basedOn w:val="4"/>
    <w:uiPriority w:val="0"/>
    <w:pPr>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216">
    <w:name w:val="_Style 141"/>
    <w:next w:val="1"/>
    <w:unhideWhenUsed/>
    <w:uiPriority w:val="99"/>
    <w:pPr>
      <w:widowControl w:val="0"/>
      <w:jc w:val="both"/>
    </w:pPr>
    <w:rPr>
      <w:kern w:val="2"/>
      <w:sz w:val="21"/>
      <w:lang w:val="en-US" w:eastAsia="zh-CN" w:bidi="ar-SA"/>
    </w:rPr>
  </w:style>
  <w:style w:type="paragraph" w:customStyle="1" w:styleId="217">
    <w:name w:val="Blockquote"/>
    <w:basedOn w:val="1"/>
    <w:uiPriority w:val="0"/>
    <w:pPr>
      <w:autoSpaceDE w:val="0"/>
      <w:autoSpaceDN w:val="0"/>
      <w:adjustRightInd w:val="0"/>
      <w:spacing w:before="100" w:after="100"/>
      <w:ind w:left="360" w:right="360"/>
      <w:jc w:val="left"/>
    </w:pPr>
    <w:rPr>
      <w:rFonts w:ascii="Arial" w:hAnsi="Arial" w:cs="Arial"/>
      <w:kern w:val="0"/>
      <w:sz w:val="24"/>
    </w:rPr>
  </w:style>
  <w:style w:type="paragraph" w:customStyle="1" w:styleId="218">
    <w:name w:val="标书标题3"/>
    <w:basedOn w:val="6"/>
    <w:uiPriority w:val="0"/>
    <w:pPr>
      <w:widowControl/>
      <w:adjustRightInd w:val="0"/>
      <w:snapToGrid w:val="0"/>
      <w:spacing w:before="120" w:after="60" w:line="300" w:lineRule="auto"/>
      <w:jc w:val="left"/>
    </w:pPr>
    <w:rPr>
      <w:rFonts w:ascii="Arial" w:hAnsi="Arial" w:eastAsia="Courier New"/>
      <w:b w:val="0"/>
      <w:bCs w:val="0"/>
      <w:color w:val="000000"/>
      <w:kern w:val="0"/>
      <w:sz w:val="28"/>
    </w:rPr>
  </w:style>
  <w:style w:type="paragraph" w:customStyle="1" w:styleId="21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szCs w:val="24"/>
    </w:rPr>
  </w:style>
  <w:style w:type="paragraph" w:customStyle="1" w:styleId="220">
    <w:name w:val="font1"/>
    <w:basedOn w:val="1"/>
    <w:uiPriority w:val="0"/>
    <w:pPr>
      <w:widowControl/>
      <w:spacing w:before="100" w:beforeAutospacing="1" w:after="100" w:afterAutospacing="1"/>
      <w:jc w:val="left"/>
    </w:pPr>
    <w:rPr>
      <w:rFonts w:ascii="Century Gothic" w:hAnsi="Century Gothic" w:cs="Arial"/>
      <w:kern w:val="0"/>
      <w:sz w:val="24"/>
    </w:rPr>
  </w:style>
  <w:style w:type="paragraph" w:customStyle="1" w:styleId="22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22">
    <w:name w:val="_Style 1321"/>
    <w:next w:val="1"/>
    <w:uiPriority w:val="99"/>
    <w:pPr>
      <w:widowControl w:val="0"/>
      <w:jc w:val="both"/>
    </w:pPr>
    <w:rPr>
      <w:kern w:val="2"/>
      <w:sz w:val="21"/>
      <w:lang w:val="en-US" w:eastAsia="zh-CN" w:bidi="ar-SA"/>
    </w:rPr>
  </w:style>
  <w:style w:type="paragraph" w:customStyle="1" w:styleId="223">
    <w:name w:val="p18"/>
    <w:basedOn w:val="1"/>
    <w:uiPriority w:val="0"/>
    <w:pPr>
      <w:widowControl/>
      <w:ind w:firstLine="420"/>
    </w:pPr>
    <w:rPr>
      <w:rFonts w:ascii="Calibri" w:hAnsi="Calibri" w:cs="宋体"/>
      <w:kern w:val="0"/>
      <w:szCs w:val="21"/>
    </w:rPr>
  </w:style>
  <w:style w:type="paragraph" w:customStyle="1" w:styleId="22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25">
    <w:name w:val="Char"/>
    <w:basedOn w:val="1"/>
    <w:uiPriority w:val="0"/>
    <w:rPr>
      <w:rFonts w:ascii="Arial" w:hAnsi="Arial" w:cs="Arial"/>
      <w:szCs w:val="24"/>
    </w:rPr>
  </w:style>
  <w:style w:type="paragraph" w:customStyle="1" w:styleId="226">
    <w:name w:val="Char Char Char Char Char Char Char"/>
    <w:basedOn w:val="1"/>
    <w:uiPriority w:val="0"/>
    <w:pPr>
      <w:tabs>
        <w:tab w:val="left" w:pos="432"/>
      </w:tabs>
      <w:ind w:left="432" w:hanging="432"/>
    </w:pPr>
    <w:rPr>
      <w:rFonts w:ascii="Tahoma" w:hAnsi="Tahoma"/>
      <w:sz w:val="24"/>
    </w:rPr>
  </w:style>
  <w:style w:type="paragraph" w:customStyle="1" w:styleId="227">
    <w:name w:val="_Style 132"/>
    <w:next w:val="1"/>
    <w:uiPriority w:val="99"/>
    <w:pPr>
      <w:widowControl w:val="0"/>
      <w:jc w:val="both"/>
    </w:pPr>
    <w:rPr>
      <w:kern w:val="2"/>
      <w:sz w:val="21"/>
      <w:lang w:val="en-US" w:eastAsia="zh-CN" w:bidi="ar-SA"/>
    </w:rPr>
  </w:style>
  <w:style w:type="paragraph" w:customStyle="1" w:styleId="228">
    <w:name w:val="小节"/>
    <w:basedOn w:val="6"/>
    <w:uiPriority w:val="0"/>
    <w:pPr>
      <w:spacing w:before="200" w:after="200" w:line="560" w:lineRule="exact"/>
      <w:jc w:val="left"/>
    </w:pPr>
    <w:rPr>
      <w:rFonts w:ascii="Century Gothic" w:hAnsi="Century Gothic"/>
      <w:bCs w:val="0"/>
      <w:color w:val="000000"/>
      <w:spacing w:val="10"/>
      <w:kern w:val="24"/>
      <w:sz w:val="28"/>
    </w:rPr>
  </w:style>
  <w:style w:type="paragraph" w:customStyle="1" w:styleId="229">
    <w:name w:val="表内文字"/>
    <w:basedOn w:val="1"/>
    <w:uiPriority w:val="0"/>
    <w:pPr>
      <w:tabs>
        <w:tab w:val="left" w:pos="2866"/>
      </w:tabs>
      <w:spacing w:before="156" w:beforeLines="50" w:after="156" w:afterLines="50" w:line="400" w:lineRule="exact"/>
      <w:jc w:val="center"/>
    </w:pPr>
    <w:rPr>
      <w:rFonts w:ascii="宋体" w:hAnsi="宋体"/>
      <w:spacing w:val="-20"/>
      <w:kern w:val="0"/>
      <w:szCs w:val="21"/>
    </w:rPr>
  </w:style>
  <w:style w:type="paragraph" w:styleId="230">
    <w:name w:val="List Paragraph"/>
    <w:basedOn w:val="1"/>
    <w:qFormat/>
    <w:uiPriority w:val="99"/>
    <w:pPr>
      <w:ind w:firstLine="420" w:firstLineChars="200"/>
    </w:pPr>
  </w:style>
  <w:style w:type="paragraph" w:customStyle="1" w:styleId="231">
    <w:name w:val="目次、标准名称标题"/>
    <w:basedOn w:val="1"/>
    <w:next w:val="131"/>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32">
    <w:name w:val="Char Char Char Char Char Char"/>
    <w:basedOn w:val="1"/>
    <w:uiPriority w:val="0"/>
    <w:pPr>
      <w:widowControl/>
      <w:ind w:firstLine="200" w:firstLineChars="200"/>
      <w:jc w:val="left"/>
    </w:pPr>
    <w:rPr>
      <w:rFonts w:ascii="Tahoma" w:hAnsi="Tahoma" w:cs="宋体"/>
      <w:kern w:val="0"/>
      <w:sz w:val="24"/>
    </w:rPr>
  </w:style>
  <w:style w:type="paragraph" w:customStyle="1" w:styleId="233">
    <w:name w:val="一级无"/>
    <w:basedOn w:val="159"/>
    <w:uiPriority w:val="0"/>
    <w:rPr>
      <w:rFonts w:ascii="宋体" w:eastAsia="宋体"/>
    </w:rPr>
  </w:style>
  <w:style w:type="paragraph" w:customStyle="1" w:styleId="234">
    <w:name w:val="Table Paragraph"/>
    <w:basedOn w:val="1"/>
    <w:qFormat/>
    <w:uiPriority w:val="1"/>
    <w:rPr>
      <w:rFonts w:ascii="宋体" w:hAnsi="宋体" w:eastAsia="宋体" w:cs="宋体"/>
      <w:lang w:val="zh-CN" w:eastAsia="zh-CN" w:bidi="zh-CN"/>
    </w:rPr>
  </w:style>
  <w:style w:type="paragraph" w:customStyle="1" w:styleId="235">
    <w:name w:val="List Paragraph1"/>
    <w:basedOn w:val="1"/>
    <w:uiPriority w:val="0"/>
    <w:pPr>
      <w:ind w:firstLine="420" w:firstLineChars="200"/>
    </w:pPr>
    <w:rPr>
      <w:rFonts w:ascii="Calibri" w:hAnsi="Calibri"/>
      <w:szCs w:val="22"/>
    </w:rPr>
  </w:style>
  <w:style w:type="paragraph" w:customStyle="1" w:styleId="236">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theme/theme1.xml" Type="http://schemas.openxmlformats.org/officeDocument/2006/relationships/theme"/><Relationship Id="rId15" Target="media/image1.png" Type="http://schemas.openxmlformats.org/officeDocument/2006/relationships/image"/><Relationship Id="rId16" Target="media/image2.png" Type="http://schemas.openxmlformats.org/officeDocument/2006/relationships/image"/><Relationship Id="rId17" Target="media/image3.png" Type="http://schemas.openxmlformats.org/officeDocument/2006/relationships/imag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19361</Words>
  <Characters>21685</Characters>
  <Lines>1445</Lines>
  <Paragraphs>1243</Paragraphs>
  <TotalTime>0</TotalTime>
  <ScaleCrop>false</ScaleCrop>
  <LinksUpToDate>false</LinksUpToDate>
  <CharactersWithSpaces>39803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2020-07-18T08:50:00Z</dcterms:created>
  <dc:creator>Administrators</dc:creator>
  <cp:lastModifiedBy>WPS_1701756769</cp:lastModifiedBy>
  <cp:lastPrinted>2019-09-09T12:36:00Z</cp:lastPrinted>
  <dcterms:modified xsi:type="dcterms:W3CDTF">2024-02-26T01:58:10Z</dcterms:modified>
  <cp:revision>2</cp:revision>
  <dc:title>服务类文件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CC90B94AAB10449FB331982BE5C85B43_13</vt:lpwstr>
  </property>
</Properties>
</file>