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left"/>
        <w:rPr>
          <w:b/>
          <w:sz w:val="48"/>
          <w:szCs w:val="48"/>
        </w:rPr>
      </w:pPr>
      <w:bookmarkStart w:id="0" w:name="_Toc97372564"/>
      <w:bookmarkStart w:id="76" w:name="_GoBack"/>
      <w:bookmarkEnd w:id="76"/>
      <w:r>
        <w:rPr>
          <w:sz w:val="48"/>
          <w:szCs w:val="48"/>
        </w:rPr>
        <w:drawing>
          <wp:inline distT="0" distB="0" distL="114300" distR="114300">
            <wp:extent cx="931545" cy="691515"/>
            <wp:effectExtent l="0" t="0" r="1905" b="13335"/>
            <wp:docPr id="2" name="图片 1" descr="图片（中冠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中冠咨询）"/>
                    <pic:cNvPicPr>
                      <a:picLocks noChangeAspect="1"/>
                    </pic:cNvPicPr>
                  </pic:nvPicPr>
                  <pic:blipFill>
                    <a:blip r:embed="rId14"/>
                    <a:stretch>
                      <a:fillRect/>
                    </a:stretch>
                  </pic:blipFill>
                  <pic:spPr>
                    <a:xfrm>
                      <a:off x="0" y="0"/>
                      <a:ext cx="931545" cy="691515"/>
                    </a:xfrm>
                    <a:prstGeom prst="rect">
                      <a:avLst/>
                    </a:prstGeom>
                    <a:noFill/>
                    <a:ln>
                      <a:noFill/>
                    </a:ln>
                  </pic:spPr>
                </pic:pic>
              </a:graphicData>
            </a:graphic>
          </wp:inline>
        </w:drawing>
      </w:r>
    </w:p>
    <w:p>
      <w:pPr>
        <w:spacing w:before="120" w:beforeLines="50"/>
        <w:jc w:val="center"/>
        <w:rPr>
          <w:rFonts w:hint="eastAsia"/>
          <w:b/>
          <w:sz w:val="48"/>
          <w:szCs w:val="48"/>
        </w:rPr>
      </w:pPr>
    </w:p>
    <w:p>
      <w:pPr>
        <w:spacing w:before="120" w:beforeLines="50" w:line="360" w:lineRule="auto"/>
        <w:jc w:val="center"/>
        <w:rPr>
          <w:rFonts w:hint="eastAsia"/>
          <w:b/>
          <w:sz w:val="48"/>
          <w:szCs w:val="48"/>
        </w:rPr>
      </w:pPr>
      <w:r>
        <w:rPr>
          <w:rFonts w:hint="eastAsia"/>
          <w:b/>
          <w:sz w:val="48"/>
          <w:szCs w:val="48"/>
        </w:rPr>
        <w:t>五乡镇环卫保洁及绿化养护项目</w:t>
      </w:r>
    </w:p>
    <w:p>
      <w:pPr>
        <w:spacing w:before="120" w:beforeLines="50"/>
        <w:rPr>
          <w:rFonts w:hint="eastAsia"/>
          <w:sz w:val="72"/>
          <w:szCs w:val="72"/>
        </w:rPr>
      </w:pPr>
    </w:p>
    <w:p>
      <w:pPr>
        <w:spacing w:before="120" w:beforeLines="50"/>
        <w:rPr>
          <w:rFonts w:hint="eastAsia"/>
          <w:sz w:val="72"/>
          <w:szCs w:val="72"/>
        </w:rPr>
      </w:pPr>
    </w:p>
    <w:p>
      <w:pPr>
        <w:spacing w:before="120" w:beforeLines="50"/>
        <w:jc w:val="center"/>
        <w:rPr>
          <w:sz w:val="72"/>
          <w:szCs w:val="72"/>
        </w:rPr>
      </w:pPr>
      <w:r>
        <w:rPr>
          <w:rFonts w:hint="eastAsia"/>
          <w:sz w:val="72"/>
          <w:szCs w:val="72"/>
        </w:rPr>
        <w:t>公开招标文件</w:t>
      </w:r>
    </w:p>
    <w:p>
      <w:pPr>
        <w:snapToGrid w:val="0"/>
        <w:spacing w:before="120" w:beforeLines="50" w:line="360" w:lineRule="auto"/>
        <w:rPr>
          <w:rFonts w:hint="eastAsia"/>
          <w:sz w:val="30"/>
          <w:szCs w:val="72"/>
        </w:rPr>
      </w:pPr>
    </w:p>
    <w:p>
      <w:pPr>
        <w:snapToGrid w:val="0"/>
        <w:spacing w:before="120" w:beforeLines="50" w:line="360" w:lineRule="auto"/>
        <w:rPr>
          <w:rFonts w:hint="eastAsia"/>
          <w:sz w:val="30"/>
          <w:szCs w:val="72"/>
        </w:rPr>
      </w:pPr>
    </w:p>
    <w:p>
      <w:pPr>
        <w:snapToGrid w:val="0"/>
        <w:spacing w:before="120" w:beforeLines="50" w:line="360" w:lineRule="auto"/>
        <w:rPr>
          <w:sz w:val="30"/>
          <w:szCs w:val="72"/>
        </w:rPr>
      </w:pPr>
    </w:p>
    <w:p>
      <w:pPr>
        <w:snapToGrid w:val="0"/>
        <w:spacing w:before="120" w:beforeLines="50" w:line="360" w:lineRule="auto"/>
        <w:rPr>
          <w:rFonts w:hint="eastAsia"/>
          <w:sz w:val="30"/>
          <w:szCs w:val="72"/>
        </w:rPr>
      </w:pPr>
    </w:p>
    <w:p>
      <w:pPr>
        <w:pStyle w:val="25"/>
        <w:snapToGrid w:val="0"/>
        <w:spacing w:before="120" w:after="120" w:line="360" w:lineRule="auto"/>
        <w:rPr>
          <w:rFonts w:hint="eastAsia" w:ascii="Times New Roman" w:hAnsi="Times New Roman"/>
          <w:b/>
          <w:bCs/>
          <w:kern w:val="2"/>
          <w:sz w:val="28"/>
          <w:szCs w:val="28"/>
        </w:rPr>
      </w:pPr>
      <w:r>
        <w:rPr>
          <w:rFonts w:ascii="Times New Roman" w:hAnsi="Times New Roman"/>
          <w:b/>
          <w:bCs/>
          <w:kern w:val="2"/>
          <w:sz w:val="28"/>
          <w:szCs w:val="28"/>
        </w:rPr>
        <w:t>项目编号：</w:t>
      </w:r>
      <w:r>
        <w:rPr>
          <w:rFonts w:hint="eastAsia" w:ascii="Times New Roman" w:hAnsi="Times New Roman"/>
          <w:b/>
          <w:bCs/>
          <w:kern w:val="2"/>
          <w:sz w:val="28"/>
          <w:szCs w:val="28"/>
        </w:rPr>
        <w:t>ZGZB2022-057</w:t>
      </w:r>
    </w:p>
    <w:p>
      <w:pPr>
        <w:pStyle w:val="25"/>
        <w:snapToGrid w:val="0"/>
        <w:spacing w:before="120" w:after="120" w:line="360" w:lineRule="auto"/>
        <w:ind w:left="1394" w:hanging="1394" w:hangingChars="496"/>
        <w:rPr>
          <w:rFonts w:ascii="Times New Roman" w:hAnsi="Times New Roman"/>
          <w:b/>
          <w:bCs/>
          <w:kern w:val="2"/>
          <w:sz w:val="28"/>
          <w:szCs w:val="28"/>
        </w:rPr>
      </w:pPr>
      <w:r>
        <w:rPr>
          <w:rFonts w:hint="eastAsia" w:ascii="Times New Roman" w:hAnsi="Times New Roman"/>
          <w:b/>
          <w:bCs/>
          <w:kern w:val="2"/>
          <w:sz w:val="28"/>
          <w:szCs w:val="28"/>
        </w:rPr>
        <w:t>项目名称：五乡镇环卫保洁及绿化养护项目</w:t>
      </w:r>
    </w:p>
    <w:p>
      <w:pPr>
        <w:pStyle w:val="25"/>
        <w:snapToGrid w:val="0"/>
        <w:spacing w:before="120" w:after="120" w:line="360" w:lineRule="auto"/>
        <w:rPr>
          <w:rFonts w:ascii="Times New Roman" w:hAnsi="Times New Roman"/>
          <w:b/>
          <w:bCs/>
          <w:kern w:val="2"/>
          <w:sz w:val="28"/>
          <w:szCs w:val="28"/>
        </w:rPr>
      </w:pPr>
      <w:r>
        <w:rPr>
          <w:rFonts w:ascii="Times New Roman" w:hAnsi="Times New Roman"/>
          <w:b/>
          <w:bCs/>
          <w:kern w:val="2"/>
          <w:sz w:val="28"/>
          <w:szCs w:val="28"/>
        </w:rPr>
        <w:t>采</w:t>
      </w:r>
      <w:r>
        <w:rPr>
          <w:rFonts w:hint="eastAsia" w:ascii="Times New Roman" w:hAnsi="Times New Roman"/>
          <w:b/>
          <w:bCs/>
          <w:kern w:val="2"/>
          <w:sz w:val="28"/>
          <w:szCs w:val="28"/>
        </w:rPr>
        <w:t xml:space="preserve"> </w:t>
      </w:r>
      <w:r>
        <w:rPr>
          <w:rFonts w:ascii="Times New Roman" w:hAnsi="Times New Roman"/>
          <w:b/>
          <w:bCs/>
          <w:kern w:val="2"/>
          <w:sz w:val="28"/>
          <w:szCs w:val="28"/>
        </w:rPr>
        <w:t>购</w:t>
      </w:r>
      <w:r>
        <w:rPr>
          <w:rFonts w:hint="eastAsia" w:ascii="Times New Roman" w:hAnsi="Times New Roman"/>
          <w:b/>
          <w:bCs/>
          <w:kern w:val="2"/>
          <w:sz w:val="28"/>
          <w:szCs w:val="28"/>
        </w:rPr>
        <w:t xml:space="preserve"> 人</w:t>
      </w:r>
      <w:r>
        <w:rPr>
          <w:rFonts w:ascii="Times New Roman" w:hAnsi="Times New Roman"/>
          <w:b/>
          <w:bCs/>
          <w:kern w:val="2"/>
          <w:sz w:val="28"/>
          <w:szCs w:val="28"/>
        </w:rPr>
        <w:t>：</w:t>
      </w:r>
      <w:r>
        <w:rPr>
          <w:rFonts w:hint="eastAsia" w:ascii="Times New Roman" w:hAnsi="Times New Roman"/>
          <w:b/>
          <w:bCs/>
          <w:kern w:val="2"/>
          <w:sz w:val="28"/>
          <w:szCs w:val="28"/>
        </w:rPr>
        <w:t>宁波市鄞州区五乡镇人民政府</w:t>
      </w:r>
    </w:p>
    <w:p>
      <w:pPr>
        <w:pStyle w:val="25"/>
        <w:snapToGrid w:val="0"/>
        <w:spacing w:before="120" w:after="120" w:line="360" w:lineRule="auto"/>
        <w:rPr>
          <w:rFonts w:ascii="Times New Roman" w:hAnsi="Times New Roman"/>
          <w:b/>
          <w:bCs/>
          <w:kern w:val="2"/>
          <w:sz w:val="28"/>
          <w:szCs w:val="28"/>
        </w:rPr>
      </w:pPr>
      <w:r>
        <w:rPr>
          <w:rFonts w:hint="eastAsia" w:ascii="Times New Roman" w:hAnsi="Times New Roman"/>
          <w:b/>
          <w:bCs/>
          <w:kern w:val="2"/>
          <w:sz w:val="28"/>
          <w:szCs w:val="28"/>
        </w:rPr>
        <w:t>采购</w:t>
      </w:r>
      <w:r>
        <w:rPr>
          <w:rFonts w:ascii="Times New Roman" w:hAnsi="Times New Roman"/>
          <w:b/>
          <w:bCs/>
          <w:kern w:val="2"/>
          <w:sz w:val="28"/>
          <w:szCs w:val="28"/>
        </w:rPr>
        <w:t>代理机构：</w:t>
      </w:r>
      <w:r>
        <w:rPr>
          <w:rFonts w:hint="eastAsia" w:ascii="Times New Roman" w:hAnsi="Times New Roman"/>
          <w:b/>
          <w:bCs/>
          <w:kern w:val="2"/>
          <w:sz w:val="28"/>
          <w:szCs w:val="28"/>
        </w:rPr>
        <w:t>中冠工程管理咨询有限公司</w:t>
      </w:r>
    </w:p>
    <w:p>
      <w:pPr>
        <w:pStyle w:val="25"/>
        <w:snapToGrid w:val="0"/>
        <w:spacing w:before="120" w:after="120" w:line="360" w:lineRule="auto"/>
        <w:jc w:val="center"/>
        <w:rPr>
          <w:rFonts w:ascii="Times New Roman" w:hAnsi="Times New Roman"/>
          <w:b/>
          <w:bCs/>
          <w:kern w:val="2"/>
          <w:sz w:val="28"/>
          <w:szCs w:val="28"/>
        </w:rPr>
      </w:pPr>
      <w:r>
        <w:rPr>
          <w:rFonts w:hint="eastAsia" w:ascii="Times New Roman" w:hAnsi="Times New Roman"/>
          <w:b/>
          <w:bCs/>
          <w:kern w:val="2"/>
          <w:sz w:val="28"/>
          <w:szCs w:val="28"/>
        </w:rPr>
        <w:t>二〇二二年三月</w:t>
      </w:r>
    </w:p>
    <w:p>
      <w:pPr>
        <w:tabs>
          <w:tab w:val="center" w:pos="4394"/>
        </w:tabs>
        <w:sectPr>
          <w:headerReference r:id="rId3" w:type="default"/>
          <w:footerReference r:id="rId4" w:type="default"/>
          <w:footerReference r:id="rId5" w:type="even"/>
          <w:pgSz w:w="11907" w:h="16840"/>
          <w:pgMar w:top="1247" w:right="1559" w:bottom="1304" w:left="1560" w:header="720" w:footer="720" w:gutter="0"/>
          <w:pgNumType w:start="0"/>
          <w:cols w:space="720" w:num="1"/>
          <w:titlePg/>
          <w:docGrid w:linePitch="285" w:charSpace="0"/>
        </w:sectPr>
      </w:pPr>
      <w:r>
        <w:tab/>
      </w:r>
    </w:p>
    <w:p>
      <w:pPr>
        <w:jc w:val="center"/>
        <w:outlineLvl w:val="0"/>
        <w:rPr>
          <w:sz w:val="44"/>
          <w:szCs w:val="44"/>
        </w:rPr>
      </w:pPr>
    </w:p>
    <w:p>
      <w:pPr>
        <w:jc w:val="center"/>
        <w:outlineLvl w:val="0"/>
        <w:rPr>
          <w:sz w:val="44"/>
          <w:szCs w:val="44"/>
        </w:rPr>
      </w:pPr>
    </w:p>
    <w:p>
      <w:pPr>
        <w:jc w:val="center"/>
        <w:outlineLvl w:val="0"/>
        <w:rPr>
          <w:rFonts w:hint="eastAsia"/>
          <w:sz w:val="32"/>
          <w:szCs w:val="32"/>
        </w:rPr>
      </w:pPr>
      <w:r>
        <w:rPr>
          <w:rFonts w:hint="eastAsia"/>
          <w:sz w:val="32"/>
          <w:szCs w:val="32"/>
        </w:rPr>
        <w:t>目 录</w:t>
      </w:r>
    </w:p>
    <w:p>
      <w:pPr>
        <w:jc w:val="center"/>
        <w:outlineLvl w:val="0"/>
        <w:rPr>
          <w:sz w:val="48"/>
          <w:szCs w:val="48"/>
        </w:rPr>
      </w:pPr>
    </w:p>
    <w:p>
      <w:pPr>
        <w:pStyle w:val="33"/>
        <w:spacing w:line="480" w:lineRule="auto"/>
        <w:contextualSpacing/>
        <w:rPr>
          <w:sz w:val="21"/>
          <w:szCs w:val="22"/>
          <w:lang/>
        </w:rPr>
      </w:pPr>
      <w:r>
        <w:rPr>
          <w:szCs w:val="21"/>
        </w:rPr>
        <w:fldChar w:fldCharType="begin"/>
      </w:r>
      <w:r>
        <w:rPr>
          <w:szCs w:val="21"/>
        </w:rPr>
        <w:instrText xml:space="preserve"> TOC \h \z \u \t "标题,1,目次、标准名称标题,1" </w:instrText>
      </w:r>
      <w:r>
        <w:rPr>
          <w:szCs w:val="21"/>
        </w:rPr>
        <w:fldChar w:fldCharType="separate"/>
      </w:r>
      <w:r>
        <w:rPr>
          <w:rStyle w:val="56"/>
          <w:color w:val="auto"/>
          <w:lang/>
        </w:rPr>
        <w:fldChar w:fldCharType="begin"/>
      </w:r>
      <w:r>
        <w:rPr>
          <w:rStyle w:val="56"/>
          <w:color w:val="auto"/>
          <w:lang/>
        </w:rPr>
        <w:instrText xml:space="preserve"> </w:instrText>
      </w:r>
      <w:r>
        <w:rPr>
          <w:lang/>
        </w:rPr>
        <w:instrText xml:space="preserve">HYPERLINK \l "_Toc96720892"</w:instrText>
      </w:r>
      <w:r>
        <w:rPr>
          <w:rStyle w:val="56"/>
          <w:color w:val="auto"/>
          <w:lang/>
        </w:rPr>
        <w:instrText xml:space="preserve"> </w:instrText>
      </w:r>
      <w:r>
        <w:rPr>
          <w:rStyle w:val="56"/>
          <w:color w:val="auto"/>
          <w:lang/>
        </w:rPr>
        <w:fldChar w:fldCharType="separate"/>
      </w:r>
      <w:r>
        <w:rPr>
          <w:rStyle w:val="56"/>
          <w:rFonts w:hint="eastAsia"/>
          <w:color w:val="auto"/>
          <w:lang/>
        </w:rPr>
        <w:t>第一部分</w:t>
      </w:r>
      <w:r>
        <w:rPr>
          <w:rStyle w:val="56"/>
          <w:color w:val="auto"/>
          <w:lang/>
        </w:rPr>
        <w:t xml:space="preserve"> </w:t>
      </w:r>
      <w:r>
        <w:rPr>
          <w:rStyle w:val="56"/>
          <w:rFonts w:hint="eastAsia"/>
          <w:color w:val="auto"/>
          <w:lang/>
        </w:rPr>
        <w:t xml:space="preserve"> 采购公告</w:t>
      </w:r>
      <w:r>
        <w:rPr>
          <w:lang/>
        </w:rPr>
        <w:tab/>
      </w:r>
      <w:r>
        <w:rPr>
          <w:lang/>
        </w:rPr>
        <w:fldChar w:fldCharType="begin"/>
      </w:r>
      <w:r>
        <w:rPr>
          <w:lang/>
        </w:rPr>
        <w:instrText xml:space="preserve"> PAGEREF _Toc96720892 \h </w:instrText>
      </w:r>
      <w:r>
        <w:rPr>
          <w:lang/>
        </w:rPr>
        <w:fldChar w:fldCharType="separate"/>
      </w:r>
      <w:r>
        <w:rPr>
          <w:lang/>
        </w:rPr>
        <w:t>2</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"_Toc96720893"</w:instrText>
      </w:r>
      <w:r>
        <w:rPr>
          <w:rStyle w:val="56"/>
          <w:color w:val="auto"/>
          <w:lang/>
        </w:rPr>
        <w:instrText xml:space="preserve"> </w:instrText>
      </w:r>
      <w:r>
        <w:rPr>
          <w:rStyle w:val="56"/>
          <w:color w:val="auto"/>
          <w:lang/>
        </w:rPr>
        <w:fldChar w:fldCharType="separate"/>
      </w:r>
      <w:r>
        <w:rPr>
          <w:rStyle w:val="56"/>
          <w:rFonts w:hint="eastAsia"/>
          <w:color w:val="auto"/>
          <w:lang/>
        </w:rPr>
        <w:t>第二部分</w:t>
      </w:r>
      <w:r>
        <w:rPr>
          <w:rStyle w:val="56"/>
          <w:color w:val="auto"/>
          <w:lang/>
        </w:rPr>
        <w:t xml:space="preserve">  </w:t>
      </w:r>
      <w:r>
        <w:rPr>
          <w:rStyle w:val="56"/>
          <w:rFonts w:hint="eastAsia"/>
          <w:color w:val="auto"/>
          <w:lang/>
        </w:rPr>
        <w:t>投标资</w:t>
      </w:r>
      <w:bookmarkStart w:id="1" w:name="_Hlt97273887"/>
      <w:bookmarkStart w:id="2" w:name="_Hlt97273886"/>
      <w:r>
        <w:rPr>
          <w:rStyle w:val="56"/>
          <w:rFonts w:hint="eastAsia"/>
          <w:color w:val="auto"/>
          <w:lang/>
        </w:rPr>
        <w:t>料</w:t>
      </w:r>
      <w:bookmarkEnd w:id="1"/>
      <w:bookmarkEnd w:id="2"/>
      <w:r>
        <w:rPr>
          <w:rStyle w:val="56"/>
          <w:rFonts w:hint="eastAsia"/>
          <w:color w:val="auto"/>
          <w:lang/>
        </w:rPr>
        <w:t>表</w:t>
      </w:r>
      <w:r>
        <w:rPr>
          <w:lang/>
        </w:rPr>
        <w:tab/>
      </w:r>
      <w:r>
        <w:rPr>
          <w:lang/>
        </w:rPr>
        <w:fldChar w:fldCharType="begin"/>
      </w:r>
      <w:r>
        <w:rPr>
          <w:lang/>
        </w:rPr>
        <w:instrText xml:space="preserve"> PAGEREF _Toc96720893 \h </w:instrText>
      </w:r>
      <w:r>
        <w:rPr>
          <w:lang/>
        </w:rPr>
        <w:fldChar w:fldCharType="separate"/>
      </w:r>
      <w:r>
        <w:rPr>
          <w:lang/>
        </w:rPr>
        <w:t>6</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"_Toc96720894"</w:instrText>
      </w:r>
      <w:r>
        <w:rPr>
          <w:rStyle w:val="56"/>
          <w:color w:val="auto"/>
          <w:lang/>
        </w:rPr>
        <w:instrText xml:space="preserve"> </w:instrText>
      </w:r>
      <w:r>
        <w:rPr>
          <w:rStyle w:val="56"/>
          <w:color w:val="auto"/>
          <w:lang/>
        </w:rPr>
        <w:fldChar w:fldCharType="separate"/>
      </w:r>
      <w:r>
        <w:rPr>
          <w:rStyle w:val="56"/>
          <w:rFonts w:hint="eastAsia"/>
          <w:color w:val="auto"/>
          <w:lang/>
        </w:rPr>
        <w:t>第三部分</w:t>
      </w:r>
      <w:r>
        <w:rPr>
          <w:rStyle w:val="56"/>
          <w:color w:val="auto"/>
          <w:lang/>
        </w:rPr>
        <w:t xml:space="preserve"> </w:t>
      </w:r>
      <w:r>
        <w:rPr>
          <w:rStyle w:val="56"/>
          <w:rFonts w:hint="eastAsia"/>
          <w:color w:val="auto"/>
          <w:lang/>
        </w:rPr>
        <w:t xml:space="preserve"> 投标人须知</w:t>
      </w:r>
      <w:r>
        <w:rPr>
          <w:lang/>
        </w:rPr>
        <w:tab/>
      </w:r>
      <w:r>
        <w:rPr>
          <w:lang/>
        </w:rPr>
        <w:fldChar w:fldCharType="begin"/>
      </w:r>
      <w:r>
        <w:rPr>
          <w:lang/>
        </w:rPr>
        <w:instrText xml:space="preserve"> PAGEREF _Toc96720894 \h </w:instrText>
      </w:r>
      <w:r>
        <w:rPr>
          <w:lang/>
        </w:rPr>
        <w:fldChar w:fldCharType="separate"/>
      </w:r>
      <w:r>
        <w:rPr>
          <w:lang/>
        </w:rPr>
        <w:t>8</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"_Toc96720895"</w:instrText>
      </w:r>
      <w:r>
        <w:rPr>
          <w:rStyle w:val="56"/>
          <w:color w:val="auto"/>
          <w:lang/>
        </w:rPr>
        <w:instrText xml:space="preserve"> </w:instrText>
      </w:r>
      <w:r>
        <w:rPr>
          <w:rStyle w:val="56"/>
          <w:color w:val="auto"/>
          <w:lang/>
        </w:rPr>
        <w:fldChar w:fldCharType="separate"/>
      </w:r>
      <w:r>
        <w:rPr>
          <w:rStyle w:val="56"/>
          <w:rFonts w:hint="eastAsia"/>
          <w:color w:val="auto"/>
          <w:lang/>
        </w:rPr>
        <w:t>第四部分</w:t>
      </w:r>
      <w:r>
        <w:rPr>
          <w:rStyle w:val="56"/>
          <w:color w:val="auto"/>
          <w:lang/>
        </w:rPr>
        <w:t xml:space="preserve"> </w:t>
      </w:r>
      <w:r>
        <w:rPr>
          <w:rStyle w:val="56"/>
          <w:rFonts w:hint="eastAsia"/>
          <w:color w:val="auto"/>
          <w:lang/>
        </w:rPr>
        <w:t xml:space="preserve"> 评标</w:t>
      </w:r>
      <w:bookmarkStart w:id="3" w:name="_Hlt97225970"/>
      <w:bookmarkStart w:id="4" w:name="_Hlt97225969"/>
      <w:r>
        <w:rPr>
          <w:rStyle w:val="56"/>
          <w:rFonts w:hint="eastAsia"/>
          <w:color w:val="auto"/>
          <w:lang/>
        </w:rPr>
        <w:t>办</w:t>
      </w:r>
      <w:bookmarkEnd w:id="3"/>
      <w:bookmarkEnd w:id="4"/>
      <w:bookmarkStart w:id="5" w:name="_Hlt97301272"/>
      <w:bookmarkStart w:id="6" w:name="_Hlt97301273"/>
      <w:bookmarkStart w:id="7" w:name="_Hlt97301579"/>
      <w:r>
        <w:rPr>
          <w:rStyle w:val="56"/>
          <w:rFonts w:hint="eastAsia"/>
          <w:color w:val="auto"/>
          <w:lang/>
        </w:rPr>
        <w:t>法</w:t>
      </w:r>
      <w:bookmarkEnd w:id="5"/>
      <w:bookmarkEnd w:id="6"/>
      <w:bookmarkEnd w:id="7"/>
      <w:r>
        <w:rPr>
          <w:rStyle w:val="56"/>
          <w:rFonts w:hint="eastAsia"/>
          <w:color w:val="auto"/>
          <w:lang/>
        </w:rPr>
        <w:t>及标准</w:t>
      </w:r>
      <w:r>
        <w:rPr>
          <w:lang/>
        </w:rPr>
        <w:tab/>
      </w:r>
      <w:r>
        <w:rPr>
          <w:lang/>
        </w:rPr>
        <w:fldChar w:fldCharType="begin"/>
      </w:r>
      <w:r>
        <w:rPr>
          <w:lang/>
        </w:rPr>
        <w:instrText xml:space="preserve"> PAGEREF _Toc96720895 \h </w:instrText>
      </w:r>
      <w:r>
        <w:rPr>
          <w:lang/>
        </w:rPr>
        <w:fldChar w:fldCharType="separate"/>
      </w:r>
      <w:r>
        <w:rPr>
          <w:lang/>
        </w:rPr>
        <w:t>19</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"_Toc96720896"</w:instrText>
      </w:r>
      <w:r>
        <w:rPr>
          <w:rStyle w:val="56"/>
          <w:color w:val="auto"/>
          <w:lang/>
        </w:rPr>
        <w:instrText xml:space="preserve"> </w:instrText>
      </w:r>
      <w:r>
        <w:rPr>
          <w:rStyle w:val="56"/>
          <w:color w:val="auto"/>
          <w:lang/>
        </w:rPr>
        <w:fldChar w:fldCharType="separate"/>
      </w:r>
      <w:r>
        <w:rPr>
          <w:rStyle w:val="56"/>
          <w:rFonts w:hint="eastAsia"/>
          <w:color w:val="auto"/>
          <w:lang/>
        </w:rPr>
        <w:t>第五部分</w:t>
      </w:r>
      <w:r>
        <w:rPr>
          <w:rStyle w:val="56"/>
          <w:color w:val="auto"/>
          <w:lang/>
        </w:rPr>
        <w:t xml:space="preserve"> </w:t>
      </w:r>
      <w:r>
        <w:rPr>
          <w:rStyle w:val="56"/>
          <w:rFonts w:hint="eastAsia"/>
          <w:color w:val="auto"/>
          <w:lang/>
        </w:rPr>
        <w:t xml:space="preserve"> 采购</w:t>
      </w:r>
      <w:bookmarkStart w:id="8" w:name="_Hlt97044987"/>
      <w:bookmarkStart w:id="9" w:name="_Hlt97044988"/>
      <w:r>
        <w:rPr>
          <w:rStyle w:val="56"/>
          <w:rFonts w:hint="eastAsia"/>
          <w:color w:val="auto"/>
          <w:lang/>
        </w:rPr>
        <w:t>内</w:t>
      </w:r>
      <w:bookmarkEnd w:id="8"/>
      <w:bookmarkEnd w:id="9"/>
      <w:bookmarkStart w:id="10" w:name="_Hlt97244459"/>
      <w:r>
        <w:rPr>
          <w:rStyle w:val="56"/>
          <w:rFonts w:hint="eastAsia"/>
          <w:color w:val="auto"/>
          <w:lang/>
        </w:rPr>
        <w:t>容</w:t>
      </w:r>
      <w:bookmarkEnd w:id="10"/>
      <w:r>
        <w:rPr>
          <w:rStyle w:val="56"/>
          <w:rFonts w:hint="eastAsia"/>
          <w:color w:val="auto"/>
          <w:lang/>
        </w:rPr>
        <w:t>及</w:t>
      </w:r>
      <w:bookmarkStart w:id="11" w:name="_Hlt96720900"/>
      <w:r>
        <w:rPr>
          <w:rStyle w:val="56"/>
          <w:rFonts w:hint="eastAsia"/>
          <w:color w:val="auto"/>
          <w:lang/>
        </w:rPr>
        <w:t>要</w:t>
      </w:r>
      <w:bookmarkEnd w:id="11"/>
      <w:r>
        <w:rPr>
          <w:rStyle w:val="56"/>
          <w:rFonts w:hint="eastAsia"/>
          <w:color w:val="auto"/>
          <w:lang/>
        </w:rPr>
        <w:t>求</w:t>
      </w:r>
      <w:r>
        <w:rPr>
          <w:lang/>
        </w:rPr>
        <w:tab/>
      </w:r>
      <w:r>
        <w:rPr>
          <w:lang/>
        </w:rPr>
        <w:fldChar w:fldCharType="begin"/>
      </w:r>
      <w:r>
        <w:rPr>
          <w:lang/>
        </w:rPr>
        <w:instrText xml:space="preserve"> PAGEREF _Toc96720896 \h </w:instrText>
      </w:r>
      <w:r>
        <w:rPr>
          <w:lang/>
        </w:rPr>
        <w:fldChar w:fldCharType="separate"/>
      </w:r>
      <w:r>
        <w:rPr>
          <w:lang/>
        </w:rPr>
        <w:t>22</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"_Toc96720897"</w:instrText>
      </w:r>
      <w:r>
        <w:rPr>
          <w:rStyle w:val="56"/>
          <w:color w:val="auto"/>
          <w:lang/>
        </w:rPr>
        <w:instrText xml:space="preserve"> </w:instrText>
      </w:r>
      <w:r>
        <w:rPr>
          <w:rStyle w:val="56"/>
          <w:color w:val="auto"/>
          <w:lang/>
        </w:rPr>
        <w:fldChar w:fldCharType="separate"/>
      </w:r>
      <w:r>
        <w:rPr>
          <w:rStyle w:val="56"/>
          <w:rFonts w:hint="eastAsia"/>
          <w:color w:val="auto"/>
          <w:lang/>
        </w:rPr>
        <w:t>第六部分</w:t>
      </w:r>
      <w:r>
        <w:rPr>
          <w:rStyle w:val="56"/>
          <w:color w:val="auto"/>
          <w:lang/>
        </w:rPr>
        <w:t xml:space="preserve">  </w:t>
      </w:r>
      <w:r>
        <w:rPr>
          <w:rStyle w:val="56"/>
          <w:rFonts w:hint="eastAsia"/>
          <w:color w:val="auto"/>
          <w:lang/>
        </w:rPr>
        <w:t>拟签订的合同文本</w:t>
      </w:r>
      <w:r>
        <w:rPr>
          <w:lang/>
        </w:rPr>
        <w:tab/>
      </w:r>
      <w:r>
        <w:rPr>
          <w:lang/>
        </w:rPr>
        <w:fldChar w:fldCharType="begin"/>
      </w:r>
      <w:r>
        <w:rPr>
          <w:lang/>
        </w:rPr>
        <w:instrText xml:space="preserve"> PAGEREF _Toc96720897 \h </w:instrText>
      </w:r>
      <w:r>
        <w:rPr>
          <w:lang/>
        </w:rPr>
        <w:fldChar w:fldCharType="separate"/>
      </w:r>
      <w:r>
        <w:rPr>
          <w:lang/>
        </w:rPr>
        <w:t>52</w:t>
      </w:r>
      <w:r>
        <w:rPr>
          <w:lang/>
        </w:rPr>
        <w:fldChar w:fldCharType="end"/>
      </w:r>
      <w:r>
        <w:rPr>
          <w:rStyle w:val="56"/>
          <w:color w:val="auto"/>
          <w:lang/>
        </w:rPr>
        <w:fldChar w:fldCharType="end"/>
      </w:r>
    </w:p>
    <w:p>
      <w:pPr>
        <w:pStyle w:val="33"/>
        <w:spacing w:line="480" w:lineRule="auto"/>
        <w:contextualSpacing/>
        <w:rPr>
          <w:sz w:val="21"/>
          <w:szCs w:val="22"/>
          <w:lang/>
        </w:rPr>
      </w:pPr>
      <w:r>
        <w:rPr>
          <w:rStyle w:val="56"/>
          <w:color w:val="auto"/>
          <w:lang/>
        </w:rPr>
        <w:fldChar w:fldCharType="begin"/>
      </w:r>
      <w:r>
        <w:rPr>
          <w:rStyle w:val="56"/>
          <w:color w:val="auto"/>
          <w:lang/>
        </w:rPr>
        <w:instrText xml:space="preserve"> </w:instrText>
      </w:r>
      <w:r>
        <w:rPr>
          <w:lang/>
        </w:rPr>
        <w:instrText xml:space="preserve">HYPERLINK \l "_Toc96720898"</w:instrText>
      </w:r>
      <w:r>
        <w:rPr>
          <w:rStyle w:val="56"/>
          <w:color w:val="auto"/>
          <w:lang/>
        </w:rPr>
        <w:instrText xml:space="preserve"> </w:instrText>
      </w:r>
      <w:r>
        <w:rPr>
          <w:rStyle w:val="56"/>
          <w:color w:val="auto"/>
          <w:lang/>
        </w:rPr>
        <w:fldChar w:fldCharType="separate"/>
      </w:r>
      <w:r>
        <w:rPr>
          <w:rStyle w:val="56"/>
          <w:rFonts w:hint="eastAsia"/>
          <w:color w:val="auto"/>
          <w:lang/>
        </w:rPr>
        <w:t>第七部分</w:t>
      </w:r>
      <w:r>
        <w:rPr>
          <w:rStyle w:val="56"/>
          <w:color w:val="auto"/>
          <w:lang/>
        </w:rPr>
        <w:t xml:space="preserve">  </w:t>
      </w:r>
      <w:r>
        <w:rPr>
          <w:rStyle w:val="56"/>
          <w:rFonts w:hint="eastAsia"/>
          <w:color w:val="auto"/>
          <w:lang/>
        </w:rPr>
        <w:t>格</w:t>
      </w:r>
      <w:bookmarkStart w:id="12" w:name="_Hlt97308609"/>
      <w:bookmarkStart w:id="13" w:name="_Hlt97308610"/>
      <w:r>
        <w:rPr>
          <w:rStyle w:val="56"/>
          <w:rFonts w:hint="eastAsia"/>
          <w:color w:val="auto"/>
          <w:lang/>
        </w:rPr>
        <w:t>式</w:t>
      </w:r>
      <w:bookmarkEnd w:id="12"/>
      <w:bookmarkEnd w:id="13"/>
      <w:r>
        <w:rPr>
          <w:rStyle w:val="56"/>
          <w:rFonts w:hint="eastAsia"/>
          <w:color w:val="auto"/>
          <w:lang/>
        </w:rPr>
        <w:t>与表格</w:t>
      </w:r>
      <w:r>
        <w:rPr>
          <w:lang/>
        </w:rPr>
        <w:tab/>
      </w:r>
      <w:r>
        <w:rPr>
          <w:lang/>
        </w:rPr>
        <w:fldChar w:fldCharType="begin"/>
      </w:r>
      <w:r>
        <w:rPr>
          <w:lang/>
        </w:rPr>
        <w:instrText xml:space="preserve"> PAGEREF _Toc96720898 \h </w:instrText>
      </w:r>
      <w:r>
        <w:rPr>
          <w:lang/>
        </w:rPr>
        <w:fldChar w:fldCharType="separate"/>
      </w:r>
      <w:r>
        <w:rPr>
          <w:lang/>
        </w:rPr>
        <w:t>63</w:t>
      </w:r>
      <w:r>
        <w:rPr>
          <w:lang/>
        </w:rPr>
        <w:fldChar w:fldCharType="end"/>
      </w:r>
      <w:r>
        <w:rPr>
          <w:rStyle w:val="56"/>
          <w:color w:val="auto"/>
          <w:lang/>
        </w:rPr>
        <w:fldChar w:fldCharType="end"/>
      </w:r>
    </w:p>
    <w:p>
      <w:pPr>
        <w:spacing w:line="480" w:lineRule="auto"/>
        <w:contextualSpacing/>
        <w:jc w:val="left"/>
        <w:outlineLvl w:val="0"/>
        <w:rPr>
          <w:szCs w:val="21"/>
        </w:rPr>
      </w:pPr>
      <w:r>
        <w:rPr>
          <w:szCs w:val="21"/>
        </w:rPr>
        <w:fldChar w:fldCharType="end"/>
      </w:r>
    </w:p>
    <w:p>
      <w:pPr>
        <w:tabs>
          <w:tab w:val="left" w:pos="2160"/>
        </w:tabs>
        <w:spacing w:before="120" w:beforeLines="50" w:after="120" w:afterLines="50" w:line="480" w:lineRule="auto"/>
        <w:contextualSpacing/>
        <w:rPr>
          <w:sz w:val="32"/>
        </w:rPr>
        <w:sectPr>
          <w:headerReference r:id="rId8" w:type="first"/>
          <w:footerReference r:id="rId11" w:type="first"/>
          <w:headerReference r:id="rId6" w:type="default"/>
          <w:footerReference r:id="rId9" w:type="default"/>
          <w:headerReference r:id="rId7" w:type="even"/>
          <w:footerReference r:id="rId10" w:type="even"/>
          <w:type w:val="nextColumn"/>
          <w:pgSz w:w="11907" w:h="16840"/>
          <w:pgMar w:top="1247" w:right="1531" w:bottom="1304" w:left="1531" w:header="284" w:footer="705" w:gutter="0"/>
          <w:pgNumType w:start="1"/>
          <w:cols w:space="720" w:num="1"/>
          <w:docGrid w:linePitch="285" w:charSpace="0"/>
        </w:sectPr>
      </w:pPr>
    </w:p>
    <w:p>
      <w:pPr>
        <w:pStyle w:val="46"/>
        <w:rPr>
          <w:rFonts w:ascii="Times New Roman" w:hAnsi="Times New Roman"/>
          <w:sz w:val="30"/>
          <w:szCs w:val="30"/>
        </w:rPr>
      </w:pPr>
      <w:bookmarkStart w:id="14" w:name="_Toc263083249"/>
      <w:bookmarkStart w:id="15" w:name="_Toc262312595"/>
      <w:bookmarkStart w:id="16" w:name="_Toc96720892"/>
      <w:bookmarkStart w:id="17" w:name="_Toc89855391"/>
      <w:r>
        <w:rPr>
          <w:rFonts w:hint="eastAsia" w:ascii="Times New Roman" w:hAnsi="Times New Roman"/>
        </w:rPr>
        <w:t>第一部分</w:t>
      </w:r>
      <w:bookmarkEnd w:id="14"/>
      <w:bookmarkEnd w:id="15"/>
      <w:r>
        <w:rPr>
          <w:rFonts w:hint="eastAsia" w:ascii="Times New Roman" w:hAnsi="Times New Roman"/>
          <w:sz w:val="30"/>
          <w:szCs w:val="30"/>
        </w:rPr>
        <w:t xml:space="preserve"> </w:t>
      </w:r>
      <w:r>
        <w:rPr>
          <w:rFonts w:hint="eastAsia" w:ascii="Times New Roman" w:hAnsi="Times New Roman"/>
        </w:rPr>
        <w:t>采购公告</w:t>
      </w:r>
      <w:bookmarkEnd w:id="16"/>
      <w:bookmarkEnd w:id="17"/>
    </w:p>
    <w:p>
      <w:pPr>
        <w:pBdr>
          <w:top w:val="single" w:color="auto" w:sz="4" w:space="1"/>
          <w:left w:val="single" w:color="auto" w:sz="4" w:space="4"/>
          <w:bottom w:val="single" w:color="auto" w:sz="4" w:space="1"/>
          <w:right w:val="single" w:color="auto" w:sz="4" w:space="4"/>
        </w:pBdr>
        <w:spacing w:line="360" w:lineRule="auto"/>
        <w:rPr>
          <w:szCs w:val="21"/>
        </w:rPr>
      </w:pPr>
      <w:r>
        <w:rPr>
          <w:rFonts w:hint="eastAsia"/>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Cs w:val="21"/>
          <w:u w:val="single"/>
        </w:rPr>
      </w:pPr>
      <w:r>
        <w:rPr>
          <w:rFonts w:hint="eastAsia"/>
          <w:szCs w:val="21"/>
          <w:u w:val="single"/>
        </w:rPr>
        <w:t>五乡镇环卫保洁及绿化养护项目</w:t>
      </w:r>
      <w:r>
        <w:rPr>
          <w:rFonts w:hint="eastAsia"/>
          <w:szCs w:val="21"/>
        </w:rPr>
        <w:t>的潜在投标人应在</w:t>
      </w:r>
      <w:r>
        <w:rPr>
          <w:rFonts w:hint="eastAsia"/>
          <w:szCs w:val="21"/>
          <w:u w:val="single"/>
        </w:rPr>
        <w:t>政采云平台</w:t>
      </w:r>
      <w:r>
        <w:rPr>
          <w:rFonts w:hint="eastAsia"/>
          <w:szCs w:val="21"/>
        </w:rPr>
        <w:t>获取招标文件，并于</w:t>
      </w:r>
      <w:r>
        <w:rPr>
          <w:szCs w:val="21"/>
        </w:rPr>
        <w:t>202</w:t>
      </w:r>
      <w:r>
        <w:rPr>
          <w:rFonts w:hint="eastAsia"/>
          <w:szCs w:val="21"/>
        </w:rPr>
        <w:t>2</w:t>
      </w:r>
      <w:r>
        <w:rPr>
          <w:rFonts w:hint="eastAsia"/>
          <w:bCs/>
          <w:szCs w:val="21"/>
          <w:u w:val="single"/>
        </w:rPr>
        <w:t>年03月</w:t>
      </w:r>
      <w:r>
        <w:rPr>
          <w:bCs/>
          <w:szCs w:val="21"/>
          <w:u w:val="single"/>
        </w:rPr>
        <w:t>25</w:t>
      </w:r>
      <w:r>
        <w:rPr>
          <w:rFonts w:hint="eastAsia"/>
          <w:bCs/>
          <w:szCs w:val="21"/>
          <w:u w:val="single"/>
        </w:rPr>
        <w:t>日0</w:t>
      </w:r>
      <w:r>
        <w:rPr>
          <w:bCs/>
          <w:szCs w:val="21"/>
          <w:u w:val="single"/>
        </w:rPr>
        <w:t>9</w:t>
      </w:r>
      <w:r>
        <w:rPr>
          <w:rFonts w:hint="eastAsia"/>
          <w:bCs/>
          <w:szCs w:val="21"/>
          <w:u w:val="single"/>
        </w:rPr>
        <w:t>点</w:t>
      </w:r>
      <w:r>
        <w:rPr>
          <w:bCs/>
          <w:szCs w:val="21"/>
          <w:u w:val="single"/>
        </w:rPr>
        <w:t>3</w:t>
      </w:r>
      <w:r>
        <w:rPr>
          <w:rFonts w:hint="eastAsia"/>
          <w:bCs/>
          <w:szCs w:val="21"/>
          <w:u w:val="single"/>
        </w:rPr>
        <w:t>0分（</w:t>
      </w:r>
      <w:r>
        <w:rPr>
          <w:rFonts w:hint="eastAsia"/>
          <w:bCs/>
          <w:szCs w:val="21"/>
        </w:rPr>
        <w:t>北京时间）前递交投标文件</w:t>
      </w:r>
      <w:r>
        <w:rPr>
          <w:rFonts w:hint="eastAsia"/>
          <w:szCs w:val="21"/>
        </w:rPr>
        <w:t>。</w:t>
      </w:r>
    </w:p>
    <w:p>
      <w:pPr>
        <w:widowControl/>
        <w:spacing w:line="360" w:lineRule="auto"/>
        <w:contextualSpacing/>
        <w:rPr>
          <w:rFonts w:cs="宋体"/>
          <w:b/>
          <w:bCs/>
          <w:szCs w:val="21"/>
        </w:rPr>
      </w:pPr>
    </w:p>
    <w:p>
      <w:pPr>
        <w:widowControl/>
        <w:spacing w:line="400" w:lineRule="exact"/>
        <w:contextualSpacing/>
        <w:rPr>
          <w:rFonts w:cs="宋体"/>
          <w:szCs w:val="21"/>
        </w:rPr>
      </w:pPr>
      <w:r>
        <w:rPr>
          <w:rFonts w:hint="eastAsia" w:cs="宋体"/>
          <w:b/>
          <w:bCs/>
          <w:szCs w:val="21"/>
        </w:rPr>
        <w:t>一、项目基本情况</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r>
        <w:rPr>
          <w:rFonts w:hint="eastAsia" w:cs="黑体"/>
          <w:szCs w:val="21"/>
        </w:rPr>
        <w:t xml:space="preserve"> </w:t>
      </w:r>
      <w:r>
        <w:rPr>
          <w:rFonts w:hint="eastAsia" w:cs="宋体"/>
          <w:szCs w:val="21"/>
        </w:rPr>
        <w:t> </w:t>
      </w:r>
    </w:p>
    <w:p>
      <w:pPr>
        <w:widowControl/>
        <w:spacing w:line="400" w:lineRule="exact"/>
        <w:ind w:firstLine="420" w:firstLineChars="200"/>
        <w:contextualSpacing/>
        <w:jc w:val="left"/>
        <w:rPr>
          <w:rFonts w:hint="eastAsia" w:cs="宋体"/>
          <w:szCs w:val="21"/>
        </w:rPr>
      </w:pPr>
      <w:r>
        <w:rPr>
          <w:rFonts w:cs="宋体"/>
          <w:szCs w:val="21"/>
        </w:rPr>
        <w:t>项目编号：</w:t>
      </w:r>
      <w:r>
        <w:rPr>
          <w:rFonts w:hint="eastAsia" w:cs="宋体"/>
          <w:szCs w:val="21"/>
        </w:rPr>
        <w:t>ZGZB2022-057</w:t>
      </w:r>
      <w:r>
        <w:rPr>
          <w:rFonts w:cs="宋体"/>
          <w:szCs w:val="21"/>
        </w:rPr>
        <w:t xml:space="preserve">  </w:t>
      </w:r>
    </w:p>
    <w:p>
      <w:pPr>
        <w:widowControl/>
        <w:spacing w:line="400" w:lineRule="exact"/>
        <w:ind w:firstLine="420" w:firstLineChars="200"/>
        <w:contextualSpacing/>
        <w:jc w:val="left"/>
        <w:rPr>
          <w:rFonts w:hint="eastAsia" w:cs="宋体"/>
          <w:szCs w:val="21"/>
        </w:rPr>
      </w:pPr>
      <w:r>
        <w:rPr>
          <w:rFonts w:cs="宋体"/>
          <w:szCs w:val="21"/>
        </w:rPr>
        <w:t>项目名称：</w:t>
      </w:r>
      <w:r>
        <w:rPr>
          <w:rFonts w:hint="eastAsia"/>
          <w:szCs w:val="21"/>
        </w:rPr>
        <w:t>五乡镇环卫保洁及绿化养护项目</w:t>
      </w:r>
      <w:r>
        <w:rPr>
          <w:rFonts w:cs="宋体"/>
          <w:szCs w:val="21"/>
        </w:rPr>
        <w:t xml:space="preserve"> </w:t>
      </w:r>
      <w:r>
        <w:rPr>
          <w:rFonts w:hint="eastAsia" w:cs="宋体"/>
          <w:szCs w:val="21"/>
        </w:rPr>
        <w:t xml:space="preserve"> </w:t>
      </w:r>
    </w:p>
    <w:p>
      <w:pPr>
        <w:widowControl/>
        <w:spacing w:line="400" w:lineRule="exact"/>
        <w:ind w:firstLine="420" w:firstLineChars="200"/>
        <w:contextualSpacing/>
        <w:jc w:val="left"/>
        <w:rPr>
          <w:rFonts w:cs="宋体"/>
          <w:szCs w:val="21"/>
        </w:rPr>
      </w:pPr>
      <w:r>
        <w:rPr>
          <w:rFonts w:cs="宋体"/>
          <w:szCs w:val="21"/>
        </w:rPr>
        <w:t>预算金额</w:t>
      </w:r>
      <w:r>
        <w:rPr>
          <w:rFonts w:hint="eastAsia" w:cs="宋体"/>
          <w:szCs w:val="21"/>
        </w:rPr>
        <w:t>（元/年）</w:t>
      </w:r>
      <w:r>
        <w:rPr>
          <w:rFonts w:cs="宋体"/>
          <w:szCs w:val="21"/>
        </w:rPr>
        <w:t>：</w:t>
      </w:r>
      <w:r>
        <w:rPr>
          <w:rFonts w:hint="eastAsia" w:cs="宋体"/>
          <w:szCs w:val="21"/>
        </w:rPr>
        <w:t>17000000</w:t>
      </w:r>
    </w:p>
    <w:p>
      <w:pPr>
        <w:widowControl/>
        <w:spacing w:line="400" w:lineRule="exact"/>
        <w:ind w:firstLine="420" w:firstLineChars="200"/>
        <w:contextualSpacing/>
        <w:jc w:val="left"/>
        <w:rPr>
          <w:rFonts w:cs="宋体"/>
          <w:szCs w:val="21"/>
        </w:rPr>
      </w:pPr>
      <w:r>
        <w:rPr>
          <w:rFonts w:cs="宋体"/>
          <w:szCs w:val="21"/>
        </w:rPr>
        <w:t>最高限价</w:t>
      </w:r>
      <w:r>
        <w:rPr>
          <w:rFonts w:hint="eastAsia" w:cs="宋体"/>
          <w:szCs w:val="21"/>
        </w:rPr>
        <w:t>（元/年）</w:t>
      </w:r>
      <w:r>
        <w:rPr>
          <w:rFonts w:cs="宋体"/>
          <w:szCs w:val="21"/>
        </w:rPr>
        <w:t>：</w:t>
      </w:r>
      <w:r>
        <w:rPr>
          <w:rFonts w:hint="eastAsia" w:cs="宋体"/>
          <w:szCs w:val="21"/>
          <w:u w:val="single"/>
        </w:rPr>
        <w:t>16452023</w:t>
      </w:r>
    </w:p>
    <w:p>
      <w:pPr>
        <w:widowControl/>
        <w:spacing w:line="400" w:lineRule="exact"/>
        <w:ind w:firstLine="420" w:firstLineChars="200"/>
        <w:contextualSpacing/>
        <w:jc w:val="left"/>
        <w:rPr>
          <w:rFonts w:hint="eastAsia" w:cs="宋体"/>
          <w:szCs w:val="21"/>
        </w:rPr>
      </w:pPr>
      <w:r>
        <w:rPr>
          <w:rFonts w:cs="宋体"/>
          <w:szCs w:val="21"/>
        </w:rPr>
        <w:t>采购需求：</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hint="eastAsia" w:ascii="Times New Roman" w:hAnsi="Times New Roman" w:cs="宋体"/>
          <w:kern w:val="2"/>
          <w:sz w:val="21"/>
          <w:szCs w:val="21"/>
        </w:rPr>
        <w:t>标项一：</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hint="eastAsia" w:ascii="Times New Roman" w:hAnsi="Times New Roman" w:cs="宋体"/>
          <w:kern w:val="2"/>
          <w:sz w:val="21"/>
          <w:szCs w:val="21"/>
        </w:rPr>
        <w:t>标项名称：</w:t>
      </w:r>
      <w:r>
        <w:rPr>
          <w:rFonts w:hint="eastAsia" w:ascii="Times New Roman" w:hAnsi="Times New Roman"/>
          <w:kern w:val="2"/>
          <w:sz w:val="21"/>
          <w:szCs w:val="21"/>
        </w:rPr>
        <w:t>五乡镇环卫保洁及绿化养护项目</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hint="eastAsia" w:ascii="Times New Roman" w:hAnsi="Times New Roman" w:cs="宋体"/>
          <w:kern w:val="2"/>
          <w:sz w:val="21"/>
          <w:szCs w:val="21"/>
        </w:rPr>
        <w:t>数量：1</w:t>
      </w:r>
    </w:p>
    <w:p>
      <w:pPr>
        <w:pStyle w:val="45"/>
        <w:spacing w:before="0" w:beforeAutospacing="0" w:after="0" w:afterAutospacing="0" w:line="400" w:lineRule="exact"/>
        <w:ind w:firstLine="420" w:firstLineChars="200"/>
        <w:contextualSpacing/>
        <w:rPr>
          <w:rFonts w:hint="eastAsia" w:ascii="Times New Roman" w:hAnsi="Times New Roman" w:cs="宋体"/>
          <w:kern w:val="2"/>
          <w:sz w:val="21"/>
          <w:szCs w:val="21"/>
        </w:rPr>
      </w:pPr>
      <w:r>
        <w:rPr>
          <w:rFonts w:hint="eastAsia" w:ascii="Times New Roman" w:hAnsi="Times New Roman" w:cs="宋体"/>
          <w:kern w:val="2"/>
          <w:sz w:val="21"/>
          <w:szCs w:val="21"/>
        </w:rPr>
        <w:t>预算金额（元/年）：</w:t>
      </w:r>
      <w:r>
        <w:rPr>
          <w:rFonts w:hint="eastAsia" w:ascii="Times New Roman" w:hAnsi="Times New Roman" w:cs="宋体"/>
          <w:kern w:val="2"/>
          <w:sz w:val="21"/>
          <w:szCs w:val="21"/>
          <w:u w:val="single"/>
        </w:rPr>
        <w:t>17000000</w:t>
      </w:r>
    </w:p>
    <w:p>
      <w:pPr>
        <w:pStyle w:val="45"/>
        <w:spacing w:before="0" w:beforeAutospacing="0" w:after="0" w:afterAutospacing="0" w:line="400" w:lineRule="exact"/>
        <w:ind w:firstLine="420" w:firstLineChars="200"/>
        <w:contextualSpacing/>
        <w:rPr>
          <w:rFonts w:hint="eastAsia" w:ascii="Times New Roman" w:hAnsi="Times New Roman" w:cs="宋体"/>
          <w:kern w:val="2"/>
          <w:sz w:val="21"/>
          <w:szCs w:val="21"/>
        </w:rPr>
      </w:pPr>
      <w:r>
        <w:rPr>
          <w:rFonts w:hint="eastAsia" w:ascii="Times New Roman" w:hAnsi="Times New Roman" w:cs="宋体"/>
          <w:kern w:val="2"/>
          <w:sz w:val="21"/>
          <w:szCs w:val="21"/>
        </w:rPr>
        <w:t>简要规格描述或项目基本概况介绍、用途：五乡镇环卫保洁及绿化养护服务，其中五乡镇道路保洁面积合计约为920074平方米；公厕保洁数量为24座；绿化养护总面积约为329752平方米；</w:t>
      </w:r>
      <w:r>
        <w:rPr>
          <w:rFonts w:hint="eastAsia" w:ascii="Times New Roman" w:hAnsi="Times New Roman"/>
          <w:sz w:val="21"/>
          <w:szCs w:val="21"/>
        </w:rPr>
        <w:t>公园绿地专项巡视面积约为104606平方米</w:t>
      </w:r>
      <w:r>
        <w:rPr>
          <w:rFonts w:hint="eastAsia" w:ascii="Times New Roman" w:hAnsi="Times New Roman" w:cs="宋体"/>
          <w:kern w:val="2"/>
          <w:sz w:val="21"/>
          <w:szCs w:val="21"/>
        </w:rPr>
        <w:t>。详见采购文件“第五部分 采购内容及要求”。</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hint="eastAsia" w:ascii="Times New Roman" w:hAnsi="Times New Roman" w:cs="宋体"/>
          <w:kern w:val="2"/>
          <w:sz w:val="21"/>
          <w:szCs w:val="21"/>
        </w:rPr>
        <w:t>备注：各项内容综合单价最高限价详见采购文件第五部分。</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ascii="Times New Roman" w:hAnsi="Times New Roman" w:cs="宋体"/>
          <w:kern w:val="2"/>
          <w:sz w:val="21"/>
          <w:szCs w:val="21"/>
        </w:rPr>
        <w:t>合同履约期限：</w:t>
      </w:r>
      <w:r>
        <w:rPr>
          <w:rFonts w:hint="eastAsia" w:ascii="Times New Roman" w:hAnsi="Times New Roman" w:cs="宋体"/>
          <w:kern w:val="2"/>
          <w:sz w:val="21"/>
          <w:szCs w:val="21"/>
        </w:rPr>
        <w:t>采用“1+1+1”模式，总期限3年，合同一年一签；第一年合同期限暂定自2</w:t>
      </w:r>
      <w:r>
        <w:rPr>
          <w:rFonts w:ascii="Times New Roman" w:hAnsi="Times New Roman" w:cs="宋体"/>
          <w:kern w:val="2"/>
          <w:sz w:val="21"/>
          <w:szCs w:val="21"/>
        </w:rPr>
        <w:t>022</w:t>
      </w:r>
      <w:r>
        <w:rPr>
          <w:rFonts w:hint="eastAsia" w:ascii="Times New Roman" w:hAnsi="Times New Roman" w:cs="宋体"/>
          <w:kern w:val="2"/>
          <w:sz w:val="21"/>
          <w:szCs w:val="21"/>
        </w:rPr>
        <w:t>年</w:t>
      </w:r>
      <w:r>
        <w:rPr>
          <w:rFonts w:ascii="Times New Roman" w:hAnsi="Times New Roman" w:cs="宋体"/>
          <w:kern w:val="2"/>
          <w:sz w:val="21"/>
          <w:szCs w:val="21"/>
        </w:rPr>
        <w:t>04</w:t>
      </w:r>
      <w:r>
        <w:rPr>
          <w:rFonts w:hint="eastAsia" w:ascii="Times New Roman" w:hAnsi="Times New Roman" w:cs="宋体"/>
          <w:kern w:val="2"/>
          <w:sz w:val="21"/>
          <w:szCs w:val="21"/>
        </w:rPr>
        <w:t>月</w:t>
      </w:r>
      <w:r>
        <w:rPr>
          <w:rFonts w:ascii="Times New Roman" w:hAnsi="Times New Roman" w:cs="宋体"/>
          <w:kern w:val="2"/>
          <w:sz w:val="21"/>
          <w:szCs w:val="21"/>
        </w:rPr>
        <w:t>01</w:t>
      </w:r>
      <w:r>
        <w:rPr>
          <w:rFonts w:hint="eastAsia" w:ascii="Times New Roman" w:hAnsi="Times New Roman" w:cs="宋体"/>
          <w:kern w:val="2"/>
          <w:sz w:val="21"/>
          <w:szCs w:val="21"/>
        </w:rPr>
        <w:t>日起至2</w:t>
      </w:r>
      <w:r>
        <w:rPr>
          <w:rFonts w:ascii="Times New Roman" w:hAnsi="Times New Roman" w:cs="宋体"/>
          <w:kern w:val="2"/>
          <w:sz w:val="21"/>
          <w:szCs w:val="21"/>
        </w:rPr>
        <w:t>023</w:t>
      </w:r>
      <w:r>
        <w:rPr>
          <w:rFonts w:hint="eastAsia" w:ascii="Times New Roman" w:hAnsi="Times New Roman" w:cs="宋体"/>
          <w:kern w:val="2"/>
          <w:sz w:val="21"/>
          <w:szCs w:val="21"/>
        </w:rPr>
        <w:t>年</w:t>
      </w:r>
      <w:r>
        <w:rPr>
          <w:rFonts w:ascii="Times New Roman" w:hAnsi="Times New Roman" w:cs="宋体"/>
          <w:kern w:val="2"/>
          <w:sz w:val="21"/>
          <w:szCs w:val="21"/>
        </w:rPr>
        <w:t>03</w:t>
      </w:r>
      <w:r>
        <w:rPr>
          <w:rFonts w:hint="eastAsia" w:ascii="Times New Roman" w:hAnsi="Times New Roman" w:cs="宋体"/>
          <w:kern w:val="2"/>
          <w:sz w:val="21"/>
          <w:szCs w:val="21"/>
        </w:rPr>
        <w:t>月</w:t>
      </w:r>
      <w:r>
        <w:rPr>
          <w:rFonts w:ascii="Times New Roman" w:hAnsi="Times New Roman" w:cs="宋体"/>
          <w:kern w:val="2"/>
          <w:sz w:val="21"/>
          <w:szCs w:val="21"/>
        </w:rPr>
        <w:t>31</w:t>
      </w:r>
      <w:r>
        <w:rPr>
          <w:rFonts w:hint="eastAsia" w:ascii="Times New Roman" w:hAnsi="Times New Roman" w:cs="宋体"/>
          <w:kern w:val="2"/>
          <w:sz w:val="21"/>
          <w:szCs w:val="21"/>
        </w:rPr>
        <w:t>日止，后两年由采购人根据中标人在上一年度合同履约、养护考核等情况及财政资金审批情况决定是否续签（若因政策调整、养护模式调整等原因需要重新进行招标的，采购人有权单方面终止合同）。</w:t>
      </w:r>
    </w:p>
    <w:p>
      <w:pPr>
        <w:pStyle w:val="45"/>
        <w:spacing w:before="0" w:beforeAutospacing="0" w:after="0" w:afterAutospacing="0" w:line="400" w:lineRule="exact"/>
        <w:ind w:firstLine="420" w:firstLineChars="200"/>
        <w:contextualSpacing/>
        <w:rPr>
          <w:rFonts w:ascii="Times New Roman" w:hAnsi="Times New Roman" w:cs="宋体"/>
          <w:kern w:val="2"/>
          <w:sz w:val="21"/>
          <w:szCs w:val="21"/>
        </w:rPr>
      </w:pPr>
      <w:r>
        <w:rPr>
          <w:rFonts w:ascii="Times New Roman" w:hAnsi="Times New Roman" w:cs="宋体"/>
          <w:kern w:val="2"/>
          <w:sz w:val="21"/>
          <w:szCs w:val="21"/>
        </w:rPr>
        <w:t> 本项目</w:t>
      </w:r>
      <w:r>
        <w:rPr>
          <w:rFonts w:hint="eastAsia" w:ascii="Times New Roman" w:hAnsi="Times New Roman" w:cs="宋体"/>
          <w:kern w:val="2"/>
          <w:sz w:val="21"/>
          <w:szCs w:val="21"/>
          <w:u w:val="single"/>
        </w:rPr>
        <w:t>不</w:t>
      </w:r>
      <w:r>
        <w:rPr>
          <w:rFonts w:ascii="Times New Roman" w:hAnsi="Times New Roman" w:cs="宋体"/>
          <w:kern w:val="2"/>
          <w:sz w:val="21"/>
          <w:szCs w:val="21"/>
          <w:u w:val="single"/>
        </w:rPr>
        <w:t>接受</w:t>
      </w:r>
      <w:r>
        <w:rPr>
          <w:rFonts w:ascii="Times New Roman" w:hAnsi="Times New Roman" w:cs="宋体"/>
          <w:kern w:val="2"/>
          <w:sz w:val="21"/>
          <w:szCs w:val="21"/>
        </w:rPr>
        <w:t>联合体投标。</w:t>
      </w:r>
    </w:p>
    <w:p>
      <w:pPr>
        <w:widowControl/>
        <w:spacing w:line="400" w:lineRule="exact"/>
        <w:contextualSpacing/>
        <w:jc w:val="left"/>
        <w:rPr>
          <w:rFonts w:cs="宋体"/>
          <w:szCs w:val="21"/>
        </w:rPr>
      </w:pPr>
      <w:r>
        <w:rPr>
          <w:rFonts w:hint="eastAsia" w:cs="宋体"/>
          <w:b/>
          <w:bCs/>
          <w:szCs w:val="21"/>
        </w:rPr>
        <w:t>二、申请人的资格要求：</w:t>
      </w:r>
    </w:p>
    <w:p>
      <w:pPr>
        <w:widowControl/>
        <w:spacing w:line="400" w:lineRule="exact"/>
        <w:ind w:firstLine="420" w:firstLineChars="200"/>
        <w:contextualSpacing/>
        <w:rPr>
          <w:rFonts w:cs="宋体"/>
          <w:szCs w:val="21"/>
        </w:rPr>
      </w:pPr>
      <w:r>
        <w:rPr>
          <w:rFonts w:cs="宋体"/>
          <w:szCs w:val="21"/>
        </w:rPr>
        <w:t>1</w:t>
      </w:r>
      <w:r>
        <w:rPr>
          <w:rFonts w:hint="eastAsia" w:cs="宋体"/>
          <w:szCs w:val="21"/>
        </w:rPr>
        <w:t>、</w:t>
      </w:r>
      <w:r>
        <w:rPr>
          <w:rFonts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00" w:lineRule="exact"/>
        <w:ind w:firstLine="420" w:firstLineChars="200"/>
        <w:contextualSpacing/>
        <w:rPr>
          <w:rFonts w:cs="宋体"/>
          <w:szCs w:val="21"/>
        </w:rPr>
      </w:pPr>
      <w:r>
        <w:rPr>
          <w:rFonts w:cs="宋体"/>
          <w:szCs w:val="21"/>
        </w:rPr>
        <w:t>2</w:t>
      </w:r>
      <w:r>
        <w:rPr>
          <w:rFonts w:hint="eastAsia" w:cs="宋体"/>
          <w:szCs w:val="21"/>
        </w:rPr>
        <w:t>、</w:t>
      </w:r>
      <w:r>
        <w:rPr>
          <w:rFonts w:cs="宋体"/>
          <w:szCs w:val="21"/>
        </w:rPr>
        <w:t>落实政府采购政策需满足的资格要求：无</w:t>
      </w:r>
    </w:p>
    <w:p>
      <w:pPr>
        <w:widowControl/>
        <w:spacing w:line="400" w:lineRule="exact"/>
        <w:ind w:firstLine="420" w:firstLineChars="200"/>
        <w:contextualSpacing/>
        <w:rPr>
          <w:rFonts w:cs="宋体"/>
          <w:szCs w:val="21"/>
        </w:rPr>
      </w:pPr>
      <w:r>
        <w:rPr>
          <w:rFonts w:cs="宋体"/>
          <w:szCs w:val="21"/>
        </w:rPr>
        <w:t>3</w:t>
      </w:r>
      <w:r>
        <w:rPr>
          <w:rFonts w:hint="eastAsia" w:cs="宋体"/>
          <w:szCs w:val="21"/>
        </w:rPr>
        <w:t>、</w:t>
      </w:r>
      <w:r>
        <w:rPr>
          <w:rFonts w:cs="宋体"/>
          <w:szCs w:val="21"/>
        </w:rPr>
        <w:t>本项目的特定资格要求：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400" w:lineRule="exact"/>
        <w:contextualSpacing/>
        <w:rPr>
          <w:rFonts w:cs="宋体"/>
          <w:szCs w:val="21"/>
        </w:rPr>
      </w:pPr>
      <w:r>
        <w:rPr>
          <w:rFonts w:hint="eastAsia" w:cs="宋体"/>
          <w:b/>
          <w:bCs/>
          <w:szCs w:val="21"/>
        </w:rPr>
        <w:t>三、获取招标文件</w:t>
      </w:r>
      <w:r>
        <w:rPr>
          <w:rFonts w:hint="eastAsia" w:cs="宋体"/>
          <w:szCs w:val="21"/>
        </w:rPr>
        <w:t> </w:t>
      </w:r>
    </w:p>
    <w:p>
      <w:pPr>
        <w:widowControl/>
        <w:spacing w:line="400" w:lineRule="exact"/>
        <w:ind w:firstLine="420" w:firstLineChars="200"/>
        <w:contextualSpacing/>
        <w:rPr>
          <w:rFonts w:hint="eastAsia" w:cs="宋体"/>
          <w:szCs w:val="21"/>
        </w:rPr>
      </w:pPr>
      <w:r>
        <w:rPr>
          <w:rFonts w:cs="宋体"/>
          <w:szCs w:val="21"/>
        </w:rPr>
        <w:t>时间：2022年</w:t>
      </w:r>
      <w:r>
        <w:rPr>
          <w:rFonts w:hint="eastAsia" w:cs="宋体"/>
          <w:szCs w:val="21"/>
        </w:rPr>
        <w:t>03月</w:t>
      </w:r>
      <w:r>
        <w:rPr>
          <w:rFonts w:cs="宋体"/>
          <w:szCs w:val="21"/>
        </w:rPr>
        <w:t>04日至20</w:t>
      </w:r>
      <w:r>
        <w:rPr>
          <w:rFonts w:hint="eastAsia" w:cs="宋体"/>
          <w:szCs w:val="21"/>
        </w:rPr>
        <w:t>22</w:t>
      </w:r>
      <w:r>
        <w:rPr>
          <w:rFonts w:cs="宋体"/>
          <w:szCs w:val="21"/>
        </w:rPr>
        <w:t>年</w:t>
      </w:r>
      <w:r>
        <w:rPr>
          <w:rFonts w:hint="eastAsia" w:cs="宋体"/>
          <w:szCs w:val="21"/>
        </w:rPr>
        <w:t>03月</w:t>
      </w:r>
      <w:r>
        <w:rPr>
          <w:rFonts w:cs="宋体"/>
          <w:szCs w:val="21"/>
        </w:rPr>
        <w:t>11日，每天上午00:00至12:00 ，下午12:00至23:59（北京时间，线上获取法定节假日均可，线下获取文件法定节假日除外）</w:t>
      </w:r>
    </w:p>
    <w:p>
      <w:pPr>
        <w:widowControl/>
        <w:spacing w:line="400" w:lineRule="exact"/>
        <w:ind w:firstLine="420" w:firstLineChars="200"/>
        <w:contextualSpacing/>
        <w:rPr>
          <w:rFonts w:cs="宋体"/>
          <w:szCs w:val="21"/>
        </w:rPr>
      </w:pPr>
      <w:r>
        <w:rPr>
          <w:rFonts w:cs="宋体"/>
          <w:szCs w:val="21"/>
        </w:rPr>
        <w:t>地点（网址）：政采云平台</w:t>
      </w:r>
    </w:p>
    <w:p>
      <w:pPr>
        <w:widowControl/>
        <w:spacing w:line="400" w:lineRule="exact"/>
        <w:ind w:firstLine="420" w:firstLineChars="200"/>
        <w:contextualSpacing/>
        <w:rPr>
          <w:rFonts w:cs="宋体"/>
          <w:szCs w:val="21"/>
        </w:rPr>
      </w:pPr>
      <w:r>
        <w:rPr>
          <w:rFonts w:cs="宋体"/>
          <w:szCs w:val="21"/>
        </w:rPr>
        <w:t>方式：自行下载 </w:t>
      </w:r>
    </w:p>
    <w:p>
      <w:pPr>
        <w:widowControl/>
        <w:spacing w:line="400" w:lineRule="exact"/>
        <w:ind w:firstLine="420" w:firstLineChars="200"/>
        <w:contextualSpacing/>
        <w:rPr>
          <w:rFonts w:cs="宋体"/>
          <w:szCs w:val="21"/>
        </w:rPr>
      </w:pPr>
      <w:r>
        <w:rPr>
          <w:rFonts w:cs="宋体"/>
          <w:szCs w:val="21"/>
        </w:rPr>
        <w:t>售价（元）：0 </w:t>
      </w:r>
    </w:p>
    <w:p>
      <w:pPr>
        <w:widowControl/>
        <w:spacing w:line="400" w:lineRule="exact"/>
        <w:contextualSpacing/>
        <w:rPr>
          <w:rFonts w:cs="宋体"/>
          <w:szCs w:val="21"/>
        </w:rPr>
      </w:pPr>
      <w:r>
        <w:rPr>
          <w:rFonts w:hint="eastAsia" w:cs="宋体"/>
          <w:b/>
          <w:bCs/>
          <w:szCs w:val="21"/>
        </w:rPr>
        <w:t>四、提交投标文件截止时间、开标时间和地点</w:t>
      </w:r>
    </w:p>
    <w:p>
      <w:pPr>
        <w:widowControl/>
        <w:spacing w:line="400" w:lineRule="exact"/>
        <w:ind w:firstLine="420" w:firstLineChars="200"/>
        <w:contextualSpacing/>
        <w:rPr>
          <w:rFonts w:hint="eastAsia" w:cs="宋体"/>
          <w:szCs w:val="21"/>
        </w:rPr>
      </w:pPr>
      <w:r>
        <w:rPr>
          <w:rFonts w:cs="宋体"/>
          <w:szCs w:val="21"/>
        </w:rPr>
        <w:t>提交投标文件截止时间：20</w:t>
      </w:r>
      <w:r>
        <w:rPr>
          <w:rFonts w:hint="eastAsia" w:cs="宋体"/>
          <w:szCs w:val="21"/>
        </w:rPr>
        <w:t>22</w:t>
      </w:r>
      <w:r>
        <w:rPr>
          <w:rFonts w:cs="宋体"/>
          <w:szCs w:val="21"/>
        </w:rPr>
        <w:t>年</w:t>
      </w:r>
      <w:r>
        <w:rPr>
          <w:rFonts w:hint="eastAsia" w:cs="宋体"/>
          <w:szCs w:val="21"/>
        </w:rPr>
        <w:t>03</w:t>
      </w:r>
      <w:r>
        <w:rPr>
          <w:rFonts w:cs="宋体"/>
          <w:szCs w:val="21"/>
        </w:rPr>
        <w:t>月25日</w:t>
      </w:r>
      <w:r>
        <w:rPr>
          <w:rFonts w:hint="eastAsia" w:cs="宋体"/>
          <w:szCs w:val="21"/>
        </w:rPr>
        <w:t>09:30</w:t>
      </w:r>
      <w:r>
        <w:rPr>
          <w:rFonts w:cs="宋体"/>
          <w:szCs w:val="21"/>
        </w:rPr>
        <w:t>（北京时间）</w:t>
      </w:r>
    </w:p>
    <w:p>
      <w:pPr>
        <w:widowControl/>
        <w:spacing w:line="400" w:lineRule="exact"/>
        <w:ind w:firstLine="420" w:firstLineChars="200"/>
        <w:contextualSpacing/>
        <w:rPr>
          <w:rFonts w:cs="宋体"/>
          <w:szCs w:val="21"/>
        </w:rPr>
      </w:pPr>
      <w:r>
        <w:rPr>
          <w:rFonts w:cs="宋体"/>
          <w:szCs w:val="21"/>
        </w:rPr>
        <w:t>投标地点（网址）：宁波市鄞州区公共资源交易中心（鄞州区蕙江路567号（鄞州区妇儿医院对面）鄞州区行政服务中心五楼，具体受理场所详见当日电子指示屏） </w:t>
      </w:r>
    </w:p>
    <w:p>
      <w:pPr>
        <w:widowControl/>
        <w:spacing w:line="400" w:lineRule="exact"/>
        <w:ind w:firstLine="420" w:firstLineChars="200"/>
        <w:contextualSpacing/>
        <w:rPr>
          <w:rFonts w:cs="宋体"/>
          <w:szCs w:val="21"/>
        </w:rPr>
      </w:pPr>
      <w:r>
        <w:rPr>
          <w:rFonts w:cs="宋体"/>
          <w:szCs w:val="21"/>
        </w:rPr>
        <w:t>开标时间：20</w:t>
      </w:r>
      <w:r>
        <w:rPr>
          <w:rFonts w:hint="eastAsia" w:cs="宋体"/>
          <w:szCs w:val="21"/>
        </w:rPr>
        <w:t>22</w:t>
      </w:r>
      <w:r>
        <w:rPr>
          <w:rFonts w:cs="宋体"/>
          <w:szCs w:val="21"/>
        </w:rPr>
        <w:t>年</w:t>
      </w:r>
      <w:r>
        <w:rPr>
          <w:rFonts w:hint="eastAsia" w:cs="宋体"/>
          <w:szCs w:val="21"/>
        </w:rPr>
        <w:t>03月</w:t>
      </w:r>
      <w:r>
        <w:rPr>
          <w:rFonts w:cs="宋体"/>
          <w:szCs w:val="21"/>
        </w:rPr>
        <w:t xml:space="preserve">25日 </w:t>
      </w:r>
      <w:r>
        <w:rPr>
          <w:rFonts w:hint="eastAsia" w:cs="宋体"/>
          <w:szCs w:val="21"/>
        </w:rPr>
        <w:t>09:30</w:t>
      </w:r>
      <w:r>
        <w:rPr>
          <w:rFonts w:cs="宋体"/>
          <w:szCs w:val="21"/>
        </w:rPr>
        <w:t>（北京时间）</w:t>
      </w:r>
    </w:p>
    <w:p>
      <w:pPr>
        <w:widowControl/>
        <w:spacing w:line="400" w:lineRule="exact"/>
        <w:ind w:firstLine="420" w:firstLineChars="200"/>
        <w:contextualSpacing/>
        <w:rPr>
          <w:rFonts w:cs="宋体"/>
          <w:szCs w:val="21"/>
        </w:rPr>
      </w:pPr>
      <w:r>
        <w:rPr>
          <w:rFonts w:cs="宋体"/>
          <w:szCs w:val="21"/>
        </w:rPr>
        <w:t>开标地点（网址）：宁波市鄞州区公共资源交易中心（鄞州区蕙江路567号（鄞州区妇儿医院对面）鄞州区行政服务中心五楼，具体受理场所详见当日电子指示屏）  </w:t>
      </w:r>
    </w:p>
    <w:p>
      <w:pPr>
        <w:widowControl/>
        <w:spacing w:line="400" w:lineRule="exact"/>
        <w:contextualSpacing/>
        <w:rPr>
          <w:rFonts w:cs="宋体"/>
          <w:szCs w:val="21"/>
        </w:rPr>
      </w:pPr>
      <w:r>
        <w:rPr>
          <w:rFonts w:hint="eastAsia" w:cs="宋体"/>
          <w:b/>
          <w:bCs/>
          <w:szCs w:val="21"/>
        </w:rPr>
        <w:t>五、公告期限</w:t>
      </w:r>
      <w:r>
        <w:rPr>
          <w:rFonts w:hint="eastAsia" w:cs="宋体"/>
          <w:szCs w:val="21"/>
        </w:rPr>
        <w:t> </w:t>
      </w:r>
    </w:p>
    <w:p>
      <w:pPr>
        <w:widowControl/>
        <w:spacing w:line="400" w:lineRule="exact"/>
        <w:ind w:firstLine="420" w:firstLineChars="200"/>
        <w:contextualSpacing/>
        <w:jc w:val="left"/>
        <w:rPr>
          <w:rFonts w:hint="eastAsia" w:cs="宋体"/>
          <w:szCs w:val="21"/>
        </w:rPr>
      </w:pPr>
      <w:r>
        <w:rPr>
          <w:rFonts w:cs="宋体"/>
          <w:szCs w:val="21"/>
        </w:rPr>
        <w:t>自本公告发布之日起5个工作日。</w:t>
      </w:r>
    </w:p>
    <w:p>
      <w:pPr>
        <w:widowControl/>
        <w:spacing w:line="400" w:lineRule="exact"/>
        <w:contextualSpacing/>
        <w:rPr>
          <w:rFonts w:hint="eastAsia" w:cs="宋体"/>
          <w:szCs w:val="21"/>
        </w:rPr>
      </w:pPr>
      <w:r>
        <w:rPr>
          <w:rFonts w:hint="eastAsia" w:cs="宋体"/>
          <w:b/>
          <w:bCs/>
          <w:szCs w:val="21"/>
        </w:rPr>
        <w:t>六、其他补充事宜</w:t>
      </w:r>
    </w:p>
    <w:p>
      <w:pPr>
        <w:widowControl/>
        <w:spacing w:line="400" w:lineRule="exact"/>
        <w:ind w:firstLine="420" w:firstLineChars="200"/>
        <w:contextualSpacing/>
        <w:rPr>
          <w:rFonts w:hint="eastAsia" w:cs="宋体"/>
          <w:szCs w:val="21"/>
        </w:rPr>
      </w:pPr>
      <w:r>
        <w:rPr>
          <w:rFonts w:cs="宋体"/>
          <w:szCs w:val="21"/>
        </w:rPr>
        <w:t>1</w:t>
      </w:r>
      <w:r>
        <w:rPr>
          <w:rFonts w:hint="eastAsia" w:cs="宋体"/>
          <w:szCs w:val="21"/>
        </w:rPr>
        <w:t>、</w:t>
      </w:r>
      <w:r>
        <w:rPr>
          <w:rFonts w:cs="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00" w:lineRule="exact"/>
        <w:ind w:firstLine="420" w:firstLineChars="200"/>
        <w:contextualSpacing/>
        <w:rPr>
          <w:rFonts w:hint="eastAsia" w:cs="宋体"/>
          <w:szCs w:val="21"/>
        </w:rPr>
      </w:pPr>
      <w:r>
        <w:rPr>
          <w:rFonts w:cs="宋体"/>
          <w:szCs w:val="21"/>
        </w:rPr>
        <w:t>2</w:t>
      </w:r>
      <w:r>
        <w:rPr>
          <w:rFonts w:hint="eastAsia" w:cs="宋体"/>
          <w:szCs w:val="21"/>
        </w:rPr>
        <w:t>、</w:t>
      </w:r>
      <w:r>
        <w:rPr>
          <w:rFonts w:cs="宋体"/>
          <w:szCs w:val="21"/>
        </w:rPr>
        <w:t>其他事项：</w:t>
      </w:r>
    </w:p>
    <w:p>
      <w:pPr>
        <w:widowControl/>
        <w:spacing w:line="400" w:lineRule="exact"/>
        <w:ind w:firstLine="420" w:firstLineChars="200"/>
        <w:contextualSpacing/>
        <w:rPr>
          <w:rFonts w:hint="eastAsia" w:cs="宋体"/>
          <w:szCs w:val="21"/>
        </w:rPr>
      </w:pPr>
      <w:r>
        <w:rPr>
          <w:rFonts w:hint="eastAsia" w:cs="宋体"/>
          <w:szCs w:val="21"/>
        </w:rPr>
        <w:t>2.</w:t>
      </w:r>
      <w:r>
        <w:rPr>
          <w:rFonts w:cs="宋体"/>
          <w:szCs w:val="21"/>
        </w:rPr>
        <w:t>1落实的政策：《关于促进残疾人就业政府采购政策的通知》（财库[2018]141号）、《</w:t>
      </w:r>
      <w:r>
        <w:rPr>
          <w:rFonts w:hint="eastAsia" w:cs="宋体"/>
          <w:szCs w:val="21"/>
        </w:rPr>
        <w:t>政府采购促进中小企业发展管理办法</w:t>
      </w:r>
      <w:r>
        <w:rPr>
          <w:rFonts w:cs="宋体"/>
          <w:szCs w:val="21"/>
        </w:rPr>
        <w:t>》</w:t>
      </w:r>
      <w:r>
        <w:rPr>
          <w:rFonts w:hint="eastAsia" w:cs="宋体"/>
          <w:szCs w:val="21"/>
        </w:rPr>
        <w:t>财库〔2020〕46号</w:t>
      </w:r>
      <w:r>
        <w:rPr>
          <w:rFonts w:cs="宋体"/>
          <w:szCs w:val="21"/>
        </w:rPr>
        <w:t>、《关于政府采购支持监狱企业发展有关问题的通知》（财库[2014]68号）、《关于调整优化节能产品、环境标志产品政府采购执行机制的通知》（财库〔2019〕9号）。</w:t>
      </w:r>
    </w:p>
    <w:p>
      <w:pPr>
        <w:widowControl/>
        <w:spacing w:line="400" w:lineRule="exact"/>
        <w:ind w:firstLine="420" w:firstLineChars="200"/>
        <w:contextualSpacing/>
        <w:rPr>
          <w:rFonts w:hint="eastAsia" w:cs="宋体"/>
          <w:szCs w:val="21"/>
        </w:rPr>
      </w:pPr>
      <w:r>
        <w:rPr>
          <w:rFonts w:hint="eastAsia" w:cs="宋体"/>
          <w:szCs w:val="21"/>
        </w:rPr>
        <w:t>2.</w:t>
      </w:r>
      <w:r>
        <w:rPr>
          <w:rFonts w:cs="宋体"/>
          <w:szCs w:val="21"/>
        </w:rPr>
        <w:t>2投标与开标注意事项：</w:t>
      </w:r>
    </w:p>
    <w:p>
      <w:pPr>
        <w:widowControl/>
        <w:spacing w:line="400" w:lineRule="exact"/>
        <w:ind w:firstLine="420" w:firstLineChars="200"/>
        <w:contextualSpacing/>
        <w:rPr>
          <w:rFonts w:hint="eastAsia" w:cs="宋体"/>
          <w:szCs w:val="21"/>
        </w:rPr>
      </w:pPr>
      <w:r>
        <w:rPr>
          <w:rFonts w:hint="eastAsia" w:cs="宋体"/>
          <w:szCs w:val="21"/>
        </w:rPr>
        <w:t>（1）</w:t>
      </w:r>
      <w:r>
        <w:rPr>
          <w:rFonts w:cs="宋体"/>
          <w:szCs w:val="21"/>
        </w:rPr>
        <w:t xml:space="preserve">本项目实行网上投标，采用电子投标文件。若供应商参与投标，自行承担投标一切费用。 </w:t>
      </w:r>
    </w:p>
    <w:p>
      <w:pPr>
        <w:widowControl/>
        <w:spacing w:line="400" w:lineRule="exact"/>
        <w:ind w:firstLine="420" w:firstLineChars="200"/>
        <w:contextualSpacing/>
        <w:rPr>
          <w:rFonts w:hint="eastAsia" w:cs="宋体"/>
          <w:szCs w:val="21"/>
        </w:rPr>
      </w:pPr>
      <w:r>
        <w:rPr>
          <w:rFonts w:hint="eastAsia" w:cs="宋体"/>
          <w:szCs w:val="21"/>
        </w:rPr>
        <w:t>（2）</w:t>
      </w:r>
      <w:r>
        <w:rPr>
          <w:rFonts w:cs="宋体"/>
          <w:szCs w:val="21"/>
        </w:rPr>
        <w:t xml:space="preserve">标前准备：各供应商应在开标前确保成为浙江政府采购网正式注册入库供应商，并完成CA数字证书办理。因未注册入库、未办理CA数字证书等原因造成无法投标或投标失败等后果由供应商自行承担。 </w:t>
      </w:r>
    </w:p>
    <w:p>
      <w:pPr>
        <w:widowControl/>
        <w:spacing w:line="400" w:lineRule="exact"/>
        <w:ind w:firstLine="420" w:firstLineChars="200"/>
        <w:contextualSpacing/>
        <w:rPr>
          <w:rFonts w:hint="eastAsia" w:cs="宋体"/>
          <w:szCs w:val="21"/>
        </w:rPr>
      </w:pPr>
      <w:r>
        <w:rPr>
          <w:rFonts w:hint="eastAsia" w:cs="宋体"/>
          <w:szCs w:val="21"/>
        </w:rPr>
        <w:t>（3）</w:t>
      </w:r>
      <w:r>
        <w:rPr>
          <w:rFonts w:cs="宋体"/>
          <w:szCs w:val="21"/>
        </w:rPr>
        <w:t>投标文件制作：</w:t>
      </w:r>
      <w:r>
        <w:rPr>
          <w:rFonts w:hint="eastAsia" w:cs="宋体"/>
          <w:szCs w:val="21"/>
        </w:rPr>
        <w:t>①</w:t>
      </w:r>
      <w:r>
        <w:rPr>
          <w:rFonts w:cs="宋体"/>
          <w:szCs w:val="21"/>
        </w:rPr>
        <w:t xml:space="preserve">应按照本项目招标文件和政府采购云平台的要求编制、加密并递交投标文件。供应商在使用系统进行投标的过程中遇到涉及平台使用的任何问题，可致电政府采购云平台技术支持热线咨询，联系方式：4008817190。 </w:t>
      </w:r>
      <w:r>
        <w:rPr>
          <w:rFonts w:hint="eastAsia" w:cs="宋体"/>
          <w:szCs w:val="21"/>
        </w:rPr>
        <w:t>②</w:t>
      </w:r>
      <w:r>
        <w:rPr>
          <w:rFonts w:cs="宋体"/>
          <w:szCs w:val="21"/>
        </w:rPr>
        <w:t>供应商通过政府采购云平台电子投标工具制作投标文件，电子投标工具请供应商自行前往浙江政府采购网下载并安装，投标文件制作具体流程详见政府采购云平台。</w:t>
      </w:r>
      <w:r>
        <w:rPr>
          <w:rFonts w:hint="eastAsia" w:cs="宋体"/>
          <w:szCs w:val="21"/>
        </w:rPr>
        <w:t>③</w:t>
      </w:r>
      <w:r>
        <w:rPr>
          <w:rFonts w:cs="宋体"/>
          <w:szCs w:val="21"/>
        </w:rPr>
        <w:t xml:space="preserve">以U盘存储的电子备份投标文件1份，按政府采购云平台要求制作的电子备份文件，以用于异常情况处理。 </w:t>
      </w:r>
    </w:p>
    <w:p>
      <w:pPr>
        <w:widowControl/>
        <w:spacing w:line="400" w:lineRule="exact"/>
        <w:ind w:firstLine="420" w:firstLineChars="200"/>
        <w:contextualSpacing/>
        <w:rPr>
          <w:rFonts w:hint="eastAsia" w:cs="宋体"/>
          <w:szCs w:val="21"/>
        </w:rPr>
      </w:pPr>
      <w:r>
        <w:rPr>
          <w:rFonts w:hint="eastAsia" w:cs="宋体"/>
          <w:szCs w:val="21"/>
        </w:rPr>
        <w:t>（</w:t>
      </w:r>
      <w:r>
        <w:rPr>
          <w:rFonts w:cs="宋体"/>
          <w:szCs w:val="21"/>
        </w:rPr>
        <w:t>4</w:t>
      </w:r>
      <w:r>
        <w:rPr>
          <w:rFonts w:hint="eastAsia" w:cs="宋体"/>
          <w:szCs w:val="21"/>
        </w:rPr>
        <w:t>）</w:t>
      </w:r>
      <w:r>
        <w:rPr>
          <w:rFonts w:cs="宋体"/>
          <w:szCs w:val="21"/>
        </w:rPr>
        <w:t xml:space="preserve">本招标公告附件中的招标文件仅供阅览使用，供应商应在规定的招标文件获取期限内在政采云平台登录供应商注册的账号后获取招标文件，未按上述方式获取招标文件的，不得对招标文件提起质疑投诉。 </w:t>
      </w:r>
    </w:p>
    <w:p>
      <w:pPr>
        <w:widowControl/>
        <w:spacing w:line="400" w:lineRule="exact"/>
        <w:ind w:firstLine="420" w:firstLineChars="200"/>
        <w:contextualSpacing/>
        <w:rPr>
          <w:rFonts w:hint="eastAsia" w:cs="宋体"/>
          <w:szCs w:val="21"/>
        </w:rPr>
      </w:pPr>
      <w:r>
        <w:rPr>
          <w:rFonts w:hint="eastAsia" w:cs="宋体"/>
          <w:szCs w:val="21"/>
        </w:rPr>
        <w:t>（</w:t>
      </w:r>
      <w:r>
        <w:rPr>
          <w:rFonts w:cs="宋体"/>
          <w:szCs w:val="21"/>
        </w:rPr>
        <w:t>5</w:t>
      </w:r>
      <w:r>
        <w:rPr>
          <w:rFonts w:hint="eastAsia" w:cs="宋体"/>
          <w:szCs w:val="21"/>
        </w:rPr>
        <w:t>）</w:t>
      </w:r>
      <w:r>
        <w:rPr>
          <w:rFonts w:cs="宋体"/>
          <w:szCs w:val="21"/>
        </w:rPr>
        <w:t xml:space="preserve">供应商应于投标截止时间前将电子投标文件上传到政府采购云平台www.zcygov.cn，未上传电子投标文件，视为供应商放弃投标。 </w:t>
      </w:r>
    </w:p>
    <w:p>
      <w:pPr>
        <w:widowControl/>
        <w:spacing w:line="400" w:lineRule="exact"/>
        <w:ind w:firstLine="420" w:firstLineChars="200"/>
        <w:contextualSpacing/>
        <w:rPr>
          <w:rFonts w:hint="eastAsia" w:cs="宋体"/>
          <w:szCs w:val="21"/>
        </w:rPr>
      </w:pPr>
      <w:r>
        <w:rPr>
          <w:rFonts w:hint="eastAsia" w:cs="宋体"/>
          <w:szCs w:val="21"/>
        </w:rPr>
        <w:t>（</w:t>
      </w:r>
      <w:r>
        <w:rPr>
          <w:rFonts w:cs="宋体"/>
          <w:szCs w:val="21"/>
        </w:rPr>
        <w:t>6</w:t>
      </w:r>
      <w:r>
        <w:rPr>
          <w:rFonts w:hint="eastAsia" w:cs="宋体"/>
          <w:szCs w:val="21"/>
        </w:rPr>
        <w:t>）</w:t>
      </w:r>
      <w:r>
        <w:rPr>
          <w:rFonts w:cs="宋体"/>
          <w:szCs w:val="21"/>
        </w:rPr>
        <w:t>供应商如提供备份投标文件的，应于提交投标文件截止时间前，将以U盘存储的电子备份投标文件密封，递交至</w:t>
      </w:r>
      <w:r>
        <w:rPr>
          <w:rFonts w:hint="eastAsia" w:cs="Arial"/>
          <w:szCs w:val="21"/>
        </w:rPr>
        <w:t>宁波市鄞州区公共资源交易中心（鄞州区蕙江路567号（鄞州区妇儿医院对面）鄞州区行政服务中心五楼，具体受理场所详见当日电子指示屏）</w:t>
      </w:r>
      <w:r>
        <w:rPr>
          <w:rFonts w:cs="宋体"/>
          <w:szCs w:val="21"/>
        </w:rPr>
        <w:t xml:space="preserve">，逾期送达或未密封将予以拒收。供应商仅提供备份投标文件的，投标无效。 </w:t>
      </w:r>
    </w:p>
    <w:p>
      <w:pPr>
        <w:widowControl/>
        <w:spacing w:line="400" w:lineRule="exact"/>
        <w:ind w:firstLine="420" w:firstLineChars="200"/>
        <w:contextualSpacing/>
        <w:rPr>
          <w:rFonts w:hint="eastAsia" w:cs="宋体"/>
          <w:szCs w:val="21"/>
        </w:rPr>
      </w:pPr>
      <w:r>
        <w:rPr>
          <w:rFonts w:hint="eastAsia" w:cs="宋体"/>
          <w:szCs w:val="21"/>
        </w:rPr>
        <w:t>（7）</w:t>
      </w:r>
      <w:r>
        <w:rPr>
          <w:rFonts w:cs="宋体"/>
          <w:szCs w:val="21"/>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pPr>
        <w:widowControl/>
        <w:spacing w:line="400" w:lineRule="exact"/>
        <w:ind w:firstLine="420" w:firstLineChars="200"/>
        <w:contextualSpacing/>
        <w:rPr>
          <w:rFonts w:cs="宋体"/>
          <w:szCs w:val="21"/>
        </w:rPr>
      </w:pPr>
      <w:r>
        <w:rPr>
          <w:rFonts w:hint="eastAsia" w:cs="宋体"/>
          <w:szCs w:val="21"/>
        </w:rPr>
        <w:t>2.</w:t>
      </w:r>
      <w:r>
        <w:rPr>
          <w:rFonts w:cs="宋体"/>
          <w:szCs w:val="21"/>
        </w:rPr>
        <w:t>3重要提示：参加投标的供应商应于投标前到“浙江政府采购网（http://zfcg.czt.zj.gov.cn/）”上进行供应商注册申请，并通过财政部门的终审后登记加入到“浙江省政府采购供应商库”。 中标或中标人必须注册并登记加入“浙江省政府采购供应商库”。具体要求及注册申请流程详见《浙江省政府采购供应商注册及诚信管理暂行办法》（浙财采监字{2009}28号）和浙江政府采购网“网上办事指南”的“供应商注册申请”。 本次政府采购活动有关信息在“浙江政府采购网（http://zfcg.czt.zj.gov.cn/）”、“宁波市公共资源交易网鄞州区分网（http://bidding.ningbo.gov.cn/yinzhou/）”、“中冠工程管理咨询有限公司网站（www.zhongguanzixun.com）”网站上公布，公布信息视同送达所有潜在竞标人。</w:t>
      </w:r>
    </w:p>
    <w:p>
      <w:pPr>
        <w:widowControl/>
        <w:spacing w:line="400" w:lineRule="exact"/>
        <w:ind w:firstLine="420" w:firstLineChars="200"/>
        <w:contextualSpacing/>
        <w:rPr>
          <w:rFonts w:hint="eastAsia" w:cs="宋体"/>
          <w:szCs w:val="21"/>
        </w:rPr>
      </w:pPr>
      <w:r>
        <w:rPr>
          <w:rFonts w:hint="eastAsia" w:cs="宋体"/>
          <w:szCs w:val="21"/>
        </w:rPr>
        <w:t>2</w:t>
      </w:r>
      <w:r>
        <w:rPr>
          <w:rFonts w:cs="宋体"/>
          <w:szCs w:val="21"/>
        </w:rPr>
        <w:t>.4疫情期间特别提醒事项：</w:t>
      </w:r>
      <w:r>
        <w:rPr>
          <w:rFonts w:hint="eastAsia" w:cs="宋体"/>
          <w:szCs w:val="21"/>
        </w:rPr>
        <w:t>（1）</w:t>
      </w:r>
      <w:r>
        <w:rPr>
          <w:rFonts w:cs="宋体"/>
          <w:szCs w:val="21"/>
        </w:rPr>
        <w:t>疫情防控期间，请投标人遵守各项防疫措施规定。</w:t>
      </w:r>
      <w:r>
        <w:rPr>
          <w:rFonts w:hint="eastAsia" w:cs="宋体"/>
          <w:szCs w:val="21"/>
        </w:rPr>
        <w:t>（</w:t>
      </w:r>
      <w:r>
        <w:rPr>
          <w:rFonts w:cs="宋体"/>
          <w:szCs w:val="21"/>
        </w:rPr>
        <w:t>2</w:t>
      </w:r>
      <w:r>
        <w:rPr>
          <w:rFonts w:hint="eastAsia" w:cs="宋体"/>
          <w:szCs w:val="21"/>
        </w:rPr>
        <w:t>）</w:t>
      </w:r>
      <w:r>
        <w:rPr>
          <w:rFonts w:cs="宋体"/>
          <w:szCs w:val="21"/>
        </w:rPr>
        <w:t>在投标文件提交截止时间当天供应商代表需持绿色“甬行码”、佩戴口罩且体温测量正常后方可进入投标文件开启现场提交投标文件。若供应商因未按上述要求办理而导致无法准时进入开启现场的，由供应商自行负责。投标文件开启过程全程视频监控记录，同时开启微信群视频语音通话方式邀请各供应商参与投标文件开启过程，请供应商在投标文件提交截止时间前告知微信号。</w:t>
      </w:r>
    </w:p>
    <w:p>
      <w:pPr>
        <w:spacing w:line="400" w:lineRule="exact"/>
        <w:contextualSpacing/>
        <w:rPr>
          <w:rFonts w:cs="Arial"/>
          <w:b/>
          <w:bCs/>
          <w:szCs w:val="21"/>
        </w:rPr>
      </w:pPr>
      <w:r>
        <w:rPr>
          <w:rFonts w:hint="eastAsia" w:cs="Arial"/>
          <w:b/>
          <w:bCs/>
          <w:szCs w:val="21"/>
        </w:rPr>
        <w:t>七、对本次招标提出询问，请按以下方式联系。</w:t>
      </w:r>
    </w:p>
    <w:p>
      <w:pPr>
        <w:spacing w:line="400" w:lineRule="exact"/>
        <w:ind w:firstLine="420" w:firstLineChars="200"/>
        <w:contextualSpacing/>
        <w:rPr>
          <w:rFonts w:hint="eastAsia" w:cs="Arial"/>
          <w:szCs w:val="21"/>
        </w:rPr>
      </w:pPr>
      <w:r>
        <w:rPr>
          <w:rFonts w:hint="eastAsia" w:cs="Arial"/>
          <w:szCs w:val="21"/>
        </w:rPr>
        <w:t>1、采购人信息</w:t>
      </w:r>
    </w:p>
    <w:p>
      <w:pPr>
        <w:spacing w:line="400" w:lineRule="exact"/>
        <w:ind w:firstLine="420" w:firstLineChars="200"/>
        <w:contextualSpacing/>
        <w:rPr>
          <w:rFonts w:hint="eastAsia" w:cs="Arial"/>
          <w:szCs w:val="21"/>
        </w:rPr>
      </w:pPr>
      <w:r>
        <w:rPr>
          <w:rFonts w:hint="eastAsia" w:cs="Arial"/>
          <w:szCs w:val="21"/>
        </w:rPr>
        <w:t>名称：宁波市鄞州区五乡镇人民政府</w:t>
      </w:r>
    </w:p>
    <w:p>
      <w:pPr>
        <w:spacing w:line="400" w:lineRule="exact"/>
        <w:ind w:firstLine="420" w:firstLineChars="200"/>
        <w:contextualSpacing/>
        <w:rPr>
          <w:rFonts w:cs="Arial"/>
          <w:szCs w:val="21"/>
        </w:rPr>
      </w:pPr>
      <w:r>
        <w:rPr>
          <w:rFonts w:hint="eastAsia" w:cs="Arial"/>
          <w:szCs w:val="21"/>
        </w:rPr>
        <w:t>地址：</w:t>
      </w:r>
      <w:r>
        <w:rPr>
          <w:rFonts w:hint="eastAsia" w:cs="宋体"/>
          <w:szCs w:val="21"/>
        </w:rPr>
        <w:t>宁波市鄞州区五乡中路857号</w:t>
      </w:r>
    </w:p>
    <w:p>
      <w:pPr>
        <w:spacing w:line="400" w:lineRule="exact"/>
        <w:ind w:firstLine="420" w:firstLineChars="200"/>
        <w:contextualSpacing/>
        <w:rPr>
          <w:rFonts w:hint="eastAsia" w:cs="Arial"/>
          <w:szCs w:val="21"/>
        </w:rPr>
      </w:pPr>
      <w:r>
        <w:rPr>
          <w:rFonts w:hint="eastAsia" w:cs="Arial"/>
          <w:szCs w:val="21"/>
        </w:rPr>
        <w:t>传真：/</w:t>
      </w:r>
    </w:p>
    <w:p>
      <w:pPr>
        <w:spacing w:line="400" w:lineRule="exact"/>
        <w:ind w:firstLine="420" w:firstLineChars="200"/>
        <w:contextualSpacing/>
        <w:rPr>
          <w:rFonts w:hint="eastAsia" w:cs="Arial"/>
          <w:szCs w:val="21"/>
        </w:rPr>
      </w:pPr>
      <w:r>
        <w:rPr>
          <w:rFonts w:hint="eastAsia" w:cs="Arial"/>
          <w:szCs w:val="21"/>
        </w:rPr>
        <w:t>项目联系人（询问）：李老师</w:t>
      </w:r>
    </w:p>
    <w:p>
      <w:pPr>
        <w:spacing w:line="400" w:lineRule="exact"/>
        <w:ind w:firstLine="420" w:firstLineChars="200"/>
        <w:contextualSpacing/>
        <w:rPr>
          <w:szCs w:val="21"/>
        </w:rPr>
      </w:pPr>
      <w:r>
        <w:rPr>
          <w:rFonts w:hint="eastAsia" w:cs="Arial"/>
          <w:szCs w:val="21"/>
        </w:rPr>
        <w:t>项目联系方式（询问）：</w:t>
      </w:r>
      <w:r>
        <w:rPr>
          <w:szCs w:val="21"/>
        </w:rPr>
        <w:t>0574-</w:t>
      </w:r>
      <w:r>
        <w:rPr>
          <w:rFonts w:hint="eastAsia"/>
          <w:szCs w:val="21"/>
        </w:rPr>
        <w:t>88</w:t>
      </w:r>
      <w:r>
        <w:rPr>
          <w:szCs w:val="21"/>
        </w:rPr>
        <w:t>485417</w:t>
      </w:r>
    </w:p>
    <w:p>
      <w:pPr>
        <w:spacing w:line="400" w:lineRule="exact"/>
        <w:ind w:firstLine="420" w:firstLineChars="200"/>
        <w:contextualSpacing/>
        <w:rPr>
          <w:rFonts w:hint="eastAsia" w:cs="Arial"/>
          <w:szCs w:val="21"/>
        </w:rPr>
      </w:pPr>
      <w:r>
        <w:rPr>
          <w:rFonts w:hint="eastAsia" w:cs="Arial"/>
          <w:szCs w:val="21"/>
        </w:rPr>
        <w:t>质疑联系人：梁老师</w:t>
      </w:r>
    </w:p>
    <w:p>
      <w:pPr>
        <w:spacing w:line="400" w:lineRule="exact"/>
        <w:ind w:firstLine="420" w:firstLineChars="200"/>
        <w:contextualSpacing/>
        <w:rPr>
          <w:rFonts w:hint="eastAsia" w:cs="宋体"/>
          <w:szCs w:val="21"/>
        </w:rPr>
      </w:pPr>
      <w:r>
        <w:rPr>
          <w:rFonts w:hint="eastAsia" w:cs="Arial"/>
          <w:szCs w:val="21"/>
        </w:rPr>
        <w:t>质疑联系方式：</w:t>
      </w:r>
      <w:r>
        <w:rPr>
          <w:rFonts w:hint="eastAsia"/>
          <w:szCs w:val="21"/>
        </w:rPr>
        <w:t xml:space="preserve"> </w:t>
      </w:r>
      <w:r>
        <w:rPr>
          <w:szCs w:val="21"/>
        </w:rPr>
        <w:t>0574-</w:t>
      </w:r>
      <w:r>
        <w:rPr>
          <w:rFonts w:hint="eastAsia"/>
          <w:szCs w:val="21"/>
        </w:rPr>
        <w:t>88333220</w:t>
      </w:r>
    </w:p>
    <w:p>
      <w:pPr>
        <w:spacing w:line="400" w:lineRule="exact"/>
        <w:ind w:firstLine="420" w:firstLineChars="200"/>
        <w:contextualSpacing/>
        <w:rPr>
          <w:rFonts w:hint="eastAsia" w:cs="Arial"/>
          <w:szCs w:val="21"/>
        </w:rPr>
      </w:pPr>
      <w:r>
        <w:rPr>
          <w:rFonts w:hint="eastAsia" w:cs="Arial"/>
          <w:szCs w:val="21"/>
        </w:rPr>
        <w:t>2、采购代理机构信息</w:t>
      </w:r>
    </w:p>
    <w:p>
      <w:pPr>
        <w:spacing w:line="400" w:lineRule="exact"/>
        <w:ind w:firstLine="420" w:firstLineChars="200"/>
        <w:contextualSpacing/>
        <w:rPr>
          <w:rFonts w:hint="eastAsia" w:cs="Arial"/>
          <w:szCs w:val="21"/>
        </w:rPr>
      </w:pPr>
      <w:r>
        <w:rPr>
          <w:rFonts w:hint="eastAsia" w:cs="Arial"/>
          <w:szCs w:val="21"/>
        </w:rPr>
        <w:t>名称：中冠工程管理咨询有限公司</w:t>
      </w:r>
    </w:p>
    <w:p>
      <w:pPr>
        <w:spacing w:line="400" w:lineRule="exact"/>
        <w:ind w:firstLine="420" w:firstLineChars="200"/>
        <w:contextualSpacing/>
        <w:rPr>
          <w:rFonts w:hint="eastAsia" w:cs="Arial"/>
          <w:szCs w:val="21"/>
        </w:rPr>
      </w:pPr>
      <w:r>
        <w:rPr>
          <w:rFonts w:hint="eastAsia" w:cs="Arial"/>
          <w:szCs w:val="21"/>
        </w:rPr>
        <w:t>地址：宁波市高新区新晖路</w:t>
      </w:r>
      <w:r>
        <w:rPr>
          <w:rFonts w:cs="Arial"/>
          <w:szCs w:val="21"/>
        </w:rPr>
        <w:t>155</w:t>
      </w:r>
      <w:r>
        <w:rPr>
          <w:rFonts w:hint="eastAsia" w:cs="Arial"/>
          <w:szCs w:val="21"/>
        </w:rPr>
        <w:t>号东城国贸</w:t>
      </w:r>
      <w:r>
        <w:rPr>
          <w:rFonts w:cs="Arial"/>
          <w:szCs w:val="21"/>
        </w:rPr>
        <w:t>18</w:t>
      </w:r>
      <w:r>
        <w:rPr>
          <w:rFonts w:hint="eastAsia" w:cs="Arial"/>
          <w:szCs w:val="21"/>
        </w:rPr>
        <w:t>楼</w:t>
      </w:r>
    </w:p>
    <w:p>
      <w:pPr>
        <w:spacing w:line="400" w:lineRule="exact"/>
        <w:ind w:firstLine="420" w:firstLineChars="200"/>
        <w:contextualSpacing/>
        <w:rPr>
          <w:rFonts w:hint="eastAsia" w:cs="Arial"/>
          <w:szCs w:val="21"/>
        </w:rPr>
      </w:pPr>
      <w:r>
        <w:rPr>
          <w:rFonts w:hint="eastAsia" w:cs="Arial"/>
          <w:szCs w:val="21"/>
        </w:rPr>
        <w:t>传真：</w:t>
      </w:r>
      <w:r>
        <w:rPr>
          <w:rFonts w:cs="Arial"/>
          <w:szCs w:val="21"/>
        </w:rPr>
        <w:t>0574-87355652-818</w:t>
      </w:r>
    </w:p>
    <w:p>
      <w:pPr>
        <w:spacing w:line="400" w:lineRule="exact"/>
        <w:ind w:firstLine="420" w:firstLineChars="200"/>
        <w:contextualSpacing/>
        <w:rPr>
          <w:rFonts w:hint="eastAsia" w:cs="Arial"/>
          <w:szCs w:val="21"/>
        </w:rPr>
      </w:pPr>
      <w:r>
        <w:rPr>
          <w:rFonts w:hint="eastAsia" w:cs="Arial"/>
          <w:szCs w:val="21"/>
        </w:rPr>
        <w:t>项目联系人（询问）：陈傲坤、刘霞</w:t>
      </w:r>
    </w:p>
    <w:p>
      <w:pPr>
        <w:spacing w:line="400" w:lineRule="exact"/>
        <w:ind w:firstLine="420" w:firstLineChars="200"/>
        <w:contextualSpacing/>
        <w:rPr>
          <w:rFonts w:hint="eastAsia" w:cs="Arial"/>
          <w:szCs w:val="21"/>
        </w:rPr>
      </w:pPr>
      <w:r>
        <w:rPr>
          <w:rFonts w:hint="eastAsia" w:cs="Arial"/>
          <w:szCs w:val="21"/>
        </w:rPr>
        <w:t>项目联系方式（询问）：0574-87</w:t>
      </w:r>
      <w:r>
        <w:rPr>
          <w:rFonts w:cs="Arial"/>
          <w:szCs w:val="21"/>
        </w:rPr>
        <w:t>977488</w:t>
      </w:r>
    </w:p>
    <w:p>
      <w:pPr>
        <w:spacing w:line="400" w:lineRule="exact"/>
        <w:ind w:firstLine="420" w:firstLineChars="200"/>
        <w:contextualSpacing/>
        <w:rPr>
          <w:rFonts w:hint="eastAsia" w:cs="Arial"/>
          <w:szCs w:val="21"/>
        </w:rPr>
      </w:pPr>
      <w:r>
        <w:rPr>
          <w:rFonts w:hint="eastAsia" w:cs="Arial"/>
          <w:szCs w:val="21"/>
        </w:rPr>
        <w:t>质疑联系人：唐虹波</w:t>
      </w:r>
    </w:p>
    <w:p>
      <w:pPr>
        <w:spacing w:line="400" w:lineRule="exact"/>
        <w:ind w:firstLine="420" w:firstLineChars="200"/>
        <w:contextualSpacing/>
        <w:rPr>
          <w:rFonts w:hint="eastAsia" w:cs="Arial"/>
          <w:szCs w:val="21"/>
        </w:rPr>
      </w:pPr>
      <w:r>
        <w:rPr>
          <w:rFonts w:hint="eastAsia" w:cs="Arial"/>
          <w:szCs w:val="21"/>
        </w:rPr>
        <w:t>质疑联系方式：0574-87</w:t>
      </w:r>
      <w:r>
        <w:rPr>
          <w:rFonts w:cs="Arial"/>
          <w:szCs w:val="21"/>
        </w:rPr>
        <w:t>977480</w:t>
      </w:r>
    </w:p>
    <w:p>
      <w:pPr>
        <w:spacing w:line="400" w:lineRule="exact"/>
        <w:ind w:firstLine="420" w:firstLineChars="200"/>
        <w:contextualSpacing/>
        <w:rPr>
          <w:rFonts w:hint="eastAsia" w:cs="Arial"/>
          <w:szCs w:val="21"/>
        </w:rPr>
      </w:pPr>
    </w:p>
    <w:p>
      <w:pPr>
        <w:spacing w:line="400" w:lineRule="exact"/>
        <w:ind w:firstLine="420" w:firstLineChars="200"/>
        <w:contextualSpacing/>
        <w:rPr>
          <w:rFonts w:hint="eastAsia" w:cs="Arial"/>
          <w:szCs w:val="21"/>
        </w:rPr>
      </w:pPr>
      <w:r>
        <w:rPr>
          <w:rFonts w:hint="eastAsia" w:cs="Arial"/>
          <w:szCs w:val="21"/>
        </w:rPr>
        <w:t>3、同级政府采购监督管理部门</w:t>
      </w:r>
    </w:p>
    <w:p>
      <w:pPr>
        <w:spacing w:line="400" w:lineRule="exact"/>
        <w:ind w:firstLine="420" w:firstLineChars="200"/>
        <w:contextualSpacing/>
        <w:rPr>
          <w:rFonts w:hint="eastAsia" w:cs="Arial"/>
          <w:szCs w:val="21"/>
        </w:rPr>
      </w:pPr>
      <w:r>
        <w:rPr>
          <w:rFonts w:hint="eastAsia" w:cs="Arial"/>
          <w:szCs w:val="21"/>
        </w:rPr>
        <w:t>名称：宁波市鄞州区政府采购管理办公室</w:t>
      </w:r>
    </w:p>
    <w:p>
      <w:pPr>
        <w:spacing w:line="400" w:lineRule="exact"/>
        <w:ind w:firstLine="420" w:firstLineChars="200"/>
        <w:contextualSpacing/>
        <w:rPr>
          <w:rFonts w:hint="eastAsia" w:cs="Arial"/>
          <w:szCs w:val="21"/>
        </w:rPr>
      </w:pPr>
      <w:r>
        <w:rPr>
          <w:rFonts w:hint="eastAsia" w:cs="Arial"/>
          <w:szCs w:val="21"/>
        </w:rPr>
        <w:t>地址：宁波市鄞州区前河南路16号</w:t>
      </w:r>
    </w:p>
    <w:p>
      <w:pPr>
        <w:spacing w:line="400" w:lineRule="exact"/>
        <w:ind w:firstLine="420" w:firstLineChars="200"/>
        <w:contextualSpacing/>
        <w:rPr>
          <w:rFonts w:hint="eastAsia" w:cs="Arial"/>
          <w:szCs w:val="21"/>
        </w:rPr>
      </w:pPr>
      <w:r>
        <w:rPr>
          <w:rFonts w:hint="eastAsia" w:cs="Arial"/>
          <w:szCs w:val="21"/>
        </w:rPr>
        <w:t>传真：/</w:t>
      </w:r>
    </w:p>
    <w:p>
      <w:pPr>
        <w:spacing w:line="400" w:lineRule="exact"/>
        <w:ind w:firstLine="420" w:firstLineChars="200"/>
        <w:contextualSpacing/>
        <w:rPr>
          <w:rFonts w:hint="eastAsia" w:cs="Arial"/>
          <w:szCs w:val="21"/>
        </w:rPr>
      </w:pPr>
      <w:r>
        <w:rPr>
          <w:rFonts w:hint="eastAsia" w:cs="Arial"/>
          <w:szCs w:val="21"/>
        </w:rPr>
        <w:t>联系人：郑老师</w:t>
      </w:r>
    </w:p>
    <w:p>
      <w:pPr>
        <w:spacing w:line="400" w:lineRule="exact"/>
        <w:ind w:firstLine="420" w:firstLineChars="200"/>
        <w:contextualSpacing/>
        <w:rPr>
          <w:rFonts w:hint="eastAsia" w:cs="Arial"/>
          <w:szCs w:val="21"/>
        </w:rPr>
      </w:pPr>
      <w:r>
        <w:rPr>
          <w:rFonts w:hint="eastAsia" w:cs="Arial"/>
          <w:szCs w:val="21"/>
        </w:rPr>
        <w:t>监督投诉电话：0574-89295894</w:t>
      </w:r>
    </w:p>
    <w:p>
      <w:pPr>
        <w:spacing w:line="400" w:lineRule="exact"/>
        <w:contextualSpacing/>
        <w:rPr>
          <w:rFonts w:hint="eastAsia" w:cs="Arial"/>
          <w:szCs w:val="21"/>
        </w:rPr>
      </w:pPr>
    </w:p>
    <w:p>
      <w:pPr>
        <w:spacing w:line="400" w:lineRule="exact"/>
        <w:ind w:firstLine="420" w:firstLineChars="200"/>
        <w:contextualSpacing/>
        <w:rPr>
          <w:rFonts w:cs="Arial"/>
          <w:szCs w:val="21"/>
        </w:rPr>
      </w:pPr>
      <w:r>
        <w:rPr>
          <w:rFonts w:hint="eastAsia" w:cs="Arial"/>
          <w:szCs w:val="21"/>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420" w:firstLineChars="200"/>
        <w:contextualSpacing/>
        <w:rPr>
          <w:rFonts w:cs="Arial"/>
          <w:szCs w:val="21"/>
        </w:rPr>
      </w:pPr>
      <w:r>
        <w:rPr>
          <w:rFonts w:hint="eastAsia" w:cs="Arial"/>
          <w:szCs w:val="21"/>
        </w:rPr>
        <w:t>CA问题联系电话（人工）：汇信CA400-888-4636；天谷CA400-087-8198。</w:t>
      </w:r>
    </w:p>
    <w:p/>
    <w:p>
      <w:pPr>
        <w:spacing w:line="400" w:lineRule="exact"/>
        <w:contextualSpacing/>
        <w:rPr>
          <w:rFonts w:hint="eastAsia" w:cs="Arial"/>
          <w:szCs w:val="21"/>
        </w:rPr>
      </w:pPr>
    </w:p>
    <w:p>
      <w:pPr>
        <w:pStyle w:val="46"/>
        <w:rPr>
          <w:rFonts w:ascii="Times New Roman" w:hAnsi="Times New Roman"/>
          <w:sz w:val="36"/>
          <w:szCs w:val="36"/>
        </w:rPr>
      </w:pPr>
      <w:r>
        <w:rPr>
          <w:rFonts w:ascii="Times New Roman" w:hAnsi="Times New Roman"/>
          <w:sz w:val="36"/>
          <w:szCs w:val="36"/>
        </w:rPr>
        <w:br w:type="page"/>
      </w:r>
      <w:bookmarkStart w:id="18" w:name="_Toc89855392"/>
      <w:bookmarkStart w:id="19" w:name="_Toc96720893"/>
      <w:r>
        <w:rPr>
          <w:rFonts w:hint="eastAsia" w:ascii="Times New Roman" w:hAnsi="Times New Roman"/>
        </w:rPr>
        <w:t>第二部分  投标资料表</w:t>
      </w:r>
      <w:bookmarkEnd w:id="18"/>
      <w:bookmarkEnd w:id="19"/>
    </w:p>
    <w:tbl>
      <w:tblPr>
        <w:tblStyle w:val="50"/>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887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tblHeader/>
          <w:jc w:val="center"/>
        </w:trPr>
        <w:tc>
          <w:tcPr>
            <w:tcW w:w="823" w:type="dxa"/>
            <w:tcBorders>
              <w:bottom w:val="single" w:color="auto" w:sz="4" w:space="0"/>
            </w:tcBorders>
            <w:noWrap w:val="0"/>
            <w:vAlign w:val="center"/>
          </w:tcPr>
          <w:p>
            <w:pPr>
              <w:spacing w:line="340" w:lineRule="exact"/>
              <w:ind w:left="-108" w:right="-113"/>
              <w:contextualSpacing/>
              <w:jc w:val="center"/>
              <w:rPr>
                <w:rFonts w:ascii="Times New Roman" w:hAnsi="Times New Roman"/>
                <w:szCs w:val="21"/>
              </w:rPr>
            </w:pPr>
            <w:r>
              <w:rPr>
                <w:rFonts w:hint="eastAsia" w:ascii="Times New Roman" w:hAnsi="Times New Roman"/>
                <w:szCs w:val="21"/>
              </w:rPr>
              <w:t>序号</w:t>
            </w:r>
          </w:p>
        </w:tc>
        <w:tc>
          <w:tcPr>
            <w:tcW w:w="8874" w:type="dxa"/>
            <w:tcBorders>
              <w:bottom w:val="single" w:color="auto" w:sz="4" w:space="0"/>
            </w:tcBorders>
            <w:noWrap w:val="0"/>
            <w:vAlign w:val="center"/>
          </w:tcPr>
          <w:p>
            <w:pPr>
              <w:spacing w:line="340" w:lineRule="exact"/>
              <w:contextualSpacing/>
              <w:jc w:val="center"/>
              <w:rPr>
                <w:rFonts w:ascii="Times New Roman" w:hAnsi="Times New Roman"/>
                <w:szCs w:val="21"/>
              </w:rPr>
            </w:pPr>
            <w:r>
              <w:rPr>
                <w:rFonts w:hint="eastAsia" w:ascii="Times New Roman" w:hAnsi="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vMerge w:val="restart"/>
            <w:noWrap w:val="0"/>
            <w:vAlign w:val="center"/>
          </w:tcPr>
          <w:p>
            <w:pPr>
              <w:autoSpaceDE w:val="0"/>
              <w:autoSpaceDN w:val="0"/>
              <w:snapToGrid w:val="0"/>
              <w:spacing w:line="340" w:lineRule="exact"/>
              <w:ind w:left="-95" w:right="-129"/>
              <w:contextualSpacing/>
              <w:jc w:val="center"/>
              <w:rPr>
                <w:rFonts w:ascii="Times New Roman" w:hAnsi="Times New Roman"/>
                <w:szCs w:val="21"/>
              </w:rPr>
            </w:pPr>
            <w:r>
              <w:rPr>
                <w:rFonts w:hint="eastAsia" w:ascii="Times New Roman" w:hAnsi="Times New Roman"/>
                <w:szCs w:val="21"/>
              </w:rPr>
              <w:t>1</w:t>
            </w:r>
          </w:p>
        </w:tc>
        <w:tc>
          <w:tcPr>
            <w:tcW w:w="8874" w:type="dxa"/>
            <w:noWrap w:val="0"/>
            <w:vAlign w:val="center"/>
          </w:tcPr>
          <w:p>
            <w:pPr>
              <w:tabs>
                <w:tab w:val="left" w:pos="1580"/>
                <w:tab w:val="left" w:pos="3436"/>
                <w:tab w:val="left" w:pos="5512"/>
              </w:tabs>
              <w:spacing w:line="340" w:lineRule="exact"/>
              <w:ind w:left="21"/>
              <w:contextualSpacing/>
              <w:rPr>
                <w:rFonts w:ascii="Times New Roman" w:hAnsi="Times New Roman"/>
                <w:szCs w:val="21"/>
              </w:rPr>
            </w:pPr>
            <w:r>
              <w:rPr>
                <w:rFonts w:hint="eastAsia" w:ascii="Times New Roman" w:hAnsi="Times New Roman"/>
                <w:szCs w:val="21"/>
              </w:rPr>
              <w:t>采购人：</w:t>
            </w:r>
            <w:r>
              <w:rPr>
                <w:rFonts w:hint="eastAsia" w:ascii="Times New Roman" w:hAnsi="Times New Roman" w:cs="Arial"/>
                <w:szCs w:val="21"/>
              </w:rPr>
              <w:t>宁波市鄞州区五乡镇人民政府</w:t>
            </w:r>
          </w:p>
          <w:p>
            <w:pPr>
              <w:tabs>
                <w:tab w:val="left" w:pos="1580"/>
                <w:tab w:val="left" w:pos="3436"/>
                <w:tab w:val="left" w:pos="5512"/>
              </w:tabs>
              <w:spacing w:line="340" w:lineRule="exact"/>
              <w:ind w:left="21"/>
              <w:contextualSpacing/>
              <w:rPr>
                <w:rFonts w:ascii="Times New Roman" w:hAnsi="Times New Roman"/>
                <w:szCs w:val="21"/>
              </w:rPr>
            </w:pPr>
            <w:r>
              <w:rPr>
                <w:rFonts w:hint="eastAsia" w:ascii="Times New Roman" w:hAnsi="Times New Roman"/>
                <w:szCs w:val="21"/>
              </w:rPr>
              <w:t>联系人：李老师            联系电话：</w:t>
            </w:r>
            <w:r>
              <w:rPr>
                <w:rFonts w:ascii="Times New Roman" w:hAnsi="Times New Roman"/>
                <w:szCs w:val="21"/>
              </w:rPr>
              <w:t>0574-</w:t>
            </w:r>
            <w:r>
              <w:rPr>
                <w:rFonts w:hint="eastAsia" w:ascii="Times New Roman" w:hAnsi="Times New Roman"/>
                <w:szCs w:val="21"/>
              </w:rPr>
              <w:t>88</w:t>
            </w:r>
            <w:r>
              <w:rPr>
                <w:rFonts w:ascii="Times New Roman" w:hAnsi="Times New Roman"/>
                <w:szCs w:val="21"/>
              </w:rPr>
              <w:t>485417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vMerge w:val="continue"/>
            <w:noWrap w:val="0"/>
            <w:vAlign w:val="center"/>
          </w:tcPr>
          <w:p>
            <w:pPr>
              <w:autoSpaceDE w:val="0"/>
              <w:autoSpaceDN w:val="0"/>
              <w:snapToGrid w:val="0"/>
              <w:spacing w:line="340" w:lineRule="exact"/>
              <w:ind w:left="-95" w:right="-129"/>
              <w:contextualSpacing/>
              <w:jc w:val="center"/>
              <w:rPr>
                <w:rFonts w:ascii="Times New Roman" w:hAnsi="Times New Roman"/>
                <w:szCs w:val="21"/>
              </w:rPr>
            </w:pPr>
          </w:p>
        </w:tc>
        <w:tc>
          <w:tcPr>
            <w:tcW w:w="8874" w:type="dxa"/>
            <w:noWrap w:val="0"/>
            <w:vAlign w:val="center"/>
          </w:tcPr>
          <w:p>
            <w:pPr>
              <w:tabs>
                <w:tab w:val="left" w:pos="1580"/>
                <w:tab w:val="left" w:pos="3436"/>
                <w:tab w:val="left" w:pos="5512"/>
              </w:tabs>
              <w:spacing w:line="340" w:lineRule="exact"/>
              <w:ind w:left="21"/>
              <w:contextualSpacing/>
              <w:rPr>
                <w:rFonts w:ascii="Times New Roman" w:hAnsi="Times New Roman"/>
                <w:szCs w:val="21"/>
              </w:rPr>
            </w:pPr>
            <w:r>
              <w:rPr>
                <w:rFonts w:hint="eastAsia" w:ascii="Times New Roman" w:hAnsi="Times New Roman"/>
                <w:szCs w:val="21"/>
              </w:rPr>
              <w:t>采购</w:t>
            </w:r>
            <w:r>
              <w:rPr>
                <w:rFonts w:ascii="Times New Roman" w:hAnsi="Times New Roman"/>
                <w:szCs w:val="21"/>
              </w:rPr>
              <w:t>代理机构：中冠工程管理咨询有限公司</w:t>
            </w:r>
          </w:p>
          <w:p>
            <w:pPr>
              <w:tabs>
                <w:tab w:val="left" w:pos="1300"/>
              </w:tabs>
              <w:spacing w:line="340" w:lineRule="exact"/>
              <w:ind w:left="21"/>
              <w:contextualSpacing/>
              <w:rPr>
                <w:rFonts w:ascii="Times New Roman" w:hAnsi="Times New Roman"/>
                <w:szCs w:val="21"/>
              </w:rPr>
            </w:pPr>
            <w:r>
              <w:rPr>
                <w:rFonts w:hint="eastAsia" w:ascii="Times New Roman" w:hAnsi="Times New Roman"/>
                <w:szCs w:val="21"/>
              </w:rPr>
              <w:t>联系人：</w:t>
            </w:r>
            <w:r>
              <w:rPr>
                <w:rFonts w:hint="eastAsia" w:ascii="Times New Roman" w:hAnsi="Times New Roman" w:cs="Arial"/>
                <w:szCs w:val="21"/>
              </w:rPr>
              <w:t>陈傲坤、刘霞</w:t>
            </w:r>
          </w:p>
          <w:p>
            <w:pPr>
              <w:tabs>
                <w:tab w:val="left" w:pos="1300"/>
              </w:tabs>
              <w:spacing w:line="340" w:lineRule="exact"/>
              <w:ind w:left="21"/>
              <w:contextualSpacing/>
              <w:rPr>
                <w:rFonts w:ascii="Times New Roman" w:hAnsi="Times New Roman"/>
                <w:szCs w:val="21"/>
              </w:rPr>
            </w:pPr>
            <w:r>
              <w:rPr>
                <w:rFonts w:hint="eastAsia" w:ascii="Times New Roman" w:hAnsi="Times New Roman"/>
                <w:szCs w:val="21"/>
              </w:rPr>
              <w:t>电话：</w:t>
            </w:r>
            <w:r>
              <w:rPr>
                <w:rFonts w:ascii="Times New Roman" w:hAnsi="Times New Roman" w:cs="Arial"/>
                <w:szCs w:val="21"/>
              </w:rPr>
              <w:t>057</w:t>
            </w:r>
            <w:r>
              <w:rPr>
                <w:rFonts w:hint="eastAsia" w:ascii="Times New Roman" w:hAnsi="Times New Roman" w:cs="Arial"/>
                <w:szCs w:val="21"/>
              </w:rPr>
              <w:t>4-87977488</w:t>
            </w:r>
            <w:r>
              <w:rPr>
                <w:rFonts w:hint="eastAsia" w:ascii="Times New Roman" w:hAnsi="Times New Roman"/>
                <w:szCs w:val="21"/>
              </w:rPr>
              <w:t xml:space="preserve">    传真：</w:t>
            </w:r>
            <w:r>
              <w:rPr>
                <w:rFonts w:ascii="Times New Roman" w:hAnsi="Times New Roman" w:cs="Arial"/>
                <w:szCs w:val="21"/>
              </w:rPr>
              <w:t>0574</w:t>
            </w:r>
            <w:r>
              <w:rPr>
                <w:rFonts w:hint="eastAsia" w:ascii="Times New Roman" w:hAnsi="Times New Roman" w:cs="Arial"/>
                <w:szCs w:val="21"/>
              </w:rPr>
              <w:t>-87355652-818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top w:val="single" w:color="auto" w:sz="4" w:space="0"/>
              <w:bottom w:val="single" w:color="auto" w:sz="2" w:space="0"/>
            </w:tcBorders>
            <w:noWrap w:val="0"/>
            <w:vAlign w:val="center"/>
          </w:tcPr>
          <w:p>
            <w:pPr>
              <w:spacing w:line="340" w:lineRule="exact"/>
              <w:contextualSpacing/>
              <w:jc w:val="center"/>
              <w:rPr>
                <w:rFonts w:ascii="Times New Roman" w:hAnsi="Times New Roman"/>
                <w:szCs w:val="21"/>
              </w:rPr>
            </w:pPr>
            <w:r>
              <w:rPr>
                <w:rFonts w:hint="eastAsia" w:ascii="Times New Roman" w:hAnsi="Times New Roman"/>
                <w:szCs w:val="21"/>
              </w:rPr>
              <w:t>2</w:t>
            </w:r>
          </w:p>
        </w:tc>
        <w:tc>
          <w:tcPr>
            <w:tcW w:w="8874" w:type="dxa"/>
            <w:tcBorders>
              <w:top w:val="single" w:color="auto" w:sz="4" w:space="0"/>
              <w:bottom w:val="single" w:color="auto" w:sz="2" w:space="0"/>
            </w:tcBorders>
            <w:noWrap w:val="0"/>
            <w:vAlign w:val="center"/>
          </w:tcPr>
          <w:p>
            <w:pPr>
              <w:spacing w:line="340" w:lineRule="exact"/>
              <w:contextualSpacing/>
              <w:rPr>
                <w:rFonts w:ascii="Times New Roman" w:hAnsi="Times New Roman"/>
                <w:szCs w:val="21"/>
              </w:rPr>
            </w:pPr>
            <w:r>
              <w:rPr>
                <w:rFonts w:hint="eastAsia" w:ascii="Times New Roman" w:hAnsi="Times New Roman"/>
                <w:szCs w:val="21"/>
              </w:rPr>
              <w:t>经批准的本次采购方式：公开招标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top w:val="single" w:color="auto" w:sz="4" w:space="0"/>
              <w:bottom w:val="single" w:color="auto" w:sz="2" w:space="0"/>
            </w:tcBorders>
            <w:noWrap w:val="0"/>
            <w:vAlign w:val="center"/>
          </w:tcPr>
          <w:p>
            <w:pPr>
              <w:spacing w:line="340" w:lineRule="exact"/>
              <w:contextualSpacing/>
              <w:jc w:val="center"/>
              <w:rPr>
                <w:rFonts w:hint="eastAsia" w:ascii="Times New Roman" w:hAnsi="Times New Roman"/>
                <w:szCs w:val="21"/>
              </w:rPr>
            </w:pPr>
            <w:r>
              <w:rPr>
                <w:rFonts w:hint="eastAsia" w:ascii="Times New Roman" w:hAnsi="Times New Roman"/>
                <w:szCs w:val="21"/>
              </w:rPr>
              <w:t>3</w:t>
            </w:r>
          </w:p>
        </w:tc>
        <w:tc>
          <w:tcPr>
            <w:tcW w:w="8874" w:type="dxa"/>
            <w:tcBorders>
              <w:top w:val="single" w:color="auto" w:sz="4" w:space="0"/>
              <w:bottom w:val="single" w:color="auto" w:sz="2" w:space="0"/>
            </w:tcBorders>
            <w:noWrap w:val="0"/>
            <w:vAlign w:val="center"/>
          </w:tcPr>
          <w:p>
            <w:pPr>
              <w:spacing w:line="340" w:lineRule="exact"/>
              <w:contextualSpacing/>
              <w:rPr>
                <w:rFonts w:hint="eastAsia" w:ascii="Times New Roman" w:hAnsi="Times New Roman" w:cs="Arial"/>
                <w:bCs/>
                <w:szCs w:val="21"/>
              </w:rPr>
            </w:pPr>
            <w:r>
              <w:rPr>
                <w:rFonts w:hint="eastAsia" w:ascii="Times New Roman" w:hAnsi="Times New Roman" w:cs="Arial"/>
                <w:bCs/>
                <w:szCs w:val="21"/>
              </w:rPr>
              <w:t>投标人</w:t>
            </w:r>
            <w:r>
              <w:rPr>
                <w:rFonts w:ascii="Times New Roman" w:hAnsi="Times New Roman" w:cs="Arial"/>
                <w:bCs/>
                <w:szCs w:val="21"/>
              </w:rPr>
              <w:t>的资格要求：</w:t>
            </w:r>
            <w:r>
              <w:rPr>
                <w:rFonts w:hint="eastAsia" w:ascii="Times New Roman" w:hAnsi="Times New Roman"/>
                <w:szCs w:val="21"/>
              </w:rPr>
              <w:t>详见“第一部分 采购</w:t>
            </w:r>
            <w:r>
              <w:rPr>
                <w:rFonts w:ascii="Times New Roman" w:hAnsi="Times New Roman"/>
                <w:szCs w:val="21"/>
              </w:rPr>
              <w:t>公告</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top w:val="single" w:color="auto" w:sz="4" w:space="0"/>
              <w:bottom w:val="single" w:color="auto" w:sz="2" w:space="0"/>
            </w:tcBorders>
            <w:noWrap w:val="0"/>
            <w:vAlign w:val="center"/>
          </w:tcPr>
          <w:p>
            <w:pPr>
              <w:spacing w:line="340" w:lineRule="exact"/>
              <w:contextualSpacing/>
              <w:jc w:val="center"/>
              <w:rPr>
                <w:rFonts w:hint="eastAsia" w:ascii="Times New Roman" w:hAnsi="Times New Roman"/>
                <w:szCs w:val="21"/>
              </w:rPr>
            </w:pPr>
            <w:r>
              <w:rPr>
                <w:rFonts w:hint="eastAsia" w:ascii="Times New Roman" w:hAnsi="Times New Roman"/>
                <w:szCs w:val="21"/>
              </w:rPr>
              <w:t>4</w:t>
            </w:r>
          </w:p>
        </w:tc>
        <w:tc>
          <w:tcPr>
            <w:tcW w:w="8874" w:type="dxa"/>
            <w:tcBorders>
              <w:top w:val="single" w:color="auto" w:sz="4" w:space="0"/>
              <w:bottom w:val="single" w:color="auto" w:sz="2" w:space="0"/>
            </w:tcBorders>
            <w:noWrap w:val="0"/>
            <w:vAlign w:val="center"/>
          </w:tcPr>
          <w:p>
            <w:pPr>
              <w:spacing w:line="340" w:lineRule="exact"/>
              <w:contextualSpacing/>
              <w:rPr>
                <w:rFonts w:hint="eastAsia" w:ascii="Times New Roman" w:hAnsi="Times New Roman"/>
                <w:szCs w:val="21"/>
              </w:rPr>
            </w:pPr>
            <w:r>
              <w:rPr>
                <w:rFonts w:hint="eastAsia" w:ascii="Times New Roman" w:hAnsi="Times New Roman"/>
                <w:szCs w:val="21"/>
              </w:rPr>
              <w:t>资格审查：本项目采用资格后审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noWrap w:val="0"/>
            <w:vAlign w:val="center"/>
          </w:tcPr>
          <w:p>
            <w:pPr>
              <w:tabs>
                <w:tab w:val="left" w:pos="1580"/>
                <w:tab w:val="left" w:pos="3436"/>
                <w:tab w:val="left" w:pos="5512"/>
              </w:tabs>
              <w:spacing w:line="340" w:lineRule="exact"/>
              <w:ind w:left="21"/>
              <w:contextualSpacing/>
              <w:jc w:val="center"/>
              <w:rPr>
                <w:rFonts w:ascii="Times New Roman" w:hAnsi="Times New Roman"/>
                <w:szCs w:val="21"/>
              </w:rPr>
            </w:pPr>
            <w:r>
              <w:rPr>
                <w:rFonts w:hint="eastAsia" w:ascii="Times New Roman" w:hAnsi="Times New Roman"/>
                <w:szCs w:val="21"/>
              </w:rPr>
              <w:t>★5</w:t>
            </w:r>
          </w:p>
        </w:tc>
        <w:tc>
          <w:tcPr>
            <w:tcW w:w="8874" w:type="dxa"/>
            <w:noWrap w:val="0"/>
            <w:vAlign w:val="center"/>
          </w:tcPr>
          <w:p>
            <w:pPr>
              <w:spacing w:line="340" w:lineRule="exact"/>
              <w:contextualSpacing/>
              <w:rPr>
                <w:rFonts w:ascii="Times New Roman" w:hAnsi="Times New Roman"/>
                <w:szCs w:val="21"/>
              </w:rPr>
            </w:pPr>
            <w:r>
              <w:rPr>
                <w:rFonts w:hint="eastAsia" w:ascii="Times New Roman" w:hAnsi="Times New Roman"/>
                <w:szCs w:val="21"/>
              </w:rPr>
              <w:t>商务条款资料部分：见“第五部分 采购内容及要求”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noWrap w:val="0"/>
            <w:vAlign w:val="center"/>
          </w:tcPr>
          <w:p>
            <w:pPr>
              <w:tabs>
                <w:tab w:val="left" w:pos="1580"/>
                <w:tab w:val="left" w:pos="3436"/>
                <w:tab w:val="left" w:pos="5512"/>
              </w:tabs>
              <w:spacing w:line="340" w:lineRule="exact"/>
              <w:ind w:left="21"/>
              <w:contextualSpacing/>
              <w:jc w:val="center"/>
              <w:rPr>
                <w:rFonts w:hint="eastAsia" w:ascii="Times New Roman" w:hAnsi="Times New Roman"/>
                <w:szCs w:val="21"/>
              </w:rPr>
            </w:pPr>
            <w:r>
              <w:rPr>
                <w:rFonts w:hint="eastAsia" w:ascii="Times New Roman" w:hAnsi="Times New Roman"/>
                <w:szCs w:val="21"/>
              </w:rPr>
              <w:t>★6</w:t>
            </w:r>
          </w:p>
        </w:tc>
        <w:tc>
          <w:tcPr>
            <w:tcW w:w="8874" w:type="dxa"/>
            <w:noWrap w:val="0"/>
            <w:vAlign w:val="center"/>
          </w:tcPr>
          <w:p>
            <w:pPr>
              <w:spacing w:line="340" w:lineRule="exact"/>
              <w:contextualSpacing/>
              <w:rPr>
                <w:rFonts w:ascii="Times New Roman" w:hAnsi="Times New Roman"/>
                <w:szCs w:val="21"/>
              </w:rPr>
            </w:pPr>
            <w:r>
              <w:rPr>
                <w:rFonts w:hint="eastAsia" w:ascii="Times New Roman" w:hAnsi="Times New Roman"/>
                <w:szCs w:val="21"/>
              </w:rPr>
              <w:t>投标报价：</w:t>
            </w:r>
          </w:p>
          <w:p>
            <w:pPr>
              <w:spacing w:line="320" w:lineRule="exact"/>
              <w:contextualSpacing/>
              <w:rPr>
                <w:rFonts w:hint="eastAsia" w:ascii="Times New Roman" w:hAnsi="Times New Roman"/>
                <w:szCs w:val="21"/>
              </w:rPr>
            </w:pPr>
            <w:r>
              <w:rPr>
                <w:rFonts w:hint="eastAsia" w:ascii="Times New Roman" w:hAnsi="Times New Roman"/>
                <w:szCs w:val="21"/>
              </w:rPr>
              <w:t>（1）本次采购最高限价：人民币</w:t>
            </w:r>
            <w:r>
              <w:rPr>
                <w:rFonts w:hint="eastAsia" w:ascii="Times New Roman" w:hAnsi="Times New Roman" w:cs="宋体"/>
                <w:szCs w:val="21"/>
                <w:u w:val="single"/>
              </w:rPr>
              <w:t>16452023</w:t>
            </w:r>
            <w:r>
              <w:rPr>
                <w:rFonts w:hint="eastAsia" w:ascii="Times New Roman" w:hAnsi="Times New Roman"/>
                <w:szCs w:val="21"/>
              </w:rPr>
              <w:t>元/年，各综合单价最高限价详见采购文件第五部分，任一</w:t>
            </w:r>
            <w:r>
              <w:rPr>
                <w:rFonts w:ascii="Times New Roman" w:hAnsi="Times New Roman"/>
                <w:szCs w:val="21"/>
              </w:rPr>
              <w:t>报价超过</w:t>
            </w:r>
            <w:r>
              <w:rPr>
                <w:rFonts w:hint="eastAsia" w:ascii="Times New Roman" w:hAnsi="Times New Roman"/>
                <w:szCs w:val="21"/>
              </w:rPr>
              <w:t>对应</w:t>
            </w:r>
            <w:r>
              <w:rPr>
                <w:rFonts w:ascii="Times New Roman" w:hAnsi="Times New Roman"/>
                <w:szCs w:val="21"/>
              </w:rPr>
              <w:t>最高</w:t>
            </w:r>
            <w:r>
              <w:rPr>
                <w:rFonts w:hint="eastAsia" w:ascii="Times New Roman" w:hAnsi="Times New Roman"/>
                <w:szCs w:val="21"/>
              </w:rPr>
              <w:t>限价</w:t>
            </w:r>
            <w:r>
              <w:rPr>
                <w:rFonts w:ascii="Times New Roman" w:hAnsi="Times New Roman"/>
                <w:szCs w:val="21"/>
              </w:rPr>
              <w:t>的作无效投标处理。</w:t>
            </w:r>
          </w:p>
          <w:p>
            <w:pPr>
              <w:spacing w:line="320" w:lineRule="exact"/>
              <w:contextualSpacing/>
              <w:rPr>
                <w:rFonts w:hint="eastAsia" w:ascii="Times New Roman" w:hAnsi="Times New Roman"/>
                <w:szCs w:val="21"/>
              </w:rPr>
            </w:pPr>
            <w:r>
              <w:rPr>
                <w:rFonts w:hint="eastAsia" w:ascii="Times New Roman" w:hAnsi="Times New Roman"/>
                <w:szCs w:val="21"/>
              </w:rPr>
              <w:t>（2）本项目的投标报价须包含完成本项目服务所需的所有费用，包括但不限于：各类作业人员费用[包括人员基本工资、各类福利和补贴（如高温补贴、加班补贴等）、社保（五险）以及各种保险），驾驶员工资（包括驾驶员基本工资、各类福利和补贴（如高温补贴、加班补贴等）、社保（五险）以及各种保险、服装费等]、车辆购置及运行费及折旧费、工具耗材费、垃圾清运、329国道两边店铺垃圾收集清运费、利润、管理费（包括管理人员工资、人员培训费、办公管理用房费、其他管理费）和税金以及供应商认为完成本项目所需的一切费用。</w:t>
            </w:r>
          </w:p>
          <w:p>
            <w:pPr>
              <w:spacing w:line="320" w:lineRule="exact"/>
              <w:contextualSpacing/>
              <w:rPr>
                <w:rFonts w:hint="eastAsia" w:ascii="Times New Roman" w:hAnsi="Times New Roman"/>
                <w:bCs/>
                <w:szCs w:val="21"/>
              </w:rPr>
            </w:pPr>
            <w:r>
              <w:rPr>
                <w:rFonts w:hint="eastAsia" w:ascii="Times New Roman" w:hAnsi="Times New Roman"/>
                <w:bCs/>
                <w:szCs w:val="21"/>
              </w:rPr>
              <w:t>注：其中人员基本工资不得低于宁波市劳动和社会保障局最新发布的宁波市最低劳动工资（2280元/人.月），投标人应确保各类作业人员（保洁和养护、其他作业人员）和驾驶员每人年工资小计不低于招标文件第七部分附件2列明的最低工资总计金额；低于的作无效报价处理。</w:t>
            </w:r>
          </w:p>
          <w:p>
            <w:pPr>
              <w:spacing w:line="320" w:lineRule="exact"/>
              <w:contextualSpacing/>
              <w:rPr>
                <w:rFonts w:hint="eastAsia" w:ascii="Times New Roman" w:hAnsi="Times New Roman"/>
                <w:szCs w:val="21"/>
              </w:rPr>
            </w:pPr>
            <w:r>
              <w:rPr>
                <w:rFonts w:hint="eastAsia" w:ascii="Times New Roman" w:hAnsi="Times New Roman"/>
                <w:szCs w:val="21"/>
              </w:rPr>
              <w:t>（3）合同履行期间，供应商承诺的投标报价不因市场因素和政策因素的变动而调整。</w:t>
            </w:r>
          </w:p>
          <w:p>
            <w:pPr>
              <w:spacing w:line="320" w:lineRule="exact"/>
              <w:contextualSpacing/>
              <w:rPr>
                <w:rFonts w:hint="eastAsia" w:ascii="Times New Roman" w:hAnsi="Times New Roman"/>
                <w:szCs w:val="21"/>
              </w:rPr>
            </w:pPr>
            <w:r>
              <w:rPr>
                <w:rFonts w:hint="eastAsia" w:ascii="Times New Roman" w:hAnsi="Times New Roman"/>
                <w:szCs w:val="21"/>
              </w:rPr>
              <w:t>（4）如遇政府最低工资标准、社保基数调整等情况，投标人应自行考虑风险，合同价不予调整，由投标人在原合同总价范围内自行调整人员工资或社保基数等；若发生服务量增加或减少，原则上由采购人统一调配并以签证认可的联系单为准，服务量调整变更联系单结算方式详见采购文件第五部分，产生的费用计入发生期间所对应的月份中。</w:t>
            </w:r>
          </w:p>
          <w:p>
            <w:pPr>
              <w:spacing w:line="320" w:lineRule="exact"/>
              <w:contextualSpacing/>
              <w:rPr>
                <w:rFonts w:hint="eastAsia" w:ascii="Times New Roman" w:hAnsi="Times New Roman"/>
                <w:szCs w:val="21"/>
              </w:rPr>
            </w:pPr>
            <w:r>
              <w:rPr>
                <w:rFonts w:hint="eastAsia" w:ascii="Times New Roman" w:hAnsi="Times New Roman"/>
                <w:szCs w:val="21"/>
              </w:rPr>
              <w:t>（3）不论中标结果如何，供应商均应自行承担所有与投标有关的全部费用。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noWrap w:val="0"/>
            <w:vAlign w:val="center"/>
          </w:tcPr>
          <w:p>
            <w:pPr>
              <w:tabs>
                <w:tab w:val="left" w:pos="1580"/>
                <w:tab w:val="left" w:pos="3436"/>
                <w:tab w:val="left" w:pos="5512"/>
              </w:tabs>
              <w:spacing w:line="340" w:lineRule="exact"/>
              <w:ind w:left="21"/>
              <w:contextualSpacing/>
              <w:jc w:val="center"/>
              <w:rPr>
                <w:rFonts w:hint="eastAsia" w:ascii="Times New Roman" w:hAnsi="Times New Roman"/>
                <w:szCs w:val="21"/>
              </w:rPr>
            </w:pPr>
            <w:r>
              <w:rPr>
                <w:rFonts w:hint="eastAsia" w:ascii="Times New Roman" w:hAnsi="Times New Roman"/>
                <w:szCs w:val="21"/>
              </w:rPr>
              <w:t>7</w:t>
            </w:r>
          </w:p>
        </w:tc>
        <w:tc>
          <w:tcPr>
            <w:tcW w:w="8874" w:type="dxa"/>
            <w:noWrap w:val="0"/>
            <w:vAlign w:val="center"/>
          </w:tcPr>
          <w:p>
            <w:pPr>
              <w:autoSpaceDE w:val="0"/>
              <w:autoSpaceDN w:val="0"/>
              <w:snapToGrid w:val="0"/>
              <w:spacing w:line="340" w:lineRule="exact"/>
              <w:contextualSpacing/>
              <w:rPr>
                <w:rFonts w:hint="eastAsia" w:ascii="Times New Roman" w:hAnsi="Times New Roman"/>
                <w:szCs w:val="21"/>
              </w:rPr>
            </w:pPr>
            <w:r>
              <w:rPr>
                <w:rFonts w:hint="eastAsia" w:ascii="Times New Roman" w:hAnsi="Times New Roman"/>
                <w:szCs w:val="21"/>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bottom w:val="single" w:color="auto" w:sz="2" w:space="0"/>
            </w:tcBorders>
            <w:noWrap w:val="0"/>
            <w:vAlign w:val="center"/>
          </w:tcPr>
          <w:p>
            <w:pPr>
              <w:autoSpaceDE w:val="0"/>
              <w:autoSpaceDN w:val="0"/>
              <w:snapToGrid w:val="0"/>
              <w:spacing w:line="340" w:lineRule="exact"/>
              <w:ind w:left="-95" w:right="-129"/>
              <w:contextualSpacing/>
              <w:jc w:val="center"/>
              <w:rPr>
                <w:rFonts w:ascii="Times New Roman" w:hAnsi="Times New Roman"/>
                <w:szCs w:val="21"/>
              </w:rPr>
            </w:pPr>
            <w:r>
              <w:rPr>
                <w:rFonts w:hint="eastAsia" w:ascii="Times New Roman" w:hAnsi="Times New Roman"/>
                <w:szCs w:val="21"/>
              </w:rPr>
              <w:t>8</w:t>
            </w:r>
          </w:p>
        </w:tc>
        <w:tc>
          <w:tcPr>
            <w:tcW w:w="8874" w:type="dxa"/>
            <w:noWrap w:val="0"/>
            <w:vAlign w:val="center"/>
          </w:tcPr>
          <w:p>
            <w:pPr>
              <w:autoSpaceDE w:val="0"/>
              <w:autoSpaceDN w:val="0"/>
              <w:snapToGrid w:val="0"/>
              <w:spacing w:line="340" w:lineRule="exact"/>
              <w:contextualSpacing/>
              <w:rPr>
                <w:rFonts w:hint="eastAsia" w:ascii="Times New Roman" w:hAnsi="Times New Roman"/>
                <w:szCs w:val="21"/>
              </w:rPr>
            </w:pPr>
            <w:r>
              <w:rPr>
                <w:rFonts w:hint="eastAsia" w:ascii="Times New Roman" w:hAnsi="Times New Roman"/>
                <w:szCs w:val="21"/>
              </w:rPr>
              <w:t>投标文件组成与份数：</w:t>
            </w:r>
          </w:p>
          <w:p>
            <w:pPr>
              <w:autoSpaceDE w:val="0"/>
              <w:autoSpaceDN w:val="0"/>
              <w:snapToGrid w:val="0"/>
              <w:spacing w:line="340" w:lineRule="exact"/>
              <w:contextualSpacing/>
              <w:rPr>
                <w:rFonts w:hint="eastAsia" w:ascii="Times New Roman" w:hAnsi="Times New Roman"/>
                <w:szCs w:val="21"/>
              </w:rPr>
            </w:pPr>
            <w:r>
              <w:rPr>
                <w:rFonts w:hint="eastAsia" w:ascii="Times New Roman" w:hAnsi="Times New Roman"/>
                <w:szCs w:val="21"/>
              </w:rPr>
              <w:t>（1）上传到政府采购云平台的电子加密投标文件（含资格证明文件、技术商务文件、报价文件）1份。</w:t>
            </w:r>
          </w:p>
          <w:p>
            <w:pPr>
              <w:autoSpaceDE w:val="0"/>
              <w:autoSpaceDN w:val="0"/>
              <w:snapToGrid w:val="0"/>
              <w:spacing w:line="340" w:lineRule="exact"/>
              <w:contextualSpacing/>
              <w:rPr>
                <w:rFonts w:hint="eastAsia" w:ascii="Times New Roman" w:hAnsi="Times New Roman"/>
                <w:szCs w:val="21"/>
              </w:rPr>
            </w:pPr>
            <w:r>
              <w:rPr>
                <w:rFonts w:hint="eastAsia" w:ascii="Times New Roman" w:hAnsi="Times New Roman"/>
                <w:szCs w:val="21"/>
              </w:rPr>
              <w:t>（2）以U盘存储的电子备份投标文件（含资格证明文件、技术商务文件、报价文件）1份。</w:t>
            </w:r>
          </w:p>
          <w:p>
            <w:pPr>
              <w:autoSpaceDE w:val="0"/>
              <w:autoSpaceDN w:val="0"/>
              <w:snapToGrid w:val="0"/>
              <w:spacing w:line="340" w:lineRule="exact"/>
              <w:contextualSpacing/>
              <w:rPr>
                <w:rFonts w:ascii="Times New Roman" w:hAnsi="Times New Roman"/>
                <w:szCs w:val="21"/>
              </w:rPr>
            </w:pPr>
            <w:r>
              <w:rPr>
                <w:rFonts w:hint="eastAsia" w:ascii="Times New Roman" w:hAnsi="Times New Roman"/>
                <w:b/>
                <w:bCs/>
                <w:szCs w:val="21"/>
              </w:rPr>
              <w:t>备注：①投标人应将</w:t>
            </w:r>
            <w:r>
              <w:rPr>
                <w:rFonts w:hint="eastAsia" w:ascii="Times New Roman" w:hAnsi="Times New Roman" w:cs="宋体"/>
                <w:b/>
                <w:bCs/>
                <w:szCs w:val="21"/>
              </w:rPr>
              <w:t>以</w:t>
            </w:r>
            <w:r>
              <w:rPr>
                <w:rFonts w:ascii="Times New Roman" w:hAnsi="Times New Roman" w:cs="宋体"/>
                <w:b/>
                <w:bCs/>
                <w:szCs w:val="21"/>
              </w:rPr>
              <w:t>U</w:t>
            </w:r>
            <w:r>
              <w:rPr>
                <w:rFonts w:hint="eastAsia" w:ascii="Times New Roman" w:hAnsi="Times New Roman" w:cs="宋体"/>
                <w:b/>
                <w:bCs/>
                <w:szCs w:val="21"/>
              </w:rPr>
              <w:t>盘存储的电子备份投标文件</w:t>
            </w:r>
            <w:r>
              <w:rPr>
                <w:rFonts w:hint="eastAsia" w:ascii="Times New Roman" w:hAnsi="Times New Roman"/>
                <w:b/>
                <w:bCs/>
                <w:szCs w:val="21"/>
              </w:rPr>
              <w:t>用封袋密封后递</w:t>
            </w:r>
            <w:r>
              <w:rPr>
                <w:rFonts w:hint="eastAsia" w:ascii="Times New Roman" w:hAnsi="Times New Roman" w:cs="宋体"/>
                <w:b/>
                <w:bCs/>
                <w:szCs w:val="21"/>
              </w:rPr>
              <w:t>交；②投标人技术商务文件内容需根据采购文件要求对应响应，做到内容精炼，建议页数控制在400页以内。</w:t>
            </w:r>
          </w:p>
          <w:p>
            <w:pPr>
              <w:autoSpaceDE w:val="0"/>
              <w:autoSpaceDN w:val="0"/>
              <w:snapToGrid w:val="0"/>
              <w:spacing w:line="360" w:lineRule="exact"/>
              <w:contextualSpacing/>
              <w:rPr>
                <w:rFonts w:ascii="Times New Roman" w:hAnsi="Times New Roman"/>
                <w:b/>
                <w:bCs/>
                <w:szCs w:val="21"/>
              </w:rPr>
            </w:pPr>
            <w:r>
              <w:rPr>
                <w:rFonts w:hint="eastAsia" w:ascii="Times New Roman" w:hAnsi="Times New Roman"/>
                <w:b/>
                <w:bCs/>
                <w:szCs w:val="21"/>
              </w:rPr>
              <w:t>说明：</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（1）“电子加密投标文件”：</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①“电子加密投标文件”是指通过“政采云电子交易客户端”完成投标文件编制后生成并加密的数据电文形式的投标文件。</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②供应商应先安装“政采云电子交易客户端”，并按照本招标文件和“政府采购云平台”的要求，通过“政采云电子交易客户端”编制并加密投标文件。</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（2）“电子备份投标文件”：</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①“电子备份投标文件”是指与“电子加密投标文件”同时生成的数据电文形式的电子文件。</w:t>
            </w:r>
          </w:p>
          <w:p>
            <w:pPr>
              <w:autoSpaceDE w:val="0"/>
              <w:autoSpaceDN w:val="0"/>
              <w:snapToGrid w:val="0"/>
              <w:spacing w:line="360" w:lineRule="exact"/>
              <w:contextualSpacing/>
              <w:rPr>
                <w:rFonts w:hint="eastAsia" w:ascii="Times New Roman" w:hAnsi="Times New Roman"/>
                <w:szCs w:val="21"/>
              </w:rPr>
            </w:pPr>
            <w:r>
              <w:rPr>
                <w:rFonts w:hint="eastAsia" w:ascii="Times New Roman" w:hAnsi="Times New Roman"/>
                <w:szCs w:val="21"/>
              </w:rPr>
              <w:t>②供应商可自主选择是否编制“电子备份投标文件”。</w:t>
            </w:r>
          </w:p>
          <w:p>
            <w:pPr>
              <w:autoSpaceDE w:val="0"/>
              <w:autoSpaceDN w:val="0"/>
              <w:snapToGrid w:val="0"/>
              <w:spacing w:line="340" w:lineRule="exact"/>
              <w:contextualSpacing/>
              <w:rPr>
                <w:rFonts w:ascii="Times New Roman" w:hAnsi="Times New Roman"/>
                <w:b/>
                <w:bCs/>
                <w:szCs w:val="21"/>
              </w:rPr>
            </w:pPr>
            <w:r>
              <w:rPr>
                <w:rFonts w:hint="eastAsia" w:ascii="Times New Roman" w:hAnsi="Times New Roman"/>
                <w:szCs w:val="21"/>
              </w:rPr>
              <w:t>③其他方式编制的备份投标文件视为无效备份投标文件。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bottom w:val="single" w:color="auto" w:sz="2" w:space="0"/>
            </w:tcBorders>
            <w:noWrap w:val="0"/>
            <w:vAlign w:val="center"/>
          </w:tcPr>
          <w:p>
            <w:pPr>
              <w:autoSpaceDE w:val="0"/>
              <w:autoSpaceDN w:val="0"/>
              <w:snapToGrid w:val="0"/>
              <w:spacing w:line="340" w:lineRule="exact"/>
              <w:ind w:left="-95" w:right="-129"/>
              <w:contextualSpacing/>
              <w:jc w:val="center"/>
              <w:rPr>
                <w:rFonts w:ascii="Times New Roman" w:hAnsi="Times New Roman"/>
                <w:szCs w:val="21"/>
              </w:rPr>
            </w:pPr>
            <w:r>
              <w:rPr>
                <w:rFonts w:hint="eastAsia" w:ascii="Times New Roman" w:hAnsi="Times New Roman"/>
                <w:szCs w:val="21"/>
              </w:rPr>
              <w:t>9</w:t>
            </w:r>
          </w:p>
        </w:tc>
        <w:tc>
          <w:tcPr>
            <w:tcW w:w="8874" w:type="dxa"/>
            <w:noWrap w:val="0"/>
            <w:vAlign w:val="center"/>
          </w:tcPr>
          <w:p>
            <w:pPr>
              <w:autoSpaceDE w:val="0"/>
              <w:autoSpaceDN w:val="0"/>
              <w:snapToGrid w:val="0"/>
              <w:spacing w:line="340" w:lineRule="exact"/>
              <w:contextualSpacing/>
              <w:rPr>
                <w:rFonts w:ascii="Times New Roman" w:hAnsi="Times New Roman"/>
                <w:szCs w:val="21"/>
              </w:rPr>
            </w:pPr>
            <w:r>
              <w:rPr>
                <w:rFonts w:hint="eastAsia" w:ascii="Times New Roman" w:hAnsi="Times New Roman"/>
                <w:szCs w:val="21"/>
              </w:rPr>
              <w:t>按照采购文件确定的事项、采购内容变更的规定、中标人的投标响应、中标人的投标承诺、中标通知书确定的数量和金额签订合同。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54" w:hRule="atLeast"/>
          <w:jc w:val="center"/>
        </w:trPr>
        <w:tc>
          <w:tcPr>
            <w:tcW w:w="823" w:type="dxa"/>
            <w:tcBorders>
              <w:bottom w:val="single" w:color="auto" w:sz="2" w:space="0"/>
            </w:tcBorders>
            <w:noWrap w:val="0"/>
            <w:vAlign w:val="center"/>
          </w:tcPr>
          <w:p>
            <w:pPr>
              <w:autoSpaceDE w:val="0"/>
              <w:autoSpaceDN w:val="0"/>
              <w:snapToGrid w:val="0"/>
              <w:spacing w:line="340" w:lineRule="exact"/>
              <w:ind w:left="-95" w:right="-129"/>
              <w:contextualSpacing/>
              <w:jc w:val="center"/>
              <w:rPr>
                <w:rFonts w:ascii="Times New Roman" w:hAnsi="Times New Roman"/>
                <w:szCs w:val="21"/>
              </w:rPr>
            </w:pPr>
            <w:r>
              <w:rPr>
                <w:rFonts w:hint="eastAsia" w:ascii="Times New Roman" w:hAnsi="Times New Roman"/>
                <w:szCs w:val="21"/>
              </w:rPr>
              <w:t>10</w:t>
            </w:r>
          </w:p>
        </w:tc>
        <w:tc>
          <w:tcPr>
            <w:tcW w:w="8874" w:type="dxa"/>
            <w:noWrap w:val="0"/>
            <w:vAlign w:val="center"/>
          </w:tcPr>
          <w:p>
            <w:pPr>
              <w:autoSpaceDE w:val="0"/>
              <w:autoSpaceDN w:val="0"/>
              <w:snapToGrid w:val="0"/>
              <w:spacing w:line="340" w:lineRule="exact"/>
              <w:contextualSpacing/>
              <w:rPr>
                <w:rFonts w:ascii="Times New Roman" w:hAnsi="Times New Roman"/>
                <w:szCs w:val="21"/>
              </w:rPr>
            </w:pPr>
            <w:r>
              <w:rPr>
                <w:rFonts w:hint="eastAsia" w:ascii="Times New Roman" w:hAnsi="Times New Roman"/>
                <w:szCs w:val="21"/>
              </w:rPr>
              <w:t>其他：采购公告与中标公告发布网站：</w:t>
            </w:r>
            <w:r>
              <w:rPr>
                <w:rFonts w:hint="eastAsia" w:ascii="Times New Roman" w:hAnsi="Times New Roman" w:cs="Arial"/>
                <w:szCs w:val="21"/>
              </w:rPr>
              <w:t>浙江政府采购网（http://zfcg.czt.zj.gov.cn/）、宁波市公共资源交易网鄞州区分网（http://bidding.ningbo.gov.cn/yinzhou/）、中冠工程管理咨询有限公司网站（www.zhongguanzixun.com）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167" w:hRule="atLeast"/>
          <w:jc w:val="center"/>
        </w:trPr>
        <w:tc>
          <w:tcPr>
            <w:tcW w:w="823" w:type="dxa"/>
            <w:tcBorders>
              <w:bottom w:val="single" w:color="auto" w:sz="2" w:space="0"/>
            </w:tcBorders>
            <w:noWrap w:val="0"/>
            <w:vAlign w:val="center"/>
          </w:tcPr>
          <w:p>
            <w:pPr>
              <w:autoSpaceDE w:val="0"/>
              <w:autoSpaceDN w:val="0"/>
              <w:snapToGrid w:val="0"/>
              <w:spacing w:line="340" w:lineRule="exact"/>
              <w:ind w:left="-95" w:right="-129"/>
              <w:contextualSpacing/>
              <w:jc w:val="center"/>
              <w:rPr>
                <w:rFonts w:ascii="Times New Roman" w:hAnsi="Times New Roman"/>
                <w:szCs w:val="21"/>
              </w:rPr>
            </w:pPr>
            <w:r>
              <w:rPr>
                <w:rFonts w:hint="eastAsia" w:ascii="Times New Roman" w:hAnsi="Times New Roman"/>
                <w:szCs w:val="21"/>
              </w:rPr>
              <w:t>11</w:t>
            </w:r>
          </w:p>
        </w:tc>
        <w:tc>
          <w:tcPr>
            <w:tcW w:w="8874" w:type="dxa"/>
            <w:noWrap w:val="0"/>
            <w:vAlign w:val="center"/>
          </w:tcPr>
          <w:p>
            <w:pPr>
              <w:autoSpaceDE w:val="0"/>
              <w:autoSpaceDN w:val="0"/>
              <w:snapToGrid w:val="0"/>
              <w:spacing w:line="340" w:lineRule="exact"/>
              <w:contextualSpacing/>
              <w:rPr>
                <w:rFonts w:hint="eastAsia" w:ascii="Times New Roman" w:hAnsi="Times New Roman"/>
                <w:szCs w:val="21"/>
              </w:rPr>
            </w:pPr>
            <w:r>
              <w:rPr>
                <w:rFonts w:hint="eastAsia" w:ascii="Times New Roman" w:hAnsi="Times New Roman"/>
                <w:szCs w:val="21"/>
              </w:rPr>
              <w:t>招标服务费：</w:t>
            </w:r>
          </w:p>
          <w:p>
            <w:pPr>
              <w:autoSpaceDE w:val="0"/>
              <w:autoSpaceDN w:val="0"/>
              <w:snapToGrid w:val="0"/>
              <w:spacing w:line="340" w:lineRule="exact"/>
              <w:contextualSpacing/>
              <w:rPr>
                <w:rFonts w:hint="eastAsia" w:ascii="Times New Roman" w:hAnsi="Times New Roman" w:cs="宋体"/>
                <w:bCs/>
                <w:szCs w:val="21"/>
              </w:rPr>
            </w:pPr>
            <w:r>
              <w:rPr>
                <w:rFonts w:hint="eastAsia" w:ascii="Times New Roman" w:hAnsi="Times New Roman"/>
                <w:szCs w:val="21"/>
              </w:rPr>
              <w:t>1、</w:t>
            </w:r>
            <w:r>
              <w:rPr>
                <w:rFonts w:hint="eastAsia" w:ascii="Times New Roman" w:hAnsi="Times New Roman" w:cs="宋体"/>
                <w:bCs/>
                <w:szCs w:val="21"/>
              </w:rPr>
              <w:t>本项目招标代理服务费用按照</w:t>
            </w:r>
            <w:r>
              <w:rPr>
                <w:rFonts w:hint="eastAsia" w:ascii="宋体" w:hAnsi="宋体" w:cs="宋体"/>
                <w:szCs w:val="21"/>
              </w:rPr>
              <w:t>中标通知书确定的中标总金额</w:t>
            </w:r>
            <w:r>
              <w:rPr>
                <w:rFonts w:hint="eastAsia" w:ascii="Times New Roman" w:hAnsi="Times New Roman" w:cs="宋体"/>
                <w:bCs/>
                <w:szCs w:val="21"/>
              </w:rPr>
              <w:t>，参照国家发改委发改办价格[2003]857号通知和国家计委计价格[2002]1980号文件中招标费率规定的服务类标准（见下表）计取，由中标人支付。</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6"/>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 w:hRule="atLeast"/>
              </w:trPr>
              <w:tc>
                <w:tcPr>
                  <w:tcW w:w="4846" w:type="dxa"/>
                  <w:tcBorders>
                    <w:tl2br w:val="single" w:color="auto" w:sz="4" w:space="0"/>
                  </w:tcBorders>
                  <w:noWrap w:val="0"/>
                  <w:vAlign w:val="top"/>
                </w:tcPr>
                <w:p>
                  <w:pPr>
                    <w:spacing w:line="320" w:lineRule="exact"/>
                    <w:contextualSpacing/>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 AQAADwAAAGRycy9kb3ducmV2LnhtbE2Py07DMBBF90j8gzVIbKrUTpGghDhdANmxoYDYTuMhiYjH aew+4OuZigWs5nV159xydfSD2tMU+8AW8rkBRdwE13Nr4fWlzpagYkJ2OAQmC18UYVWdn5VYuHDg Z9qvU6vEhGOBFrqUxkLr2HTkMc7DSCy3jzB5TDJOrXYTHsTcD3phzLX22LN86HCk+46az/XOW4j1 G23r71kzM+9XbaDF9uHpEa29vMjNHahEx/QnhhO+oEMlTJuwYxfVYCHLl5IlnRqpIsjym1tQm9+F rkr9P0H1A1BLAwQUAAAACACHTuJA8e/ogMYBAACnAwAADgAAAGRycy9lMm9Eb2MueG1srVPBbtsw DL0P2D8Iui9OAnTYjDg9JGgv2Rag3QcokmwLlURBVGLn70fJSdZ2lx7mgyCK5CPfI726H51lJx3R gG/4YjbnTHsJyviu4b+fH7584wyT8EpY8LrhZ438fv3502oItV5CD1bpyAjEYz2EhvcphbqqUPba CZxB0J6cLUQnEpmxq1QUA6E7Wy3n86/VAFGFCFIj0ut2cvILYvwIILStkXoL8ui0TxNq1FYkooS9 CcjXpdu21TL9alvUidmGE9NUTipC90M+q/VK1F0UoTfy0oL4SAvvODlhPBW9QW1FEuwYzT9QzsgI CG2aSXDVRKQoQiwW83faPPUi6MKFpMZwEx3/H6z8edpHZhRtAmdeOBr4znjNllmZIWBNARu/j5mb HP1T2IF8QeZh0wvf6dLh8zlQ2iJnVG9SsoGB8A/DD1AUI44JikxjG12GJAHYWKZxvk1Dj4nJ6VFe XytRX1NCxPSowbF8abilbgukOO0w5RZEfQ3JFTw8GGvLmK1nQ8O/3y3vSgKCNSo7cxjG7rCxkZ1E XpTyFT7keR0W4ejVVMT6nKfLjl0qX/lOyh1AnffxKgrNr/R22bW8IK/tIt3f/2v9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GuR037VAAAACQEAAA8AAAAAAAAAAQAgAAAAIgAAAGRycy9kb3ducmV2 LnhtbFBLAQIUABQAAAAIAIdO4kDx7+iAxgEAAKcDAAAOAAAAAAAAAAEAIAAAACQBAABkcnMvZTJv RG9jLnhtbFBLBQYAAAAABgAGAFkBAABcBQAAAAA= ">
                            <v:fill on="f" focussize="0,0"/>
                            <v:stroke color="#000000" joinstyle="round"/>
                            <v:imagedata o:title=""/>
                            <o:lock v:ext="edit" aspectratio="f"/>
                          </v:line>
                        </w:pict>
                      </mc:Fallback>
                    </mc:AlternateContent>
                  </w:r>
                  <w:r>
                    <w:rPr>
                      <w:rFonts w:hint="eastAsia" w:ascii="宋体" w:hAnsi="宋体" w:cs="宋体"/>
                      <w:b/>
                      <w:szCs w:val="21"/>
                    </w:rPr>
                    <w:t xml:space="preserve">                      费率</w:t>
                  </w:r>
                </w:p>
                <w:p>
                  <w:pPr>
                    <w:spacing w:line="320" w:lineRule="exact"/>
                    <w:contextualSpacing/>
                    <w:rPr>
                      <w:rFonts w:hint="eastAsia" w:ascii="宋体" w:hAnsi="宋体" w:cs="宋体"/>
                      <w:b/>
                      <w:szCs w:val="21"/>
                    </w:rPr>
                  </w:pPr>
                  <w:r>
                    <w:rPr>
                      <w:rFonts w:hint="eastAsia" w:ascii="宋体" w:hAnsi="宋体" w:cs="宋体"/>
                      <w:b/>
                      <w:szCs w:val="21"/>
                    </w:rPr>
                    <w:t>中标金额（万元）</w:t>
                  </w:r>
                </w:p>
              </w:tc>
              <w:tc>
                <w:tcPr>
                  <w:tcW w:w="3468" w:type="dxa"/>
                  <w:noWrap w:val="0"/>
                  <w:vAlign w:val="center"/>
                </w:tcPr>
                <w:p>
                  <w:pPr>
                    <w:spacing w:line="320" w:lineRule="exact"/>
                    <w:contextualSpacing/>
                    <w:jc w:val="center"/>
                    <w:rPr>
                      <w:rFonts w:hint="eastAsia" w:ascii="宋体" w:hAnsi="宋体" w:cs="宋体"/>
                      <w:b/>
                      <w:szCs w:val="21"/>
                    </w:rPr>
                  </w:pPr>
                  <w:r>
                    <w:rPr>
                      <w:rFonts w:hint="eastAsia" w:ascii="宋体" w:hAnsi="宋体" w:cs="宋体"/>
                      <w:b/>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 w:hRule="atLeast"/>
              </w:trPr>
              <w:tc>
                <w:tcPr>
                  <w:tcW w:w="4846"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100以下</w:t>
                  </w:r>
                </w:p>
              </w:tc>
              <w:tc>
                <w:tcPr>
                  <w:tcW w:w="3468"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 w:hRule="atLeast"/>
              </w:trPr>
              <w:tc>
                <w:tcPr>
                  <w:tcW w:w="4846"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100-500</w:t>
                  </w:r>
                </w:p>
              </w:tc>
              <w:tc>
                <w:tcPr>
                  <w:tcW w:w="3468"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 w:hRule="atLeast"/>
              </w:trPr>
              <w:tc>
                <w:tcPr>
                  <w:tcW w:w="4846"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500-1000</w:t>
                  </w:r>
                </w:p>
              </w:tc>
              <w:tc>
                <w:tcPr>
                  <w:tcW w:w="3468"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 w:hRule="atLeast"/>
              </w:trPr>
              <w:tc>
                <w:tcPr>
                  <w:tcW w:w="4846"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1000-5000</w:t>
                  </w:r>
                </w:p>
              </w:tc>
              <w:tc>
                <w:tcPr>
                  <w:tcW w:w="3468"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 w:hRule="atLeast"/>
              </w:trPr>
              <w:tc>
                <w:tcPr>
                  <w:tcW w:w="4846"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5000-10000</w:t>
                  </w:r>
                </w:p>
              </w:tc>
              <w:tc>
                <w:tcPr>
                  <w:tcW w:w="3468" w:type="dxa"/>
                  <w:noWrap w:val="0"/>
                  <w:vAlign w:val="center"/>
                </w:tcPr>
                <w:p>
                  <w:pPr>
                    <w:spacing w:line="320" w:lineRule="exact"/>
                    <w:contextualSpacing/>
                    <w:jc w:val="center"/>
                    <w:rPr>
                      <w:rFonts w:hint="eastAsia" w:ascii="宋体" w:hAnsi="宋体" w:cs="宋体"/>
                      <w:szCs w:val="21"/>
                    </w:rPr>
                  </w:pPr>
                  <w:r>
                    <w:rPr>
                      <w:rFonts w:hint="eastAsia" w:ascii="宋体" w:hAnsi="宋体" w:cs="宋体"/>
                      <w:szCs w:val="21"/>
                    </w:rPr>
                    <w:t>0.1%</w:t>
                  </w:r>
                </w:p>
              </w:tc>
            </w:tr>
          </w:tbl>
          <w:p>
            <w:pPr>
              <w:autoSpaceDE w:val="0"/>
              <w:autoSpaceDN w:val="0"/>
              <w:snapToGrid w:val="0"/>
              <w:spacing w:line="340" w:lineRule="exact"/>
              <w:contextualSpacing/>
              <w:rPr>
                <w:rFonts w:ascii="Times New Roman" w:hAnsi="Times New Roman"/>
                <w:szCs w:val="21"/>
              </w:rPr>
            </w:pPr>
            <w:r>
              <w:rPr>
                <w:rFonts w:hint="eastAsia" w:ascii="Times New Roman" w:hAnsi="Times New Roman"/>
                <w:szCs w:val="21"/>
              </w:rPr>
              <w:t>2、中标人应在</w:t>
            </w:r>
            <w:r>
              <w:rPr>
                <w:rFonts w:hint="eastAsia" w:ascii="Times New Roman" w:hAnsi="Times New Roman"/>
              </w:rPr>
              <w:t>接到代理机构通知</w:t>
            </w:r>
            <w:r>
              <w:rPr>
                <w:rFonts w:ascii="Times New Roman" w:hAnsi="Times New Roman"/>
              </w:rPr>
              <w:t>之日起</w:t>
            </w:r>
            <w:r>
              <w:rPr>
                <w:rFonts w:hint="eastAsia" w:ascii="Times New Roman" w:hAnsi="Times New Roman"/>
                <w:bCs/>
              </w:rPr>
              <w:t>5个工作日之</w:t>
            </w:r>
            <w:r>
              <w:rPr>
                <w:rFonts w:hint="eastAsia" w:ascii="Times New Roman" w:hAnsi="Times New Roman"/>
                <w:szCs w:val="21"/>
              </w:rPr>
              <w:t>内向采购代理机构支付招标服务费。</w:t>
            </w:r>
          </w:p>
        </w:tc>
      </w:tr>
    </w:tbl>
    <w:p>
      <w:pPr>
        <w:pStyle w:val="46"/>
        <w:rPr>
          <w:rFonts w:ascii="Times New Roman" w:hAnsi="Times New Roman"/>
        </w:rPr>
      </w:pPr>
      <w:r>
        <w:rPr>
          <w:rFonts w:ascii="Times New Roman" w:hAnsi="Times New Roman"/>
        </w:rPr>
        <w:br w:type="page"/>
      </w:r>
      <w:bookmarkStart w:id="20" w:name="_Toc89855393"/>
      <w:bookmarkStart w:id="21" w:name="_Toc96720894"/>
      <w:r>
        <w:rPr>
          <w:rFonts w:hint="eastAsia" w:ascii="Times New Roman" w:hAnsi="Times New Roman"/>
        </w:rPr>
        <w:t>第三部分 投标人须知</w:t>
      </w:r>
      <w:bookmarkEnd w:id="20"/>
      <w:bookmarkEnd w:id="21"/>
      <w:bookmarkStart w:id="22" w:name="_Toc430790211"/>
      <w:bookmarkStart w:id="23" w:name="_Toc445193544"/>
      <w:bookmarkStart w:id="24" w:name="_Toc429407690"/>
      <w:bookmarkStart w:id="25" w:name="_Toc425151730"/>
      <w:bookmarkStart w:id="26" w:name="_Toc425780274"/>
      <w:bookmarkStart w:id="27" w:name="_Toc336528583"/>
      <w:bookmarkStart w:id="28" w:name="_Toc456853669"/>
    </w:p>
    <w:p/>
    <w:p>
      <w:pPr>
        <w:pStyle w:val="2"/>
        <w:spacing w:line="360" w:lineRule="auto"/>
        <w:contextualSpacing/>
        <w:rPr>
          <w:rFonts w:ascii="Times New Roman"/>
          <w:szCs w:val="28"/>
        </w:rPr>
      </w:pPr>
      <w:r>
        <w:rPr>
          <w:rFonts w:hint="eastAsia" w:ascii="Times New Roman"/>
          <w:szCs w:val="28"/>
        </w:rPr>
        <w:t>一、</w:t>
      </w:r>
      <w:r>
        <w:rPr>
          <w:rFonts w:ascii="Times New Roman"/>
          <w:szCs w:val="28"/>
        </w:rPr>
        <w:t>说明</w:t>
      </w:r>
    </w:p>
    <w:p>
      <w:pPr>
        <w:pStyle w:val="4"/>
        <w:tabs>
          <w:tab w:val="left" w:pos="350"/>
        </w:tabs>
        <w:spacing w:before="0" w:after="0" w:line="360" w:lineRule="auto"/>
        <w:contextualSpacing/>
        <w:rPr>
          <w:b w:val="0"/>
          <w:sz w:val="21"/>
          <w:szCs w:val="21"/>
        </w:rPr>
      </w:pPr>
      <w:r>
        <w:rPr>
          <w:rFonts w:hint="eastAsia"/>
          <w:b w:val="0"/>
          <w:sz w:val="21"/>
          <w:szCs w:val="21"/>
        </w:rPr>
        <w:t>1、</w:t>
      </w:r>
      <w:r>
        <w:rPr>
          <w:b w:val="0"/>
          <w:sz w:val="21"/>
          <w:szCs w:val="21"/>
        </w:rPr>
        <w:t>项目概况</w:t>
      </w:r>
    </w:p>
    <w:p>
      <w:pPr>
        <w:spacing w:line="360" w:lineRule="auto"/>
        <w:ind w:firstLine="420" w:firstLineChars="200"/>
        <w:contextualSpacing/>
        <w:rPr>
          <w:szCs w:val="21"/>
        </w:rPr>
      </w:pPr>
      <w:r>
        <w:rPr>
          <w:rFonts w:hint="eastAsia"/>
          <w:szCs w:val="21"/>
        </w:rPr>
        <w:t>1.1</w:t>
      </w:r>
      <w:r>
        <w:rPr>
          <w:szCs w:val="21"/>
        </w:rPr>
        <w:t>采购人的项目（载明在《投标资料表》中）已经政府采购行政管理部门批准。采购人委托中冠工程管理咨询有限公司代理本次招标采购工作。有关采购人、</w:t>
      </w:r>
      <w:r>
        <w:rPr>
          <w:rFonts w:hint="eastAsia"/>
          <w:szCs w:val="21"/>
        </w:rPr>
        <w:t>采购代理机构</w:t>
      </w:r>
      <w:r>
        <w:rPr>
          <w:szCs w:val="21"/>
        </w:rPr>
        <w:t>的名称、联系人、电话、传真等信息载明在《投标资料表》中。</w:t>
      </w:r>
    </w:p>
    <w:p>
      <w:pPr>
        <w:spacing w:line="360" w:lineRule="auto"/>
        <w:ind w:firstLine="420" w:firstLineChars="200"/>
        <w:contextualSpacing/>
        <w:rPr>
          <w:sz w:val="24"/>
          <w:szCs w:val="24"/>
        </w:rPr>
      </w:pPr>
      <w:r>
        <w:rPr>
          <w:rFonts w:hint="eastAsia"/>
          <w:szCs w:val="21"/>
        </w:rPr>
        <w:t>1.2</w:t>
      </w:r>
      <w:r>
        <w:rPr>
          <w:szCs w:val="21"/>
        </w:rPr>
        <w:t>经批准的本次采购方式载明在《投标资料表》中。</w:t>
      </w:r>
    </w:p>
    <w:p>
      <w:pPr>
        <w:pStyle w:val="2"/>
        <w:spacing w:line="360" w:lineRule="auto"/>
        <w:contextualSpacing/>
        <w:rPr>
          <w:rFonts w:ascii="Times New Roman"/>
          <w:szCs w:val="28"/>
        </w:rPr>
      </w:pPr>
      <w:r>
        <w:rPr>
          <w:rFonts w:hint="eastAsia" w:ascii="Times New Roman"/>
          <w:szCs w:val="28"/>
        </w:rPr>
        <w:t>二、</w:t>
      </w:r>
      <w:r>
        <w:rPr>
          <w:rFonts w:ascii="Times New Roman"/>
          <w:szCs w:val="28"/>
        </w:rPr>
        <w:t>投标人</w:t>
      </w:r>
    </w:p>
    <w:p>
      <w:pPr>
        <w:pStyle w:val="4"/>
        <w:tabs>
          <w:tab w:val="left" w:pos="350"/>
        </w:tabs>
        <w:spacing w:before="0" w:after="0" w:line="360" w:lineRule="auto"/>
        <w:contextualSpacing/>
        <w:rPr>
          <w:b w:val="0"/>
          <w:sz w:val="21"/>
          <w:szCs w:val="21"/>
        </w:rPr>
      </w:pPr>
      <w:r>
        <w:rPr>
          <w:rFonts w:hint="eastAsia"/>
          <w:b w:val="0"/>
          <w:sz w:val="21"/>
          <w:szCs w:val="21"/>
        </w:rPr>
        <w:t>2、</w:t>
      </w:r>
      <w:r>
        <w:rPr>
          <w:b w:val="0"/>
          <w:sz w:val="21"/>
          <w:szCs w:val="21"/>
        </w:rPr>
        <w:t>合格的投标人</w:t>
      </w:r>
    </w:p>
    <w:p>
      <w:pPr>
        <w:spacing w:line="360" w:lineRule="auto"/>
        <w:ind w:firstLine="420" w:firstLineChars="200"/>
        <w:contextualSpacing/>
        <w:rPr>
          <w:szCs w:val="21"/>
        </w:rPr>
      </w:pPr>
      <w:r>
        <w:rPr>
          <w:rFonts w:hint="eastAsia"/>
          <w:szCs w:val="21"/>
        </w:rPr>
        <w:t>2.1</w:t>
      </w:r>
      <w:r>
        <w:rPr>
          <w:szCs w:val="21"/>
        </w:rPr>
        <w:t>投标人应该是符合《投标资料表》的报名条件，符合、承认并承诺履行本采购文件各项要求的具有独立法人资格的中国境内企业或组织。</w:t>
      </w:r>
    </w:p>
    <w:p>
      <w:pPr>
        <w:spacing w:line="360" w:lineRule="auto"/>
        <w:ind w:firstLine="420" w:firstLineChars="200"/>
        <w:contextualSpacing/>
        <w:rPr>
          <w:szCs w:val="21"/>
        </w:rPr>
      </w:pPr>
      <w:r>
        <w:rPr>
          <w:rFonts w:hint="eastAsia"/>
          <w:szCs w:val="21"/>
        </w:rPr>
        <w:t>2.2</w:t>
      </w:r>
      <w:r>
        <w:rPr>
          <w:szCs w:val="21"/>
        </w:rPr>
        <w:t>参加本次投标活动的投标人应具备以下条件，并遵守国家有关的法律、法令和条例的规定：</w:t>
      </w:r>
    </w:p>
    <w:p>
      <w:pPr>
        <w:tabs>
          <w:tab w:val="left" w:pos="709"/>
        </w:tabs>
        <w:spacing w:line="360" w:lineRule="auto"/>
        <w:ind w:firstLine="420" w:firstLineChars="200"/>
        <w:contextualSpacing/>
        <w:rPr>
          <w:szCs w:val="21"/>
        </w:rPr>
      </w:pPr>
      <w:r>
        <w:rPr>
          <w:rFonts w:hint="eastAsia"/>
          <w:szCs w:val="21"/>
        </w:rPr>
        <w:t>（</w:t>
      </w:r>
      <w:r>
        <w:rPr>
          <w:szCs w:val="21"/>
        </w:rPr>
        <w:t>1</w:t>
      </w:r>
      <w:r>
        <w:rPr>
          <w:rFonts w:hint="eastAsia"/>
          <w:szCs w:val="21"/>
        </w:rPr>
        <w:t>）</w:t>
      </w:r>
      <w:r>
        <w:rPr>
          <w:szCs w:val="21"/>
        </w:rPr>
        <w:t>具有良好的商业信誉和健全的财务会计制度；</w:t>
      </w:r>
    </w:p>
    <w:p>
      <w:pPr>
        <w:tabs>
          <w:tab w:val="left" w:pos="709"/>
        </w:tabs>
        <w:spacing w:line="360" w:lineRule="auto"/>
        <w:ind w:firstLine="420" w:firstLineChars="200"/>
        <w:contextualSpacing/>
        <w:rPr>
          <w:szCs w:val="21"/>
        </w:rPr>
      </w:pPr>
      <w:r>
        <w:rPr>
          <w:rFonts w:hint="eastAsia"/>
          <w:szCs w:val="21"/>
        </w:rPr>
        <w:t>（</w:t>
      </w:r>
      <w:r>
        <w:rPr>
          <w:szCs w:val="21"/>
        </w:rPr>
        <w:t>2</w:t>
      </w:r>
      <w:r>
        <w:rPr>
          <w:rFonts w:hint="eastAsia"/>
          <w:szCs w:val="21"/>
        </w:rPr>
        <w:t>）</w:t>
      </w:r>
      <w:r>
        <w:rPr>
          <w:szCs w:val="21"/>
        </w:rPr>
        <w:t>具有履行合同要求提供服务所必须的设备、人员和专业技术能力；</w:t>
      </w:r>
    </w:p>
    <w:p>
      <w:pPr>
        <w:tabs>
          <w:tab w:val="left" w:pos="709"/>
        </w:tabs>
        <w:spacing w:line="360" w:lineRule="auto"/>
        <w:ind w:firstLine="420" w:firstLineChars="200"/>
        <w:contextualSpacing/>
        <w:rPr>
          <w:szCs w:val="21"/>
        </w:rPr>
      </w:pPr>
      <w:r>
        <w:rPr>
          <w:rFonts w:hint="eastAsia"/>
          <w:szCs w:val="21"/>
        </w:rPr>
        <w:t>（</w:t>
      </w:r>
      <w:r>
        <w:rPr>
          <w:szCs w:val="21"/>
        </w:rPr>
        <w:t>3</w:t>
      </w:r>
      <w:r>
        <w:rPr>
          <w:rFonts w:hint="eastAsia"/>
          <w:szCs w:val="21"/>
        </w:rPr>
        <w:t>）</w:t>
      </w:r>
      <w:r>
        <w:rPr>
          <w:szCs w:val="21"/>
        </w:rPr>
        <w:t>有依法缴纳税收和社会保障资金的良好纪录；</w:t>
      </w:r>
    </w:p>
    <w:p>
      <w:pPr>
        <w:tabs>
          <w:tab w:val="left" w:pos="709"/>
        </w:tabs>
        <w:spacing w:line="360" w:lineRule="auto"/>
        <w:ind w:firstLine="420" w:firstLineChars="200"/>
        <w:contextualSpacing/>
        <w:rPr>
          <w:szCs w:val="21"/>
        </w:rPr>
      </w:pPr>
      <w:r>
        <w:rPr>
          <w:rFonts w:hint="eastAsia"/>
          <w:szCs w:val="21"/>
        </w:rPr>
        <w:t>（</w:t>
      </w:r>
      <w:r>
        <w:rPr>
          <w:szCs w:val="21"/>
        </w:rPr>
        <w:t>4</w:t>
      </w:r>
      <w:r>
        <w:rPr>
          <w:rFonts w:hint="eastAsia"/>
          <w:szCs w:val="21"/>
        </w:rPr>
        <w:t>）</w:t>
      </w:r>
      <w:r>
        <w:rPr>
          <w:szCs w:val="21"/>
        </w:rPr>
        <w:t>参加本次</w:t>
      </w:r>
      <w:r>
        <w:rPr>
          <w:rFonts w:hint="eastAsia"/>
          <w:szCs w:val="21"/>
        </w:rPr>
        <w:t>投标</w:t>
      </w:r>
      <w:r>
        <w:rPr>
          <w:szCs w:val="21"/>
        </w:rPr>
        <w:t>活动之前三年内经营活动无重大违法纪录</w:t>
      </w:r>
      <w:r>
        <w:rPr>
          <w:rFonts w:hint="eastAsia"/>
          <w:szCs w:val="21"/>
        </w:rPr>
        <w:t>；</w:t>
      </w:r>
    </w:p>
    <w:p>
      <w:pPr>
        <w:tabs>
          <w:tab w:val="left" w:pos="709"/>
        </w:tabs>
        <w:spacing w:line="360" w:lineRule="auto"/>
        <w:ind w:firstLine="420" w:firstLineChars="200"/>
        <w:contextualSpacing/>
        <w:rPr>
          <w:szCs w:val="21"/>
        </w:rPr>
      </w:pPr>
      <w:r>
        <w:rPr>
          <w:rFonts w:hint="eastAsia"/>
          <w:szCs w:val="21"/>
        </w:rPr>
        <w:t>（</w:t>
      </w:r>
      <w:r>
        <w:rPr>
          <w:szCs w:val="21"/>
        </w:rPr>
        <w:t>5</w:t>
      </w:r>
      <w:r>
        <w:rPr>
          <w:rFonts w:hint="eastAsia"/>
          <w:szCs w:val="21"/>
        </w:rPr>
        <w:t>）满足采购人为获得满意服务供应而提出的其他要求。（见采购文件中资格要求）</w:t>
      </w:r>
    </w:p>
    <w:p>
      <w:pPr>
        <w:tabs>
          <w:tab w:val="left" w:pos="709"/>
        </w:tabs>
        <w:spacing w:line="360" w:lineRule="auto"/>
        <w:ind w:firstLine="420" w:firstLineChars="200"/>
        <w:contextualSpacing/>
        <w:rPr>
          <w:szCs w:val="21"/>
        </w:rPr>
      </w:pPr>
      <w:r>
        <w:rPr>
          <w:rFonts w:hint="eastAsia"/>
          <w:szCs w:val="21"/>
        </w:rPr>
        <w:t>（</w:t>
      </w:r>
      <w:r>
        <w:rPr>
          <w:szCs w:val="21"/>
        </w:rPr>
        <w:t>6</w:t>
      </w:r>
      <w:r>
        <w:rPr>
          <w:rFonts w:hint="eastAsia"/>
          <w:szCs w:val="21"/>
        </w:rPr>
        <w:t>）单位负责人为同一人或者存在直接控股、管理关系的不同供应商，不得参加同一合同项下的政府采购活动；</w:t>
      </w:r>
    </w:p>
    <w:p>
      <w:pPr>
        <w:tabs>
          <w:tab w:val="left" w:pos="709"/>
        </w:tabs>
        <w:spacing w:line="360" w:lineRule="auto"/>
        <w:ind w:firstLine="420" w:firstLineChars="200"/>
        <w:contextualSpacing/>
        <w:rPr>
          <w:rFonts w:hint="eastAsia"/>
          <w:szCs w:val="21"/>
        </w:rPr>
      </w:pPr>
      <w:r>
        <w:rPr>
          <w:rFonts w:hint="eastAsia"/>
          <w:szCs w:val="21"/>
        </w:rPr>
        <w:t>（</w:t>
      </w:r>
      <w:r>
        <w:rPr>
          <w:szCs w:val="21"/>
        </w:rPr>
        <w:t>7</w:t>
      </w:r>
      <w:r>
        <w:rPr>
          <w:rFonts w:hint="eastAsia"/>
          <w:szCs w:val="21"/>
        </w:rPr>
        <w:t>）</w:t>
      </w:r>
      <w:r>
        <w:rPr>
          <w:szCs w:val="21"/>
        </w:rPr>
        <w:t>除单一来源采购项目外，为采购项目提供整体设计、规范编制或者项目管理、监理、检测等服务的供应商，不得再参加该采购项目的其他采购活动。</w:t>
      </w:r>
    </w:p>
    <w:p>
      <w:pPr>
        <w:pStyle w:val="4"/>
        <w:tabs>
          <w:tab w:val="left" w:pos="350"/>
        </w:tabs>
        <w:spacing w:before="0" w:after="0" w:line="360" w:lineRule="auto"/>
        <w:contextualSpacing/>
        <w:rPr>
          <w:b w:val="0"/>
          <w:sz w:val="21"/>
          <w:szCs w:val="21"/>
        </w:rPr>
      </w:pPr>
      <w:r>
        <w:rPr>
          <w:rFonts w:hint="eastAsia"/>
          <w:b w:val="0"/>
          <w:sz w:val="21"/>
          <w:szCs w:val="21"/>
        </w:rPr>
        <w:t>3、投标人代表</w:t>
      </w:r>
    </w:p>
    <w:p>
      <w:pPr>
        <w:tabs>
          <w:tab w:val="left" w:pos="709"/>
        </w:tabs>
        <w:spacing w:line="360" w:lineRule="auto"/>
        <w:ind w:firstLine="420" w:firstLineChars="200"/>
        <w:contextualSpacing/>
        <w:rPr>
          <w:szCs w:val="21"/>
        </w:rPr>
      </w:pPr>
      <w:r>
        <w:rPr>
          <w:rFonts w:hint="eastAsia"/>
          <w:szCs w:val="21"/>
        </w:rPr>
        <w:t>若投标人为具有独立法人资格的中国境内企业或组织必须为该企业或组织的人员，若投标人为自然人必须为中国合法公民。</w:t>
      </w:r>
    </w:p>
    <w:p>
      <w:pPr>
        <w:pStyle w:val="4"/>
        <w:tabs>
          <w:tab w:val="left" w:pos="350"/>
        </w:tabs>
        <w:spacing w:before="0" w:after="0" w:line="360" w:lineRule="auto"/>
        <w:contextualSpacing/>
        <w:rPr>
          <w:b w:val="0"/>
          <w:sz w:val="21"/>
          <w:szCs w:val="21"/>
        </w:rPr>
      </w:pPr>
      <w:r>
        <w:rPr>
          <w:rFonts w:hint="eastAsia"/>
          <w:b w:val="0"/>
          <w:sz w:val="21"/>
          <w:szCs w:val="21"/>
        </w:rPr>
        <w:t>4、</w:t>
      </w:r>
      <w:r>
        <w:rPr>
          <w:b w:val="0"/>
          <w:sz w:val="21"/>
          <w:szCs w:val="21"/>
        </w:rPr>
        <w:t>投标费用</w:t>
      </w:r>
    </w:p>
    <w:p>
      <w:pPr>
        <w:tabs>
          <w:tab w:val="left" w:pos="709"/>
        </w:tabs>
        <w:spacing w:line="360" w:lineRule="auto"/>
        <w:ind w:firstLine="420" w:firstLineChars="200"/>
        <w:contextualSpacing/>
        <w:rPr>
          <w:szCs w:val="21"/>
        </w:rPr>
      </w:pPr>
      <w:r>
        <w:rPr>
          <w:szCs w:val="21"/>
        </w:rPr>
        <w:t>不论招标的结果如何，投标人自行承担其参加本次投标有关的全部费用。</w:t>
      </w:r>
    </w:p>
    <w:p>
      <w:pPr>
        <w:pStyle w:val="4"/>
        <w:tabs>
          <w:tab w:val="left" w:pos="350"/>
        </w:tabs>
        <w:spacing w:before="0" w:after="0" w:line="360" w:lineRule="auto"/>
        <w:contextualSpacing/>
        <w:rPr>
          <w:b w:val="0"/>
          <w:sz w:val="21"/>
          <w:szCs w:val="21"/>
        </w:rPr>
      </w:pPr>
      <w:r>
        <w:rPr>
          <w:rFonts w:hint="eastAsia"/>
          <w:b w:val="0"/>
          <w:sz w:val="21"/>
          <w:szCs w:val="21"/>
        </w:rPr>
        <w:t>5、特别</w:t>
      </w:r>
      <w:r>
        <w:rPr>
          <w:b w:val="0"/>
          <w:sz w:val="21"/>
          <w:szCs w:val="21"/>
        </w:rPr>
        <w:t>说明</w:t>
      </w:r>
      <w:r>
        <w:rPr>
          <w:rFonts w:hint="eastAsia"/>
          <w:b w:val="0"/>
          <w:sz w:val="21"/>
          <w:szCs w:val="21"/>
        </w:rPr>
        <w:t>（针对</w:t>
      </w:r>
      <w:r>
        <w:rPr>
          <w:b w:val="0"/>
          <w:sz w:val="21"/>
          <w:szCs w:val="21"/>
        </w:rPr>
        <w:t>货物采购</w:t>
      </w:r>
      <w:r>
        <w:rPr>
          <w:rFonts w:hint="eastAsia"/>
          <w:b w:val="0"/>
          <w:sz w:val="21"/>
          <w:szCs w:val="21"/>
        </w:rPr>
        <w:t>）：不适用。</w:t>
      </w:r>
    </w:p>
    <w:p>
      <w:pPr>
        <w:pStyle w:val="2"/>
        <w:spacing w:line="360" w:lineRule="auto"/>
        <w:contextualSpacing/>
        <w:rPr>
          <w:rFonts w:ascii="Times New Roman"/>
          <w:szCs w:val="28"/>
        </w:rPr>
      </w:pPr>
      <w:r>
        <w:rPr>
          <w:rFonts w:hint="eastAsia" w:ascii="Times New Roman"/>
          <w:szCs w:val="28"/>
        </w:rPr>
        <w:t>三、</w:t>
      </w:r>
      <w:r>
        <w:rPr>
          <w:rFonts w:ascii="Times New Roman"/>
          <w:szCs w:val="28"/>
        </w:rPr>
        <w:t>采购文件</w:t>
      </w:r>
    </w:p>
    <w:p>
      <w:pPr>
        <w:spacing w:line="360" w:lineRule="auto"/>
        <w:contextualSpacing/>
        <w:rPr>
          <w:szCs w:val="21"/>
        </w:rPr>
      </w:pPr>
      <w:r>
        <w:rPr>
          <w:szCs w:val="21"/>
        </w:rPr>
        <w:t>6</w:t>
      </w:r>
      <w:r>
        <w:rPr>
          <w:rFonts w:hint="eastAsia"/>
          <w:szCs w:val="21"/>
        </w:rPr>
        <w:t>、</w:t>
      </w:r>
      <w:r>
        <w:rPr>
          <w:szCs w:val="21"/>
        </w:rPr>
        <w:t>采购文件的构成</w:t>
      </w:r>
    </w:p>
    <w:p>
      <w:pPr>
        <w:tabs>
          <w:tab w:val="left" w:pos="709"/>
        </w:tabs>
        <w:spacing w:line="360" w:lineRule="auto"/>
        <w:ind w:firstLine="420" w:firstLineChars="200"/>
        <w:contextualSpacing/>
        <w:rPr>
          <w:szCs w:val="21"/>
        </w:rPr>
      </w:pPr>
      <w:r>
        <w:rPr>
          <w:szCs w:val="21"/>
        </w:rPr>
        <w:t>采购文件</w:t>
      </w:r>
      <w:r>
        <w:rPr>
          <w:rFonts w:hint="eastAsia"/>
          <w:szCs w:val="21"/>
        </w:rPr>
        <w:t>含</w:t>
      </w:r>
      <w:r>
        <w:rPr>
          <w:szCs w:val="21"/>
        </w:rPr>
        <w:t>有</w:t>
      </w:r>
      <w:r>
        <w:rPr>
          <w:rFonts w:hint="eastAsia"/>
          <w:szCs w:val="21"/>
        </w:rPr>
        <w:t>以下</w:t>
      </w:r>
      <w:r>
        <w:rPr>
          <w:szCs w:val="21"/>
        </w:rPr>
        <w:t>部分，</w:t>
      </w:r>
      <w:r>
        <w:rPr>
          <w:rFonts w:hint="eastAsia"/>
          <w:szCs w:val="21"/>
        </w:rPr>
        <w:t>文本条款</w:t>
      </w:r>
      <w:r>
        <w:rPr>
          <w:szCs w:val="21"/>
        </w:rPr>
        <w:t>装订</w:t>
      </w:r>
      <w:r>
        <w:rPr>
          <w:rFonts w:hint="eastAsia"/>
          <w:szCs w:val="21"/>
        </w:rPr>
        <w:t>成册</w:t>
      </w:r>
      <w:r>
        <w:rPr>
          <w:szCs w:val="21"/>
        </w:rPr>
        <w:t>。内容如下：</w:t>
      </w:r>
    </w:p>
    <w:p>
      <w:pPr>
        <w:spacing w:line="360" w:lineRule="auto"/>
        <w:ind w:firstLine="420" w:firstLineChars="200"/>
        <w:contextualSpacing/>
        <w:rPr>
          <w:szCs w:val="21"/>
        </w:rPr>
      </w:pPr>
      <w:r>
        <w:rPr>
          <w:szCs w:val="21"/>
        </w:rPr>
        <w:t>第一部分</w:t>
      </w:r>
      <w:r>
        <w:rPr>
          <w:rFonts w:hint="eastAsia"/>
          <w:szCs w:val="21"/>
        </w:rPr>
        <w:t xml:space="preserve"> 采购公告</w:t>
      </w:r>
    </w:p>
    <w:p>
      <w:pPr>
        <w:spacing w:line="360" w:lineRule="auto"/>
        <w:ind w:firstLine="420" w:firstLineChars="200"/>
        <w:contextualSpacing/>
        <w:rPr>
          <w:szCs w:val="21"/>
        </w:rPr>
      </w:pPr>
      <w:r>
        <w:rPr>
          <w:rFonts w:hint="eastAsia"/>
          <w:szCs w:val="21"/>
        </w:rPr>
        <w:t>第二部分 投标资料表</w:t>
      </w:r>
    </w:p>
    <w:p>
      <w:pPr>
        <w:spacing w:line="360" w:lineRule="auto"/>
        <w:ind w:firstLine="420" w:firstLineChars="200"/>
        <w:contextualSpacing/>
        <w:rPr>
          <w:szCs w:val="21"/>
        </w:rPr>
      </w:pPr>
      <w:r>
        <w:rPr>
          <w:szCs w:val="21"/>
        </w:rPr>
        <w:t>第</w:t>
      </w:r>
      <w:r>
        <w:rPr>
          <w:rFonts w:hint="eastAsia"/>
          <w:szCs w:val="21"/>
        </w:rPr>
        <w:t>三</w:t>
      </w:r>
      <w:r>
        <w:rPr>
          <w:szCs w:val="21"/>
        </w:rPr>
        <w:t>部分</w:t>
      </w:r>
      <w:r>
        <w:rPr>
          <w:rFonts w:hint="eastAsia"/>
          <w:szCs w:val="21"/>
        </w:rPr>
        <w:t xml:space="preserve"> </w:t>
      </w:r>
      <w:r>
        <w:rPr>
          <w:szCs w:val="21"/>
        </w:rPr>
        <w:t>投标人须知</w:t>
      </w:r>
    </w:p>
    <w:p>
      <w:pPr>
        <w:spacing w:line="360" w:lineRule="auto"/>
        <w:ind w:firstLine="420" w:firstLineChars="200"/>
        <w:contextualSpacing/>
        <w:rPr>
          <w:szCs w:val="21"/>
        </w:rPr>
      </w:pPr>
      <w:r>
        <w:rPr>
          <w:szCs w:val="21"/>
        </w:rPr>
        <w:t>第</w:t>
      </w:r>
      <w:r>
        <w:rPr>
          <w:rFonts w:hint="eastAsia"/>
          <w:szCs w:val="21"/>
        </w:rPr>
        <w:t>四</w:t>
      </w:r>
      <w:r>
        <w:rPr>
          <w:szCs w:val="21"/>
        </w:rPr>
        <w:t>部分</w:t>
      </w:r>
      <w:r>
        <w:rPr>
          <w:rFonts w:hint="eastAsia"/>
          <w:szCs w:val="21"/>
        </w:rPr>
        <w:t xml:space="preserve"> 评标办法及</w:t>
      </w:r>
      <w:r>
        <w:rPr>
          <w:szCs w:val="21"/>
        </w:rPr>
        <w:t>标准</w:t>
      </w:r>
    </w:p>
    <w:p>
      <w:pPr>
        <w:spacing w:line="360" w:lineRule="auto"/>
        <w:ind w:firstLine="420" w:firstLineChars="200"/>
        <w:contextualSpacing/>
        <w:rPr>
          <w:szCs w:val="21"/>
        </w:rPr>
      </w:pPr>
      <w:r>
        <w:rPr>
          <w:szCs w:val="21"/>
        </w:rPr>
        <w:t>第</w:t>
      </w:r>
      <w:r>
        <w:rPr>
          <w:rFonts w:hint="eastAsia"/>
          <w:szCs w:val="21"/>
        </w:rPr>
        <w:t>五</w:t>
      </w:r>
      <w:r>
        <w:rPr>
          <w:szCs w:val="21"/>
        </w:rPr>
        <w:t>部分</w:t>
      </w:r>
      <w:r>
        <w:rPr>
          <w:rFonts w:hint="eastAsia"/>
          <w:szCs w:val="21"/>
        </w:rPr>
        <w:t xml:space="preserve"> 采购内容及要求</w:t>
      </w:r>
    </w:p>
    <w:p>
      <w:pPr>
        <w:spacing w:line="360" w:lineRule="auto"/>
        <w:ind w:firstLine="420" w:firstLineChars="200"/>
        <w:contextualSpacing/>
        <w:rPr>
          <w:szCs w:val="21"/>
        </w:rPr>
      </w:pPr>
      <w:r>
        <w:rPr>
          <w:szCs w:val="21"/>
        </w:rPr>
        <w:t>第</w:t>
      </w:r>
      <w:r>
        <w:rPr>
          <w:rFonts w:hint="eastAsia"/>
          <w:szCs w:val="21"/>
        </w:rPr>
        <w:t>六</w:t>
      </w:r>
      <w:r>
        <w:rPr>
          <w:szCs w:val="21"/>
        </w:rPr>
        <w:t>部分</w:t>
      </w:r>
      <w:r>
        <w:rPr>
          <w:rFonts w:hint="eastAsia"/>
          <w:szCs w:val="21"/>
        </w:rPr>
        <w:t xml:space="preserve"> 拟签订的合同文本</w:t>
      </w:r>
    </w:p>
    <w:p>
      <w:pPr>
        <w:spacing w:line="360" w:lineRule="auto"/>
        <w:ind w:firstLine="420" w:firstLineChars="200"/>
        <w:contextualSpacing/>
        <w:rPr>
          <w:szCs w:val="21"/>
        </w:rPr>
      </w:pPr>
      <w:r>
        <w:rPr>
          <w:szCs w:val="21"/>
        </w:rPr>
        <w:t>第七部分</w:t>
      </w:r>
      <w:r>
        <w:rPr>
          <w:rFonts w:hint="eastAsia"/>
          <w:szCs w:val="21"/>
        </w:rPr>
        <w:t xml:space="preserve"> 格式与表格</w:t>
      </w:r>
    </w:p>
    <w:p>
      <w:pPr>
        <w:tabs>
          <w:tab w:val="left" w:pos="709"/>
        </w:tabs>
        <w:spacing w:line="360" w:lineRule="auto"/>
        <w:ind w:firstLine="420" w:firstLineChars="200"/>
        <w:contextualSpacing/>
        <w:rPr>
          <w:szCs w:val="21"/>
        </w:rPr>
      </w:pPr>
      <w:r>
        <w:rPr>
          <w:szCs w:val="21"/>
        </w:rPr>
        <w:t>投标人应详细阅读采购文件的全部内容和要求，不按采购文件的要求递交投标文件和资料导致的风险由投标人承担。</w:t>
      </w:r>
    </w:p>
    <w:p>
      <w:pPr>
        <w:spacing w:line="360" w:lineRule="auto"/>
        <w:contextualSpacing/>
        <w:rPr>
          <w:szCs w:val="21"/>
        </w:rPr>
      </w:pPr>
      <w:r>
        <w:rPr>
          <w:szCs w:val="21"/>
        </w:rPr>
        <w:t>7</w:t>
      </w:r>
      <w:r>
        <w:rPr>
          <w:rFonts w:hint="eastAsia"/>
          <w:szCs w:val="21"/>
        </w:rPr>
        <w:t>、质疑与投诉</w:t>
      </w:r>
    </w:p>
    <w:p>
      <w:pPr>
        <w:tabs>
          <w:tab w:val="left" w:pos="709"/>
        </w:tabs>
        <w:spacing w:line="360" w:lineRule="auto"/>
        <w:ind w:firstLine="420" w:firstLineChars="200"/>
        <w:contextualSpacing/>
        <w:rPr>
          <w:szCs w:val="21"/>
        </w:rPr>
      </w:pPr>
      <w:r>
        <w:rPr>
          <w:szCs w:val="21"/>
        </w:rPr>
        <w:t>7</w:t>
      </w:r>
      <w:r>
        <w:rPr>
          <w:rFonts w:hint="eastAsia"/>
          <w:szCs w:val="21"/>
        </w:rPr>
        <w:t>.1</w:t>
      </w:r>
      <w:r>
        <w:rPr>
          <w:rFonts w:hint="eastAsia"/>
          <w:szCs w:val="21"/>
        </w:rPr>
        <w:tab/>
      </w:r>
      <w:r>
        <w:rPr>
          <w:rFonts w:hint="eastAsia"/>
          <w:szCs w:val="21"/>
        </w:rPr>
        <w:t>投标人认为采购文件、采购过程和中标、成交结果使自己的权益受到损害的，可以在知道或者应知其权益受到损害之日起七个工作日内，以书面形式向采购人、采购机构提出质疑</w:t>
      </w:r>
      <w:r>
        <w:rPr>
          <w:rFonts w:hint="eastAsia"/>
          <w:b/>
          <w:szCs w:val="21"/>
        </w:rPr>
        <w:t>（注</w:t>
      </w:r>
      <w:r>
        <w:rPr>
          <w:b/>
          <w:szCs w:val="21"/>
        </w:rPr>
        <w:t>：</w:t>
      </w:r>
      <w:r>
        <w:rPr>
          <w:rFonts w:hint="eastAsia"/>
          <w:b/>
          <w:szCs w:val="21"/>
        </w:rPr>
        <w:t>投标人须</w:t>
      </w:r>
      <w:r>
        <w:rPr>
          <w:b/>
          <w:szCs w:val="21"/>
        </w:rPr>
        <w:t>在法定质疑期内一次性提出针对同一采购程序环节的质疑</w:t>
      </w:r>
      <w:r>
        <w:rPr>
          <w:rFonts w:hint="eastAsia"/>
          <w:b/>
          <w:szCs w:val="21"/>
        </w:rPr>
        <w:t>）</w:t>
      </w:r>
      <w:r>
        <w:rPr>
          <w:rFonts w:hint="eastAsia"/>
          <w:szCs w:val="21"/>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tabs>
          <w:tab w:val="left" w:pos="709"/>
        </w:tabs>
        <w:spacing w:line="360" w:lineRule="auto"/>
        <w:ind w:firstLine="420" w:firstLineChars="200"/>
        <w:contextualSpacing/>
        <w:rPr>
          <w:szCs w:val="21"/>
        </w:rPr>
      </w:pPr>
      <w:r>
        <w:rPr>
          <w:szCs w:val="21"/>
        </w:rPr>
        <w:t>7</w:t>
      </w:r>
      <w:r>
        <w:rPr>
          <w:rFonts w:hint="eastAsia"/>
          <w:szCs w:val="21"/>
        </w:rPr>
        <w:t>.2</w:t>
      </w:r>
      <w:r>
        <w:rPr>
          <w:rFonts w:hint="eastAsia"/>
          <w:szCs w:val="21"/>
        </w:rPr>
        <w:tab/>
      </w:r>
      <w:r>
        <w:rPr>
          <w:rFonts w:hint="eastAsia"/>
          <w:szCs w:val="21"/>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tabs>
          <w:tab w:val="left" w:pos="709"/>
        </w:tabs>
        <w:spacing w:line="360" w:lineRule="auto"/>
        <w:ind w:firstLine="420" w:firstLineChars="200"/>
        <w:contextualSpacing/>
        <w:rPr>
          <w:rFonts w:hint="eastAsia"/>
          <w:szCs w:val="21"/>
        </w:rPr>
      </w:pPr>
      <w:r>
        <w:rPr>
          <w:rFonts w:hint="eastAsia"/>
          <w:szCs w:val="21"/>
        </w:rPr>
        <w:t>7.3</w:t>
      </w:r>
      <w:r>
        <w:rPr>
          <w:rFonts w:hint="eastAsia"/>
          <w:szCs w:val="21"/>
        </w:rPr>
        <w:tab/>
      </w:r>
      <w:r>
        <w:rPr>
          <w:rFonts w:hint="eastAsia"/>
          <w:szCs w:val="21"/>
        </w:rPr>
        <w:t>采购代理机构发送的答疑文件是采购文件的组成部分，对投标人具有约束力。</w:t>
      </w:r>
    </w:p>
    <w:p>
      <w:pPr>
        <w:tabs>
          <w:tab w:val="left" w:pos="709"/>
        </w:tabs>
        <w:spacing w:line="360" w:lineRule="auto"/>
        <w:ind w:firstLine="420" w:firstLineChars="200"/>
        <w:contextualSpacing/>
        <w:rPr>
          <w:szCs w:val="21"/>
        </w:rPr>
      </w:pPr>
      <w:r>
        <w:rPr>
          <w:rFonts w:hint="eastAsia"/>
          <w:szCs w:val="21"/>
        </w:rPr>
        <w:t>7.4未尽事宜，见《政府采购质疑和投诉办法》（中华人民共和国财政部令第94号）。</w:t>
      </w:r>
    </w:p>
    <w:p>
      <w:pPr>
        <w:spacing w:line="360" w:lineRule="auto"/>
        <w:contextualSpacing/>
        <w:rPr>
          <w:szCs w:val="21"/>
        </w:rPr>
      </w:pPr>
      <w:r>
        <w:rPr>
          <w:szCs w:val="21"/>
        </w:rPr>
        <w:t>8</w:t>
      </w:r>
      <w:r>
        <w:rPr>
          <w:rFonts w:hint="eastAsia"/>
          <w:szCs w:val="21"/>
        </w:rPr>
        <w:t>、采购文件的澄清与修改</w:t>
      </w:r>
    </w:p>
    <w:p>
      <w:pPr>
        <w:tabs>
          <w:tab w:val="left" w:pos="709"/>
        </w:tabs>
        <w:spacing w:line="360" w:lineRule="auto"/>
        <w:ind w:firstLine="420" w:firstLineChars="200"/>
        <w:contextualSpacing/>
        <w:rPr>
          <w:szCs w:val="21"/>
        </w:rPr>
      </w:pPr>
      <w:r>
        <w:rPr>
          <w:szCs w:val="21"/>
        </w:rPr>
        <w:t>8</w:t>
      </w:r>
      <w:r>
        <w:rPr>
          <w:rFonts w:hint="eastAsia"/>
          <w:szCs w:val="21"/>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tabs>
          <w:tab w:val="left" w:pos="709"/>
        </w:tabs>
        <w:spacing w:line="360" w:lineRule="auto"/>
        <w:ind w:firstLine="420" w:firstLineChars="200"/>
        <w:contextualSpacing/>
        <w:rPr>
          <w:rFonts w:hint="eastAsia"/>
          <w:szCs w:val="21"/>
        </w:rPr>
      </w:pPr>
      <w:r>
        <w:rPr>
          <w:rFonts w:hint="eastAsia"/>
          <w:szCs w:val="21"/>
        </w:rPr>
        <w:t>澄清或者修改的内容可能影响投标文件编制的，采购人或者采购代理机构应当在投标截止时间至少</w:t>
      </w:r>
      <w:r>
        <w:rPr>
          <w:szCs w:val="21"/>
        </w:rPr>
        <w:t>15</w:t>
      </w:r>
      <w:r>
        <w:rPr>
          <w:rFonts w:hint="eastAsia"/>
          <w:szCs w:val="21"/>
        </w:rPr>
        <w:t>日前，以书面形式通知所有获取采购文件的潜在投标人；不足</w:t>
      </w:r>
      <w:r>
        <w:rPr>
          <w:szCs w:val="21"/>
        </w:rPr>
        <w:t>15</w:t>
      </w:r>
      <w:r>
        <w:rPr>
          <w:rFonts w:hint="eastAsia"/>
          <w:szCs w:val="21"/>
        </w:rPr>
        <w:t>日的，采购人或者采购代理机构应当顺延提交投标文件的截止时间。</w:t>
      </w:r>
    </w:p>
    <w:p>
      <w:pPr>
        <w:tabs>
          <w:tab w:val="left" w:pos="709"/>
        </w:tabs>
        <w:spacing w:line="360" w:lineRule="auto"/>
        <w:ind w:firstLine="420" w:firstLineChars="200"/>
        <w:contextualSpacing/>
        <w:rPr>
          <w:szCs w:val="21"/>
        </w:rPr>
      </w:pPr>
      <w:r>
        <w:rPr>
          <w:szCs w:val="21"/>
        </w:rPr>
        <w:t>8</w:t>
      </w:r>
      <w:r>
        <w:rPr>
          <w:rFonts w:hint="eastAsia"/>
          <w:szCs w:val="21"/>
        </w:rPr>
        <w:t>.2</w:t>
      </w:r>
      <w:r>
        <w:rPr>
          <w:szCs w:val="21"/>
        </w:rPr>
        <w:t>采购代理机构必须以书面形式答复投标人要求澄清的问题，并将不包含问题来源的答复书面通知所有</w:t>
      </w:r>
      <w:r>
        <w:rPr>
          <w:rFonts w:hint="eastAsia"/>
          <w:szCs w:val="21"/>
        </w:rPr>
        <w:t>获取</w:t>
      </w:r>
      <w:r>
        <w:rPr>
          <w:szCs w:val="21"/>
        </w:rPr>
        <w:t>采购文件的投标人；除书面答复以外的其他澄清方式及澄清内容均无效。</w:t>
      </w:r>
    </w:p>
    <w:p>
      <w:pPr>
        <w:tabs>
          <w:tab w:val="left" w:pos="709"/>
        </w:tabs>
        <w:spacing w:line="360" w:lineRule="auto"/>
        <w:ind w:firstLine="420" w:firstLineChars="200"/>
        <w:contextualSpacing/>
        <w:rPr>
          <w:szCs w:val="21"/>
        </w:rPr>
      </w:pPr>
      <w:r>
        <w:rPr>
          <w:szCs w:val="21"/>
        </w:rPr>
        <w:t>8</w:t>
      </w:r>
      <w:r>
        <w:rPr>
          <w:rFonts w:hint="eastAsia"/>
          <w:szCs w:val="21"/>
        </w:rPr>
        <w:t>.3</w:t>
      </w:r>
      <w:r>
        <w:rPr>
          <w:szCs w:val="21"/>
        </w:rPr>
        <w:t>采购文件澄清、答复、修改、补充的内容为采购文件的组成部分。当采购文件与采购文件的答复、澄清、修改、补充通知就同一内容的表述不一致时，以最后发出的书面文件为准。</w:t>
      </w:r>
    </w:p>
    <w:p>
      <w:pPr>
        <w:tabs>
          <w:tab w:val="left" w:pos="709"/>
        </w:tabs>
        <w:spacing w:line="360" w:lineRule="auto"/>
        <w:ind w:firstLine="420" w:firstLineChars="200"/>
        <w:contextualSpacing/>
        <w:rPr>
          <w:szCs w:val="21"/>
        </w:rPr>
      </w:pPr>
      <w:r>
        <w:rPr>
          <w:szCs w:val="21"/>
        </w:rPr>
        <w:t>8</w:t>
      </w:r>
      <w:r>
        <w:rPr>
          <w:rFonts w:hint="eastAsia"/>
          <w:szCs w:val="21"/>
        </w:rPr>
        <w:t>.4</w:t>
      </w:r>
      <w:r>
        <w:rPr>
          <w:szCs w:val="21"/>
        </w:rPr>
        <w:t>采购文件的澄清、答复、修改或补充都应该通过本代理机构以法定形式发布，采购人非通过本机构，不得擅自澄清、答复、修改或补充采购文件。</w:t>
      </w:r>
    </w:p>
    <w:p>
      <w:pPr>
        <w:tabs>
          <w:tab w:val="left" w:pos="709"/>
        </w:tabs>
        <w:spacing w:line="360" w:lineRule="auto"/>
        <w:ind w:firstLine="420" w:firstLineChars="200"/>
        <w:contextualSpacing/>
        <w:rPr>
          <w:rFonts w:hint="eastAsia"/>
          <w:szCs w:val="21"/>
        </w:rPr>
      </w:pPr>
      <w:r>
        <w:rPr>
          <w:szCs w:val="21"/>
        </w:rPr>
        <w:t>9</w:t>
      </w:r>
      <w:r>
        <w:rPr>
          <w:rFonts w:hint="eastAsia"/>
          <w:szCs w:val="21"/>
        </w:rPr>
        <w:t>、关于分公司投标</w:t>
      </w:r>
    </w:p>
    <w:p>
      <w:pPr>
        <w:tabs>
          <w:tab w:val="left" w:pos="709"/>
        </w:tabs>
        <w:spacing w:line="360" w:lineRule="auto"/>
        <w:ind w:firstLine="420" w:firstLineChars="200"/>
        <w:contextualSpacing/>
        <w:rPr>
          <w:szCs w:val="21"/>
        </w:rPr>
      </w:pPr>
      <w:r>
        <w:rPr>
          <w:rFonts w:hint="eastAsia"/>
          <w:szCs w:val="21"/>
        </w:rPr>
        <w:t>除金融、保险、通讯等特定行业外，法人的分支机构由于不能独立承担民事责任，不能以分支机构的身份参加政府采购，只能法人身份参加。</w:t>
      </w:r>
    </w:p>
    <w:p>
      <w:pPr>
        <w:tabs>
          <w:tab w:val="left" w:pos="709"/>
        </w:tabs>
        <w:spacing w:line="360" w:lineRule="auto"/>
        <w:ind w:firstLine="420" w:firstLineChars="200"/>
        <w:contextualSpacing/>
        <w:rPr>
          <w:rFonts w:hint="eastAsia"/>
          <w:szCs w:val="21"/>
        </w:rPr>
      </w:pPr>
      <w:r>
        <w:rPr>
          <w:szCs w:val="21"/>
        </w:rPr>
        <w:t>10</w:t>
      </w:r>
      <w:r>
        <w:rPr>
          <w:rFonts w:hint="eastAsia"/>
          <w:szCs w:val="21"/>
        </w:rPr>
        <w:t>、关于知识产权</w:t>
      </w:r>
    </w:p>
    <w:p>
      <w:pPr>
        <w:tabs>
          <w:tab w:val="left" w:pos="709"/>
        </w:tabs>
        <w:spacing w:line="360" w:lineRule="auto"/>
        <w:ind w:firstLine="420" w:firstLineChars="200"/>
        <w:contextualSpacing/>
        <w:rPr>
          <w:rFonts w:hint="eastAsia"/>
          <w:szCs w:val="21"/>
        </w:rPr>
      </w:pPr>
      <w:r>
        <w:rPr>
          <w:szCs w:val="21"/>
        </w:rPr>
        <w:t>10</w:t>
      </w:r>
      <w:r>
        <w:rPr>
          <w:rFonts w:hint="eastAsia"/>
          <w:szCs w:val="21"/>
        </w:rPr>
        <w:t>.</w:t>
      </w:r>
      <w:r>
        <w:rPr>
          <w:szCs w:val="21"/>
        </w:rPr>
        <w:t>1</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tabs>
          <w:tab w:val="left" w:pos="709"/>
        </w:tabs>
        <w:spacing w:line="360" w:lineRule="auto"/>
        <w:ind w:firstLine="420" w:firstLineChars="200"/>
        <w:contextualSpacing/>
        <w:rPr>
          <w:rFonts w:hint="eastAsia"/>
          <w:szCs w:val="21"/>
        </w:rPr>
      </w:pPr>
      <w:r>
        <w:rPr>
          <w:szCs w:val="21"/>
        </w:rPr>
        <w:t>10.2</w:t>
      </w:r>
      <w:r>
        <w:rPr>
          <w:rFonts w:hint="eastAsia"/>
          <w:szCs w:val="21"/>
        </w:rPr>
        <w:t>投标报价应包含所有应向所有权人支付的专利权、商标权或其它知识产权的一切相关费用。</w:t>
      </w:r>
    </w:p>
    <w:p>
      <w:pPr>
        <w:tabs>
          <w:tab w:val="left" w:pos="709"/>
        </w:tabs>
        <w:spacing w:line="360" w:lineRule="auto"/>
        <w:ind w:firstLine="420" w:firstLineChars="200"/>
        <w:contextualSpacing/>
        <w:rPr>
          <w:rFonts w:hint="eastAsia"/>
          <w:szCs w:val="21"/>
        </w:rPr>
      </w:pPr>
      <w:r>
        <w:rPr>
          <w:szCs w:val="21"/>
        </w:rPr>
        <w:t>10.3</w:t>
      </w:r>
      <w:r>
        <w:rPr>
          <w:rFonts w:hint="eastAsia"/>
          <w:szCs w:val="21"/>
        </w:rPr>
        <w:t>系统软件、通用软件必须是具有在中国境内的合法使用权或版权的正版软件，涉及到第三方提出侵权或知识产权的起诉及支付版税等费用由供应商承担所有责任及费用。</w:t>
      </w:r>
    </w:p>
    <w:p>
      <w:pPr>
        <w:pStyle w:val="2"/>
        <w:spacing w:line="360" w:lineRule="auto"/>
        <w:contextualSpacing/>
        <w:rPr>
          <w:rFonts w:ascii="Times New Roman"/>
          <w:szCs w:val="28"/>
        </w:rPr>
      </w:pPr>
      <w:r>
        <w:rPr>
          <w:rFonts w:hint="eastAsia" w:ascii="Times New Roman"/>
          <w:szCs w:val="28"/>
        </w:rPr>
        <w:t>四、投标文件</w:t>
      </w:r>
    </w:p>
    <w:p>
      <w:pPr>
        <w:spacing w:line="360" w:lineRule="auto"/>
        <w:contextualSpacing/>
        <w:rPr>
          <w:szCs w:val="21"/>
        </w:rPr>
      </w:pPr>
      <w:r>
        <w:rPr>
          <w:szCs w:val="21"/>
        </w:rPr>
        <w:t>11</w:t>
      </w:r>
      <w:r>
        <w:rPr>
          <w:rFonts w:hint="eastAsia"/>
          <w:szCs w:val="21"/>
        </w:rPr>
        <w:t>、投标文件的组成</w:t>
      </w:r>
    </w:p>
    <w:p>
      <w:pPr>
        <w:tabs>
          <w:tab w:val="left" w:pos="709"/>
        </w:tabs>
        <w:spacing w:line="360" w:lineRule="auto"/>
        <w:ind w:firstLine="420" w:firstLineChars="200"/>
        <w:contextualSpacing/>
        <w:rPr>
          <w:szCs w:val="21"/>
        </w:rPr>
      </w:pPr>
      <w:r>
        <w:rPr>
          <w:szCs w:val="21"/>
        </w:rPr>
        <w:t>11</w:t>
      </w:r>
      <w:r>
        <w:rPr>
          <w:rFonts w:hint="eastAsia"/>
          <w:szCs w:val="21"/>
        </w:rPr>
        <w:t>.1投标文件分为资格证明文件、报价文件、技术商务文件三部分；</w:t>
      </w:r>
    </w:p>
    <w:p>
      <w:pPr>
        <w:tabs>
          <w:tab w:val="left" w:pos="1418"/>
        </w:tabs>
        <w:spacing w:line="360" w:lineRule="auto"/>
        <w:ind w:firstLine="422" w:firstLineChars="200"/>
        <w:contextualSpacing/>
        <w:rPr>
          <w:rFonts w:hint="eastAsia"/>
          <w:b/>
          <w:i/>
          <w:szCs w:val="21"/>
        </w:rPr>
      </w:pPr>
      <w:r>
        <w:rPr>
          <w:rFonts w:hint="eastAsia"/>
          <w:b/>
          <w:i/>
          <w:szCs w:val="21"/>
        </w:rPr>
        <w:t>资格证明文件包含但不限于以下文件：</w:t>
      </w:r>
    </w:p>
    <w:p>
      <w:pPr>
        <w:tabs>
          <w:tab w:val="left" w:pos="1418"/>
        </w:tabs>
        <w:spacing w:line="360" w:lineRule="auto"/>
        <w:ind w:left="420"/>
        <w:contextualSpacing/>
        <w:rPr>
          <w:rFonts w:hint="eastAsia" w:cs="宋体"/>
          <w:szCs w:val="21"/>
        </w:rPr>
      </w:pPr>
      <w:bookmarkStart w:id="29" w:name="_Hlk534492801"/>
      <w:r>
        <w:rPr>
          <w:rFonts w:hint="eastAsia" w:cs="宋体"/>
          <w:szCs w:val="21"/>
        </w:rPr>
        <w:t>（1）资格条件自查表（格式见附件）</w:t>
      </w:r>
    </w:p>
    <w:p>
      <w:pPr>
        <w:tabs>
          <w:tab w:val="left" w:pos="1418"/>
        </w:tabs>
        <w:spacing w:line="360" w:lineRule="auto"/>
        <w:ind w:left="420"/>
        <w:contextualSpacing/>
        <w:rPr>
          <w:rFonts w:hint="eastAsia" w:cs="宋体"/>
          <w:szCs w:val="21"/>
        </w:rPr>
      </w:pPr>
      <w:r>
        <w:rPr>
          <w:rFonts w:hint="eastAsia" w:cs="宋体"/>
          <w:szCs w:val="21"/>
        </w:rPr>
        <w:t>（2）有效的企业法人营业执照（或事业法人登记证）、其他组织（个体工商户）的营业执照或者民办非企业单位登记证书复印件；</w:t>
      </w:r>
    </w:p>
    <w:p>
      <w:pPr>
        <w:tabs>
          <w:tab w:val="left" w:pos="1418"/>
        </w:tabs>
        <w:spacing w:line="360" w:lineRule="auto"/>
        <w:ind w:left="420"/>
        <w:contextualSpacing/>
        <w:rPr>
          <w:rFonts w:hint="eastAsia" w:cs="宋体"/>
          <w:szCs w:val="21"/>
        </w:rPr>
      </w:pPr>
      <w:r>
        <w:rPr>
          <w:rFonts w:hint="eastAsia" w:cs="宋体"/>
          <w:szCs w:val="21"/>
        </w:rPr>
        <w:t>（3）关于资格的承诺函（格式见附件）；</w:t>
      </w:r>
    </w:p>
    <w:p>
      <w:pPr>
        <w:tabs>
          <w:tab w:val="left" w:pos="1418"/>
        </w:tabs>
        <w:spacing w:line="360" w:lineRule="auto"/>
        <w:ind w:left="420"/>
        <w:contextualSpacing/>
        <w:rPr>
          <w:rFonts w:hint="eastAsia" w:cs="宋体"/>
          <w:szCs w:val="21"/>
        </w:rPr>
      </w:pPr>
      <w:r>
        <w:rPr>
          <w:rFonts w:hint="eastAsia" w:cs="宋体"/>
          <w:szCs w:val="21"/>
        </w:rPr>
        <w:t>（4）投标人认为需要提交的其他文件资料。</w:t>
      </w:r>
    </w:p>
    <w:p>
      <w:pPr>
        <w:tabs>
          <w:tab w:val="left" w:pos="1418"/>
        </w:tabs>
        <w:spacing w:line="360" w:lineRule="auto"/>
        <w:ind w:left="420"/>
        <w:contextualSpacing/>
        <w:rPr>
          <w:szCs w:val="21"/>
        </w:rPr>
      </w:pPr>
      <w:r>
        <w:rPr>
          <w:rFonts w:hint="eastAsia"/>
          <w:szCs w:val="21"/>
        </w:rPr>
        <w:t>注：采购人或采购代理机构在资格审查时，通过“信用中国”网站（www.creditchina.gov.cn）、中国政府采购网（www.ccgp.gov.cn）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bookmarkEnd w:id="29"/>
    <w:p>
      <w:pPr>
        <w:tabs>
          <w:tab w:val="left" w:pos="1418"/>
        </w:tabs>
        <w:spacing w:line="360" w:lineRule="auto"/>
        <w:ind w:firstLine="422" w:firstLineChars="200"/>
        <w:contextualSpacing/>
        <w:rPr>
          <w:b/>
          <w:i/>
          <w:szCs w:val="21"/>
        </w:rPr>
      </w:pPr>
      <w:r>
        <w:rPr>
          <w:rFonts w:hint="eastAsia"/>
          <w:b/>
          <w:i/>
          <w:szCs w:val="21"/>
        </w:rPr>
        <w:t>报价文件包含但不限于以下文件：</w:t>
      </w:r>
    </w:p>
    <w:p>
      <w:pPr>
        <w:tabs>
          <w:tab w:val="left" w:pos="1418"/>
        </w:tabs>
        <w:spacing w:line="360" w:lineRule="auto"/>
        <w:ind w:firstLine="420" w:firstLineChars="200"/>
        <w:contextualSpacing/>
        <w:rPr>
          <w:szCs w:val="21"/>
        </w:rPr>
      </w:pPr>
      <w:r>
        <w:rPr>
          <w:rFonts w:hint="eastAsia"/>
          <w:szCs w:val="21"/>
        </w:rPr>
        <w:t>（1）投标函；（格式见附件）</w:t>
      </w:r>
    </w:p>
    <w:p>
      <w:pPr>
        <w:tabs>
          <w:tab w:val="left" w:pos="1418"/>
        </w:tabs>
        <w:spacing w:line="360" w:lineRule="auto"/>
        <w:ind w:firstLine="420" w:firstLineChars="200"/>
        <w:contextualSpacing/>
        <w:rPr>
          <w:szCs w:val="21"/>
        </w:rPr>
      </w:pPr>
      <w:r>
        <w:rPr>
          <w:rFonts w:hint="eastAsia"/>
          <w:szCs w:val="21"/>
        </w:rPr>
        <w:t>（2）开标一览表；（格式见附件）</w:t>
      </w:r>
    </w:p>
    <w:p>
      <w:pPr>
        <w:tabs>
          <w:tab w:val="left" w:pos="1418"/>
        </w:tabs>
        <w:spacing w:line="360" w:lineRule="auto"/>
        <w:ind w:firstLine="420" w:firstLineChars="200"/>
        <w:contextualSpacing/>
        <w:rPr>
          <w:szCs w:val="21"/>
        </w:rPr>
      </w:pPr>
      <w:r>
        <w:rPr>
          <w:rFonts w:hint="eastAsia"/>
          <w:szCs w:val="21"/>
        </w:rPr>
        <w:t>（3）分项报价表；（格式见附件）</w:t>
      </w:r>
    </w:p>
    <w:p>
      <w:pPr>
        <w:tabs>
          <w:tab w:val="left" w:pos="1418"/>
        </w:tabs>
        <w:spacing w:line="360" w:lineRule="auto"/>
        <w:ind w:firstLine="420" w:firstLineChars="200"/>
        <w:contextualSpacing/>
        <w:rPr>
          <w:rFonts w:hint="eastAsia"/>
          <w:szCs w:val="21"/>
        </w:rPr>
      </w:pPr>
      <w:r>
        <w:rPr>
          <w:rFonts w:hint="eastAsia"/>
          <w:szCs w:val="21"/>
        </w:rPr>
        <w:t>（4）《采购人可调整变更内容清单》及相应全费用综合单价最高限价；（格式见附件）</w:t>
      </w:r>
    </w:p>
    <w:p>
      <w:pPr>
        <w:tabs>
          <w:tab w:val="left" w:pos="1418"/>
        </w:tabs>
        <w:spacing w:line="360" w:lineRule="auto"/>
        <w:ind w:firstLine="420" w:firstLineChars="200"/>
        <w:contextualSpacing/>
        <w:rPr>
          <w:szCs w:val="21"/>
        </w:rPr>
      </w:pPr>
      <w:r>
        <w:rPr>
          <w:rFonts w:hint="eastAsia"/>
          <w:szCs w:val="21"/>
        </w:rPr>
        <w:t>（</w:t>
      </w:r>
      <w:r>
        <w:rPr>
          <w:szCs w:val="21"/>
        </w:rPr>
        <w:t>5</w:t>
      </w:r>
      <w:r>
        <w:rPr>
          <w:rFonts w:hint="eastAsia"/>
          <w:szCs w:val="21"/>
        </w:rPr>
        <w:t>）中小企业声明函；（如有，格式见附件）</w:t>
      </w:r>
    </w:p>
    <w:p>
      <w:pPr>
        <w:tabs>
          <w:tab w:val="left" w:pos="1418"/>
        </w:tabs>
        <w:spacing w:line="360" w:lineRule="auto"/>
        <w:ind w:firstLine="420" w:firstLineChars="200"/>
        <w:contextualSpacing/>
        <w:rPr>
          <w:szCs w:val="21"/>
        </w:rPr>
      </w:pPr>
      <w:r>
        <w:rPr>
          <w:rFonts w:hint="eastAsia"/>
          <w:szCs w:val="21"/>
        </w:rPr>
        <w:t>（</w:t>
      </w:r>
      <w:r>
        <w:rPr>
          <w:szCs w:val="21"/>
        </w:rPr>
        <w:t>6</w:t>
      </w:r>
      <w:r>
        <w:rPr>
          <w:rFonts w:hint="eastAsia"/>
          <w:szCs w:val="21"/>
        </w:rPr>
        <w:t>）残疾人福利单位声明函（非残疾人福利性单位无需提供本函）；（如有，格式见附件）</w:t>
      </w:r>
    </w:p>
    <w:p>
      <w:pPr>
        <w:tabs>
          <w:tab w:val="left" w:pos="1418"/>
        </w:tabs>
        <w:spacing w:line="360" w:lineRule="auto"/>
        <w:ind w:firstLine="420" w:firstLineChars="200"/>
        <w:contextualSpacing/>
        <w:rPr>
          <w:szCs w:val="21"/>
        </w:rPr>
      </w:pPr>
      <w:r>
        <w:rPr>
          <w:rFonts w:hint="eastAsia"/>
          <w:szCs w:val="21"/>
        </w:rPr>
        <w:t>（</w:t>
      </w:r>
      <w:r>
        <w:rPr>
          <w:szCs w:val="21"/>
        </w:rPr>
        <w:t>7</w:t>
      </w:r>
      <w:r>
        <w:rPr>
          <w:rFonts w:hint="eastAsia"/>
          <w:szCs w:val="21"/>
        </w:rPr>
        <w:t>）投标人认为需提交的其他文件资料；</w:t>
      </w:r>
    </w:p>
    <w:p>
      <w:pPr>
        <w:tabs>
          <w:tab w:val="left" w:pos="1418"/>
        </w:tabs>
        <w:spacing w:line="360" w:lineRule="auto"/>
        <w:ind w:firstLine="422" w:firstLineChars="200"/>
        <w:contextualSpacing/>
        <w:rPr>
          <w:b/>
          <w:i/>
          <w:szCs w:val="21"/>
        </w:rPr>
      </w:pPr>
      <w:r>
        <w:rPr>
          <w:rFonts w:hint="eastAsia"/>
          <w:b/>
          <w:i/>
          <w:szCs w:val="21"/>
        </w:rPr>
        <w:t>技术商务文件包含但不限于以下文件：</w:t>
      </w:r>
    </w:p>
    <w:p>
      <w:pPr>
        <w:tabs>
          <w:tab w:val="left" w:pos="709"/>
        </w:tabs>
        <w:spacing w:line="360" w:lineRule="auto"/>
        <w:ind w:firstLine="420" w:firstLineChars="200"/>
        <w:contextualSpacing/>
        <w:rPr>
          <w:szCs w:val="21"/>
        </w:rPr>
      </w:pPr>
      <w:r>
        <w:rPr>
          <w:rFonts w:hint="eastAsia"/>
          <w:szCs w:val="21"/>
        </w:rPr>
        <w:t>（1）</w:t>
      </w:r>
      <w:r>
        <w:rPr>
          <w:rFonts w:hint="eastAsia" w:cs="宋体"/>
          <w:szCs w:val="21"/>
        </w:rPr>
        <w:t>符合性自查表（格式见附件）</w:t>
      </w:r>
    </w:p>
    <w:p>
      <w:pPr>
        <w:tabs>
          <w:tab w:val="left" w:pos="1418"/>
        </w:tabs>
        <w:spacing w:line="360" w:lineRule="auto"/>
        <w:ind w:left="420"/>
        <w:contextualSpacing/>
        <w:rPr>
          <w:szCs w:val="21"/>
        </w:rPr>
      </w:pPr>
      <w:r>
        <w:rPr>
          <w:rFonts w:hint="eastAsia"/>
          <w:szCs w:val="21"/>
        </w:rPr>
        <w:t>（</w:t>
      </w:r>
      <w:r>
        <w:rPr>
          <w:szCs w:val="21"/>
        </w:rPr>
        <w:t>2</w:t>
      </w:r>
      <w:r>
        <w:rPr>
          <w:rFonts w:hint="eastAsia"/>
          <w:szCs w:val="21"/>
        </w:rPr>
        <w:t>）技术商务分自评表（格式见附件）；</w:t>
      </w:r>
    </w:p>
    <w:p>
      <w:pPr>
        <w:tabs>
          <w:tab w:val="left" w:pos="1418"/>
        </w:tabs>
        <w:spacing w:line="360" w:lineRule="auto"/>
        <w:ind w:left="420"/>
        <w:contextualSpacing/>
        <w:rPr>
          <w:rFonts w:hint="eastAsia"/>
          <w:szCs w:val="21"/>
        </w:rPr>
      </w:pPr>
      <w:r>
        <w:rPr>
          <w:rFonts w:hint="eastAsia"/>
          <w:szCs w:val="21"/>
        </w:rPr>
        <w:t>（</w:t>
      </w:r>
      <w:r>
        <w:rPr>
          <w:szCs w:val="21"/>
        </w:rPr>
        <w:t>3</w:t>
      </w:r>
      <w:r>
        <w:rPr>
          <w:rFonts w:hint="eastAsia"/>
          <w:szCs w:val="21"/>
        </w:rPr>
        <w:t>）法定代表人授权书（</w:t>
      </w:r>
      <w:r>
        <w:rPr>
          <w:szCs w:val="21"/>
        </w:rPr>
        <w:t>若投标人代表系法定代表人，无</w:t>
      </w:r>
      <w:r>
        <w:rPr>
          <w:rFonts w:hint="eastAsia"/>
          <w:szCs w:val="21"/>
        </w:rPr>
        <w:t>需提供</w:t>
      </w:r>
      <w:r>
        <w:rPr>
          <w:szCs w:val="21"/>
        </w:rPr>
        <w:t>授权书，</w:t>
      </w:r>
      <w:r>
        <w:rPr>
          <w:rFonts w:hint="eastAsia"/>
          <w:szCs w:val="21"/>
        </w:rPr>
        <w:t>必须提供法定代表人身份证复印件及法定代表人身份证明书（格式见附件））；</w:t>
      </w:r>
    </w:p>
    <w:p>
      <w:pPr>
        <w:tabs>
          <w:tab w:val="left" w:pos="1418"/>
        </w:tabs>
        <w:spacing w:line="360" w:lineRule="auto"/>
        <w:ind w:left="420"/>
        <w:contextualSpacing/>
        <w:rPr>
          <w:rFonts w:hint="eastAsia"/>
          <w:szCs w:val="21"/>
        </w:rPr>
      </w:pPr>
      <w:r>
        <w:rPr>
          <w:rFonts w:hint="eastAsia"/>
          <w:szCs w:val="21"/>
        </w:rPr>
        <w:t>（4）项目实施方案（</w:t>
      </w:r>
      <w:r>
        <w:rPr>
          <w:rFonts w:hint="eastAsia" w:cs="宋体"/>
          <w:kern w:val="0"/>
          <w:szCs w:val="21"/>
        </w:rPr>
        <w:t>针对本项目第五部分采购需求及第四部分评分标准中的条款拟定各种方案，格式自拟</w:t>
      </w:r>
      <w:r>
        <w:rPr>
          <w:rFonts w:hint="eastAsia"/>
          <w:szCs w:val="21"/>
        </w:rPr>
        <w:t>）；</w:t>
      </w:r>
    </w:p>
    <w:p>
      <w:pPr>
        <w:tabs>
          <w:tab w:val="left" w:pos="1418"/>
        </w:tabs>
        <w:spacing w:line="360" w:lineRule="auto"/>
        <w:ind w:left="420"/>
        <w:contextualSpacing/>
        <w:rPr>
          <w:rFonts w:hint="eastAsia"/>
          <w:szCs w:val="21"/>
        </w:rPr>
      </w:pPr>
      <w:r>
        <w:rPr>
          <w:rFonts w:hint="eastAsia"/>
          <w:szCs w:val="21"/>
        </w:rPr>
        <w:t>（5）重点、难点分析及措施；</w:t>
      </w:r>
    </w:p>
    <w:p>
      <w:pPr>
        <w:tabs>
          <w:tab w:val="left" w:pos="1418"/>
        </w:tabs>
        <w:spacing w:line="360" w:lineRule="auto"/>
        <w:ind w:left="420"/>
        <w:contextualSpacing/>
        <w:rPr>
          <w:rFonts w:hint="eastAsia"/>
          <w:szCs w:val="21"/>
        </w:rPr>
      </w:pPr>
      <w:r>
        <w:rPr>
          <w:rFonts w:hint="eastAsia"/>
          <w:szCs w:val="21"/>
        </w:rPr>
        <w:t>（</w:t>
      </w:r>
      <w:r>
        <w:rPr>
          <w:szCs w:val="21"/>
        </w:rPr>
        <w:t>6</w:t>
      </w:r>
      <w:r>
        <w:rPr>
          <w:rFonts w:hint="eastAsia"/>
          <w:szCs w:val="21"/>
        </w:rPr>
        <w:t>）人员配备的合理性（附项目管理人员配备表，格式见附件）；</w:t>
      </w:r>
    </w:p>
    <w:p>
      <w:pPr>
        <w:tabs>
          <w:tab w:val="left" w:pos="1418"/>
        </w:tabs>
        <w:spacing w:line="360" w:lineRule="auto"/>
        <w:ind w:left="420"/>
        <w:contextualSpacing/>
        <w:rPr>
          <w:rFonts w:hint="eastAsia"/>
          <w:szCs w:val="21"/>
        </w:rPr>
      </w:pPr>
      <w:r>
        <w:rPr>
          <w:rFonts w:hint="eastAsia"/>
          <w:szCs w:val="21"/>
        </w:rPr>
        <w:t>（</w:t>
      </w:r>
      <w:r>
        <w:rPr>
          <w:szCs w:val="21"/>
        </w:rPr>
        <w:t>7</w:t>
      </w:r>
      <w:r>
        <w:rPr>
          <w:rFonts w:hint="eastAsia"/>
          <w:szCs w:val="21"/>
        </w:rPr>
        <w:t>）设备配置情况（附设备配备表，格式见附件）；</w:t>
      </w:r>
    </w:p>
    <w:p>
      <w:pPr>
        <w:tabs>
          <w:tab w:val="left" w:pos="1418"/>
        </w:tabs>
        <w:spacing w:line="360" w:lineRule="auto"/>
        <w:ind w:left="420"/>
        <w:contextualSpacing/>
        <w:rPr>
          <w:rFonts w:hint="eastAsia"/>
          <w:szCs w:val="21"/>
        </w:rPr>
      </w:pPr>
      <w:r>
        <w:rPr>
          <w:rFonts w:hint="eastAsia"/>
          <w:szCs w:val="21"/>
        </w:rPr>
        <w:t>（</w:t>
      </w:r>
      <w:r>
        <w:rPr>
          <w:szCs w:val="21"/>
        </w:rPr>
        <w:t>8</w:t>
      </w:r>
      <w:r>
        <w:rPr>
          <w:rFonts w:hint="eastAsia"/>
          <w:szCs w:val="21"/>
        </w:rPr>
        <w:t>）技术条款偏离表（格式见附件）；</w:t>
      </w:r>
    </w:p>
    <w:p>
      <w:pPr>
        <w:tabs>
          <w:tab w:val="left" w:pos="1418"/>
        </w:tabs>
        <w:spacing w:line="360" w:lineRule="auto"/>
        <w:ind w:left="420"/>
        <w:contextualSpacing/>
        <w:rPr>
          <w:rFonts w:hint="eastAsia"/>
          <w:szCs w:val="21"/>
        </w:rPr>
      </w:pPr>
      <w:r>
        <w:rPr>
          <w:rFonts w:hint="eastAsia"/>
          <w:szCs w:val="21"/>
        </w:rPr>
        <w:t>（</w:t>
      </w:r>
      <w:r>
        <w:rPr>
          <w:szCs w:val="21"/>
        </w:rPr>
        <w:t>9</w:t>
      </w:r>
      <w:r>
        <w:rPr>
          <w:rFonts w:hint="eastAsia"/>
          <w:szCs w:val="21"/>
        </w:rPr>
        <w:t>）商务条款偏离表（格式见附件）；</w:t>
      </w:r>
    </w:p>
    <w:p>
      <w:pPr>
        <w:tabs>
          <w:tab w:val="left" w:pos="1418"/>
        </w:tabs>
        <w:spacing w:line="360" w:lineRule="auto"/>
        <w:ind w:left="420"/>
        <w:contextualSpacing/>
        <w:rPr>
          <w:rFonts w:hint="eastAsia"/>
          <w:szCs w:val="21"/>
        </w:rPr>
      </w:pPr>
      <w:r>
        <w:rPr>
          <w:rFonts w:hint="eastAsia"/>
          <w:szCs w:val="21"/>
        </w:rPr>
        <w:t>（</w:t>
      </w:r>
      <w:r>
        <w:rPr>
          <w:szCs w:val="21"/>
        </w:rPr>
        <w:t>10</w:t>
      </w:r>
      <w:r>
        <w:rPr>
          <w:rFonts w:hint="eastAsia"/>
          <w:szCs w:val="21"/>
        </w:rPr>
        <w:t>）评分标准或采购文件需要提供的其他技术商务材料；</w:t>
      </w:r>
    </w:p>
    <w:p>
      <w:pPr>
        <w:tabs>
          <w:tab w:val="left" w:pos="1418"/>
        </w:tabs>
        <w:spacing w:line="360" w:lineRule="auto"/>
        <w:ind w:left="420"/>
        <w:contextualSpacing/>
        <w:rPr>
          <w:rFonts w:hint="eastAsia"/>
          <w:szCs w:val="21"/>
        </w:rPr>
      </w:pPr>
      <w:r>
        <w:rPr>
          <w:rFonts w:hint="eastAsia"/>
          <w:szCs w:val="21"/>
        </w:rPr>
        <w:t>（</w:t>
      </w:r>
      <w:r>
        <w:rPr>
          <w:szCs w:val="21"/>
        </w:rPr>
        <w:t>11</w:t>
      </w:r>
      <w:r>
        <w:rPr>
          <w:rFonts w:hint="eastAsia"/>
          <w:szCs w:val="21"/>
        </w:rPr>
        <w:t>）投标人认为需提交的其他文件资料。</w:t>
      </w:r>
    </w:p>
    <w:p>
      <w:pPr>
        <w:tabs>
          <w:tab w:val="left" w:pos="1418"/>
        </w:tabs>
        <w:spacing w:line="360" w:lineRule="auto"/>
        <w:ind w:left="420"/>
        <w:contextualSpacing/>
        <w:rPr>
          <w:szCs w:val="21"/>
        </w:rPr>
      </w:pPr>
      <w:r>
        <w:rPr>
          <w:szCs w:val="21"/>
        </w:rPr>
        <w:t>11</w:t>
      </w:r>
      <w:r>
        <w:rPr>
          <w:rFonts w:hint="eastAsia"/>
          <w:szCs w:val="21"/>
        </w:rPr>
        <w:t>.2</w:t>
      </w:r>
      <w:r>
        <w:rPr>
          <w:szCs w:val="21"/>
        </w:rPr>
        <w:t>本次招标对投标文件组成</w:t>
      </w:r>
      <w:r>
        <w:rPr>
          <w:rFonts w:hint="eastAsia"/>
          <w:szCs w:val="21"/>
        </w:rPr>
        <w:t>要求</w:t>
      </w:r>
      <w:r>
        <w:rPr>
          <w:szCs w:val="21"/>
        </w:rPr>
        <w:t>，表述在《投标资料表》中。</w:t>
      </w:r>
    </w:p>
    <w:p>
      <w:pPr>
        <w:spacing w:line="360" w:lineRule="auto"/>
        <w:contextualSpacing/>
        <w:rPr>
          <w:szCs w:val="21"/>
        </w:rPr>
      </w:pPr>
      <w:r>
        <w:rPr>
          <w:szCs w:val="21"/>
        </w:rPr>
        <w:t>12</w:t>
      </w:r>
      <w:r>
        <w:rPr>
          <w:rFonts w:hint="eastAsia"/>
          <w:szCs w:val="21"/>
        </w:rPr>
        <w:t>、</w:t>
      </w:r>
      <w:r>
        <w:rPr>
          <w:szCs w:val="21"/>
        </w:rPr>
        <w:t>投标报价</w:t>
      </w:r>
    </w:p>
    <w:p>
      <w:pPr>
        <w:tabs>
          <w:tab w:val="left" w:pos="709"/>
        </w:tabs>
        <w:spacing w:line="360" w:lineRule="auto"/>
        <w:ind w:firstLine="420" w:firstLineChars="200"/>
        <w:contextualSpacing/>
        <w:rPr>
          <w:szCs w:val="21"/>
        </w:rPr>
      </w:pPr>
      <w:r>
        <w:rPr>
          <w:szCs w:val="21"/>
        </w:rPr>
        <w:t>12</w:t>
      </w:r>
      <w:r>
        <w:rPr>
          <w:rFonts w:hint="eastAsia"/>
          <w:szCs w:val="21"/>
        </w:rPr>
        <w:t>.1</w:t>
      </w:r>
      <w:r>
        <w:rPr>
          <w:szCs w:val="21"/>
        </w:rPr>
        <w:t>投标人应全面充分了解本招标项目的全部内容及要求以及服务现场的基本条件，按照《投标资料表》</w:t>
      </w:r>
      <w:r>
        <w:rPr>
          <w:rFonts w:hint="eastAsia"/>
          <w:szCs w:val="21"/>
        </w:rPr>
        <w:t>规定与</w:t>
      </w:r>
      <w:r>
        <w:rPr>
          <w:szCs w:val="21"/>
        </w:rPr>
        <w:t>要求报价，并包含服务过程中可能涉及的所有费用</w:t>
      </w:r>
      <w:r>
        <w:rPr>
          <w:rFonts w:hint="eastAsia"/>
          <w:szCs w:val="21"/>
        </w:rPr>
        <w:t>。</w:t>
      </w:r>
    </w:p>
    <w:p>
      <w:pPr>
        <w:tabs>
          <w:tab w:val="left" w:pos="709"/>
        </w:tabs>
        <w:spacing w:line="360" w:lineRule="auto"/>
        <w:ind w:firstLine="420" w:firstLineChars="200"/>
        <w:contextualSpacing/>
        <w:rPr>
          <w:szCs w:val="21"/>
        </w:rPr>
      </w:pPr>
      <w:r>
        <w:rPr>
          <w:szCs w:val="21"/>
        </w:rPr>
        <w:t>12</w:t>
      </w:r>
      <w:r>
        <w:rPr>
          <w:rFonts w:hint="eastAsia"/>
          <w:szCs w:val="21"/>
        </w:rPr>
        <w:t>.2</w:t>
      </w:r>
      <w:r>
        <w:rPr>
          <w:szCs w:val="21"/>
        </w:rPr>
        <w:t>所有投标报价必须以人民币报价，不接受外币报价。</w:t>
      </w:r>
    </w:p>
    <w:p>
      <w:pPr>
        <w:tabs>
          <w:tab w:val="left" w:pos="709"/>
        </w:tabs>
        <w:spacing w:line="360" w:lineRule="auto"/>
        <w:ind w:firstLine="420" w:firstLineChars="200"/>
        <w:contextualSpacing/>
        <w:rPr>
          <w:szCs w:val="21"/>
        </w:rPr>
      </w:pPr>
      <w:r>
        <w:rPr>
          <w:szCs w:val="21"/>
        </w:rPr>
        <w:t>12</w:t>
      </w:r>
      <w:r>
        <w:rPr>
          <w:rFonts w:hint="eastAsia"/>
          <w:szCs w:val="21"/>
        </w:rPr>
        <w:t>.3</w:t>
      </w:r>
      <w:r>
        <w:rPr>
          <w:szCs w:val="21"/>
        </w:rPr>
        <w:t>投标报价只有一个，而且一经开标，投标价不得变更。如果出现有两个及以上的报价又未声明以哪一报价方案为主，则</w:t>
      </w:r>
      <w:r>
        <w:rPr>
          <w:rFonts w:hint="eastAsia"/>
          <w:szCs w:val="21"/>
        </w:rPr>
        <w:t>投标将被拒绝</w:t>
      </w:r>
      <w:r>
        <w:rPr>
          <w:szCs w:val="21"/>
        </w:rPr>
        <w:t>。投标声明应载明在</w:t>
      </w:r>
      <w:r>
        <w:rPr>
          <w:rFonts w:hint="eastAsia"/>
          <w:szCs w:val="21"/>
        </w:rPr>
        <w:t>“</w:t>
      </w:r>
      <w:r>
        <w:rPr>
          <w:szCs w:val="21"/>
        </w:rPr>
        <w:t>开标一览表</w:t>
      </w:r>
      <w:r>
        <w:rPr>
          <w:rFonts w:hint="eastAsia"/>
          <w:szCs w:val="21"/>
        </w:rPr>
        <w:t>”</w:t>
      </w:r>
      <w:r>
        <w:rPr>
          <w:szCs w:val="21"/>
        </w:rPr>
        <w:t>中，供开标时唱出。未经唱出的投标声明在评标时不作考虑。</w:t>
      </w:r>
    </w:p>
    <w:p>
      <w:pPr>
        <w:tabs>
          <w:tab w:val="left" w:pos="709"/>
        </w:tabs>
        <w:spacing w:line="360" w:lineRule="auto"/>
        <w:ind w:firstLine="420" w:firstLineChars="200"/>
        <w:contextualSpacing/>
        <w:rPr>
          <w:szCs w:val="21"/>
        </w:rPr>
      </w:pPr>
      <w:r>
        <w:rPr>
          <w:szCs w:val="21"/>
        </w:rPr>
        <w:t>12</w:t>
      </w:r>
      <w:r>
        <w:rPr>
          <w:rFonts w:hint="eastAsia"/>
          <w:szCs w:val="21"/>
        </w:rPr>
        <w:t>.4</w:t>
      </w:r>
      <w:r>
        <w:rPr>
          <w:szCs w:val="21"/>
        </w:rPr>
        <w:t>投标报价</w:t>
      </w:r>
      <w:r>
        <w:rPr>
          <w:rFonts w:hint="eastAsia"/>
          <w:szCs w:val="21"/>
        </w:rPr>
        <w:t>中有关</w:t>
      </w:r>
      <w:r>
        <w:rPr>
          <w:szCs w:val="21"/>
        </w:rPr>
        <w:t>单价在中标后及合同执行过程中是固定不变的，投标人不得以任何理由予以变更。任何包含价格调整要求的投标，将被作无效投标处理。</w:t>
      </w:r>
    </w:p>
    <w:p>
      <w:pPr>
        <w:tabs>
          <w:tab w:val="left" w:pos="709"/>
        </w:tabs>
        <w:spacing w:line="360" w:lineRule="auto"/>
        <w:ind w:firstLine="420" w:firstLineChars="200"/>
        <w:contextualSpacing/>
        <w:rPr>
          <w:szCs w:val="21"/>
        </w:rPr>
      </w:pPr>
      <w:r>
        <w:rPr>
          <w:szCs w:val="21"/>
        </w:rPr>
        <w:t>12</w:t>
      </w:r>
      <w:r>
        <w:rPr>
          <w:rFonts w:hint="eastAsia"/>
          <w:szCs w:val="21"/>
        </w:rPr>
        <w:t>.5</w:t>
      </w:r>
      <w:r>
        <w:rPr>
          <w:szCs w:val="21"/>
        </w:rPr>
        <w:t>除非采购文件在《投标资料表》中对授予合同的数量增减有约定，投标报价在开标以后直至合同执行过程中是固定不变的，投标人不得以任何理由予以变更。任何包含价格调整要求的投标，将被作无效投标处理。</w:t>
      </w:r>
    </w:p>
    <w:p>
      <w:pPr>
        <w:spacing w:line="360" w:lineRule="auto"/>
        <w:contextualSpacing/>
        <w:rPr>
          <w:szCs w:val="21"/>
        </w:rPr>
      </w:pPr>
      <w:r>
        <w:rPr>
          <w:szCs w:val="21"/>
        </w:rPr>
        <w:t>13</w:t>
      </w:r>
      <w:r>
        <w:rPr>
          <w:rFonts w:hint="eastAsia"/>
          <w:szCs w:val="21"/>
        </w:rPr>
        <w:t>、</w:t>
      </w:r>
      <w:r>
        <w:rPr>
          <w:szCs w:val="21"/>
        </w:rPr>
        <w:t>投标文件编写</w:t>
      </w:r>
    </w:p>
    <w:p>
      <w:pPr>
        <w:tabs>
          <w:tab w:val="left" w:pos="709"/>
        </w:tabs>
        <w:spacing w:line="360" w:lineRule="auto"/>
        <w:ind w:firstLine="420" w:firstLineChars="200"/>
        <w:contextualSpacing/>
        <w:rPr>
          <w:szCs w:val="21"/>
        </w:rPr>
      </w:pPr>
      <w:r>
        <w:rPr>
          <w:rFonts w:hint="eastAsia"/>
          <w:szCs w:val="21"/>
        </w:rPr>
        <w:t>1</w:t>
      </w:r>
      <w:r>
        <w:rPr>
          <w:szCs w:val="21"/>
        </w:rPr>
        <w:t>3</w:t>
      </w:r>
      <w:r>
        <w:rPr>
          <w:rFonts w:hint="eastAsia"/>
          <w:szCs w:val="21"/>
        </w:rPr>
        <w:t>.1</w:t>
      </w:r>
      <w:r>
        <w:rPr>
          <w:szCs w:val="21"/>
        </w:rPr>
        <w:t>投标文件应表述准确、完整、详细，并按统一格式填写。开标一览表系开标仪式上唱标的内容，应按格式完整填写。投标文件因表达不清楚所引起的后果由投标人负责。</w:t>
      </w:r>
    </w:p>
    <w:p>
      <w:pPr>
        <w:tabs>
          <w:tab w:val="left" w:pos="709"/>
        </w:tabs>
        <w:spacing w:line="360" w:lineRule="auto"/>
        <w:ind w:firstLine="420" w:firstLineChars="200"/>
        <w:contextualSpacing/>
        <w:rPr>
          <w:szCs w:val="21"/>
        </w:rPr>
      </w:pPr>
      <w:r>
        <w:rPr>
          <w:rFonts w:hint="eastAsia"/>
          <w:szCs w:val="21"/>
        </w:rPr>
        <w:t>1</w:t>
      </w:r>
      <w:r>
        <w:rPr>
          <w:szCs w:val="21"/>
        </w:rPr>
        <w:t>3</w:t>
      </w:r>
      <w:r>
        <w:rPr>
          <w:rFonts w:hint="eastAsia"/>
          <w:szCs w:val="21"/>
        </w:rPr>
        <w:t>.2</w:t>
      </w:r>
      <w:r>
        <w:rPr>
          <w:szCs w:val="21"/>
        </w:rPr>
        <w:t>投标语言：中文</w:t>
      </w:r>
      <w:r>
        <w:rPr>
          <w:rFonts w:hint="eastAsia"/>
          <w:szCs w:val="21"/>
        </w:rPr>
        <w:t>。除签名、盖章、专用名称等特殊情形外，以中文汉语以外的文字表述的投标文件视同未提供</w:t>
      </w:r>
      <w:r>
        <w:rPr>
          <w:szCs w:val="21"/>
        </w:rPr>
        <w:t>。</w:t>
      </w:r>
    </w:p>
    <w:p>
      <w:pPr>
        <w:tabs>
          <w:tab w:val="left" w:pos="709"/>
        </w:tabs>
        <w:spacing w:line="360" w:lineRule="auto"/>
        <w:ind w:firstLine="420" w:firstLineChars="200"/>
        <w:contextualSpacing/>
        <w:rPr>
          <w:szCs w:val="21"/>
        </w:rPr>
      </w:pPr>
      <w:r>
        <w:rPr>
          <w:rFonts w:hint="eastAsia"/>
          <w:szCs w:val="21"/>
        </w:rPr>
        <w:t>1</w:t>
      </w:r>
      <w:r>
        <w:rPr>
          <w:szCs w:val="21"/>
        </w:rPr>
        <w:t>3</w:t>
      </w:r>
      <w:r>
        <w:rPr>
          <w:rFonts w:hint="eastAsia"/>
          <w:szCs w:val="21"/>
        </w:rPr>
        <w:t>.3</w:t>
      </w:r>
      <w:r>
        <w:rPr>
          <w:szCs w:val="21"/>
        </w:rPr>
        <w:t>投标文件中所使用的计量单位，除非本采购文件</w:t>
      </w:r>
      <w:r>
        <w:rPr>
          <w:rFonts w:hint="eastAsia"/>
          <w:szCs w:val="21"/>
        </w:rPr>
        <w:t>“</w:t>
      </w:r>
      <w:r>
        <w:rPr>
          <w:szCs w:val="21"/>
        </w:rPr>
        <w:t>招标内容及要求</w:t>
      </w:r>
      <w:r>
        <w:rPr>
          <w:rFonts w:hint="eastAsia"/>
          <w:szCs w:val="21"/>
        </w:rPr>
        <w:t>”</w:t>
      </w:r>
      <w:r>
        <w:rPr>
          <w:szCs w:val="21"/>
        </w:rPr>
        <w:t>有特殊要求，应采用国家法定计量单位。</w:t>
      </w:r>
    </w:p>
    <w:p>
      <w:pPr>
        <w:spacing w:line="360" w:lineRule="auto"/>
        <w:contextualSpacing/>
        <w:rPr>
          <w:szCs w:val="21"/>
        </w:rPr>
      </w:pPr>
      <w:r>
        <w:rPr>
          <w:szCs w:val="21"/>
        </w:rPr>
        <w:t>14</w:t>
      </w:r>
      <w:r>
        <w:rPr>
          <w:rFonts w:hint="eastAsia"/>
          <w:szCs w:val="21"/>
        </w:rPr>
        <w:t>、</w:t>
      </w:r>
      <w:r>
        <w:rPr>
          <w:szCs w:val="21"/>
        </w:rPr>
        <w:t>投标文件的有效期</w:t>
      </w:r>
    </w:p>
    <w:p>
      <w:pPr>
        <w:tabs>
          <w:tab w:val="left" w:pos="709"/>
        </w:tabs>
        <w:spacing w:line="360" w:lineRule="auto"/>
        <w:ind w:firstLine="420" w:firstLineChars="200"/>
        <w:contextualSpacing/>
        <w:rPr>
          <w:szCs w:val="21"/>
        </w:rPr>
      </w:pPr>
      <w:r>
        <w:rPr>
          <w:rFonts w:hint="eastAsia"/>
          <w:szCs w:val="21"/>
        </w:rPr>
        <w:t>1</w:t>
      </w:r>
      <w:r>
        <w:rPr>
          <w:szCs w:val="21"/>
        </w:rPr>
        <w:t>4</w:t>
      </w:r>
      <w:r>
        <w:rPr>
          <w:rFonts w:hint="eastAsia"/>
          <w:szCs w:val="21"/>
        </w:rPr>
        <w:t>.1</w:t>
      </w:r>
      <w:r>
        <w:rPr>
          <w:szCs w:val="21"/>
        </w:rPr>
        <w:t>投标文件应在《投标资料表》规定的投标有效期内保持有效。有效期短于规定期限的，将导致投标无效</w:t>
      </w:r>
      <w:r>
        <w:rPr>
          <w:rFonts w:hint="eastAsia"/>
          <w:szCs w:val="21"/>
        </w:rPr>
        <w:t>而被拒绝</w:t>
      </w:r>
      <w:r>
        <w:rPr>
          <w:szCs w:val="21"/>
        </w:rPr>
        <w:t>。</w:t>
      </w:r>
    </w:p>
    <w:p>
      <w:pPr>
        <w:tabs>
          <w:tab w:val="left" w:pos="709"/>
        </w:tabs>
        <w:spacing w:line="360" w:lineRule="auto"/>
        <w:ind w:firstLine="420" w:firstLineChars="200"/>
        <w:contextualSpacing/>
        <w:rPr>
          <w:szCs w:val="21"/>
        </w:rPr>
      </w:pPr>
      <w:r>
        <w:rPr>
          <w:rFonts w:hint="eastAsia"/>
          <w:szCs w:val="21"/>
        </w:rPr>
        <w:t>1</w:t>
      </w:r>
      <w:r>
        <w:rPr>
          <w:szCs w:val="21"/>
        </w:rPr>
        <w:t>4</w:t>
      </w:r>
      <w:r>
        <w:rPr>
          <w:rFonts w:hint="eastAsia"/>
          <w:szCs w:val="21"/>
        </w:rPr>
        <w:t>.2</w:t>
      </w:r>
      <w:r>
        <w:rPr>
          <w:szCs w:val="21"/>
        </w:rPr>
        <w:t>在特殊情况下，在原投标有效期截止之前，应</w:t>
      </w:r>
      <w:r>
        <w:rPr>
          <w:rFonts w:hint="eastAsia"/>
          <w:szCs w:val="21"/>
        </w:rPr>
        <w:t>采购人</w:t>
      </w:r>
      <w:r>
        <w:rPr>
          <w:szCs w:val="21"/>
        </w:rPr>
        <w:t>的要求，采购代理机构可要求投标人延长投标文件的有效期，这种要求的提出和投标人的答复都应以书面（含传真）的形式进行。</w:t>
      </w:r>
    </w:p>
    <w:p>
      <w:pPr>
        <w:tabs>
          <w:tab w:val="left" w:pos="709"/>
        </w:tabs>
        <w:spacing w:line="360" w:lineRule="auto"/>
        <w:ind w:firstLine="420" w:firstLineChars="200"/>
        <w:contextualSpacing/>
        <w:rPr>
          <w:rFonts w:hint="eastAsia"/>
          <w:szCs w:val="21"/>
        </w:rPr>
      </w:pPr>
      <w:r>
        <w:rPr>
          <w:rFonts w:hint="eastAsia"/>
          <w:szCs w:val="21"/>
        </w:rPr>
        <w:t>1</w:t>
      </w:r>
      <w:r>
        <w:rPr>
          <w:szCs w:val="21"/>
        </w:rPr>
        <w:t>4.3</w:t>
      </w:r>
      <w:r>
        <w:rPr>
          <w:rFonts w:hint="eastAsia"/>
          <w:szCs w:val="21"/>
        </w:rPr>
        <w:t>中标人的投标文件自开标之日起至合同履行完毕止均应保持有效。</w:t>
      </w:r>
    </w:p>
    <w:p>
      <w:pPr>
        <w:spacing w:line="360" w:lineRule="auto"/>
        <w:contextualSpacing/>
        <w:rPr>
          <w:szCs w:val="21"/>
        </w:rPr>
      </w:pPr>
      <w:r>
        <w:rPr>
          <w:rFonts w:hint="eastAsia"/>
          <w:szCs w:val="21"/>
        </w:rPr>
        <w:t>1</w:t>
      </w:r>
      <w:r>
        <w:rPr>
          <w:szCs w:val="21"/>
        </w:rPr>
        <w:t>5</w:t>
      </w:r>
      <w:r>
        <w:rPr>
          <w:rFonts w:hint="eastAsia"/>
          <w:szCs w:val="21"/>
        </w:rPr>
        <w:t>、投标文件的签署和份数</w:t>
      </w:r>
    </w:p>
    <w:p>
      <w:pPr>
        <w:spacing w:line="360" w:lineRule="auto"/>
        <w:ind w:firstLine="525" w:firstLineChars="250"/>
        <w:contextualSpacing/>
        <w:rPr>
          <w:rFonts w:cs="宋体"/>
          <w:szCs w:val="24"/>
        </w:rPr>
      </w:pPr>
      <w:r>
        <w:rPr>
          <w:rFonts w:cs="宋体"/>
        </w:rPr>
        <w:t>15.1</w:t>
      </w:r>
      <w:r>
        <w:rPr>
          <w:rFonts w:hint="eastAsia" w:cs="宋体"/>
        </w:rPr>
        <w:t>供应商应按本采购文件规定的格式和顺序编制、装订投标文件</w:t>
      </w:r>
      <w:r>
        <w:rPr>
          <w:rFonts w:hint="eastAsia" w:cs="宋体"/>
          <w:szCs w:val="21"/>
        </w:rPr>
        <w:t>，投标文件要求有目录并标注页码</w:t>
      </w:r>
      <w:r>
        <w:rPr>
          <w:rFonts w:hint="eastAsia" w:cs="宋体"/>
        </w:rPr>
        <w:t>，投标文件内容不完整、编排混乱导致投标文件被误读、漏读或者查找不到相关内容的，是供应商的责任。</w:t>
      </w:r>
    </w:p>
    <w:p>
      <w:pPr>
        <w:spacing w:line="360" w:lineRule="auto"/>
        <w:ind w:firstLine="525" w:firstLineChars="250"/>
        <w:contextualSpacing/>
        <w:rPr>
          <w:rFonts w:cs="宋体"/>
        </w:rPr>
      </w:pPr>
      <w:r>
        <w:rPr>
          <w:rFonts w:cs="宋体"/>
        </w:rPr>
        <w:t>15.2</w:t>
      </w:r>
      <w:r>
        <w:rPr>
          <w:rFonts w:hint="eastAsia" w:cs="宋体"/>
        </w:rPr>
        <w:t>投标文件的份数：</w:t>
      </w:r>
    </w:p>
    <w:p>
      <w:pPr>
        <w:spacing w:line="360" w:lineRule="auto"/>
        <w:ind w:firstLine="525" w:firstLineChars="250"/>
        <w:contextualSpacing/>
        <w:rPr>
          <w:rFonts w:cs="宋体"/>
        </w:rPr>
      </w:pPr>
      <w:r>
        <w:rPr>
          <w:rFonts w:hint="eastAsia" w:cs="宋体"/>
        </w:rPr>
        <w:t>本项目实行网上投标，供应商应准备以下投标文件：</w:t>
      </w:r>
    </w:p>
    <w:p>
      <w:pPr>
        <w:spacing w:line="360" w:lineRule="auto"/>
        <w:ind w:firstLine="525" w:firstLineChars="250"/>
        <w:contextualSpacing/>
        <w:rPr>
          <w:rFonts w:cs="宋体"/>
        </w:rPr>
      </w:pPr>
      <w:r>
        <w:rPr>
          <w:rFonts w:hint="eastAsia" w:cs="宋体"/>
        </w:rPr>
        <w:t>（</w:t>
      </w:r>
      <w:r>
        <w:rPr>
          <w:rFonts w:cs="宋体"/>
        </w:rPr>
        <w:t>1</w:t>
      </w:r>
      <w:r>
        <w:rPr>
          <w:rFonts w:hint="eastAsia" w:cs="宋体"/>
        </w:rPr>
        <w:t>）上传到政府采购云平台的电子加密投标文件（含资格证明文件、技术商务文件、报价文件）</w:t>
      </w:r>
      <w:r>
        <w:rPr>
          <w:rFonts w:cs="宋体"/>
        </w:rPr>
        <w:t>1</w:t>
      </w:r>
      <w:r>
        <w:rPr>
          <w:rFonts w:hint="eastAsia" w:cs="宋体"/>
        </w:rPr>
        <w:t>份。</w:t>
      </w:r>
    </w:p>
    <w:p>
      <w:pPr>
        <w:spacing w:line="360" w:lineRule="auto"/>
        <w:ind w:firstLine="525" w:firstLineChars="250"/>
        <w:contextualSpacing/>
        <w:rPr>
          <w:rFonts w:cs="宋体"/>
        </w:rPr>
      </w:pPr>
      <w:r>
        <w:rPr>
          <w:rFonts w:hint="eastAsia" w:cs="宋体"/>
        </w:rPr>
        <w:t>（</w:t>
      </w:r>
      <w:r>
        <w:rPr>
          <w:rFonts w:cs="宋体"/>
        </w:rPr>
        <w:t>2</w:t>
      </w:r>
      <w:r>
        <w:rPr>
          <w:rFonts w:hint="eastAsia" w:cs="宋体"/>
        </w:rPr>
        <w:t>）以</w:t>
      </w:r>
      <w:r>
        <w:rPr>
          <w:rFonts w:cs="宋体"/>
        </w:rPr>
        <w:t>U</w:t>
      </w:r>
      <w:r>
        <w:rPr>
          <w:rFonts w:hint="eastAsia" w:cs="宋体"/>
        </w:rPr>
        <w:t>盘存储的电子备份投标文件（含资格证明文件、技术商务文件、报价文件）</w:t>
      </w:r>
      <w:r>
        <w:rPr>
          <w:rFonts w:cs="宋体"/>
        </w:rPr>
        <w:t>1</w:t>
      </w:r>
      <w:r>
        <w:rPr>
          <w:rFonts w:hint="eastAsia" w:cs="宋体"/>
        </w:rPr>
        <w:t>份。</w:t>
      </w:r>
    </w:p>
    <w:p>
      <w:pPr>
        <w:spacing w:line="360" w:lineRule="auto"/>
        <w:ind w:firstLine="525" w:firstLineChars="250"/>
        <w:contextualSpacing/>
        <w:rPr>
          <w:rFonts w:cs="宋体"/>
        </w:rPr>
      </w:pPr>
      <w:r>
        <w:rPr>
          <w:rFonts w:cs="宋体"/>
        </w:rPr>
        <w:t>15.3</w:t>
      </w:r>
      <w:r>
        <w:rPr>
          <w:rFonts w:hint="eastAsia" w:cs="宋体"/>
        </w:rPr>
        <w:t>电子投标文件：</w:t>
      </w:r>
    </w:p>
    <w:p>
      <w:pPr>
        <w:spacing w:line="360" w:lineRule="auto"/>
        <w:ind w:firstLine="525" w:firstLineChars="250"/>
        <w:contextualSpacing/>
        <w:rPr>
          <w:rFonts w:cs="宋体"/>
        </w:rPr>
      </w:pPr>
      <w:r>
        <w:rPr>
          <w:rFonts w:hint="eastAsia" w:cs="宋体"/>
        </w:rPr>
        <w:t>供应商应根据</w:t>
      </w:r>
      <w:r>
        <w:rPr>
          <w:rFonts w:hint="eastAsia" w:cs="宋体"/>
          <w:szCs w:val="21"/>
        </w:rPr>
        <w:t>政府采购云平台的要求</w:t>
      </w:r>
      <w:r>
        <w:rPr>
          <w:rFonts w:hint="eastAsia" w:cs="宋体"/>
        </w:rPr>
        <w:t>及本采购文件规定的格式和顺序编制电子投标文件并进行关联定位。</w:t>
      </w:r>
    </w:p>
    <w:p>
      <w:pPr>
        <w:spacing w:line="360" w:lineRule="auto"/>
        <w:contextualSpacing/>
        <w:rPr>
          <w:szCs w:val="21"/>
        </w:rPr>
      </w:pPr>
      <w:r>
        <w:rPr>
          <w:rFonts w:hint="eastAsia"/>
          <w:szCs w:val="21"/>
        </w:rPr>
        <w:t>1</w:t>
      </w:r>
      <w:r>
        <w:rPr>
          <w:szCs w:val="21"/>
        </w:rPr>
        <w:t>6</w:t>
      </w:r>
      <w:r>
        <w:rPr>
          <w:rFonts w:hint="eastAsia"/>
          <w:szCs w:val="21"/>
        </w:rPr>
        <w:t>、投标文件的包装、递交、修改和撤回</w:t>
      </w:r>
    </w:p>
    <w:p>
      <w:pPr>
        <w:snapToGrid w:val="0"/>
        <w:spacing w:line="360" w:lineRule="auto"/>
        <w:ind w:firstLine="420"/>
        <w:contextualSpacing/>
        <w:jc w:val="left"/>
        <w:rPr>
          <w:szCs w:val="21"/>
        </w:rPr>
      </w:pPr>
      <w:r>
        <w:rPr>
          <w:rFonts w:cs="宋体"/>
          <w:szCs w:val="21"/>
        </w:rPr>
        <w:t>16.1</w:t>
      </w:r>
      <w:r>
        <w:rPr>
          <w:rFonts w:hint="eastAsia" w:cs="宋体"/>
          <w:szCs w:val="21"/>
        </w:rPr>
        <w:t>以</w:t>
      </w:r>
      <w:r>
        <w:rPr>
          <w:rFonts w:cs="宋体"/>
          <w:szCs w:val="21"/>
        </w:rPr>
        <w:t>U</w:t>
      </w:r>
      <w:r>
        <w:rPr>
          <w:rFonts w:hint="eastAsia" w:cs="宋体"/>
          <w:szCs w:val="21"/>
        </w:rPr>
        <w:t>盘存储的电子备份投标文件</w:t>
      </w:r>
      <w:r>
        <w:rPr>
          <w:rFonts w:hint="eastAsia"/>
          <w:szCs w:val="21"/>
        </w:rPr>
        <w:t>用封袋密封后递交。</w:t>
      </w:r>
    </w:p>
    <w:p>
      <w:pPr>
        <w:snapToGrid w:val="0"/>
        <w:spacing w:line="360" w:lineRule="auto"/>
        <w:ind w:firstLine="420"/>
        <w:contextualSpacing/>
        <w:jc w:val="left"/>
        <w:rPr>
          <w:rFonts w:cs="宋体"/>
          <w:szCs w:val="21"/>
        </w:rPr>
      </w:pPr>
      <w:r>
        <w:rPr>
          <w:rFonts w:cs="宋体"/>
          <w:szCs w:val="21"/>
        </w:rPr>
        <w:t>16.</w:t>
      </w:r>
      <w:r>
        <w:rPr>
          <w:rFonts w:hint="eastAsia" w:cs="宋体"/>
          <w:szCs w:val="21"/>
        </w:rPr>
        <w:t>2未按规定密封或标记的投标文件将被拒绝，由此造成投标文件被误投或提前拆封的风险由供应商承担。</w:t>
      </w:r>
    </w:p>
    <w:p>
      <w:pPr>
        <w:snapToGrid w:val="0"/>
        <w:spacing w:line="360" w:lineRule="auto"/>
        <w:ind w:firstLine="420"/>
        <w:contextualSpacing/>
        <w:jc w:val="left"/>
        <w:rPr>
          <w:rFonts w:cs="宋体"/>
          <w:szCs w:val="21"/>
        </w:rPr>
      </w:pPr>
      <w:r>
        <w:rPr>
          <w:rFonts w:cs="宋体"/>
          <w:szCs w:val="21"/>
        </w:rPr>
        <w:t>16.</w:t>
      </w:r>
      <w:r>
        <w:rPr>
          <w:rFonts w:hint="eastAsia" w:cs="宋体"/>
          <w:szCs w:val="21"/>
        </w:rPr>
        <w:t>3供应商在投标截止时间之前，可以对已提交的电子备份投标文件进行修改或撤回，并书面通知招标采购人；投标截止时间后，供应商不得撤回、修改投标文件。修改后重新递交的电子备份投标文件应当按本采购文件的要求签署、盖章和密封。</w:t>
      </w:r>
    </w:p>
    <w:p>
      <w:pPr>
        <w:spacing w:line="360" w:lineRule="auto"/>
        <w:ind w:firstLine="420" w:firstLineChars="200"/>
        <w:contextualSpacing/>
        <w:rPr>
          <w:rFonts w:hint="eastAsia"/>
          <w:szCs w:val="21"/>
        </w:rPr>
      </w:pPr>
      <w:r>
        <w:rPr>
          <w:rFonts w:cs="宋体"/>
          <w:szCs w:val="21"/>
        </w:rPr>
        <w:t>16.</w:t>
      </w:r>
      <w:r>
        <w:rPr>
          <w:rFonts w:hint="eastAsia" w:cs="宋体"/>
          <w:szCs w:val="21"/>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
        <w:spacing w:line="360" w:lineRule="auto"/>
        <w:contextualSpacing/>
        <w:rPr>
          <w:rFonts w:ascii="Times New Roman"/>
          <w:szCs w:val="28"/>
        </w:rPr>
      </w:pPr>
      <w:r>
        <w:rPr>
          <w:rFonts w:hint="eastAsia" w:ascii="Times New Roman"/>
          <w:szCs w:val="28"/>
        </w:rPr>
        <w:t>五、</w:t>
      </w:r>
      <w:r>
        <w:rPr>
          <w:rFonts w:ascii="Times New Roman"/>
          <w:szCs w:val="28"/>
        </w:rPr>
        <w:t>开标</w:t>
      </w:r>
    </w:p>
    <w:p>
      <w:pPr>
        <w:spacing w:line="360" w:lineRule="auto"/>
        <w:contextualSpacing/>
        <w:rPr>
          <w:szCs w:val="21"/>
        </w:rPr>
      </w:pPr>
      <w:r>
        <w:rPr>
          <w:rFonts w:hint="eastAsia"/>
          <w:szCs w:val="21"/>
        </w:rPr>
        <w:t>1</w:t>
      </w:r>
      <w:r>
        <w:rPr>
          <w:szCs w:val="21"/>
        </w:rPr>
        <w:t>7</w:t>
      </w:r>
      <w:r>
        <w:rPr>
          <w:rFonts w:hint="eastAsia"/>
          <w:szCs w:val="21"/>
        </w:rPr>
        <w:t>、开标准备</w:t>
      </w:r>
    </w:p>
    <w:p>
      <w:pPr>
        <w:spacing w:line="360" w:lineRule="auto"/>
        <w:ind w:firstLine="420" w:firstLineChars="200"/>
        <w:contextualSpacing/>
        <w:rPr>
          <w:rFonts w:hint="eastAsia" w:cs="宋体"/>
          <w:szCs w:val="21"/>
        </w:rPr>
      </w:pPr>
      <w:r>
        <w:rPr>
          <w:rFonts w:hint="eastAsia" w:cs="宋体"/>
          <w:szCs w:val="21"/>
        </w:rPr>
        <w:t>采购代理机构将在规定的时间和地点进行开标，供应商的法定代表人或其授权代表可参加开标会。供应商的法定代表人或其授权代表未按时签到登记的，视同放弃开标监督权利、认可开标结果。</w:t>
      </w:r>
    </w:p>
    <w:p>
      <w:pPr>
        <w:spacing w:line="360" w:lineRule="auto"/>
        <w:contextualSpacing/>
        <w:rPr>
          <w:szCs w:val="21"/>
        </w:rPr>
      </w:pPr>
      <w:r>
        <w:rPr>
          <w:rFonts w:hint="eastAsia"/>
          <w:szCs w:val="21"/>
        </w:rPr>
        <w:t>1</w:t>
      </w:r>
      <w:r>
        <w:rPr>
          <w:szCs w:val="21"/>
        </w:rPr>
        <w:t>8</w:t>
      </w:r>
      <w:r>
        <w:rPr>
          <w:rFonts w:hint="eastAsia"/>
          <w:szCs w:val="21"/>
        </w:rPr>
        <w:t>、开标程序：</w:t>
      </w:r>
    </w:p>
    <w:p>
      <w:pPr>
        <w:spacing w:line="360" w:lineRule="auto"/>
        <w:ind w:firstLine="420" w:firstLineChars="200"/>
        <w:contextualSpacing/>
        <w:rPr>
          <w:rFonts w:cs="宋体"/>
          <w:szCs w:val="21"/>
        </w:rPr>
      </w:pPr>
      <w:r>
        <w:rPr>
          <w:rFonts w:cs="宋体"/>
          <w:szCs w:val="21"/>
        </w:rPr>
        <w:t>18.1</w:t>
      </w:r>
      <w:r>
        <w:rPr>
          <w:rFonts w:hint="eastAsia" w:cs="宋体"/>
          <w:szCs w:val="21"/>
        </w:rPr>
        <w:t>电子招投标开标程序：</w:t>
      </w:r>
    </w:p>
    <w:p>
      <w:pPr>
        <w:spacing w:line="360" w:lineRule="auto"/>
        <w:ind w:firstLine="420" w:firstLineChars="200"/>
        <w:contextualSpacing/>
        <w:rPr>
          <w:rFonts w:cs="宋体"/>
          <w:szCs w:val="21"/>
        </w:rPr>
      </w:pPr>
      <w:r>
        <w:rPr>
          <w:rFonts w:hint="eastAsia" w:cs="宋体"/>
          <w:szCs w:val="21"/>
        </w:rPr>
        <w:t>（1）投标截止时间后，供应商登录政府采购云平台，用“项目采购</w:t>
      </w:r>
      <w:r>
        <w:rPr>
          <w:rFonts w:cs="宋体"/>
          <w:szCs w:val="21"/>
        </w:rPr>
        <w:t>-</w:t>
      </w:r>
      <w:r>
        <w:rPr>
          <w:rFonts w:hint="eastAsia" w:cs="宋体"/>
          <w:szCs w:val="21"/>
        </w:rPr>
        <w:t>开标评标”功能对电子投标文件进行在线解密，在线解密电子投标文件时间为开标时间后</w:t>
      </w:r>
      <w:r>
        <w:rPr>
          <w:rFonts w:cs="宋体"/>
          <w:szCs w:val="21"/>
        </w:rPr>
        <w:t>30分钟</w:t>
      </w:r>
      <w:r>
        <w:rPr>
          <w:rFonts w:hint="eastAsia" w:cs="宋体"/>
          <w:szCs w:val="21"/>
        </w:rPr>
        <w:t>内。</w:t>
      </w:r>
    </w:p>
    <w:p>
      <w:pPr>
        <w:spacing w:line="360" w:lineRule="auto"/>
        <w:ind w:firstLine="420" w:firstLineChars="200"/>
        <w:contextualSpacing/>
        <w:rPr>
          <w:rFonts w:cs="宋体"/>
          <w:szCs w:val="21"/>
        </w:rPr>
      </w:pPr>
      <w:r>
        <w:rPr>
          <w:rFonts w:hint="eastAsia" w:cs="宋体"/>
          <w:szCs w:val="21"/>
        </w:rPr>
        <w:t>（2）在政府采购云平台开启已解密供应商的“资格证明文件、技术商务文件、报价文件”，并做开标记录；</w:t>
      </w:r>
    </w:p>
    <w:p>
      <w:pPr>
        <w:spacing w:line="360" w:lineRule="auto"/>
        <w:ind w:firstLine="420" w:firstLineChars="200"/>
        <w:contextualSpacing/>
        <w:rPr>
          <w:rFonts w:cs="宋体"/>
          <w:szCs w:val="21"/>
        </w:rPr>
      </w:pPr>
      <w:r>
        <w:rPr>
          <w:rFonts w:hint="eastAsia" w:cs="宋体"/>
          <w:szCs w:val="21"/>
        </w:rPr>
        <w:t>（</w:t>
      </w:r>
      <w:r>
        <w:rPr>
          <w:rFonts w:cs="宋体"/>
          <w:szCs w:val="21"/>
        </w:rPr>
        <w:t>3</w:t>
      </w:r>
      <w:r>
        <w:rPr>
          <w:rFonts w:hint="eastAsia" w:cs="宋体"/>
          <w:szCs w:val="21"/>
        </w:rPr>
        <w:t>）在政府采购云平台公布评审结果。</w:t>
      </w:r>
    </w:p>
    <w:p>
      <w:pPr>
        <w:spacing w:line="360" w:lineRule="auto"/>
        <w:ind w:firstLine="420" w:firstLineChars="200"/>
        <w:contextualSpacing/>
        <w:rPr>
          <w:rFonts w:cs="宋体"/>
          <w:szCs w:val="21"/>
        </w:rPr>
      </w:pPr>
      <w:r>
        <w:rPr>
          <w:rFonts w:hint="eastAsia" w:cs="宋体"/>
          <w:szCs w:val="21"/>
        </w:rPr>
        <w:t>（</w:t>
      </w:r>
      <w:r>
        <w:rPr>
          <w:rFonts w:cs="宋体"/>
          <w:szCs w:val="21"/>
        </w:rPr>
        <w:t>4</w:t>
      </w:r>
      <w:r>
        <w:rPr>
          <w:rFonts w:hint="eastAsia" w:cs="宋体"/>
          <w:szCs w:val="21"/>
        </w:rPr>
        <w:t>）开标会议结束。</w:t>
      </w:r>
    </w:p>
    <w:p>
      <w:pPr>
        <w:spacing w:line="360" w:lineRule="auto"/>
        <w:ind w:firstLine="420" w:firstLineChars="200"/>
        <w:contextualSpacing/>
        <w:rPr>
          <w:rFonts w:cs="宋体"/>
          <w:szCs w:val="21"/>
        </w:rPr>
      </w:pPr>
      <w:r>
        <w:rPr>
          <w:rFonts w:cs="宋体"/>
          <w:szCs w:val="21"/>
        </w:rPr>
        <w:t>18.</w:t>
      </w:r>
      <w:r>
        <w:rPr>
          <w:rFonts w:hint="eastAsia" w:cs="宋体"/>
          <w:szCs w:val="21"/>
        </w:rPr>
        <w:t>2特别说明：政府采购云平台如对电子化开标及评审程序有调整的，按调整后的程序操作。</w:t>
      </w:r>
    </w:p>
    <w:p>
      <w:pPr>
        <w:spacing w:line="360" w:lineRule="auto"/>
        <w:ind w:firstLine="420" w:firstLineChars="200"/>
        <w:contextualSpacing/>
        <w:rPr>
          <w:rFonts w:cs="宋体"/>
          <w:szCs w:val="21"/>
        </w:rPr>
      </w:pPr>
      <w:r>
        <w:rPr>
          <w:rFonts w:hint="eastAsia" w:cs="宋体"/>
          <w:szCs w:val="21"/>
        </w:rPr>
        <w:t>本项目原则上采用政采云电子招投标开标程序，但有以下情形之一的，按以下处理：</w:t>
      </w:r>
    </w:p>
    <w:p>
      <w:pPr>
        <w:spacing w:line="360" w:lineRule="auto"/>
        <w:ind w:firstLine="420" w:firstLineChars="200"/>
        <w:contextualSpacing/>
        <w:rPr>
          <w:rFonts w:cs="宋体"/>
          <w:szCs w:val="21"/>
        </w:rPr>
      </w:pPr>
      <w:r>
        <w:rPr>
          <w:rFonts w:hint="eastAsia" w:cs="宋体"/>
          <w:szCs w:val="21"/>
        </w:rPr>
        <w:t>（</w:t>
      </w:r>
      <w:r>
        <w:rPr>
          <w:rFonts w:cs="宋体"/>
          <w:szCs w:val="21"/>
        </w:rPr>
        <w:t>1</w:t>
      </w:r>
      <w:r>
        <w:rPr>
          <w:rFonts w:hint="eastAsia" w:cs="宋体"/>
          <w:szCs w:val="21"/>
        </w:rPr>
        <w:t>）若有供应商在规定时间内无法解密或解密失败，代理机构将开启该供应商递交的以</w:t>
      </w:r>
      <w:r>
        <w:rPr>
          <w:rFonts w:cs="宋体"/>
          <w:szCs w:val="21"/>
        </w:rPr>
        <w:t>U</w:t>
      </w:r>
      <w:r>
        <w:rPr>
          <w:rFonts w:hint="eastAsia" w:cs="宋体"/>
          <w:szCs w:val="21"/>
        </w:rPr>
        <w:t>盘存储的电子备份投标文件，上传至政采云平台项目采购模块，以完成开标，电子投标文件自动失效。</w:t>
      </w:r>
    </w:p>
    <w:p>
      <w:pPr>
        <w:spacing w:line="360" w:lineRule="auto"/>
        <w:ind w:firstLine="420" w:firstLineChars="200"/>
        <w:contextualSpacing/>
        <w:rPr>
          <w:rFonts w:cs="宋体"/>
          <w:szCs w:val="21"/>
        </w:rPr>
      </w:pPr>
      <w:r>
        <w:rPr>
          <w:rFonts w:hint="eastAsia" w:cs="宋体"/>
          <w:szCs w:val="21"/>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contextualSpacing/>
        <w:rPr>
          <w:rFonts w:cs="宋体"/>
          <w:szCs w:val="21"/>
        </w:rPr>
      </w:pPr>
      <w:r>
        <w:rPr>
          <w:rFonts w:hint="eastAsia" w:cs="宋体"/>
          <w:szCs w:val="21"/>
        </w:rPr>
        <w:t>①电子交易平台发生故障而无法登录访问的；</w:t>
      </w:r>
      <w:r>
        <w:rPr>
          <w:rFonts w:cs="宋体"/>
          <w:szCs w:val="21"/>
        </w:rPr>
        <w:t xml:space="preserve"> </w:t>
      </w:r>
    </w:p>
    <w:p>
      <w:pPr>
        <w:spacing w:line="360" w:lineRule="auto"/>
        <w:ind w:firstLine="420" w:firstLineChars="200"/>
        <w:contextualSpacing/>
        <w:rPr>
          <w:rFonts w:cs="宋体"/>
          <w:szCs w:val="21"/>
        </w:rPr>
      </w:pPr>
      <w:r>
        <w:rPr>
          <w:rFonts w:hint="eastAsia" w:cs="宋体"/>
          <w:szCs w:val="21"/>
        </w:rPr>
        <w:t>②电子交易平台应用或数据库出现错误，不能进行正常操作的；</w:t>
      </w:r>
    </w:p>
    <w:p>
      <w:pPr>
        <w:spacing w:line="360" w:lineRule="auto"/>
        <w:ind w:firstLine="420" w:firstLineChars="200"/>
        <w:contextualSpacing/>
        <w:rPr>
          <w:rFonts w:cs="宋体"/>
          <w:szCs w:val="21"/>
        </w:rPr>
      </w:pPr>
      <w:r>
        <w:rPr>
          <w:rFonts w:hint="eastAsia" w:cs="宋体"/>
          <w:szCs w:val="21"/>
        </w:rPr>
        <w:t>③电子交易平台发现严重安全漏洞，有潜在泄密危险的；</w:t>
      </w:r>
    </w:p>
    <w:p>
      <w:pPr>
        <w:spacing w:line="360" w:lineRule="auto"/>
        <w:ind w:firstLine="420" w:firstLineChars="200"/>
        <w:contextualSpacing/>
        <w:rPr>
          <w:rFonts w:cs="宋体"/>
          <w:szCs w:val="21"/>
        </w:rPr>
      </w:pPr>
      <w:r>
        <w:rPr>
          <w:rFonts w:hint="eastAsia" w:cs="宋体"/>
          <w:szCs w:val="21"/>
        </w:rPr>
        <w:t>④病毒发作导致不能进行正常操作的；</w:t>
      </w:r>
      <w:r>
        <w:rPr>
          <w:rFonts w:cs="宋体"/>
          <w:szCs w:val="21"/>
        </w:rPr>
        <w:t xml:space="preserve"> </w:t>
      </w:r>
    </w:p>
    <w:p>
      <w:pPr>
        <w:spacing w:line="360" w:lineRule="auto"/>
        <w:ind w:firstLine="420" w:firstLineChars="200"/>
        <w:contextualSpacing/>
        <w:rPr>
          <w:rFonts w:cs="宋体"/>
          <w:szCs w:val="21"/>
        </w:rPr>
      </w:pPr>
      <w:r>
        <w:rPr>
          <w:rFonts w:hint="eastAsia" w:cs="宋体"/>
          <w:szCs w:val="21"/>
        </w:rPr>
        <w:t>⑤其他无法保证电子交易的公平、公正和安全的情况。</w:t>
      </w:r>
    </w:p>
    <w:p>
      <w:pPr>
        <w:spacing w:line="360" w:lineRule="auto"/>
        <w:ind w:firstLine="420" w:firstLineChars="200"/>
        <w:contextualSpacing/>
        <w:rPr>
          <w:rFonts w:cs="宋体"/>
          <w:szCs w:val="21"/>
        </w:rPr>
      </w:pPr>
      <w:r>
        <w:rPr>
          <w:rFonts w:hint="eastAsia" w:cs="宋体"/>
          <w:szCs w:val="21"/>
        </w:rPr>
        <w:t>出现前款规定情形，不影响采购公平、公正性的，采购人（或代理机构）可以待上述情形消除后继续组织电子交易活动。</w:t>
      </w:r>
    </w:p>
    <w:p>
      <w:pPr>
        <w:spacing w:line="360" w:lineRule="auto"/>
        <w:ind w:firstLine="420" w:firstLineChars="200"/>
        <w:contextualSpacing/>
        <w:rPr>
          <w:rFonts w:cs="宋体"/>
          <w:szCs w:val="21"/>
        </w:rPr>
      </w:pPr>
      <w:r>
        <w:rPr>
          <w:rFonts w:hint="eastAsia" w:cs="宋体"/>
          <w:szCs w:val="21"/>
        </w:rPr>
        <w:t>（</w:t>
      </w:r>
      <w:r>
        <w:rPr>
          <w:rFonts w:cs="宋体"/>
          <w:szCs w:val="21"/>
        </w:rPr>
        <w:t>4</w:t>
      </w:r>
      <w:r>
        <w:rPr>
          <w:rFonts w:hint="eastAsia" w:cs="宋体"/>
          <w:szCs w:val="21"/>
        </w:rPr>
        <w:t>）未开启的备份投标文件现场不予以退还。</w:t>
      </w:r>
    </w:p>
    <w:p>
      <w:pPr>
        <w:pStyle w:val="2"/>
        <w:spacing w:line="360" w:lineRule="auto"/>
        <w:contextualSpacing/>
        <w:rPr>
          <w:rFonts w:ascii="Times New Roman"/>
          <w:szCs w:val="28"/>
        </w:rPr>
      </w:pPr>
      <w:r>
        <w:rPr>
          <w:rFonts w:hint="eastAsia" w:ascii="Times New Roman"/>
          <w:szCs w:val="28"/>
        </w:rPr>
        <w:t>六、</w:t>
      </w:r>
      <w:r>
        <w:rPr>
          <w:rFonts w:ascii="Times New Roman"/>
          <w:szCs w:val="28"/>
        </w:rPr>
        <w:t>评标和定标</w:t>
      </w:r>
    </w:p>
    <w:p>
      <w:pPr>
        <w:spacing w:line="360" w:lineRule="auto"/>
        <w:contextualSpacing/>
        <w:rPr>
          <w:szCs w:val="21"/>
        </w:rPr>
      </w:pPr>
      <w:r>
        <w:rPr>
          <w:szCs w:val="21"/>
        </w:rPr>
        <w:t>19</w:t>
      </w:r>
      <w:r>
        <w:rPr>
          <w:rFonts w:hint="eastAsia"/>
          <w:szCs w:val="21"/>
        </w:rPr>
        <w:t>、</w:t>
      </w:r>
      <w:r>
        <w:rPr>
          <w:szCs w:val="21"/>
        </w:rPr>
        <w:t>评标委员会</w:t>
      </w:r>
    </w:p>
    <w:p>
      <w:pPr>
        <w:spacing w:line="360" w:lineRule="auto"/>
        <w:ind w:firstLine="420" w:firstLineChars="200"/>
        <w:contextualSpacing/>
        <w:rPr>
          <w:szCs w:val="21"/>
        </w:rPr>
      </w:pPr>
      <w:r>
        <w:rPr>
          <w:rFonts w:hint="eastAsia"/>
          <w:szCs w:val="21"/>
        </w:rPr>
        <w:t>1</w:t>
      </w:r>
      <w:r>
        <w:rPr>
          <w:szCs w:val="21"/>
        </w:rPr>
        <w:t>9</w:t>
      </w:r>
      <w:r>
        <w:rPr>
          <w:rFonts w:hint="eastAsia"/>
          <w:szCs w:val="21"/>
        </w:rPr>
        <w:t>.1</w:t>
      </w:r>
      <w:r>
        <w:rPr>
          <w:szCs w:val="21"/>
        </w:rPr>
        <w:t>受采购人的委托，采购代理机构根据《</w:t>
      </w:r>
      <w:r>
        <w:rPr>
          <w:rFonts w:hint="eastAsia"/>
          <w:szCs w:val="21"/>
        </w:rPr>
        <w:t>中华人民共和国</w:t>
      </w:r>
      <w:r>
        <w:rPr>
          <w:szCs w:val="21"/>
        </w:rPr>
        <w:t>政府采购法》、财政部第8</w:t>
      </w:r>
      <w:r>
        <w:rPr>
          <w:rFonts w:hint="eastAsia"/>
          <w:szCs w:val="21"/>
        </w:rPr>
        <w:t>7</w:t>
      </w:r>
      <w:r>
        <w:rPr>
          <w:szCs w:val="21"/>
        </w:rPr>
        <w:t>号令的规定和有关的</w:t>
      </w:r>
      <w:r>
        <w:rPr>
          <w:rFonts w:hint="eastAsia"/>
          <w:szCs w:val="21"/>
        </w:rPr>
        <w:t>法律</w:t>
      </w:r>
      <w:r>
        <w:rPr>
          <w:szCs w:val="21"/>
        </w:rPr>
        <w:t>法规组建评标委员会，评标委员会负责评标工作。评标委员会由</w:t>
      </w:r>
      <w:r>
        <w:rPr>
          <w:rFonts w:hint="eastAsia"/>
          <w:szCs w:val="21"/>
        </w:rPr>
        <w:t>采购人</w:t>
      </w:r>
      <w:r>
        <w:rPr>
          <w:szCs w:val="21"/>
        </w:rPr>
        <w:t>代表和</w:t>
      </w:r>
      <w:r>
        <w:rPr>
          <w:rFonts w:hint="eastAsia"/>
          <w:szCs w:val="21"/>
        </w:rPr>
        <w:t>评审</w:t>
      </w:r>
      <w:r>
        <w:rPr>
          <w:szCs w:val="21"/>
        </w:rPr>
        <w:t>专家组成。</w:t>
      </w:r>
      <w:r>
        <w:rPr>
          <w:rFonts w:hint="eastAsia"/>
          <w:szCs w:val="21"/>
        </w:rPr>
        <w:t>评审</w:t>
      </w:r>
      <w:r>
        <w:rPr>
          <w:szCs w:val="21"/>
        </w:rPr>
        <w:t>专家将在开标日之前在管理部门的</w:t>
      </w:r>
      <w:r>
        <w:rPr>
          <w:rFonts w:hint="eastAsia"/>
          <w:szCs w:val="21"/>
        </w:rPr>
        <w:t>评审</w:t>
      </w:r>
      <w:r>
        <w:rPr>
          <w:szCs w:val="21"/>
        </w:rPr>
        <w:t>专家库中随机抽取。</w:t>
      </w:r>
      <w:r>
        <w:rPr>
          <w:rFonts w:hint="eastAsia"/>
          <w:szCs w:val="21"/>
        </w:rPr>
        <w:t>评标委员会成员名单在评标结果公告前应当保密。</w:t>
      </w:r>
    </w:p>
    <w:p>
      <w:pPr>
        <w:spacing w:line="360" w:lineRule="auto"/>
        <w:ind w:firstLine="420" w:firstLineChars="200"/>
        <w:contextualSpacing/>
        <w:rPr>
          <w:szCs w:val="21"/>
        </w:rPr>
      </w:pPr>
      <w:r>
        <w:rPr>
          <w:rFonts w:hint="eastAsia"/>
          <w:szCs w:val="21"/>
        </w:rPr>
        <w:t>1</w:t>
      </w:r>
      <w:r>
        <w:rPr>
          <w:szCs w:val="21"/>
        </w:rPr>
        <w:t>9</w:t>
      </w:r>
      <w:r>
        <w:rPr>
          <w:rFonts w:hint="eastAsia"/>
          <w:szCs w:val="21"/>
        </w:rPr>
        <w:t>.2</w:t>
      </w:r>
      <w:r>
        <w:rPr>
          <w:szCs w:val="21"/>
        </w:rPr>
        <w:t>评标委员会将遵循公平、公正、科学、廉洁的原则和规定的程序进行评标，并且只依据投标文件本身对采购文件的响应情况进行评审，不考虑投标人在开标后提交的任何的补充声明、修正方案。</w:t>
      </w:r>
    </w:p>
    <w:p>
      <w:pPr>
        <w:spacing w:line="360" w:lineRule="auto"/>
        <w:ind w:firstLine="420" w:firstLineChars="200"/>
        <w:contextualSpacing/>
        <w:rPr>
          <w:szCs w:val="21"/>
        </w:rPr>
      </w:pPr>
      <w:r>
        <w:rPr>
          <w:rFonts w:hint="eastAsia"/>
          <w:szCs w:val="21"/>
        </w:rPr>
        <w:t>1</w:t>
      </w:r>
      <w:r>
        <w:rPr>
          <w:szCs w:val="21"/>
        </w:rPr>
        <w:t>9</w:t>
      </w:r>
      <w:r>
        <w:rPr>
          <w:rFonts w:hint="eastAsia"/>
          <w:szCs w:val="21"/>
        </w:rPr>
        <w:t>.3</w:t>
      </w:r>
      <w:r>
        <w:rPr>
          <w:szCs w:val="21"/>
        </w:rPr>
        <w:t>评标委员会将核对投标价格和</w:t>
      </w:r>
      <w:r>
        <w:rPr>
          <w:rFonts w:hint="eastAsia"/>
          <w:szCs w:val="21"/>
        </w:rPr>
        <w:t>服务内容</w:t>
      </w:r>
      <w:r>
        <w:rPr>
          <w:szCs w:val="21"/>
        </w:rPr>
        <w:t>，对发现的价格计算错误按下述原则处理：</w:t>
      </w:r>
    </w:p>
    <w:p>
      <w:pPr>
        <w:spacing w:line="360" w:lineRule="auto"/>
        <w:ind w:firstLine="420" w:firstLineChars="200"/>
        <w:contextualSpacing/>
        <w:rPr>
          <w:szCs w:val="21"/>
        </w:rPr>
      </w:pPr>
      <w:r>
        <w:rPr>
          <w:rFonts w:hint="eastAsia"/>
          <w:szCs w:val="21"/>
        </w:rPr>
        <w:t>（1）投标文件中开标一览表内容与投标文件中相应内容不一致的，以开标一览表为准；</w:t>
      </w:r>
    </w:p>
    <w:p>
      <w:pPr>
        <w:spacing w:line="360" w:lineRule="auto"/>
        <w:ind w:firstLine="420" w:firstLineChars="200"/>
        <w:contextualSpacing/>
        <w:rPr>
          <w:szCs w:val="21"/>
        </w:rPr>
      </w:pPr>
      <w:r>
        <w:rPr>
          <w:rFonts w:hint="eastAsia"/>
          <w:szCs w:val="21"/>
        </w:rPr>
        <w:t>（2）投标文件的大写金额和小写金额不一致的，以大写金额为准；</w:t>
      </w:r>
    </w:p>
    <w:p>
      <w:pPr>
        <w:spacing w:line="360" w:lineRule="auto"/>
        <w:ind w:firstLine="420" w:firstLineChars="200"/>
        <w:contextualSpacing/>
        <w:rPr>
          <w:szCs w:val="21"/>
        </w:rPr>
      </w:pPr>
      <w:r>
        <w:rPr>
          <w:rFonts w:hint="eastAsia"/>
          <w:szCs w:val="21"/>
        </w:rPr>
        <w:t>（3）单价金额小数点或者百分比有明显错位的，以开标一览表的总价为准，并修改单价；</w:t>
      </w:r>
    </w:p>
    <w:p>
      <w:pPr>
        <w:spacing w:line="360" w:lineRule="auto"/>
        <w:ind w:firstLine="420" w:firstLineChars="200"/>
        <w:contextualSpacing/>
        <w:rPr>
          <w:szCs w:val="21"/>
        </w:rPr>
      </w:pPr>
      <w:r>
        <w:rPr>
          <w:rFonts w:hint="eastAsia"/>
          <w:szCs w:val="21"/>
        </w:rPr>
        <w:t>（4）总价金额与按单价汇总金额不一致，以单价金额计算结果为准。</w:t>
      </w:r>
    </w:p>
    <w:p>
      <w:pPr>
        <w:spacing w:line="360" w:lineRule="auto"/>
        <w:ind w:firstLine="420" w:firstLineChars="200"/>
        <w:contextualSpacing/>
        <w:rPr>
          <w:rFonts w:hint="eastAsia"/>
          <w:szCs w:val="21"/>
        </w:rPr>
      </w:pPr>
      <w:r>
        <w:rPr>
          <w:rFonts w:hint="eastAsia"/>
          <w:szCs w:val="21"/>
        </w:rPr>
        <w:t>同时出现两种以上不一致的，按照前款规定的顺序修正。修正后的报价经投标人确认后产生约束力，投标人不确认的，其投标无效。</w:t>
      </w:r>
    </w:p>
    <w:p>
      <w:pPr>
        <w:spacing w:line="360" w:lineRule="auto"/>
        <w:ind w:firstLine="420" w:firstLineChars="200"/>
        <w:contextualSpacing/>
        <w:rPr>
          <w:szCs w:val="21"/>
        </w:rPr>
      </w:pPr>
      <w:r>
        <w:rPr>
          <w:rFonts w:hint="eastAsia"/>
          <w:szCs w:val="21"/>
        </w:rPr>
        <w:t>1</w:t>
      </w:r>
      <w:r>
        <w:rPr>
          <w:szCs w:val="21"/>
        </w:rPr>
        <w:t>9</w:t>
      </w:r>
      <w:r>
        <w:rPr>
          <w:rFonts w:hint="eastAsia"/>
          <w:szCs w:val="21"/>
        </w:rPr>
        <w:t>.4</w:t>
      </w:r>
      <w:r>
        <w:rPr>
          <w:szCs w:val="21"/>
        </w:rPr>
        <w:t>评标委员会根据采购文件的《评标办法》及在《投标资料表》和《招标内容和要求》中所列的具体标准，对投标文件进行评审和比较。</w:t>
      </w:r>
    </w:p>
    <w:p>
      <w:pPr>
        <w:spacing w:line="360" w:lineRule="auto"/>
        <w:contextualSpacing/>
        <w:rPr>
          <w:szCs w:val="21"/>
        </w:rPr>
      </w:pPr>
      <w:r>
        <w:rPr>
          <w:szCs w:val="21"/>
        </w:rPr>
        <w:t>20</w:t>
      </w:r>
      <w:r>
        <w:rPr>
          <w:rFonts w:hint="eastAsia"/>
          <w:szCs w:val="21"/>
        </w:rPr>
        <w:t>、澄清问题的形式</w:t>
      </w:r>
    </w:p>
    <w:p>
      <w:pPr>
        <w:spacing w:line="360" w:lineRule="auto"/>
        <w:ind w:firstLine="420" w:firstLineChars="200"/>
        <w:contextualSpacing/>
        <w:rPr>
          <w:szCs w:val="21"/>
        </w:rPr>
      </w:pPr>
      <w:r>
        <w:rPr>
          <w:rFonts w:hint="eastAsia"/>
          <w:szCs w:val="21"/>
        </w:rPr>
        <w:t>20.1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360" w:lineRule="auto"/>
        <w:ind w:firstLine="420" w:firstLineChars="200"/>
        <w:contextualSpacing/>
        <w:rPr>
          <w:szCs w:val="21"/>
        </w:rPr>
      </w:pPr>
      <w:r>
        <w:rPr>
          <w:rFonts w:hint="eastAsia"/>
          <w:szCs w:val="21"/>
        </w:rPr>
        <w:t>20.2政采云具体操作如下：</w:t>
      </w:r>
    </w:p>
    <w:p>
      <w:pPr>
        <w:spacing w:line="360" w:lineRule="auto"/>
        <w:ind w:firstLine="420" w:firstLineChars="200"/>
        <w:contextualSpacing/>
        <w:rPr>
          <w:szCs w:val="21"/>
        </w:rPr>
      </w:pPr>
      <w:r>
        <w:rPr>
          <w:rFonts w:hint="eastAsia"/>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360" w:lineRule="auto"/>
        <w:ind w:firstLine="420" w:firstLineChars="200"/>
        <w:contextualSpacing/>
        <w:rPr>
          <w:szCs w:val="21"/>
        </w:rPr>
      </w:pPr>
      <w:r>
        <w:rPr>
          <w:rFonts w:hint="eastAsia"/>
          <w:szCs w:val="21"/>
        </w:rPr>
        <w:t>路径：用户中心—项目采购—询标澄清</w:t>
      </w:r>
    </w:p>
    <w:p>
      <w:pPr>
        <w:spacing w:line="360" w:lineRule="auto"/>
        <w:ind w:firstLine="420" w:firstLineChars="200"/>
        <w:contextualSpacing/>
        <w:rPr>
          <w:szCs w:val="21"/>
        </w:rPr>
      </w:pPr>
      <w:r>
        <w:rPr>
          <w:rFonts w:hint="eastAsia"/>
          <w:szCs w:val="21"/>
        </w:rPr>
        <w:t>（1）政采云平台通过待办事项和短信提醒供应商在截止时间前完成澄清。</w:t>
      </w:r>
    </w:p>
    <w:p>
      <w:pPr>
        <w:spacing w:line="360" w:lineRule="auto"/>
        <w:ind w:firstLine="420" w:firstLineChars="200"/>
        <w:contextualSpacing/>
        <w:rPr>
          <w:szCs w:val="21"/>
        </w:rPr>
      </w:pPr>
      <w:r>
        <w:rPr>
          <w:rFonts w:hint="eastAsia"/>
          <w:szCs w:val="21"/>
        </w:rPr>
        <w:t>（2）供应商在“询标澄清-待办理”标签页下选择状态为“待澄清”的项目，点击操作栏【澄清】。</w:t>
      </w:r>
    </w:p>
    <w:p>
      <w:pPr>
        <w:spacing w:line="360" w:lineRule="auto"/>
        <w:ind w:firstLine="420" w:firstLineChars="200"/>
        <w:contextualSpacing/>
        <w:rPr>
          <w:szCs w:val="21"/>
        </w:rPr>
      </w:pPr>
      <w:r>
        <w:rPr>
          <w:rFonts w:hint="eastAsia"/>
          <w:szCs w:val="21"/>
        </w:rPr>
        <w:t>（3）查看函内容，在澄清截止时间前上传澄清文件并对澄清文件进行签章。（注：澄清文件必须以PDF格式上传，文件大小：50M）</w:t>
      </w:r>
    </w:p>
    <w:p>
      <w:pPr>
        <w:spacing w:line="360" w:lineRule="auto"/>
        <w:ind w:firstLine="420" w:firstLineChars="200"/>
        <w:contextualSpacing/>
        <w:rPr>
          <w:szCs w:val="21"/>
        </w:rPr>
      </w:pPr>
      <w:r>
        <w:rPr>
          <w:rFonts w:hint="eastAsia"/>
          <w:szCs w:val="21"/>
        </w:rPr>
        <w:t>（4）签章完成，文件名称处显示“已签章”，供应商可“撤回签章”修改澄清函和“查看文件”。</w:t>
      </w:r>
    </w:p>
    <w:p>
      <w:pPr>
        <w:spacing w:line="360" w:lineRule="auto"/>
        <w:ind w:firstLine="420" w:firstLineChars="200"/>
        <w:contextualSpacing/>
        <w:rPr>
          <w:szCs w:val="21"/>
        </w:rPr>
      </w:pPr>
      <w:r>
        <w:rPr>
          <w:rFonts w:hint="eastAsia"/>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auto"/>
        <w:ind w:firstLine="420" w:firstLineChars="200"/>
        <w:contextualSpacing/>
        <w:rPr>
          <w:szCs w:val="21"/>
        </w:rPr>
      </w:pPr>
      <w:r>
        <w:rPr>
          <w:rFonts w:hint="eastAsia"/>
          <w:szCs w:val="21"/>
        </w:rPr>
        <w:t>（6）完成状态：供应商澄清文件提交成功后，在“询标澄清-全部”标签页下显示状态为“已澄清”。</w:t>
      </w:r>
    </w:p>
    <w:p>
      <w:pPr>
        <w:spacing w:line="360" w:lineRule="auto"/>
        <w:ind w:firstLine="420" w:firstLineChars="200"/>
        <w:contextualSpacing/>
        <w:rPr>
          <w:szCs w:val="21"/>
        </w:rPr>
      </w:pPr>
      <w:r>
        <w:rPr>
          <w:rFonts w:hint="eastAsia"/>
          <w:szCs w:val="21"/>
        </w:rPr>
        <w:t>20.3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spacing w:line="360" w:lineRule="auto"/>
        <w:ind w:firstLine="420" w:firstLineChars="200"/>
        <w:contextualSpacing/>
        <w:rPr>
          <w:szCs w:val="21"/>
        </w:rPr>
      </w:pPr>
      <w:r>
        <w:rPr>
          <w:rFonts w:hint="eastAsia"/>
          <w:szCs w:val="21"/>
        </w:rPr>
        <w:t>20.4供应商未在截止时间前完成澄清，将被视作自动放弃。</w:t>
      </w:r>
    </w:p>
    <w:p>
      <w:pPr>
        <w:spacing w:line="360" w:lineRule="auto"/>
        <w:contextualSpacing/>
        <w:rPr>
          <w:szCs w:val="21"/>
        </w:rPr>
      </w:pPr>
      <w:r>
        <w:rPr>
          <w:szCs w:val="21"/>
        </w:rPr>
        <w:t>21</w:t>
      </w:r>
      <w:r>
        <w:rPr>
          <w:rFonts w:hint="eastAsia"/>
          <w:szCs w:val="21"/>
        </w:rPr>
        <w:t>、</w:t>
      </w:r>
      <w:r>
        <w:rPr>
          <w:szCs w:val="21"/>
        </w:rPr>
        <w:t>评标办法</w:t>
      </w:r>
    </w:p>
    <w:p>
      <w:pPr>
        <w:spacing w:line="360" w:lineRule="auto"/>
        <w:ind w:firstLine="420" w:firstLineChars="200"/>
        <w:contextualSpacing/>
        <w:rPr>
          <w:szCs w:val="21"/>
        </w:rPr>
      </w:pPr>
      <w:r>
        <w:rPr>
          <w:rFonts w:hint="eastAsia"/>
          <w:szCs w:val="21"/>
        </w:rPr>
        <w:t>2</w:t>
      </w:r>
      <w:r>
        <w:rPr>
          <w:szCs w:val="21"/>
        </w:rPr>
        <w:t>1</w:t>
      </w:r>
      <w:r>
        <w:rPr>
          <w:rFonts w:hint="eastAsia"/>
          <w:szCs w:val="21"/>
        </w:rPr>
        <w:t>.1本项目</w:t>
      </w:r>
      <w:r>
        <w:rPr>
          <w:szCs w:val="21"/>
        </w:rPr>
        <w:t>采用综合评分法。本次招标采用的评标方法</w:t>
      </w:r>
      <w:r>
        <w:rPr>
          <w:rFonts w:hint="eastAsia"/>
          <w:szCs w:val="21"/>
        </w:rPr>
        <w:t>具体说明</w:t>
      </w:r>
      <w:r>
        <w:rPr>
          <w:szCs w:val="21"/>
        </w:rPr>
        <w:t>载明在采购文件</w:t>
      </w:r>
      <w:r>
        <w:rPr>
          <w:rFonts w:hint="eastAsia"/>
          <w:szCs w:val="21"/>
        </w:rPr>
        <w:t>“</w:t>
      </w:r>
      <w:r>
        <w:rPr>
          <w:szCs w:val="21"/>
        </w:rPr>
        <w:t>评标</w:t>
      </w:r>
      <w:r>
        <w:rPr>
          <w:rFonts w:hint="eastAsia"/>
          <w:szCs w:val="21"/>
        </w:rPr>
        <w:t>办法”</w:t>
      </w:r>
      <w:r>
        <w:rPr>
          <w:szCs w:val="21"/>
        </w:rPr>
        <w:t>部分中。</w:t>
      </w:r>
    </w:p>
    <w:p>
      <w:pPr>
        <w:spacing w:line="360" w:lineRule="auto"/>
        <w:ind w:firstLine="420" w:firstLineChars="200"/>
        <w:contextualSpacing/>
        <w:rPr>
          <w:szCs w:val="21"/>
        </w:rPr>
      </w:pPr>
      <w:r>
        <w:rPr>
          <w:rFonts w:hint="eastAsia"/>
          <w:szCs w:val="21"/>
        </w:rPr>
        <w:t>2</w:t>
      </w:r>
      <w:r>
        <w:rPr>
          <w:szCs w:val="21"/>
        </w:rPr>
        <w:t>1</w:t>
      </w:r>
      <w:r>
        <w:rPr>
          <w:rFonts w:hint="eastAsia"/>
          <w:szCs w:val="21"/>
        </w:rPr>
        <w:t>.2</w:t>
      </w:r>
      <w:r>
        <w:rPr>
          <w:szCs w:val="21"/>
        </w:rPr>
        <w:t>综合评分法：</w:t>
      </w:r>
    </w:p>
    <w:p>
      <w:pPr>
        <w:spacing w:line="360" w:lineRule="auto"/>
        <w:ind w:firstLine="420" w:firstLineChars="200"/>
        <w:contextualSpacing/>
        <w:rPr>
          <w:rFonts w:hint="eastAsia"/>
          <w:szCs w:val="21"/>
        </w:rPr>
      </w:pPr>
      <w:r>
        <w:rPr>
          <w:rFonts w:hint="eastAsia"/>
          <w:szCs w:val="21"/>
        </w:rPr>
        <w:t>投标文件满足采购文件全部实质性要求，且按照评审因素的量化指标评审得分最高的投标人为中标候选人的评标方法。</w:t>
      </w:r>
    </w:p>
    <w:p>
      <w:pPr>
        <w:spacing w:line="360" w:lineRule="auto"/>
        <w:contextualSpacing/>
        <w:rPr>
          <w:szCs w:val="21"/>
        </w:rPr>
      </w:pPr>
      <w:r>
        <w:rPr>
          <w:szCs w:val="21"/>
        </w:rPr>
        <w:t>22</w:t>
      </w:r>
      <w:r>
        <w:rPr>
          <w:rFonts w:hint="eastAsia"/>
          <w:szCs w:val="21"/>
        </w:rPr>
        <w:t>、</w:t>
      </w:r>
      <w:r>
        <w:rPr>
          <w:szCs w:val="21"/>
        </w:rPr>
        <w:t>评标程序和原则</w:t>
      </w:r>
    </w:p>
    <w:p>
      <w:pPr>
        <w:spacing w:line="360" w:lineRule="auto"/>
        <w:ind w:firstLine="420" w:firstLineChars="200"/>
        <w:contextualSpacing/>
        <w:rPr>
          <w:rFonts w:hint="eastAsia"/>
          <w:szCs w:val="21"/>
        </w:rPr>
      </w:pPr>
      <w:r>
        <w:rPr>
          <w:rFonts w:hint="eastAsia"/>
          <w:szCs w:val="21"/>
        </w:rPr>
        <w:t>2</w:t>
      </w:r>
      <w:r>
        <w:rPr>
          <w:szCs w:val="21"/>
        </w:rPr>
        <w:t>2</w:t>
      </w:r>
      <w:r>
        <w:rPr>
          <w:rFonts w:hint="eastAsia"/>
          <w:szCs w:val="21"/>
        </w:rPr>
        <w:t>.1</w:t>
      </w:r>
      <w:r>
        <w:rPr>
          <w:szCs w:val="21"/>
        </w:rPr>
        <w:t>评标程序：遵循初步审查、澄清有关问题、比较与评价、推荐中标候选人的程序依次进行。</w:t>
      </w:r>
    </w:p>
    <w:p>
      <w:pPr>
        <w:spacing w:line="360" w:lineRule="auto"/>
        <w:ind w:firstLine="420" w:firstLineChars="200"/>
        <w:contextualSpacing/>
        <w:rPr>
          <w:szCs w:val="21"/>
        </w:rPr>
      </w:pPr>
      <w:r>
        <w:rPr>
          <w:rFonts w:hint="eastAsia"/>
          <w:szCs w:val="21"/>
        </w:rPr>
        <w:t>2</w:t>
      </w:r>
      <w:r>
        <w:rPr>
          <w:szCs w:val="21"/>
        </w:rPr>
        <w:t>2</w:t>
      </w:r>
      <w:r>
        <w:rPr>
          <w:rFonts w:hint="eastAsia"/>
          <w:szCs w:val="21"/>
        </w:rPr>
        <w:t>.2</w:t>
      </w:r>
      <w:r>
        <w:rPr>
          <w:szCs w:val="21"/>
        </w:rPr>
        <w:t>初步审查</w:t>
      </w:r>
      <w:r>
        <w:rPr>
          <w:rFonts w:hint="eastAsia"/>
          <w:szCs w:val="21"/>
        </w:rPr>
        <w:t>：</w:t>
      </w:r>
      <w:r>
        <w:rPr>
          <w:szCs w:val="21"/>
        </w:rPr>
        <w:t>包含资格性审查和符合性审查。初步审查不合格者不进入澄清有关问题及后续的评标程序。</w:t>
      </w:r>
    </w:p>
    <w:p>
      <w:pPr>
        <w:spacing w:line="360" w:lineRule="auto"/>
        <w:ind w:firstLine="315" w:firstLineChars="150"/>
        <w:contextualSpacing/>
        <w:rPr>
          <w:szCs w:val="21"/>
        </w:rPr>
      </w:pPr>
      <w:r>
        <w:rPr>
          <w:rFonts w:hint="eastAsia"/>
          <w:szCs w:val="21"/>
        </w:rPr>
        <w:t>（1</w:t>
      </w:r>
      <w:r>
        <w:rPr>
          <w:szCs w:val="21"/>
        </w:rPr>
        <w:t>）资格性审查：</w:t>
      </w:r>
    </w:p>
    <w:p>
      <w:pPr>
        <w:spacing w:line="360" w:lineRule="auto"/>
        <w:ind w:firstLine="420" w:firstLineChars="200"/>
        <w:contextualSpacing/>
        <w:rPr>
          <w:szCs w:val="21"/>
        </w:rPr>
      </w:pPr>
      <w:r>
        <w:rPr>
          <w:szCs w:val="21"/>
        </w:rPr>
        <w:t>依据法律法规和采购文件的规定，</w:t>
      </w:r>
      <w:r>
        <w:rPr>
          <w:rFonts w:hint="eastAsia"/>
          <w:szCs w:val="21"/>
        </w:rPr>
        <w:t>采购人或采购代理机构</w:t>
      </w:r>
      <w:r>
        <w:rPr>
          <w:szCs w:val="21"/>
        </w:rPr>
        <w:t>对其资格证明文件齐全性和有效性等方面进行审查，以确定投标人是否具备投标资格。</w:t>
      </w:r>
    </w:p>
    <w:p>
      <w:pPr>
        <w:spacing w:line="360" w:lineRule="auto"/>
        <w:ind w:firstLine="420" w:firstLineChars="200"/>
        <w:contextualSpacing/>
        <w:rPr>
          <w:szCs w:val="21"/>
        </w:rPr>
      </w:pPr>
      <w:r>
        <w:rPr>
          <w:rFonts w:hint="eastAsia"/>
          <w:szCs w:val="21"/>
        </w:rPr>
        <w:t>（2）</w:t>
      </w:r>
      <w:r>
        <w:rPr>
          <w:szCs w:val="21"/>
        </w:rPr>
        <w:t>符合性检查：</w:t>
      </w:r>
    </w:p>
    <w:p>
      <w:pPr>
        <w:spacing w:line="360" w:lineRule="auto"/>
        <w:ind w:firstLine="420" w:firstLineChars="200"/>
        <w:contextualSpacing/>
        <w:rPr>
          <w:szCs w:val="21"/>
        </w:rPr>
      </w:pPr>
      <w:r>
        <w:rPr>
          <w:szCs w:val="21"/>
        </w:rPr>
        <w:t>依据采购文件的规定，</w:t>
      </w:r>
      <w:r>
        <w:rPr>
          <w:rFonts w:hint="eastAsia"/>
          <w:szCs w:val="21"/>
        </w:rPr>
        <w:t>评标委员会</w:t>
      </w:r>
      <w:r>
        <w:rPr>
          <w:szCs w:val="21"/>
        </w:rPr>
        <w:t>从投标文件的有效性、完整性和对采购文件的响应程度进行审查，以确定是否对采购文件的要求作出实质性响应。</w:t>
      </w:r>
    </w:p>
    <w:p>
      <w:pPr>
        <w:spacing w:line="360" w:lineRule="auto"/>
        <w:ind w:firstLine="420" w:firstLineChars="200"/>
        <w:contextualSpacing/>
        <w:rPr>
          <w:szCs w:val="21"/>
        </w:rPr>
      </w:pPr>
      <w:r>
        <w:rPr>
          <w:rFonts w:hint="eastAsia"/>
          <w:szCs w:val="21"/>
        </w:rPr>
        <w:t>2</w:t>
      </w:r>
      <w:r>
        <w:rPr>
          <w:szCs w:val="21"/>
        </w:rPr>
        <w:t>2</w:t>
      </w:r>
      <w:r>
        <w:rPr>
          <w:rFonts w:hint="eastAsia"/>
          <w:szCs w:val="21"/>
        </w:rPr>
        <w:t>.3</w:t>
      </w:r>
      <w:r>
        <w:rPr>
          <w:szCs w:val="21"/>
        </w:rPr>
        <w:t>澄清有关问题：按第20条规定进行。</w:t>
      </w:r>
    </w:p>
    <w:p>
      <w:pPr>
        <w:spacing w:line="360" w:lineRule="auto"/>
        <w:ind w:firstLine="420" w:firstLineChars="200"/>
        <w:contextualSpacing/>
        <w:rPr>
          <w:szCs w:val="21"/>
        </w:rPr>
      </w:pPr>
      <w:r>
        <w:rPr>
          <w:rFonts w:hint="eastAsia"/>
          <w:szCs w:val="21"/>
        </w:rPr>
        <w:t>2</w:t>
      </w:r>
      <w:r>
        <w:rPr>
          <w:szCs w:val="21"/>
        </w:rPr>
        <w:t>2</w:t>
      </w:r>
      <w:r>
        <w:rPr>
          <w:rFonts w:hint="eastAsia"/>
          <w:szCs w:val="21"/>
        </w:rPr>
        <w:t>.4</w:t>
      </w:r>
      <w:r>
        <w:rPr>
          <w:szCs w:val="21"/>
        </w:rPr>
        <w:t>比较与评价：</w:t>
      </w:r>
    </w:p>
    <w:p>
      <w:pPr>
        <w:spacing w:line="360" w:lineRule="auto"/>
        <w:ind w:firstLine="420" w:firstLineChars="200"/>
        <w:contextualSpacing/>
        <w:rPr>
          <w:szCs w:val="21"/>
        </w:rPr>
      </w:pPr>
      <w:r>
        <w:rPr>
          <w:rFonts w:hint="eastAsia"/>
          <w:szCs w:val="21"/>
        </w:rPr>
        <w:t>（1）</w:t>
      </w:r>
      <w:r>
        <w:rPr>
          <w:szCs w:val="21"/>
        </w:rPr>
        <w:t>技术</w:t>
      </w:r>
      <w:r>
        <w:rPr>
          <w:rFonts w:hint="eastAsia"/>
          <w:szCs w:val="21"/>
        </w:rPr>
        <w:t>商务</w:t>
      </w:r>
      <w:r>
        <w:rPr>
          <w:szCs w:val="21"/>
        </w:rPr>
        <w:t>评价：按照采购文件的要求和</w:t>
      </w:r>
      <w:r>
        <w:rPr>
          <w:rFonts w:hint="eastAsia"/>
          <w:szCs w:val="21"/>
        </w:rPr>
        <w:t>《</w:t>
      </w:r>
      <w:r>
        <w:rPr>
          <w:szCs w:val="21"/>
        </w:rPr>
        <w:t>评标</w:t>
      </w:r>
      <w:r>
        <w:rPr>
          <w:rFonts w:hint="eastAsia"/>
          <w:szCs w:val="21"/>
        </w:rPr>
        <w:t>标准》</w:t>
      </w:r>
      <w:r>
        <w:rPr>
          <w:szCs w:val="21"/>
        </w:rPr>
        <w:t>对照投标文件的响应进行</w:t>
      </w:r>
      <w:r>
        <w:rPr>
          <w:rFonts w:hint="eastAsia"/>
          <w:szCs w:val="21"/>
        </w:rPr>
        <w:t>技术商务</w:t>
      </w:r>
      <w:r>
        <w:rPr>
          <w:szCs w:val="21"/>
        </w:rPr>
        <w:t>评价，评定其偏差程度，并计算其相应的</w:t>
      </w:r>
      <w:r>
        <w:rPr>
          <w:rFonts w:hint="eastAsia"/>
          <w:szCs w:val="21"/>
        </w:rPr>
        <w:t>技术商务评分</w:t>
      </w:r>
      <w:r>
        <w:rPr>
          <w:szCs w:val="21"/>
        </w:rPr>
        <w:t>分值。</w:t>
      </w:r>
    </w:p>
    <w:p>
      <w:pPr>
        <w:spacing w:line="360" w:lineRule="auto"/>
        <w:ind w:firstLine="420" w:firstLineChars="200"/>
        <w:contextualSpacing/>
        <w:rPr>
          <w:rFonts w:hint="eastAsia"/>
          <w:szCs w:val="21"/>
        </w:rPr>
      </w:pPr>
      <w:r>
        <w:rPr>
          <w:rFonts w:hint="eastAsia"/>
          <w:szCs w:val="21"/>
        </w:rPr>
        <w:t>（2）</w:t>
      </w:r>
      <w:r>
        <w:rPr>
          <w:szCs w:val="21"/>
        </w:rPr>
        <w:t>综合评价：对经过技术</w:t>
      </w:r>
      <w:r>
        <w:rPr>
          <w:rFonts w:hint="eastAsia"/>
          <w:szCs w:val="21"/>
        </w:rPr>
        <w:t>商务</w:t>
      </w:r>
      <w:r>
        <w:rPr>
          <w:szCs w:val="21"/>
        </w:rPr>
        <w:t>评价的投标，按</w:t>
      </w:r>
      <w:r>
        <w:rPr>
          <w:rFonts w:hint="eastAsia"/>
          <w:szCs w:val="21"/>
        </w:rPr>
        <w:t>《</w:t>
      </w:r>
      <w:r>
        <w:rPr>
          <w:szCs w:val="21"/>
        </w:rPr>
        <w:t>评标标准</w:t>
      </w:r>
      <w:r>
        <w:rPr>
          <w:rFonts w:hint="eastAsia"/>
          <w:szCs w:val="21"/>
        </w:rPr>
        <w:t>》</w:t>
      </w:r>
      <w:r>
        <w:rPr>
          <w:szCs w:val="21"/>
        </w:rPr>
        <w:t>规定的评价办法进行综合评价，并按以下原则进行评审计算：</w:t>
      </w:r>
    </w:p>
    <w:p>
      <w:pPr>
        <w:spacing w:line="360" w:lineRule="auto"/>
        <w:ind w:firstLine="420" w:firstLineChars="200"/>
        <w:contextualSpacing/>
        <w:rPr>
          <w:szCs w:val="21"/>
        </w:rPr>
      </w:pPr>
      <w:r>
        <w:rPr>
          <w:szCs w:val="21"/>
        </w:rPr>
        <w:t>综合评分法的</w:t>
      </w:r>
      <w:r>
        <w:rPr>
          <w:rFonts w:hint="eastAsia"/>
          <w:szCs w:val="21"/>
        </w:rPr>
        <w:t>最终</w:t>
      </w:r>
      <w:r>
        <w:rPr>
          <w:szCs w:val="21"/>
        </w:rPr>
        <w:t>得分计算：综合得分=</w:t>
      </w:r>
      <w:r>
        <w:rPr>
          <w:rFonts w:hint="eastAsia"/>
          <w:szCs w:val="21"/>
        </w:rPr>
        <w:t>报价</w:t>
      </w:r>
      <w:r>
        <w:rPr>
          <w:szCs w:val="21"/>
        </w:rPr>
        <w:t>得分+技术</w:t>
      </w:r>
      <w:r>
        <w:rPr>
          <w:rFonts w:hint="eastAsia"/>
          <w:szCs w:val="21"/>
        </w:rPr>
        <w:t>商务</w:t>
      </w:r>
      <w:r>
        <w:rPr>
          <w:szCs w:val="21"/>
        </w:rPr>
        <w:t>评审得分</w:t>
      </w:r>
    </w:p>
    <w:p>
      <w:pPr>
        <w:spacing w:line="360" w:lineRule="auto"/>
        <w:ind w:firstLine="420" w:firstLineChars="200"/>
        <w:contextualSpacing/>
        <w:rPr>
          <w:szCs w:val="21"/>
        </w:rPr>
      </w:pPr>
      <w:r>
        <w:rPr>
          <w:szCs w:val="21"/>
        </w:rPr>
        <w:t>综合评价结束，按照上述第21条规定，列出进入最终评审各投标</w:t>
      </w:r>
      <w:r>
        <w:rPr>
          <w:rFonts w:hint="eastAsia"/>
          <w:szCs w:val="21"/>
        </w:rPr>
        <w:t>人</w:t>
      </w:r>
      <w:r>
        <w:rPr>
          <w:szCs w:val="21"/>
        </w:rPr>
        <w:t>排序次序。</w:t>
      </w:r>
    </w:p>
    <w:p>
      <w:pPr>
        <w:spacing w:line="360" w:lineRule="auto"/>
        <w:ind w:firstLine="420" w:firstLineChars="200"/>
        <w:contextualSpacing/>
        <w:rPr>
          <w:szCs w:val="21"/>
        </w:rPr>
      </w:pPr>
      <w:r>
        <w:rPr>
          <w:rFonts w:hint="eastAsia"/>
          <w:szCs w:val="21"/>
        </w:rPr>
        <w:t>2</w:t>
      </w:r>
      <w:r>
        <w:rPr>
          <w:szCs w:val="21"/>
        </w:rPr>
        <w:t>2</w:t>
      </w:r>
      <w:r>
        <w:rPr>
          <w:rFonts w:hint="eastAsia"/>
          <w:szCs w:val="21"/>
        </w:rPr>
        <w:t>.5</w:t>
      </w:r>
      <w:r>
        <w:rPr>
          <w:szCs w:val="21"/>
        </w:rPr>
        <w:t>推荐中标</w:t>
      </w:r>
      <w:r>
        <w:rPr>
          <w:rFonts w:hint="eastAsia"/>
          <w:szCs w:val="21"/>
        </w:rPr>
        <w:t>候选人</w:t>
      </w:r>
      <w:r>
        <w:rPr>
          <w:szCs w:val="21"/>
        </w:rPr>
        <w:t>：按23条规定推荐中标</w:t>
      </w:r>
      <w:r>
        <w:rPr>
          <w:rFonts w:hint="eastAsia"/>
          <w:szCs w:val="21"/>
        </w:rPr>
        <w:t>候选人</w:t>
      </w:r>
      <w:r>
        <w:rPr>
          <w:szCs w:val="21"/>
        </w:rPr>
        <w:t>。</w:t>
      </w:r>
    </w:p>
    <w:p>
      <w:pPr>
        <w:spacing w:line="360" w:lineRule="auto"/>
        <w:contextualSpacing/>
        <w:rPr>
          <w:szCs w:val="21"/>
        </w:rPr>
      </w:pPr>
      <w:r>
        <w:rPr>
          <w:rFonts w:hint="eastAsia"/>
          <w:szCs w:val="21"/>
        </w:rPr>
        <w:t>2</w:t>
      </w:r>
      <w:r>
        <w:rPr>
          <w:szCs w:val="21"/>
        </w:rPr>
        <w:t>3</w:t>
      </w:r>
      <w:r>
        <w:rPr>
          <w:rFonts w:hint="eastAsia"/>
          <w:szCs w:val="21"/>
        </w:rPr>
        <w:t>、</w:t>
      </w:r>
      <w:r>
        <w:rPr>
          <w:szCs w:val="21"/>
        </w:rPr>
        <w:t>推荐中标</w:t>
      </w:r>
      <w:r>
        <w:rPr>
          <w:rFonts w:hint="eastAsia"/>
          <w:szCs w:val="21"/>
        </w:rPr>
        <w:t>候选人</w:t>
      </w:r>
    </w:p>
    <w:p>
      <w:pPr>
        <w:spacing w:line="360" w:lineRule="auto"/>
        <w:ind w:firstLine="422" w:firstLineChars="200"/>
        <w:contextualSpacing/>
        <w:rPr>
          <w:b/>
          <w:bCs/>
          <w:szCs w:val="21"/>
        </w:rPr>
      </w:pPr>
      <w:r>
        <w:rPr>
          <w:rFonts w:hint="eastAsia"/>
          <w:b/>
          <w:bCs/>
          <w:szCs w:val="21"/>
        </w:rPr>
        <w:t>评标委员会根据投标人的综合得分由高到低排定顺序，推荐本项目的中标候选人。</w:t>
      </w:r>
    </w:p>
    <w:p>
      <w:pPr>
        <w:spacing w:line="360" w:lineRule="auto"/>
        <w:contextualSpacing/>
        <w:rPr>
          <w:szCs w:val="21"/>
        </w:rPr>
      </w:pPr>
      <w:r>
        <w:rPr>
          <w:rFonts w:hint="eastAsia"/>
          <w:szCs w:val="21"/>
        </w:rPr>
        <w:t>2</w:t>
      </w:r>
      <w:r>
        <w:rPr>
          <w:szCs w:val="21"/>
        </w:rPr>
        <w:t>4</w:t>
      </w:r>
      <w:r>
        <w:rPr>
          <w:rFonts w:hint="eastAsia"/>
          <w:szCs w:val="21"/>
        </w:rPr>
        <w:t>、</w:t>
      </w:r>
      <w:r>
        <w:rPr>
          <w:szCs w:val="21"/>
        </w:rPr>
        <w:t>采购方式</w:t>
      </w:r>
      <w:r>
        <w:rPr>
          <w:rFonts w:hint="eastAsia"/>
          <w:szCs w:val="21"/>
        </w:rPr>
        <w:t>转换</w:t>
      </w:r>
    </w:p>
    <w:p>
      <w:pPr>
        <w:spacing w:line="360" w:lineRule="auto"/>
        <w:ind w:firstLine="420" w:firstLineChars="200"/>
        <w:contextualSpacing/>
        <w:rPr>
          <w:szCs w:val="21"/>
        </w:rPr>
      </w:pPr>
      <w:r>
        <w:rPr>
          <w:rFonts w:hint="eastAsia"/>
          <w:szCs w:val="21"/>
        </w:rPr>
        <w:t>公开招标数额标准以上的采购项目，投标截止后投标人不足3家或者通过资格审查或符合性审查的投标人不足3家的，除采购任务取消情形外，按照以下方式处理： </w:t>
      </w:r>
    </w:p>
    <w:p>
      <w:pPr>
        <w:spacing w:line="360" w:lineRule="auto"/>
        <w:ind w:firstLine="420" w:firstLineChars="200"/>
        <w:contextualSpacing/>
        <w:rPr>
          <w:szCs w:val="21"/>
        </w:rPr>
      </w:pPr>
      <w:r>
        <w:rPr>
          <w:rFonts w:hint="eastAsia"/>
          <w:szCs w:val="21"/>
        </w:rPr>
        <w:t>2</w:t>
      </w:r>
      <w:r>
        <w:rPr>
          <w:szCs w:val="21"/>
        </w:rPr>
        <w:t>4</w:t>
      </w:r>
      <w:r>
        <w:rPr>
          <w:rFonts w:hint="eastAsia"/>
          <w:szCs w:val="21"/>
        </w:rPr>
        <w:t>.1采购文件存在不合理条款或者招标程序不符合规定的，采购人、采购代理机构改正后依法重新招标； </w:t>
      </w:r>
    </w:p>
    <w:p>
      <w:pPr>
        <w:spacing w:line="360" w:lineRule="auto"/>
        <w:ind w:firstLine="420" w:firstLineChars="200"/>
        <w:contextualSpacing/>
        <w:rPr>
          <w:szCs w:val="21"/>
        </w:rPr>
      </w:pPr>
      <w:r>
        <w:rPr>
          <w:rFonts w:hint="eastAsia"/>
          <w:szCs w:val="21"/>
        </w:rPr>
        <w:t>2</w:t>
      </w:r>
      <w:r>
        <w:rPr>
          <w:szCs w:val="21"/>
        </w:rPr>
        <w:t>4</w:t>
      </w:r>
      <w:r>
        <w:rPr>
          <w:rFonts w:hint="eastAsia"/>
          <w:szCs w:val="21"/>
        </w:rPr>
        <w:t>.2采购文件没有不合理条款、招标程序符合规定，需要采用其他采购方式采购的，采购人依法报财政部门批准。 </w:t>
      </w:r>
    </w:p>
    <w:p>
      <w:pPr>
        <w:spacing w:line="360" w:lineRule="auto"/>
        <w:contextualSpacing/>
        <w:rPr>
          <w:szCs w:val="21"/>
        </w:rPr>
      </w:pPr>
      <w:r>
        <w:rPr>
          <w:rFonts w:hint="eastAsia"/>
          <w:szCs w:val="21"/>
        </w:rPr>
        <w:t>2</w:t>
      </w:r>
      <w:r>
        <w:rPr>
          <w:szCs w:val="21"/>
        </w:rPr>
        <w:t>5</w:t>
      </w:r>
      <w:r>
        <w:rPr>
          <w:rFonts w:hint="eastAsia"/>
          <w:szCs w:val="21"/>
        </w:rPr>
        <w:t>、评标过程的监控与保密</w:t>
      </w:r>
    </w:p>
    <w:p>
      <w:pPr>
        <w:spacing w:line="360" w:lineRule="auto"/>
        <w:ind w:firstLine="420" w:firstLineChars="200"/>
        <w:contextualSpacing/>
        <w:rPr>
          <w:rFonts w:hint="eastAsia"/>
          <w:szCs w:val="21"/>
        </w:rPr>
      </w:pPr>
      <w:r>
        <w:rPr>
          <w:rFonts w:hint="eastAsia"/>
          <w:szCs w:val="21"/>
        </w:rPr>
        <w:t>2</w:t>
      </w:r>
      <w:r>
        <w:rPr>
          <w:szCs w:val="21"/>
        </w:rPr>
        <w:t>5</w:t>
      </w:r>
      <w:r>
        <w:rPr>
          <w:rFonts w:hint="eastAsia"/>
          <w:szCs w:val="21"/>
        </w:rPr>
        <w:t>.1本项目评标过程实行全程录音、录像监控，投标人在评标过程中所进行的试图影响评标结果的不公正活动，可能导致其投标被拒绝。</w:t>
      </w:r>
    </w:p>
    <w:p>
      <w:pPr>
        <w:spacing w:line="360" w:lineRule="auto"/>
        <w:ind w:firstLine="420" w:firstLineChars="200"/>
        <w:contextualSpacing/>
        <w:rPr>
          <w:rFonts w:hint="eastAsia"/>
          <w:szCs w:val="21"/>
        </w:rPr>
      </w:pPr>
      <w:r>
        <w:rPr>
          <w:rFonts w:hint="eastAsia"/>
          <w:szCs w:val="21"/>
        </w:rPr>
        <w:t>2</w:t>
      </w:r>
      <w:r>
        <w:rPr>
          <w:szCs w:val="21"/>
        </w:rPr>
        <w:t>5</w:t>
      </w:r>
      <w:r>
        <w:rPr>
          <w:rFonts w:hint="eastAsia"/>
          <w:szCs w:val="21"/>
        </w:rPr>
        <w:t>.2开标后到中标通知书发出之前，所有涉及评标委员会名单以及对投标文件的澄清、评价、比较等情况，评标委员会成员、采购人和采购代理机构的有关人员均不得向投标人或其他无关人员透露。</w:t>
      </w:r>
    </w:p>
    <w:p>
      <w:pPr>
        <w:spacing w:line="360" w:lineRule="auto"/>
        <w:contextualSpacing/>
        <w:rPr>
          <w:rFonts w:hint="eastAsia"/>
          <w:szCs w:val="21"/>
        </w:rPr>
      </w:pPr>
      <w:r>
        <w:rPr>
          <w:rFonts w:hint="eastAsia"/>
          <w:szCs w:val="21"/>
        </w:rPr>
        <w:t>2</w:t>
      </w:r>
      <w:r>
        <w:rPr>
          <w:szCs w:val="21"/>
        </w:rPr>
        <w:t>6</w:t>
      </w:r>
      <w:r>
        <w:rPr>
          <w:rFonts w:hint="eastAsia"/>
          <w:szCs w:val="21"/>
        </w:rPr>
        <w:t>、确定中标人、评标结果公示与质疑</w:t>
      </w:r>
    </w:p>
    <w:p>
      <w:pPr>
        <w:spacing w:line="360" w:lineRule="auto"/>
        <w:ind w:firstLine="420" w:firstLineChars="200"/>
        <w:contextualSpacing/>
        <w:rPr>
          <w:rFonts w:hint="eastAsia"/>
          <w:szCs w:val="21"/>
        </w:rPr>
      </w:pPr>
      <w:r>
        <w:rPr>
          <w:rFonts w:hint="eastAsia"/>
          <w:szCs w:val="21"/>
        </w:rPr>
        <w:t>2</w:t>
      </w:r>
      <w:r>
        <w:rPr>
          <w:szCs w:val="21"/>
        </w:rPr>
        <w:t>6</w:t>
      </w:r>
      <w:r>
        <w:rPr>
          <w:rFonts w:hint="eastAsia"/>
          <w:szCs w:val="21"/>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360" w:lineRule="auto"/>
        <w:ind w:firstLine="420" w:firstLineChars="200"/>
        <w:contextualSpacing/>
        <w:rPr>
          <w:rFonts w:hint="eastAsia"/>
          <w:szCs w:val="21"/>
        </w:rPr>
      </w:pPr>
      <w:r>
        <w:rPr>
          <w:rFonts w:hint="eastAsia"/>
          <w:szCs w:val="21"/>
        </w:rPr>
        <w:t>2</w:t>
      </w:r>
      <w:r>
        <w:rPr>
          <w:szCs w:val="21"/>
        </w:rPr>
        <w:t>6</w:t>
      </w:r>
      <w:r>
        <w:rPr>
          <w:rFonts w:hint="eastAsia"/>
          <w:szCs w:val="21"/>
        </w:rPr>
        <w:t>.2代理机构自中标人确定之日起2个工作日内，在发布招标公告的网站上对中标结果进行公示，中标结果公告期限为1个工作日。</w:t>
      </w:r>
    </w:p>
    <w:p>
      <w:pPr>
        <w:spacing w:line="360" w:lineRule="auto"/>
        <w:ind w:firstLine="420" w:firstLineChars="200"/>
        <w:contextualSpacing/>
        <w:rPr>
          <w:sz w:val="24"/>
          <w:szCs w:val="24"/>
        </w:rPr>
      </w:pPr>
      <w:r>
        <w:rPr>
          <w:rFonts w:hint="eastAsia"/>
          <w:szCs w:val="21"/>
        </w:rPr>
        <w:t>2</w:t>
      </w:r>
      <w:r>
        <w:rPr>
          <w:szCs w:val="21"/>
        </w:rPr>
        <w:t>6</w:t>
      </w:r>
      <w:r>
        <w:rPr>
          <w:rFonts w:hint="eastAsia"/>
          <w:szCs w:val="21"/>
        </w:rPr>
        <w:t>.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pPr>
        <w:pStyle w:val="2"/>
        <w:spacing w:line="360" w:lineRule="auto"/>
        <w:contextualSpacing/>
        <w:rPr>
          <w:rFonts w:ascii="Times New Roman"/>
          <w:sz w:val="24"/>
          <w:szCs w:val="24"/>
        </w:rPr>
      </w:pPr>
      <w:r>
        <w:rPr>
          <w:rFonts w:hint="eastAsia" w:ascii="Times New Roman"/>
          <w:szCs w:val="28"/>
        </w:rPr>
        <w:t>七、</w:t>
      </w:r>
      <w:r>
        <w:rPr>
          <w:rFonts w:ascii="Times New Roman"/>
          <w:szCs w:val="28"/>
        </w:rPr>
        <w:t>无效投标认定</w:t>
      </w:r>
    </w:p>
    <w:p>
      <w:pPr>
        <w:spacing w:line="360" w:lineRule="auto"/>
        <w:contextualSpacing/>
        <w:rPr>
          <w:szCs w:val="21"/>
        </w:rPr>
      </w:pPr>
      <w:r>
        <w:rPr>
          <w:rFonts w:hint="eastAsia"/>
          <w:szCs w:val="21"/>
        </w:rPr>
        <w:t>2</w:t>
      </w:r>
      <w:r>
        <w:rPr>
          <w:szCs w:val="21"/>
        </w:rPr>
        <w:t>7</w:t>
      </w:r>
      <w:r>
        <w:rPr>
          <w:rFonts w:hint="eastAsia"/>
          <w:szCs w:val="21"/>
        </w:rPr>
        <w:t>、实质上没有响应采购文件要求的投标将被视为无效投标。</w:t>
      </w:r>
    </w:p>
    <w:p>
      <w:pPr>
        <w:spacing w:line="360" w:lineRule="auto"/>
        <w:ind w:firstLine="420" w:firstLineChars="200"/>
        <w:contextualSpacing/>
        <w:rPr>
          <w:rFonts w:hint="eastAsia"/>
          <w:szCs w:val="21"/>
        </w:rPr>
      </w:pPr>
      <w:r>
        <w:rPr>
          <w:rFonts w:hint="eastAsia"/>
          <w:szCs w:val="21"/>
        </w:rPr>
        <w:t>2</w:t>
      </w:r>
      <w:r>
        <w:rPr>
          <w:szCs w:val="21"/>
        </w:rPr>
        <w:t>7</w:t>
      </w:r>
      <w:r>
        <w:rPr>
          <w:rFonts w:hint="eastAsia"/>
          <w:szCs w:val="21"/>
        </w:rPr>
        <w:t>.1在资格审查时，不具备采购文件中规定的资格要求的，或者资格证明文件不全的，投标文件将被视为无效。</w:t>
      </w:r>
    </w:p>
    <w:p>
      <w:pPr>
        <w:spacing w:line="360" w:lineRule="auto"/>
        <w:ind w:firstLine="420" w:firstLineChars="200"/>
        <w:contextualSpacing/>
        <w:rPr>
          <w:szCs w:val="21"/>
        </w:rPr>
      </w:pPr>
      <w:r>
        <w:rPr>
          <w:rFonts w:hint="eastAsia"/>
          <w:szCs w:val="21"/>
        </w:rPr>
        <w:t>2</w:t>
      </w:r>
      <w:r>
        <w:rPr>
          <w:szCs w:val="21"/>
        </w:rPr>
        <w:t>7</w:t>
      </w:r>
      <w:r>
        <w:rPr>
          <w:rFonts w:hint="eastAsia"/>
          <w:szCs w:val="21"/>
        </w:rPr>
        <w:t>.2</w:t>
      </w:r>
      <w:r>
        <w:rPr>
          <w:szCs w:val="21"/>
        </w:rPr>
        <w:t>在符合性审查时，如发现下列情形之一的，投标文件将被视为无效：</w:t>
      </w:r>
    </w:p>
    <w:p>
      <w:pPr>
        <w:pStyle w:val="19"/>
        <w:spacing w:line="360" w:lineRule="auto"/>
        <w:ind w:firstLine="411" w:firstLineChars="196"/>
        <w:contextualSpacing/>
        <w:rPr>
          <w:rFonts w:hint="eastAsia" w:eastAsia="宋体"/>
          <w:sz w:val="21"/>
          <w:szCs w:val="21"/>
        </w:rPr>
      </w:pPr>
      <w:r>
        <w:rPr>
          <w:rFonts w:hint="eastAsia" w:eastAsia="宋体"/>
          <w:sz w:val="21"/>
          <w:szCs w:val="21"/>
        </w:rPr>
        <w:t>（1）投标文件未按采购文件要求签署、签章的；</w:t>
      </w:r>
    </w:p>
    <w:p>
      <w:pPr>
        <w:pStyle w:val="19"/>
        <w:spacing w:line="360" w:lineRule="auto"/>
        <w:ind w:firstLine="411" w:firstLineChars="196"/>
        <w:contextualSpacing/>
        <w:rPr>
          <w:rFonts w:hint="eastAsia" w:eastAsia="宋体"/>
          <w:sz w:val="21"/>
          <w:szCs w:val="21"/>
        </w:rPr>
      </w:pPr>
      <w:r>
        <w:rPr>
          <w:rFonts w:hint="eastAsia" w:eastAsia="宋体"/>
          <w:sz w:val="21"/>
          <w:szCs w:val="21"/>
        </w:rPr>
        <w:t>（2）投标有效期不满足采购文件要求的；</w:t>
      </w:r>
    </w:p>
    <w:p>
      <w:pPr>
        <w:pStyle w:val="19"/>
        <w:spacing w:line="360" w:lineRule="auto"/>
        <w:ind w:firstLine="411" w:firstLineChars="196"/>
        <w:contextualSpacing/>
        <w:rPr>
          <w:rFonts w:hint="eastAsia" w:eastAsia="宋体"/>
          <w:sz w:val="21"/>
          <w:szCs w:val="21"/>
        </w:rPr>
      </w:pPr>
      <w:r>
        <w:rPr>
          <w:rFonts w:hint="eastAsia" w:eastAsia="宋体"/>
          <w:sz w:val="21"/>
          <w:szCs w:val="21"/>
        </w:rPr>
        <w:t>（3）明显不符合采购文件要求的，或者与采购文件中标注“</w:t>
      </w:r>
      <w:r>
        <w:rPr>
          <w:rFonts w:hint="eastAsia" w:eastAsia="宋体"/>
          <w:szCs w:val="21"/>
        </w:rPr>
        <w:t>★</w:t>
      </w:r>
      <w:r>
        <w:rPr>
          <w:rFonts w:hint="eastAsia" w:eastAsia="宋体"/>
          <w:sz w:val="21"/>
          <w:szCs w:val="21"/>
        </w:rPr>
        <w:t>”的条款发生实质性偏离的；</w:t>
      </w:r>
    </w:p>
    <w:p>
      <w:pPr>
        <w:pStyle w:val="19"/>
        <w:spacing w:line="360" w:lineRule="auto"/>
        <w:ind w:firstLine="411" w:firstLineChars="196"/>
        <w:contextualSpacing/>
        <w:rPr>
          <w:rFonts w:hint="eastAsia" w:eastAsia="宋体"/>
          <w:sz w:val="21"/>
          <w:szCs w:val="21"/>
        </w:rPr>
      </w:pPr>
      <w:r>
        <w:rPr>
          <w:rFonts w:hint="eastAsia" w:eastAsia="宋体"/>
          <w:sz w:val="21"/>
          <w:szCs w:val="21"/>
        </w:rPr>
        <w:t>（4）投标文件中含有采购人不能接受的附加条件的；</w:t>
      </w:r>
    </w:p>
    <w:p>
      <w:pPr>
        <w:pStyle w:val="19"/>
        <w:spacing w:line="360" w:lineRule="auto"/>
        <w:ind w:firstLine="411" w:firstLineChars="196"/>
        <w:contextualSpacing/>
        <w:rPr>
          <w:rFonts w:hint="eastAsia" w:eastAsia="宋体"/>
          <w:sz w:val="21"/>
          <w:szCs w:val="21"/>
        </w:rPr>
      </w:pPr>
      <w:r>
        <w:rPr>
          <w:rFonts w:hint="eastAsia" w:eastAsia="宋体"/>
          <w:sz w:val="21"/>
          <w:szCs w:val="21"/>
        </w:rPr>
        <w:t>（5）委托人未提供法定代表人授权委托书、填写项目不齐全的；</w:t>
      </w:r>
    </w:p>
    <w:p>
      <w:pPr>
        <w:pStyle w:val="19"/>
        <w:spacing w:line="360" w:lineRule="auto"/>
        <w:ind w:firstLine="411" w:firstLineChars="196"/>
        <w:contextualSpacing/>
        <w:rPr>
          <w:rFonts w:hint="eastAsia" w:eastAsia="宋体"/>
          <w:sz w:val="21"/>
          <w:szCs w:val="21"/>
        </w:rPr>
      </w:pPr>
      <w:r>
        <w:rPr>
          <w:rFonts w:hint="eastAsia" w:eastAsia="宋体"/>
          <w:sz w:val="21"/>
          <w:szCs w:val="21"/>
        </w:rPr>
        <w:t>（6）投标文件格式不规范、提供资料不齐全或者内容虚假的；</w:t>
      </w:r>
    </w:p>
    <w:p>
      <w:pPr>
        <w:pStyle w:val="19"/>
        <w:spacing w:line="360" w:lineRule="auto"/>
        <w:ind w:firstLine="411" w:firstLineChars="196"/>
        <w:contextualSpacing/>
        <w:rPr>
          <w:rFonts w:hint="eastAsia" w:eastAsia="宋体"/>
          <w:sz w:val="21"/>
          <w:szCs w:val="21"/>
        </w:rPr>
      </w:pPr>
      <w:r>
        <w:rPr>
          <w:rFonts w:hint="eastAsia" w:eastAsia="宋体"/>
          <w:sz w:val="21"/>
          <w:szCs w:val="21"/>
        </w:rPr>
        <w:t>（7）投标文件的实质性内容未使用中文表述、表述不明确、前后矛盾或者使用计量单位不符合采购文件要求的（经评标委员会认定并允许其更正的笔误除外）；</w:t>
      </w:r>
    </w:p>
    <w:p>
      <w:pPr>
        <w:pStyle w:val="19"/>
        <w:spacing w:line="360" w:lineRule="auto"/>
        <w:ind w:firstLine="411" w:firstLineChars="196"/>
        <w:contextualSpacing/>
        <w:rPr>
          <w:rFonts w:hint="eastAsia" w:eastAsia="宋体"/>
          <w:sz w:val="21"/>
          <w:szCs w:val="21"/>
        </w:rPr>
      </w:pPr>
      <w:r>
        <w:rPr>
          <w:rFonts w:hint="eastAsia" w:eastAsia="宋体"/>
          <w:sz w:val="21"/>
          <w:szCs w:val="21"/>
        </w:rPr>
        <w:t xml:space="preserve">（8）投标文件的关键内容字迹模糊、无法辨认的，或者投标文件中经修正的内容字迹模糊难以辨认或者修改处未按规定签署、盖章的； </w:t>
      </w:r>
    </w:p>
    <w:p>
      <w:pPr>
        <w:pStyle w:val="19"/>
        <w:spacing w:line="360" w:lineRule="auto"/>
        <w:ind w:firstLine="411" w:firstLineChars="196"/>
        <w:contextualSpacing/>
        <w:rPr>
          <w:rFonts w:eastAsia="宋体"/>
          <w:sz w:val="21"/>
          <w:szCs w:val="21"/>
        </w:rPr>
      </w:pPr>
      <w:r>
        <w:rPr>
          <w:rFonts w:hint="eastAsia" w:eastAsia="宋体"/>
          <w:sz w:val="21"/>
          <w:szCs w:val="21"/>
        </w:rPr>
        <w:t>（9）法律、法规和采购文件规定的其他无效情形。</w:t>
      </w:r>
    </w:p>
    <w:p>
      <w:pPr>
        <w:spacing w:line="360" w:lineRule="auto"/>
        <w:ind w:firstLine="420" w:firstLineChars="200"/>
        <w:contextualSpacing/>
        <w:rPr>
          <w:szCs w:val="21"/>
        </w:rPr>
      </w:pPr>
      <w:r>
        <w:rPr>
          <w:rFonts w:hint="eastAsia"/>
          <w:szCs w:val="21"/>
        </w:rPr>
        <w:t>2</w:t>
      </w:r>
      <w:r>
        <w:rPr>
          <w:szCs w:val="21"/>
        </w:rPr>
        <w:t>7</w:t>
      </w:r>
      <w:r>
        <w:rPr>
          <w:rFonts w:hint="eastAsia"/>
          <w:szCs w:val="21"/>
        </w:rPr>
        <w:t>.3在技术商务评审时，如发现下列情形之一的，</w:t>
      </w:r>
      <w:r>
        <w:rPr>
          <w:szCs w:val="21"/>
        </w:rPr>
        <w:t>投标文件将被视为无效：</w:t>
      </w:r>
    </w:p>
    <w:p>
      <w:pPr>
        <w:pStyle w:val="19"/>
        <w:spacing w:line="360" w:lineRule="auto"/>
        <w:ind w:firstLine="411" w:firstLineChars="196"/>
        <w:contextualSpacing/>
        <w:rPr>
          <w:rFonts w:eastAsia="宋体"/>
          <w:sz w:val="21"/>
          <w:szCs w:val="21"/>
        </w:rPr>
      </w:pPr>
      <w:r>
        <w:rPr>
          <w:rFonts w:eastAsia="宋体"/>
          <w:sz w:val="21"/>
          <w:szCs w:val="21"/>
        </w:rPr>
        <w:t>（1）</w:t>
      </w:r>
      <w:r>
        <w:rPr>
          <w:rFonts w:hint="eastAsia" w:eastAsia="宋体"/>
          <w:sz w:val="21"/>
          <w:szCs w:val="21"/>
        </w:rPr>
        <w:t>未提供或未如实提供投标货物的技术参数，或者投标文件标明的响应或偏离与事实不符或虚假投标的</w:t>
      </w:r>
      <w:r>
        <w:rPr>
          <w:rFonts w:eastAsia="宋体"/>
          <w:sz w:val="21"/>
          <w:szCs w:val="21"/>
        </w:rPr>
        <w:t>；</w:t>
      </w:r>
    </w:p>
    <w:p>
      <w:pPr>
        <w:pStyle w:val="19"/>
        <w:spacing w:line="360" w:lineRule="auto"/>
        <w:ind w:firstLine="411" w:firstLineChars="196"/>
        <w:contextualSpacing/>
        <w:rPr>
          <w:rFonts w:eastAsia="宋体"/>
          <w:sz w:val="21"/>
          <w:szCs w:val="21"/>
        </w:rPr>
      </w:pPr>
      <w:r>
        <w:rPr>
          <w:rFonts w:eastAsia="宋体"/>
          <w:sz w:val="21"/>
          <w:szCs w:val="21"/>
        </w:rPr>
        <w:t>（</w:t>
      </w:r>
      <w:r>
        <w:rPr>
          <w:rFonts w:hint="eastAsia" w:eastAsia="宋体"/>
          <w:sz w:val="21"/>
          <w:szCs w:val="21"/>
        </w:rPr>
        <w:t>2</w:t>
      </w:r>
      <w:r>
        <w:rPr>
          <w:rFonts w:eastAsia="宋体"/>
          <w:sz w:val="21"/>
          <w:szCs w:val="21"/>
        </w:rPr>
        <w:t>）</w:t>
      </w:r>
      <w:r>
        <w:rPr>
          <w:rFonts w:hint="eastAsia" w:eastAsia="宋体"/>
          <w:sz w:val="21"/>
          <w:szCs w:val="21"/>
        </w:rPr>
        <w:t>明显不符合采购文件要求的规格型号、质量标准</w:t>
      </w:r>
      <w:r>
        <w:rPr>
          <w:rFonts w:eastAsia="宋体"/>
          <w:sz w:val="21"/>
          <w:szCs w:val="21"/>
        </w:rPr>
        <w:t>；</w:t>
      </w:r>
    </w:p>
    <w:p>
      <w:pPr>
        <w:pStyle w:val="19"/>
        <w:spacing w:line="360" w:lineRule="auto"/>
        <w:ind w:firstLine="420" w:firstLineChars="200"/>
        <w:contextualSpacing/>
        <w:rPr>
          <w:rFonts w:hint="eastAsia" w:eastAsia="宋体"/>
          <w:sz w:val="21"/>
          <w:szCs w:val="21"/>
        </w:rPr>
      </w:pPr>
      <w:r>
        <w:rPr>
          <w:rFonts w:hint="eastAsia" w:eastAsia="宋体"/>
          <w:sz w:val="21"/>
          <w:szCs w:val="21"/>
        </w:rPr>
        <w:t>（3）投标技术方案不明确，存在一个或一个以上备选（替代）投标方案的。</w:t>
      </w:r>
    </w:p>
    <w:p>
      <w:pPr>
        <w:spacing w:line="360" w:lineRule="auto"/>
        <w:ind w:firstLine="420" w:firstLineChars="200"/>
        <w:contextualSpacing/>
        <w:rPr>
          <w:szCs w:val="21"/>
        </w:rPr>
      </w:pPr>
      <w:r>
        <w:rPr>
          <w:rFonts w:hint="eastAsia"/>
          <w:szCs w:val="21"/>
        </w:rPr>
        <w:t>2</w:t>
      </w:r>
      <w:r>
        <w:rPr>
          <w:szCs w:val="21"/>
        </w:rPr>
        <w:t>7</w:t>
      </w:r>
      <w:r>
        <w:rPr>
          <w:rFonts w:hint="eastAsia"/>
          <w:szCs w:val="21"/>
        </w:rPr>
        <w:t>.4</w:t>
      </w:r>
      <w:r>
        <w:rPr>
          <w:szCs w:val="21"/>
        </w:rPr>
        <w:t>在报价评审时，如发现下列情形之一的，投标文件将被视为无效：</w:t>
      </w:r>
    </w:p>
    <w:p>
      <w:pPr>
        <w:pStyle w:val="19"/>
        <w:spacing w:line="360" w:lineRule="auto"/>
        <w:ind w:firstLine="411" w:firstLineChars="196"/>
        <w:contextualSpacing/>
        <w:rPr>
          <w:rFonts w:eastAsia="宋体"/>
          <w:sz w:val="21"/>
          <w:szCs w:val="21"/>
        </w:rPr>
      </w:pPr>
      <w:r>
        <w:rPr>
          <w:rFonts w:eastAsia="宋体"/>
          <w:sz w:val="21"/>
          <w:szCs w:val="21"/>
        </w:rPr>
        <w:t>（1）</w:t>
      </w:r>
      <w:r>
        <w:rPr>
          <w:rFonts w:hint="eastAsia" w:eastAsia="宋体"/>
          <w:bCs/>
          <w:sz w:val="21"/>
          <w:szCs w:val="21"/>
        </w:rPr>
        <w:t>报价超过采购文件中规定的预算金额或者最高限价的</w:t>
      </w:r>
      <w:r>
        <w:rPr>
          <w:rFonts w:eastAsia="宋体"/>
          <w:sz w:val="21"/>
          <w:szCs w:val="21"/>
        </w:rPr>
        <w:t>；</w:t>
      </w:r>
    </w:p>
    <w:p>
      <w:pPr>
        <w:pStyle w:val="19"/>
        <w:spacing w:line="360" w:lineRule="auto"/>
        <w:ind w:firstLine="411" w:firstLineChars="196"/>
        <w:contextualSpacing/>
        <w:rPr>
          <w:rFonts w:hint="eastAsia" w:eastAsia="宋体"/>
          <w:sz w:val="21"/>
          <w:szCs w:val="21"/>
        </w:rPr>
      </w:pPr>
      <w:r>
        <w:rPr>
          <w:rFonts w:eastAsia="宋体"/>
          <w:sz w:val="21"/>
          <w:szCs w:val="21"/>
        </w:rPr>
        <w:t>（2）</w:t>
      </w:r>
      <w:r>
        <w:rPr>
          <w:rFonts w:hint="eastAsia" w:eastAsia="宋体"/>
          <w:bCs/>
          <w:sz w:val="21"/>
          <w:szCs w:val="21"/>
        </w:rPr>
        <w:t>未采用招标文件要求的报价形式报价的</w:t>
      </w:r>
      <w:r>
        <w:rPr>
          <w:rFonts w:hint="eastAsia" w:eastAsia="宋体"/>
          <w:sz w:val="21"/>
          <w:szCs w:val="21"/>
        </w:rPr>
        <w:t>；</w:t>
      </w:r>
    </w:p>
    <w:p>
      <w:pPr>
        <w:pStyle w:val="19"/>
        <w:spacing w:line="360" w:lineRule="auto"/>
        <w:ind w:firstLine="420" w:firstLineChars="200"/>
        <w:contextualSpacing/>
        <w:rPr>
          <w:rFonts w:hint="eastAsia" w:eastAsia="宋体"/>
          <w:sz w:val="21"/>
          <w:szCs w:val="21"/>
        </w:rPr>
      </w:pPr>
      <w:r>
        <w:rPr>
          <w:rFonts w:hint="eastAsia" w:eastAsia="宋体"/>
          <w:sz w:val="21"/>
          <w:szCs w:val="21"/>
        </w:rPr>
        <w:t>（3）投标报价具有选择性的；</w:t>
      </w:r>
    </w:p>
    <w:p>
      <w:pPr>
        <w:pStyle w:val="19"/>
        <w:spacing w:line="360" w:lineRule="auto"/>
        <w:ind w:firstLine="420" w:firstLineChars="200"/>
        <w:contextualSpacing/>
        <w:rPr>
          <w:rFonts w:eastAsia="宋体"/>
          <w:sz w:val="21"/>
          <w:szCs w:val="21"/>
        </w:rPr>
      </w:pPr>
      <w:r>
        <w:rPr>
          <w:rFonts w:hint="eastAsia" w:eastAsia="宋体"/>
          <w:sz w:val="21"/>
          <w:szCs w:val="21"/>
        </w:rPr>
        <w:t>（4）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pPr>
        <w:pStyle w:val="19"/>
        <w:spacing w:line="360" w:lineRule="auto"/>
        <w:ind w:firstLine="420" w:firstLineChars="200"/>
        <w:contextualSpacing/>
        <w:rPr>
          <w:rFonts w:hint="eastAsia" w:eastAsia="宋体"/>
          <w:sz w:val="21"/>
          <w:szCs w:val="21"/>
        </w:rPr>
      </w:pPr>
      <w:r>
        <w:rPr>
          <w:rFonts w:hint="eastAsia" w:eastAsia="宋体"/>
          <w:sz w:val="21"/>
          <w:szCs w:val="21"/>
        </w:rPr>
        <w:t>（5）投标报价中出现重大缺项、漏项或被评标委员会</w:t>
      </w:r>
      <w:r>
        <w:rPr>
          <w:rFonts w:hint="eastAsia" w:eastAsia="宋体"/>
          <w:bCs/>
          <w:sz w:val="21"/>
          <w:szCs w:val="21"/>
        </w:rPr>
        <w:t>认为投标人的报价明显低于</w:t>
      </w:r>
      <w:r>
        <w:rPr>
          <w:rFonts w:hint="eastAsia" w:eastAsia="宋体"/>
          <w:sz w:val="21"/>
          <w:szCs w:val="21"/>
        </w:rPr>
        <w:t>其他通过符合性审查投标人的报价，且投标人不能证明其报价合理性的；</w:t>
      </w:r>
    </w:p>
    <w:p>
      <w:pPr>
        <w:pStyle w:val="19"/>
        <w:spacing w:line="360" w:lineRule="auto"/>
        <w:ind w:firstLine="420" w:firstLineChars="200"/>
        <w:contextualSpacing/>
        <w:rPr>
          <w:rFonts w:eastAsia="宋体"/>
          <w:sz w:val="21"/>
          <w:szCs w:val="21"/>
        </w:rPr>
      </w:pPr>
      <w:r>
        <w:rPr>
          <w:rFonts w:hint="eastAsia" w:eastAsia="宋体"/>
          <w:sz w:val="21"/>
          <w:szCs w:val="21"/>
        </w:rPr>
        <w:t>（6）</w:t>
      </w:r>
      <w:r>
        <w:rPr>
          <w:rFonts w:hint="eastAsia" w:eastAsia="宋体"/>
          <w:bCs/>
          <w:sz w:val="21"/>
          <w:szCs w:val="21"/>
        </w:rPr>
        <w:t>采购文件规定的其他无效情形。</w:t>
      </w:r>
    </w:p>
    <w:p>
      <w:pPr>
        <w:spacing w:line="360" w:lineRule="auto"/>
        <w:ind w:firstLine="420" w:firstLineChars="200"/>
        <w:contextualSpacing/>
        <w:rPr>
          <w:rFonts w:hint="eastAsia"/>
          <w:szCs w:val="21"/>
        </w:rPr>
      </w:pPr>
      <w:r>
        <w:rPr>
          <w:rFonts w:hint="eastAsia"/>
          <w:szCs w:val="21"/>
        </w:rPr>
        <w:t>2</w:t>
      </w:r>
      <w:r>
        <w:rPr>
          <w:szCs w:val="21"/>
        </w:rPr>
        <w:t>7</w:t>
      </w:r>
      <w:r>
        <w:rPr>
          <w:rFonts w:hint="eastAsia"/>
          <w:szCs w:val="21"/>
        </w:rPr>
        <w:t>.5</w:t>
      </w:r>
      <w:r>
        <w:rPr>
          <w:szCs w:val="21"/>
        </w:rPr>
        <w:t>被拒绝的投标文件为无效。</w:t>
      </w:r>
    </w:p>
    <w:p>
      <w:pPr>
        <w:pStyle w:val="2"/>
        <w:spacing w:line="360" w:lineRule="auto"/>
        <w:contextualSpacing/>
        <w:rPr>
          <w:rFonts w:ascii="Times New Roman"/>
          <w:szCs w:val="28"/>
        </w:rPr>
      </w:pPr>
      <w:r>
        <w:rPr>
          <w:rFonts w:hint="eastAsia" w:ascii="Times New Roman"/>
          <w:szCs w:val="28"/>
        </w:rPr>
        <w:t>八、</w:t>
      </w:r>
      <w:r>
        <w:rPr>
          <w:rFonts w:ascii="Times New Roman"/>
          <w:szCs w:val="28"/>
        </w:rPr>
        <w:t>授予合同</w:t>
      </w:r>
    </w:p>
    <w:p>
      <w:pPr>
        <w:spacing w:line="360" w:lineRule="auto"/>
        <w:contextualSpacing/>
        <w:rPr>
          <w:szCs w:val="21"/>
        </w:rPr>
      </w:pPr>
      <w:r>
        <w:rPr>
          <w:rFonts w:hint="eastAsia"/>
          <w:szCs w:val="21"/>
        </w:rPr>
        <w:t>2</w:t>
      </w:r>
      <w:r>
        <w:rPr>
          <w:szCs w:val="21"/>
        </w:rPr>
        <w:t>8</w:t>
      </w:r>
      <w:r>
        <w:rPr>
          <w:rFonts w:hint="eastAsia"/>
          <w:szCs w:val="21"/>
        </w:rPr>
        <w:t>、</w:t>
      </w:r>
      <w:r>
        <w:rPr>
          <w:szCs w:val="21"/>
        </w:rPr>
        <w:t>数量变更</w:t>
      </w:r>
    </w:p>
    <w:p>
      <w:pPr>
        <w:spacing w:line="360" w:lineRule="auto"/>
        <w:ind w:firstLine="420" w:firstLineChars="200"/>
        <w:contextualSpacing/>
        <w:rPr>
          <w:szCs w:val="21"/>
        </w:rPr>
      </w:pPr>
      <w:r>
        <w:rPr>
          <w:szCs w:val="21"/>
        </w:rPr>
        <w:t>采购人在授予合同时具有变更数量的权力，可以在采购文件《投标资料表》中规定的合同金额变更范围内，变更招标的数量和服务内容，但不能对单价或其他条款和条件作任何改变。</w:t>
      </w:r>
    </w:p>
    <w:p>
      <w:pPr>
        <w:spacing w:line="360" w:lineRule="auto"/>
        <w:contextualSpacing/>
        <w:rPr>
          <w:szCs w:val="21"/>
        </w:rPr>
      </w:pPr>
      <w:r>
        <w:rPr>
          <w:rFonts w:hint="eastAsia"/>
          <w:szCs w:val="21"/>
        </w:rPr>
        <w:t>2</w:t>
      </w:r>
      <w:r>
        <w:rPr>
          <w:szCs w:val="21"/>
        </w:rPr>
        <w:t>9</w:t>
      </w:r>
      <w:r>
        <w:rPr>
          <w:rFonts w:hint="eastAsia"/>
          <w:szCs w:val="21"/>
        </w:rPr>
        <w:t>、</w:t>
      </w:r>
      <w:r>
        <w:rPr>
          <w:szCs w:val="21"/>
        </w:rPr>
        <w:t>中标通知</w:t>
      </w:r>
    </w:p>
    <w:p>
      <w:pPr>
        <w:spacing w:line="360" w:lineRule="auto"/>
        <w:ind w:firstLine="420" w:firstLineChars="200"/>
        <w:contextualSpacing/>
        <w:rPr>
          <w:rFonts w:hint="eastAsia"/>
          <w:szCs w:val="21"/>
        </w:rPr>
      </w:pPr>
      <w:r>
        <w:rPr>
          <w:rFonts w:hint="eastAsia"/>
          <w:szCs w:val="21"/>
        </w:rPr>
        <w:t>2</w:t>
      </w:r>
      <w:r>
        <w:rPr>
          <w:szCs w:val="21"/>
        </w:rPr>
        <w:t>9</w:t>
      </w:r>
      <w:r>
        <w:rPr>
          <w:rFonts w:hint="eastAsia"/>
          <w:szCs w:val="21"/>
        </w:rPr>
        <w:t>.1采购代理机构自中标人确定之日起2个工作日内，在指定的媒体上公告中标结果，采购文件随中标结果同时公告。中标公告期限为1个工作日。</w:t>
      </w:r>
    </w:p>
    <w:p>
      <w:pPr>
        <w:spacing w:line="360" w:lineRule="auto"/>
        <w:ind w:firstLine="420" w:firstLineChars="200"/>
        <w:contextualSpacing/>
        <w:rPr>
          <w:szCs w:val="21"/>
        </w:rPr>
      </w:pPr>
      <w:r>
        <w:rPr>
          <w:rFonts w:hint="eastAsia"/>
          <w:szCs w:val="21"/>
        </w:rPr>
        <w:t>2</w:t>
      </w:r>
      <w:r>
        <w:rPr>
          <w:szCs w:val="21"/>
        </w:rPr>
        <w:t>9</w:t>
      </w:r>
      <w:r>
        <w:rPr>
          <w:rFonts w:hint="eastAsia"/>
          <w:szCs w:val="21"/>
        </w:rPr>
        <w:t>.</w:t>
      </w:r>
      <w:r>
        <w:rPr>
          <w:szCs w:val="21"/>
        </w:rPr>
        <w:t>2在发布中标公告</w:t>
      </w:r>
      <w:r>
        <w:rPr>
          <w:rFonts w:hint="eastAsia"/>
          <w:szCs w:val="21"/>
        </w:rPr>
        <w:t>的同时</w:t>
      </w:r>
      <w:r>
        <w:rPr>
          <w:szCs w:val="21"/>
        </w:rPr>
        <w:t>本采购代理机构向中标</w:t>
      </w:r>
      <w:r>
        <w:rPr>
          <w:rFonts w:hint="eastAsia"/>
          <w:szCs w:val="21"/>
        </w:rPr>
        <w:t>人</w:t>
      </w:r>
      <w:r>
        <w:rPr>
          <w:szCs w:val="21"/>
        </w:rPr>
        <w:t>发出中标通知</w:t>
      </w:r>
      <w:r>
        <w:rPr>
          <w:rFonts w:hint="eastAsia"/>
          <w:szCs w:val="21"/>
        </w:rPr>
        <w:t>书</w:t>
      </w:r>
      <w:r>
        <w:rPr>
          <w:szCs w:val="21"/>
        </w:rPr>
        <w:t>，向其他投标人发出招标结果通知书，中标通知书对采购人和中标</w:t>
      </w:r>
      <w:r>
        <w:rPr>
          <w:rFonts w:hint="eastAsia"/>
          <w:szCs w:val="21"/>
        </w:rPr>
        <w:t>人</w:t>
      </w:r>
      <w:r>
        <w:rPr>
          <w:szCs w:val="21"/>
        </w:rPr>
        <w:t>具有同等法律效力。</w:t>
      </w:r>
    </w:p>
    <w:p>
      <w:pPr>
        <w:spacing w:line="360" w:lineRule="auto"/>
        <w:ind w:firstLine="420" w:firstLineChars="200"/>
        <w:contextualSpacing/>
        <w:rPr>
          <w:szCs w:val="21"/>
        </w:rPr>
      </w:pPr>
      <w:r>
        <w:rPr>
          <w:rFonts w:hint="eastAsia"/>
          <w:szCs w:val="21"/>
        </w:rPr>
        <w:t>2</w:t>
      </w:r>
      <w:r>
        <w:rPr>
          <w:szCs w:val="21"/>
        </w:rPr>
        <w:t>9</w:t>
      </w:r>
      <w:r>
        <w:rPr>
          <w:rFonts w:hint="eastAsia"/>
          <w:szCs w:val="21"/>
        </w:rPr>
        <w:t>.</w:t>
      </w:r>
      <w:r>
        <w:rPr>
          <w:szCs w:val="21"/>
        </w:rPr>
        <w:t>3中标</w:t>
      </w:r>
      <w:r>
        <w:rPr>
          <w:rFonts w:hint="eastAsia"/>
          <w:szCs w:val="21"/>
        </w:rPr>
        <w:t>人</w:t>
      </w:r>
      <w:r>
        <w:rPr>
          <w:szCs w:val="21"/>
        </w:rPr>
        <w:t>按下述第30条规定与采购人签订合同，中标通知书是合同的组成部分。</w:t>
      </w:r>
    </w:p>
    <w:p>
      <w:pPr>
        <w:spacing w:line="360" w:lineRule="auto"/>
        <w:contextualSpacing/>
        <w:rPr>
          <w:szCs w:val="21"/>
        </w:rPr>
      </w:pPr>
      <w:r>
        <w:rPr>
          <w:szCs w:val="21"/>
        </w:rPr>
        <w:t>30</w:t>
      </w:r>
      <w:r>
        <w:rPr>
          <w:rFonts w:hint="eastAsia"/>
          <w:szCs w:val="21"/>
        </w:rPr>
        <w:t>、</w:t>
      </w:r>
      <w:r>
        <w:rPr>
          <w:szCs w:val="21"/>
        </w:rPr>
        <w:t>签订合同</w:t>
      </w:r>
    </w:p>
    <w:p>
      <w:pPr>
        <w:spacing w:line="360" w:lineRule="auto"/>
        <w:ind w:firstLine="420" w:firstLineChars="200"/>
        <w:contextualSpacing/>
        <w:rPr>
          <w:szCs w:val="21"/>
        </w:rPr>
      </w:pPr>
      <w:r>
        <w:rPr>
          <w:szCs w:val="21"/>
        </w:rPr>
        <w:t>30</w:t>
      </w:r>
      <w:r>
        <w:rPr>
          <w:rFonts w:hint="eastAsia"/>
          <w:szCs w:val="21"/>
        </w:rPr>
        <w:t>.1</w:t>
      </w:r>
      <w:r>
        <w:rPr>
          <w:szCs w:val="21"/>
        </w:rPr>
        <w:t>中标</w:t>
      </w:r>
      <w:r>
        <w:rPr>
          <w:rFonts w:hint="eastAsia"/>
          <w:szCs w:val="21"/>
        </w:rPr>
        <w:t>人</w:t>
      </w:r>
      <w:r>
        <w:rPr>
          <w:szCs w:val="21"/>
        </w:rPr>
        <w:t>在本采购代理机构发出中标通知书的</w:t>
      </w:r>
      <w:r>
        <w:rPr>
          <w:rFonts w:hint="eastAsia"/>
          <w:szCs w:val="21"/>
        </w:rPr>
        <w:t>30</w:t>
      </w:r>
      <w:r>
        <w:rPr>
          <w:szCs w:val="21"/>
        </w:rPr>
        <w:t>日内，应与采购人按照采购文件和中标</w:t>
      </w:r>
      <w:r>
        <w:rPr>
          <w:rFonts w:hint="eastAsia"/>
          <w:szCs w:val="21"/>
        </w:rPr>
        <w:t>人</w:t>
      </w:r>
      <w:r>
        <w:rPr>
          <w:szCs w:val="21"/>
        </w:rPr>
        <w:t>的投标文件的约定内容签订书面合同。否则，采购人可撤销其中标资格并按本须知规定另选中标</w:t>
      </w:r>
      <w:r>
        <w:rPr>
          <w:rFonts w:hint="eastAsia"/>
          <w:szCs w:val="21"/>
        </w:rPr>
        <w:t>人</w:t>
      </w:r>
      <w:r>
        <w:rPr>
          <w:szCs w:val="21"/>
        </w:rPr>
        <w:t>或重新招标。</w:t>
      </w:r>
    </w:p>
    <w:p>
      <w:pPr>
        <w:spacing w:line="360" w:lineRule="auto"/>
        <w:ind w:firstLine="420" w:firstLineChars="200"/>
        <w:contextualSpacing/>
        <w:rPr>
          <w:rFonts w:hint="eastAsia"/>
          <w:szCs w:val="21"/>
        </w:rPr>
      </w:pPr>
      <w:r>
        <w:rPr>
          <w:szCs w:val="21"/>
        </w:rPr>
        <w:t>30</w:t>
      </w:r>
      <w:r>
        <w:rPr>
          <w:rFonts w:hint="eastAsia"/>
          <w:szCs w:val="21"/>
        </w:rPr>
        <w:t>.2</w:t>
      </w:r>
      <w:r>
        <w:rPr>
          <w:szCs w:val="21"/>
        </w:rPr>
        <w:t>采购文件、中标</w:t>
      </w:r>
      <w:r>
        <w:rPr>
          <w:rFonts w:hint="eastAsia"/>
          <w:szCs w:val="21"/>
        </w:rPr>
        <w:t>人</w:t>
      </w:r>
      <w:r>
        <w:rPr>
          <w:szCs w:val="21"/>
        </w:rPr>
        <w:t>的投标文件及在评标过程中提交的澄清文件均应作为合同附件。</w:t>
      </w:r>
    </w:p>
    <w:p>
      <w:pPr>
        <w:spacing w:line="360" w:lineRule="auto"/>
        <w:contextualSpacing/>
        <w:rPr>
          <w:szCs w:val="21"/>
        </w:rPr>
      </w:pPr>
      <w:r>
        <w:rPr>
          <w:szCs w:val="21"/>
        </w:rPr>
        <w:t>31</w:t>
      </w:r>
      <w:r>
        <w:rPr>
          <w:rFonts w:hint="eastAsia"/>
          <w:szCs w:val="21"/>
        </w:rPr>
        <w:t>、</w:t>
      </w:r>
      <w:r>
        <w:rPr>
          <w:szCs w:val="21"/>
        </w:rPr>
        <w:t>履约保证金</w:t>
      </w:r>
    </w:p>
    <w:p>
      <w:pPr>
        <w:spacing w:line="360" w:lineRule="auto"/>
        <w:ind w:firstLine="420" w:firstLineChars="200"/>
        <w:contextualSpacing/>
        <w:rPr>
          <w:rFonts w:hint="eastAsia"/>
          <w:szCs w:val="21"/>
        </w:rPr>
      </w:pPr>
      <w:r>
        <w:rPr>
          <w:rFonts w:hint="eastAsia"/>
          <w:szCs w:val="21"/>
        </w:rPr>
        <w:t>本项目无需缴纳履约保证金。</w:t>
      </w:r>
    </w:p>
    <w:p>
      <w:pPr>
        <w:pStyle w:val="2"/>
        <w:spacing w:line="360" w:lineRule="auto"/>
        <w:contextualSpacing/>
        <w:rPr>
          <w:rFonts w:ascii="Times New Roman"/>
          <w:szCs w:val="28"/>
        </w:rPr>
      </w:pPr>
      <w:r>
        <w:rPr>
          <w:rFonts w:hint="eastAsia" w:ascii="Times New Roman"/>
          <w:szCs w:val="28"/>
        </w:rPr>
        <w:t>九、履约验收</w:t>
      </w:r>
    </w:p>
    <w:p>
      <w:pPr>
        <w:pStyle w:val="18"/>
        <w:spacing w:after="0" w:line="360" w:lineRule="auto"/>
        <w:contextualSpacing/>
        <w:rPr>
          <w:b/>
          <w:bCs/>
          <w:szCs w:val="24"/>
        </w:rPr>
      </w:pPr>
      <w:r>
        <w:rPr>
          <w:rFonts w:hint="eastAsia" w:cs="宋体"/>
          <w:bCs/>
          <w:szCs w:val="21"/>
        </w:rPr>
        <w:t>3</w:t>
      </w:r>
      <w:r>
        <w:rPr>
          <w:rFonts w:cs="宋体"/>
          <w:bCs/>
          <w:szCs w:val="21"/>
        </w:rPr>
        <w:t>2</w:t>
      </w:r>
      <w:r>
        <w:rPr>
          <w:rFonts w:hint="eastAsia" w:cs="宋体"/>
          <w:bCs/>
          <w:szCs w:val="21"/>
        </w:rPr>
        <w:t>、采购人负责对中标供应商的履约行为进行验收。政府向社会公众提供的公共服务项目，验收时应当邀请服务对象参与并出具意见，验收结果应当向社会公告。</w:t>
      </w:r>
    </w:p>
    <w:p>
      <w:pPr>
        <w:spacing w:line="360" w:lineRule="auto"/>
        <w:ind w:firstLine="480" w:firstLineChars="200"/>
        <w:contextualSpacing/>
        <w:rPr>
          <w:rFonts w:hint="eastAsia"/>
          <w:sz w:val="24"/>
          <w:szCs w:val="24"/>
        </w:rPr>
      </w:pPr>
    </w:p>
    <w:p>
      <w:pPr>
        <w:pStyle w:val="2"/>
        <w:spacing w:line="360" w:lineRule="auto"/>
        <w:contextualSpacing/>
        <w:rPr>
          <w:rFonts w:ascii="Times New Roman"/>
          <w:szCs w:val="28"/>
        </w:rPr>
      </w:pPr>
      <w:r>
        <w:rPr>
          <w:rFonts w:hint="eastAsia" w:ascii="Times New Roman"/>
          <w:szCs w:val="28"/>
        </w:rPr>
        <w:t>十、招标服务费用</w:t>
      </w:r>
    </w:p>
    <w:p>
      <w:pPr>
        <w:spacing w:line="360" w:lineRule="auto"/>
        <w:contextualSpacing/>
        <w:rPr>
          <w:szCs w:val="21"/>
        </w:rPr>
      </w:pPr>
      <w:r>
        <w:rPr>
          <w:rFonts w:hint="eastAsia"/>
          <w:szCs w:val="21"/>
        </w:rPr>
        <w:t>3</w:t>
      </w:r>
      <w:r>
        <w:rPr>
          <w:szCs w:val="21"/>
        </w:rPr>
        <w:t>3</w:t>
      </w:r>
      <w:r>
        <w:rPr>
          <w:rFonts w:hint="eastAsia"/>
          <w:szCs w:val="21"/>
        </w:rPr>
        <w:t>、</w:t>
      </w:r>
      <w:r>
        <w:rPr>
          <w:szCs w:val="21"/>
        </w:rPr>
        <w:t>招标服务费</w:t>
      </w:r>
    </w:p>
    <w:p>
      <w:pPr>
        <w:spacing w:line="360" w:lineRule="auto"/>
        <w:ind w:firstLine="420" w:firstLineChars="200"/>
        <w:contextualSpacing/>
        <w:rPr>
          <w:rFonts w:hint="eastAsia"/>
          <w:sz w:val="24"/>
          <w:szCs w:val="24"/>
        </w:rPr>
      </w:pPr>
      <w:r>
        <w:rPr>
          <w:rFonts w:hint="eastAsia"/>
          <w:szCs w:val="21"/>
        </w:rPr>
        <w:t>中标人</w:t>
      </w:r>
      <w:r>
        <w:rPr>
          <w:szCs w:val="21"/>
        </w:rPr>
        <w:t>应向本采购代理机构支付招标服务费。招标服务费的收费依据及相关规定载明在采购文件《投标资料表》中。</w:t>
      </w:r>
    </w:p>
    <w:p>
      <w:pPr>
        <w:spacing w:line="360" w:lineRule="auto"/>
        <w:ind w:firstLine="420" w:firstLineChars="200"/>
        <w:contextualSpacing/>
      </w:pPr>
    </w:p>
    <w:p>
      <w:pPr>
        <w:pStyle w:val="2"/>
        <w:spacing w:line="360" w:lineRule="auto"/>
        <w:contextualSpacing/>
        <w:rPr>
          <w:rFonts w:ascii="Times New Roman"/>
          <w:szCs w:val="28"/>
        </w:rPr>
      </w:pPr>
      <w:r>
        <w:rPr>
          <w:rFonts w:hint="eastAsia" w:ascii="Times New Roman"/>
          <w:szCs w:val="28"/>
        </w:rPr>
        <w:t>十一、</w:t>
      </w:r>
      <w:r>
        <w:rPr>
          <w:rFonts w:ascii="Times New Roman"/>
          <w:szCs w:val="28"/>
        </w:rPr>
        <w:t>政府采购活动中有关中小企业的相关规定（采购进口产品的项目不适用）</w:t>
      </w:r>
    </w:p>
    <w:p>
      <w:pPr>
        <w:spacing w:line="360" w:lineRule="auto"/>
        <w:contextualSpacing/>
        <w:rPr>
          <w:szCs w:val="21"/>
        </w:rPr>
      </w:pPr>
      <w:r>
        <w:rPr>
          <w:rFonts w:hint="eastAsia"/>
          <w:szCs w:val="21"/>
        </w:rPr>
        <w:t>34、本项目</w:t>
      </w:r>
      <w:r>
        <w:rPr>
          <w:rFonts w:hint="eastAsia"/>
          <w:szCs w:val="21"/>
          <w:u w:val="single"/>
        </w:rPr>
        <w:t xml:space="preserve"> 非</w:t>
      </w:r>
      <w:r>
        <w:rPr>
          <w:rFonts w:hint="eastAsia"/>
          <w:szCs w:val="21"/>
        </w:rPr>
        <w:t xml:space="preserve"> 专门面向中小企业采购。</w:t>
      </w:r>
    </w:p>
    <w:p>
      <w:pPr>
        <w:spacing w:line="360" w:lineRule="auto"/>
        <w:contextualSpacing/>
        <w:rPr>
          <w:rFonts w:hint="eastAsia"/>
          <w:szCs w:val="21"/>
        </w:rPr>
      </w:pPr>
      <w:r>
        <w:rPr>
          <w:rFonts w:hint="eastAsia"/>
          <w:szCs w:val="21"/>
        </w:rPr>
        <w:t>3</w:t>
      </w:r>
      <w:r>
        <w:rPr>
          <w:szCs w:val="21"/>
        </w:rPr>
        <w:t>5</w:t>
      </w:r>
      <w:r>
        <w:rPr>
          <w:rFonts w:hint="eastAsia"/>
          <w:szCs w:val="21"/>
        </w:rPr>
        <w:t>、本项目对应的中小企业划型标准所属行业：</w:t>
      </w:r>
      <w:r>
        <w:rPr>
          <w:rFonts w:hint="eastAsia"/>
          <w:b/>
          <w:szCs w:val="21"/>
          <w:u w:val="single"/>
        </w:rPr>
        <w:t>其他未列明行业</w:t>
      </w:r>
      <w:r>
        <w:rPr>
          <w:rFonts w:hint="eastAsia"/>
          <w:szCs w:val="21"/>
        </w:rPr>
        <w:t>。</w:t>
      </w:r>
    </w:p>
    <w:p>
      <w:pPr>
        <w:spacing w:line="360" w:lineRule="auto"/>
        <w:contextualSpacing/>
        <w:rPr>
          <w:rFonts w:hint="eastAsia"/>
          <w:szCs w:val="21"/>
        </w:rPr>
      </w:pPr>
      <w:r>
        <w:rPr>
          <w:rFonts w:hint="eastAsia"/>
          <w:szCs w:val="21"/>
        </w:rPr>
        <w:t>3</w:t>
      </w:r>
      <w:r>
        <w:rPr>
          <w:szCs w:val="21"/>
        </w:rPr>
        <w:t>6</w:t>
      </w:r>
      <w:r>
        <w:rPr>
          <w:rFonts w:hint="eastAsia"/>
          <w:szCs w:val="21"/>
        </w:rPr>
        <w:t>、小微企业是指中华人民共和国境内依法设立，依据国务院批准的中小企业划分标准确定的小型企业和微型企业，但与大企业的负责人为同一人，或者与大企业存在直接控股、管理关系的除外。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contextualSpacing/>
        <w:rPr>
          <w:rFonts w:hint="eastAsia"/>
          <w:szCs w:val="21"/>
        </w:rPr>
      </w:pPr>
      <w:r>
        <w:rPr>
          <w:rFonts w:hint="eastAsia"/>
          <w:szCs w:val="21"/>
        </w:rPr>
        <w:t>符合中小企业划分标准的个体工商户，在政府采购活动中视同中小企业。</w:t>
      </w:r>
    </w:p>
    <w:p>
      <w:pPr>
        <w:spacing w:line="360" w:lineRule="auto"/>
        <w:ind w:firstLine="420" w:firstLineChars="200"/>
        <w:contextualSpacing/>
        <w:rPr>
          <w:rFonts w:hint="eastAsia"/>
          <w:szCs w:val="21"/>
        </w:rPr>
      </w:pPr>
      <w:r>
        <w:rPr>
          <w:rFonts w:hint="eastAsia"/>
          <w:szCs w:val="21"/>
        </w:rPr>
        <w:t>国务院批准的中小企业划分标准：具体见工信部联企业[2011]300号。</w:t>
      </w:r>
    </w:p>
    <w:p>
      <w:pPr>
        <w:spacing w:line="360" w:lineRule="auto"/>
        <w:contextualSpacing/>
        <w:rPr>
          <w:rFonts w:hint="eastAsia"/>
          <w:szCs w:val="21"/>
        </w:rPr>
      </w:pPr>
      <w:r>
        <w:rPr>
          <w:rFonts w:hint="eastAsia"/>
          <w:szCs w:val="21"/>
        </w:rPr>
        <w:t>3</w:t>
      </w:r>
      <w:r>
        <w:rPr>
          <w:szCs w:val="21"/>
        </w:rPr>
        <w:t>7</w:t>
      </w:r>
      <w:r>
        <w:rPr>
          <w:rFonts w:hint="eastAsia"/>
          <w:szCs w:val="21"/>
        </w:rPr>
        <w:t>、在政府采购活动中，供应商提供的货物、工程或者服务符合下列情形的，可享受小型、微型企业（以下简称小微企业）的价格扣除：</w:t>
      </w:r>
    </w:p>
    <w:p>
      <w:pPr>
        <w:spacing w:line="360" w:lineRule="auto"/>
        <w:ind w:firstLine="420" w:firstLineChars="200"/>
        <w:contextualSpacing/>
        <w:rPr>
          <w:rFonts w:hint="eastAsia"/>
          <w:szCs w:val="21"/>
        </w:rPr>
      </w:pPr>
      <w:r>
        <w:rPr>
          <w:rFonts w:hint="eastAsia"/>
          <w:szCs w:val="21"/>
        </w:rPr>
        <w:t>（1）在货物采购项目中，货物由小微企业制造，即货物由小微企业生产且使用该小微企业商号或者注册商标；</w:t>
      </w:r>
    </w:p>
    <w:p>
      <w:pPr>
        <w:spacing w:line="360" w:lineRule="auto"/>
        <w:ind w:firstLine="420" w:firstLineChars="200"/>
        <w:contextualSpacing/>
        <w:rPr>
          <w:rFonts w:hint="eastAsia"/>
          <w:szCs w:val="21"/>
        </w:rPr>
      </w:pPr>
      <w:r>
        <w:rPr>
          <w:rFonts w:hint="eastAsia"/>
          <w:szCs w:val="21"/>
        </w:rPr>
        <w:t>（2）在工程采购项目中，工程由小微企业承建，即工程施工单位为小微企业；</w:t>
      </w:r>
    </w:p>
    <w:p>
      <w:pPr>
        <w:spacing w:line="360" w:lineRule="auto"/>
        <w:ind w:firstLine="420" w:firstLineChars="200"/>
        <w:contextualSpacing/>
        <w:rPr>
          <w:rFonts w:hint="eastAsia"/>
          <w:szCs w:val="21"/>
        </w:rPr>
      </w:pPr>
      <w:r>
        <w:rPr>
          <w:rFonts w:hint="eastAsia"/>
          <w:szCs w:val="21"/>
        </w:rPr>
        <w:t>（3）在服务采购项目中，服务由小微企业承接，即提供服务的人员为小微企业依照《中华人民共和国劳动合同法》订立劳动合同的从业人员。</w:t>
      </w:r>
    </w:p>
    <w:p>
      <w:pPr>
        <w:spacing w:line="360" w:lineRule="auto"/>
        <w:ind w:firstLine="420" w:firstLineChars="200"/>
        <w:contextualSpacing/>
        <w:rPr>
          <w:rFonts w:hint="eastAsia"/>
          <w:szCs w:val="21"/>
        </w:rPr>
      </w:pPr>
      <w:r>
        <w:rPr>
          <w:rFonts w:hint="eastAsia"/>
          <w:szCs w:val="21"/>
        </w:rPr>
        <w:t>以联合体形式参加政府采购活动，联合体各方均为小微企业的，联合体视同小微企业。</w:t>
      </w:r>
    </w:p>
    <w:p>
      <w:pPr>
        <w:spacing w:line="360" w:lineRule="auto"/>
        <w:contextualSpacing/>
        <w:rPr>
          <w:rFonts w:hint="eastAsia"/>
          <w:szCs w:val="21"/>
        </w:rPr>
      </w:pPr>
      <w:r>
        <w:rPr>
          <w:szCs w:val="21"/>
        </w:rPr>
        <w:t>38</w:t>
      </w:r>
      <w:r>
        <w:rPr>
          <w:rFonts w:hint="eastAsia"/>
          <w:szCs w:val="21"/>
        </w:rPr>
        <w:t>、在货物采购项目中，供应商提供的货物既有中小企业制造货物，也有大型企业制造货物的，不享受的小微企业价格扣除。</w:t>
      </w:r>
    </w:p>
    <w:p>
      <w:pPr>
        <w:spacing w:line="360" w:lineRule="auto"/>
        <w:contextualSpacing/>
        <w:rPr>
          <w:rFonts w:hint="eastAsia"/>
          <w:szCs w:val="21"/>
        </w:rPr>
      </w:pPr>
      <w:r>
        <w:rPr>
          <w:rFonts w:hint="eastAsia"/>
          <w:szCs w:val="21"/>
        </w:rPr>
        <w:t>3</w:t>
      </w:r>
      <w:r>
        <w:rPr>
          <w:szCs w:val="21"/>
        </w:rPr>
        <w:t>9</w:t>
      </w:r>
      <w:r>
        <w:rPr>
          <w:rFonts w:hint="eastAsia"/>
          <w:szCs w:val="21"/>
        </w:rPr>
        <w:t>、本项目对符合《政府采购促进中小企业发展管理办法》（财库﹝2020﹞46号）规定的小微企业报价给予 10%（工程项目为5%）的扣除，用扣除后的价格参加评审。</w:t>
      </w:r>
    </w:p>
    <w:p>
      <w:pPr>
        <w:spacing w:line="360" w:lineRule="auto"/>
        <w:contextualSpacing/>
        <w:rPr>
          <w:rFonts w:hint="eastAsia"/>
          <w:szCs w:val="21"/>
        </w:rPr>
      </w:pPr>
      <w:r>
        <w:rPr>
          <w:szCs w:val="21"/>
        </w:rPr>
        <w:t>40</w:t>
      </w:r>
      <w:r>
        <w:rPr>
          <w:rFonts w:hint="eastAsia"/>
          <w:szCs w:val="21"/>
        </w:rPr>
        <w:t>、小微企业应按照招标文件格式要求提供《中小企业声明函》。</w:t>
      </w:r>
    </w:p>
    <w:p>
      <w:pPr>
        <w:spacing w:line="360" w:lineRule="auto"/>
        <w:contextualSpacing/>
        <w:rPr>
          <w:rFonts w:hint="eastAsia"/>
          <w:szCs w:val="21"/>
        </w:rPr>
      </w:pPr>
      <w:r>
        <w:rPr>
          <w:szCs w:val="21"/>
        </w:rPr>
        <w:t>41</w:t>
      </w:r>
      <w:r>
        <w:rPr>
          <w:rFonts w:hint="eastAsia"/>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contextualSpacing/>
        <w:rPr>
          <w:rFonts w:hint="eastAsia"/>
          <w:szCs w:val="21"/>
        </w:rPr>
      </w:pPr>
      <w:r>
        <w:rPr>
          <w:szCs w:val="21"/>
        </w:rPr>
        <w:t>42</w:t>
      </w:r>
      <w:r>
        <w:rPr>
          <w:rFonts w:hint="eastAsia"/>
          <w:szCs w:val="21"/>
        </w:rPr>
        <w:t>、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contextualSpacing/>
        <w:rPr>
          <w:rFonts w:hint="eastAsia"/>
          <w:szCs w:val="21"/>
        </w:rPr>
      </w:pPr>
      <w:r>
        <w:rPr>
          <w:rFonts w:hint="eastAsia"/>
          <w:szCs w:val="21"/>
        </w:rPr>
        <w:t>4</w:t>
      </w:r>
      <w:r>
        <w:rPr>
          <w:szCs w:val="21"/>
        </w:rPr>
        <w:t>3</w:t>
      </w:r>
      <w:r>
        <w:rPr>
          <w:rFonts w:hint="eastAsia"/>
          <w:szCs w:val="21"/>
        </w:rPr>
        <w:t>、按规定享受扶持政策获得政府采购合同的，小微企业不得将合同分包给大中型企业，中型企业不得将合同分包给大型企业。</w:t>
      </w:r>
    </w:p>
    <w:p>
      <w:pPr>
        <w:spacing w:line="360" w:lineRule="auto"/>
        <w:contextualSpacing/>
      </w:pPr>
      <w:r>
        <w:rPr>
          <w:rFonts w:hint="eastAsia"/>
          <w:szCs w:val="21"/>
        </w:rPr>
        <w:t>4</w:t>
      </w:r>
      <w:r>
        <w:rPr>
          <w:szCs w:val="21"/>
        </w:rPr>
        <w:t>4</w:t>
      </w:r>
      <w:r>
        <w:rPr>
          <w:rFonts w:hint="eastAsia"/>
          <w:szCs w:val="21"/>
        </w:rPr>
        <w:t>、供应商按照《政府采购促进中小企业发展管理办法》（财库﹝2020﹞46号）规定提供声明函内容不实的，属于提供虚假材料谋取中标、成交，依照《中华人民共和国政府采购法》等国家有关规定追究相应责任。</w:t>
      </w:r>
    </w:p>
    <w:bookmarkEnd w:id="22"/>
    <w:bookmarkEnd w:id="23"/>
    <w:bookmarkEnd w:id="24"/>
    <w:bookmarkEnd w:id="25"/>
    <w:bookmarkEnd w:id="26"/>
    <w:bookmarkEnd w:id="27"/>
    <w:bookmarkEnd w:id="28"/>
    <w:p>
      <w:pPr>
        <w:spacing w:before="60" w:after="60" w:line="0" w:lineRule="atLeast"/>
        <w:rPr>
          <w:rFonts w:hint="eastAsia"/>
          <w:sz w:val="24"/>
        </w:rPr>
        <w:sectPr>
          <w:headerReference r:id="rId12" w:type="even"/>
          <w:type w:val="nextColumn"/>
          <w:pgSz w:w="11907" w:h="16840"/>
          <w:pgMar w:top="993" w:right="1531" w:bottom="1304" w:left="1531" w:header="284" w:footer="705" w:gutter="0"/>
          <w:cols w:space="720" w:num="1"/>
          <w:docGrid w:linePitch="285" w:charSpace="0"/>
        </w:sectPr>
      </w:pPr>
    </w:p>
    <w:p>
      <w:pPr>
        <w:pStyle w:val="46"/>
        <w:rPr>
          <w:rFonts w:hint="eastAsia" w:ascii="Times New Roman" w:hAnsi="Times New Roman"/>
        </w:rPr>
      </w:pPr>
      <w:bookmarkStart w:id="30" w:name="_Toc157022441"/>
      <w:bookmarkStart w:id="31" w:name="_Toc263083251"/>
      <w:bookmarkStart w:id="32" w:name="_Toc156754840"/>
      <w:bookmarkStart w:id="33" w:name="_Toc89855394"/>
      <w:bookmarkStart w:id="34" w:name="_Toc96720895"/>
      <w:r>
        <w:rPr>
          <w:rFonts w:hint="eastAsia" w:ascii="Times New Roman" w:hAnsi="Times New Roman"/>
        </w:rPr>
        <w:t>第四部分 评标</w:t>
      </w:r>
      <w:bookmarkEnd w:id="30"/>
      <w:bookmarkEnd w:id="31"/>
      <w:bookmarkEnd w:id="32"/>
      <w:r>
        <w:rPr>
          <w:rFonts w:hint="eastAsia" w:ascii="Times New Roman" w:hAnsi="Times New Roman"/>
        </w:rPr>
        <w:t>办法及标准</w:t>
      </w:r>
      <w:bookmarkEnd w:id="33"/>
      <w:bookmarkEnd w:id="34"/>
    </w:p>
    <w:p>
      <w:pPr>
        <w:rPr>
          <w:rFonts w:hint="eastAsia"/>
        </w:rPr>
      </w:pPr>
    </w:p>
    <w:p>
      <w:pPr>
        <w:spacing w:line="360" w:lineRule="auto"/>
        <w:ind w:firstLine="420" w:firstLineChars="200"/>
        <w:contextualSpacing/>
        <w:rPr>
          <w:szCs w:val="21"/>
        </w:rPr>
      </w:pPr>
      <w:bookmarkStart w:id="35" w:name="_Toc208222299"/>
      <w:bookmarkStart w:id="36" w:name="_Toc263083254"/>
      <w:bookmarkStart w:id="37" w:name="_Toc471938831"/>
      <w:bookmarkStart w:id="38" w:name="_Toc243312838"/>
      <w:bookmarkStart w:id="39" w:name="_Toc246663002"/>
      <w:bookmarkStart w:id="40" w:name="_Toc203406683"/>
      <w:bookmarkStart w:id="41" w:name="_Toc202897570"/>
      <w:bookmarkStart w:id="42" w:name="_Toc250837977"/>
      <w:r>
        <w:rPr>
          <w:rFonts w:hint="eastAsia"/>
          <w:szCs w:val="21"/>
        </w:rPr>
        <w:t>本评标办法是对《投标人须知》中的七、评标和定标的具体补充，如有不一致，以本办法为准。</w:t>
      </w:r>
    </w:p>
    <w:p>
      <w:pPr>
        <w:spacing w:line="360" w:lineRule="auto"/>
        <w:ind w:firstLine="420" w:firstLineChars="200"/>
        <w:contextualSpacing/>
        <w:rPr>
          <w:szCs w:val="21"/>
        </w:rPr>
      </w:pPr>
      <w:r>
        <w:rPr>
          <w:rFonts w:hint="eastAsia"/>
          <w:szCs w:val="21"/>
        </w:rPr>
        <w:t>评标委员会按照采购文件“投标人须知”中关于评标委员会、评标办法、评标程序和原则、推荐中标候选人、定标等规定和本标准开展评标工作。</w:t>
      </w:r>
    </w:p>
    <w:p>
      <w:pPr>
        <w:pStyle w:val="3"/>
        <w:spacing w:before="0" w:after="0" w:line="360" w:lineRule="auto"/>
        <w:ind w:firstLine="200"/>
        <w:contextualSpacing/>
        <w:rPr>
          <w:rFonts w:ascii="Times New Roman" w:hAnsi="Times New Roman" w:eastAsia="宋体"/>
          <w:b w:val="0"/>
          <w:sz w:val="21"/>
          <w:szCs w:val="21"/>
        </w:rPr>
      </w:pPr>
      <w:bookmarkStart w:id="43" w:name="_Toc263083252"/>
      <w:bookmarkStart w:id="44" w:name="_Toc250837975"/>
      <w:r>
        <w:rPr>
          <w:rFonts w:hint="eastAsia" w:ascii="Times New Roman" w:hAnsi="Times New Roman" w:eastAsia="宋体"/>
          <w:b w:val="0"/>
          <w:sz w:val="21"/>
          <w:szCs w:val="21"/>
        </w:rPr>
        <w:t>●评标办法</w:t>
      </w:r>
      <w:bookmarkEnd w:id="43"/>
    </w:p>
    <w:p>
      <w:pPr>
        <w:spacing w:line="360" w:lineRule="auto"/>
        <w:ind w:firstLine="411" w:firstLineChars="196"/>
        <w:contextualSpacing/>
        <w:rPr>
          <w:szCs w:val="21"/>
        </w:rPr>
      </w:pPr>
      <w:r>
        <w:rPr>
          <w:rFonts w:hint="eastAsia"/>
          <w:szCs w:val="21"/>
        </w:rPr>
        <w:t>本次采购招标项目选用：综合评分法</w:t>
      </w:r>
      <w:bookmarkEnd w:id="44"/>
    </w:p>
    <w:p>
      <w:pPr>
        <w:pStyle w:val="3"/>
        <w:spacing w:before="0" w:after="0" w:line="360" w:lineRule="auto"/>
        <w:ind w:firstLine="200"/>
        <w:contextualSpacing/>
        <w:rPr>
          <w:rFonts w:ascii="Times New Roman" w:hAnsi="Times New Roman" w:eastAsia="宋体"/>
          <w:b w:val="0"/>
          <w:sz w:val="21"/>
          <w:szCs w:val="21"/>
        </w:rPr>
      </w:pPr>
      <w:bookmarkStart w:id="45" w:name="_Toc263083253"/>
      <w:bookmarkStart w:id="46" w:name="_Toc250837976"/>
      <w:r>
        <w:rPr>
          <w:rFonts w:hint="eastAsia" w:ascii="Times New Roman" w:hAnsi="Times New Roman" w:eastAsia="宋体"/>
          <w:b w:val="0"/>
          <w:sz w:val="21"/>
          <w:szCs w:val="21"/>
        </w:rPr>
        <w:t>●评标细则</w:t>
      </w:r>
      <w:bookmarkEnd w:id="45"/>
      <w:bookmarkEnd w:id="46"/>
    </w:p>
    <w:p>
      <w:pPr>
        <w:spacing w:line="360" w:lineRule="auto"/>
        <w:ind w:firstLine="420" w:firstLineChars="200"/>
        <w:contextualSpacing/>
        <w:rPr>
          <w:rFonts w:hint="eastAsia"/>
          <w:szCs w:val="21"/>
        </w:rPr>
      </w:pPr>
      <w:r>
        <w:rPr>
          <w:rFonts w:hint="eastAsia"/>
          <w:szCs w:val="21"/>
        </w:rPr>
        <w:t>1、对初步审查（含资格审查、符合性审查）合格者进行评分。</w:t>
      </w:r>
    </w:p>
    <w:p>
      <w:pPr>
        <w:spacing w:line="360" w:lineRule="auto"/>
        <w:ind w:firstLine="420" w:firstLineChars="200"/>
        <w:contextualSpacing/>
        <w:rPr>
          <w:rFonts w:hint="eastAsia"/>
          <w:szCs w:val="21"/>
        </w:rPr>
      </w:pPr>
      <w:r>
        <w:rPr>
          <w:rFonts w:hint="eastAsia"/>
          <w:szCs w:val="21"/>
        </w:rPr>
        <w:t>2、每位评委根据《评分标准》独立逐栏打分，每栏分值不得超出规定的分值范围；各评分因素分值保留小数点后二位。</w:t>
      </w:r>
    </w:p>
    <w:p>
      <w:pPr>
        <w:spacing w:line="360" w:lineRule="auto"/>
        <w:ind w:firstLine="420" w:firstLineChars="200"/>
        <w:contextualSpacing/>
        <w:rPr>
          <w:rFonts w:hint="eastAsia"/>
          <w:szCs w:val="21"/>
        </w:rPr>
      </w:pPr>
      <w:r>
        <w:rPr>
          <w:rFonts w:hint="eastAsia"/>
          <w:szCs w:val="21"/>
        </w:rPr>
        <w:t>3、价格评审基准价格与价格评审：按照“评分标准”中评审得分公式计算，以四舍五入方法整合到小数点后二位。</w:t>
      </w:r>
    </w:p>
    <w:p>
      <w:pPr>
        <w:spacing w:line="360" w:lineRule="auto"/>
        <w:ind w:firstLine="420" w:firstLineChars="200"/>
        <w:contextualSpacing/>
        <w:rPr>
          <w:rFonts w:hint="eastAsia"/>
          <w:szCs w:val="21"/>
        </w:rPr>
      </w:pPr>
      <w:r>
        <w:rPr>
          <w:rFonts w:hint="eastAsia"/>
          <w:szCs w:val="21"/>
        </w:rPr>
        <w:t>4、最终得分：各评委技术商务分的算术平均值+投标价格分=最终得分，以四舍五入法整合到小数点后二位。</w:t>
      </w:r>
    </w:p>
    <w:p>
      <w:pPr>
        <w:spacing w:line="360" w:lineRule="auto"/>
        <w:ind w:firstLine="420" w:firstLineChars="200"/>
        <w:contextualSpacing/>
        <w:rPr>
          <w:szCs w:val="21"/>
        </w:rPr>
      </w:pPr>
      <w:r>
        <w:rPr>
          <w:rFonts w:hint="eastAsia"/>
          <w:szCs w:val="21"/>
        </w:rPr>
        <w:t>5、评价排序：按评审后得分由高到低顺序排列。得分相同的，按投标报价由低到高顺序排列。得分且投标报价相同的并列，抽签决定中标候选人。</w:t>
      </w:r>
    </w:p>
    <w:p>
      <w:pPr>
        <w:pStyle w:val="3"/>
        <w:spacing w:before="0" w:after="0" w:line="360" w:lineRule="auto"/>
        <w:ind w:firstLine="200"/>
        <w:contextualSpacing/>
        <w:rPr>
          <w:rFonts w:ascii="Times New Roman" w:hAnsi="Times New Roman" w:eastAsia="宋体"/>
          <w:b w:val="0"/>
          <w:sz w:val="21"/>
          <w:szCs w:val="21"/>
        </w:rPr>
      </w:pPr>
      <w:r>
        <w:rPr>
          <w:rFonts w:hint="eastAsia" w:ascii="Times New Roman" w:hAnsi="Times New Roman" w:eastAsia="宋体"/>
          <w:b w:val="0"/>
          <w:sz w:val="21"/>
          <w:szCs w:val="21"/>
        </w:rPr>
        <w:t>●其他说明</w:t>
      </w:r>
    </w:p>
    <w:p>
      <w:pPr>
        <w:spacing w:line="360" w:lineRule="auto"/>
        <w:ind w:firstLine="420" w:firstLineChars="200"/>
        <w:contextualSpacing/>
        <w:rPr>
          <w:szCs w:val="21"/>
        </w:rPr>
      </w:pPr>
      <w:r>
        <w:rPr>
          <w:rFonts w:hint="eastAsia"/>
          <w:szCs w:val="21"/>
        </w:rPr>
        <w:t>有效投标：通过初步审查且投标报价符合评审范围。</w:t>
      </w:r>
    </w:p>
    <w:p>
      <w:pPr>
        <w:spacing w:line="360" w:lineRule="auto"/>
        <w:ind w:firstLine="420" w:firstLineChars="200"/>
        <w:contextualSpacing/>
        <w:rPr>
          <w:rFonts w:hint="eastAsia"/>
          <w:szCs w:val="21"/>
        </w:rPr>
      </w:pPr>
      <w:r>
        <w:rPr>
          <w:szCs w:val="21"/>
        </w:rPr>
        <w:t>本次采购为非专门面向中小企业，本次评标将对中小企业声明函满足采购文件要求的小型和微型企业产品的价格</w:t>
      </w:r>
      <w:r>
        <w:rPr>
          <w:rFonts w:hint="eastAsia"/>
          <w:szCs w:val="21"/>
        </w:rPr>
        <w:t>（包括监狱企业）</w:t>
      </w:r>
      <w:r>
        <w:rPr>
          <w:szCs w:val="21"/>
        </w:rPr>
        <w:t>给予</w:t>
      </w:r>
      <w:r>
        <w:rPr>
          <w:rFonts w:hint="eastAsia"/>
          <w:szCs w:val="21"/>
        </w:rPr>
        <w:t>10</w:t>
      </w:r>
      <w:r>
        <w:rPr>
          <w:szCs w:val="21"/>
        </w:rPr>
        <w:t>%的扣除，用扣除后的价格参与评审。</w:t>
      </w:r>
    </w:p>
    <w:p>
      <w:pPr>
        <w:pStyle w:val="3"/>
        <w:spacing w:before="0" w:after="0" w:line="360" w:lineRule="auto"/>
        <w:ind w:firstLine="200"/>
        <w:contextualSpacing/>
        <w:rPr>
          <w:rFonts w:ascii="Times New Roman" w:hAnsi="Times New Roman" w:eastAsia="宋体"/>
          <w:b w:val="0"/>
          <w:sz w:val="24"/>
          <w:szCs w:val="24"/>
        </w:rPr>
      </w:pPr>
      <w:r>
        <w:rPr>
          <w:rFonts w:hint="eastAsia" w:ascii="Times New Roman" w:hAnsi="Times New Roman" w:eastAsia="宋体"/>
          <w:b w:val="0"/>
          <w:sz w:val="21"/>
          <w:szCs w:val="21"/>
        </w:rPr>
        <w:t>●评分标准</w:t>
      </w:r>
      <w:bookmarkEnd w:id="35"/>
      <w:bookmarkEnd w:id="36"/>
      <w:bookmarkEnd w:id="37"/>
      <w:bookmarkEnd w:id="38"/>
      <w:bookmarkEnd w:id="39"/>
      <w:bookmarkEnd w:id="40"/>
      <w:bookmarkEnd w:id="41"/>
      <w:bookmarkEnd w:id="42"/>
      <w:bookmarkStart w:id="47" w:name="_Toc157022442"/>
      <w:bookmarkStart w:id="48" w:name="_Toc146800983"/>
      <w:bookmarkStart w:id="49" w:name="_Toc263083257"/>
    </w:p>
    <w:p/>
    <w:p>
      <w:pPr>
        <w:spacing w:line="360" w:lineRule="auto"/>
        <w:contextualSpacing/>
        <w:jc w:val="center"/>
        <w:rPr>
          <w:rFonts w:hint="eastAsia"/>
          <w:b/>
          <w:sz w:val="30"/>
          <w:szCs w:val="30"/>
        </w:rPr>
      </w:pPr>
      <w:r>
        <w:rPr>
          <w:b/>
          <w:sz w:val="30"/>
          <w:szCs w:val="30"/>
        </w:rPr>
        <w:br w:type="page"/>
      </w:r>
      <w:r>
        <w:rPr>
          <w:rFonts w:hint="eastAsia"/>
          <w:b/>
          <w:sz w:val="30"/>
          <w:szCs w:val="30"/>
        </w:rPr>
        <w:t>评分标准</w:t>
      </w:r>
    </w:p>
    <w:tbl>
      <w:tblPr>
        <w:tblStyle w:val="50"/>
        <w:tblW w:w="9881"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558"/>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8" w:hRule="atLeast"/>
        </w:trPr>
        <w:tc>
          <w:tcPr>
            <w:tcW w:w="1055" w:type="dxa"/>
            <w:noWrap w:val="0"/>
            <w:vAlign w:val="center"/>
          </w:tcPr>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项目</w:t>
            </w:r>
          </w:p>
        </w:tc>
        <w:tc>
          <w:tcPr>
            <w:tcW w:w="8826" w:type="dxa"/>
            <w:gridSpan w:val="2"/>
            <w:noWrap w:val="0"/>
            <w:vAlign w:val="center"/>
          </w:tcPr>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5" w:hRule="atLeast"/>
        </w:trPr>
        <w:tc>
          <w:tcPr>
            <w:tcW w:w="1055" w:type="dxa"/>
            <w:noWrap w:val="0"/>
            <w:vAlign w:val="center"/>
          </w:tcPr>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价</w:t>
            </w:r>
          </w:p>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格</w:t>
            </w:r>
          </w:p>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分</w:t>
            </w:r>
          </w:p>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10</w:t>
            </w:r>
          </w:p>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分</w:t>
            </w:r>
          </w:p>
        </w:tc>
        <w:tc>
          <w:tcPr>
            <w:tcW w:w="8826" w:type="dxa"/>
            <w:gridSpan w:val="2"/>
            <w:noWrap w:val="0"/>
            <w:vAlign w:val="center"/>
          </w:tcPr>
          <w:p>
            <w:pPr>
              <w:spacing w:line="300" w:lineRule="exact"/>
              <w:contextualSpacing/>
              <w:rPr>
                <w:rFonts w:ascii="Times New Roman" w:hAnsi="Times New Roman"/>
                <w:szCs w:val="21"/>
              </w:rPr>
            </w:pPr>
            <w:r>
              <w:rPr>
                <w:rFonts w:hint="eastAsia" w:ascii="Times New Roman" w:hAnsi="Times New Roman"/>
                <w:szCs w:val="21"/>
              </w:rPr>
              <w:t>评标基准价=满足采购文件要求的参与评审价格最低价。</w:t>
            </w:r>
          </w:p>
          <w:p>
            <w:pPr>
              <w:spacing w:line="300" w:lineRule="exact"/>
              <w:contextualSpacing/>
              <w:rPr>
                <w:rFonts w:ascii="Times New Roman" w:hAnsi="Times New Roman"/>
                <w:szCs w:val="21"/>
              </w:rPr>
            </w:pPr>
            <w:r>
              <w:rPr>
                <w:rFonts w:hint="eastAsia" w:ascii="Times New Roman" w:hAnsi="Times New Roman"/>
                <w:szCs w:val="21"/>
              </w:rPr>
              <w:t>基准价得分10分。</w:t>
            </w:r>
          </w:p>
          <w:p>
            <w:pPr>
              <w:spacing w:line="300" w:lineRule="exact"/>
              <w:contextualSpacing/>
              <w:rPr>
                <w:rFonts w:ascii="Times New Roman" w:hAnsi="Times New Roman"/>
                <w:szCs w:val="21"/>
              </w:rPr>
            </w:pPr>
            <w:r>
              <w:rPr>
                <w:rFonts w:hint="eastAsia" w:ascii="Times New Roman" w:hAnsi="Times New Roman"/>
                <w:szCs w:val="21"/>
              </w:rPr>
              <w:t>参与评审价格=投标报价-小微企业（包含监狱企业）价格扣除优惠值（如有）</w:t>
            </w:r>
          </w:p>
          <w:p>
            <w:pPr>
              <w:spacing w:line="300" w:lineRule="exact"/>
              <w:contextualSpacing/>
              <w:rPr>
                <w:rFonts w:ascii="Times New Roman" w:hAnsi="Times New Roman"/>
                <w:szCs w:val="21"/>
              </w:rPr>
            </w:pPr>
            <w:r>
              <w:rPr>
                <w:rFonts w:hint="eastAsia" w:ascii="Times New Roman" w:hAnsi="Times New Roman"/>
                <w:szCs w:val="21"/>
              </w:rPr>
              <w:t>投标报价得分=（评标基准价/参与评审的价格）×10%×100</w:t>
            </w:r>
          </w:p>
          <w:p>
            <w:pPr>
              <w:spacing w:line="300" w:lineRule="exact"/>
              <w:contextualSpacing/>
              <w:rPr>
                <w:rFonts w:hint="eastAsia" w:ascii="Times New Roman" w:hAnsi="Times New Roman"/>
                <w:bCs/>
                <w:szCs w:val="21"/>
              </w:rPr>
            </w:pPr>
            <w:r>
              <w:rPr>
                <w:rFonts w:hint="eastAsia" w:ascii="Times New Roman" w:hAnsi="Times New Roman"/>
                <w:szCs w:val="21"/>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restart"/>
            <w:noWrap w:val="0"/>
            <w:vAlign w:val="center"/>
          </w:tcPr>
          <w:p>
            <w:pPr>
              <w:spacing w:line="300" w:lineRule="exact"/>
              <w:contextualSpacing/>
              <w:jc w:val="center"/>
              <w:rPr>
                <w:rFonts w:ascii="Times New Roman" w:hAnsi="Times New Roman"/>
                <w:szCs w:val="21"/>
              </w:rPr>
            </w:pPr>
            <w:r>
              <w:rPr>
                <w:rFonts w:hint="eastAsia" w:ascii="Times New Roman" w:hAnsi="Times New Roman"/>
                <w:szCs w:val="21"/>
              </w:rPr>
              <w:t>技术商务分</w:t>
            </w:r>
          </w:p>
          <w:p>
            <w:pPr>
              <w:spacing w:line="300" w:lineRule="exact"/>
              <w:contextualSpacing/>
              <w:jc w:val="center"/>
              <w:rPr>
                <w:rFonts w:ascii="Times New Roman" w:hAnsi="Times New Roman"/>
                <w:szCs w:val="21"/>
              </w:rPr>
            </w:pPr>
            <w:r>
              <w:rPr>
                <w:rFonts w:hint="eastAsia" w:ascii="Times New Roman" w:hAnsi="Times New Roman"/>
                <w:szCs w:val="21"/>
              </w:rPr>
              <w:t>90</w:t>
            </w:r>
            <w:r>
              <w:rPr>
                <w:rFonts w:ascii="Times New Roman" w:hAnsi="Times New Roman"/>
                <w:szCs w:val="21"/>
              </w:rPr>
              <w:t>分</w:t>
            </w:r>
          </w:p>
        </w:tc>
        <w:tc>
          <w:tcPr>
            <w:tcW w:w="1558" w:type="dxa"/>
            <w:vMerge w:val="restart"/>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项目实施方案</w:t>
            </w:r>
          </w:p>
          <w:p>
            <w:pPr>
              <w:spacing w:line="300" w:lineRule="exact"/>
              <w:contextualSpacing/>
              <w:jc w:val="center"/>
              <w:rPr>
                <w:rFonts w:ascii="Times New Roman" w:hAnsi="Times New Roman"/>
                <w:szCs w:val="21"/>
              </w:rPr>
            </w:pPr>
            <w:r>
              <w:rPr>
                <w:rFonts w:hint="eastAsia" w:ascii="Times New Roman" w:hAnsi="Times New Roman"/>
                <w:szCs w:val="21"/>
              </w:rPr>
              <w:t>（</w:t>
            </w:r>
            <w:r>
              <w:rPr>
                <w:rFonts w:ascii="Times New Roman" w:hAnsi="Times New Roman"/>
                <w:szCs w:val="21"/>
              </w:rPr>
              <w:t>40</w:t>
            </w:r>
            <w:r>
              <w:rPr>
                <w:rFonts w:hint="eastAsia" w:ascii="Times New Roman" w:hAnsi="Times New Roman"/>
                <w:szCs w:val="21"/>
              </w:rPr>
              <w:t>分）</w:t>
            </w:r>
          </w:p>
        </w:tc>
        <w:tc>
          <w:tcPr>
            <w:tcW w:w="7268" w:type="dxa"/>
            <w:noWrap w:val="0"/>
            <w:vAlign w:val="center"/>
          </w:tcPr>
          <w:p>
            <w:pPr>
              <w:snapToGrid w:val="0"/>
              <w:spacing w:line="300" w:lineRule="exact"/>
              <w:contextualSpacing/>
              <w:rPr>
                <w:rFonts w:hint="eastAsia" w:ascii="Times New Roman" w:hAnsi="Times New Roman"/>
                <w:szCs w:val="21"/>
              </w:rPr>
            </w:pPr>
            <w:r>
              <w:rPr>
                <w:rFonts w:hint="eastAsia" w:ascii="Times New Roman" w:hAnsi="Times New Roman"/>
                <w:szCs w:val="21"/>
              </w:rPr>
              <w:t>1、道路、公路保洁方案（6分）：</w:t>
            </w:r>
          </w:p>
          <w:p>
            <w:pPr>
              <w:snapToGrid w:val="0"/>
              <w:spacing w:line="300" w:lineRule="exact"/>
              <w:contextualSpacing/>
              <w:rPr>
                <w:rFonts w:hint="eastAsia" w:ascii="Times New Roman" w:hAnsi="Times New Roman"/>
                <w:szCs w:val="21"/>
              </w:rPr>
            </w:pPr>
            <w:r>
              <w:rPr>
                <w:rFonts w:hint="eastAsia" w:ascii="Times New Roman" w:hAnsi="Times New Roman"/>
                <w:szCs w:val="21"/>
              </w:rPr>
              <w:t>1.1本项目道路、公路特性分析：3分；</w:t>
            </w:r>
          </w:p>
          <w:p>
            <w:pPr>
              <w:snapToGrid w:val="0"/>
              <w:spacing w:line="300" w:lineRule="exact"/>
              <w:contextualSpacing/>
              <w:rPr>
                <w:rFonts w:ascii="Times New Roman" w:hAnsi="Times New Roman"/>
                <w:szCs w:val="21"/>
              </w:rPr>
            </w:pPr>
            <w:r>
              <w:rPr>
                <w:rFonts w:hint="eastAsia" w:ascii="Times New Roman" w:hAnsi="Times New Roman"/>
                <w:szCs w:val="21"/>
              </w:rPr>
              <w:t>1.2针对上述特性制定的作业人员（清扫、巡检、垃圾收运）与机械作业的优化配置方案：3分。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2、重难点区域的保洁方案：</w:t>
            </w:r>
            <w:r>
              <w:rPr>
                <w:rFonts w:ascii="Times New Roman" w:hAnsi="Times New Roman"/>
                <w:szCs w:val="21"/>
              </w:rPr>
              <w:t>5</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3、果壳箱和垃圾桶保洁方案：</w:t>
            </w:r>
            <w:r>
              <w:rPr>
                <w:rFonts w:ascii="Times New Roman" w:hAnsi="Times New Roman"/>
                <w:szCs w:val="21"/>
              </w:rPr>
              <w:t>5</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4、公厕保洁和化粪池清理方案：</w:t>
            </w:r>
            <w:r>
              <w:rPr>
                <w:rFonts w:ascii="Times New Roman" w:hAnsi="Times New Roman"/>
                <w:szCs w:val="21"/>
              </w:rPr>
              <w:t>5</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5、垃圾清运及中转站保洁管理方案（5分）：</w:t>
            </w:r>
          </w:p>
          <w:p>
            <w:pPr>
              <w:spacing w:line="300" w:lineRule="exact"/>
              <w:contextualSpacing/>
              <w:rPr>
                <w:rFonts w:hint="eastAsia" w:ascii="Times New Roman" w:hAnsi="Times New Roman"/>
                <w:szCs w:val="21"/>
              </w:rPr>
            </w:pPr>
            <w:r>
              <w:rPr>
                <w:rFonts w:hint="eastAsia" w:ascii="Times New Roman" w:hAnsi="Times New Roman"/>
                <w:szCs w:val="21"/>
              </w:rPr>
              <w:t>5.1垃圾清运方案：3分；</w:t>
            </w:r>
          </w:p>
          <w:p>
            <w:pPr>
              <w:spacing w:line="300" w:lineRule="exact"/>
              <w:contextualSpacing/>
              <w:rPr>
                <w:rFonts w:hint="eastAsia" w:ascii="Times New Roman" w:hAnsi="Times New Roman"/>
                <w:szCs w:val="21"/>
              </w:rPr>
            </w:pPr>
            <w:r>
              <w:rPr>
                <w:rFonts w:hint="eastAsia" w:ascii="Times New Roman" w:hAnsi="Times New Roman"/>
                <w:szCs w:val="21"/>
              </w:rPr>
              <w:t>5.2中转站保洁管理方案：2分。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6、国道</w:t>
            </w:r>
            <w:r>
              <w:rPr>
                <w:rFonts w:hint="eastAsia" w:ascii="Times New Roman" w:hAnsi="Times New Roman"/>
                <w:bCs/>
                <w:szCs w:val="21"/>
              </w:rPr>
              <w:t>沿线两边店铺垃圾收集实施方案：3分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7、绿化养护方案：</w:t>
            </w:r>
            <w:r>
              <w:rPr>
                <w:rFonts w:ascii="Times New Roman" w:hAnsi="Times New Roman"/>
                <w:szCs w:val="21"/>
              </w:rPr>
              <w:t>5</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8、服务质量保障措施：3分。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9、服务响应承诺：</w:t>
            </w:r>
            <w:r>
              <w:rPr>
                <w:rFonts w:ascii="Times New Roman" w:hAnsi="Times New Roman"/>
                <w:szCs w:val="21"/>
              </w:rPr>
              <w:t>3</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7"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特殊时期的应急保障措施（5分）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评委根据投标人提供的针对</w:t>
            </w:r>
            <w:r>
              <w:rPr>
                <w:rFonts w:ascii="Times New Roman" w:hAnsi="Times New Roman"/>
                <w:szCs w:val="21"/>
              </w:rPr>
              <w:t>大型活动、节庆假日、防台防汛期间</w:t>
            </w:r>
            <w:r>
              <w:rPr>
                <w:rFonts w:hint="eastAsia" w:ascii="Times New Roman" w:hAnsi="Times New Roman"/>
                <w:szCs w:val="21"/>
              </w:rPr>
              <w:t>、创优评优和突击检查等特殊时期</w:t>
            </w:r>
            <w:r>
              <w:rPr>
                <w:rFonts w:ascii="Times New Roman" w:hAnsi="Times New Roman"/>
                <w:szCs w:val="21"/>
              </w:rPr>
              <w:t>的应急保障措施</w:t>
            </w:r>
            <w:r>
              <w:rPr>
                <w:rFonts w:hint="eastAsia" w:ascii="Times New Roman" w:hAnsi="Times New Roman"/>
                <w:szCs w:val="21"/>
              </w:rPr>
              <w:t>进行评比：5分。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restart"/>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拟投入的人员配备及管理</w:t>
            </w:r>
          </w:p>
          <w:p>
            <w:pPr>
              <w:spacing w:line="300" w:lineRule="exact"/>
              <w:contextualSpacing/>
              <w:jc w:val="center"/>
              <w:rPr>
                <w:rFonts w:hint="eastAsia" w:ascii="Times New Roman" w:hAnsi="Times New Roman"/>
                <w:szCs w:val="21"/>
              </w:rPr>
            </w:pPr>
            <w:r>
              <w:rPr>
                <w:rFonts w:hint="eastAsia" w:ascii="Times New Roman" w:hAnsi="Times New Roman"/>
                <w:szCs w:val="21"/>
              </w:rPr>
              <w:t>（8分）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评委根据投标人提供的道路、公路保洁人员、果壳箱和垃圾桶清理人员、公厕保洁人员、垃圾清运保洁人员和操作工、绿化养护人员、驾驶员等拟投入人员的配置数量的合理性进行评比：4分。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评委根据投标人提供的针对本项目的人员管理方案，如人员考核方案、</w:t>
            </w:r>
            <w:r>
              <w:rPr>
                <w:rFonts w:hint="eastAsia" w:ascii="Times New Roman" w:hAnsi="Times New Roman"/>
                <w:bCs/>
                <w:szCs w:val="21"/>
              </w:rPr>
              <w:t>合同执行期间的</w:t>
            </w:r>
            <w:r>
              <w:rPr>
                <w:rFonts w:hint="eastAsia" w:ascii="Times New Roman" w:hAnsi="Times New Roman"/>
                <w:szCs w:val="21"/>
              </w:rPr>
              <w:t>人员数量保障方案、人员安全保障措施、人员管理规范等进行评比：4分。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车辆、设备管理方案</w:t>
            </w:r>
          </w:p>
          <w:p>
            <w:pPr>
              <w:spacing w:line="300" w:lineRule="exact"/>
              <w:contextualSpacing/>
              <w:jc w:val="center"/>
              <w:rPr>
                <w:rFonts w:hint="eastAsia" w:ascii="Times New Roman" w:hAnsi="Times New Roman"/>
                <w:szCs w:val="21"/>
              </w:rPr>
            </w:pPr>
            <w:r>
              <w:rPr>
                <w:rFonts w:hint="eastAsia" w:ascii="Times New Roman" w:hAnsi="Times New Roman"/>
                <w:szCs w:val="21"/>
              </w:rPr>
              <w:t>（4分）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评委根据投标人提供的车辆、设备运行管理方案以及机械化运用方案（车辆、设备的投入、使用，运营路线的合理化设置，收运体系的优化契合等）进行评议：4分。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各类耗材使用方案</w:t>
            </w:r>
          </w:p>
          <w:p>
            <w:pPr>
              <w:spacing w:line="300" w:lineRule="exact"/>
              <w:contextualSpacing/>
              <w:jc w:val="center"/>
              <w:rPr>
                <w:rFonts w:hint="eastAsia" w:ascii="Times New Roman" w:hAnsi="Times New Roman"/>
                <w:szCs w:val="21"/>
              </w:rPr>
            </w:pPr>
            <w:r>
              <w:rPr>
                <w:rFonts w:hint="eastAsia" w:ascii="Times New Roman" w:hAnsi="Times New Roman"/>
                <w:szCs w:val="21"/>
              </w:rPr>
              <w:t>（3分）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评委根据投标人提供的各类耗材使用方案进行评比：3分。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企业管理制度</w:t>
            </w:r>
          </w:p>
          <w:p>
            <w:pPr>
              <w:spacing w:line="300" w:lineRule="exact"/>
              <w:contextualSpacing/>
              <w:jc w:val="center"/>
              <w:rPr>
                <w:rFonts w:hint="eastAsia" w:ascii="Times New Roman" w:hAnsi="Times New Roman"/>
                <w:szCs w:val="21"/>
              </w:rPr>
            </w:pPr>
            <w:r>
              <w:rPr>
                <w:rFonts w:hint="eastAsia" w:ascii="Times New Roman" w:hAnsi="Times New Roman"/>
                <w:szCs w:val="21"/>
              </w:rPr>
              <w:t>（2分）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评委根据投标人提供的企业内部管理制度，如人事管理制度、考核制度、道路保洁管理制度等进行评比：2分。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人员培训方案</w:t>
            </w:r>
          </w:p>
          <w:p>
            <w:pPr>
              <w:spacing w:line="300" w:lineRule="exact"/>
              <w:contextualSpacing/>
              <w:jc w:val="center"/>
              <w:rPr>
                <w:rFonts w:hint="eastAsia" w:ascii="Times New Roman" w:hAnsi="Times New Roman"/>
                <w:szCs w:val="21"/>
              </w:rPr>
            </w:pPr>
            <w:r>
              <w:rPr>
                <w:rFonts w:hint="eastAsia" w:ascii="Times New Roman" w:hAnsi="Times New Roman"/>
                <w:szCs w:val="21"/>
              </w:rPr>
              <w:t>（3分）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评委根据投标人提供的人员培训方案（含作业人员、管理人员的培训）进行评比：3分。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ascii="Times New Roman" w:hAnsi="Times New Roman"/>
                <w:szCs w:val="21"/>
              </w:rPr>
              <w:t>合理化建议</w:t>
            </w:r>
          </w:p>
          <w:p>
            <w:pPr>
              <w:spacing w:line="300" w:lineRule="exact"/>
              <w:contextualSpacing/>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分）</w:t>
            </w:r>
          </w:p>
        </w:tc>
        <w:tc>
          <w:tcPr>
            <w:tcW w:w="7268" w:type="dxa"/>
            <w:noWrap w:val="0"/>
            <w:vAlign w:val="center"/>
          </w:tcPr>
          <w:p>
            <w:pPr>
              <w:spacing w:line="300" w:lineRule="exact"/>
              <w:contextualSpacing/>
              <w:rPr>
                <w:rFonts w:hint="eastAsia" w:ascii="Times New Roman" w:hAnsi="Times New Roman"/>
                <w:szCs w:val="21"/>
              </w:rPr>
            </w:pPr>
            <w:r>
              <w:rPr>
                <w:rFonts w:ascii="Times New Roman" w:hAnsi="Times New Roman"/>
                <w:szCs w:val="21"/>
              </w:rPr>
              <w:t>评委根据投标人</w:t>
            </w:r>
            <w:r>
              <w:rPr>
                <w:rFonts w:hint="eastAsia" w:ascii="Times New Roman" w:hAnsi="Times New Roman"/>
                <w:szCs w:val="21"/>
              </w:rPr>
              <w:t>提出</w:t>
            </w:r>
            <w:r>
              <w:rPr>
                <w:rFonts w:ascii="Times New Roman" w:hAnsi="Times New Roman"/>
                <w:szCs w:val="21"/>
              </w:rPr>
              <w:t>的针对本项目的合理化建议进行评比</w:t>
            </w:r>
            <w:r>
              <w:rPr>
                <w:rFonts w:hint="eastAsia" w:ascii="Times New Roman" w:hAnsi="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服务便捷性</w:t>
            </w:r>
          </w:p>
          <w:p>
            <w:pPr>
              <w:spacing w:line="300" w:lineRule="exact"/>
              <w:contextualSpacing/>
              <w:jc w:val="center"/>
              <w:rPr>
                <w:rFonts w:ascii="Times New Roman" w:hAnsi="Times New Roman"/>
                <w:szCs w:val="21"/>
              </w:rPr>
            </w:pPr>
            <w:r>
              <w:rPr>
                <w:rFonts w:hint="eastAsia" w:ascii="Times New Roman" w:hAnsi="Times New Roman"/>
                <w:szCs w:val="21"/>
              </w:rPr>
              <w:t>（5分）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cs="宋体"/>
                <w:szCs w:val="21"/>
              </w:rPr>
              <w:t>由评委对投标人针对本项目的服务场所的便捷性、响应性进行评议：5分。</w:t>
            </w:r>
          </w:p>
          <w:p>
            <w:pPr>
              <w:spacing w:line="300" w:lineRule="exact"/>
              <w:contextualSpacing/>
              <w:rPr>
                <w:rFonts w:ascii="Times New Roman" w:hAnsi="Times New Roman"/>
                <w:szCs w:val="21"/>
              </w:rPr>
            </w:pPr>
            <w:r>
              <w:rPr>
                <w:rFonts w:hint="eastAsia" w:ascii="Times New Roman" w:hAnsi="Times New Roman"/>
                <w:szCs w:val="21"/>
              </w:rPr>
              <w:t>注：投标文件中提供服务场所的实景照片及说明服务场所位置，如自有的提供房产证复印件，租赁的提供租赁协议复印件，原件备查。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管理体系认证（3分）</w:t>
            </w:r>
          </w:p>
        </w:tc>
        <w:tc>
          <w:tcPr>
            <w:tcW w:w="7268" w:type="dxa"/>
            <w:noWrap w:val="0"/>
            <w:vAlign w:val="center"/>
          </w:tcPr>
          <w:p>
            <w:pPr>
              <w:spacing w:line="300" w:lineRule="exact"/>
              <w:contextualSpacing/>
              <w:rPr>
                <w:rFonts w:ascii="Times New Roman" w:hAnsi="Times New Roman" w:cs="宋体"/>
                <w:szCs w:val="21"/>
              </w:rPr>
            </w:pPr>
            <w:r>
              <w:rPr>
                <w:rFonts w:hint="eastAsia" w:ascii="Times New Roman" w:hAnsi="Times New Roman" w:cs="宋体"/>
                <w:szCs w:val="21"/>
              </w:rPr>
              <w:t>投标人具有有效的环境管理体系认证证书、质量管理体系认证证书、职业健康安全管理体系认证证书的，每提供一个得1分，最高得3分。</w:t>
            </w:r>
          </w:p>
          <w:p>
            <w:pPr>
              <w:spacing w:line="300" w:lineRule="exact"/>
              <w:contextualSpacing/>
              <w:rPr>
                <w:rFonts w:hint="eastAsia" w:ascii="Times New Roman" w:hAnsi="Times New Roman" w:cs="宋体"/>
                <w:szCs w:val="21"/>
              </w:rPr>
            </w:pPr>
            <w:r>
              <w:rPr>
                <w:rFonts w:hint="eastAsia" w:ascii="Times New Roman" w:hAnsi="Times New Roman" w:cs="宋体"/>
                <w:szCs w:val="21"/>
              </w:rPr>
              <w:t>注：有效管理体系认证证书复印件编入投标文件，原件备查。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业绩情况（1分）</w:t>
            </w:r>
          </w:p>
        </w:tc>
        <w:tc>
          <w:tcPr>
            <w:tcW w:w="7268" w:type="dxa"/>
            <w:noWrap w:val="0"/>
            <w:vAlign w:val="center"/>
          </w:tcPr>
          <w:p>
            <w:pPr>
              <w:autoSpaceDE w:val="0"/>
              <w:autoSpaceDN w:val="0"/>
              <w:adjustRightInd w:val="0"/>
              <w:snapToGrid w:val="0"/>
              <w:spacing w:line="300" w:lineRule="exact"/>
              <w:contextualSpacing/>
              <w:rPr>
                <w:rFonts w:ascii="Times New Roman" w:hAnsi="Times New Roman"/>
                <w:szCs w:val="21"/>
              </w:rPr>
            </w:pPr>
            <w:r>
              <w:rPr>
                <w:rFonts w:hint="eastAsia" w:ascii="Times New Roman" w:hAnsi="Times New Roman"/>
                <w:szCs w:val="21"/>
              </w:rPr>
              <w:t>自2020年1月1日以来，投标人在具有类似项目（合同内容至少包含道路或公园保洁、绿地养护任一项内容）业绩的，每提供一个得0.5分，最高得1分。</w:t>
            </w:r>
          </w:p>
          <w:p>
            <w:pPr>
              <w:autoSpaceDE w:val="0"/>
              <w:autoSpaceDN w:val="0"/>
              <w:adjustRightInd w:val="0"/>
              <w:snapToGrid w:val="0"/>
              <w:spacing w:line="300" w:lineRule="exact"/>
              <w:contextualSpacing/>
              <w:rPr>
                <w:rFonts w:hint="eastAsia" w:ascii="Times New Roman" w:hAnsi="Times New Roman" w:cs="FangSong_GB2312,Bold"/>
                <w:bCs/>
              </w:rPr>
            </w:pPr>
            <w:r>
              <w:rPr>
                <w:rFonts w:hint="eastAsia" w:ascii="Times New Roman" w:hAnsi="Times New Roman"/>
                <w:szCs w:val="21"/>
              </w:rPr>
              <w:t>注</w:t>
            </w:r>
            <w:r>
              <w:rPr>
                <w:rFonts w:ascii="Times New Roman" w:hAnsi="Times New Roman"/>
                <w:szCs w:val="21"/>
              </w:rPr>
              <w:t>：</w:t>
            </w:r>
            <w:r>
              <w:rPr>
                <w:rFonts w:hint="eastAsia" w:ascii="Times New Roman" w:hAnsi="Times New Roman"/>
                <w:szCs w:val="21"/>
              </w:rPr>
              <w:t>投标文件中提供合同复印件，原件备查；要求合同签订时间在2020年1月1日以来，否则业绩不予认可；如合同签署内容不清导致评委会无法认定的，不予计分。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7" w:hRule="atLeast"/>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rPr>
                <w:rFonts w:hint="eastAsia" w:ascii="Times New Roman" w:hAnsi="Times New Roman"/>
                <w:szCs w:val="21"/>
              </w:rPr>
            </w:pPr>
            <w:r>
              <w:rPr>
                <w:rFonts w:hint="eastAsia" w:ascii="Times New Roman" w:hAnsi="Times New Roman" w:cs="宋体"/>
                <w:kern w:val="0"/>
                <w:szCs w:val="21"/>
              </w:rPr>
              <w:t>智慧环卫管控系统建设及演示（8分）</w:t>
            </w:r>
          </w:p>
        </w:tc>
        <w:tc>
          <w:tcPr>
            <w:tcW w:w="7268"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1、 投标人已具有</w:t>
            </w:r>
            <w:r>
              <w:rPr>
                <w:rFonts w:hint="eastAsia" w:ascii="Times New Roman" w:hAnsi="Times New Roman" w:cs="宋体"/>
                <w:kern w:val="0"/>
                <w:szCs w:val="21"/>
              </w:rPr>
              <w:t>智慧环卫管控系统</w:t>
            </w:r>
            <w:r>
              <w:rPr>
                <w:rFonts w:hint="eastAsia" w:ascii="Times New Roman" w:hAnsi="Times New Roman"/>
                <w:szCs w:val="21"/>
              </w:rPr>
              <w:t>且具有该系统的国家版权局颁发的计算机软件著作权的得3 分；投标人已建立智慧管理平台但未取得相应计算机软件著作权的得1 分。投标文件中提供平台软件著作权证书复印件（如有），或平台系统功能阐述及截图。</w:t>
            </w:r>
          </w:p>
          <w:p>
            <w:pPr>
              <w:spacing w:line="300" w:lineRule="exact"/>
              <w:contextualSpacing/>
              <w:rPr>
                <w:rFonts w:hint="eastAsia"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智慧环卫管控系统演示（5分）：</w:t>
            </w:r>
          </w:p>
          <w:p>
            <w:pPr>
              <w:spacing w:line="300" w:lineRule="exact"/>
              <w:contextualSpacing/>
              <w:rPr>
                <w:rFonts w:hint="eastAsia" w:ascii="Times New Roman" w:hAnsi="Times New Roman"/>
                <w:szCs w:val="21"/>
              </w:rPr>
            </w:pPr>
            <w:r>
              <w:rPr>
                <w:rFonts w:hint="eastAsia" w:ascii="Times New Roman" w:hAnsi="Times New Roman"/>
                <w:szCs w:val="21"/>
              </w:rPr>
              <w:t>投标人就拟投入本项目使用的智慧环卫管控系统或系统原型进行现场演示，评委根据演示过程中系统实现项目所需功能的情况进行评审。未提供现场演示或提供仅提供PPT等文本形式内容的本项不得分。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trPr>
        <w:tc>
          <w:tcPr>
            <w:tcW w:w="1055" w:type="dxa"/>
            <w:vMerge w:val="continue"/>
            <w:noWrap w:val="0"/>
            <w:vAlign w:val="top"/>
          </w:tcPr>
          <w:p>
            <w:pPr>
              <w:spacing w:line="300" w:lineRule="exact"/>
              <w:contextualSpacing/>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现场答辩（</w:t>
            </w:r>
            <w:r>
              <w:rPr>
                <w:rFonts w:ascii="Times New Roman" w:hAnsi="Times New Roman"/>
                <w:szCs w:val="21"/>
              </w:rPr>
              <w:t>5</w:t>
            </w:r>
            <w:r>
              <w:rPr>
                <w:rFonts w:hint="eastAsia" w:ascii="Times New Roman" w:hAnsi="Times New Roman"/>
                <w:szCs w:val="21"/>
              </w:rPr>
              <w:t>分）</w:t>
            </w:r>
          </w:p>
        </w:tc>
        <w:tc>
          <w:tcPr>
            <w:tcW w:w="7268" w:type="dxa"/>
            <w:noWrap w:val="0"/>
            <w:vAlign w:val="center"/>
          </w:tcPr>
          <w:p>
            <w:pPr>
              <w:autoSpaceDE w:val="0"/>
              <w:autoSpaceDN w:val="0"/>
              <w:adjustRightInd w:val="0"/>
              <w:spacing w:line="300" w:lineRule="exact"/>
              <w:contextualSpacing/>
              <w:rPr>
                <w:rFonts w:hint="eastAsia" w:ascii="Times New Roman" w:hAnsi="Times New Roman"/>
                <w:szCs w:val="21"/>
              </w:rPr>
            </w:pPr>
            <w:r>
              <w:rPr>
                <w:rFonts w:hint="eastAsia" w:ascii="Times New Roman" w:hAnsi="Times New Roman"/>
                <w:szCs w:val="21"/>
              </w:rPr>
              <w:t>评委</w:t>
            </w:r>
            <w:r>
              <w:rPr>
                <w:rFonts w:hint="eastAsia" w:ascii="Times New Roman" w:hAnsi="Times New Roman" w:cs="宋体"/>
                <w:kern w:val="1"/>
                <w:szCs w:val="21"/>
              </w:rPr>
              <w:t>针对项目的实际情况，对投标人答辩人员（至少包含项目经理）随机提问，根据</w:t>
            </w:r>
            <w:r>
              <w:rPr>
                <w:rFonts w:hint="eastAsia" w:ascii="Times New Roman" w:hAnsi="Times New Roman"/>
                <w:szCs w:val="21"/>
              </w:rPr>
              <w:t>投标人对于需明晰问题及一些专业问题的解答情况进行评审。（5分）</w:t>
            </w:r>
          </w:p>
          <w:p>
            <w:pPr>
              <w:spacing w:line="300" w:lineRule="exact"/>
              <w:contextualSpacing/>
              <w:rPr>
                <w:rFonts w:hint="eastAsia" w:ascii="Times New Roman" w:hAnsi="Times New Roman"/>
                <w:szCs w:val="21"/>
              </w:rPr>
            </w:pPr>
            <w:r>
              <w:rPr>
                <w:rFonts w:hint="eastAsia" w:ascii="Times New Roman" w:hAnsi="Times New Roman"/>
                <w:szCs w:val="21"/>
              </w:rPr>
              <w:t>（说明：项目经理须提供身份证原件供核对。未派人员参与答辩或项目经理未参与答辩的本项不得分）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trPr>
        <w:tc>
          <w:tcPr>
            <w:tcW w:w="1055" w:type="dxa"/>
            <w:vMerge w:val="continue"/>
            <w:noWrap w:val="0"/>
            <w:vAlign w:val="top"/>
          </w:tcPr>
          <w:p>
            <w:pPr>
              <w:spacing w:line="300" w:lineRule="exact"/>
              <w:contextualSpacing/>
              <w:rPr>
                <w:rFonts w:ascii="Times New Roman" w:hAnsi="Times New Roman"/>
                <w:szCs w:val="21"/>
              </w:rPr>
            </w:pPr>
          </w:p>
        </w:tc>
        <w:tc>
          <w:tcPr>
            <w:tcW w:w="1558" w:type="dxa"/>
            <w:noWrap w:val="0"/>
            <w:vAlign w:val="center"/>
          </w:tcPr>
          <w:p>
            <w:pPr>
              <w:adjustRightInd w:val="0"/>
              <w:spacing w:line="300" w:lineRule="exact"/>
              <w:contextualSpacing/>
              <w:jc w:val="center"/>
              <w:textAlignment w:val="baseline"/>
              <w:rPr>
                <w:rFonts w:ascii="Times New Roman" w:hAnsi="Times New Roman"/>
                <w:kern w:val="0"/>
                <w:szCs w:val="21"/>
              </w:rPr>
            </w:pPr>
            <w:r>
              <w:rPr>
                <w:rFonts w:hint="eastAsia" w:ascii="Times New Roman" w:hAnsi="Times New Roman"/>
                <w:bCs/>
                <w:szCs w:val="21"/>
              </w:rPr>
              <w:t>政府采购政策（1分）</w:t>
            </w:r>
          </w:p>
        </w:tc>
        <w:tc>
          <w:tcPr>
            <w:tcW w:w="7268" w:type="dxa"/>
            <w:noWrap w:val="0"/>
            <w:vAlign w:val="center"/>
          </w:tcPr>
          <w:p>
            <w:pPr>
              <w:spacing w:line="300" w:lineRule="exact"/>
              <w:contextualSpacing/>
              <w:jc w:val="left"/>
              <w:rPr>
                <w:rFonts w:ascii="Times New Roman" w:hAnsi="Times New Roman"/>
                <w:szCs w:val="21"/>
              </w:rPr>
            </w:pPr>
            <w:r>
              <w:rPr>
                <w:rFonts w:hint="eastAsia" w:ascii="Times New Roman" w:hAnsi="Times New Roman"/>
                <w:szCs w:val="21"/>
              </w:rPr>
              <w:t>投标人是国家认定的不发达地区或少数民族地区企业的得1分。</w:t>
            </w:r>
          </w:p>
        </w:tc>
      </w:tr>
    </w:tbl>
    <w:p>
      <w:pPr>
        <w:spacing w:before="120" w:beforeLines="50" w:line="340" w:lineRule="exact"/>
        <w:ind w:right="-210" w:rightChars="-100"/>
        <w:contextualSpacing/>
        <w:rPr>
          <w:b/>
          <w:sz w:val="18"/>
          <w:szCs w:val="18"/>
        </w:rPr>
        <w:sectPr>
          <w:pgSz w:w="11907" w:h="16840"/>
          <w:pgMar w:top="1400" w:right="1418" w:bottom="1089" w:left="1418" w:header="425" w:footer="709" w:gutter="0"/>
          <w:cols w:space="720" w:num="1"/>
          <w:docGrid w:linePitch="285" w:charSpace="0"/>
        </w:sectPr>
      </w:pPr>
      <w:r>
        <w:rPr>
          <w:rFonts w:hint="eastAsia"/>
          <w:b/>
          <w:sz w:val="18"/>
          <w:szCs w:val="18"/>
        </w:rPr>
        <w:t>投标人应提供真实有效的相关证明，采购人有权利调查其真实性，若提供的相关证明存在造假情况，将取消中标资格。</w:t>
      </w:r>
    </w:p>
    <w:p>
      <w:pPr>
        <w:pStyle w:val="46"/>
        <w:rPr>
          <w:rFonts w:ascii="Times New Roman" w:hAnsi="Times New Roman"/>
        </w:rPr>
      </w:pPr>
      <w:bookmarkStart w:id="50" w:name="_Toc96720896"/>
      <w:bookmarkStart w:id="51" w:name="_Toc89855395"/>
      <w:r>
        <w:rPr>
          <w:rFonts w:hint="eastAsia" w:ascii="Times New Roman" w:hAnsi="Times New Roman"/>
        </w:rPr>
        <w:t>第五部分 采购内容及</w:t>
      </w:r>
      <w:bookmarkEnd w:id="47"/>
      <w:bookmarkEnd w:id="48"/>
      <w:r>
        <w:rPr>
          <w:rFonts w:hint="eastAsia" w:ascii="Times New Roman" w:hAnsi="Times New Roman"/>
        </w:rPr>
        <w:t>要求</w:t>
      </w:r>
      <w:bookmarkEnd w:id="49"/>
      <w:bookmarkEnd w:id="50"/>
      <w:bookmarkEnd w:id="51"/>
      <w:bookmarkStart w:id="52" w:name="_Toc97372533"/>
      <w:bookmarkStart w:id="53" w:name="_Toc29158565"/>
      <w:bookmarkStart w:id="54" w:name="_Toc263083265"/>
    </w:p>
    <w:p>
      <w:pPr>
        <w:pStyle w:val="25"/>
        <w:snapToGrid w:val="0"/>
        <w:spacing w:line="360" w:lineRule="auto"/>
        <w:contextualSpacing/>
        <w:jc w:val="both"/>
        <w:rPr>
          <w:rFonts w:hint="eastAsia" w:ascii="Times New Roman" w:hAnsi="Times New Roman" w:cs="宋体"/>
          <w:b/>
          <w:bCs/>
          <w:sz w:val="21"/>
          <w:szCs w:val="21"/>
        </w:rPr>
      </w:pPr>
    </w:p>
    <w:p>
      <w:pPr>
        <w:spacing w:line="360" w:lineRule="auto"/>
        <w:outlineLvl w:val="1"/>
        <w:rPr>
          <w:rFonts w:hint="eastAsia" w:cs="宋体"/>
          <w:b/>
          <w:szCs w:val="28"/>
        </w:rPr>
      </w:pPr>
      <w:bookmarkStart w:id="55" w:name="_Toc436330181"/>
      <w:bookmarkStart w:id="56" w:name="_Toc20504"/>
      <w:r>
        <w:rPr>
          <w:rFonts w:hint="eastAsia" w:cs="宋体"/>
          <w:b/>
          <w:szCs w:val="28"/>
          <w:lang w:bidi="ar"/>
        </w:rPr>
        <w:t>一、</w:t>
      </w:r>
      <w:bookmarkEnd w:id="55"/>
      <w:r>
        <w:rPr>
          <w:rFonts w:hint="eastAsia" w:cs="宋体"/>
          <w:b/>
          <w:szCs w:val="28"/>
          <w:lang w:bidi="ar"/>
        </w:rPr>
        <w:t>需求表</w:t>
      </w:r>
      <w:bookmarkEnd w:id="56"/>
    </w:p>
    <w:tbl>
      <w:tblPr>
        <w:tblStyle w:val="50"/>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609"/>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tblHeader/>
          <w:jc w:val="center"/>
        </w:trPr>
        <w:tc>
          <w:tcPr>
            <w:tcW w:w="997" w:type="dxa"/>
            <w:noWrap w:val="0"/>
            <w:vAlign w:val="center"/>
          </w:tcPr>
          <w:p>
            <w:pPr>
              <w:spacing w:line="400" w:lineRule="exact"/>
              <w:jc w:val="center"/>
              <w:rPr>
                <w:rFonts w:hint="eastAsia" w:ascii="Times New Roman" w:hAnsi="Times New Roman" w:cs="宋体"/>
                <w:b/>
                <w:szCs w:val="21"/>
              </w:rPr>
            </w:pPr>
            <w:bookmarkStart w:id="57" w:name="_Toc317685547"/>
            <w:bookmarkStart w:id="58" w:name="_Toc304292171"/>
            <w:bookmarkStart w:id="59" w:name="_Toc436330182"/>
            <w:r>
              <w:rPr>
                <w:rFonts w:hint="eastAsia" w:ascii="Times New Roman" w:hAnsi="Times New Roman" w:cs="宋体"/>
                <w:b/>
                <w:szCs w:val="21"/>
              </w:rPr>
              <w:t>序号</w:t>
            </w:r>
          </w:p>
        </w:tc>
        <w:tc>
          <w:tcPr>
            <w:tcW w:w="2609" w:type="dxa"/>
            <w:noWrap w:val="0"/>
            <w:vAlign w:val="center"/>
          </w:tcPr>
          <w:p>
            <w:pPr>
              <w:spacing w:line="400" w:lineRule="exact"/>
              <w:jc w:val="center"/>
              <w:rPr>
                <w:rFonts w:hint="eastAsia" w:ascii="Times New Roman" w:hAnsi="Times New Roman" w:cs="宋体"/>
                <w:b/>
                <w:szCs w:val="21"/>
              </w:rPr>
            </w:pPr>
            <w:r>
              <w:rPr>
                <w:rFonts w:hint="eastAsia" w:ascii="Times New Roman" w:hAnsi="Times New Roman" w:cs="宋体"/>
                <w:b/>
                <w:szCs w:val="21"/>
              </w:rPr>
              <w:t>项目</w:t>
            </w:r>
          </w:p>
        </w:tc>
        <w:tc>
          <w:tcPr>
            <w:tcW w:w="6125" w:type="dxa"/>
            <w:noWrap w:val="0"/>
            <w:vAlign w:val="center"/>
          </w:tcPr>
          <w:p>
            <w:pPr>
              <w:spacing w:line="400" w:lineRule="exact"/>
              <w:jc w:val="center"/>
              <w:rPr>
                <w:rFonts w:hint="eastAsia" w:ascii="Times New Roman" w:hAnsi="Times New Roman" w:cs="宋体"/>
                <w:b/>
                <w:szCs w:val="21"/>
              </w:rPr>
            </w:pPr>
            <w:r>
              <w:rPr>
                <w:rFonts w:hint="eastAsia" w:ascii="Times New Roman" w:hAnsi="Times New Roman"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w:t>
            </w:r>
          </w:p>
        </w:tc>
        <w:tc>
          <w:tcPr>
            <w:tcW w:w="2609" w:type="dxa"/>
            <w:noWrap w:val="0"/>
            <w:vAlign w:val="center"/>
          </w:tcPr>
          <w:p>
            <w:pPr>
              <w:spacing w:line="380" w:lineRule="exact"/>
              <w:contextualSpacing/>
              <w:jc w:val="left"/>
              <w:rPr>
                <w:rFonts w:hint="eastAsia" w:ascii="Times New Roman" w:hAnsi="Times New Roman" w:cs="宋体"/>
                <w:szCs w:val="21"/>
              </w:rPr>
            </w:pPr>
            <w:r>
              <w:rPr>
                <w:rFonts w:hint="eastAsia" w:ascii="Times New Roman" w:hAnsi="Times New Roman" w:cs="宋体"/>
                <w:szCs w:val="21"/>
              </w:rPr>
              <w:t>项目名称</w:t>
            </w:r>
          </w:p>
        </w:tc>
        <w:tc>
          <w:tcPr>
            <w:tcW w:w="6125" w:type="dxa"/>
            <w:noWrap w:val="0"/>
            <w:vAlign w:val="center"/>
          </w:tcPr>
          <w:p>
            <w:pPr>
              <w:spacing w:line="380" w:lineRule="exact"/>
              <w:contextualSpacing/>
              <w:rPr>
                <w:rFonts w:hint="eastAsia" w:ascii="Times New Roman" w:hAnsi="Times New Roman" w:cs="宋体"/>
                <w:kern w:val="0"/>
                <w:szCs w:val="21"/>
              </w:rPr>
            </w:pPr>
            <w:r>
              <w:rPr>
                <w:rFonts w:hint="eastAsia" w:ascii="Times New Roman" w:hAnsi="Times New Roman" w:cs="宋体"/>
                <w:szCs w:val="21"/>
              </w:rPr>
              <w:t>五乡镇环卫保洁及绿化养护项目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2</w:t>
            </w:r>
          </w:p>
        </w:tc>
        <w:tc>
          <w:tcPr>
            <w:tcW w:w="2609" w:type="dxa"/>
            <w:noWrap w:val="0"/>
            <w:vAlign w:val="center"/>
          </w:tcPr>
          <w:p>
            <w:pPr>
              <w:spacing w:line="380" w:lineRule="exact"/>
              <w:contextualSpacing/>
              <w:jc w:val="left"/>
              <w:rPr>
                <w:rFonts w:hint="eastAsia" w:ascii="Times New Roman" w:hAnsi="Times New Roman" w:cs="宋体"/>
                <w:szCs w:val="21"/>
              </w:rPr>
            </w:pPr>
            <w:r>
              <w:rPr>
                <w:rFonts w:hint="eastAsia" w:ascii="Times New Roman" w:hAnsi="Times New Roman" w:cs="宋体"/>
                <w:szCs w:val="21"/>
              </w:rPr>
              <w:t>服务范围</w:t>
            </w:r>
          </w:p>
        </w:tc>
        <w:tc>
          <w:tcPr>
            <w:tcW w:w="6125" w:type="dxa"/>
            <w:noWrap w:val="0"/>
            <w:vAlign w:val="center"/>
          </w:tcPr>
          <w:p>
            <w:pPr>
              <w:spacing w:line="380" w:lineRule="exact"/>
              <w:contextualSpacing/>
              <w:rPr>
                <w:rFonts w:hint="eastAsia" w:ascii="Times New Roman" w:hAnsi="Times New Roman" w:cs="宋体"/>
                <w:szCs w:val="21"/>
              </w:rPr>
            </w:pPr>
            <w:r>
              <w:rPr>
                <w:rFonts w:hint="eastAsia" w:ascii="Times New Roman" w:hAnsi="Times New Roman" w:cs="宋体"/>
                <w:szCs w:val="21"/>
              </w:rPr>
              <w:t>五乡镇环卫保洁及绿化养护服务，其中五乡镇道路保洁面积合计约为920074平方米；公厕保洁数量为24座；绿化养护总面积约为329752平方米；</w:t>
            </w:r>
            <w:r>
              <w:rPr>
                <w:rFonts w:hint="eastAsia" w:ascii="Times New Roman" w:hAnsi="Times New Roman"/>
              </w:rPr>
              <w:t>公园绿地专项巡视面积约为104606平方米</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3</w:t>
            </w:r>
          </w:p>
        </w:tc>
        <w:tc>
          <w:tcPr>
            <w:tcW w:w="2609" w:type="dxa"/>
            <w:noWrap w:val="0"/>
            <w:vAlign w:val="center"/>
          </w:tcPr>
          <w:p>
            <w:pPr>
              <w:spacing w:line="380" w:lineRule="exact"/>
              <w:contextualSpacing/>
              <w:jc w:val="left"/>
              <w:rPr>
                <w:rFonts w:hint="eastAsia" w:ascii="Times New Roman" w:hAnsi="Times New Roman" w:cs="宋体"/>
                <w:szCs w:val="21"/>
              </w:rPr>
            </w:pPr>
            <w:r>
              <w:rPr>
                <w:rFonts w:hint="eastAsia" w:ascii="Times New Roman" w:hAnsi="Times New Roman" w:cs="宋体"/>
                <w:szCs w:val="21"/>
              </w:rPr>
              <w:t>服务内容</w:t>
            </w:r>
          </w:p>
        </w:tc>
        <w:tc>
          <w:tcPr>
            <w:tcW w:w="6125" w:type="dxa"/>
            <w:noWrap w:val="0"/>
            <w:vAlign w:val="center"/>
          </w:tcPr>
          <w:p>
            <w:pPr>
              <w:tabs>
                <w:tab w:val="left" w:pos="851"/>
              </w:tabs>
              <w:spacing w:line="380" w:lineRule="exact"/>
              <w:ind w:left="2" w:leftChars="1"/>
              <w:contextualSpacing/>
              <w:rPr>
                <w:rFonts w:hint="eastAsia" w:ascii="Times New Roman" w:hAnsi="Times New Roman" w:cs="宋体"/>
                <w:szCs w:val="21"/>
              </w:rPr>
            </w:pPr>
            <w:r>
              <w:rPr>
                <w:rFonts w:hint="eastAsia" w:ascii="Times New Roman" w:hAnsi="Times New Roman" w:cs="宋体"/>
                <w:szCs w:val="21"/>
              </w:rPr>
              <w:t>服务范围内的道路保洁、垃圾桶清理、更换、果壳箱保洁、公厕保洁及各村吸粪清运工作、垃圾清运、垃圾中转站日常保洁、管理、临时建筑垃圾（包括装修垃圾）突发外运及处置、绿化养护、临时及应急任务等一系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4</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单位及数量</w:t>
            </w:r>
          </w:p>
        </w:tc>
        <w:tc>
          <w:tcPr>
            <w:tcW w:w="6125" w:type="dxa"/>
            <w:noWrap w:val="0"/>
            <w:vAlign w:val="center"/>
          </w:tcPr>
          <w:p>
            <w:pPr>
              <w:spacing w:line="400" w:lineRule="exact"/>
              <w:jc w:val="left"/>
              <w:rPr>
                <w:rFonts w:hint="eastAsia" w:ascii="Times New Roman" w:hAnsi="Times New Roman" w:cs="宋体"/>
                <w:szCs w:val="21"/>
                <w:lang w:bidi="ar"/>
              </w:rPr>
            </w:pPr>
            <w:r>
              <w:rPr>
                <w:rFonts w:hint="eastAsia" w:ascii="Times New Roman" w:hAnsi="Times New Roman" w:cs="宋体"/>
                <w:szCs w:val="21"/>
                <w:lang w:bidi="ar"/>
              </w:rPr>
              <w:t>详见“第一部分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5</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交付或者实施的时间和地点</w:t>
            </w:r>
          </w:p>
        </w:tc>
        <w:tc>
          <w:tcPr>
            <w:tcW w:w="6125" w:type="dxa"/>
            <w:noWrap w:val="0"/>
            <w:vAlign w:val="center"/>
          </w:tcPr>
          <w:p>
            <w:pPr>
              <w:numPr>
                <w:ilvl w:val="0"/>
                <w:numId w:val="1"/>
              </w:numPr>
              <w:spacing w:line="400" w:lineRule="exact"/>
              <w:jc w:val="left"/>
              <w:rPr>
                <w:rFonts w:hint="eastAsia" w:ascii="Times New Roman" w:hAnsi="Times New Roman" w:cs="宋体"/>
                <w:szCs w:val="21"/>
              </w:rPr>
            </w:pPr>
            <w:r>
              <w:rPr>
                <w:rFonts w:hint="eastAsia" w:ascii="Times New Roman" w:hAnsi="Times New Roman" w:cs="宋体"/>
                <w:bCs/>
                <w:szCs w:val="21"/>
              </w:rPr>
              <w:t>服务期限：</w:t>
            </w:r>
            <w:r>
              <w:rPr>
                <w:rFonts w:hint="eastAsia" w:ascii="Times New Roman" w:hAnsi="Times New Roman" w:cs="宋体"/>
                <w:szCs w:val="21"/>
              </w:rPr>
              <w:t>采用“1+1+1”模式，总期限3年，合同一年一签；第一年合同期限暂定自2022年04月01日起至2023年03月31日止，后两年由采购人根据中标人在上一年度合同履约、养护考核等情况及财政资金审批情况决定是否续签（若因政策调整、养护模式调整等原因需要重新进行招标的，采购人有权单方面终止合同）。</w:t>
            </w:r>
          </w:p>
          <w:p>
            <w:pPr>
              <w:numPr>
                <w:ilvl w:val="0"/>
                <w:numId w:val="1"/>
              </w:numPr>
              <w:spacing w:line="400" w:lineRule="exact"/>
              <w:jc w:val="left"/>
              <w:rPr>
                <w:rFonts w:hint="eastAsia" w:ascii="Times New Roman" w:hAnsi="Times New Roman" w:cs="宋体"/>
                <w:szCs w:val="21"/>
              </w:rPr>
            </w:pPr>
            <w:r>
              <w:rPr>
                <w:rFonts w:hint="eastAsia" w:ascii="Times New Roman" w:hAnsi="Times New Roman" w:cs="宋体"/>
                <w:bCs/>
                <w:szCs w:val="21"/>
              </w:rPr>
              <w:t>地点：</w:t>
            </w:r>
            <w:r>
              <w:rPr>
                <w:rFonts w:hint="eastAsia" w:ascii="Times New Roman" w:hAnsi="Times New Roman" w:cs="宋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6</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需实现的功能或者目标</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详见本部分“四、项目要求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7</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执行的国家相关标准、行业标准、地方标准或者其它标准、规范</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执行国家相关标准、行业标准、地方标准或者其它标准、规范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8</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技术规格要求</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详见本部分“四、项目要求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9</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物理特性要求</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10</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质量、安全要求</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详见本部分“四、项目要求”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11</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服务标准、期限、效率(培训等）</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详见本部分“四、项目要求”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12</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验收标准</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详见本部分“四、项目要求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13</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现场踏勘</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投标人可自主前往现场踏勘，费用自理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14</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演示时间及地点</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见评分标准要求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15</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样品要求</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 w:hRule="atLeast"/>
          <w:jc w:val="center"/>
        </w:trPr>
        <w:tc>
          <w:tcPr>
            <w:tcW w:w="997" w:type="dxa"/>
            <w:noWrap w:val="0"/>
            <w:vAlign w:val="center"/>
          </w:tcPr>
          <w:p>
            <w:pPr>
              <w:spacing w:line="400" w:lineRule="exact"/>
              <w:jc w:val="center"/>
              <w:rPr>
                <w:rFonts w:hint="eastAsia" w:ascii="Times New Roman" w:hAnsi="Times New Roman" w:cs="宋体"/>
                <w:szCs w:val="21"/>
              </w:rPr>
            </w:pPr>
            <w:r>
              <w:rPr>
                <w:rFonts w:hint="eastAsia" w:ascii="Times New Roman" w:hAnsi="Times New Roman" w:cs="宋体"/>
                <w:szCs w:val="21"/>
              </w:rPr>
              <w:t>16</w:t>
            </w:r>
          </w:p>
        </w:tc>
        <w:tc>
          <w:tcPr>
            <w:tcW w:w="2609"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本项目的核心产品</w:t>
            </w:r>
          </w:p>
        </w:tc>
        <w:tc>
          <w:tcPr>
            <w:tcW w:w="6125" w:type="dxa"/>
            <w:noWrap w:val="0"/>
            <w:vAlign w:val="center"/>
          </w:tcPr>
          <w:p>
            <w:pPr>
              <w:spacing w:line="400" w:lineRule="exact"/>
              <w:jc w:val="left"/>
              <w:rPr>
                <w:rFonts w:hint="eastAsia" w:ascii="Times New Roman" w:hAnsi="Times New Roman" w:cs="宋体"/>
                <w:szCs w:val="21"/>
              </w:rPr>
            </w:pPr>
            <w:r>
              <w:rPr>
                <w:rFonts w:hint="eastAsia" w:ascii="Times New Roman" w:hAnsi="Times New Roman" w:cs="宋体"/>
                <w:szCs w:val="21"/>
              </w:rPr>
              <w:t>无</w:t>
            </w:r>
          </w:p>
        </w:tc>
      </w:tr>
    </w:tbl>
    <w:p>
      <w:pPr>
        <w:spacing w:line="400" w:lineRule="exact"/>
        <w:outlineLvl w:val="1"/>
        <w:rPr>
          <w:rFonts w:hint="eastAsia" w:cs="宋体"/>
          <w:b/>
          <w:szCs w:val="28"/>
          <w:lang w:bidi="ar"/>
        </w:rPr>
      </w:pPr>
      <w:bookmarkStart w:id="60" w:name="_Toc14455"/>
      <w:r>
        <w:rPr>
          <w:rFonts w:hint="eastAsia" w:cs="宋体"/>
          <w:b/>
          <w:szCs w:val="28"/>
          <w:lang w:bidi="ar"/>
        </w:rPr>
        <w:t>二、商务要求</w:t>
      </w:r>
      <w:bookmarkEnd w:id="57"/>
      <w:bookmarkEnd w:id="58"/>
      <w:bookmarkEnd w:id="59"/>
      <w:bookmarkEnd w:id="60"/>
    </w:p>
    <w:tbl>
      <w:tblPr>
        <w:tblStyle w:val="50"/>
        <w:tblW w:w="97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9"/>
        <w:gridCol w:w="8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b/>
                <w:bCs/>
                <w:szCs w:val="21"/>
              </w:rPr>
            </w:pPr>
            <w:r>
              <w:rPr>
                <w:rFonts w:hint="eastAsia" w:ascii="Times New Roman" w:hAnsi="Times New Roman" w:cs="宋体"/>
                <w:b/>
                <w:bCs/>
                <w:szCs w:val="21"/>
              </w:rPr>
              <w:t>项目</w:t>
            </w:r>
          </w:p>
        </w:tc>
        <w:tc>
          <w:tcPr>
            <w:tcW w:w="8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b/>
                <w:bCs/>
                <w:szCs w:val="21"/>
              </w:rPr>
            </w:pPr>
            <w:r>
              <w:rPr>
                <w:rFonts w:hint="eastAsia" w:ascii="Times New Roman" w:hAnsi="Times New Roman" w:cs="宋体"/>
                <w:b/>
                <w:bCs/>
                <w:szCs w:val="21"/>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szCs w:val="21"/>
              </w:rPr>
            </w:pPr>
            <w:r>
              <w:rPr>
                <w:rFonts w:hint="eastAsia" w:ascii="Times New Roman" w:hAnsi="Times New Roman" w:cs="宋体"/>
                <w:szCs w:val="21"/>
              </w:rPr>
              <w:t>服务期限</w:t>
            </w:r>
          </w:p>
        </w:tc>
        <w:tc>
          <w:tcPr>
            <w:tcW w:w="8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Times New Roman" w:hAnsi="Times New Roman" w:cs="宋体"/>
                <w:szCs w:val="21"/>
              </w:rPr>
            </w:pPr>
            <w:r>
              <w:rPr>
                <w:rFonts w:hint="eastAsia" w:ascii="Times New Roman" w:hAnsi="Times New Roman" w:cs="宋体"/>
                <w:szCs w:val="21"/>
              </w:rPr>
              <w:t>采用“1+1+1”模式，总期限3年，合同一年一签；第一年合同期限暂定自2022年04月01日起至2023年03月31日止，后两年由采购人根据中标人在上一年度合同履约、养护考核等情况及财政资金审批情况决定是否续签（若因政策调整、养护模式调整等原因需要重新进行招标的，采购人有权单方面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szCs w:val="21"/>
              </w:rPr>
            </w:pPr>
            <w:r>
              <w:rPr>
                <w:rFonts w:hint="eastAsia" w:ascii="Times New Roman" w:hAnsi="Times New Roman" w:cs="宋体"/>
                <w:szCs w:val="21"/>
              </w:rPr>
              <w:t>★付款方式</w:t>
            </w:r>
          </w:p>
        </w:tc>
        <w:tc>
          <w:tcPr>
            <w:tcW w:w="8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szCs w:val="21"/>
              </w:rPr>
              <w:t>根据考评结果按月进行核拨，由采购人在次月10日之前支付给中标人；</w:t>
            </w:r>
          </w:p>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2、付款时中标人应出具与实际应付款数额相符的正规发票及采购人所需资料，否则造成不能按时付款的责任由中标人自行承担。</w:t>
            </w:r>
          </w:p>
          <w:p>
            <w:pPr>
              <w:spacing w:line="400" w:lineRule="exact"/>
              <w:contextualSpacing/>
              <w:rPr>
                <w:rFonts w:hint="eastAsia" w:ascii="Times New Roman" w:hAnsi="Times New Roman" w:cs="宋体"/>
                <w:szCs w:val="21"/>
              </w:rPr>
            </w:pPr>
            <w:r>
              <w:rPr>
                <w:rFonts w:hint="eastAsia" w:ascii="Times New Roman" w:hAnsi="Times New Roman" w:cs="宋体"/>
                <w:szCs w:val="21"/>
              </w:rPr>
              <w:t>3、本项目经费由政府拨款，如因政策的影响，拨款未能及时到位，中标人不得以此为由而不履行本合同规定的义务。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szCs w:val="21"/>
              </w:rPr>
            </w:pPr>
            <w:r>
              <w:rPr>
                <w:rFonts w:hint="eastAsia" w:ascii="Times New Roman" w:hAnsi="Times New Roman" w:cs="宋体"/>
                <w:szCs w:val="21"/>
              </w:rPr>
              <w:t>★结算方式</w:t>
            </w:r>
          </w:p>
        </w:tc>
        <w:tc>
          <w:tcPr>
            <w:tcW w:w="8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Times New Roman" w:hAnsi="Times New Roman"/>
                <w:bCs/>
                <w:szCs w:val="21"/>
              </w:rPr>
            </w:pPr>
            <w:r>
              <w:rPr>
                <w:rFonts w:hint="eastAsia" w:ascii="Times New Roman" w:hAnsi="Times New Roman"/>
                <w:bCs/>
                <w:szCs w:val="21"/>
              </w:rPr>
              <w:t>1、经费结算方式</w:t>
            </w:r>
          </w:p>
          <w:p>
            <w:pPr>
              <w:spacing w:line="400" w:lineRule="exact"/>
              <w:ind w:firstLine="315" w:firstLineChars="150"/>
              <w:contextualSpacing/>
              <w:rPr>
                <w:rFonts w:hint="eastAsia" w:ascii="Times New Roman" w:hAnsi="Times New Roman"/>
                <w:bCs/>
                <w:szCs w:val="21"/>
              </w:rPr>
            </w:pPr>
            <w:r>
              <w:rPr>
                <w:rFonts w:hint="eastAsia" w:ascii="Times New Roman" w:hAnsi="Times New Roman"/>
                <w:bCs/>
                <w:szCs w:val="21"/>
              </w:rPr>
              <w:t>服务期内，道路保洁及垃圾处置费用、绿化养护费用年度总价包干，即，</w:t>
            </w:r>
          </w:p>
          <w:p>
            <w:pPr>
              <w:spacing w:line="400" w:lineRule="exact"/>
              <w:ind w:firstLine="315" w:firstLineChars="150"/>
              <w:contextualSpacing/>
              <w:rPr>
                <w:rFonts w:hint="eastAsia" w:ascii="Times New Roman" w:hAnsi="Times New Roman"/>
                <w:bCs/>
                <w:szCs w:val="21"/>
              </w:rPr>
            </w:pPr>
            <w:r>
              <w:rPr>
                <w:rFonts w:hint="eastAsia" w:ascii="Times New Roman" w:hAnsi="Times New Roman"/>
                <w:bCs/>
                <w:szCs w:val="21"/>
              </w:rPr>
              <w:t>年度合同金额=道路保洁及垃圾处置费用+绿化养护费用，其中：</w:t>
            </w:r>
          </w:p>
          <w:p>
            <w:pPr>
              <w:spacing w:line="400" w:lineRule="exact"/>
              <w:ind w:firstLine="315" w:firstLineChars="150"/>
              <w:contextualSpacing/>
              <w:rPr>
                <w:rFonts w:hint="eastAsia" w:ascii="Times New Roman" w:hAnsi="Times New Roman"/>
                <w:bCs/>
                <w:szCs w:val="21"/>
              </w:rPr>
            </w:pPr>
            <w:r>
              <w:rPr>
                <w:rFonts w:hint="eastAsia" w:ascii="Times New Roman" w:hAnsi="Times New Roman"/>
                <w:bCs/>
                <w:szCs w:val="21"/>
              </w:rPr>
              <w:t>道路保洁及垃圾处置费用=道路保洁费用+环卫车辆机械台班部分费用+五乡镇公厕保洁、垃圾中转站、垃圾车等辅助工人员年经费+五乡镇环卫保洁物料及临时建筑垃圾处置年度经费+五乡镇329国道二边店铺垃圾收集年经费</w:t>
            </w:r>
          </w:p>
          <w:p>
            <w:pPr>
              <w:spacing w:line="400" w:lineRule="exact"/>
              <w:ind w:firstLine="315" w:firstLineChars="150"/>
              <w:contextualSpacing/>
              <w:rPr>
                <w:rFonts w:ascii="Times New Roman" w:hAnsi="Times New Roman"/>
                <w:bCs/>
                <w:szCs w:val="21"/>
              </w:rPr>
            </w:pPr>
            <w:r>
              <w:rPr>
                <w:rFonts w:hint="eastAsia" w:ascii="Times New Roman" w:hAnsi="Times New Roman"/>
                <w:bCs/>
                <w:szCs w:val="21"/>
              </w:rPr>
              <w:t xml:space="preserve"> 绿化养护费用=公园绿地养护费用+行道树及绿地养护费用+公园绿地专项巡视费用</w:t>
            </w:r>
          </w:p>
          <w:p>
            <w:pPr>
              <w:spacing w:line="400" w:lineRule="exact"/>
              <w:ind w:firstLine="316" w:firstLineChars="150"/>
              <w:contextualSpacing/>
              <w:rPr>
                <w:rFonts w:ascii="Times New Roman" w:hAnsi="Times New Roman"/>
                <w:b/>
                <w:bCs/>
                <w:szCs w:val="21"/>
              </w:rPr>
            </w:pPr>
            <w:r>
              <w:rPr>
                <w:rFonts w:hint="eastAsia" w:ascii="Times New Roman" w:hAnsi="Times New Roman"/>
                <w:b/>
                <w:bCs/>
                <w:szCs w:val="21"/>
              </w:rPr>
              <w:t>注：（1）公园内的公厕保洁费用包含在绿化养护费用内；（2）各村垃圾筒的垃圾收集清运、垃圾筒清洁等费用已包含在投标总价内。</w:t>
            </w:r>
          </w:p>
          <w:p>
            <w:pPr>
              <w:spacing w:line="400" w:lineRule="exact"/>
              <w:contextualSpacing/>
              <w:rPr>
                <w:rFonts w:ascii="Times New Roman" w:hAnsi="Times New Roman"/>
                <w:bCs/>
                <w:szCs w:val="21"/>
              </w:rPr>
            </w:pPr>
            <w:bookmarkStart w:id="61" w:name="_Hlk77700816"/>
            <w:r>
              <w:rPr>
                <w:rFonts w:hint="eastAsia" w:ascii="Times New Roman" w:hAnsi="Times New Roman"/>
                <w:bCs/>
                <w:szCs w:val="21"/>
              </w:rPr>
              <w:t>2、</w:t>
            </w:r>
            <w:r>
              <w:rPr>
                <w:rFonts w:ascii="Times New Roman" w:hAnsi="Times New Roman"/>
                <w:bCs/>
                <w:szCs w:val="21"/>
              </w:rPr>
              <w:t>考核和经费的核拨</w:t>
            </w:r>
          </w:p>
          <w:p>
            <w:pPr>
              <w:spacing w:line="400" w:lineRule="exact"/>
              <w:ind w:firstLine="420" w:firstLineChars="200"/>
              <w:contextualSpacing/>
              <w:rPr>
                <w:rFonts w:hint="eastAsia" w:ascii="Times New Roman" w:hAnsi="Times New Roman"/>
                <w:bCs/>
                <w:szCs w:val="21"/>
              </w:rPr>
            </w:pPr>
            <w:r>
              <w:rPr>
                <w:rFonts w:hint="eastAsia" w:ascii="Times New Roman" w:hAnsi="Times New Roman"/>
                <w:bCs/>
                <w:szCs w:val="21"/>
              </w:rPr>
              <w:t>服务期间的服务经费按月核拨。由采购人组成的考评组每月对中标人进行考核，按考评结果核拔总价包干费。具体方法为：</w:t>
            </w:r>
          </w:p>
          <w:p>
            <w:pPr>
              <w:spacing w:line="400" w:lineRule="exact"/>
              <w:ind w:firstLine="420" w:firstLineChars="200"/>
              <w:contextualSpacing/>
              <w:rPr>
                <w:rFonts w:hint="eastAsia" w:ascii="Times New Roman" w:hAnsi="Times New Roman"/>
                <w:bCs/>
                <w:szCs w:val="21"/>
              </w:rPr>
            </w:pPr>
            <w:r>
              <w:rPr>
                <w:rFonts w:hint="eastAsia" w:ascii="Times New Roman" w:hAnsi="Times New Roman"/>
                <w:szCs w:val="21"/>
              </w:rPr>
              <w:t>根据考评结果按月进行核拨，由采购人在次月10日之前支付给中标人</w:t>
            </w:r>
            <w:r>
              <w:rPr>
                <w:rFonts w:hint="eastAsia" w:ascii="Times New Roman" w:hAnsi="Times New Roman"/>
                <w:bCs/>
                <w:szCs w:val="21"/>
              </w:rPr>
              <w:t>；</w:t>
            </w:r>
          </w:p>
          <w:p>
            <w:pPr>
              <w:spacing w:line="400" w:lineRule="exact"/>
              <w:ind w:firstLine="420" w:firstLineChars="200"/>
              <w:contextualSpacing/>
              <w:rPr>
                <w:rFonts w:ascii="Times New Roman" w:hAnsi="Times New Roman"/>
                <w:bCs/>
                <w:szCs w:val="21"/>
              </w:rPr>
            </w:pPr>
            <w:r>
              <w:rPr>
                <w:rFonts w:hint="eastAsia" w:ascii="Times New Roman" w:hAnsi="Times New Roman"/>
                <w:bCs/>
                <w:szCs w:val="21"/>
              </w:rPr>
              <w:t>具体公式如下：</w:t>
            </w:r>
          </w:p>
          <w:p>
            <w:pPr>
              <w:spacing w:line="400" w:lineRule="exact"/>
              <w:ind w:firstLine="420" w:firstLineChars="200"/>
              <w:contextualSpacing/>
              <w:rPr>
                <w:rFonts w:ascii="Times New Roman" w:hAnsi="Times New Roman"/>
                <w:szCs w:val="21"/>
              </w:rPr>
            </w:pPr>
            <w:r>
              <w:rPr>
                <w:rFonts w:hint="eastAsia" w:ascii="Times New Roman" w:hAnsi="Times New Roman"/>
                <w:szCs w:val="21"/>
              </w:rPr>
              <w:t>进度款=</w:t>
            </w:r>
            <w:r>
              <w:rPr>
                <w:rFonts w:hint="eastAsia" w:ascii="Times New Roman" w:hAnsi="Times New Roman"/>
                <w:bCs/>
                <w:szCs w:val="21"/>
              </w:rPr>
              <w:t>年度合同金额</w:t>
            </w: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 xml:space="preserve"> -当月考核扣款；</w:t>
            </w:r>
          </w:p>
          <w:p>
            <w:pPr>
              <w:spacing w:line="400" w:lineRule="exact"/>
              <w:contextualSpacing/>
              <w:rPr>
                <w:rFonts w:hint="eastAsia" w:ascii="Times New Roman" w:hAnsi="Times New Roman"/>
                <w:szCs w:val="21"/>
              </w:rPr>
            </w:pPr>
            <w:r>
              <w:rPr>
                <w:rFonts w:hint="eastAsia" w:ascii="Times New Roman" w:hAnsi="Times New Roman"/>
                <w:szCs w:val="21"/>
              </w:rPr>
              <w:t>3、若发生服务量增加或减少，原则上由采购人统一调配并以签证认可的联系单为准，产生的费用计入发生期间所对应的月份中。</w:t>
            </w:r>
          </w:p>
          <w:p>
            <w:pPr>
              <w:spacing w:line="400" w:lineRule="exact"/>
              <w:ind w:firstLine="405"/>
              <w:contextualSpacing/>
              <w:rPr>
                <w:rFonts w:hint="eastAsia" w:ascii="Times New Roman" w:hAnsi="Times New Roman"/>
                <w:szCs w:val="21"/>
              </w:rPr>
            </w:pPr>
            <w:r>
              <w:rPr>
                <w:rFonts w:hint="eastAsia" w:ascii="Times New Roman" w:hAnsi="Times New Roman"/>
                <w:szCs w:val="21"/>
              </w:rPr>
              <w:t>服务量调整变更联系单结算方式如下：</w:t>
            </w:r>
          </w:p>
          <w:p>
            <w:pPr>
              <w:spacing w:line="400" w:lineRule="exact"/>
              <w:ind w:firstLine="420" w:firstLineChars="200"/>
              <w:contextualSpacing/>
              <w:rPr>
                <w:rFonts w:ascii="Times New Roman" w:hAnsi="Times New Roman" w:cs="黑体"/>
                <w:szCs w:val="21"/>
              </w:rPr>
            </w:pPr>
            <w:r>
              <w:rPr>
                <w:rFonts w:hint="eastAsia" w:ascii="Times New Roman" w:hAnsi="Times New Roman"/>
                <w:szCs w:val="21"/>
              </w:rPr>
              <w:t>增加或减少结算金额=∑《采购人可调整变更内容清单》（见附表1~</w:t>
            </w:r>
            <w:r>
              <w:rPr>
                <w:rFonts w:ascii="Times New Roman" w:hAnsi="Times New Roman"/>
                <w:szCs w:val="21"/>
              </w:rPr>
              <w:t>5</w:t>
            </w:r>
            <w:r>
              <w:rPr>
                <w:rFonts w:hint="eastAsia" w:ascii="Times New Roman" w:hAnsi="Times New Roman"/>
                <w:szCs w:val="21"/>
              </w:rPr>
              <w:t>）内各项内容对应最高限价</w:t>
            </w:r>
            <w:r>
              <w:rPr>
                <w:rFonts w:hint="eastAsia" w:ascii="Times New Roman" w:hAnsi="Times New Roman" w:cs="黑体"/>
                <w:szCs w:val="21"/>
              </w:rPr>
              <w:t>×（1+中标浮动率）×对应新增或减少</w:t>
            </w:r>
            <w:r>
              <w:rPr>
                <w:rFonts w:hint="eastAsia" w:ascii="Times New Roman" w:hAnsi="Times New Roman"/>
                <w:szCs w:val="21"/>
              </w:rPr>
              <w:t>服务量</w:t>
            </w:r>
            <w:r>
              <w:rPr>
                <w:rFonts w:hint="eastAsia" w:ascii="Times New Roman" w:hAnsi="Times New Roman" w:cs="黑体"/>
                <w:szCs w:val="21"/>
              </w:rPr>
              <w:t>；</w:t>
            </w:r>
          </w:p>
          <w:p>
            <w:pPr>
              <w:spacing w:line="400" w:lineRule="exact"/>
              <w:ind w:firstLine="420" w:firstLineChars="200"/>
              <w:contextualSpacing/>
              <w:rPr>
                <w:rFonts w:hint="eastAsia" w:ascii="Times New Roman" w:hAnsi="Times New Roman" w:cs="黑体"/>
                <w:szCs w:val="21"/>
              </w:rPr>
            </w:pPr>
            <w:r>
              <w:rPr>
                <w:rFonts w:hint="eastAsia" w:ascii="Times New Roman" w:hAnsi="Times New Roman" w:cs="黑体"/>
                <w:szCs w:val="21"/>
              </w:rPr>
              <w:t>中标浮动率=年度投标总价/年度最高限价-</w:t>
            </w:r>
            <w:r>
              <w:rPr>
                <w:rFonts w:ascii="Times New Roman" w:hAnsi="Times New Roman" w:cs="黑体"/>
                <w:szCs w:val="21"/>
              </w:rPr>
              <w:t>1</w:t>
            </w:r>
            <w:bookmarkEnd w:id="61"/>
          </w:p>
          <w:p>
            <w:pPr>
              <w:spacing w:line="400" w:lineRule="exact"/>
              <w:contextualSpacing/>
              <w:rPr>
                <w:rFonts w:hint="eastAsia" w:ascii="Times New Roman" w:hAnsi="Times New Roman"/>
                <w:szCs w:val="21"/>
              </w:rPr>
            </w:pPr>
            <w:r>
              <w:rPr>
                <w:rFonts w:hint="eastAsia" w:ascii="Times New Roman" w:hAnsi="Times New Roman" w:cs="黑体"/>
                <w:szCs w:val="21"/>
              </w:rPr>
              <w:t>注：服务范围内，</w:t>
            </w:r>
            <w:r>
              <w:rPr>
                <w:rFonts w:hint="eastAsia" w:ascii="Times New Roman" w:hAnsi="Times New Roman"/>
                <w:szCs w:val="21"/>
              </w:rPr>
              <w:t>《采购人可调整变更内容清单》以外增加或减少的服务量，采购人不另行结算，包含在年度合同金额内。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Times New Roman" w:hAnsi="Times New Roman" w:cs="宋体"/>
                <w:szCs w:val="21"/>
              </w:rPr>
            </w:pPr>
            <w:r>
              <w:rPr>
                <w:rFonts w:hint="eastAsia" w:ascii="Times New Roman" w:hAnsi="Times New Roman" w:cs="宋体"/>
                <w:szCs w:val="21"/>
              </w:rPr>
              <w:t>履约保证金</w:t>
            </w:r>
          </w:p>
        </w:tc>
        <w:tc>
          <w:tcPr>
            <w:tcW w:w="81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Times New Roman" w:hAnsi="Times New Roman" w:cs="宋体"/>
                <w:b/>
                <w:bCs/>
                <w:szCs w:val="21"/>
              </w:rPr>
            </w:pPr>
            <w:r>
              <w:rPr>
                <w:rFonts w:hint="eastAsia" w:ascii="Times New Roman" w:hAnsi="Times New Roman" w:cs="宋体"/>
                <w:b/>
                <w:bCs/>
                <w:szCs w:val="21"/>
              </w:rPr>
              <w:t>1、履约保证金金额：</w:t>
            </w:r>
          </w:p>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1）在合同签订后5个工作日内投标人必须支付</w:t>
            </w:r>
            <w:r>
              <w:rPr>
                <w:rFonts w:hint="eastAsia" w:ascii="Times New Roman" w:hAnsi="Times New Roman" w:cs="宋体"/>
                <w:b/>
                <w:bCs/>
                <w:szCs w:val="21"/>
              </w:rPr>
              <w:t>合同总价2.5%</w:t>
            </w:r>
            <w:r>
              <w:rPr>
                <w:rFonts w:hint="eastAsia" w:ascii="Times New Roman" w:hAnsi="Times New Roman" w:cs="宋体"/>
                <w:szCs w:val="21"/>
              </w:rPr>
              <w:t>的履约保证金给采购人；</w:t>
            </w:r>
          </w:p>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2）投标人任务完成并经采购人验收移交采购人后十个工作日内，采购人无息退还投标人合同履约保证金；</w:t>
            </w:r>
          </w:p>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3）因投标人原因导致本合同被解除的，投标人除承担相关责任外，采购人还将罚没投标人合同履约保证金。</w:t>
            </w:r>
          </w:p>
          <w:p>
            <w:pPr>
              <w:snapToGrid w:val="0"/>
              <w:spacing w:line="400" w:lineRule="exact"/>
              <w:contextualSpacing/>
              <w:rPr>
                <w:rFonts w:hint="eastAsia" w:ascii="Times New Roman" w:hAnsi="Times New Roman" w:cs="宋体"/>
                <w:szCs w:val="21"/>
              </w:rPr>
            </w:pPr>
            <w:r>
              <w:rPr>
                <w:rFonts w:hint="eastAsia" w:ascii="Times New Roman" w:hAnsi="Times New Roman" w:cs="宋体"/>
                <w:szCs w:val="21"/>
              </w:rPr>
              <w:t>4）因投标人经营不善而造成拖欠工人工资或其它违反劳动合同法等法律法规的，采购人有权从履约保证金中支付相关费用。</w:t>
            </w:r>
          </w:p>
          <w:p>
            <w:pPr>
              <w:spacing w:line="400" w:lineRule="exact"/>
              <w:contextualSpacing/>
              <w:rPr>
                <w:rFonts w:hint="eastAsia" w:ascii="Times New Roman" w:hAnsi="Times New Roman" w:cs="宋体"/>
                <w:szCs w:val="21"/>
              </w:rPr>
            </w:pPr>
            <w:r>
              <w:rPr>
                <w:rFonts w:hint="eastAsia" w:ascii="Times New Roman" w:hAnsi="Times New Roman" w:cs="宋体"/>
                <w:szCs w:val="21"/>
              </w:rPr>
              <w:t>5）投标人损坏采购人设施、设备且不按规定赔偿，采购人有权从履约保证金中支取相关赔偿费用。</w:t>
            </w:r>
          </w:p>
          <w:p>
            <w:pPr>
              <w:spacing w:line="400" w:lineRule="exact"/>
              <w:contextualSpacing/>
              <w:rPr>
                <w:rFonts w:hint="eastAsia" w:ascii="Times New Roman" w:hAnsi="Times New Roman" w:cs="宋体"/>
                <w:b/>
                <w:bCs/>
                <w:szCs w:val="21"/>
              </w:rPr>
            </w:pPr>
            <w:r>
              <w:rPr>
                <w:rFonts w:hint="eastAsia" w:ascii="Times New Roman" w:hAnsi="Times New Roman" w:cs="宋体"/>
                <w:b/>
                <w:bCs/>
                <w:szCs w:val="21"/>
              </w:rPr>
              <w:t>2、履约保证金形式：</w:t>
            </w:r>
            <w:r>
              <w:rPr>
                <w:rFonts w:hint="eastAsia" w:ascii="Times New Roman" w:hAnsi="Times New Roman" w:cs="宋体"/>
                <w:szCs w:val="21"/>
              </w:rPr>
              <w:t>支票、汇票、本票或者金融机构、担保机构出具的保函等非现金形式提交。</w:t>
            </w:r>
          </w:p>
        </w:tc>
      </w:tr>
    </w:tbl>
    <w:p>
      <w:pPr>
        <w:spacing w:line="400" w:lineRule="exact"/>
        <w:jc w:val="left"/>
        <w:rPr>
          <w:rFonts w:hint="eastAsia" w:cs="宋体"/>
          <w:b/>
          <w:szCs w:val="28"/>
        </w:rPr>
      </w:pPr>
    </w:p>
    <w:p>
      <w:pPr>
        <w:spacing w:line="360" w:lineRule="auto"/>
        <w:rPr>
          <w:rFonts w:hint="eastAsia"/>
          <w:b/>
          <w:szCs w:val="21"/>
        </w:rPr>
      </w:pPr>
      <w:r>
        <w:rPr>
          <w:rFonts w:hint="eastAsia" w:cs="宋体"/>
          <w:b/>
          <w:szCs w:val="28"/>
        </w:rPr>
        <w:t>三、《</w:t>
      </w:r>
      <w:r>
        <w:rPr>
          <w:rFonts w:hint="eastAsia"/>
          <w:szCs w:val="21"/>
        </w:rPr>
        <w:t>采购人可调整变更内容清单</w:t>
      </w:r>
      <w:r>
        <w:rPr>
          <w:rFonts w:hint="eastAsia" w:cs="宋体"/>
          <w:b/>
          <w:szCs w:val="28"/>
        </w:rPr>
        <w:t>》</w:t>
      </w:r>
      <w:r>
        <w:rPr>
          <w:rFonts w:hint="eastAsia"/>
          <w:b/>
          <w:szCs w:val="21"/>
        </w:rPr>
        <w:t>及相应全费用综合单价最高限价</w:t>
      </w:r>
    </w:p>
    <w:p>
      <w:pPr>
        <w:spacing w:line="360" w:lineRule="auto"/>
        <w:rPr>
          <w:b/>
          <w:szCs w:val="21"/>
        </w:rPr>
      </w:pPr>
      <w:r>
        <w:rPr>
          <w:rFonts w:hint="eastAsia"/>
          <w:b/>
          <w:szCs w:val="21"/>
        </w:rPr>
        <w:t>表1：道路保洁</w:t>
      </w:r>
    </w:p>
    <w:tbl>
      <w:tblPr>
        <w:tblStyle w:val="50"/>
        <w:tblW w:w="8649" w:type="dxa"/>
        <w:jc w:val="center"/>
        <w:tblLayout w:type="autofit"/>
        <w:tblCellMar>
          <w:top w:w="0" w:type="dxa"/>
          <w:left w:w="108" w:type="dxa"/>
          <w:bottom w:w="0" w:type="dxa"/>
          <w:right w:w="108" w:type="dxa"/>
        </w:tblCellMar>
      </w:tblPr>
      <w:tblGrid>
        <w:gridCol w:w="694"/>
        <w:gridCol w:w="1008"/>
        <w:gridCol w:w="3783"/>
        <w:gridCol w:w="1387"/>
        <w:gridCol w:w="1777"/>
      </w:tblGrid>
      <w:tr>
        <w:tblPrEx>
          <w:tblCellMar>
            <w:top w:w="0" w:type="dxa"/>
            <w:left w:w="108" w:type="dxa"/>
            <w:bottom w:w="0" w:type="dxa"/>
            <w:right w:w="108" w:type="dxa"/>
          </w:tblCellMar>
        </w:tblPrEx>
        <w:trPr>
          <w:wBefore w:w="0" w:type="dxa"/>
          <w:wAfter w:w="0" w:type="dxa"/>
          <w:trHeight w:val="340"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10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保洁等级</w:t>
            </w:r>
          </w:p>
        </w:tc>
        <w:tc>
          <w:tcPr>
            <w:tcW w:w="378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划分条件</w:t>
            </w:r>
          </w:p>
        </w:tc>
        <w:tc>
          <w:tcPr>
            <w:tcW w:w="138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清扫保洁时间 h</w:t>
            </w:r>
          </w:p>
        </w:tc>
        <w:tc>
          <w:tcPr>
            <w:tcW w:w="177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全费用综合单价最高限价（元/平米.年）</w:t>
            </w:r>
          </w:p>
        </w:tc>
      </w:tr>
      <w:tr>
        <w:tblPrEx>
          <w:tblCellMar>
            <w:top w:w="0" w:type="dxa"/>
            <w:left w:w="108" w:type="dxa"/>
            <w:bottom w:w="0" w:type="dxa"/>
            <w:right w:w="108" w:type="dxa"/>
          </w:tblCellMar>
        </w:tblPrEx>
        <w:trPr>
          <w:wBefore w:w="0" w:type="dxa"/>
          <w:wAfter w:w="0" w:type="dxa"/>
          <w:trHeight w:val="419"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一级</w:t>
            </w:r>
          </w:p>
        </w:tc>
        <w:tc>
          <w:tcPr>
            <w:tcW w:w="3783"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菜市场</w:t>
            </w:r>
          </w:p>
        </w:tc>
        <w:tc>
          <w:tcPr>
            <w:tcW w:w="138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10小时</w:t>
            </w:r>
          </w:p>
        </w:tc>
        <w:tc>
          <w:tcPr>
            <w:tcW w:w="177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45.69 </w:t>
            </w:r>
          </w:p>
        </w:tc>
      </w:tr>
      <w:tr>
        <w:tblPrEx>
          <w:tblCellMar>
            <w:top w:w="0" w:type="dxa"/>
            <w:left w:w="108" w:type="dxa"/>
            <w:bottom w:w="0" w:type="dxa"/>
            <w:right w:w="108" w:type="dxa"/>
          </w:tblCellMar>
        </w:tblPrEx>
        <w:trPr>
          <w:wBefore w:w="0" w:type="dxa"/>
          <w:wAfter w:w="0" w:type="dxa"/>
          <w:trHeight w:val="527"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100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二级</w:t>
            </w:r>
          </w:p>
        </w:tc>
        <w:tc>
          <w:tcPr>
            <w:tcW w:w="3783"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1、商业网点集中，道路旁商业店铺占道路长度不小于70％的繁华闹市地段；  2、平均人流量为100人次/分钟以上和公共交通线路较多的路段。</w:t>
            </w:r>
          </w:p>
        </w:tc>
        <w:tc>
          <w:tcPr>
            <w:tcW w:w="138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16小时</w:t>
            </w:r>
          </w:p>
        </w:tc>
        <w:tc>
          <w:tcPr>
            <w:tcW w:w="177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12.18 </w:t>
            </w:r>
          </w:p>
        </w:tc>
      </w:tr>
      <w:tr>
        <w:tblPrEx>
          <w:tblCellMar>
            <w:top w:w="0" w:type="dxa"/>
            <w:left w:w="108" w:type="dxa"/>
            <w:bottom w:w="0" w:type="dxa"/>
            <w:right w:w="108" w:type="dxa"/>
          </w:tblCellMar>
        </w:tblPrEx>
        <w:trPr>
          <w:wBefore w:w="0" w:type="dxa"/>
          <w:wAfter w:w="0" w:type="dxa"/>
          <w:trHeight w:val="571"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00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783"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1、商业网点较集中、占道路长度60～70%的路段；2、平均人流量为50～100人次/分钟的路段；</w:t>
            </w:r>
          </w:p>
        </w:tc>
        <w:tc>
          <w:tcPr>
            <w:tcW w:w="138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10小时</w:t>
            </w:r>
          </w:p>
        </w:tc>
        <w:tc>
          <w:tcPr>
            <w:tcW w:w="177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9.75 </w:t>
            </w:r>
          </w:p>
        </w:tc>
      </w:tr>
      <w:tr>
        <w:tblPrEx>
          <w:tblCellMar>
            <w:top w:w="0" w:type="dxa"/>
            <w:left w:w="108" w:type="dxa"/>
            <w:bottom w:w="0" w:type="dxa"/>
            <w:right w:w="108" w:type="dxa"/>
          </w:tblCellMar>
        </w:tblPrEx>
        <w:trPr>
          <w:wBefore w:w="0" w:type="dxa"/>
          <w:wAfter w:w="0" w:type="dxa"/>
          <w:trHeight w:val="543"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00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783"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1、商业网点较集中、占道路长度60～70%的路段；2、平均人流量为50～100人次/分钟的路段；3、有固定公共交通线路的路段 4、居民区和单位相间的路段</w:t>
            </w:r>
          </w:p>
        </w:tc>
        <w:tc>
          <w:tcPr>
            <w:tcW w:w="138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8小时</w:t>
            </w:r>
          </w:p>
        </w:tc>
        <w:tc>
          <w:tcPr>
            <w:tcW w:w="177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8.12 </w:t>
            </w:r>
          </w:p>
        </w:tc>
      </w:tr>
      <w:tr>
        <w:tblPrEx>
          <w:tblCellMar>
            <w:top w:w="0" w:type="dxa"/>
            <w:left w:w="108" w:type="dxa"/>
            <w:bottom w:w="0" w:type="dxa"/>
            <w:right w:w="108" w:type="dxa"/>
          </w:tblCellMar>
        </w:tblPrEx>
        <w:trPr>
          <w:wBefore w:w="0" w:type="dxa"/>
          <w:wAfter w:w="0" w:type="dxa"/>
          <w:trHeight w:val="650" w:hRule="atLeast"/>
          <w:jc w:val="center"/>
        </w:trPr>
        <w:tc>
          <w:tcPr>
            <w:tcW w:w="694"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00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783"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1、城市主、次干路及其附近路段；2、机扫道路，上下午各一次来回。</w:t>
            </w:r>
          </w:p>
        </w:tc>
        <w:tc>
          <w:tcPr>
            <w:tcW w:w="138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8小时</w:t>
            </w:r>
          </w:p>
        </w:tc>
        <w:tc>
          <w:tcPr>
            <w:tcW w:w="177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1.91 </w:t>
            </w:r>
          </w:p>
        </w:tc>
      </w:tr>
    </w:tbl>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表2：公厕保洁</w:t>
      </w:r>
    </w:p>
    <w:tbl>
      <w:tblPr>
        <w:tblStyle w:val="50"/>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709"/>
        <w:gridCol w:w="2396"/>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jc w:val="center"/>
        </w:trPr>
        <w:tc>
          <w:tcPr>
            <w:tcW w:w="1221" w:type="dxa"/>
            <w:noWrap/>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2709"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内容</w:t>
            </w:r>
          </w:p>
        </w:tc>
        <w:tc>
          <w:tcPr>
            <w:tcW w:w="2396"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20"/>
                <w:szCs w:val="20"/>
              </w:rPr>
              <w:t>保洁时间 h</w:t>
            </w:r>
          </w:p>
        </w:tc>
        <w:tc>
          <w:tcPr>
            <w:tcW w:w="2466" w:type="dxa"/>
            <w:noWrap/>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全费用综合单价最高限价（元/座.年）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jc w:val="center"/>
        </w:trPr>
        <w:tc>
          <w:tcPr>
            <w:tcW w:w="12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70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公厕清理管理</w:t>
            </w:r>
          </w:p>
        </w:tc>
        <w:tc>
          <w:tcPr>
            <w:tcW w:w="2396"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10小时</w:t>
            </w:r>
          </w:p>
        </w:tc>
        <w:tc>
          <w:tcPr>
            <w:tcW w:w="2466" w:type="dxa"/>
            <w:noWrap/>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23981</w:t>
            </w:r>
          </w:p>
        </w:tc>
      </w:tr>
    </w:tbl>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表3：公园绿地养护</w:t>
      </w:r>
    </w:p>
    <w:tbl>
      <w:tblPr>
        <w:tblStyle w:val="5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43"/>
        <w:gridCol w:w="2077"/>
        <w:gridCol w:w="1788"/>
        <w:gridCol w:w="124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789" w:hRule="atLeast"/>
          <w:jc w:val="center"/>
        </w:trPr>
        <w:tc>
          <w:tcPr>
            <w:tcW w:w="943"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2077"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788" w:type="dxa"/>
            <w:shd w:val="clear" w:color="auto" w:fill="FFFFFF"/>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w:t>
            </w:r>
          </w:p>
        </w:tc>
        <w:tc>
          <w:tcPr>
            <w:tcW w:w="1246" w:type="dxa"/>
            <w:shd w:val="clear" w:color="auto" w:fill="FFFFFF"/>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公园养护等级</w:t>
            </w:r>
          </w:p>
        </w:tc>
        <w:tc>
          <w:tcPr>
            <w:tcW w:w="2280" w:type="dxa"/>
            <w:shd w:val="clear" w:color="auto" w:fill="FFFFFF"/>
            <w:noWrap w:val="0"/>
            <w:vAlign w:val="center"/>
          </w:tcPr>
          <w:p>
            <w:pPr>
              <w:jc w:val="center"/>
              <w:rPr>
                <w:rFonts w:hint="eastAsia"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70"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55"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广场保洁（步行道、广场等）</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4.17</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wBefore w:w="0" w:type="dxa"/>
          <w:wAfter w:w="0" w:type="dxa"/>
          <w:trHeight w:val="207"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3</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水生植物养护</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6.7</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93"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4</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沿河绿化（绿化带）</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99"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5</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草坪（绿化带）</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99"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6</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w:t>
            </w:r>
            <w:r>
              <w:rPr>
                <w:rFonts w:hint="eastAsia" w:ascii="Times New Roman" w:hAnsi="Times New Roman" w:cs="宋体"/>
                <w:kern w:val="0"/>
                <w:sz w:val="18"/>
                <w:szCs w:val="18"/>
              </w:rPr>
              <w:t>草坪</w:t>
            </w:r>
            <w:r>
              <w:rPr>
                <w:rFonts w:hint="eastAsia" w:ascii="Times New Roman" w:hAnsi="Times New Roman" w:cs="宋体"/>
                <w:bCs/>
                <w:kern w:val="0"/>
                <w:sz w:val="18"/>
                <w:szCs w:val="18"/>
              </w:rPr>
              <w:t>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99" w:hRule="atLeast"/>
          <w:jc w:val="center"/>
        </w:trPr>
        <w:tc>
          <w:tcPr>
            <w:tcW w:w="943"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7</w:t>
            </w:r>
          </w:p>
        </w:tc>
        <w:tc>
          <w:tcPr>
            <w:tcW w:w="2077"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花坛</w:t>
            </w:r>
          </w:p>
        </w:tc>
        <w:tc>
          <w:tcPr>
            <w:tcW w:w="17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24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280"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bl>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表4：行道树及绿地养护</w:t>
      </w:r>
    </w:p>
    <w:tbl>
      <w:tblPr>
        <w:tblStyle w:val="5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725"/>
        <w:gridCol w:w="1994"/>
        <w:gridCol w:w="1275"/>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1" w:hRule="atLeast"/>
          <w:jc w:val="center"/>
        </w:trPr>
        <w:tc>
          <w:tcPr>
            <w:tcW w:w="836"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1725"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994"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全费用综合单价最高限价（元/平米.年）、（元/株.年）</w:t>
            </w:r>
          </w:p>
        </w:tc>
        <w:tc>
          <w:tcPr>
            <w:tcW w:w="1275"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绿地等级</w:t>
            </w:r>
          </w:p>
        </w:tc>
        <w:tc>
          <w:tcPr>
            <w:tcW w:w="3220"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1</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包含零星乔木和草坪养护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2</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21.51</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胸径D10CM以内，行道树每6米一株乔木考虑（包含地面花木养护）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3</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包含零星乔木和灌木养护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4</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39.12</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胸径D20CM以内，行道树每6米一株乔木考虑（包含地面花木养护）</w:t>
            </w:r>
          </w:p>
        </w:tc>
      </w:tr>
    </w:tbl>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表5：</w:t>
      </w:r>
    </w:p>
    <w:tbl>
      <w:tblPr>
        <w:tblStyle w:val="5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974"/>
        <w:gridCol w:w="290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1209"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2974"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2902"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w:t>
            </w:r>
          </w:p>
        </w:tc>
        <w:tc>
          <w:tcPr>
            <w:tcW w:w="1823"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专项巡视绿地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120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9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绿地专项巡视（包含水面）</w:t>
            </w:r>
          </w:p>
        </w:tc>
        <w:tc>
          <w:tcPr>
            <w:tcW w:w="290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1.47</w:t>
            </w:r>
          </w:p>
        </w:tc>
        <w:tc>
          <w:tcPr>
            <w:tcW w:w="1823"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
                <w:bCs/>
                <w:kern w:val="0"/>
                <w:sz w:val="18"/>
                <w:szCs w:val="18"/>
              </w:rPr>
              <w:t>一、二类</w:t>
            </w:r>
          </w:p>
        </w:tc>
      </w:tr>
    </w:tbl>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四、项目要求</w:t>
      </w:r>
    </w:p>
    <w:p>
      <w:pPr>
        <w:spacing w:line="400" w:lineRule="exact"/>
        <w:jc w:val="left"/>
        <w:rPr>
          <w:rFonts w:hint="eastAsia" w:cs="宋体"/>
          <w:b/>
          <w:szCs w:val="28"/>
        </w:rPr>
      </w:pPr>
      <w:r>
        <w:rPr>
          <w:rFonts w:hint="eastAsia" w:cs="宋体"/>
          <w:b/>
          <w:szCs w:val="28"/>
        </w:rPr>
        <w:t>（一）采购清单：</w:t>
      </w:r>
    </w:p>
    <w:p>
      <w:pPr>
        <w:spacing w:line="400" w:lineRule="exact"/>
        <w:jc w:val="left"/>
        <w:rPr>
          <w:rFonts w:cs="宋体"/>
          <w:b/>
          <w:szCs w:val="28"/>
        </w:rPr>
        <w:sectPr>
          <w:pgSz w:w="11907" w:h="16840"/>
          <w:pgMar w:top="1098" w:right="1588" w:bottom="1098" w:left="1588" w:header="285" w:footer="700" w:gutter="0"/>
          <w:cols w:space="720" w:num="1"/>
          <w:docGrid w:linePitch="285" w:charSpace="0"/>
        </w:sectPr>
      </w:pPr>
    </w:p>
    <w:p>
      <w:pPr>
        <w:spacing w:line="400" w:lineRule="exact"/>
        <w:jc w:val="left"/>
        <w:rPr>
          <w:rFonts w:hint="eastAsia" w:cs="宋体"/>
          <w:b/>
          <w:szCs w:val="28"/>
        </w:rPr>
      </w:pPr>
      <w:r>
        <w:rPr>
          <w:rFonts w:hint="eastAsia" w:cs="宋体"/>
          <w:b/>
          <w:szCs w:val="28"/>
        </w:rPr>
        <w:t>1、五乡道路(镇区)及公路保洁面积清单</w:t>
      </w:r>
    </w:p>
    <w:tbl>
      <w:tblPr>
        <w:tblStyle w:val="50"/>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92"/>
        <w:gridCol w:w="1701"/>
        <w:gridCol w:w="1029"/>
        <w:gridCol w:w="1021"/>
        <w:gridCol w:w="1142"/>
        <w:gridCol w:w="1066"/>
        <w:gridCol w:w="1030"/>
        <w:gridCol w:w="737"/>
        <w:gridCol w:w="995"/>
        <w:gridCol w:w="1084"/>
        <w:gridCol w:w="232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 w:hRule="atLeast"/>
          <w:tblHeader/>
          <w:jc w:val="center"/>
        </w:trPr>
        <w:tc>
          <w:tcPr>
            <w:tcW w:w="656"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序号</w:t>
            </w:r>
          </w:p>
        </w:tc>
        <w:tc>
          <w:tcPr>
            <w:tcW w:w="992"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道路名称</w:t>
            </w:r>
          </w:p>
        </w:tc>
        <w:tc>
          <w:tcPr>
            <w:tcW w:w="1701"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起止范围</w:t>
            </w:r>
          </w:p>
        </w:tc>
        <w:tc>
          <w:tcPr>
            <w:tcW w:w="1029"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长（米）</w:t>
            </w:r>
          </w:p>
        </w:tc>
        <w:tc>
          <w:tcPr>
            <w:tcW w:w="1021"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宽（米）</w:t>
            </w:r>
          </w:p>
        </w:tc>
        <w:tc>
          <w:tcPr>
            <w:tcW w:w="1142"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保洁面积（M2）</w:t>
            </w:r>
          </w:p>
        </w:tc>
        <w:tc>
          <w:tcPr>
            <w:tcW w:w="3828" w:type="dxa"/>
            <w:gridSpan w:val="4"/>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其中：面积（M2）</w:t>
            </w:r>
          </w:p>
        </w:tc>
        <w:tc>
          <w:tcPr>
            <w:tcW w:w="1084"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人均保洁面积（平方米/工日）</w:t>
            </w:r>
          </w:p>
        </w:tc>
        <w:tc>
          <w:tcPr>
            <w:tcW w:w="2328"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备注</w:t>
            </w:r>
          </w:p>
        </w:tc>
        <w:tc>
          <w:tcPr>
            <w:tcW w:w="1205" w:type="dxa"/>
            <w:vMerge w:val="restart"/>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 w:hRule="atLeast"/>
          <w:tblHeader/>
          <w:jc w:val="center"/>
        </w:trPr>
        <w:tc>
          <w:tcPr>
            <w:tcW w:w="656" w:type="dxa"/>
            <w:vMerge w:val="continue"/>
            <w:noWrap w:val="0"/>
            <w:vAlign w:val="center"/>
          </w:tcPr>
          <w:p>
            <w:pPr>
              <w:widowControl/>
              <w:jc w:val="center"/>
              <w:rPr>
                <w:rFonts w:ascii="Times New Roman" w:hAnsi="Times New Roman" w:cs="宋体"/>
                <w:kern w:val="0"/>
                <w:sz w:val="18"/>
                <w:szCs w:val="18"/>
              </w:rPr>
            </w:pP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vMerge w:val="continue"/>
            <w:noWrap w:val="0"/>
            <w:vAlign w:val="center"/>
          </w:tcPr>
          <w:p>
            <w:pPr>
              <w:widowControl/>
              <w:jc w:val="center"/>
              <w:rPr>
                <w:rFonts w:ascii="Times New Roman" w:hAnsi="Times New Roman" w:cs="宋体"/>
                <w:kern w:val="0"/>
                <w:sz w:val="18"/>
                <w:szCs w:val="18"/>
              </w:rPr>
            </w:pPr>
          </w:p>
        </w:tc>
        <w:tc>
          <w:tcPr>
            <w:tcW w:w="1066" w:type="dxa"/>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人工保洁</w:t>
            </w:r>
          </w:p>
        </w:tc>
        <w:tc>
          <w:tcPr>
            <w:tcW w:w="1030" w:type="dxa"/>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机扫保洁</w:t>
            </w:r>
          </w:p>
        </w:tc>
        <w:tc>
          <w:tcPr>
            <w:tcW w:w="737" w:type="dxa"/>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公园</w:t>
            </w:r>
          </w:p>
        </w:tc>
        <w:tc>
          <w:tcPr>
            <w:tcW w:w="995" w:type="dxa"/>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停车场</w:t>
            </w:r>
          </w:p>
        </w:tc>
        <w:tc>
          <w:tcPr>
            <w:tcW w:w="1084" w:type="dxa"/>
            <w:vMerge w:val="continue"/>
            <w:noWrap w:val="0"/>
            <w:vAlign w:val="center"/>
          </w:tcPr>
          <w:p>
            <w:pPr>
              <w:widowControl/>
              <w:jc w:val="center"/>
              <w:rPr>
                <w:rFonts w:ascii="Times New Roman" w:hAnsi="Times New Roman" w:cs="宋体"/>
                <w:kern w:val="0"/>
                <w:sz w:val="18"/>
                <w:szCs w:val="18"/>
              </w:rPr>
            </w:pP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329国道—镇南路</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18</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含人行道7米等</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二级，保洁面积：6000M2/工日；保洁时间：16h/工日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西街</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爱民路—西矸桥</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10800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10800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含人行道、电影院旁</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菜场路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329国道—西街</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菜场路</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启明小区人行道</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177</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1416</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1416</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军民路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329国道—军民路</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250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1750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1750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三级，保洁面积：7500M2/工日；保洁时间：10h/工日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宝幢老街</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329国道—宝幢老信用社</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（6+3）</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3450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3450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 （450*6+250*3）＝3450</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w:t>
            </w:r>
          </w:p>
        </w:tc>
        <w:tc>
          <w:tcPr>
            <w:tcW w:w="1701"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329国道—五乡西街</w:t>
            </w:r>
          </w:p>
        </w:tc>
        <w:tc>
          <w:tcPr>
            <w:tcW w:w="1029"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1021"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爱民南路</w:t>
            </w:r>
          </w:p>
        </w:tc>
        <w:tc>
          <w:tcPr>
            <w:tcW w:w="170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五乡西街—火车路南</w:t>
            </w:r>
          </w:p>
        </w:tc>
        <w:tc>
          <w:tcPr>
            <w:tcW w:w="1029"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370</w:t>
            </w:r>
          </w:p>
        </w:tc>
        <w:tc>
          <w:tcPr>
            <w:tcW w:w="1021"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11100</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11100</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回江南路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329国道—西矸桥</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18</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5400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5400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太白水厂—武术学校</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16800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16800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通途路—振兴路</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18</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27000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27000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老村旁边、人行道</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振兴路—329国道</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学校周围绿化带</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龙兴路—太平桥</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1800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43200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43200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慢车道、绿化带</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107终点站—太平桥</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621</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14904</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14904</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含人行道各4米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通途路—中江远东</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30800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30800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人行道、绿化带、慢车道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16</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振兴路—帽纸厂</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慢车道、绿化带</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2"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17</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中洲路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五乡北路—329国道，329国道-丰银电池</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33600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33600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人行道、绿化带、慢车道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18</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精达路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美迪斯南路—中州路</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4500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4500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w:t>
            </w:r>
          </w:p>
        </w:tc>
        <w:tc>
          <w:tcPr>
            <w:tcW w:w="170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龙兴路--中州路</w:t>
            </w:r>
          </w:p>
        </w:tc>
        <w:tc>
          <w:tcPr>
            <w:tcW w:w="1029"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850</w:t>
            </w:r>
          </w:p>
        </w:tc>
        <w:tc>
          <w:tcPr>
            <w:tcW w:w="102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18</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15300</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15300</w:t>
            </w:r>
          </w:p>
        </w:tc>
        <w:tc>
          <w:tcPr>
            <w:tcW w:w="1030" w:type="dxa"/>
            <w:shd w:val="clear" w:color="000000" w:fill="FFFFFF"/>
            <w:noWrap/>
            <w:vAlign w:val="center"/>
          </w:tcPr>
          <w:p>
            <w:pPr>
              <w:widowControl/>
              <w:jc w:val="center"/>
              <w:rPr>
                <w:rFonts w:ascii="Times New Roman" w:hAnsi="Times New Roman" w:cs="宋体"/>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绿化带</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20</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三江路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美迪斯路—中州路</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4500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4500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21</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金腾路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329国道—五乡北路</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15400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15400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精英路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中洲路-中洲路（半圆）</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650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5850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5850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绿化带</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鑫瑞路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龙兴路—沿山干河</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550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6050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人行路4米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24</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金通路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五乡北路-美迪斯路（转弯）</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940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9400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9400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绿化带5米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善华路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李家洋庵桥头-爱民南路（轻轨前）</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10000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10000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26</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四安高速桥下停车场</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靠329国道</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170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5100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5100</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27</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蟠龙北路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329国道—小水泥桥</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28</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五乡西街延伸段</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爱民路—四安积庆桥</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29</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原镇南菜场北边沿河道路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汇矸桥—镇南桥</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600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垃圾中转站垃圾清理</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原***面前道路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329国道—回江路</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650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3900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3900</w:t>
            </w:r>
          </w:p>
        </w:tc>
        <w:tc>
          <w:tcPr>
            <w:tcW w:w="1030" w:type="dxa"/>
            <w:noWrap/>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31</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马园新村停车场</w:t>
            </w:r>
          </w:p>
        </w:tc>
        <w:tc>
          <w:tcPr>
            <w:tcW w:w="1701" w:type="dxa"/>
            <w:noWrap/>
            <w:vAlign w:val="center"/>
          </w:tcPr>
          <w:p>
            <w:pPr>
              <w:widowControl/>
              <w:jc w:val="center"/>
              <w:rPr>
                <w:rFonts w:ascii="Times New Roman" w:hAnsi="Times New Roman" w:cs="宋体"/>
                <w:kern w:val="0"/>
                <w:sz w:val="18"/>
                <w:szCs w:val="18"/>
              </w:rPr>
            </w:pPr>
          </w:p>
        </w:tc>
        <w:tc>
          <w:tcPr>
            <w:tcW w:w="1029" w:type="dxa"/>
            <w:noWrap/>
            <w:vAlign w:val="center"/>
          </w:tcPr>
          <w:p>
            <w:pPr>
              <w:widowControl/>
              <w:jc w:val="center"/>
              <w:rPr>
                <w:rFonts w:ascii="Times New Roman" w:hAnsi="Times New Roman" w:cs="宋体"/>
                <w:kern w:val="0"/>
                <w:sz w:val="18"/>
                <w:szCs w:val="18"/>
              </w:rPr>
            </w:pPr>
          </w:p>
        </w:tc>
        <w:tc>
          <w:tcPr>
            <w:tcW w:w="1021" w:type="dxa"/>
            <w:noWrap/>
            <w:vAlign w:val="center"/>
          </w:tcPr>
          <w:p>
            <w:pPr>
              <w:widowControl/>
              <w:jc w:val="center"/>
              <w:rPr>
                <w:rFonts w:ascii="Times New Roman" w:hAnsi="Times New Roman" w:cs="宋体"/>
                <w:kern w:val="0"/>
                <w:sz w:val="18"/>
                <w:szCs w:val="18"/>
              </w:rPr>
            </w:pP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2560</w:t>
            </w:r>
          </w:p>
        </w:tc>
        <w:tc>
          <w:tcPr>
            <w:tcW w:w="1066" w:type="dxa"/>
            <w:noWrap/>
            <w:vAlign w:val="center"/>
          </w:tcPr>
          <w:p>
            <w:pPr>
              <w:widowControl/>
              <w:jc w:val="center"/>
              <w:rPr>
                <w:rFonts w:ascii="Times New Roman" w:hAnsi="Times New Roman" w:cs="宋体"/>
                <w:kern w:val="0"/>
                <w:sz w:val="18"/>
                <w:szCs w:val="18"/>
              </w:rPr>
            </w:pP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2560</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马园新村道路</w:t>
            </w:r>
          </w:p>
        </w:tc>
        <w:tc>
          <w:tcPr>
            <w:tcW w:w="1701" w:type="dxa"/>
            <w:noWrap/>
            <w:vAlign w:val="center"/>
          </w:tcPr>
          <w:p>
            <w:pPr>
              <w:widowControl/>
              <w:jc w:val="center"/>
              <w:rPr>
                <w:rFonts w:ascii="Times New Roman" w:hAnsi="Times New Roman" w:cs="宋体"/>
                <w:kern w:val="0"/>
                <w:sz w:val="18"/>
                <w:szCs w:val="18"/>
              </w:rPr>
            </w:pP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1200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回江北路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329国道-皎矸礼堂</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（5+10）</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2750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2750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（150*5+200*10）＝2750平米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34</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镇南新村弄道（包括老菜场）</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弄道（含老菜场）</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770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6070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3070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3000</w:t>
            </w: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道路（130*3*3+380*5）＝3070平米，原菜场公园3000平米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爱民北路</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329国道—泰和馨苑</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24</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36</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蟠龙北村弄堂</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原煤球厂东新村地块</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370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（4+7）</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1960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1960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70*3*4+160*7=1960</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37</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东街</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回江南路—大桥头</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260</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7800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7800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38</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堰塘路</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大桥头-仁久凉亭</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275</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1375</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1375</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39</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马园路南小路</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马园小公园-堰塘</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70</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5"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40</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李家洋火车桥南面停车场</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（含轻轨站停车场）</w:t>
            </w:r>
          </w:p>
        </w:tc>
        <w:tc>
          <w:tcPr>
            <w:tcW w:w="1029" w:type="dxa"/>
            <w:noWrap w:val="0"/>
            <w:vAlign w:val="center"/>
          </w:tcPr>
          <w:p>
            <w:pPr>
              <w:widowControl/>
              <w:jc w:val="center"/>
              <w:rPr>
                <w:rFonts w:ascii="Times New Roman" w:hAnsi="Times New Roman" w:cs="宋体"/>
                <w:kern w:val="0"/>
                <w:sz w:val="18"/>
                <w:szCs w:val="18"/>
              </w:rPr>
            </w:pPr>
          </w:p>
        </w:tc>
        <w:tc>
          <w:tcPr>
            <w:tcW w:w="1021" w:type="dxa"/>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3000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3000</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四个停车场</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41</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钢材市场前二个停车场</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钢材市场前</w:t>
            </w:r>
          </w:p>
        </w:tc>
        <w:tc>
          <w:tcPr>
            <w:tcW w:w="1029" w:type="dxa"/>
            <w:noWrap w:val="0"/>
            <w:vAlign w:val="center"/>
          </w:tcPr>
          <w:p>
            <w:pPr>
              <w:widowControl/>
              <w:jc w:val="center"/>
              <w:rPr>
                <w:rFonts w:ascii="Times New Roman" w:hAnsi="Times New Roman" w:cs="宋体"/>
                <w:kern w:val="0"/>
                <w:sz w:val="18"/>
                <w:szCs w:val="18"/>
              </w:rPr>
            </w:pPr>
          </w:p>
        </w:tc>
        <w:tc>
          <w:tcPr>
            <w:tcW w:w="1021" w:type="dxa"/>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2000</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二个停车场</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贵玉小学东侧道路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振兴路-贵玉小学南面道路</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245</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3920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3920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贵玉小学南侧道路</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龙兴路-沿山干河</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260</w:t>
            </w:r>
          </w:p>
        </w:tc>
        <w:tc>
          <w:tcPr>
            <w:tcW w:w="102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2600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2600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44</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五乡镇政府机关道路和车库</w:t>
            </w:r>
          </w:p>
        </w:tc>
        <w:tc>
          <w:tcPr>
            <w:tcW w:w="1701" w:type="dxa"/>
            <w:noWrap/>
            <w:vAlign w:val="center"/>
          </w:tcPr>
          <w:p>
            <w:pPr>
              <w:widowControl/>
              <w:jc w:val="center"/>
              <w:rPr>
                <w:rFonts w:ascii="Times New Roman" w:hAnsi="Times New Roman" w:cs="宋体"/>
                <w:kern w:val="0"/>
                <w:sz w:val="18"/>
                <w:szCs w:val="18"/>
              </w:rPr>
            </w:pPr>
          </w:p>
        </w:tc>
        <w:tc>
          <w:tcPr>
            <w:tcW w:w="1029" w:type="dxa"/>
            <w:noWrap/>
            <w:vAlign w:val="center"/>
          </w:tcPr>
          <w:p>
            <w:pPr>
              <w:widowControl/>
              <w:jc w:val="center"/>
              <w:rPr>
                <w:rFonts w:ascii="Times New Roman" w:hAnsi="Times New Roman" w:cs="宋体"/>
                <w:kern w:val="0"/>
                <w:sz w:val="18"/>
                <w:szCs w:val="18"/>
              </w:rPr>
            </w:pPr>
          </w:p>
        </w:tc>
        <w:tc>
          <w:tcPr>
            <w:tcW w:w="1021" w:type="dxa"/>
            <w:noWrap/>
            <w:vAlign w:val="center"/>
          </w:tcPr>
          <w:p>
            <w:pPr>
              <w:widowControl/>
              <w:jc w:val="center"/>
              <w:rPr>
                <w:rFonts w:ascii="Times New Roman" w:hAnsi="Times New Roman" w:cs="宋体"/>
                <w:kern w:val="0"/>
                <w:sz w:val="18"/>
                <w:szCs w:val="18"/>
              </w:rPr>
            </w:pP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5300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5300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含车库、河坎等面积</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宝幢轨道交通</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停车场</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88</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48</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4224</w:t>
            </w:r>
          </w:p>
        </w:tc>
        <w:tc>
          <w:tcPr>
            <w:tcW w:w="1066" w:type="dxa"/>
            <w:noWrap/>
            <w:vAlign w:val="center"/>
          </w:tcPr>
          <w:p>
            <w:pPr>
              <w:widowControl/>
              <w:jc w:val="center"/>
              <w:rPr>
                <w:rFonts w:ascii="Times New Roman" w:hAnsi="Times New Roman"/>
                <w:kern w:val="0"/>
                <w:sz w:val="18"/>
                <w:szCs w:val="18"/>
              </w:rPr>
            </w:pP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4224</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46</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宝幢轨道交通公交首末站外</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停车场</w:t>
            </w:r>
          </w:p>
        </w:tc>
        <w:tc>
          <w:tcPr>
            <w:tcW w:w="1029" w:type="dxa"/>
            <w:noWrap/>
            <w:vAlign w:val="center"/>
          </w:tcPr>
          <w:p>
            <w:pPr>
              <w:widowControl/>
              <w:jc w:val="center"/>
              <w:rPr>
                <w:rFonts w:ascii="Times New Roman" w:hAnsi="Times New Roman"/>
                <w:kern w:val="0"/>
                <w:sz w:val="18"/>
                <w:szCs w:val="18"/>
              </w:rPr>
            </w:pPr>
          </w:p>
        </w:tc>
        <w:tc>
          <w:tcPr>
            <w:tcW w:w="1021" w:type="dxa"/>
            <w:noWrap/>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066" w:type="dxa"/>
            <w:noWrap/>
            <w:vAlign w:val="center"/>
          </w:tcPr>
          <w:p>
            <w:pPr>
              <w:widowControl/>
              <w:jc w:val="center"/>
              <w:rPr>
                <w:rFonts w:ascii="Times New Roman" w:hAnsi="Times New Roman"/>
                <w:kern w:val="0"/>
                <w:sz w:val="18"/>
                <w:szCs w:val="18"/>
              </w:rPr>
            </w:pP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47</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懋德路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仁久二墓园牌-桥头</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210</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2100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2100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48</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逸夫中学东弄道</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329国道起</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110</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440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440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49</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旭力路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329国道起</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270</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9</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2430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2430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50</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新诚村牌楼路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329国道-振兴路</w:t>
            </w:r>
          </w:p>
        </w:tc>
        <w:tc>
          <w:tcPr>
            <w:tcW w:w="1029" w:type="dxa"/>
            <w:noWrap/>
            <w:vAlign w:val="center"/>
          </w:tcPr>
          <w:p>
            <w:pPr>
              <w:widowControl/>
              <w:jc w:val="center"/>
              <w:rPr>
                <w:rFonts w:ascii="Times New Roman" w:hAnsi="Times New Roman"/>
                <w:kern w:val="0"/>
                <w:sz w:val="18"/>
                <w:szCs w:val="18"/>
              </w:rPr>
            </w:pPr>
          </w:p>
        </w:tc>
        <w:tc>
          <w:tcPr>
            <w:tcW w:w="1021" w:type="dxa"/>
            <w:noWrap/>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1600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1600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51</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天童庄史丹利</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公园西边</w:t>
            </w:r>
          </w:p>
        </w:tc>
        <w:tc>
          <w:tcPr>
            <w:tcW w:w="1029" w:type="dxa"/>
            <w:noWrap/>
            <w:vAlign w:val="center"/>
          </w:tcPr>
          <w:p>
            <w:pPr>
              <w:widowControl/>
              <w:jc w:val="center"/>
              <w:rPr>
                <w:rFonts w:ascii="Times New Roman" w:hAnsi="Times New Roman"/>
                <w:kern w:val="0"/>
                <w:sz w:val="18"/>
                <w:szCs w:val="18"/>
              </w:rPr>
            </w:pPr>
          </w:p>
        </w:tc>
        <w:tc>
          <w:tcPr>
            <w:tcW w:w="1021" w:type="dxa"/>
            <w:noWrap/>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480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480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52</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皎矸樟漕路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大桥头南-富汇半岛东门</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130</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5</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650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650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53</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庵桥头路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庵桥头-爱民东路</w:t>
            </w:r>
          </w:p>
        </w:tc>
        <w:tc>
          <w:tcPr>
            <w:tcW w:w="1029"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130</w:t>
            </w:r>
          </w:p>
        </w:tc>
        <w:tc>
          <w:tcPr>
            <w:tcW w:w="1021"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3.5</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455</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4500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9001</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54</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农业银行东</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河边</w:t>
            </w:r>
          </w:p>
        </w:tc>
        <w:tc>
          <w:tcPr>
            <w:tcW w:w="1029" w:type="dxa"/>
            <w:noWrap/>
            <w:vAlign w:val="center"/>
          </w:tcPr>
          <w:p>
            <w:pPr>
              <w:widowControl/>
              <w:jc w:val="center"/>
              <w:rPr>
                <w:rFonts w:ascii="Times New Roman" w:hAnsi="Times New Roman"/>
                <w:kern w:val="0"/>
                <w:sz w:val="18"/>
                <w:szCs w:val="18"/>
              </w:rPr>
            </w:pPr>
          </w:p>
        </w:tc>
        <w:tc>
          <w:tcPr>
            <w:tcW w:w="1021" w:type="dxa"/>
            <w:noWrap/>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350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55</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四安铁路桥下</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329国道北边</w:t>
            </w:r>
          </w:p>
        </w:tc>
        <w:tc>
          <w:tcPr>
            <w:tcW w:w="1029" w:type="dxa"/>
            <w:noWrap/>
            <w:vAlign w:val="center"/>
          </w:tcPr>
          <w:p>
            <w:pPr>
              <w:widowControl/>
              <w:jc w:val="center"/>
              <w:rPr>
                <w:rFonts w:ascii="Times New Roman" w:hAnsi="Times New Roman"/>
                <w:kern w:val="0"/>
                <w:sz w:val="18"/>
                <w:szCs w:val="18"/>
              </w:rPr>
            </w:pPr>
          </w:p>
        </w:tc>
        <w:tc>
          <w:tcPr>
            <w:tcW w:w="1021" w:type="dxa"/>
            <w:noWrap/>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1100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1100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56</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东大道南道路</w:t>
            </w:r>
          </w:p>
        </w:tc>
        <w:tc>
          <w:tcPr>
            <w:tcW w:w="170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爱民北路-河道东</w:t>
            </w:r>
          </w:p>
        </w:tc>
        <w:tc>
          <w:tcPr>
            <w:tcW w:w="1029"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258</w:t>
            </w:r>
          </w:p>
        </w:tc>
        <w:tc>
          <w:tcPr>
            <w:tcW w:w="1021"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12</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3096</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3096</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258*（2+8+2）</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三级，保洁面积：9000M2/工日；保洁时间：8h/工日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57</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行政服务中心后停车场</w:t>
            </w:r>
          </w:p>
        </w:tc>
        <w:tc>
          <w:tcPr>
            <w:tcW w:w="170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二个中心后停车场</w:t>
            </w:r>
          </w:p>
        </w:tc>
        <w:tc>
          <w:tcPr>
            <w:tcW w:w="1029" w:type="dxa"/>
            <w:shd w:val="clear" w:color="000000" w:fill="FFFFFF"/>
            <w:noWrap/>
            <w:vAlign w:val="center"/>
          </w:tcPr>
          <w:p>
            <w:pPr>
              <w:widowControl/>
              <w:jc w:val="center"/>
              <w:rPr>
                <w:rFonts w:ascii="Times New Roman" w:hAnsi="Times New Roman" w:cs="宋体"/>
                <w:kern w:val="0"/>
                <w:sz w:val="18"/>
                <w:szCs w:val="18"/>
              </w:rPr>
            </w:pPr>
          </w:p>
        </w:tc>
        <w:tc>
          <w:tcPr>
            <w:tcW w:w="1021" w:type="dxa"/>
            <w:shd w:val="clear" w:color="000000" w:fill="FFFFFF"/>
            <w:noWrap/>
            <w:vAlign w:val="center"/>
          </w:tcPr>
          <w:p>
            <w:pPr>
              <w:widowControl/>
              <w:jc w:val="center"/>
              <w:rPr>
                <w:rFonts w:ascii="Times New Roman" w:hAnsi="Times New Roman" w:cs="宋体"/>
                <w:kern w:val="0"/>
                <w:sz w:val="18"/>
                <w:szCs w:val="18"/>
              </w:rPr>
            </w:pPr>
          </w:p>
        </w:tc>
        <w:tc>
          <w:tcPr>
            <w:tcW w:w="1142"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1600</w:t>
            </w:r>
          </w:p>
        </w:tc>
        <w:tc>
          <w:tcPr>
            <w:tcW w:w="1066" w:type="dxa"/>
            <w:shd w:val="clear" w:color="000000" w:fill="FFFFFF"/>
            <w:noWrap/>
            <w:vAlign w:val="center"/>
          </w:tcPr>
          <w:p>
            <w:pPr>
              <w:widowControl/>
              <w:jc w:val="center"/>
              <w:rPr>
                <w:rFonts w:ascii="Times New Roman" w:hAnsi="Times New Roman" w:cs="宋体"/>
                <w:kern w:val="0"/>
                <w:sz w:val="18"/>
                <w:szCs w:val="18"/>
              </w:rPr>
            </w:pPr>
          </w:p>
        </w:tc>
        <w:tc>
          <w:tcPr>
            <w:tcW w:w="1030" w:type="dxa"/>
            <w:shd w:val="clear" w:color="000000" w:fill="FFFFFF"/>
            <w:noWrap/>
            <w:vAlign w:val="center"/>
          </w:tcPr>
          <w:p>
            <w:pPr>
              <w:widowControl/>
              <w:jc w:val="center"/>
              <w:rPr>
                <w:rFonts w:ascii="Times New Roman" w:hAnsi="Times New Roman" w:cs="宋体"/>
                <w:kern w:val="0"/>
                <w:sz w:val="18"/>
                <w:szCs w:val="18"/>
              </w:rPr>
            </w:pPr>
          </w:p>
        </w:tc>
        <w:tc>
          <w:tcPr>
            <w:tcW w:w="737" w:type="dxa"/>
            <w:shd w:val="clear" w:color="000000" w:fill="FFFFFF"/>
            <w:noWrap/>
            <w:vAlign w:val="center"/>
          </w:tcPr>
          <w:p>
            <w:pPr>
              <w:widowControl/>
              <w:jc w:val="center"/>
              <w:rPr>
                <w:rFonts w:ascii="Times New Roman" w:hAnsi="Times New Roman" w:cs="宋体"/>
                <w:kern w:val="0"/>
                <w:sz w:val="18"/>
                <w:szCs w:val="18"/>
              </w:rPr>
            </w:pPr>
          </w:p>
        </w:tc>
        <w:tc>
          <w:tcPr>
            <w:tcW w:w="995"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1600</w:t>
            </w: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5"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58</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马园新村</w:t>
            </w:r>
          </w:p>
        </w:tc>
        <w:tc>
          <w:tcPr>
            <w:tcW w:w="1701"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小区内巷弄</w:t>
            </w:r>
          </w:p>
        </w:tc>
        <w:tc>
          <w:tcPr>
            <w:tcW w:w="1029" w:type="dxa"/>
            <w:shd w:val="clear" w:color="000000" w:fill="FFFFFF"/>
            <w:noWrap/>
            <w:vAlign w:val="center"/>
          </w:tcPr>
          <w:p>
            <w:pPr>
              <w:widowControl/>
              <w:jc w:val="center"/>
              <w:rPr>
                <w:rFonts w:ascii="Times New Roman" w:hAnsi="Times New Roman" w:cs="宋体"/>
                <w:kern w:val="0"/>
                <w:sz w:val="18"/>
                <w:szCs w:val="18"/>
              </w:rPr>
            </w:pPr>
          </w:p>
        </w:tc>
        <w:tc>
          <w:tcPr>
            <w:tcW w:w="1021" w:type="dxa"/>
            <w:shd w:val="clear" w:color="000000" w:fill="FFFFFF"/>
            <w:noWrap/>
            <w:vAlign w:val="center"/>
          </w:tcPr>
          <w:p>
            <w:pPr>
              <w:widowControl/>
              <w:jc w:val="center"/>
              <w:rPr>
                <w:rFonts w:ascii="Times New Roman" w:hAnsi="Times New Roman" w:cs="宋体"/>
                <w:kern w:val="0"/>
                <w:sz w:val="18"/>
                <w:szCs w:val="18"/>
              </w:rPr>
            </w:pPr>
          </w:p>
        </w:tc>
        <w:tc>
          <w:tcPr>
            <w:tcW w:w="1142"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3097</w:t>
            </w:r>
          </w:p>
        </w:tc>
        <w:tc>
          <w:tcPr>
            <w:tcW w:w="1066"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3097</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[西侧（北至南）29*（10+6）/2+31*4+31*2.7+38*4+50*3.9+63*3.9+78*3.7+77*3.8+78*4+60*4]+[东侧北至南31*3.5+43*3+40*3.9+46*3.9+46*3.8+46*4]</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59</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菜场南小路（新江厦超市南）</w:t>
            </w:r>
          </w:p>
        </w:tc>
        <w:tc>
          <w:tcPr>
            <w:tcW w:w="1701"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爱民路-个人民房</w:t>
            </w:r>
          </w:p>
        </w:tc>
        <w:tc>
          <w:tcPr>
            <w:tcW w:w="1029"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139</w:t>
            </w:r>
          </w:p>
        </w:tc>
        <w:tc>
          <w:tcPr>
            <w:tcW w:w="1021"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5.5+7.5</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822</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822</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（110*5.5+29*7.5）＝822</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60</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云鹤A区巷弄</w:t>
            </w:r>
          </w:p>
        </w:tc>
        <w:tc>
          <w:tcPr>
            <w:tcW w:w="1701"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小区内道路保洁</w:t>
            </w:r>
          </w:p>
        </w:tc>
        <w:tc>
          <w:tcPr>
            <w:tcW w:w="1029" w:type="dxa"/>
            <w:shd w:val="clear" w:color="000000" w:fill="FFFFFF"/>
            <w:noWrap/>
            <w:vAlign w:val="center"/>
          </w:tcPr>
          <w:p>
            <w:pPr>
              <w:widowControl/>
              <w:jc w:val="center"/>
              <w:rPr>
                <w:rFonts w:ascii="Times New Roman" w:hAnsi="Times New Roman" w:cs="宋体"/>
                <w:kern w:val="0"/>
                <w:sz w:val="18"/>
                <w:szCs w:val="18"/>
              </w:rPr>
            </w:pPr>
          </w:p>
        </w:tc>
        <w:tc>
          <w:tcPr>
            <w:tcW w:w="1021" w:type="dxa"/>
            <w:shd w:val="clear" w:color="000000" w:fill="FFFFFF"/>
            <w:noWrap/>
            <w:vAlign w:val="center"/>
          </w:tcPr>
          <w:p>
            <w:pPr>
              <w:widowControl/>
              <w:jc w:val="center"/>
              <w:rPr>
                <w:rFonts w:ascii="Times New Roman" w:hAnsi="Times New Roman" w:cs="宋体"/>
                <w:kern w:val="0"/>
                <w:sz w:val="18"/>
                <w:szCs w:val="18"/>
              </w:rPr>
            </w:pPr>
          </w:p>
        </w:tc>
        <w:tc>
          <w:tcPr>
            <w:tcW w:w="1142"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4346</w:t>
            </w:r>
          </w:p>
        </w:tc>
        <w:tc>
          <w:tcPr>
            <w:tcW w:w="1066"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4346</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主路2715.68平米，北一路169.87平米，北二路288.13平米，北三路372.7平米，绿化800平米，合计4346平米。包括绿化</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61</w:t>
            </w:r>
          </w:p>
        </w:tc>
        <w:tc>
          <w:tcPr>
            <w:tcW w:w="992"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云鹤B区巷弄</w:t>
            </w:r>
          </w:p>
        </w:tc>
        <w:tc>
          <w:tcPr>
            <w:tcW w:w="1701"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小区内道路保洁</w:t>
            </w:r>
          </w:p>
        </w:tc>
        <w:tc>
          <w:tcPr>
            <w:tcW w:w="1029" w:type="dxa"/>
            <w:shd w:val="clear" w:color="000000" w:fill="FFFFFF"/>
            <w:noWrap/>
            <w:vAlign w:val="center"/>
          </w:tcPr>
          <w:p>
            <w:pPr>
              <w:widowControl/>
              <w:jc w:val="center"/>
              <w:rPr>
                <w:rFonts w:ascii="Times New Roman" w:hAnsi="Times New Roman" w:cs="宋体"/>
                <w:kern w:val="0"/>
                <w:sz w:val="18"/>
                <w:szCs w:val="18"/>
              </w:rPr>
            </w:pPr>
          </w:p>
        </w:tc>
        <w:tc>
          <w:tcPr>
            <w:tcW w:w="1021" w:type="dxa"/>
            <w:shd w:val="clear" w:color="000000" w:fill="FFFFFF"/>
            <w:noWrap/>
            <w:vAlign w:val="center"/>
          </w:tcPr>
          <w:p>
            <w:pPr>
              <w:widowControl/>
              <w:jc w:val="center"/>
              <w:rPr>
                <w:rFonts w:ascii="Times New Roman" w:hAnsi="Times New Roman" w:cs="宋体"/>
                <w:kern w:val="0"/>
                <w:sz w:val="18"/>
                <w:szCs w:val="18"/>
              </w:rPr>
            </w:pPr>
          </w:p>
        </w:tc>
        <w:tc>
          <w:tcPr>
            <w:tcW w:w="1142"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1792</w:t>
            </w:r>
          </w:p>
        </w:tc>
        <w:tc>
          <w:tcPr>
            <w:tcW w:w="1066" w:type="dxa"/>
            <w:shd w:val="clear" w:color="000000" w:fill="FFFFFF"/>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1792</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包括绿化</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62</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107终点站—太史湾</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720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5040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5040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绿化带6米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1"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63</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育王寺西后道路</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育王寺牌楼-育王后门</w:t>
            </w:r>
          </w:p>
        </w:tc>
        <w:tc>
          <w:tcPr>
            <w:tcW w:w="102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560</w:t>
            </w:r>
          </w:p>
        </w:tc>
        <w:tc>
          <w:tcPr>
            <w:tcW w:w="102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6720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6720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人行道、绿化带、菜场旁、学校车站周围等</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64</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高速公路地面道路北段</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329国道—高速入口</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760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13</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9880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9880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65</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高速公路地面道路南段</w:t>
            </w:r>
          </w:p>
        </w:tc>
        <w:tc>
          <w:tcPr>
            <w:tcW w:w="170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329国道—四安积庆桥</w:t>
            </w:r>
          </w:p>
        </w:tc>
        <w:tc>
          <w:tcPr>
            <w:tcW w:w="1029"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390</w:t>
            </w:r>
          </w:p>
        </w:tc>
        <w:tc>
          <w:tcPr>
            <w:tcW w:w="1021"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5850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5850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noWrap w:val="0"/>
            <w:vAlign w:val="center"/>
          </w:tcPr>
          <w:p>
            <w:pPr>
              <w:widowControl/>
              <w:jc w:val="center"/>
              <w:rPr>
                <w:rFonts w:ascii="Times New Roman" w:hAnsi="Times New Roman"/>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66</w:t>
            </w:r>
          </w:p>
        </w:tc>
        <w:tc>
          <w:tcPr>
            <w:tcW w:w="99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五乡原临时菜市场室外停车场</w:t>
            </w:r>
          </w:p>
        </w:tc>
        <w:tc>
          <w:tcPr>
            <w:tcW w:w="1701"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室外保洁</w:t>
            </w:r>
          </w:p>
        </w:tc>
        <w:tc>
          <w:tcPr>
            <w:tcW w:w="1029" w:type="dxa"/>
            <w:noWrap w:val="0"/>
            <w:vAlign w:val="center"/>
          </w:tcPr>
          <w:p>
            <w:pPr>
              <w:widowControl/>
              <w:jc w:val="center"/>
              <w:rPr>
                <w:rFonts w:ascii="Times New Roman" w:hAnsi="Times New Roman" w:cs="宋体"/>
                <w:kern w:val="0"/>
                <w:sz w:val="18"/>
                <w:szCs w:val="18"/>
              </w:rPr>
            </w:pPr>
          </w:p>
        </w:tc>
        <w:tc>
          <w:tcPr>
            <w:tcW w:w="1021" w:type="dxa"/>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6000</w:t>
            </w:r>
          </w:p>
        </w:tc>
        <w:tc>
          <w:tcPr>
            <w:tcW w:w="106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6000</w:t>
            </w:r>
          </w:p>
        </w:tc>
        <w:tc>
          <w:tcPr>
            <w:tcW w:w="1030" w:type="dxa"/>
            <w:noWrap w:val="0"/>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市场室外保洁6000㎡</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67</w:t>
            </w:r>
          </w:p>
        </w:tc>
        <w:tc>
          <w:tcPr>
            <w:tcW w:w="99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宝幢菜市场</w:t>
            </w:r>
          </w:p>
        </w:tc>
        <w:tc>
          <w:tcPr>
            <w:tcW w:w="1701"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室内外保洁</w:t>
            </w:r>
          </w:p>
        </w:tc>
        <w:tc>
          <w:tcPr>
            <w:tcW w:w="1029" w:type="dxa"/>
            <w:noWrap/>
            <w:vAlign w:val="center"/>
          </w:tcPr>
          <w:p>
            <w:pPr>
              <w:widowControl/>
              <w:jc w:val="center"/>
              <w:rPr>
                <w:rFonts w:ascii="Times New Roman" w:hAnsi="Times New Roman" w:cs="宋体"/>
                <w:kern w:val="0"/>
                <w:sz w:val="18"/>
                <w:szCs w:val="18"/>
              </w:rPr>
            </w:pPr>
          </w:p>
        </w:tc>
        <w:tc>
          <w:tcPr>
            <w:tcW w:w="1021" w:type="dxa"/>
            <w:noWrap/>
            <w:vAlign w:val="center"/>
          </w:tcPr>
          <w:p>
            <w:pPr>
              <w:widowControl/>
              <w:jc w:val="center"/>
              <w:rPr>
                <w:rFonts w:ascii="Times New Roman" w:hAnsi="Times New Roman" w:cs="宋体"/>
                <w:kern w:val="0"/>
                <w:sz w:val="18"/>
                <w:szCs w:val="18"/>
              </w:rPr>
            </w:pP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9300</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9300</w:t>
            </w:r>
          </w:p>
        </w:tc>
        <w:tc>
          <w:tcPr>
            <w:tcW w:w="1030" w:type="dxa"/>
            <w:noWrap/>
            <w:vAlign w:val="center"/>
          </w:tcPr>
          <w:p>
            <w:pPr>
              <w:widowControl/>
              <w:jc w:val="center"/>
              <w:rPr>
                <w:rFonts w:ascii="Times New Roman" w:hAnsi="Times New Roman" w:cs="宋体"/>
                <w:kern w:val="0"/>
                <w:sz w:val="18"/>
                <w:szCs w:val="18"/>
              </w:rPr>
            </w:pPr>
          </w:p>
        </w:tc>
        <w:tc>
          <w:tcPr>
            <w:tcW w:w="737" w:type="dxa"/>
            <w:noWrap/>
            <w:vAlign w:val="center"/>
          </w:tcPr>
          <w:p>
            <w:pPr>
              <w:widowControl/>
              <w:jc w:val="center"/>
              <w:rPr>
                <w:rFonts w:ascii="Times New Roman" w:hAnsi="Times New Roman" w:cs="宋体"/>
                <w:kern w:val="0"/>
                <w:sz w:val="18"/>
                <w:szCs w:val="18"/>
              </w:rPr>
            </w:pPr>
          </w:p>
        </w:tc>
        <w:tc>
          <w:tcPr>
            <w:tcW w:w="995" w:type="dxa"/>
            <w:noWrap/>
            <w:vAlign w:val="center"/>
          </w:tcPr>
          <w:p>
            <w:pPr>
              <w:widowControl/>
              <w:jc w:val="center"/>
              <w:rPr>
                <w:rFonts w:ascii="Times New Roman" w:hAnsi="Times New Roman" w:cs="宋体"/>
                <w:kern w:val="0"/>
                <w:sz w:val="18"/>
                <w:szCs w:val="18"/>
              </w:rPr>
            </w:pPr>
          </w:p>
        </w:tc>
        <w:tc>
          <w:tcPr>
            <w:tcW w:w="1084"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1600</w:t>
            </w:r>
          </w:p>
        </w:tc>
        <w:tc>
          <w:tcPr>
            <w:tcW w:w="232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市场室外保洁6000㎡，市场室内保洁3300㎡</w:t>
            </w:r>
          </w:p>
        </w:tc>
        <w:tc>
          <w:tcPr>
            <w:tcW w:w="120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一级，保洁面积：1600M2/工日；保洁时间：10h/工日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2"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68</w:t>
            </w:r>
          </w:p>
        </w:tc>
        <w:tc>
          <w:tcPr>
            <w:tcW w:w="992"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宝涵路</w:t>
            </w:r>
          </w:p>
        </w:tc>
        <w:tc>
          <w:tcPr>
            <w:tcW w:w="1701" w:type="dxa"/>
            <w:vMerge w:val="restart"/>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329国道—南外环路</w:t>
            </w:r>
          </w:p>
        </w:tc>
        <w:tc>
          <w:tcPr>
            <w:tcW w:w="1029" w:type="dxa"/>
            <w:vMerge w:val="restart"/>
            <w:noWrap/>
            <w:vAlign w:val="center"/>
          </w:tcPr>
          <w:p>
            <w:pPr>
              <w:widowControl/>
              <w:jc w:val="center"/>
              <w:rPr>
                <w:rFonts w:ascii="Times New Roman" w:hAnsi="Times New Roman"/>
                <w:kern w:val="0"/>
                <w:sz w:val="18"/>
                <w:szCs w:val="18"/>
              </w:rPr>
            </w:pPr>
            <w:r>
              <w:rPr>
                <w:rFonts w:ascii="Times New Roman" w:hAnsi="Times New Roman"/>
                <w:kern w:val="0"/>
                <w:sz w:val="18"/>
                <w:szCs w:val="18"/>
              </w:rPr>
              <w:t>1849</w:t>
            </w:r>
          </w:p>
        </w:tc>
        <w:tc>
          <w:tcPr>
            <w:tcW w:w="1021" w:type="dxa"/>
            <w:vMerge w:val="restart"/>
            <w:noWrap/>
            <w:vAlign w:val="center"/>
          </w:tcPr>
          <w:p>
            <w:pPr>
              <w:widowControl/>
              <w:jc w:val="center"/>
              <w:rPr>
                <w:rFonts w:ascii="Times New Roman" w:hAnsi="Times New Roman"/>
                <w:kern w:val="0"/>
                <w:sz w:val="18"/>
                <w:szCs w:val="18"/>
              </w:rPr>
            </w:pPr>
            <w:r>
              <w:rPr>
                <w:rFonts w:ascii="Times New Roman" w:hAnsi="Times New Roman"/>
                <w:kern w:val="0"/>
                <w:sz w:val="18"/>
                <w:szCs w:val="18"/>
              </w:rPr>
              <w:t>38</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20790</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20790</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长路基宽度38米，道路横断面布置3米中央分隔带+2*（8米机动车道+1.5米机非分隔带+4米非机动车道+4米人行道）；面积合计52500平米，其中：机动车道面积31710平米，非机动车道10600平米，人行道10190平米。</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69</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kern w:val="0"/>
                <w:sz w:val="18"/>
                <w:szCs w:val="18"/>
              </w:rPr>
            </w:pPr>
          </w:p>
        </w:tc>
        <w:tc>
          <w:tcPr>
            <w:tcW w:w="1029" w:type="dxa"/>
            <w:vMerge w:val="continue"/>
            <w:noWrap w:val="0"/>
            <w:vAlign w:val="center"/>
          </w:tcPr>
          <w:p>
            <w:pPr>
              <w:widowControl/>
              <w:jc w:val="center"/>
              <w:rPr>
                <w:rFonts w:ascii="Times New Roman" w:hAnsi="Times New Roman"/>
                <w:kern w:val="0"/>
                <w:sz w:val="18"/>
                <w:szCs w:val="18"/>
              </w:rPr>
            </w:pPr>
          </w:p>
        </w:tc>
        <w:tc>
          <w:tcPr>
            <w:tcW w:w="1021" w:type="dxa"/>
            <w:vMerge w:val="continue"/>
            <w:noWrap w:val="0"/>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31710</w:t>
            </w:r>
          </w:p>
        </w:tc>
        <w:tc>
          <w:tcPr>
            <w:tcW w:w="1066" w:type="dxa"/>
            <w:noWrap/>
            <w:vAlign w:val="center"/>
          </w:tcPr>
          <w:p>
            <w:pPr>
              <w:widowControl/>
              <w:jc w:val="center"/>
              <w:rPr>
                <w:rFonts w:ascii="Times New Roman" w:hAnsi="Times New Roman"/>
                <w:kern w:val="0"/>
                <w:sz w:val="18"/>
                <w:szCs w:val="18"/>
              </w:rPr>
            </w:pPr>
          </w:p>
        </w:tc>
        <w:tc>
          <w:tcPr>
            <w:tcW w:w="1030"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31710</w:t>
            </w: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8"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70</w:t>
            </w:r>
          </w:p>
        </w:tc>
        <w:tc>
          <w:tcPr>
            <w:tcW w:w="992"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杨柳郡</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规划二路</w:t>
            </w:r>
          </w:p>
        </w:tc>
        <w:tc>
          <w:tcPr>
            <w:tcW w:w="1029" w:type="dxa"/>
            <w:vMerge w:val="restart"/>
            <w:noWrap/>
            <w:vAlign w:val="center"/>
          </w:tcPr>
          <w:p>
            <w:pPr>
              <w:widowControl/>
              <w:jc w:val="center"/>
              <w:rPr>
                <w:rFonts w:ascii="Times New Roman" w:hAnsi="Times New Roman"/>
                <w:kern w:val="0"/>
                <w:sz w:val="18"/>
                <w:szCs w:val="18"/>
              </w:rPr>
            </w:pPr>
            <w:r>
              <w:rPr>
                <w:rFonts w:ascii="Times New Roman" w:hAnsi="Times New Roman"/>
                <w:kern w:val="0"/>
                <w:sz w:val="18"/>
                <w:szCs w:val="18"/>
              </w:rPr>
              <w:t>270.05</w:t>
            </w:r>
          </w:p>
        </w:tc>
        <w:tc>
          <w:tcPr>
            <w:tcW w:w="1021" w:type="dxa"/>
            <w:vMerge w:val="restart"/>
            <w:noWrap/>
            <w:vAlign w:val="center"/>
          </w:tcPr>
          <w:p>
            <w:pPr>
              <w:widowControl/>
              <w:jc w:val="center"/>
              <w:rPr>
                <w:rFonts w:ascii="Times New Roman" w:hAnsi="Times New Roman"/>
                <w:kern w:val="0"/>
                <w:sz w:val="18"/>
                <w:szCs w:val="18"/>
              </w:rPr>
            </w:pPr>
            <w:r>
              <w:rPr>
                <w:rFonts w:ascii="Times New Roman" w:hAnsi="Times New Roman"/>
                <w:kern w:val="0"/>
                <w:sz w:val="18"/>
                <w:szCs w:val="18"/>
              </w:rPr>
              <w:t>35</w:t>
            </w: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5130.95</w:t>
            </w:r>
          </w:p>
        </w:tc>
        <w:tc>
          <w:tcPr>
            <w:tcW w:w="1066"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5130.95</w:t>
            </w:r>
          </w:p>
        </w:tc>
        <w:tc>
          <w:tcPr>
            <w:tcW w:w="1030" w:type="dxa"/>
            <w:noWrap/>
            <w:vAlign w:val="center"/>
          </w:tcPr>
          <w:p>
            <w:pPr>
              <w:widowControl/>
              <w:jc w:val="center"/>
              <w:rPr>
                <w:rFonts w:ascii="Times New Roman" w:hAnsi="Times New Roman"/>
                <w:kern w:val="0"/>
                <w:sz w:val="18"/>
                <w:szCs w:val="18"/>
              </w:rPr>
            </w:pP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长路基宽度47米，道路横断面布置　6米中央分隔带+2*（8米机动车道+3米机非分隔带+3.5米非机动车道+6米人行道）；面积合计9451.75平米，其中：机动车道面积4320.8平米，非机动车道1890.35平米，人行道3240.6平米。</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71</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kern w:val="0"/>
                <w:sz w:val="18"/>
                <w:szCs w:val="18"/>
              </w:rPr>
            </w:pPr>
          </w:p>
        </w:tc>
        <w:tc>
          <w:tcPr>
            <w:tcW w:w="1021" w:type="dxa"/>
            <w:vMerge w:val="continue"/>
            <w:noWrap w:val="0"/>
            <w:vAlign w:val="center"/>
          </w:tcPr>
          <w:p>
            <w:pPr>
              <w:widowControl/>
              <w:jc w:val="center"/>
              <w:rPr>
                <w:rFonts w:ascii="Times New Roman" w:hAnsi="Times New Roman"/>
                <w:kern w:val="0"/>
                <w:sz w:val="18"/>
                <w:szCs w:val="18"/>
              </w:rPr>
            </w:pPr>
          </w:p>
        </w:tc>
        <w:tc>
          <w:tcPr>
            <w:tcW w:w="1142"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4320.8</w:t>
            </w:r>
          </w:p>
        </w:tc>
        <w:tc>
          <w:tcPr>
            <w:tcW w:w="1066" w:type="dxa"/>
            <w:noWrap/>
            <w:vAlign w:val="center"/>
          </w:tcPr>
          <w:p>
            <w:pPr>
              <w:widowControl/>
              <w:jc w:val="center"/>
              <w:rPr>
                <w:rFonts w:ascii="Times New Roman" w:hAnsi="Times New Roman"/>
                <w:kern w:val="0"/>
                <w:sz w:val="18"/>
                <w:szCs w:val="18"/>
              </w:rPr>
            </w:pPr>
          </w:p>
        </w:tc>
        <w:tc>
          <w:tcPr>
            <w:tcW w:w="1030" w:type="dxa"/>
            <w:noWrap/>
            <w:vAlign w:val="center"/>
          </w:tcPr>
          <w:p>
            <w:pPr>
              <w:widowControl/>
              <w:jc w:val="center"/>
              <w:rPr>
                <w:rFonts w:ascii="Times New Roman" w:hAnsi="Times New Roman"/>
                <w:kern w:val="0"/>
                <w:sz w:val="18"/>
                <w:szCs w:val="18"/>
              </w:rPr>
            </w:pPr>
            <w:r>
              <w:rPr>
                <w:rFonts w:ascii="Times New Roman" w:hAnsi="Times New Roman"/>
                <w:kern w:val="0"/>
                <w:sz w:val="18"/>
                <w:szCs w:val="18"/>
              </w:rPr>
              <w:t>4320.8</w:t>
            </w:r>
          </w:p>
        </w:tc>
        <w:tc>
          <w:tcPr>
            <w:tcW w:w="737" w:type="dxa"/>
            <w:noWrap/>
            <w:vAlign w:val="center"/>
          </w:tcPr>
          <w:p>
            <w:pPr>
              <w:widowControl/>
              <w:jc w:val="center"/>
              <w:rPr>
                <w:rFonts w:ascii="Times New Roman" w:hAnsi="Times New Roman"/>
                <w:kern w:val="0"/>
                <w:sz w:val="18"/>
                <w:szCs w:val="18"/>
              </w:rPr>
            </w:pPr>
          </w:p>
        </w:tc>
        <w:tc>
          <w:tcPr>
            <w:tcW w:w="995" w:type="dxa"/>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1"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72</w:t>
            </w:r>
          </w:p>
        </w:tc>
        <w:tc>
          <w:tcPr>
            <w:tcW w:w="992" w:type="dxa"/>
            <w:vMerge w:val="restart"/>
            <w:shd w:val="clear" w:color="auto" w:fill="auto"/>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杨柳郡</w:t>
            </w:r>
          </w:p>
        </w:tc>
        <w:tc>
          <w:tcPr>
            <w:tcW w:w="1701" w:type="dxa"/>
            <w:vMerge w:val="restart"/>
            <w:shd w:val="clear" w:color="auto" w:fill="auto"/>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规划三路</w:t>
            </w:r>
          </w:p>
        </w:tc>
        <w:tc>
          <w:tcPr>
            <w:tcW w:w="1029" w:type="dxa"/>
            <w:vMerge w:val="restart"/>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272.12</w:t>
            </w:r>
          </w:p>
        </w:tc>
        <w:tc>
          <w:tcPr>
            <w:tcW w:w="1021" w:type="dxa"/>
            <w:vMerge w:val="restart"/>
            <w:shd w:val="clear" w:color="auto" w:fill="auto"/>
            <w:noWrap/>
            <w:vAlign w:val="center"/>
          </w:tcPr>
          <w:p>
            <w:pPr>
              <w:widowControl/>
              <w:jc w:val="center"/>
              <w:rPr>
                <w:rFonts w:ascii="Times New Roman" w:hAnsi="Times New Roman"/>
                <w:kern w:val="0"/>
                <w:sz w:val="18"/>
                <w:szCs w:val="18"/>
              </w:rPr>
            </w:pPr>
            <w:r>
              <w:rPr>
                <w:rFonts w:ascii="Times New Roman" w:hAnsi="Times New Roman"/>
                <w:kern w:val="0"/>
                <w:sz w:val="18"/>
                <w:szCs w:val="18"/>
              </w:rPr>
              <w:t>45.5</w:t>
            </w:r>
          </w:p>
        </w:tc>
        <w:tc>
          <w:tcPr>
            <w:tcW w:w="1142" w:type="dxa"/>
            <w:shd w:val="clear" w:color="000000" w:fill="FFFFFF"/>
            <w:noWrap/>
            <w:vAlign w:val="center"/>
          </w:tcPr>
          <w:p>
            <w:pPr>
              <w:widowControl/>
              <w:jc w:val="center"/>
              <w:rPr>
                <w:rFonts w:ascii="Times New Roman" w:hAnsi="Times New Roman"/>
                <w:kern w:val="0"/>
                <w:sz w:val="18"/>
                <w:szCs w:val="18"/>
              </w:rPr>
            </w:pPr>
            <w:r>
              <w:rPr>
                <w:rFonts w:ascii="Times New Roman" w:hAnsi="Times New Roman"/>
                <w:kern w:val="0"/>
                <w:sz w:val="18"/>
                <w:szCs w:val="18"/>
              </w:rPr>
              <w:t>2176.96</w:t>
            </w:r>
          </w:p>
        </w:tc>
        <w:tc>
          <w:tcPr>
            <w:tcW w:w="1066" w:type="dxa"/>
            <w:shd w:val="clear" w:color="000000" w:fill="FFFFFF"/>
            <w:noWrap/>
            <w:vAlign w:val="center"/>
          </w:tcPr>
          <w:p>
            <w:pPr>
              <w:widowControl/>
              <w:jc w:val="center"/>
              <w:rPr>
                <w:rFonts w:ascii="Times New Roman" w:hAnsi="Times New Roman"/>
                <w:kern w:val="0"/>
                <w:sz w:val="18"/>
                <w:szCs w:val="18"/>
              </w:rPr>
            </w:pPr>
            <w:r>
              <w:rPr>
                <w:rFonts w:ascii="Times New Roman" w:hAnsi="Times New Roman"/>
                <w:kern w:val="0"/>
                <w:sz w:val="18"/>
                <w:szCs w:val="18"/>
              </w:rPr>
              <w:t>2176.96</w:t>
            </w:r>
          </w:p>
        </w:tc>
        <w:tc>
          <w:tcPr>
            <w:tcW w:w="1030" w:type="dxa"/>
            <w:shd w:val="clear" w:color="000000" w:fill="FFFFFF"/>
            <w:noWrap/>
            <w:vAlign w:val="center"/>
          </w:tcPr>
          <w:p>
            <w:pPr>
              <w:widowControl/>
              <w:jc w:val="center"/>
              <w:rPr>
                <w:rFonts w:ascii="Times New Roman" w:hAnsi="Times New Roman"/>
                <w:kern w:val="0"/>
                <w:sz w:val="18"/>
                <w:szCs w:val="18"/>
              </w:rPr>
            </w:pPr>
          </w:p>
        </w:tc>
        <w:tc>
          <w:tcPr>
            <w:tcW w:w="737" w:type="dxa"/>
            <w:shd w:val="clear" w:color="000000" w:fill="FFFFFF"/>
            <w:noWrap/>
            <w:vAlign w:val="center"/>
          </w:tcPr>
          <w:p>
            <w:pPr>
              <w:widowControl/>
              <w:jc w:val="center"/>
              <w:rPr>
                <w:rFonts w:ascii="Times New Roman" w:hAnsi="Times New Roman"/>
                <w:kern w:val="0"/>
                <w:sz w:val="18"/>
                <w:szCs w:val="18"/>
              </w:rPr>
            </w:pPr>
          </w:p>
        </w:tc>
        <w:tc>
          <w:tcPr>
            <w:tcW w:w="995" w:type="dxa"/>
            <w:shd w:val="clear" w:color="000000" w:fill="FFFFFF"/>
            <w:noWrap/>
            <w:vAlign w:val="center"/>
          </w:tcPr>
          <w:p>
            <w:pPr>
              <w:widowControl/>
              <w:jc w:val="center"/>
              <w:rPr>
                <w:rFonts w:ascii="Times New Roman" w:hAnsi="Times New Roman"/>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长路基宽度47米，道路横断面布置　18米中央分隔带+16.5米高架机动车道+2*（10.5米机动车道+4米人行道）；面积合计12381.46平米，其中：机动车道面积10204.5平米，人行道2176.96平米。</w:t>
            </w:r>
          </w:p>
        </w:tc>
        <w:tc>
          <w:tcPr>
            <w:tcW w:w="1205"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73</w:t>
            </w:r>
          </w:p>
        </w:tc>
        <w:tc>
          <w:tcPr>
            <w:tcW w:w="992" w:type="dxa"/>
            <w:vMerge w:val="continue"/>
            <w:shd w:val="clear" w:color="auto" w:fill="auto"/>
            <w:noWrap w:val="0"/>
            <w:vAlign w:val="center"/>
          </w:tcPr>
          <w:p>
            <w:pPr>
              <w:widowControl/>
              <w:jc w:val="center"/>
              <w:rPr>
                <w:rFonts w:ascii="Times New Roman" w:hAnsi="Times New Roman" w:cs="宋体"/>
                <w:kern w:val="0"/>
                <w:sz w:val="18"/>
                <w:szCs w:val="18"/>
              </w:rPr>
            </w:pPr>
          </w:p>
        </w:tc>
        <w:tc>
          <w:tcPr>
            <w:tcW w:w="1701" w:type="dxa"/>
            <w:vMerge w:val="continue"/>
            <w:shd w:val="clear" w:color="auto" w:fill="auto"/>
            <w:noWrap w:val="0"/>
            <w:vAlign w:val="center"/>
          </w:tcPr>
          <w:p>
            <w:pPr>
              <w:widowControl/>
              <w:jc w:val="center"/>
              <w:rPr>
                <w:rFonts w:ascii="Times New Roman" w:hAnsi="Times New Roman" w:cs="宋体"/>
                <w:kern w:val="0"/>
                <w:sz w:val="18"/>
                <w:szCs w:val="18"/>
              </w:rPr>
            </w:pPr>
          </w:p>
        </w:tc>
        <w:tc>
          <w:tcPr>
            <w:tcW w:w="1029" w:type="dxa"/>
            <w:vMerge w:val="continue"/>
            <w:shd w:val="clear" w:color="auto" w:fill="auto"/>
            <w:noWrap w:val="0"/>
            <w:vAlign w:val="center"/>
          </w:tcPr>
          <w:p>
            <w:pPr>
              <w:widowControl/>
              <w:jc w:val="center"/>
              <w:rPr>
                <w:rFonts w:ascii="Times New Roman" w:hAnsi="Times New Roman"/>
                <w:kern w:val="0"/>
                <w:sz w:val="18"/>
                <w:szCs w:val="18"/>
              </w:rPr>
            </w:pPr>
          </w:p>
        </w:tc>
        <w:tc>
          <w:tcPr>
            <w:tcW w:w="1021" w:type="dxa"/>
            <w:vMerge w:val="continue"/>
            <w:shd w:val="clear" w:color="auto" w:fill="auto"/>
            <w:noWrap w:val="0"/>
            <w:vAlign w:val="center"/>
          </w:tcPr>
          <w:p>
            <w:pPr>
              <w:widowControl/>
              <w:jc w:val="center"/>
              <w:rPr>
                <w:rFonts w:ascii="Times New Roman" w:hAnsi="Times New Roman"/>
                <w:kern w:val="0"/>
                <w:sz w:val="18"/>
                <w:szCs w:val="18"/>
              </w:rPr>
            </w:pPr>
          </w:p>
        </w:tc>
        <w:tc>
          <w:tcPr>
            <w:tcW w:w="1142" w:type="dxa"/>
            <w:shd w:val="clear" w:color="000000" w:fill="FFFFFF"/>
            <w:noWrap/>
            <w:vAlign w:val="center"/>
          </w:tcPr>
          <w:p>
            <w:pPr>
              <w:widowControl/>
              <w:jc w:val="center"/>
              <w:rPr>
                <w:rFonts w:ascii="Times New Roman" w:hAnsi="Times New Roman"/>
                <w:kern w:val="0"/>
                <w:sz w:val="18"/>
                <w:szCs w:val="18"/>
              </w:rPr>
            </w:pPr>
            <w:r>
              <w:rPr>
                <w:rFonts w:ascii="Times New Roman" w:hAnsi="Times New Roman"/>
                <w:kern w:val="0"/>
                <w:sz w:val="18"/>
                <w:szCs w:val="18"/>
              </w:rPr>
              <w:t>10204.5</w:t>
            </w:r>
          </w:p>
        </w:tc>
        <w:tc>
          <w:tcPr>
            <w:tcW w:w="1066" w:type="dxa"/>
            <w:shd w:val="clear" w:color="000000" w:fill="FFFFFF"/>
            <w:noWrap/>
            <w:vAlign w:val="center"/>
          </w:tcPr>
          <w:p>
            <w:pPr>
              <w:widowControl/>
              <w:jc w:val="center"/>
              <w:rPr>
                <w:rFonts w:ascii="Times New Roman" w:hAnsi="Times New Roman"/>
                <w:kern w:val="0"/>
                <w:sz w:val="18"/>
                <w:szCs w:val="18"/>
              </w:rPr>
            </w:pPr>
          </w:p>
        </w:tc>
        <w:tc>
          <w:tcPr>
            <w:tcW w:w="1030" w:type="dxa"/>
            <w:shd w:val="clear" w:color="000000" w:fill="FFFFFF"/>
            <w:noWrap/>
            <w:vAlign w:val="center"/>
          </w:tcPr>
          <w:p>
            <w:pPr>
              <w:widowControl/>
              <w:jc w:val="center"/>
              <w:rPr>
                <w:rFonts w:ascii="Times New Roman" w:hAnsi="Times New Roman"/>
                <w:kern w:val="0"/>
                <w:sz w:val="18"/>
                <w:szCs w:val="18"/>
              </w:rPr>
            </w:pPr>
            <w:r>
              <w:rPr>
                <w:rFonts w:ascii="Times New Roman" w:hAnsi="Times New Roman"/>
                <w:kern w:val="0"/>
                <w:sz w:val="18"/>
                <w:szCs w:val="18"/>
              </w:rPr>
              <w:t>10204.5</w:t>
            </w:r>
          </w:p>
        </w:tc>
        <w:tc>
          <w:tcPr>
            <w:tcW w:w="737" w:type="dxa"/>
            <w:shd w:val="clear" w:color="000000" w:fill="FFFFFF"/>
            <w:noWrap/>
            <w:vAlign w:val="center"/>
          </w:tcPr>
          <w:p>
            <w:pPr>
              <w:widowControl/>
              <w:jc w:val="center"/>
              <w:rPr>
                <w:rFonts w:ascii="Times New Roman" w:hAnsi="Times New Roman"/>
                <w:kern w:val="0"/>
                <w:sz w:val="18"/>
                <w:szCs w:val="18"/>
              </w:rPr>
            </w:pPr>
          </w:p>
        </w:tc>
        <w:tc>
          <w:tcPr>
            <w:tcW w:w="995" w:type="dxa"/>
            <w:shd w:val="clear" w:color="000000" w:fill="FFFFFF"/>
            <w:noWrap/>
            <w:vAlign w:val="center"/>
          </w:tcPr>
          <w:p>
            <w:pPr>
              <w:widowControl/>
              <w:jc w:val="center"/>
              <w:rPr>
                <w:rFonts w:ascii="Times New Roman" w:hAnsi="Times New Roman"/>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8"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74</w:t>
            </w:r>
          </w:p>
        </w:tc>
        <w:tc>
          <w:tcPr>
            <w:tcW w:w="992" w:type="dxa"/>
            <w:vMerge w:val="restart"/>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329国道</w:t>
            </w:r>
          </w:p>
        </w:tc>
        <w:tc>
          <w:tcPr>
            <w:tcW w:w="1701" w:type="dxa"/>
            <w:vMerge w:val="restart"/>
            <w:shd w:val="clear" w:color="auto" w:fill="auto"/>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邱隘—育王寺牌楼</w:t>
            </w:r>
          </w:p>
        </w:tc>
        <w:tc>
          <w:tcPr>
            <w:tcW w:w="1029" w:type="dxa"/>
            <w:vMerge w:val="restart"/>
            <w:shd w:val="clear" w:color="auto" w:fill="auto"/>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8450</w:t>
            </w:r>
          </w:p>
        </w:tc>
        <w:tc>
          <w:tcPr>
            <w:tcW w:w="1021" w:type="dxa"/>
            <w:vMerge w:val="restart"/>
            <w:shd w:val="clear" w:color="auto" w:fill="auto"/>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w:t>
            </w:r>
          </w:p>
        </w:tc>
        <w:tc>
          <w:tcPr>
            <w:tcW w:w="1142"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70040</w:t>
            </w:r>
          </w:p>
        </w:tc>
        <w:tc>
          <w:tcPr>
            <w:tcW w:w="106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70040</w:t>
            </w:r>
          </w:p>
        </w:tc>
        <w:tc>
          <w:tcPr>
            <w:tcW w:w="1030" w:type="dxa"/>
            <w:shd w:val="clear" w:color="auto" w:fill="auto"/>
            <w:noWrap w:val="0"/>
            <w:vAlign w:val="center"/>
          </w:tcPr>
          <w:p>
            <w:pPr>
              <w:widowControl/>
              <w:jc w:val="center"/>
              <w:rPr>
                <w:rFonts w:ascii="Times New Roman" w:hAnsi="Times New Roman"/>
                <w:kern w:val="0"/>
                <w:sz w:val="18"/>
                <w:szCs w:val="18"/>
              </w:rPr>
            </w:pPr>
          </w:p>
        </w:tc>
        <w:tc>
          <w:tcPr>
            <w:tcW w:w="737" w:type="dxa"/>
            <w:shd w:val="clear" w:color="auto" w:fill="auto"/>
            <w:noWrap w:val="0"/>
            <w:vAlign w:val="center"/>
          </w:tcPr>
          <w:p>
            <w:pPr>
              <w:widowControl/>
              <w:jc w:val="center"/>
              <w:rPr>
                <w:rFonts w:ascii="Times New Roman" w:hAnsi="Times New Roman" w:cs="宋体"/>
                <w:kern w:val="0"/>
                <w:sz w:val="18"/>
                <w:szCs w:val="18"/>
              </w:rPr>
            </w:pPr>
          </w:p>
        </w:tc>
        <w:tc>
          <w:tcPr>
            <w:tcW w:w="995" w:type="dxa"/>
            <w:shd w:val="clear" w:color="auto" w:fill="auto"/>
            <w:noWrap w:val="0"/>
            <w:vAlign w:val="center"/>
          </w:tcPr>
          <w:p>
            <w:pPr>
              <w:widowControl/>
              <w:jc w:val="center"/>
              <w:rPr>
                <w:rFonts w:ascii="Times New Roman" w:hAnsi="Times New Roman" w:cs="宋体"/>
                <w:kern w:val="0"/>
                <w:sz w:val="18"/>
                <w:szCs w:val="18"/>
              </w:rPr>
            </w:pPr>
          </w:p>
        </w:tc>
        <w:tc>
          <w:tcPr>
            <w:tcW w:w="1084"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shd w:val="clear" w:color="auto" w:fill="auto"/>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东外环至绕城高速路长2.44KM路基宽度34米（2*4.5+2*1.5+2*8.5+5）；绕城高速至逸夫中学路长2.48KM路基宽度30米（2*4.0+2*8.5+5）；逸夫中学至永乐村长3.53KM（2*4+2*1.5+2*8.5+2）</w:t>
            </w:r>
          </w:p>
        </w:tc>
        <w:tc>
          <w:tcPr>
            <w:tcW w:w="1205"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w:t>
            </w:r>
          </w:p>
        </w:tc>
        <w:tc>
          <w:tcPr>
            <w:tcW w:w="992" w:type="dxa"/>
            <w:vMerge w:val="continue"/>
            <w:noWrap w:val="0"/>
            <w:vAlign w:val="center"/>
          </w:tcPr>
          <w:p>
            <w:pPr>
              <w:widowControl/>
              <w:jc w:val="center"/>
              <w:rPr>
                <w:rFonts w:ascii="Times New Roman" w:hAnsi="Times New Roman"/>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143650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143650</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76</w:t>
            </w:r>
          </w:p>
        </w:tc>
        <w:tc>
          <w:tcPr>
            <w:tcW w:w="992"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通途路五乡段</w:t>
            </w:r>
          </w:p>
        </w:tc>
        <w:tc>
          <w:tcPr>
            <w:tcW w:w="1701"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龙兴路-美迪斯路</w:t>
            </w:r>
          </w:p>
        </w:tc>
        <w:tc>
          <w:tcPr>
            <w:tcW w:w="1029" w:type="dxa"/>
            <w:vMerge w:val="restart"/>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750</w:t>
            </w:r>
          </w:p>
        </w:tc>
        <w:tc>
          <w:tcPr>
            <w:tcW w:w="1021" w:type="dxa"/>
            <w:vMerge w:val="restart"/>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39</w:t>
            </w: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14250</w:t>
            </w:r>
          </w:p>
        </w:tc>
        <w:tc>
          <w:tcPr>
            <w:tcW w:w="1066"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14250</w:t>
            </w:r>
          </w:p>
        </w:tc>
        <w:tc>
          <w:tcPr>
            <w:tcW w:w="1030" w:type="dxa"/>
            <w:shd w:val="clear" w:color="000000" w:fill="FFFFFF"/>
            <w:noWrap w:val="0"/>
            <w:vAlign w:val="center"/>
          </w:tcPr>
          <w:p>
            <w:pPr>
              <w:widowControl/>
              <w:jc w:val="center"/>
              <w:rPr>
                <w:rFonts w:ascii="Times New Roman" w:hAnsi="Times New Roman"/>
                <w:kern w:val="0"/>
                <w:sz w:val="18"/>
                <w:szCs w:val="18"/>
              </w:rPr>
            </w:pP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美迪斯路-龙兴路长750米（2*4+2*10+3）；</w:t>
            </w:r>
          </w:p>
        </w:tc>
        <w:tc>
          <w:tcPr>
            <w:tcW w:w="1205" w:type="dxa"/>
            <w:vMerge w:val="restart"/>
            <w:shd w:val="clear" w:color="000000"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 w:hRule="atLeast"/>
          <w:jc w:val="center"/>
        </w:trPr>
        <w:tc>
          <w:tcPr>
            <w:tcW w:w="656" w:type="dxa"/>
            <w:shd w:val="clear" w:color="auto" w:fill="auto"/>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77</w:t>
            </w:r>
          </w:p>
        </w:tc>
        <w:tc>
          <w:tcPr>
            <w:tcW w:w="992" w:type="dxa"/>
            <w:vMerge w:val="continue"/>
            <w:shd w:val="clear" w:color="auto" w:fill="auto"/>
            <w:noWrap w:val="0"/>
            <w:vAlign w:val="center"/>
          </w:tcPr>
          <w:p>
            <w:pPr>
              <w:widowControl/>
              <w:jc w:val="center"/>
              <w:rPr>
                <w:rFonts w:ascii="Times New Roman" w:hAnsi="Times New Roman" w:cs="宋体"/>
                <w:kern w:val="0"/>
                <w:sz w:val="18"/>
                <w:szCs w:val="18"/>
              </w:rPr>
            </w:pPr>
          </w:p>
        </w:tc>
        <w:tc>
          <w:tcPr>
            <w:tcW w:w="1701" w:type="dxa"/>
            <w:vMerge w:val="continue"/>
            <w:shd w:val="clear" w:color="auto" w:fill="auto"/>
            <w:noWrap w:val="0"/>
            <w:vAlign w:val="center"/>
          </w:tcPr>
          <w:p>
            <w:pPr>
              <w:widowControl/>
              <w:jc w:val="center"/>
              <w:rPr>
                <w:rFonts w:ascii="Times New Roman" w:hAnsi="Times New Roman" w:cs="宋体"/>
                <w:kern w:val="0"/>
                <w:sz w:val="18"/>
                <w:szCs w:val="18"/>
              </w:rPr>
            </w:pPr>
          </w:p>
        </w:tc>
        <w:tc>
          <w:tcPr>
            <w:tcW w:w="1029" w:type="dxa"/>
            <w:vMerge w:val="continue"/>
            <w:shd w:val="clear" w:color="auto" w:fill="auto"/>
            <w:noWrap w:val="0"/>
            <w:vAlign w:val="center"/>
          </w:tcPr>
          <w:p>
            <w:pPr>
              <w:widowControl/>
              <w:jc w:val="center"/>
              <w:rPr>
                <w:rFonts w:ascii="Times New Roman" w:hAnsi="Times New Roman"/>
                <w:kern w:val="0"/>
                <w:sz w:val="18"/>
                <w:szCs w:val="18"/>
              </w:rPr>
            </w:pPr>
          </w:p>
        </w:tc>
        <w:tc>
          <w:tcPr>
            <w:tcW w:w="1021" w:type="dxa"/>
            <w:vMerge w:val="continue"/>
            <w:shd w:val="clear" w:color="auto" w:fill="auto"/>
            <w:noWrap w:val="0"/>
            <w:vAlign w:val="center"/>
          </w:tcPr>
          <w:p>
            <w:pPr>
              <w:widowControl/>
              <w:jc w:val="center"/>
              <w:rPr>
                <w:rFonts w:ascii="Times New Roman" w:hAnsi="Times New Roman"/>
                <w:kern w:val="0"/>
                <w:sz w:val="18"/>
                <w:szCs w:val="18"/>
              </w:rPr>
            </w:pPr>
          </w:p>
        </w:tc>
        <w:tc>
          <w:tcPr>
            <w:tcW w:w="1142"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15000</w:t>
            </w:r>
          </w:p>
        </w:tc>
        <w:tc>
          <w:tcPr>
            <w:tcW w:w="1066" w:type="dxa"/>
            <w:shd w:val="clear" w:color="000000" w:fill="FFFFFF"/>
            <w:noWrap w:val="0"/>
            <w:vAlign w:val="center"/>
          </w:tcPr>
          <w:p>
            <w:pPr>
              <w:widowControl/>
              <w:jc w:val="center"/>
              <w:rPr>
                <w:rFonts w:ascii="Times New Roman" w:hAnsi="Times New Roman"/>
                <w:kern w:val="0"/>
                <w:sz w:val="18"/>
                <w:szCs w:val="18"/>
              </w:rPr>
            </w:pPr>
          </w:p>
        </w:tc>
        <w:tc>
          <w:tcPr>
            <w:tcW w:w="1030" w:type="dxa"/>
            <w:shd w:val="clear" w:color="000000" w:fill="FFFFFF"/>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15000</w:t>
            </w:r>
          </w:p>
        </w:tc>
        <w:tc>
          <w:tcPr>
            <w:tcW w:w="737" w:type="dxa"/>
            <w:shd w:val="clear" w:color="000000" w:fill="FFFFFF"/>
            <w:noWrap w:val="0"/>
            <w:vAlign w:val="center"/>
          </w:tcPr>
          <w:p>
            <w:pPr>
              <w:widowControl/>
              <w:jc w:val="center"/>
              <w:rPr>
                <w:rFonts w:ascii="Times New Roman" w:hAnsi="Times New Roman" w:cs="宋体"/>
                <w:kern w:val="0"/>
                <w:sz w:val="18"/>
                <w:szCs w:val="18"/>
              </w:rPr>
            </w:pPr>
          </w:p>
        </w:tc>
        <w:tc>
          <w:tcPr>
            <w:tcW w:w="995" w:type="dxa"/>
            <w:shd w:val="clear" w:color="000000" w:fill="FFFFFF"/>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78</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南外环路（中车段）</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宝瞻公路-西侧道路</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1500</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21000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21000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1500*（2*7+2*1.5+2*8.0+6.5）</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79</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24000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24000</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80</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宝瞻路五乡段</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329国道-高速入口</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2200</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w:t>
            </w: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11000</w:t>
            </w:r>
          </w:p>
        </w:tc>
        <w:tc>
          <w:tcPr>
            <w:tcW w:w="106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11000</w:t>
            </w:r>
          </w:p>
        </w:tc>
        <w:tc>
          <w:tcPr>
            <w:tcW w:w="1030" w:type="dxa"/>
            <w:noWrap w:val="0"/>
            <w:vAlign w:val="center"/>
          </w:tcPr>
          <w:p>
            <w:pPr>
              <w:widowControl/>
              <w:jc w:val="center"/>
              <w:rPr>
                <w:rFonts w:ascii="Times New Roman" w:hAnsi="Times New Roman"/>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2200*（2*2.5+2*7+1.5）</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81</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30800</w:t>
            </w:r>
          </w:p>
        </w:tc>
        <w:tc>
          <w:tcPr>
            <w:tcW w:w="1066" w:type="dxa"/>
            <w:noWrap w:val="0"/>
            <w:vAlign w:val="center"/>
          </w:tcPr>
          <w:p>
            <w:pPr>
              <w:widowControl/>
              <w:jc w:val="center"/>
              <w:rPr>
                <w:rFonts w:ascii="Times New Roman" w:hAnsi="Times New Roman"/>
                <w:kern w:val="0"/>
                <w:sz w:val="18"/>
                <w:szCs w:val="18"/>
              </w:rPr>
            </w:pPr>
          </w:p>
        </w:tc>
        <w:tc>
          <w:tcPr>
            <w:tcW w:w="1030"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30800</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5"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82</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时代路（规划四路）</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1、中车路-南外环，长530米，宽24米；2、宝涵路-中车路，长830米，宽16米</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1360</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24+16</w:t>
            </w: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12400</w:t>
            </w:r>
          </w:p>
        </w:tc>
        <w:tc>
          <w:tcPr>
            <w:tcW w:w="106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12400</w:t>
            </w:r>
          </w:p>
        </w:tc>
        <w:tc>
          <w:tcPr>
            <w:tcW w:w="1030" w:type="dxa"/>
            <w:noWrap w:val="0"/>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中车路-南外环：长530米，路基宽度24米，道路横断面布置4米人行道+16米车行道（慢车道2*3）+4米人行道，其中：车行道面积530*（16-2*3）＝5300平方米，人行道慢车道530*（4*2+3*2）＝7420平方米。2、宝涵路-中车路，长830米，宽16米，道路横断面布置3米人行道+10米车行道+3米人行道，其中：车行道面积8300平方米，人行道4980平方米。</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83</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13600</w:t>
            </w:r>
          </w:p>
        </w:tc>
        <w:tc>
          <w:tcPr>
            <w:tcW w:w="1066" w:type="dxa"/>
            <w:noWrap w:val="0"/>
            <w:vAlign w:val="center"/>
          </w:tcPr>
          <w:p>
            <w:pPr>
              <w:widowControl/>
              <w:jc w:val="center"/>
              <w:rPr>
                <w:rFonts w:ascii="Times New Roman" w:hAnsi="Times New Roman" w:cs="宋体"/>
                <w:kern w:val="0"/>
                <w:sz w:val="18"/>
                <w:szCs w:val="18"/>
              </w:rPr>
            </w:pPr>
          </w:p>
        </w:tc>
        <w:tc>
          <w:tcPr>
            <w:tcW w:w="10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13600</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84</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明南路（规划二路）</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南车路—</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宝瞻公路</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573</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6876</w:t>
            </w:r>
          </w:p>
        </w:tc>
        <w:tc>
          <w:tcPr>
            <w:tcW w:w="106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6876</w:t>
            </w:r>
          </w:p>
        </w:tc>
        <w:tc>
          <w:tcPr>
            <w:tcW w:w="1030" w:type="dxa"/>
            <w:noWrap w:val="0"/>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路基宽度24米，道路横断面布置4米人行道+16米车行道（慢车道2*2）+4米人行道；面积合计13752平方米，其中：车行道面积573*（16-2*2）＝6876平方米，人行道、慢车道573*（4*2+2*2）＝6876平方米。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85</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6876</w:t>
            </w:r>
          </w:p>
        </w:tc>
        <w:tc>
          <w:tcPr>
            <w:tcW w:w="1066" w:type="dxa"/>
            <w:noWrap w:val="0"/>
            <w:vAlign w:val="center"/>
          </w:tcPr>
          <w:p>
            <w:pPr>
              <w:widowControl/>
              <w:jc w:val="center"/>
              <w:rPr>
                <w:rFonts w:ascii="Times New Roman" w:hAnsi="Times New Roman" w:cs="宋体"/>
                <w:kern w:val="0"/>
                <w:sz w:val="18"/>
                <w:szCs w:val="18"/>
              </w:rPr>
            </w:pPr>
          </w:p>
        </w:tc>
        <w:tc>
          <w:tcPr>
            <w:tcW w:w="10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6876</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86</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南车路（规划一路）</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宝幢地铁站—南外环路</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624</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28</w:t>
            </w: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9360</w:t>
            </w:r>
          </w:p>
        </w:tc>
        <w:tc>
          <w:tcPr>
            <w:tcW w:w="106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9360</w:t>
            </w:r>
          </w:p>
        </w:tc>
        <w:tc>
          <w:tcPr>
            <w:tcW w:w="1030" w:type="dxa"/>
            <w:noWrap w:val="0"/>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路基宽度28米，道路横断面布置4米人行道+20米车行道（慢车道2*3.5米）+4米人行道；其中：车行道面积624*（20-2*3.5）＝8112平方米，人行道、慢车道624*（4*2+3.5*2）＝9360平方米。</w:t>
            </w:r>
          </w:p>
        </w:tc>
        <w:tc>
          <w:tcPr>
            <w:tcW w:w="120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三级/保洁时间8小时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87</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8112</w:t>
            </w:r>
          </w:p>
        </w:tc>
        <w:tc>
          <w:tcPr>
            <w:tcW w:w="1066" w:type="dxa"/>
            <w:noWrap w:val="0"/>
            <w:vAlign w:val="center"/>
          </w:tcPr>
          <w:p>
            <w:pPr>
              <w:widowControl/>
              <w:jc w:val="center"/>
              <w:rPr>
                <w:rFonts w:ascii="Times New Roman" w:hAnsi="Times New Roman" w:cs="宋体"/>
                <w:kern w:val="0"/>
                <w:sz w:val="18"/>
                <w:szCs w:val="18"/>
              </w:rPr>
            </w:pPr>
          </w:p>
        </w:tc>
        <w:tc>
          <w:tcPr>
            <w:tcW w:w="10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8112</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8"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88</w:t>
            </w:r>
          </w:p>
        </w:tc>
        <w:tc>
          <w:tcPr>
            <w:tcW w:w="992"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中车路（规划三路）</w:t>
            </w:r>
          </w:p>
        </w:tc>
        <w:tc>
          <w:tcPr>
            <w:tcW w:w="170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宝涵路—时代路</w:t>
            </w:r>
          </w:p>
        </w:tc>
        <w:tc>
          <w:tcPr>
            <w:tcW w:w="1029"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560</w:t>
            </w:r>
          </w:p>
        </w:tc>
        <w:tc>
          <w:tcPr>
            <w:tcW w:w="1021"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8400</w:t>
            </w:r>
          </w:p>
        </w:tc>
        <w:tc>
          <w:tcPr>
            <w:tcW w:w="106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8400</w:t>
            </w:r>
          </w:p>
        </w:tc>
        <w:tc>
          <w:tcPr>
            <w:tcW w:w="1030" w:type="dxa"/>
            <w:noWrap w:val="0"/>
            <w:vAlign w:val="center"/>
          </w:tcPr>
          <w:p>
            <w:pPr>
              <w:widowControl/>
              <w:jc w:val="center"/>
              <w:rPr>
                <w:rFonts w:ascii="Times New Roman" w:hAnsi="Times New Roman" w:cs="宋体"/>
                <w:kern w:val="0"/>
                <w:sz w:val="18"/>
                <w:szCs w:val="18"/>
              </w:rPr>
            </w:pP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9000</w:t>
            </w:r>
          </w:p>
        </w:tc>
        <w:tc>
          <w:tcPr>
            <w:tcW w:w="2328"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长度560米，路基宽度24米，道路横断面布置4米人行道+16米车行道（慢车道2*3.5）+4米人行道；其中：车行道面积560*（16-2*3.5）＝5040平方米，人行道、慢车道560*（4*2+3.5*2）＝8400平方米。</w:t>
            </w: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89</w:t>
            </w:r>
          </w:p>
        </w:tc>
        <w:tc>
          <w:tcPr>
            <w:tcW w:w="992" w:type="dxa"/>
            <w:vMerge w:val="continue"/>
            <w:noWrap w:val="0"/>
            <w:vAlign w:val="center"/>
          </w:tcPr>
          <w:p>
            <w:pPr>
              <w:widowControl/>
              <w:jc w:val="center"/>
              <w:rPr>
                <w:rFonts w:ascii="Times New Roman" w:hAnsi="Times New Roman" w:cs="宋体"/>
                <w:kern w:val="0"/>
                <w:sz w:val="18"/>
                <w:szCs w:val="18"/>
              </w:rPr>
            </w:pPr>
          </w:p>
        </w:tc>
        <w:tc>
          <w:tcPr>
            <w:tcW w:w="1701" w:type="dxa"/>
            <w:vMerge w:val="continue"/>
            <w:noWrap w:val="0"/>
            <w:vAlign w:val="center"/>
          </w:tcPr>
          <w:p>
            <w:pPr>
              <w:widowControl/>
              <w:jc w:val="center"/>
              <w:rPr>
                <w:rFonts w:ascii="Times New Roman" w:hAnsi="Times New Roman" w:cs="宋体"/>
                <w:kern w:val="0"/>
                <w:sz w:val="18"/>
                <w:szCs w:val="18"/>
              </w:rPr>
            </w:pPr>
          </w:p>
        </w:tc>
        <w:tc>
          <w:tcPr>
            <w:tcW w:w="1029" w:type="dxa"/>
            <w:vMerge w:val="continue"/>
            <w:noWrap w:val="0"/>
            <w:vAlign w:val="center"/>
          </w:tcPr>
          <w:p>
            <w:pPr>
              <w:widowControl/>
              <w:jc w:val="center"/>
              <w:rPr>
                <w:rFonts w:ascii="Times New Roman" w:hAnsi="Times New Roman" w:cs="宋体"/>
                <w:kern w:val="0"/>
                <w:sz w:val="18"/>
                <w:szCs w:val="18"/>
              </w:rPr>
            </w:pPr>
          </w:p>
        </w:tc>
        <w:tc>
          <w:tcPr>
            <w:tcW w:w="1021" w:type="dxa"/>
            <w:vMerge w:val="continue"/>
            <w:noWrap w:val="0"/>
            <w:vAlign w:val="center"/>
          </w:tcPr>
          <w:p>
            <w:pPr>
              <w:widowControl/>
              <w:jc w:val="center"/>
              <w:rPr>
                <w:rFonts w:ascii="Times New Roman" w:hAnsi="Times New Roman" w:cs="宋体"/>
                <w:kern w:val="0"/>
                <w:sz w:val="18"/>
                <w:szCs w:val="18"/>
              </w:rPr>
            </w:pPr>
          </w:p>
        </w:tc>
        <w:tc>
          <w:tcPr>
            <w:tcW w:w="114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5040</w:t>
            </w:r>
          </w:p>
        </w:tc>
        <w:tc>
          <w:tcPr>
            <w:tcW w:w="1066" w:type="dxa"/>
            <w:noWrap w:val="0"/>
            <w:vAlign w:val="center"/>
          </w:tcPr>
          <w:p>
            <w:pPr>
              <w:widowControl/>
              <w:jc w:val="center"/>
              <w:rPr>
                <w:rFonts w:ascii="Times New Roman" w:hAnsi="Times New Roman" w:cs="宋体"/>
                <w:kern w:val="0"/>
                <w:sz w:val="18"/>
                <w:szCs w:val="18"/>
              </w:rPr>
            </w:pPr>
          </w:p>
        </w:tc>
        <w:tc>
          <w:tcPr>
            <w:tcW w:w="10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5040</w:t>
            </w:r>
          </w:p>
        </w:tc>
        <w:tc>
          <w:tcPr>
            <w:tcW w:w="737" w:type="dxa"/>
            <w:noWrap w:val="0"/>
            <w:vAlign w:val="center"/>
          </w:tcPr>
          <w:p>
            <w:pPr>
              <w:widowControl/>
              <w:jc w:val="center"/>
              <w:rPr>
                <w:rFonts w:ascii="Times New Roman" w:hAnsi="Times New Roman" w:cs="宋体"/>
                <w:kern w:val="0"/>
                <w:sz w:val="18"/>
                <w:szCs w:val="18"/>
              </w:rPr>
            </w:pPr>
          </w:p>
        </w:tc>
        <w:tc>
          <w:tcPr>
            <w:tcW w:w="995" w:type="dxa"/>
            <w:noWrap w:val="0"/>
            <w:vAlign w:val="center"/>
          </w:tcPr>
          <w:p>
            <w:pPr>
              <w:widowControl/>
              <w:jc w:val="center"/>
              <w:rPr>
                <w:rFonts w:ascii="Times New Roman" w:hAnsi="Times New Roman" w:cs="宋体"/>
                <w:kern w:val="0"/>
                <w:sz w:val="18"/>
                <w:szCs w:val="18"/>
              </w:rPr>
            </w:pPr>
          </w:p>
        </w:tc>
        <w:tc>
          <w:tcPr>
            <w:tcW w:w="108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199176</w:t>
            </w:r>
          </w:p>
        </w:tc>
        <w:tc>
          <w:tcPr>
            <w:tcW w:w="2328" w:type="dxa"/>
            <w:vMerge w:val="continue"/>
            <w:noWrap w:val="0"/>
            <w:vAlign w:val="center"/>
          </w:tcPr>
          <w:p>
            <w:pPr>
              <w:widowControl/>
              <w:jc w:val="center"/>
              <w:rPr>
                <w:rFonts w:ascii="Times New Roman" w:hAnsi="Times New Roman" w:cs="宋体"/>
                <w:kern w:val="0"/>
                <w:sz w:val="18"/>
                <w:szCs w:val="18"/>
              </w:rPr>
            </w:pPr>
          </w:p>
        </w:tc>
        <w:tc>
          <w:tcPr>
            <w:tcW w:w="120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656" w:type="dxa"/>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90</w:t>
            </w:r>
          </w:p>
        </w:tc>
        <w:tc>
          <w:tcPr>
            <w:tcW w:w="2693" w:type="dxa"/>
            <w:gridSpan w:val="2"/>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总计</w:t>
            </w:r>
          </w:p>
        </w:tc>
        <w:tc>
          <w:tcPr>
            <w:tcW w:w="102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46301.17</w:t>
            </w:r>
          </w:p>
        </w:tc>
        <w:tc>
          <w:tcPr>
            <w:tcW w:w="1021" w:type="dxa"/>
            <w:noWrap/>
            <w:vAlign w:val="center"/>
          </w:tcPr>
          <w:p>
            <w:pPr>
              <w:widowControl/>
              <w:jc w:val="center"/>
              <w:rPr>
                <w:rFonts w:ascii="Times New Roman" w:hAnsi="Times New Roman" w:cs="宋体"/>
                <w:kern w:val="0"/>
                <w:sz w:val="18"/>
                <w:szCs w:val="18"/>
              </w:rPr>
            </w:pPr>
          </w:p>
        </w:tc>
        <w:tc>
          <w:tcPr>
            <w:tcW w:w="114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920074</w:t>
            </w:r>
          </w:p>
        </w:tc>
        <w:tc>
          <w:tcPr>
            <w:tcW w:w="1066"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607322</w:t>
            </w:r>
          </w:p>
        </w:tc>
        <w:tc>
          <w:tcPr>
            <w:tcW w:w="1030"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293313</w:t>
            </w:r>
          </w:p>
        </w:tc>
        <w:tc>
          <w:tcPr>
            <w:tcW w:w="73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3000</w:t>
            </w:r>
          </w:p>
        </w:tc>
        <w:tc>
          <w:tcPr>
            <w:tcW w:w="995"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20484</w:t>
            </w:r>
          </w:p>
        </w:tc>
        <w:tc>
          <w:tcPr>
            <w:tcW w:w="1084" w:type="dxa"/>
            <w:noWrap/>
            <w:vAlign w:val="center"/>
          </w:tcPr>
          <w:p>
            <w:pPr>
              <w:widowControl/>
              <w:jc w:val="center"/>
              <w:rPr>
                <w:rFonts w:ascii="Times New Roman" w:hAnsi="Times New Roman" w:cs="宋体"/>
                <w:kern w:val="0"/>
                <w:sz w:val="18"/>
                <w:szCs w:val="18"/>
              </w:rPr>
            </w:pPr>
          </w:p>
        </w:tc>
        <w:tc>
          <w:tcPr>
            <w:tcW w:w="2328" w:type="dxa"/>
            <w:noWrap/>
            <w:vAlign w:val="center"/>
          </w:tcPr>
          <w:p>
            <w:pPr>
              <w:widowControl/>
              <w:jc w:val="center"/>
              <w:rPr>
                <w:rFonts w:ascii="Times New Roman" w:hAnsi="Times New Roman" w:cs="宋体"/>
                <w:kern w:val="0"/>
                <w:sz w:val="18"/>
                <w:szCs w:val="18"/>
              </w:rPr>
            </w:pPr>
          </w:p>
        </w:tc>
        <w:tc>
          <w:tcPr>
            <w:tcW w:w="1205" w:type="dxa"/>
            <w:noWrap/>
            <w:vAlign w:val="center"/>
          </w:tcPr>
          <w:p>
            <w:pPr>
              <w:widowControl/>
              <w:jc w:val="center"/>
              <w:rPr>
                <w:rFonts w:ascii="Times New Roman" w:hAnsi="Times New Roman" w:cs="宋体"/>
                <w:kern w:val="0"/>
                <w:sz w:val="18"/>
                <w:szCs w:val="18"/>
              </w:rPr>
            </w:pPr>
          </w:p>
        </w:tc>
      </w:tr>
    </w:tbl>
    <w:p>
      <w:pPr>
        <w:spacing w:line="400" w:lineRule="exact"/>
        <w:jc w:val="left"/>
        <w:rPr>
          <w:rFonts w:hint="eastAsia" w:cs="宋体"/>
          <w:b/>
          <w:szCs w:val="28"/>
        </w:rPr>
      </w:pPr>
    </w:p>
    <w:p>
      <w:pPr>
        <w:spacing w:line="400" w:lineRule="exact"/>
        <w:jc w:val="left"/>
        <w:rPr>
          <w:rFonts w:hint="eastAsia" w:cs="宋体"/>
          <w:b/>
          <w:szCs w:val="28"/>
        </w:rPr>
        <w:sectPr>
          <w:pgSz w:w="16840" w:h="11907" w:orient="landscape"/>
          <w:pgMar w:top="1588" w:right="1100" w:bottom="1588" w:left="1100" w:header="284" w:footer="697" w:gutter="0"/>
          <w:cols w:space="720" w:num="1"/>
          <w:docGrid w:linePitch="285" w:charSpace="0"/>
        </w:sectPr>
      </w:pPr>
    </w:p>
    <w:p>
      <w:pPr>
        <w:spacing w:line="400" w:lineRule="exact"/>
        <w:jc w:val="left"/>
        <w:rPr>
          <w:rFonts w:hint="eastAsia" w:cs="宋体"/>
          <w:b/>
          <w:szCs w:val="28"/>
        </w:rPr>
      </w:pPr>
      <w:r>
        <w:rPr>
          <w:rFonts w:hint="eastAsia" w:cs="宋体"/>
          <w:b/>
          <w:szCs w:val="28"/>
        </w:rPr>
        <w:t>2、公厕保洁清单</w:t>
      </w:r>
    </w:p>
    <w:tbl>
      <w:tblPr>
        <w:tblStyle w:val="50"/>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215"/>
        <w:gridCol w:w="42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序号</w:t>
            </w:r>
          </w:p>
        </w:tc>
        <w:tc>
          <w:tcPr>
            <w:tcW w:w="3215" w:type="dxa"/>
            <w:noWrap w:val="0"/>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名称</w:t>
            </w:r>
          </w:p>
        </w:tc>
        <w:tc>
          <w:tcPr>
            <w:tcW w:w="4220" w:type="dxa"/>
            <w:noWrap w:val="0"/>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工作要求</w:t>
            </w:r>
          </w:p>
        </w:tc>
        <w:tc>
          <w:tcPr>
            <w:tcW w:w="1080" w:type="dxa"/>
            <w:noWrap w:val="0"/>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保洁类型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陈家弄粪坑</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五十房公厕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3</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赵家公厕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4</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高隘沿墩公厕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5</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东纤桥公厕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6</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糟漕里公厕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7</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蟠龙小张公厕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8</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东东公厕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9</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宝幢菜场</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10</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王家桥公厕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11</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老城建办边公厕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12</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老煤球厂公厕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13</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永安桥公厕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14</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加贝对面公厕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15</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宝幢公园公厕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16</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五乡剧场公厕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17</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天童庄公厕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18</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五乡临时菜场</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19</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泰和公园公厕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2"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20</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西街倒坑（原五乡中学详行弄边）</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21</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西街倒坑（原五乡中学真李门边）</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22</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五乡中学五份头倒坑</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23</w:t>
            </w:r>
          </w:p>
        </w:tc>
        <w:tc>
          <w:tcPr>
            <w:tcW w:w="3215" w:type="dxa"/>
            <w:noWrap w:val="0"/>
            <w:vAlign w:val="center"/>
          </w:tcPr>
          <w:p>
            <w:pPr>
              <w:widowControl/>
              <w:rPr>
                <w:rFonts w:ascii="Times New Roman" w:hAnsi="Times New Roman" w:cs="宋体"/>
                <w:kern w:val="0"/>
                <w:szCs w:val="21"/>
              </w:rPr>
            </w:pPr>
            <w:r>
              <w:rPr>
                <w:rFonts w:hint="eastAsia" w:ascii="Times New Roman" w:hAnsi="Times New Roman" w:cs="宋体"/>
                <w:kern w:val="0"/>
                <w:szCs w:val="21"/>
              </w:rPr>
              <w:t>蟠龙桥西边倒坑</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65" w:type="dxa"/>
            <w:noWrap w:val="0"/>
            <w:vAlign w:val="center"/>
          </w:tcPr>
          <w:p>
            <w:pPr>
              <w:widowControl/>
              <w:jc w:val="center"/>
              <w:rPr>
                <w:rFonts w:ascii="Times New Roman" w:hAnsi="Times New Roman"/>
                <w:kern w:val="0"/>
                <w:szCs w:val="21"/>
              </w:rPr>
            </w:pPr>
            <w:r>
              <w:rPr>
                <w:rFonts w:ascii="Times New Roman" w:hAnsi="Times New Roman"/>
                <w:kern w:val="0"/>
                <w:szCs w:val="21"/>
              </w:rPr>
              <w:t>24</w:t>
            </w:r>
          </w:p>
        </w:tc>
        <w:tc>
          <w:tcPr>
            <w:tcW w:w="3215" w:type="dxa"/>
            <w:noWrap/>
            <w:vAlign w:val="center"/>
          </w:tcPr>
          <w:p>
            <w:pPr>
              <w:widowControl/>
              <w:jc w:val="left"/>
              <w:rPr>
                <w:rFonts w:ascii="Times New Roman" w:hAnsi="Times New Roman" w:cs="宋体"/>
                <w:kern w:val="0"/>
                <w:szCs w:val="21"/>
              </w:rPr>
            </w:pPr>
            <w:r>
              <w:rPr>
                <w:rFonts w:hint="eastAsia" w:ascii="Times New Roman" w:hAnsi="Times New Roman" w:cs="宋体"/>
                <w:kern w:val="0"/>
                <w:szCs w:val="21"/>
              </w:rPr>
              <w:t>宝幢轨道交通停车场公厕</w:t>
            </w:r>
          </w:p>
        </w:tc>
        <w:tc>
          <w:tcPr>
            <w:tcW w:w="4220" w:type="dxa"/>
            <w:noWrap w:val="0"/>
            <w:vAlign w:val="center"/>
          </w:tcPr>
          <w:p>
            <w:pPr>
              <w:widowControl/>
              <w:rPr>
                <w:rFonts w:ascii="Times New Roman" w:hAnsi="Times New Roman"/>
                <w:kern w:val="0"/>
                <w:szCs w:val="21"/>
              </w:rPr>
            </w:pPr>
            <w:r>
              <w:rPr>
                <w:rFonts w:ascii="Times New Roman" w:hAnsi="Times New Roman"/>
                <w:kern w:val="0"/>
                <w:szCs w:val="21"/>
              </w:rPr>
              <w:t>10</w:t>
            </w:r>
            <w:r>
              <w:rPr>
                <w:rFonts w:hint="eastAsia" w:ascii="Times New Roman" w:hAnsi="Times New Roman"/>
                <w:kern w:val="0"/>
                <w:szCs w:val="21"/>
              </w:rPr>
              <w:t>小时保洁</w:t>
            </w:r>
          </w:p>
        </w:tc>
        <w:tc>
          <w:tcPr>
            <w:tcW w:w="1080" w:type="dxa"/>
            <w:noWrap/>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二类</w:t>
            </w:r>
          </w:p>
        </w:tc>
      </w:tr>
    </w:tbl>
    <w:p>
      <w:pPr>
        <w:spacing w:line="400" w:lineRule="exact"/>
        <w:jc w:val="left"/>
        <w:rPr>
          <w:rFonts w:cs="宋体"/>
          <w:b/>
          <w:szCs w:val="28"/>
        </w:rPr>
      </w:pPr>
    </w:p>
    <w:p>
      <w:pPr>
        <w:spacing w:line="400" w:lineRule="exact"/>
        <w:jc w:val="left"/>
        <w:rPr>
          <w:rFonts w:hint="eastAsia"/>
          <w:b/>
        </w:rPr>
      </w:pPr>
      <w:r>
        <w:rPr>
          <w:rFonts w:cs="宋体"/>
          <w:b/>
          <w:szCs w:val="28"/>
        </w:rPr>
        <w:br w:type="page"/>
      </w:r>
      <w:r>
        <w:rPr>
          <w:rFonts w:hint="eastAsia"/>
          <w:b/>
        </w:rPr>
        <w:t>3、绿化养护清单</w:t>
      </w:r>
    </w:p>
    <w:p>
      <w:pPr>
        <w:spacing w:line="440" w:lineRule="exact"/>
        <w:jc w:val="left"/>
        <w:rPr>
          <w:b/>
        </w:rPr>
      </w:pPr>
      <w:r>
        <w:rPr>
          <w:rFonts w:hint="eastAsia"/>
          <w:b/>
        </w:rPr>
        <w:t>（1）公园绿地养护清单</w:t>
      </w:r>
    </w:p>
    <w:tbl>
      <w:tblPr>
        <w:tblStyle w:val="5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20"/>
        <w:gridCol w:w="1581"/>
        <w:gridCol w:w="1459"/>
        <w:gridCol w:w="1388"/>
        <w:gridCol w:w="948"/>
        <w:gridCol w:w="112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973" w:hRule="atLeast"/>
          <w:tblHeader/>
          <w:jc w:val="center"/>
        </w:trPr>
        <w:tc>
          <w:tcPr>
            <w:tcW w:w="720"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1581"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名称</w:t>
            </w:r>
          </w:p>
        </w:tc>
        <w:tc>
          <w:tcPr>
            <w:tcW w:w="1459"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388"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位置</w:t>
            </w:r>
          </w:p>
        </w:tc>
        <w:tc>
          <w:tcPr>
            <w:tcW w:w="948"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养护面积（平米）</w:t>
            </w:r>
          </w:p>
        </w:tc>
        <w:tc>
          <w:tcPr>
            <w:tcW w:w="1125"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养护等级</w:t>
            </w:r>
          </w:p>
        </w:tc>
        <w:tc>
          <w:tcPr>
            <w:tcW w:w="2214"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65"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泰和公园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五乡北路南北</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28766</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泰和公园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五乡北路南</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10000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保洁二类每天清扫二次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仁久村</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10744</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永乐公园（原水厂）</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永乐村</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3992</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小浃江湿地公园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草坪、灌木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皎矸何</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28525</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总计面积53000平米，其中：水面面积24500平米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63"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小浃江湿地公园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水生植物养护</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皎矸何</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24500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水生植物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46"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镇政府绿化</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镇政府</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2990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日兴公园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草坪、灌木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天童庄</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4100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其中：广场面积350平米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911"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日兴公园广场</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天童庄</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保洁二类每天清扫二次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23"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沿山干河绿化带</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沿河绿化（绿化带）</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13800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（780m+620+440）*7.5m龙兴村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东大道南公园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东大道南侧</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3762</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东大道北绿化带</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草坪（绿化带）</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东大道北南侧</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4965</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马园新村公园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马园新村南侧</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宝幢公园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金楼饭店东侧</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后塘河南岸漫步道</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草坪，乔木（绿化带）</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皎矸何</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9500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仁久公园河对面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987高线公园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花坛</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轨道五乡站</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15124</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987高线公园广场</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25713</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54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中车公园</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中车基地</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81989</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830" w:hRule="atLeast"/>
          <w:jc w:val="center"/>
        </w:trPr>
        <w:tc>
          <w:tcPr>
            <w:tcW w:w="720"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14-1</w:t>
            </w:r>
          </w:p>
        </w:tc>
        <w:tc>
          <w:tcPr>
            <w:tcW w:w="158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中车公园广场</w:t>
            </w:r>
          </w:p>
        </w:tc>
        <w:tc>
          <w:tcPr>
            <w:tcW w:w="145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广场保洁（步行道、广场等）</w:t>
            </w:r>
          </w:p>
        </w:tc>
        <w:tc>
          <w:tcPr>
            <w:tcW w:w="138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中车基地</w:t>
            </w:r>
          </w:p>
        </w:tc>
        <w:tc>
          <w:tcPr>
            <w:tcW w:w="948"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16200</w:t>
            </w:r>
          </w:p>
        </w:tc>
        <w:tc>
          <w:tcPr>
            <w:tcW w:w="1125" w:type="dxa"/>
            <w:shd w:val="clear" w:color="auto" w:fill="FFFFFF"/>
            <w:noWrap w:val="0"/>
            <w:vAlign w:val="center"/>
          </w:tcPr>
          <w:p>
            <w:pPr>
              <w:jc w:val="center"/>
              <w:rPr>
                <w:rFonts w:ascii="Times New Roman" w:hAnsi="Times New Roman"/>
              </w:rPr>
            </w:pPr>
            <w:r>
              <w:rPr>
                <w:rFonts w:hint="eastAsia" w:ascii="Times New Roman" w:hAnsi="Times New Roman" w:cs="宋体"/>
                <w:bCs/>
                <w:kern w:val="0"/>
                <w:sz w:val="18"/>
                <w:szCs w:val="18"/>
              </w:rPr>
              <w:t>公园二级</w:t>
            </w:r>
          </w:p>
        </w:tc>
        <w:tc>
          <w:tcPr>
            <w:tcW w:w="2214"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面积：步行道8200平米广场保洁8000平米＝16200平米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jc w:val="center"/>
        </w:trPr>
        <w:tc>
          <w:tcPr>
            <w:tcW w:w="720"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小计</w:t>
            </w:r>
          </w:p>
        </w:tc>
        <w:tc>
          <w:tcPr>
            <w:tcW w:w="1581"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1459"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1388"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948"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287420</w:t>
            </w:r>
          </w:p>
        </w:tc>
        <w:tc>
          <w:tcPr>
            <w:tcW w:w="1125" w:type="dxa"/>
            <w:shd w:val="clear" w:color="auto" w:fill="FFFFFF"/>
            <w:noWrap w:val="0"/>
            <w:vAlign w:val="center"/>
          </w:tcPr>
          <w:p>
            <w:pPr>
              <w:widowControl/>
              <w:jc w:val="center"/>
              <w:rPr>
                <w:rFonts w:ascii="Times New Roman" w:hAnsi="Times New Roman" w:cs="宋体"/>
                <w:kern w:val="0"/>
                <w:sz w:val="18"/>
                <w:szCs w:val="18"/>
              </w:rPr>
            </w:pPr>
          </w:p>
        </w:tc>
        <w:tc>
          <w:tcPr>
            <w:tcW w:w="2214"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r>
    </w:tbl>
    <w:p>
      <w:pPr>
        <w:spacing w:line="440" w:lineRule="exact"/>
        <w:jc w:val="left"/>
        <w:rPr>
          <w:b/>
        </w:rPr>
      </w:pPr>
    </w:p>
    <w:p>
      <w:pPr>
        <w:spacing w:line="440" w:lineRule="exact"/>
        <w:jc w:val="left"/>
        <w:rPr>
          <w:rFonts w:hint="eastAsia"/>
          <w:b/>
        </w:rPr>
      </w:pPr>
      <w:r>
        <w:rPr>
          <w:b/>
        </w:rPr>
        <w:br w:type="page"/>
      </w:r>
      <w:r>
        <w:rPr>
          <w:rFonts w:hint="eastAsia"/>
          <w:b/>
        </w:rPr>
        <w:t>（2）行道树及绿地养护清单</w:t>
      </w:r>
    </w:p>
    <w:tbl>
      <w:tblPr>
        <w:tblStyle w:val="50"/>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286"/>
        <w:gridCol w:w="1004"/>
        <w:gridCol w:w="1074"/>
        <w:gridCol w:w="846"/>
        <w:gridCol w:w="788"/>
        <w:gridCol w:w="825"/>
        <w:gridCol w:w="794"/>
        <w:gridCol w:w="65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atLeast"/>
          <w:jc w:val="center"/>
        </w:trPr>
        <w:tc>
          <w:tcPr>
            <w:tcW w:w="630"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1286"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名称</w:t>
            </w:r>
          </w:p>
        </w:tc>
        <w:tc>
          <w:tcPr>
            <w:tcW w:w="1004"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074"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位置</w:t>
            </w:r>
          </w:p>
        </w:tc>
        <w:tc>
          <w:tcPr>
            <w:tcW w:w="846"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面积（M2）</w:t>
            </w:r>
          </w:p>
        </w:tc>
        <w:tc>
          <w:tcPr>
            <w:tcW w:w="788"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起点</w:t>
            </w:r>
          </w:p>
        </w:tc>
        <w:tc>
          <w:tcPr>
            <w:tcW w:w="825"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终点</w:t>
            </w:r>
          </w:p>
        </w:tc>
        <w:tc>
          <w:tcPr>
            <w:tcW w:w="794"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长度（米）</w:t>
            </w:r>
          </w:p>
        </w:tc>
        <w:tc>
          <w:tcPr>
            <w:tcW w:w="659"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绿地等级</w:t>
            </w:r>
          </w:p>
        </w:tc>
        <w:tc>
          <w:tcPr>
            <w:tcW w:w="2290" w:type="dxa"/>
            <w:vMerge w:val="restart"/>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atLeast"/>
          <w:jc w:val="center"/>
        </w:trPr>
        <w:tc>
          <w:tcPr>
            <w:tcW w:w="630" w:type="dxa"/>
            <w:vMerge w:val="continue"/>
            <w:noWrap w:val="0"/>
            <w:vAlign w:val="center"/>
          </w:tcPr>
          <w:p>
            <w:pPr>
              <w:widowControl/>
              <w:jc w:val="center"/>
              <w:rPr>
                <w:rFonts w:ascii="Times New Roman" w:hAnsi="Times New Roman" w:cs="宋体"/>
                <w:b/>
                <w:bCs/>
                <w:kern w:val="0"/>
                <w:sz w:val="18"/>
                <w:szCs w:val="18"/>
              </w:rPr>
            </w:pPr>
          </w:p>
        </w:tc>
        <w:tc>
          <w:tcPr>
            <w:tcW w:w="1286" w:type="dxa"/>
            <w:vMerge w:val="continue"/>
            <w:noWrap w:val="0"/>
            <w:vAlign w:val="center"/>
          </w:tcPr>
          <w:p>
            <w:pPr>
              <w:widowControl/>
              <w:jc w:val="center"/>
              <w:rPr>
                <w:rFonts w:ascii="Times New Roman" w:hAnsi="Times New Roman" w:cs="宋体"/>
                <w:b/>
                <w:bCs/>
                <w:kern w:val="0"/>
                <w:sz w:val="18"/>
                <w:szCs w:val="18"/>
              </w:rPr>
            </w:pPr>
          </w:p>
        </w:tc>
        <w:tc>
          <w:tcPr>
            <w:tcW w:w="1004" w:type="dxa"/>
            <w:vMerge w:val="continue"/>
            <w:noWrap w:val="0"/>
            <w:vAlign w:val="center"/>
          </w:tcPr>
          <w:p>
            <w:pPr>
              <w:widowControl/>
              <w:jc w:val="center"/>
              <w:rPr>
                <w:rFonts w:ascii="Times New Roman" w:hAnsi="Times New Roman" w:cs="宋体"/>
                <w:b/>
                <w:bCs/>
                <w:kern w:val="0"/>
                <w:sz w:val="18"/>
                <w:szCs w:val="18"/>
              </w:rPr>
            </w:pPr>
          </w:p>
        </w:tc>
        <w:tc>
          <w:tcPr>
            <w:tcW w:w="1074" w:type="dxa"/>
            <w:vMerge w:val="continue"/>
            <w:noWrap w:val="0"/>
            <w:vAlign w:val="center"/>
          </w:tcPr>
          <w:p>
            <w:pPr>
              <w:widowControl/>
              <w:jc w:val="center"/>
              <w:rPr>
                <w:rFonts w:ascii="Times New Roman" w:hAnsi="Times New Roman" w:cs="宋体"/>
                <w:b/>
                <w:bCs/>
                <w:kern w:val="0"/>
                <w:sz w:val="18"/>
                <w:szCs w:val="18"/>
              </w:rPr>
            </w:pPr>
          </w:p>
        </w:tc>
        <w:tc>
          <w:tcPr>
            <w:tcW w:w="846" w:type="dxa"/>
            <w:vMerge w:val="continue"/>
            <w:noWrap w:val="0"/>
            <w:vAlign w:val="center"/>
          </w:tcPr>
          <w:p>
            <w:pPr>
              <w:widowControl/>
              <w:jc w:val="center"/>
              <w:rPr>
                <w:rFonts w:ascii="Times New Roman" w:hAnsi="Times New Roman" w:cs="宋体"/>
                <w:b/>
                <w:bCs/>
                <w:kern w:val="0"/>
                <w:sz w:val="18"/>
                <w:szCs w:val="18"/>
              </w:rPr>
            </w:pPr>
          </w:p>
        </w:tc>
        <w:tc>
          <w:tcPr>
            <w:tcW w:w="788" w:type="dxa"/>
            <w:vMerge w:val="continue"/>
            <w:noWrap w:val="0"/>
            <w:vAlign w:val="center"/>
          </w:tcPr>
          <w:p>
            <w:pPr>
              <w:widowControl/>
              <w:jc w:val="center"/>
              <w:rPr>
                <w:rFonts w:ascii="Times New Roman" w:hAnsi="Times New Roman" w:cs="宋体"/>
                <w:b/>
                <w:bCs/>
                <w:kern w:val="0"/>
                <w:sz w:val="18"/>
                <w:szCs w:val="18"/>
              </w:rPr>
            </w:pPr>
          </w:p>
        </w:tc>
        <w:tc>
          <w:tcPr>
            <w:tcW w:w="825" w:type="dxa"/>
            <w:vMerge w:val="continue"/>
            <w:noWrap w:val="0"/>
            <w:vAlign w:val="center"/>
          </w:tcPr>
          <w:p>
            <w:pPr>
              <w:widowControl/>
              <w:jc w:val="center"/>
              <w:rPr>
                <w:rFonts w:ascii="Times New Roman" w:hAnsi="Times New Roman" w:cs="宋体"/>
                <w:b/>
                <w:bCs/>
                <w:kern w:val="0"/>
                <w:sz w:val="18"/>
                <w:szCs w:val="18"/>
              </w:rPr>
            </w:pPr>
          </w:p>
        </w:tc>
        <w:tc>
          <w:tcPr>
            <w:tcW w:w="794" w:type="dxa"/>
            <w:vMerge w:val="continue"/>
            <w:noWrap w:val="0"/>
            <w:vAlign w:val="center"/>
          </w:tcPr>
          <w:p>
            <w:pPr>
              <w:widowControl/>
              <w:jc w:val="center"/>
              <w:rPr>
                <w:rFonts w:ascii="Times New Roman" w:hAnsi="Times New Roman" w:cs="宋体"/>
                <w:b/>
                <w:bCs/>
                <w:kern w:val="0"/>
                <w:sz w:val="18"/>
                <w:szCs w:val="18"/>
              </w:rPr>
            </w:pPr>
          </w:p>
        </w:tc>
        <w:tc>
          <w:tcPr>
            <w:tcW w:w="659" w:type="dxa"/>
            <w:vMerge w:val="continue"/>
            <w:noWrap w:val="0"/>
            <w:vAlign w:val="center"/>
          </w:tcPr>
          <w:p>
            <w:pPr>
              <w:widowControl/>
              <w:jc w:val="center"/>
              <w:rPr>
                <w:rFonts w:ascii="Times New Roman" w:hAnsi="Times New Roman" w:cs="宋体"/>
                <w:b/>
                <w:bCs/>
                <w:kern w:val="0"/>
                <w:sz w:val="18"/>
                <w:szCs w:val="18"/>
              </w:rPr>
            </w:pPr>
          </w:p>
        </w:tc>
        <w:tc>
          <w:tcPr>
            <w:tcW w:w="2290" w:type="dxa"/>
            <w:vMerge w:val="continue"/>
            <w:noWrap w:val="0"/>
            <w:vAlign w:val="center"/>
          </w:tcPr>
          <w:p>
            <w:pPr>
              <w:widowControl/>
              <w:jc w:val="center"/>
              <w:rPr>
                <w:rFonts w:ascii="Times New Roman" w:hAnsi="Times New Roman"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盛光包装前</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1239</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明湖湾前</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868</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东旭工业区前</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707</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帅元电器至钢材市场</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899</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五乡中学至龙兴路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乔木48颗</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450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胸径D10CM以内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油厂仓库北侧</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195</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银丰酒店至逸夫中学</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乔木426颗</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329两侧</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2450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329两侧乔木合计胸径D10CM以内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文体中心</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3695</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恒达高定时器公司</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815</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恒达高</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1364</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中洲公司</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1744</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旭力路路口（良缘饭店）</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231</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明伦加油站</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272</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明伦村委会</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472</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铁路与329隔离地</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2772</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明伦新村前</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17</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清河路西侧</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659</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18</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清河路至宝瞻路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1558</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清河路至宝瞻路北侧零星企业门口合计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6"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清河路至宝瞻路329与铁路留地</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乔木8米/株加草坪</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329南</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635</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635/8=80株 胸径D10CM以内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育王寺正门</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329北</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2918</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四安村铁路高架下</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329两侧</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1320</w:t>
            </w: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片植灌木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行道树乔木养护</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乔木养护1088株</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（中车路、时代路、南车路、明南路）</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p>
        </w:tc>
        <w:tc>
          <w:tcPr>
            <w:tcW w:w="825" w:type="dxa"/>
            <w:noWrap w:val="0"/>
            <w:vAlign w:val="center"/>
          </w:tcPr>
          <w:p>
            <w:pPr>
              <w:widowControl/>
              <w:jc w:val="center"/>
              <w:rPr>
                <w:rFonts w:ascii="Times New Roman" w:hAnsi="Times New Roman" w:cs="宋体"/>
                <w:kern w:val="0"/>
                <w:sz w:val="18"/>
                <w:szCs w:val="18"/>
              </w:rPr>
            </w:pP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23</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治超站</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宝瞻路西</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624</w:t>
            </w: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治超站</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治超站</w:t>
            </w: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24</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宝瞻路西</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4950</w:t>
            </w: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450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450*11 面积待定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粮站至高速口</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宝瞻路西</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7424</w:t>
            </w: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高速口</w:t>
            </w: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粮站至高速口宝瞻路东侧企业门口加绿化总和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26</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329至高速口</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宝瞻路东</w:t>
            </w:r>
          </w:p>
        </w:tc>
        <w:tc>
          <w:tcPr>
            <w:tcW w:w="84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6915</w:t>
            </w: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高速口</w:t>
            </w:r>
          </w:p>
        </w:tc>
        <w:tc>
          <w:tcPr>
            <w:tcW w:w="794" w:type="dxa"/>
            <w:noWrap w:val="0"/>
            <w:vAlign w:val="center"/>
          </w:tcPr>
          <w:p>
            <w:pPr>
              <w:widowControl/>
              <w:jc w:val="center"/>
              <w:rPr>
                <w:rFonts w:ascii="Times New Roman" w:hAnsi="Times New Roman" w:cs="宋体"/>
                <w:kern w:val="0"/>
                <w:sz w:val="18"/>
                <w:szCs w:val="18"/>
              </w:rPr>
            </w:pP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329至高速口宝瞻路东侧企业门口加绿化总和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爱民北路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428</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28</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菜场路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西街</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西街</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778</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镇南路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522</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31</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回江路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云鹤水岸</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406</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西街</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爱民路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菜场路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209</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33</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鄞州银行西</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回江西村</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34</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鄞州银行东</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镇区范围</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老***</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6"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蟠龙路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2160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580米高速往东双侧乔木，1580米工业园区内双侧绿化带  胸径D10CM以内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36</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三江路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精英路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830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37</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精英路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970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38</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精达路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中洲路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龙兴路1</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龙兴菜场</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290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东西向，贵玉小学北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40</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龙兴路2</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通途路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龙兴菜场</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1125</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南北向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6"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41</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双侧绿化带+人行道隔离带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通途路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三江路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1520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双侧按每6米两株乔木考虑 胸径D20CM以内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42</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金腾路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金通路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43</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金通路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金腾路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美迪斯路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600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44</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中洲路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双侧绿化带+人行道隔离带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五乡北路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830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45</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中溢路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150米双侧 250米单侧  绿化带+人行道隔离带</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329</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丰银包装</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430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46</w:t>
            </w:r>
          </w:p>
        </w:tc>
        <w:tc>
          <w:tcPr>
            <w:tcW w:w="1286"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精英路</w:t>
            </w:r>
          </w:p>
        </w:tc>
        <w:tc>
          <w:tcPr>
            <w:tcW w:w="100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双侧行道树</w:t>
            </w:r>
          </w:p>
        </w:tc>
        <w:tc>
          <w:tcPr>
            <w:tcW w:w="10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工业园区</w:t>
            </w:r>
          </w:p>
        </w:tc>
        <w:tc>
          <w:tcPr>
            <w:tcW w:w="846" w:type="dxa"/>
            <w:noWrap w:val="0"/>
            <w:vAlign w:val="center"/>
          </w:tcPr>
          <w:p>
            <w:pPr>
              <w:widowControl/>
              <w:jc w:val="center"/>
              <w:rPr>
                <w:rFonts w:ascii="Times New Roman" w:hAnsi="Times New Roman" w:cs="宋体"/>
                <w:kern w:val="0"/>
                <w:sz w:val="18"/>
                <w:szCs w:val="18"/>
              </w:rPr>
            </w:pPr>
          </w:p>
        </w:tc>
        <w:tc>
          <w:tcPr>
            <w:tcW w:w="78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振兴路</w:t>
            </w:r>
          </w:p>
        </w:tc>
        <w:tc>
          <w:tcPr>
            <w:tcW w:w="8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三江路</w:t>
            </w:r>
          </w:p>
        </w:tc>
        <w:tc>
          <w:tcPr>
            <w:tcW w:w="7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280</w:t>
            </w:r>
          </w:p>
        </w:tc>
        <w:tc>
          <w:tcPr>
            <w:tcW w:w="659" w:type="dxa"/>
            <w:noWrap w:val="0"/>
            <w:vAlign w:val="center"/>
          </w:tcPr>
          <w:p>
            <w:pPr>
              <w:jc w:val="center"/>
              <w:rPr>
                <w:rFonts w:ascii="Times New Roman" w:hAnsi="Times New Roman"/>
              </w:rPr>
            </w:pPr>
            <w:r>
              <w:rPr>
                <w:rFonts w:hint="eastAsia" w:ascii="Times New Roman" w:hAnsi="Times New Roman" w:cs="宋体"/>
                <w:kern w:val="0"/>
                <w:sz w:val="18"/>
                <w:szCs w:val="18"/>
              </w:rPr>
              <w:t>二级</w:t>
            </w:r>
          </w:p>
        </w:tc>
        <w:tc>
          <w:tcPr>
            <w:tcW w:w="2290"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630"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小计</w:t>
            </w:r>
          </w:p>
        </w:tc>
        <w:tc>
          <w:tcPr>
            <w:tcW w:w="1286" w:type="dxa"/>
            <w:noWrap w:val="0"/>
            <w:vAlign w:val="center"/>
          </w:tcPr>
          <w:p>
            <w:pPr>
              <w:widowControl/>
              <w:jc w:val="center"/>
              <w:rPr>
                <w:rFonts w:ascii="Times New Roman" w:hAnsi="Times New Roman" w:cs="宋体"/>
                <w:b/>
                <w:bCs/>
                <w:kern w:val="0"/>
                <w:sz w:val="18"/>
                <w:szCs w:val="18"/>
              </w:rPr>
            </w:pPr>
          </w:p>
        </w:tc>
        <w:tc>
          <w:tcPr>
            <w:tcW w:w="1004" w:type="dxa"/>
            <w:noWrap w:val="0"/>
            <w:vAlign w:val="center"/>
          </w:tcPr>
          <w:p>
            <w:pPr>
              <w:widowControl/>
              <w:jc w:val="center"/>
              <w:rPr>
                <w:rFonts w:ascii="Times New Roman" w:hAnsi="Times New Roman" w:cs="宋体"/>
                <w:b/>
                <w:bCs/>
                <w:kern w:val="0"/>
                <w:sz w:val="18"/>
                <w:szCs w:val="18"/>
              </w:rPr>
            </w:pPr>
          </w:p>
        </w:tc>
        <w:tc>
          <w:tcPr>
            <w:tcW w:w="1074" w:type="dxa"/>
            <w:noWrap w:val="0"/>
            <w:vAlign w:val="center"/>
          </w:tcPr>
          <w:p>
            <w:pPr>
              <w:widowControl/>
              <w:jc w:val="center"/>
              <w:rPr>
                <w:rFonts w:ascii="Times New Roman" w:hAnsi="Times New Roman" w:cs="宋体"/>
                <w:b/>
                <w:bCs/>
                <w:kern w:val="0"/>
                <w:sz w:val="18"/>
                <w:szCs w:val="18"/>
              </w:rPr>
            </w:pPr>
          </w:p>
        </w:tc>
        <w:tc>
          <w:tcPr>
            <w:tcW w:w="846"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42332</w:t>
            </w:r>
          </w:p>
        </w:tc>
        <w:tc>
          <w:tcPr>
            <w:tcW w:w="788" w:type="dxa"/>
            <w:noWrap w:val="0"/>
            <w:vAlign w:val="center"/>
          </w:tcPr>
          <w:p>
            <w:pPr>
              <w:widowControl/>
              <w:jc w:val="center"/>
              <w:rPr>
                <w:rFonts w:ascii="Times New Roman" w:hAnsi="Times New Roman" w:cs="宋体"/>
                <w:b/>
                <w:bCs/>
                <w:kern w:val="0"/>
                <w:sz w:val="18"/>
                <w:szCs w:val="18"/>
              </w:rPr>
            </w:pPr>
          </w:p>
        </w:tc>
        <w:tc>
          <w:tcPr>
            <w:tcW w:w="825" w:type="dxa"/>
            <w:noWrap w:val="0"/>
            <w:vAlign w:val="center"/>
          </w:tcPr>
          <w:p>
            <w:pPr>
              <w:widowControl/>
              <w:jc w:val="center"/>
              <w:rPr>
                <w:rFonts w:ascii="Times New Roman" w:hAnsi="Times New Roman" w:cs="宋体"/>
                <w:b/>
                <w:bCs/>
                <w:kern w:val="0"/>
                <w:sz w:val="18"/>
                <w:szCs w:val="18"/>
              </w:rPr>
            </w:pPr>
          </w:p>
        </w:tc>
        <w:tc>
          <w:tcPr>
            <w:tcW w:w="794"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17383</w:t>
            </w:r>
          </w:p>
        </w:tc>
        <w:tc>
          <w:tcPr>
            <w:tcW w:w="659" w:type="dxa"/>
            <w:noWrap w:val="0"/>
            <w:vAlign w:val="center"/>
          </w:tcPr>
          <w:p>
            <w:pPr>
              <w:widowControl/>
              <w:jc w:val="center"/>
              <w:rPr>
                <w:rFonts w:ascii="Times New Roman" w:hAnsi="Times New Roman" w:cs="宋体"/>
                <w:b/>
                <w:bCs/>
                <w:kern w:val="0"/>
                <w:sz w:val="18"/>
                <w:szCs w:val="18"/>
              </w:rPr>
            </w:pPr>
          </w:p>
        </w:tc>
        <w:tc>
          <w:tcPr>
            <w:tcW w:w="2290" w:type="dxa"/>
            <w:noWrap w:val="0"/>
            <w:vAlign w:val="center"/>
          </w:tcPr>
          <w:p>
            <w:pPr>
              <w:widowControl/>
              <w:jc w:val="center"/>
              <w:rPr>
                <w:rFonts w:ascii="Times New Roman" w:hAnsi="Times New Roman" w:cs="宋体"/>
                <w:b/>
                <w:bCs/>
                <w:kern w:val="0"/>
                <w:sz w:val="18"/>
                <w:szCs w:val="18"/>
              </w:rPr>
            </w:pPr>
          </w:p>
        </w:tc>
      </w:tr>
    </w:tbl>
    <w:p>
      <w:pPr>
        <w:spacing w:line="440" w:lineRule="exact"/>
        <w:jc w:val="left"/>
        <w:rPr>
          <w:rFonts w:hint="eastAsia"/>
          <w:b/>
        </w:rPr>
      </w:pPr>
    </w:p>
    <w:p>
      <w:pPr>
        <w:spacing w:line="440" w:lineRule="exact"/>
        <w:jc w:val="left"/>
        <w:rPr>
          <w:rFonts w:hint="eastAsia"/>
          <w:b/>
        </w:rPr>
      </w:pPr>
      <w:r>
        <w:rPr>
          <w:rFonts w:hint="eastAsia"/>
          <w:b/>
        </w:rPr>
        <w:t>（3）公园绿地专项巡视清单</w:t>
      </w:r>
    </w:p>
    <w:tbl>
      <w:tblPr>
        <w:tblStyle w:val="5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658"/>
        <w:gridCol w:w="2457"/>
        <w:gridCol w:w="1385"/>
        <w:gridCol w:w="1053"/>
        <w:gridCol w:w="149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jc w:val="center"/>
        </w:trPr>
        <w:tc>
          <w:tcPr>
            <w:tcW w:w="799"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1658"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名称</w:t>
            </w:r>
          </w:p>
        </w:tc>
        <w:tc>
          <w:tcPr>
            <w:tcW w:w="2457"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385"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位置</w:t>
            </w:r>
          </w:p>
        </w:tc>
        <w:tc>
          <w:tcPr>
            <w:tcW w:w="1053"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巡视面积（平米）</w:t>
            </w:r>
          </w:p>
        </w:tc>
        <w:tc>
          <w:tcPr>
            <w:tcW w:w="1498"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绿地专项巡视</w:t>
            </w:r>
          </w:p>
        </w:tc>
        <w:tc>
          <w:tcPr>
            <w:tcW w:w="830"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atLeast"/>
          <w:jc w:val="center"/>
        </w:trPr>
        <w:tc>
          <w:tcPr>
            <w:tcW w:w="79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w:t>
            </w:r>
          </w:p>
        </w:tc>
        <w:tc>
          <w:tcPr>
            <w:tcW w:w="165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仁久公园</w:t>
            </w:r>
          </w:p>
        </w:tc>
        <w:tc>
          <w:tcPr>
            <w:tcW w:w="245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绿地专项巡视（包含水面）</w:t>
            </w:r>
          </w:p>
        </w:tc>
        <w:tc>
          <w:tcPr>
            <w:tcW w:w="138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仁久村</w:t>
            </w:r>
          </w:p>
        </w:tc>
        <w:tc>
          <w:tcPr>
            <w:tcW w:w="1053"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10744</w:t>
            </w:r>
          </w:p>
        </w:tc>
        <w:tc>
          <w:tcPr>
            <w:tcW w:w="149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
                <w:bCs/>
                <w:kern w:val="0"/>
                <w:sz w:val="18"/>
                <w:szCs w:val="18"/>
              </w:rPr>
              <w:t>一、二类</w:t>
            </w:r>
          </w:p>
        </w:tc>
        <w:tc>
          <w:tcPr>
            <w:tcW w:w="8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3" w:hRule="atLeast"/>
          <w:jc w:val="center"/>
        </w:trPr>
        <w:tc>
          <w:tcPr>
            <w:tcW w:w="79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4-2</w:t>
            </w:r>
          </w:p>
        </w:tc>
        <w:tc>
          <w:tcPr>
            <w:tcW w:w="165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小浃江湿地公园</w:t>
            </w:r>
          </w:p>
        </w:tc>
        <w:tc>
          <w:tcPr>
            <w:tcW w:w="245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绿地专项巡视（包含水面）</w:t>
            </w:r>
          </w:p>
        </w:tc>
        <w:tc>
          <w:tcPr>
            <w:tcW w:w="138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皎矸何</w:t>
            </w:r>
          </w:p>
        </w:tc>
        <w:tc>
          <w:tcPr>
            <w:tcW w:w="1053"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53025</w:t>
            </w:r>
          </w:p>
        </w:tc>
        <w:tc>
          <w:tcPr>
            <w:tcW w:w="149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
                <w:bCs/>
                <w:kern w:val="0"/>
                <w:sz w:val="18"/>
                <w:szCs w:val="18"/>
              </w:rPr>
              <w:t>一、二类</w:t>
            </w:r>
          </w:p>
        </w:tc>
        <w:tc>
          <w:tcPr>
            <w:tcW w:w="8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atLeast"/>
          <w:jc w:val="center"/>
        </w:trPr>
        <w:tc>
          <w:tcPr>
            <w:tcW w:w="79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13-2</w:t>
            </w:r>
          </w:p>
        </w:tc>
        <w:tc>
          <w:tcPr>
            <w:tcW w:w="165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987高线公园</w:t>
            </w:r>
          </w:p>
        </w:tc>
        <w:tc>
          <w:tcPr>
            <w:tcW w:w="245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绿地专项巡视</w:t>
            </w:r>
          </w:p>
        </w:tc>
        <w:tc>
          <w:tcPr>
            <w:tcW w:w="138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李家洋地铁站</w:t>
            </w:r>
          </w:p>
        </w:tc>
        <w:tc>
          <w:tcPr>
            <w:tcW w:w="1053"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40837</w:t>
            </w:r>
          </w:p>
        </w:tc>
        <w:tc>
          <w:tcPr>
            <w:tcW w:w="1498"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
                <w:bCs/>
                <w:kern w:val="0"/>
                <w:sz w:val="18"/>
                <w:szCs w:val="18"/>
              </w:rPr>
              <w:t>一、二类</w:t>
            </w:r>
          </w:p>
        </w:tc>
        <w:tc>
          <w:tcPr>
            <w:tcW w:w="830"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799"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小计</w:t>
            </w:r>
          </w:p>
        </w:tc>
        <w:tc>
          <w:tcPr>
            <w:tcW w:w="1658"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2457"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1385"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c>
          <w:tcPr>
            <w:tcW w:w="1053"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104606</w:t>
            </w:r>
          </w:p>
        </w:tc>
        <w:tc>
          <w:tcPr>
            <w:tcW w:w="1498" w:type="dxa"/>
            <w:noWrap w:val="0"/>
            <w:vAlign w:val="center"/>
          </w:tcPr>
          <w:p>
            <w:pPr>
              <w:widowControl/>
              <w:jc w:val="center"/>
              <w:rPr>
                <w:rFonts w:ascii="Times New Roman" w:hAnsi="Times New Roman" w:cs="宋体"/>
                <w:b/>
                <w:bCs/>
                <w:kern w:val="0"/>
                <w:sz w:val="18"/>
                <w:szCs w:val="18"/>
              </w:rPr>
            </w:pPr>
          </w:p>
        </w:tc>
        <w:tc>
          <w:tcPr>
            <w:tcW w:w="830"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　</w:t>
            </w:r>
          </w:p>
        </w:tc>
      </w:tr>
    </w:tbl>
    <w:p>
      <w:pPr>
        <w:spacing w:line="440" w:lineRule="exact"/>
        <w:jc w:val="left"/>
        <w:rPr>
          <w:rFonts w:hint="eastAsia"/>
          <w:b/>
        </w:rPr>
      </w:pPr>
    </w:p>
    <w:p>
      <w:pPr>
        <w:spacing w:line="360" w:lineRule="auto"/>
        <w:contextualSpacing/>
        <w:jc w:val="left"/>
        <w:rPr>
          <w:rFonts w:hint="eastAsia"/>
          <w:b/>
        </w:rPr>
      </w:pPr>
      <w:r>
        <w:rPr>
          <w:rFonts w:hint="eastAsia"/>
          <w:b/>
        </w:rPr>
        <w:t xml:space="preserve">（二）服务范围： </w:t>
      </w:r>
    </w:p>
    <w:p>
      <w:pPr>
        <w:pStyle w:val="171"/>
        <w:spacing w:line="360" w:lineRule="auto"/>
        <w:contextualSpacing/>
        <w:rPr>
          <w:rFonts w:hint="eastAsia"/>
          <w:bCs/>
          <w:szCs w:val="21"/>
        </w:rPr>
      </w:pPr>
      <w:r>
        <w:rPr>
          <w:rFonts w:hint="eastAsia"/>
          <w:bCs/>
          <w:szCs w:val="21"/>
        </w:rPr>
        <w:t>1、五乡道路（镇区）保洁以及公路保洁范围：共</w:t>
      </w:r>
      <w:r>
        <w:rPr>
          <w:bCs/>
          <w:szCs w:val="21"/>
        </w:rPr>
        <w:t>920074</w:t>
      </w:r>
      <w:r>
        <w:rPr>
          <w:rFonts w:hint="eastAsia"/>
          <w:bCs/>
          <w:szCs w:val="21"/>
        </w:rPr>
        <w:t>平方米</w:t>
      </w:r>
      <w:r>
        <w:rPr>
          <w:rFonts w:hint="eastAsia"/>
        </w:rPr>
        <w:t>，其中：</w:t>
      </w:r>
    </w:p>
    <w:p>
      <w:pPr>
        <w:spacing w:line="360" w:lineRule="auto"/>
        <w:ind w:firstLine="420" w:firstLineChars="200"/>
        <w:contextualSpacing/>
        <w:rPr>
          <w:rFonts w:hint="eastAsia"/>
        </w:rPr>
      </w:pPr>
      <w:r>
        <w:rPr>
          <w:rFonts w:hint="eastAsia"/>
        </w:rPr>
        <w:t>（1）16小时保洁：28416平方米，包括蟠龙路、西街、菜场路；</w:t>
      </w:r>
    </w:p>
    <w:p>
      <w:pPr>
        <w:spacing w:line="360" w:lineRule="auto"/>
        <w:ind w:firstLine="420" w:firstLineChars="200"/>
        <w:contextualSpacing/>
        <w:rPr>
          <w:rFonts w:hint="eastAsia"/>
        </w:rPr>
      </w:pPr>
      <w:r>
        <w:rPr>
          <w:rFonts w:hint="eastAsia"/>
        </w:rPr>
        <w:t>（2）10小时保洁：56800平方米，包括军民路、宝幢老街、爱民路、爱民南路、回江南路、镇南路、宝幢菜市场；</w:t>
      </w:r>
    </w:p>
    <w:p>
      <w:pPr>
        <w:spacing w:line="360" w:lineRule="auto"/>
        <w:ind w:firstLine="420" w:firstLineChars="200"/>
        <w:contextualSpacing/>
        <w:rPr>
          <w:rFonts w:hint="eastAsia"/>
        </w:rPr>
      </w:pPr>
      <w:r>
        <w:rPr>
          <w:rFonts w:hint="eastAsia"/>
        </w:rPr>
        <w:t>（3）8小时保洁：834858平方米，包括龙兴路、五乡北路、美迪斯路、美迪斯南路、中洲路、精达路、振兴路、三江路、金腾路、精英路、鑫穗路、金通路、善华路、四安高速桥下停车场、蟠龙北路、五乡西街延伸段、原镇南菜场北边沿河道路、***面前道路、马园新村停车场、马园新村道路、回江北路、镇南新村弄道（包括老菜场）、爱民北路、蟠龙北村弄堂、东街、堰塘路、逸夫中学东弄道、马园路南小路、旭力路、新诚村牌楼路、天童庄史丹利、皎矸樟漕路、庵桥头路、农业银行东、四安铁路桥下、李家洋火车桥南面停车场、钢材市场前二个停车场、贵玉小学东侧道路、贵玉小学南侧道路、五乡镇政府机关道路和车库、宝幢轨道交通、宝幢轨道交通公交首末站外、懋德路、马园新村、菜场南小路（新江厦超市南）、云鹤A区巷弄、云鹤B区巷弄、五乡北路、育王寺西后道路、高速公路地面道路北段、高速公路地面道路南段、五乡临时菜市场室外停车场。。</w:t>
      </w:r>
    </w:p>
    <w:p>
      <w:pPr>
        <w:spacing w:line="360" w:lineRule="auto"/>
        <w:ind w:firstLine="420" w:firstLineChars="200"/>
        <w:contextualSpacing/>
        <w:rPr>
          <w:rFonts w:hint="eastAsia"/>
          <w:bCs/>
          <w:szCs w:val="21"/>
        </w:rPr>
      </w:pPr>
      <w:r>
        <w:rPr>
          <w:rFonts w:hint="eastAsia"/>
          <w:bCs/>
          <w:szCs w:val="21"/>
        </w:rPr>
        <w:t>2、240立升垃圾桶清理、更换：镇区范围内的240立升垃圾桶约1200只（其中：中转站600只）。垃圾收集原则上要求每日二次，具体收集完毕时间以采购人要求为准，如遇特殊情况另行要求。中标人每年须负责更换240立升垃圾桶1200只，费用包含在投标总价中。</w:t>
      </w:r>
    </w:p>
    <w:p>
      <w:pPr>
        <w:spacing w:line="360" w:lineRule="auto"/>
        <w:ind w:firstLine="420" w:firstLineChars="200"/>
        <w:contextualSpacing/>
        <w:rPr>
          <w:rFonts w:hint="eastAsia"/>
          <w:bCs/>
          <w:szCs w:val="21"/>
        </w:rPr>
      </w:pPr>
      <w:r>
        <w:rPr>
          <w:rFonts w:hint="eastAsia"/>
          <w:bCs/>
          <w:szCs w:val="21"/>
        </w:rPr>
        <w:t>3、果壳箱（废物箱）保洁：服务范围内的果壳箱（废物箱）约131只（329国道、宝瞻路、中车果壳箱共计88只；五乡地铁站周边18只；宝幢地铁站，宝涵路，环城南路合计25只）。</w:t>
      </w:r>
    </w:p>
    <w:p>
      <w:pPr>
        <w:spacing w:line="360" w:lineRule="auto"/>
        <w:ind w:firstLine="420" w:firstLineChars="200"/>
        <w:contextualSpacing/>
        <w:rPr>
          <w:rFonts w:hint="eastAsia"/>
          <w:bCs/>
          <w:szCs w:val="21"/>
        </w:rPr>
      </w:pPr>
      <w:r>
        <w:rPr>
          <w:rFonts w:hint="eastAsia"/>
          <w:bCs/>
          <w:szCs w:val="21"/>
        </w:rPr>
        <w:t>4、公厕保洁及吸粪工作：五乡镇公共厕所24座，10小时保洁；中标单位还需负责各村108座公厕的化粪池清理及吸粪工作。</w:t>
      </w:r>
    </w:p>
    <w:p>
      <w:pPr>
        <w:spacing w:line="360" w:lineRule="auto"/>
        <w:ind w:firstLine="420" w:firstLineChars="200"/>
        <w:contextualSpacing/>
        <w:outlineLvl w:val="1"/>
        <w:rPr>
          <w:rFonts w:hint="eastAsia"/>
        </w:rPr>
      </w:pPr>
      <w:r>
        <w:rPr>
          <w:rFonts w:hint="eastAsia"/>
          <w:bCs/>
          <w:szCs w:val="21"/>
        </w:rPr>
        <w:t>5、垃圾清运：</w:t>
      </w:r>
      <w:r>
        <w:rPr>
          <w:rFonts w:hint="eastAsia"/>
        </w:rPr>
        <w:t>包含村级及企事业单位垃圾桶、果壳箱垃圾（包含</w:t>
      </w:r>
      <w:r>
        <w:t>餐厨及厨余垃圾</w:t>
      </w:r>
      <w:r>
        <w:rPr>
          <w:rFonts w:hint="eastAsia"/>
        </w:rPr>
        <w:t>）的收集、倾倒、清运，垃圾统一清运至洞桥镇宁波</w:t>
      </w:r>
      <w:r>
        <w:t>明州能源环境有限公司</w:t>
      </w:r>
      <w:r>
        <w:rPr>
          <w:rFonts w:hint="eastAsia"/>
        </w:rPr>
        <w:t>或</w:t>
      </w:r>
      <w:r>
        <w:t>指定地点。</w:t>
      </w:r>
    </w:p>
    <w:p>
      <w:pPr>
        <w:spacing w:line="360" w:lineRule="auto"/>
        <w:ind w:firstLine="420" w:firstLineChars="200"/>
        <w:contextualSpacing/>
        <w:outlineLvl w:val="1"/>
        <w:rPr>
          <w:rFonts w:hint="eastAsia"/>
          <w:bCs/>
          <w:szCs w:val="21"/>
        </w:rPr>
      </w:pPr>
      <w:r>
        <w:rPr>
          <w:rFonts w:hint="eastAsia"/>
          <w:bCs/>
          <w:szCs w:val="21"/>
        </w:rPr>
        <w:t>6、垃圾中转站日常保洁、管理：垃圾中转站日常保洁及除臭工作，必须保证中转站周边无散落垃圾。垃圾中转站日常保洁所需的垃圾桶装车10辆及2辆车厢可卸式勾臂车等自行配置；垃圾中转站日常保洁所需的人员及耗材等由中标人按照相关标准配备【包括但不少于如下内容：配套垃圾桶装车驾驶员10人、中转站辅助工11人（其中倒桶工4人，垃圾压缩操作工4人（4台*1人/台），洗桶工2人，污水处理工1人）、站内外每年新旧240立升垃圾桶替换约1200只】，费用包含在投标总价中。</w:t>
      </w:r>
    </w:p>
    <w:p>
      <w:pPr>
        <w:spacing w:line="360" w:lineRule="auto"/>
        <w:ind w:firstLine="420" w:firstLineChars="200"/>
        <w:contextualSpacing/>
        <w:outlineLvl w:val="1"/>
        <w:rPr>
          <w:rFonts w:hint="eastAsia"/>
        </w:rPr>
      </w:pPr>
      <w:r>
        <w:rPr>
          <w:rFonts w:hint="eastAsia"/>
          <w:bCs/>
          <w:szCs w:val="21"/>
        </w:rPr>
        <w:t>7、绿化养护：</w:t>
      </w:r>
      <w:r>
        <w:rPr>
          <w:rFonts w:hint="eastAsia"/>
        </w:rPr>
        <w:t>绿化养护总面积约为329752平方米【其中公园绿地养护面积约287420平方米、行道树及绿地养护面积（包括乔木）约为42332平方米】。养护内容包括但不限于地被植物，灌木，乔木等一切植被养护（含施肥、除虫、修剪、浇水等），死苗补种，垃圾清运及处置，场地保洁，除草、花坛、树池修复，黄土回填等，维护绿化区域内的公共设施的正常使用。</w:t>
      </w:r>
    </w:p>
    <w:p>
      <w:pPr>
        <w:spacing w:line="360" w:lineRule="auto"/>
        <w:ind w:firstLine="420" w:firstLineChars="200"/>
        <w:contextualSpacing/>
        <w:outlineLvl w:val="1"/>
        <w:rPr>
          <w:rFonts w:hint="eastAsia"/>
        </w:rPr>
      </w:pPr>
      <w:r>
        <w:rPr>
          <w:rFonts w:hint="eastAsia"/>
        </w:rPr>
        <w:t>8、绿地专项巡视范围为仁久公园、小浃江湿地公园、987高线公园，面积约104606平方米，绿地专项巡视内容包括病虫害防治巡视、水面巡视、治安巡视、防火巡视、动植物资源调查等巡视，巡视时间为8点-20点（具体时间以采购人要求为准）。</w:t>
      </w:r>
    </w:p>
    <w:p>
      <w:pPr>
        <w:spacing w:line="360" w:lineRule="auto"/>
        <w:ind w:firstLine="420" w:firstLineChars="200"/>
        <w:contextualSpacing/>
        <w:outlineLvl w:val="1"/>
        <w:rPr>
          <w:rFonts w:hint="eastAsia"/>
          <w:bCs/>
          <w:szCs w:val="21"/>
        </w:rPr>
      </w:pPr>
      <w:r>
        <w:rPr>
          <w:rFonts w:hint="eastAsia"/>
          <w:bCs/>
          <w:szCs w:val="21"/>
        </w:rPr>
        <w:t>9、临时建筑垃圾（包括装修垃圾）突发外运及处置。</w:t>
      </w:r>
    </w:p>
    <w:p>
      <w:pPr>
        <w:spacing w:line="360" w:lineRule="auto"/>
        <w:ind w:firstLine="420" w:firstLineChars="200"/>
        <w:contextualSpacing/>
        <w:outlineLvl w:val="1"/>
        <w:rPr>
          <w:rFonts w:hint="eastAsia"/>
          <w:bCs/>
          <w:szCs w:val="21"/>
        </w:rPr>
      </w:pPr>
      <w:r>
        <w:rPr>
          <w:rFonts w:hint="eastAsia"/>
          <w:bCs/>
          <w:szCs w:val="21"/>
        </w:rPr>
        <w:t>10、五乡镇329国道（起止范围：东外环-育王寺（五乡范围））沿线两边店铺垃圾收集清运。</w:t>
      </w:r>
    </w:p>
    <w:p>
      <w:pPr>
        <w:spacing w:line="360" w:lineRule="auto"/>
        <w:ind w:firstLine="420" w:firstLineChars="200"/>
        <w:contextualSpacing/>
        <w:jc w:val="left"/>
        <w:rPr>
          <w:rFonts w:hint="eastAsia"/>
          <w:b/>
        </w:rPr>
      </w:pPr>
      <w:r>
        <w:rPr>
          <w:rFonts w:hint="eastAsia"/>
        </w:rPr>
        <w:t>10、临时及应急任务：采购人通知的市区检查、节假日等重大活动的清扫、清理等突击型保洁任务（采购人另行安排同意补助的项目除外）。</w:t>
      </w:r>
    </w:p>
    <w:p>
      <w:pPr>
        <w:spacing w:line="440" w:lineRule="exact"/>
        <w:jc w:val="left"/>
        <w:rPr>
          <w:rFonts w:hint="eastAsia"/>
          <w:b/>
        </w:rPr>
      </w:pPr>
      <w:r>
        <w:rPr>
          <w:rFonts w:hint="eastAsia"/>
          <w:b/>
        </w:rPr>
        <w:t>（三）服务要求</w:t>
      </w:r>
    </w:p>
    <w:p>
      <w:pPr>
        <w:spacing w:line="360" w:lineRule="auto"/>
        <w:ind w:firstLine="420" w:firstLineChars="200"/>
        <w:contextualSpacing/>
        <w:outlineLvl w:val="1"/>
        <w:rPr>
          <w:rFonts w:hint="eastAsia"/>
        </w:rPr>
      </w:pPr>
      <w:r>
        <w:rPr>
          <w:rFonts w:hint="eastAsia"/>
        </w:rPr>
        <w:t>1、保洁服务标准：由中标人实施的所有</w:t>
      </w:r>
      <w:r>
        <w:t>建成区范围内</w:t>
      </w:r>
      <w:r>
        <w:rPr>
          <w:rFonts w:hint="eastAsia"/>
        </w:rPr>
        <w:t>的保洁、养护质量均应达到保洁标准及《五乡镇环卫保洁作业质量标准》，其中道路保洁服务需至少达到《城市环境卫生质量标准》城建【1977】21号道路保洁三级标准（具体以招标文件对各路段的保洁要求为准）。在承包期限内，中标人应按照保洁养护操作规程及保洁养护质量标准，合理组织，精心养护，保质、保量完成保洁、养护任务。</w:t>
      </w:r>
    </w:p>
    <w:p>
      <w:pPr>
        <w:spacing w:line="360" w:lineRule="auto"/>
        <w:ind w:firstLine="420" w:firstLineChars="200"/>
        <w:contextualSpacing/>
        <w:outlineLvl w:val="1"/>
        <w:rPr>
          <w:rFonts w:hint="eastAsia"/>
        </w:rPr>
      </w:pPr>
      <w:r>
        <w:rPr>
          <w:rFonts w:hint="eastAsia"/>
        </w:rPr>
        <w:t>2、道路及公路保洁要求：</w:t>
      </w:r>
    </w:p>
    <w:p>
      <w:pPr>
        <w:spacing w:line="360" w:lineRule="auto"/>
        <w:ind w:firstLine="420" w:firstLineChars="200"/>
        <w:contextualSpacing/>
        <w:outlineLvl w:val="1"/>
        <w:rPr>
          <w:rFonts w:hint="eastAsia"/>
          <w:szCs w:val="21"/>
        </w:rPr>
      </w:pPr>
      <w:r>
        <w:rPr>
          <w:rFonts w:hint="eastAsia"/>
          <w:szCs w:val="21"/>
        </w:rPr>
        <w:t>（1）道路保洁：在保洁范围内的道路、街道、人行道、绿化带、花坛等处，做到无果壳、纸屑、尼龙袋和其他废弃物，路面做到无积水、无积泥；</w:t>
      </w:r>
      <w:r>
        <w:rPr>
          <w:rFonts w:cs="仿宋_GB2312"/>
          <w:kern w:val="0"/>
          <w:szCs w:val="21"/>
          <w:shd w:val="clear" w:color="auto" w:fill="FFFFFF"/>
        </w:rPr>
        <w:t>垃圾不得扫入窨井、花坛、绿化带、</w:t>
      </w:r>
      <w:r>
        <w:rPr>
          <w:rFonts w:hint="eastAsia" w:cs="仿宋_GB2312"/>
          <w:kern w:val="0"/>
          <w:szCs w:val="21"/>
          <w:shd w:val="clear" w:color="auto" w:fill="FFFFFF"/>
        </w:rPr>
        <w:t>道路边沟</w:t>
      </w:r>
      <w:r>
        <w:rPr>
          <w:rFonts w:cs="仿宋_GB2312"/>
          <w:kern w:val="0"/>
          <w:szCs w:val="21"/>
          <w:shd w:val="clear" w:color="auto" w:fill="FFFFFF"/>
        </w:rPr>
        <w:t>等</w:t>
      </w:r>
      <w:r>
        <w:rPr>
          <w:rFonts w:hint="eastAsia" w:cs="仿宋_GB2312"/>
          <w:kern w:val="0"/>
          <w:szCs w:val="21"/>
          <w:shd w:val="clear" w:color="auto" w:fill="FFFFFF"/>
        </w:rPr>
        <w:t>，</w:t>
      </w:r>
      <w:r>
        <w:rPr>
          <w:rFonts w:hint="eastAsia"/>
          <w:szCs w:val="21"/>
        </w:rPr>
        <w:t>道路两旁应保持清洁；沿街道路保洁作业必须以清扫至建（构）筑物墙根为界；</w:t>
      </w:r>
    </w:p>
    <w:p>
      <w:pPr>
        <w:spacing w:line="360" w:lineRule="auto"/>
        <w:ind w:firstLine="420" w:firstLineChars="200"/>
        <w:contextualSpacing/>
        <w:outlineLvl w:val="1"/>
        <w:rPr>
          <w:rFonts w:hint="eastAsia"/>
          <w:szCs w:val="21"/>
        </w:rPr>
      </w:pPr>
      <w:r>
        <w:rPr>
          <w:rFonts w:hint="eastAsia"/>
          <w:szCs w:val="21"/>
        </w:rPr>
        <w:t>（2）公路保洁：</w:t>
      </w:r>
      <w:r>
        <w:rPr>
          <w:rFonts w:hint="eastAsia"/>
          <w:bCs/>
          <w:szCs w:val="21"/>
        </w:rPr>
        <w:t>包含保洁范围内公路的路面、路肩清扫、冲洗；边沟、涵洞、隧道（仅限路面）、窨井、雨水口、果壳箱清洗及标志线（不含护栏）清洗；绿化带垃圾清除；果壳箱损坏、遗失调换；垃圾倾倒、处理；公路用地范围内及部分路段范围外白色垃圾清除等。</w:t>
      </w:r>
      <w:r>
        <w:rPr>
          <w:rFonts w:hint="eastAsia"/>
          <w:szCs w:val="21"/>
        </w:rPr>
        <w:t>公路保洁作业必须扫入界外2公尺，沿街喇叭口扫入1公尺，沿街公路保洁作业必须以清扫至建（构）筑物墙根为界。</w:t>
      </w:r>
    </w:p>
    <w:p>
      <w:pPr>
        <w:widowControl/>
        <w:spacing w:line="360" w:lineRule="auto"/>
        <w:ind w:firstLine="420" w:firstLineChars="200"/>
        <w:contextualSpacing/>
        <w:jc w:val="left"/>
        <w:rPr>
          <w:rFonts w:hint="eastAsia"/>
          <w:bCs/>
          <w:kern w:val="0"/>
          <w:szCs w:val="21"/>
        </w:rPr>
      </w:pPr>
      <w:r>
        <w:rPr>
          <w:rFonts w:hint="eastAsia"/>
          <w:bCs/>
          <w:kern w:val="0"/>
          <w:szCs w:val="21"/>
        </w:rPr>
        <w:t>（3）车辆作业频次要求及车辆清洗要求：机扫道路每日不少于4次（上下午来回各2次）。垃圾车、保洁车等设备每日清洗1次，保持外观清洁。</w:t>
      </w:r>
    </w:p>
    <w:p>
      <w:pPr>
        <w:widowControl/>
        <w:spacing w:line="360" w:lineRule="auto"/>
        <w:ind w:firstLine="420" w:firstLineChars="200"/>
        <w:contextualSpacing/>
        <w:jc w:val="left"/>
        <w:rPr>
          <w:rFonts w:hint="eastAsia"/>
          <w:kern w:val="0"/>
          <w:szCs w:val="21"/>
        </w:rPr>
      </w:pPr>
      <w:r>
        <w:rPr>
          <w:rFonts w:hint="eastAsia"/>
          <w:kern w:val="0"/>
          <w:szCs w:val="21"/>
        </w:rPr>
        <w:t>（4）机械清扫：机扫到边、到位效果明显，路面无垃圾、无淤泥、无沙石；作业期间基本无扬尘，清扫途中无垃圾洒落；垃圾到指定地点倾倒，不得随意倾倒、偷倒、乱倒垃圾；每次倾倒垃圾时间不得超过30分钟；严格按照范围、路线、时间进行机械作业，不得随意变更。</w:t>
      </w:r>
    </w:p>
    <w:p>
      <w:pPr>
        <w:widowControl/>
        <w:spacing w:line="360" w:lineRule="auto"/>
        <w:ind w:firstLine="420" w:firstLineChars="200"/>
        <w:contextualSpacing/>
        <w:jc w:val="left"/>
        <w:rPr>
          <w:rFonts w:hint="eastAsia"/>
          <w:kern w:val="0"/>
          <w:szCs w:val="21"/>
        </w:rPr>
      </w:pPr>
      <w:r>
        <w:rPr>
          <w:rFonts w:hint="eastAsia"/>
          <w:kern w:val="0"/>
          <w:szCs w:val="21"/>
        </w:rPr>
        <w:t>（5）清扫保洁时，垃圾不得扫入窨井、花坛、绿化带；清扫作业中不得漏扫、甩扫；交接班不得出现空挡，责任区交界处清扫保洁由相应负责的保洁公司共同清扫，垃圾在指定地点倾倒，不得焚烧垃圾。</w:t>
      </w:r>
    </w:p>
    <w:p>
      <w:pPr>
        <w:widowControl/>
        <w:spacing w:line="360" w:lineRule="auto"/>
        <w:ind w:firstLine="420" w:firstLineChars="200"/>
        <w:contextualSpacing/>
        <w:jc w:val="left"/>
        <w:rPr>
          <w:rFonts w:hint="eastAsia"/>
          <w:kern w:val="0"/>
          <w:szCs w:val="21"/>
        </w:rPr>
      </w:pPr>
      <w:r>
        <w:rPr>
          <w:rFonts w:hint="eastAsia"/>
          <w:kern w:val="0"/>
          <w:szCs w:val="21"/>
        </w:rPr>
        <w:t>（6）机械化清扫车和洒水车出车前必须进行车辆检查，发现故障及时排除。禁止带故障运行。</w:t>
      </w:r>
    </w:p>
    <w:p>
      <w:pPr>
        <w:widowControl/>
        <w:spacing w:line="360" w:lineRule="auto"/>
        <w:ind w:firstLine="420" w:firstLineChars="200"/>
        <w:contextualSpacing/>
        <w:jc w:val="left"/>
        <w:rPr>
          <w:rFonts w:hint="eastAsia"/>
          <w:kern w:val="0"/>
          <w:szCs w:val="21"/>
        </w:rPr>
      </w:pPr>
      <w:r>
        <w:rPr>
          <w:rFonts w:hint="eastAsia"/>
          <w:kern w:val="0"/>
          <w:szCs w:val="21"/>
        </w:rPr>
        <w:t>（7）机械化清扫车和洒水车作业时必须开警示灯或发送警示信号；机扫作业时，应喷水压尘。冲洒水作业时应适当控制水压和车速，避免把水溅到路边的行人。</w:t>
      </w:r>
    </w:p>
    <w:p>
      <w:pPr>
        <w:widowControl/>
        <w:spacing w:line="360" w:lineRule="auto"/>
        <w:ind w:firstLine="420" w:firstLineChars="200"/>
        <w:contextualSpacing/>
        <w:jc w:val="left"/>
        <w:rPr>
          <w:rFonts w:hint="eastAsia"/>
          <w:kern w:val="0"/>
          <w:szCs w:val="21"/>
        </w:rPr>
      </w:pPr>
      <w:r>
        <w:rPr>
          <w:rFonts w:hint="eastAsia"/>
          <w:kern w:val="0"/>
          <w:szCs w:val="21"/>
        </w:rPr>
        <w:t>（8）机械化清扫车作业时，应视道路和车况实际确定优质、高效的合理车速，但最高车速不宜超过10公里/小时。</w:t>
      </w:r>
    </w:p>
    <w:p>
      <w:pPr>
        <w:widowControl/>
        <w:spacing w:line="360" w:lineRule="auto"/>
        <w:ind w:firstLine="420" w:firstLineChars="200"/>
        <w:contextualSpacing/>
        <w:jc w:val="left"/>
        <w:rPr>
          <w:rFonts w:hint="eastAsia"/>
          <w:kern w:val="0"/>
          <w:szCs w:val="21"/>
        </w:rPr>
      </w:pPr>
      <w:r>
        <w:rPr>
          <w:rFonts w:hint="eastAsia"/>
          <w:kern w:val="0"/>
          <w:szCs w:val="21"/>
        </w:rPr>
        <w:t>（9）机械化清扫车和洒水车驾驶员在工作过程中，要遵守道路交通安全法，礼让行车，注意行人的安全。</w:t>
      </w:r>
    </w:p>
    <w:p>
      <w:pPr>
        <w:spacing w:line="360" w:lineRule="auto"/>
        <w:ind w:firstLine="420" w:firstLineChars="200"/>
        <w:contextualSpacing/>
        <w:outlineLvl w:val="1"/>
        <w:rPr>
          <w:rFonts w:hint="eastAsia"/>
        </w:rPr>
      </w:pPr>
      <w:r>
        <w:rPr>
          <w:rFonts w:hint="eastAsia"/>
        </w:rPr>
        <w:t>3、公厕：在保洁范围内的公厕有专人保洁，做到无臭、无蝇、无溢渗、无污渍、定期消毒，并保持环境清洁。质量要求如下：</w:t>
      </w:r>
    </w:p>
    <w:p>
      <w:pPr>
        <w:spacing w:line="360" w:lineRule="auto"/>
        <w:ind w:firstLine="420" w:firstLineChars="200"/>
        <w:contextualSpacing/>
        <w:outlineLvl w:val="1"/>
        <w:rPr>
          <w:rFonts w:hint="eastAsia"/>
        </w:rPr>
      </w:pPr>
      <w:r>
        <w:rPr>
          <w:rFonts w:hint="eastAsia"/>
        </w:rPr>
        <w:t>3.1周边环境</w:t>
      </w:r>
    </w:p>
    <w:p>
      <w:pPr>
        <w:spacing w:line="360" w:lineRule="auto"/>
        <w:ind w:firstLine="420" w:firstLineChars="200"/>
        <w:contextualSpacing/>
        <w:outlineLvl w:val="1"/>
        <w:rPr>
          <w:rFonts w:hint="eastAsia"/>
        </w:rPr>
      </w:pPr>
      <w:r>
        <w:rPr>
          <w:rFonts w:hint="eastAsia"/>
        </w:rPr>
        <w:t>（1）公共厕所周边环境应整洁有序，周边无垃圾、粪便、污水、杂草、废土、乱堆乱挂杂物，无黄土裸露，无卫生死角。</w:t>
      </w:r>
    </w:p>
    <w:p>
      <w:pPr>
        <w:spacing w:line="360" w:lineRule="auto"/>
        <w:ind w:firstLine="420" w:firstLineChars="200"/>
        <w:contextualSpacing/>
        <w:outlineLvl w:val="1"/>
        <w:rPr>
          <w:rFonts w:hint="eastAsia"/>
        </w:rPr>
      </w:pPr>
      <w:r>
        <w:rPr>
          <w:rFonts w:hint="eastAsia"/>
        </w:rPr>
        <w:t>（2）坡道、台阶、扶手应保持干净整洁，无垃圾、杂物、吊挂，不得有障碍物。</w:t>
      </w:r>
    </w:p>
    <w:p>
      <w:pPr>
        <w:spacing w:line="360" w:lineRule="auto"/>
        <w:ind w:firstLine="420" w:firstLineChars="200"/>
        <w:contextualSpacing/>
        <w:outlineLvl w:val="1"/>
        <w:rPr>
          <w:rFonts w:hint="eastAsia"/>
        </w:rPr>
      </w:pPr>
      <w:r>
        <w:rPr>
          <w:rFonts w:hint="eastAsia"/>
        </w:rPr>
        <w:t>（3）化粪池、贮粪池周围场地应保持整洁，无垃圾、粪迹、污水，不得有恶臭、蝇蛆。化粪池、贮粪池不得满溢。</w:t>
      </w:r>
    </w:p>
    <w:p>
      <w:pPr>
        <w:spacing w:line="360" w:lineRule="auto"/>
        <w:ind w:firstLine="420" w:firstLineChars="200"/>
        <w:contextualSpacing/>
        <w:outlineLvl w:val="1"/>
        <w:rPr>
          <w:rFonts w:hint="eastAsia"/>
        </w:rPr>
      </w:pPr>
      <w:r>
        <w:rPr>
          <w:rFonts w:hint="eastAsia"/>
        </w:rPr>
        <w:t>3.2内部环境</w:t>
      </w:r>
    </w:p>
    <w:p>
      <w:pPr>
        <w:spacing w:line="360" w:lineRule="auto"/>
        <w:ind w:firstLine="420" w:firstLineChars="200"/>
        <w:contextualSpacing/>
        <w:outlineLvl w:val="1"/>
        <w:rPr>
          <w:rFonts w:hint="eastAsia"/>
        </w:rPr>
      </w:pPr>
      <w:r>
        <w:rPr>
          <w:rFonts w:hint="eastAsia"/>
        </w:rPr>
        <w:t>（1）门窗</w:t>
      </w:r>
    </w:p>
    <w:p>
      <w:pPr>
        <w:spacing w:line="360" w:lineRule="auto"/>
        <w:ind w:firstLine="420" w:firstLineChars="200"/>
        <w:contextualSpacing/>
        <w:outlineLvl w:val="1"/>
        <w:rPr>
          <w:rFonts w:hint="eastAsia"/>
        </w:rPr>
      </w:pPr>
      <w:r>
        <w:rPr>
          <w:rFonts w:hint="eastAsia"/>
        </w:rPr>
        <w:t>门正、反面和门把手应洁净，无污迹和吊挂杂物；门缝及闭门器应无垃圾、积灰、锈蚀。</w:t>
      </w:r>
    </w:p>
    <w:p>
      <w:pPr>
        <w:spacing w:line="360" w:lineRule="auto"/>
        <w:ind w:firstLine="420" w:firstLineChars="200"/>
        <w:contextualSpacing/>
        <w:outlineLvl w:val="1"/>
        <w:rPr>
          <w:rFonts w:hint="eastAsia"/>
        </w:rPr>
      </w:pPr>
      <w:r>
        <w:rPr>
          <w:rFonts w:hint="eastAsia"/>
        </w:rPr>
        <w:t>窗玻璃应干净明亮，窗台、窗框、窗纱、排风扇等处应无垃圾、杂物、蛛网、积灰。</w:t>
      </w:r>
    </w:p>
    <w:p>
      <w:pPr>
        <w:spacing w:line="360" w:lineRule="auto"/>
        <w:ind w:firstLine="420" w:firstLineChars="200"/>
        <w:contextualSpacing/>
        <w:outlineLvl w:val="1"/>
      </w:pPr>
      <w:r>
        <w:rPr>
          <w:rFonts w:hint="eastAsia"/>
        </w:rPr>
        <w:t>（2）地面</w:t>
      </w:r>
    </w:p>
    <w:p>
      <w:pPr>
        <w:spacing w:line="360" w:lineRule="auto"/>
        <w:ind w:firstLine="420" w:firstLineChars="200"/>
        <w:contextualSpacing/>
        <w:outlineLvl w:val="1"/>
      </w:pPr>
      <w:r>
        <w:rPr>
          <w:rFonts w:hint="eastAsia"/>
        </w:rPr>
        <w:t>地面应洁净，无垃圾、污迹、积水、杂物。</w:t>
      </w:r>
    </w:p>
    <w:p>
      <w:pPr>
        <w:spacing w:line="360" w:lineRule="auto"/>
        <w:ind w:firstLine="420" w:firstLineChars="200"/>
        <w:contextualSpacing/>
        <w:outlineLvl w:val="1"/>
      </w:pPr>
      <w:r>
        <w:rPr>
          <w:rFonts w:hint="eastAsia"/>
        </w:rPr>
        <w:t>（3）厕位</w:t>
      </w:r>
    </w:p>
    <w:p>
      <w:pPr>
        <w:spacing w:line="360" w:lineRule="auto"/>
        <w:ind w:firstLine="420" w:firstLineChars="200"/>
        <w:contextualSpacing/>
        <w:outlineLvl w:val="1"/>
      </w:pPr>
      <w:r>
        <w:rPr>
          <w:rFonts w:hint="eastAsia"/>
        </w:rPr>
        <w:t>蹲便器、座便器外侧应无水锈、粪便、污物；蹲便器、座便器内应洁净，无积粪、堵塞。</w:t>
      </w:r>
    </w:p>
    <w:p>
      <w:pPr>
        <w:spacing w:line="360" w:lineRule="auto"/>
        <w:ind w:firstLine="420" w:firstLineChars="200"/>
        <w:contextualSpacing/>
        <w:outlineLvl w:val="1"/>
        <w:rPr>
          <w:rFonts w:hint="eastAsia"/>
        </w:rPr>
      </w:pPr>
      <w:r>
        <w:rPr>
          <w:rFonts w:hint="eastAsia"/>
        </w:rPr>
        <w:t>小便器（槽）应清洁，无垃圾、尿垢、水锈，管道沟眼应保持畅通。</w:t>
      </w:r>
    </w:p>
    <w:p>
      <w:pPr>
        <w:spacing w:line="360" w:lineRule="auto"/>
        <w:ind w:firstLine="420" w:firstLineChars="200"/>
        <w:contextualSpacing/>
        <w:outlineLvl w:val="1"/>
      </w:pPr>
      <w:r>
        <w:rPr>
          <w:rFonts w:hint="eastAsia"/>
        </w:rPr>
        <w:t>厕位隔断板应洁净，无积灰、污迹、蛛网、乱涂乱画、广告。</w:t>
      </w:r>
    </w:p>
    <w:p>
      <w:pPr>
        <w:spacing w:line="360" w:lineRule="auto"/>
        <w:ind w:firstLine="420" w:firstLineChars="200"/>
        <w:contextualSpacing/>
        <w:outlineLvl w:val="1"/>
      </w:pPr>
      <w:r>
        <w:rPr>
          <w:rFonts w:hint="eastAsia"/>
        </w:rPr>
        <w:t>3.3内部设施</w:t>
      </w:r>
    </w:p>
    <w:p>
      <w:pPr>
        <w:spacing w:line="360" w:lineRule="auto"/>
        <w:ind w:firstLine="420" w:firstLineChars="200"/>
        <w:contextualSpacing/>
        <w:outlineLvl w:val="1"/>
      </w:pPr>
      <w:r>
        <w:rPr>
          <w:rFonts w:hint="eastAsia"/>
        </w:rPr>
        <w:t>（1）洗手池及台面、拖把池、搁物台、镜子完好，无积灰、污迹、蛛网、水垢、毛发、杂物、乱涂乱画。</w:t>
      </w:r>
    </w:p>
    <w:p>
      <w:pPr>
        <w:spacing w:line="360" w:lineRule="auto"/>
        <w:ind w:firstLine="420" w:firstLineChars="200"/>
        <w:contextualSpacing/>
        <w:outlineLvl w:val="1"/>
      </w:pPr>
      <w:r>
        <w:rPr>
          <w:rFonts w:hint="eastAsia"/>
        </w:rPr>
        <w:t>（2）洗手液分配器、烘手器、除臭设备、空调、灯具及开关、拖把架、手纸盒等设备应洁净、无积灰、污迹，使用标识应清晰、无污迹。</w:t>
      </w:r>
    </w:p>
    <w:p>
      <w:pPr>
        <w:spacing w:line="360" w:lineRule="auto"/>
        <w:ind w:firstLine="420" w:firstLineChars="200"/>
        <w:contextualSpacing/>
        <w:outlineLvl w:val="1"/>
      </w:pPr>
      <w:r>
        <w:rPr>
          <w:rFonts w:hint="eastAsia"/>
        </w:rPr>
        <w:t>（3）废物篓内废弃物不得超过废物篓的平口。</w:t>
      </w:r>
    </w:p>
    <w:p>
      <w:pPr>
        <w:spacing w:line="360" w:lineRule="auto"/>
        <w:ind w:firstLine="420" w:firstLineChars="200"/>
        <w:contextualSpacing/>
        <w:outlineLvl w:val="1"/>
      </w:pPr>
      <w:r>
        <w:rPr>
          <w:rFonts w:hint="eastAsia"/>
        </w:rPr>
        <w:t>3.4管理房</w:t>
      </w:r>
    </w:p>
    <w:p>
      <w:pPr>
        <w:spacing w:line="360" w:lineRule="auto"/>
        <w:ind w:firstLine="420" w:firstLineChars="200"/>
        <w:contextualSpacing/>
        <w:outlineLvl w:val="1"/>
      </w:pPr>
      <w:r>
        <w:rPr>
          <w:rFonts w:hint="eastAsia"/>
        </w:rPr>
        <w:t>公共厕所管理房不应挪作他用，室内保持整洁，不得饲养宠物。</w:t>
      </w:r>
    </w:p>
    <w:p>
      <w:pPr>
        <w:spacing w:line="360" w:lineRule="auto"/>
        <w:ind w:firstLine="420" w:firstLineChars="200"/>
        <w:contextualSpacing/>
        <w:outlineLvl w:val="1"/>
      </w:pPr>
      <w:r>
        <w:rPr>
          <w:rFonts w:hint="eastAsia"/>
        </w:rPr>
        <w:t>3.5内外墙面及屋顶</w:t>
      </w:r>
    </w:p>
    <w:p>
      <w:pPr>
        <w:spacing w:line="360" w:lineRule="auto"/>
        <w:ind w:firstLine="420" w:firstLineChars="200"/>
        <w:contextualSpacing/>
        <w:outlineLvl w:val="1"/>
        <w:rPr>
          <w:rFonts w:hint="eastAsia"/>
        </w:rPr>
      </w:pPr>
      <w:r>
        <w:rPr>
          <w:rFonts w:hint="eastAsia"/>
        </w:rPr>
        <w:t>（1）内外墙面和天花板应保持洁净，无积灰、污迹、渗漏、蛛网，无乱涂乱画、无张贴，不得安装或吊挂与公厕管理无关的物品。</w:t>
      </w:r>
    </w:p>
    <w:p>
      <w:pPr>
        <w:spacing w:line="360" w:lineRule="auto"/>
        <w:ind w:firstLine="420" w:firstLineChars="200"/>
        <w:contextualSpacing/>
        <w:outlineLvl w:val="1"/>
        <w:rPr>
          <w:rFonts w:hint="eastAsia"/>
        </w:rPr>
      </w:pPr>
      <w:r>
        <w:rPr>
          <w:rFonts w:hint="eastAsia"/>
        </w:rPr>
        <w:t>（2）屋顶应无垃圾、无杂物，不得设置与公厕管理无关的物品。</w:t>
      </w:r>
    </w:p>
    <w:p>
      <w:pPr>
        <w:spacing w:line="360" w:lineRule="auto"/>
        <w:ind w:firstLine="420" w:firstLineChars="200"/>
        <w:contextualSpacing/>
        <w:outlineLvl w:val="1"/>
        <w:rPr>
          <w:rFonts w:hint="eastAsia"/>
        </w:rPr>
      </w:pPr>
      <w:r>
        <w:rPr>
          <w:rFonts w:hint="eastAsia"/>
        </w:rPr>
        <w:t>3.6作业和工具放置</w:t>
      </w:r>
    </w:p>
    <w:p>
      <w:pPr>
        <w:spacing w:line="360" w:lineRule="auto"/>
        <w:ind w:firstLine="420" w:firstLineChars="200"/>
        <w:contextualSpacing/>
        <w:outlineLvl w:val="1"/>
        <w:rPr>
          <w:rFonts w:hint="eastAsia"/>
        </w:rPr>
      </w:pPr>
      <w:r>
        <w:rPr>
          <w:rFonts w:hint="eastAsia"/>
        </w:rPr>
        <w:t>（1）保洁作业时宜在入口处设置提示牌。雨天和地面保洁时，应设置防滑标志和铺设防滑垫。</w:t>
      </w:r>
    </w:p>
    <w:p>
      <w:pPr>
        <w:spacing w:line="360" w:lineRule="auto"/>
        <w:ind w:firstLine="420" w:firstLineChars="200"/>
        <w:contextualSpacing/>
        <w:outlineLvl w:val="1"/>
        <w:rPr>
          <w:rFonts w:hint="eastAsia"/>
        </w:rPr>
      </w:pPr>
      <w:r>
        <w:rPr>
          <w:rFonts w:hint="eastAsia"/>
        </w:rPr>
        <w:t>（2）清洁大小便洁具的拖把、抹布应与清洁其他设施的拖把、抹布区分使用。</w:t>
      </w:r>
    </w:p>
    <w:p>
      <w:pPr>
        <w:spacing w:line="360" w:lineRule="auto"/>
        <w:ind w:firstLine="420" w:firstLineChars="200"/>
        <w:contextualSpacing/>
        <w:outlineLvl w:val="1"/>
        <w:rPr>
          <w:rFonts w:hint="eastAsia"/>
        </w:rPr>
      </w:pPr>
      <w:r>
        <w:rPr>
          <w:rFonts w:hint="eastAsia"/>
        </w:rPr>
        <w:t>（3）保洁作业完毕后，应将作业工具统一放置在工具间内，摆放整齐，拖把、扫把、抹布晾晒时应置于拖把架上。</w:t>
      </w:r>
    </w:p>
    <w:p>
      <w:pPr>
        <w:spacing w:line="360" w:lineRule="auto"/>
        <w:ind w:firstLine="420" w:firstLineChars="200"/>
        <w:contextualSpacing/>
        <w:outlineLvl w:val="1"/>
        <w:rPr>
          <w:rFonts w:hint="eastAsia"/>
        </w:rPr>
      </w:pPr>
      <w:r>
        <w:rPr>
          <w:rFonts w:hint="eastAsia"/>
        </w:rPr>
        <w:t>（4）公共厕所内部通道、洗手台不应放置拖把、水桶、抹布、扫把等作业工具和其他影响视觉观瞻及通行的物品。</w:t>
      </w:r>
    </w:p>
    <w:p>
      <w:pPr>
        <w:spacing w:line="360" w:lineRule="auto"/>
        <w:ind w:firstLine="420" w:firstLineChars="200"/>
        <w:contextualSpacing/>
        <w:outlineLvl w:val="1"/>
        <w:rPr>
          <w:rFonts w:hint="eastAsia"/>
        </w:rPr>
      </w:pPr>
      <w:r>
        <w:rPr>
          <w:rFonts w:hint="eastAsia"/>
        </w:rPr>
        <w:t>4、垃圾清运：村级及企事业单位垃圾桶（箱）的倾倒、收集、清运以及建筑垃圾、</w:t>
      </w:r>
      <w:r>
        <w:t>餐厨和厨余垃圾</w:t>
      </w:r>
      <w:r>
        <w:rPr>
          <w:rFonts w:hint="eastAsia"/>
        </w:rPr>
        <w:t>等的清运，垃圾统一运送到指定填埋场或</w:t>
      </w:r>
      <w:r>
        <w:t>指定地点。</w:t>
      </w:r>
    </w:p>
    <w:p>
      <w:pPr>
        <w:spacing w:line="360" w:lineRule="auto"/>
        <w:ind w:firstLine="420" w:firstLineChars="200"/>
        <w:contextualSpacing/>
        <w:jc w:val="left"/>
        <w:rPr>
          <w:rFonts w:hint="eastAsia"/>
          <w:bCs/>
          <w:szCs w:val="21"/>
        </w:rPr>
      </w:pPr>
      <w:r>
        <w:rPr>
          <w:rFonts w:hint="eastAsia"/>
          <w:bCs/>
          <w:szCs w:val="21"/>
        </w:rPr>
        <w:t>5、垃圾桶、果壳箱等按标准放置并经常检查牢固程度，保持外观清洁美观完好，果壳箱损坏、遗失应及时更换；除2</w:t>
      </w:r>
      <w:r>
        <w:rPr>
          <w:bCs/>
          <w:szCs w:val="21"/>
        </w:rPr>
        <w:t>40</w:t>
      </w:r>
      <w:r>
        <w:rPr>
          <w:rFonts w:hint="eastAsia"/>
          <w:bCs/>
          <w:szCs w:val="21"/>
        </w:rPr>
        <w:t>立升垃圾桶每日清洗一次外，其余垃圾箱（桶）等环卫设施每月至少清洗2次以上；果壳箱、垃圾桶内垃圾应及时清运，清运次数每天应不少于二次，每天保证垃圾无溢出。</w:t>
      </w:r>
    </w:p>
    <w:p>
      <w:pPr>
        <w:spacing w:line="360" w:lineRule="auto"/>
        <w:ind w:firstLine="420" w:firstLineChars="200"/>
        <w:contextualSpacing/>
        <w:outlineLvl w:val="1"/>
        <w:rPr>
          <w:rFonts w:hint="eastAsia"/>
          <w:bCs/>
          <w:szCs w:val="21"/>
        </w:rPr>
      </w:pPr>
      <w:r>
        <w:rPr>
          <w:rFonts w:hint="eastAsia"/>
          <w:bCs/>
          <w:szCs w:val="21"/>
        </w:rPr>
        <w:t>6、垃圾桶、果壳箱等周围不允许有垃圾散落、溢出；保持无异味、无蚊蝇、无四害孳生。做到垃圾日产日清无积存垃圾，在规定时间内分类收集建筑垃圾和生活垃圾并倾倒在指定地点，垃圾运输途中不得抛洒滴漏。</w:t>
      </w:r>
    </w:p>
    <w:p>
      <w:pPr>
        <w:spacing w:line="360" w:lineRule="auto"/>
        <w:ind w:firstLine="420" w:firstLineChars="200"/>
        <w:contextualSpacing/>
        <w:rPr>
          <w:rFonts w:hint="eastAsia"/>
        </w:rPr>
      </w:pPr>
      <w:r>
        <w:rPr>
          <w:rFonts w:hint="eastAsia"/>
        </w:rPr>
        <w:t>7、绿化养护：对养护范围的花木及草坪要及时做好整枝、施肥、修剪、除虫、浇水和补缺工作，尤其高温季节更要保护好花木、草坪的养护；维护绿化区域内的公共设施的正常使用。为了花木、草坪不无故受损，要求每年整枝、修剪不少于3次，施肥2次，除虫2次，草坪修整2次。绿化整枝修剪后的废弃物，在一个工作日内清理完毕，绿化带中间无白色垃圾及废弃物，做到路面整洁，规范有序。</w:t>
      </w:r>
    </w:p>
    <w:p>
      <w:pPr>
        <w:spacing w:line="360" w:lineRule="auto"/>
        <w:ind w:firstLine="420" w:firstLineChars="200"/>
        <w:contextualSpacing/>
        <w:rPr>
          <w:rFonts w:hint="eastAsia"/>
        </w:rPr>
      </w:pPr>
      <w:r>
        <w:rPr>
          <w:rFonts w:hint="eastAsia"/>
        </w:rPr>
        <w:t>7.1树木养护质量要求：</w:t>
      </w:r>
    </w:p>
    <w:p>
      <w:pPr>
        <w:spacing w:line="360" w:lineRule="auto"/>
        <w:ind w:firstLine="420" w:firstLineChars="200"/>
        <w:contextualSpacing/>
        <w:rPr>
          <w:rFonts w:hint="eastAsia"/>
        </w:rPr>
      </w:pPr>
      <w:r>
        <w:rPr>
          <w:rFonts w:hint="eastAsia"/>
        </w:rPr>
        <w:t>整体效果：（</w:t>
      </w:r>
      <w:r>
        <w:t>1</w:t>
      </w:r>
      <w:r>
        <w:rPr>
          <w:rFonts w:hint="eastAsia"/>
        </w:rPr>
        <w:t>）树林、树丛群落结构基本合理，林冠线和林缘线基本完整；（</w:t>
      </w:r>
      <w:r>
        <w:t>2</w:t>
      </w:r>
      <w:r>
        <w:rPr>
          <w:rFonts w:hint="eastAsia"/>
        </w:rPr>
        <w:t>）孤植树树形基本完美，树冠基本饱满；（</w:t>
      </w:r>
      <w:r>
        <w:t>3</w:t>
      </w:r>
      <w:r>
        <w:rPr>
          <w:rFonts w:hint="eastAsia"/>
        </w:rPr>
        <w:t>）行道树树冠基本完整，规格基本整齐，无死树，缺株≤</w:t>
      </w:r>
      <w:r>
        <w:t>5%</w:t>
      </w:r>
      <w:r>
        <w:rPr>
          <w:rFonts w:hint="eastAsia"/>
        </w:rPr>
        <w:t>，树干基本挺直；（</w:t>
      </w:r>
      <w:r>
        <w:t>4</w:t>
      </w:r>
      <w:r>
        <w:rPr>
          <w:rFonts w:hint="eastAsia"/>
        </w:rPr>
        <w:t>）绿篱基本无缺株，修剪面平整饱满，直线处平直，曲线处弧度圆润。</w:t>
      </w:r>
    </w:p>
    <w:p>
      <w:pPr>
        <w:spacing w:line="360" w:lineRule="auto"/>
        <w:ind w:firstLine="420" w:firstLineChars="200"/>
        <w:contextualSpacing/>
        <w:rPr>
          <w:rFonts w:hint="eastAsia"/>
        </w:rPr>
      </w:pPr>
      <w:r>
        <w:rPr>
          <w:rFonts w:hint="eastAsia"/>
        </w:rPr>
        <w:t>生长势：枝叶生长正常，观花、观果树种正常开花结果，无明显枯枝。</w:t>
      </w:r>
    </w:p>
    <w:p>
      <w:pPr>
        <w:spacing w:line="360" w:lineRule="auto"/>
        <w:ind w:firstLine="420" w:firstLineChars="200"/>
        <w:contextualSpacing/>
        <w:rPr>
          <w:rFonts w:hint="eastAsia"/>
        </w:rPr>
      </w:pPr>
      <w:r>
        <w:rPr>
          <w:rFonts w:hint="eastAsia"/>
        </w:rPr>
        <w:t>排灌：（</w:t>
      </w:r>
      <w:r>
        <w:t>1</w:t>
      </w:r>
      <w:r>
        <w:rPr>
          <w:rFonts w:hint="eastAsia"/>
        </w:rPr>
        <w:t>）暴雨后0.5d内无积水；（</w:t>
      </w:r>
      <w:r>
        <w:t>2</w:t>
      </w:r>
      <w:r>
        <w:rPr>
          <w:rFonts w:hint="eastAsia"/>
        </w:rPr>
        <w:t>）植株基本无失水萎蔫和沥涝现象。</w:t>
      </w:r>
    </w:p>
    <w:p>
      <w:pPr>
        <w:spacing w:line="360" w:lineRule="auto"/>
        <w:ind w:firstLine="420" w:firstLineChars="200"/>
        <w:contextualSpacing/>
        <w:rPr>
          <w:rFonts w:hint="eastAsia"/>
        </w:rPr>
      </w:pPr>
      <w:r>
        <w:rPr>
          <w:rFonts w:hint="eastAsia"/>
        </w:rPr>
        <w:t>病虫害情况：（</w:t>
      </w:r>
      <w:r>
        <w:t>1</w:t>
      </w:r>
      <w:r>
        <w:rPr>
          <w:rFonts w:hint="eastAsia"/>
        </w:rPr>
        <w:t>）无明显的有害生物危害状；（</w:t>
      </w:r>
      <w:r>
        <w:t>2</w:t>
      </w:r>
      <w:r>
        <w:rPr>
          <w:rFonts w:hint="eastAsia"/>
        </w:rPr>
        <w:t>）整体枝叶受害率≤</w:t>
      </w:r>
      <w:r>
        <w:t>10%</w:t>
      </w:r>
      <w:r>
        <w:rPr>
          <w:rFonts w:hint="eastAsia"/>
        </w:rPr>
        <w:t>，树干受害率≤</w:t>
      </w:r>
      <w:r>
        <w:t>8%</w:t>
      </w:r>
      <w:r>
        <w:rPr>
          <w:rFonts w:hint="eastAsia"/>
        </w:rPr>
        <w:t>。</w:t>
      </w:r>
    </w:p>
    <w:p>
      <w:pPr>
        <w:spacing w:line="360" w:lineRule="auto"/>
        <w:ind w:firstLine="420" w:firstLineChars="200"/>
        <w:contextualSpacing/>
        <w:rPr>
          <w:rFonts w:hint="eastAsia"/>
        </w:rPr>
      </w:pPr>
      <w:r>
        <w:rPr>
          <w:rFonts w:hint="eastAsia"/>
        </w:rPr>
        <w:t>补植完成时间：≤</w:t>
      </w:r>
      <w:r>
        <w:t>7d</w:t>
      </w:r>
      <w:r>
        <w:rPr>
          <w:rFonts w:hint="eastAsia"/>
        </w:rPr>
        <w:t>。</w:t>
      </w:r>
    </w:p>
    <w:p>
      <w:pPr>
        <w:spacing w:line="360" w:lineRule="auto"/>
        <w:ind w:firstLine="420" w:firstLineChars="200"/>
        <w:contextualSpacing/>
        <w:rPr>
          <w:rFonts w:hint="eastAsia"/>
        </w:rPr>
      </w:pPr>
      <w:r>
        <w:rPr>
          <w:rFonts w:hint="eastAsia"/>
        </w:rPr>
        <w:t>7.2花卉养护质量</w:t>
      </w:r>
    </w:p>
    <w:p>
      <w:pPr>
        <w:spacing w:line="360" w:lineRule="auto"/>
        <w:ind w:firstLine="420" w:firstLineChars="200"/>
        <w:contextualSpacing/>
        <w:rPr>
          <w:rFonts w:hint="eastAsia"/>
        </w:rPr>
      </w:pPr>
      <w:r>
        <w:rPr>
          <w:rFonts w:hint="eastAsia"/>
        </w:rPr>
        <w:t>整体效果：（</w:t>
      </w:r>
      <w:r>
        <w:t>1</w:t>
      </w:r>
      <w:r>
        <w:rPr>
          <w:rFonts w:hint="eastAsia"/>
        </w:rPr>
        <w:t>）缺株倒伏的花苗≤</w:t>
      </w:r>
      <w:r>
        <w:t>7%</w:t>
      </w:r>
      <w:r>
        <w:rPr>
          <w:rFonts w:hint="eastAsia"/>
        </w:rPr>
        <w:t>；（</w:t>
      </w:r>
      <w:r>
        <w:t>2</w:t>
      </w:r>
      <w:r>
        <w:rPr>
          <w:rFonts w:hint="eastAsia"/>
        </w:rPr>
        <w:t>）枯叶、残花量≤</w:t>
      </w:r>
      <w:r>
        <w:t>5%</w:t>
      </w:r>
      <w:r>
        <w:rPr>
          <w:rFonts w:hint="eastAsia"/>
        </w:rPr>
        <w:t>。</w:t>
      </w:r>
    </w:p>
    <w:p>
      <w:pPr>
        <w:spacing w:line="360" w:lineRule="auto"/>
        <w:ind w:firstLine="420" w:firstLineChars="200"/>
        <w:contextualSpacing/>
        <w:rPr>
          <w:rFonts w:hint="eastAsia"/>
        </w:rPr>
      </w:pPr>
      <w:r>
        <w:rPr>
          <w:rFonts w:hint="eastAsia"/>
        </w:rPr>
        <w:t>生长势：（</w:t>
      </w:r>
      <w:r>
        <w:t>1</w:t>
      </w:r>
      <w:r>
        <w:rPr>
          <w:rFonts w:hint="eastAsia"/>
        </w:rPr>
        <w:t>）植株生长基本健壮；（</w:t>
      </w:r>
      <w:r>
        <w:t>2</w:t>
      </w:r>
      <w:r>
        <w:rPr>
          <w:rFonts w:hint="eastAsia"/>
        </w:rPr>
        <w:t>）茎干粗壮，基部分枝强健，蓬径基本饱满；（</w:t>
      </w:r>
      <w:r>
        <w:t>3</w:t>
      </w:r>
      <w:r>
        <w:rPr>
          <w:rFonts w:hint="eastAsia"/>
        </w:rPr>
        <w:t>）株高一致。</w:t>
      </w:r>
    </w:p>
    <w:p>
      <w:pPr>
        <w:spacing w:line="360" w:lineRule="auto"/>
        <w:ind w:firstLine="420" w:firstLineChars="200"/>
        <w:contextualSpacing/>
        <w:rPr>
          <w:rFonts w:hint="eastAsia"/>
        </w:rPr>
      </w:pPr>
      <w:r>
        <w:rPr>
          <w:rFonts w:hint="eastAsia"/>
        </w:rPr>
        <w:t>排灌：（</w:t>
      </w:r>
      <w:r>
        <w:t>1</w:t>
      </w:r>
      <w:r>
        <w:rPr>
          <w:rFonts w:hint="eastAsia"/>
        </w:rPr>
        <w:t>）暴雨后</w:t>
      </w:r>
      <w:r>
        <w:t>0.5d</w:t>
      </w:r>
      <w:r>
        <w:rPr>
          <w:rFonts w:hint="eastAsia"/>
        </w:rPr>
        <w:t>内无积水；（</w:t>
      </w:r>
      <w:r>
        <w:t>2</w:t>
      </w:r>
      <w:r>
        <w:rPr>
          <w:rFonts w:hint="eastAsia"/>
        </w:rPr>
        <w:t>）植株基本无失水萎蔫现象。</w:t>
      </w:r>
    </w:p>
    <w:p>
      <w:pPr>
        <w:spacing w:line="360" w:lineRule="auto"/>
        <w:ind w:firstLine="420" w:firstLineChars="200"/>
        <w:contextualSpacing/>
        <w:rPr>
          <w:rFonts w:hint="eastAsia"/>
        </w:rPr>
      </w:pPr>
      <w:r>
        <w:rPr>
          <w:rFonts w:hint="eastAsia"/>
        </w:rPr>
        <w:t>病虫害情况：（</w:t>
      </w:r>
      <w:r>
        <w:t>1</w:t>
      </w:r>
      <w:r>
        <w:rPr>
          <w:rFonts w:hint="eastAsia"/>
        </w:rPr>
        <w:t>）无明显有害生物危害状；（</w:t>
      </w:r>
      <w:r>
        <w:t>2</w:t>
      </w:r>
      <w:r>
        <w:rPr>
          <w:rFonts w:hint="eastAsia"/>
        </w:rPr>
        <w:t>）植株受害率≤</w:t>
      </w:r>
      <w:r>
        <w:t>8%</w:t>
      </w:r>
      <w:r>
        <w:rPr>
          <w:rFonts w:hint="eastAsia"/>
        </w:rPr>
        <w:t>。</w:t>
      </w:r>
    </w:p>
    <w:p>
      <w:pPr>
        <w:spacing w:line="360" w:lineRule="auto"/>
        <w:ind w:firstLine="420" w:firstLineChars="200"/>
        <w:contextualSpacing/>
        <w:rPr>
          <w:rFonts w:hint="eastAsia"/>
        </w:rPr>
      </w:pPr>
      <w:r>
        <w:rPr>
          <w:rFonts w:hint="eastAsia"/>
        </w:rPr>
        <w:t>杂草覆盖率：≤5%。</w:t>
      </w:r>
    </w:p>
    <w:p>
      <w:pPr>
        <w:spacing w:line="360" w:lineRule="auto"/>
        <w:ind w:firstLine="420" w:firstLineChars="200"/>
        <w:contextualSpacing/>
        <w:rPr>
          <w:rFonts w:hint="eastAsia"/>
        </w:rPr>
      </w:pPr>
      <w:r>
        <w:rPr>
          <w:rFonts w:hint="eastAsia"/>
        </w:rPr>
        <w:t>补植完成时间：≤</w:t>
      </w:r>
      <w:r>
        <w:t>7d</w:t>
      </w:r>
    </w:p>
    <w:p>
      <w:pPr>
        <w:spacing w:line="360" w:lineRule="auto"/>
        <w:ind w:firstLine="420" w:firstLineChars="200"/>
        <w:contextualSpacing/>
        <w:rPr>
          <w:rFonts w:hint="eastAsia"/>
        </w:rPr>
      </w:pPr>
      <w:r>
        <w:rPr>
          <w:rFonts w:hint="eastAsia"/>
        </w:rPr>
        <w:t>7.3草坪养护质量要求</w:t>
      </w:r>
    </w:p>
    <w:p>
      <w:pPr>
        <w:spacing w:line="360" w:lineRule="auto"/>
        <w:ind w:firstLine="420" w:firstLineChars="200"/>
        <w:contextualSpacing/>
        <w:rPr>
          <w:rFonts w:hint="eastAsia"/>
        </w:rPr>
      </w:pPr>
      <w:r>
        <w:rPr>
          <w:rFonts w:hint="eastAsia"/>
        </w:rPr>
        <w:t>整体效果：（1）成坪高度应符合 现行国家标准《主要花卉产品等级 第7部分：草坪》GB/T 18247.7中开放型绿地草坪二级的标准要求；（2）修剪后基本无残留草屑，剪口基本无撕裂现象。</w:t>
      </w:r>
    </w:p>
    <w:p>
      <w:pPr>
        <w:spacing w:line="360" w:lineRule="auto"/>
        <w:ind w:firstLine="420" w:firstLineChars="200"/>
        <w:contextualSpacing/>
        <w:rPr>
          <w:rFonts w:hint="eastAsia"/>
        </w:rPr>
      </w:pPr>
      <w:r>
        <w:rPr>
          <w:rFonts w:hint="eastAsia"/>
        </w:rPr>
        <w:t>生长势：生长良好。</w:t>
      </w:r>
    </w:p>
    <w:p>
      <w:pPr>
        <w:spacing w:line="360" w:lineRule="auto"/>
        <w:ind w:firstLine="420" w:firstLineChars="200"/>
        <w:contextualSpacing/>
        <w:rPr>
          <w:rFonts w:hint="eastAsia"/>
        </w:rPr>
      </w:pPr>
      <w:r>
        <w:rPr>
          <w:rFonts w:hint="eastAsia"/>
        </w:rPr>
        <w:t>排灌：（1）暴雨后0.5d内积水；（2）草坪基本无失水萎蔫现象。</w:t>
      </w:r>
    </w:p>
    <w:p>
      <w:pPr>
        <w:spacing w:line="360" w:lineRule="auto"/>
        <w:ind w:firstLine="420" w:firstLineChars="200"/>
        <w:contextualSpacing/>
        <w:rPr>
          <w:rFonts w:hint="eastAsia"/>
        </w:rPr>
      </w:pPr>
      <w:r>
        <w:rPr>
          <w:rFonts w:hint="eastAsia"/>
        </w:rPr>
        <w:t>有病虫害情况：（1）草坪草受害度应符合现行国家标准 《主要花卉产品等级 第7部分：草坪》GB/T 18247.7中开放型绿地草坪二级标准的要求；（2）杂草率应符合现行国家标准 《主要花卉产品等级 第7部分：草坪》GB/T 18247.7中开放型绿地草坪二级标准的要求。</w:t>
      </w:r>
    </w:p>
    <w:p>
      <w:pPr>
        <w:spacing w:line="360" w:lineRule="auto"/>
        <w:ind w:firstLine="420" w:firstLineChars="200"/>
        <w:contextualSpacing/>
        <w:rPr>
          <w:rFonts w:hint="eastAsia"/>
        </w:rPr>
      </w:pPr>
      <w:r>
        <w:rPr>
          <w:rFonts w:hint="eastAsia"/>
        </w:rPr>
        <w:t>覆盖度：应符合现行国家标准 《主要花卉产品等级 第7部分：草坪》GB/T 18247.7中开放型绿地草坪二级标准的要求</w:t>
      </w:r>
    </w:p>
    <w:p>
      <w:pPr>
        <w:spacing w:line="360" w:lineRule="auto"/>
        <w:ind w:firstLine="420" w:firstLineChars="200"/>
        <w:contextualSpacing/>
        <w:rPr>
          <w:rFonts w:hint="eastAsia"/>
        </w:rPr>
      </w:pPr>
      <w:r>
        <w:rPr>
          <w:rFonts w:hint="eastAsia"/>
        </w:rPr>
        <w:t>补植完成时间：≤</w:t>
      </w:r>
      <w:r>
        <w:t>7d</w:t>
      </w:r>
    </w:p>
    <w:p>
      <w:pPr>
        <w:spacing w:line="360" w:lineRule="auto"/>
        <w:ind w:firstLine="420" w:firstLineChars="200"/>
        <w:contextualSpacing/>
        <w:rPr>
          <w:rFonts w:hint="eastAsia"/>
        </w:rPr>
      </w:pPr>
      <w:r>
        <w:rPr>
          <w:rFonts w:hint="eastAsia"/>
        </w:rPr>
        <w:t>7.4水生植物养护质量要求</w:t>
      </w:r>
    </w:p>
    <w:p>
      <w:pPr>
        <w:spacing w:line="360" w:lineRule="auto"/>
        <w:ind w:firstLine="420" w:firstLineChars="200"/>
        <w:contextualSpacing/>
        <w:rPr>
          <w:rFonts w:hint="eastAsia"/>
        </w:rPr>
      </w:pPr>
      <w:r>
        <w:rPr>
          <w:rFonts w:hint="eastAsia"/>
        </w:rPr>
        <w:t>整体效果：景观效果明显。基本无残花败叶漂浮。</w:t>
      </w:r>
    </w:p>
    <w:p>
      <w:pPr>
        <w:spacing w:line="360" w:lineRule="auto"/>
        <w:ind w:firstLine="420" w:firstLineChars="200"/>
        <w:contextualSpacing/>
        <w:rPr>
          <w:rFonts w:hint="eastAsia"/>
        </w:rPr>
      </w:pPr>
      <w:r>
        <w:rPr>
          <w:rFonts w:hint="eastAsia"/>
        </w:rPr>
        <w:t>生长势：（</w:t>
      </w:r>
      <w:r>
        <w:t>1</w:t>
      </w:r>
      <w:r>
        <w:rPr>
          <w:rFonts w:hint="eastAsia"/>
        </w:rPr>
        <w:t>）植株生长良好；（2）叶色正常；观花、观果植株正常开花结果；（3）枯死植株小于≤10%。</w:t>
      </w:r>
    </w:p>
    <w:p>
      <w:pPr>
        <w:spacing w:line="360" w:lineRule="auto"/>
        <w:ind w:firstLine="420" w:firstLineChars="200"/>
        <w:contextualSpacing/>
        <w:rPr>
          <w:rFonts w:hint="eastAsia"/>
        </w:rPr>
      </w:pPr>
      <w:r>
        <w:rPr>
          <w:rFonts w:hint="eastAsia"/>
        </w:rPr>
        <w:t>排灌：暴雨后20h恢复常水位。</w:t>
      </w:r>
    </w:p>
    <w:p>
      <w:pPr>
        <w:spacing w:line="360" w:lineRule="auto"/>
        <w:ind w:firstLine="420" w:firstLineChars="200"/>
        <w:contextualSpacing/>
        <w:rPr>
          <w:rFonts w:hint="eastAsia"/>
        </w:rPr>
      </w:pPr>
      <w:r>
        <w:rPr>
          <w:rFonts w:hint="eastAsia"/>
        </w:rPr>
        <w:t>病虫害情况：无明显有害生物危害状，无杂草。</w:t>
      </w:r>
    </w:p>
    <w:p>
      <w:pPr>
        <w:spacing w:line="360" w:lineRule="auto"/>
        <w:ind w:firstLine="420" w:firstLineChars="200"/>
        <w:contextualSpacing/>
        <w:rPr>
          <w:rFonts w:hint="eastAsia"/>
        </w:rPr>
      </w:pPr>
      <w:r>
        <w:rPr>
          <w:rFonts w:hint="eastAsia"/>
        </w:rPr>
        <w:t>覆盖率：≥90%</w:t>
      </w:r>
    </w:p>
    <w:p>
      <w:pPr>
        <w:spacing w:line="360" w:lineRule="auto"/>
        <w:ind w:firstLine="420" w:firstLineChars="200"/>
        <w:contextualSpacing/>
        <w:rPr>
          <w:rFonts w:hint="eastAsia"/>
        </w:rPr>
      </w:pPr>
      <w:r>
        <w:rPr>
          <w:rFonts w:hint="eastAsia"/>
        </w:rPr>
        <w:t>补植完成时间：≤</w:t>
      </w:r>
      <w:r>
        <w:t>7d</w:t>
      </w:r>
      <w:r>
        <w:rPr>
          <w:rFonts w:hint="eastAsia"/>
        </w:rPr>
        <w:t>。</w:t>
      </w:r>
    </w:p>
    <w:p>
      <w:pPr>
        <w:spacing w:line="360" w:lineRule="auto"/>
        <w:ind w:firstLine="422" w:firstLineChars="200"/>
        <w:rPr>
          <w:rFonts w:hint="eastAsia"/>
          <w:b/>
          <w:bCs/>
        </w:rPr>
      </w:pPr>
      <w:r>
        <w:rPr>
          <w:rFonts w:hint="eastAsia"/>
          <w:b/>
          <w:bCs/>
        </w:rPr>
        <w:t>7.5公园</w:t>
      </w:r>
      <w:r>
        <w:rPr>
          <w:rFonts w:hint="eastAsia" w:cs="宋体"/>
          <w:b/>
          <w:bCs/>
          <w:szCs w:val="21"/>
        </w:rPr>
        <w:t>绿地保洁管理质量要求：</w:t>
      </w:r>
    </w:p>
    <w:p>
      <w:pPr>
        <w:spacing w:line="360" w:lineRule="auto"/>
        <w:ind w:firstLine="420" w:firstLineChars="200"/>
        <w:rPr>
          <w:rFonts w:hint="eastAsia" w:cs="宋体"/>
          <w:szCs w:val="21"/>
        </w:rPr>
      </w:pPr>
      <w:r>
        <w:rPr>
          <w:rFonts w:hint="eastAsia" w:cs="宋体"/>
          <w:szCs w:val="21"/>
        </w:rPr>
        <w:t>（1）绿地、树穴、园路、广场及公园内基本整洁，地面无渣土、垃圾纸屑、果壳、烟头及石块等杂物，叶面无陈旧性积尘，园路平整，无坑洼、无积水。</w:t>
      </w:r>
    </w:p>
    <w:p>
      <w:pPr>
        <w:spacing w:line="360" w:lineRule="auto"/>
        <w:ind w:firstLine="420" w:firstLineChars="200"/>
        <w:rPr>
          <w:rFonts w:hint="eastAsia" w:cs="宋体"/>
          <w:szCs w:val="21"/>
        </w:rPr>
      </w:pPr>
      <w:r>
        <w:rPr>
          <w:rFonts w:hint="eastAsia" w:cs="宋体"/>
          <w:szCs w:val="21"/>
        </w:rPr>
        <w:t>（2）广场、绿地内水体整洁卫生、无漂浮杂物、无杂物。</w:t>
      </w:r>
    </w:p>
    <w:p>
      <w:pPr>
        <w:spacing w:line="360" w:lineRule="auto"/>
        <w:ind w:firstLine="420" w:firstLineChars="200"/>
        <w:rPr>
          <w:rFonts w:hint="eastAsia" w:cs="宋体"/>
          <w:szCs w:val="21"/>
        </w:rPr>
      </w:pPr>
      <w:r>
        <w:rPr>
          <w:rFonts w:hint="eastAsia" w:cs="宋体"/>
          <w:szCs w:val="21"/>
        </w:rPr>
        <w:t>（3）无焚烧垃圾树叶现象，垃圾日产日清，无卫生死角，厕所无异味。</w:t>
      </w:r>
    </w:p>
    <w:p>
      <w:pPr>
        <w:spacing w:line="360" w:lineRule="auto"/>
        <w:ind w:firstLine="420" w:firstLineChars="200"/>
        <w:rPr>
          <w:rFonts w:hint="eastAsia" w:cs="宋体"/>
          <w:szCs w:val="21"/>
        </w:rPr>
      </w:pPr>
      <w:r>
        <w:rPr>
          <w:rFonts w:hint="eastAsia" w:cs="宋体"/>
          <w:szCs w:val="21"/>
        </w:rPr>
        <w:t>（4）绿篱、树穴平时实行8小时动态保洁，有节假日或重要活动时，做到1</w:t>
      </w:r>
      <w:r>
        <w:rPr>
          <w:rFonts w:cs="宋体"/>
          <w:szCs w:val="21"/>
        </w:rPr>
        <w:t>2</w:t>
      </w:r>
      <w:r>
        <w:rPr>
          <w:rFonts w:hint="eastAsia" w:cs="宋体"/>
          <w:szCs w:val="21"/>
        </w:rPr>
        <w:t>小时保洁。</w:t>
      </w:r>
    </w:p>
    <w:p>
      <w:pPr>
        <w:spacing w:line="360" w:lineRule="auto"/>
        <w:ind w:firstLine="420" w:firstLineChars="200"/>
        <w:contextualSpacing/>
        <w:rPr>
          <w:rFonts w:hint="eastAsia"/>
        </w:rPr>
      </w:pPr>
      <w:r>
        <w:rPr>
          <w:rFonts w:hint="eastAsia"/>
        </w:rPr>
        <w:t>（5）绿地内（含水生植物区域）无白色垃圾，白色垃圾停留时间不超过15分钟。</w:t>
      </w:r>
    </w:p>
    <w:p>
      <w:pPr>
        <w:spacing w:line="360" w:lineRule="auto"/>
        <w:ind w:firstLine="420" w:firstLineChars="200"/>
        <w:contextualSpacing/>
        <w:rPr>
          <w:rFonts w:hint="eastAsia"/>
        </w:rPr>
      </w:pPr>
      <w:r>
        <w:rPr>
          <w:rFonts w:hint="eastAsia"/>
        </w:rPr>
        <w:t>（6）广场路面每日清扫2次。北京时间7点前，完成园路广场硬地全面清扫。保持清洁，无有色垃圾（瓶罐、瓜皮、果壳、纸屑等）及枯死枝、落叶；无污迹、油迹；无积泥、无积水。窨井眼无堵塞，不得将垃圾扫至河面、绿篱内，不得有卫生死角。垃圾停留时间不超过15分钟。</w:t>
      </w:r>
    </w:p>
    <w:p>
      <w:pPr>
        <w:spacing w:line="360" w:lineRule="auto"/>
        <w:ind w:firstLine="420" w:firstLineChars="200"/>
        <w:contextualSpacing/>
        <w:jc w:val="left"/>
        <w:rPr>
          <w:rFonts w:hint="eastAsia"/>
        </w:rPr>
      </w:pPr>
      <w:r>
        <w:rPr>
          <w:rFonts w:hint="eastAsia"/>
          <w:bCs/>
          <w:szCs w:val="21"/>
        </w:rPr>
        <w:t>8、垃圾中转站日常保洁：中标人需做好垃圾中转站日常保洁及除臭工作，需保证中转站周边无散落垃圾。</w:t>
      </w:r>
      <w:r>
        <w:rPr>
          <w:rFonts w:hint="eastAsia"/>
        </w:rPr>
        <w:t>垃圾中转站规章制度规范齐全，各类制度上墙。场内垃圾做到日产日清，中转站内设施、设备保养良好，操作台、车厢保持清洁，垃圾压缩车离站前清理倒斗内暴露垃圾、拖挂杂物。地坑内四壁无污渍，污水管道畅通，零星垃圾清理干净。责任区域内场地、休息间整洁，无零星垃圾、蛛网、积水、积泥，无乱堆放杂物，四壁瓷面无积灰、污水迹。中转站工作人员禁止在工作场地内拾废品。工作完毕，场地内外冲洗干净，工具摆放整齐。</w:t>
      </w:r>
    </w:p>
    <w:p>
      <w:pPr>
        <w:widowControl/>
        <w:spacing w:line="360" w:lineRule="auto"/>
        <w:ind w:firstLine="420" w:firstLineChars="200"/>
        <w:contextualSpacing/>
        <w:jc w:val="left"/>
        <w:rPr>
          <w:rFonts w:hint="eastAsia"/>
          <w:kern w:val="0"/>
          <w:szCs w:val="21"/>
        </w:rPr>
      </w:pPr>
      <w:r>
        <w:rPr>
          <w:rFonts w:hint="eastAsia"/>
          <w:bCs/>
          <w:szCs w:val="21"/>
        </w:rPr>
        <w:t>9、五乡镇329国道沿线两边店铺垃圾收集：</w:t>
      </w:r>
      <w:r>
        <w:rPr>
          <w:rFonts w:hint="eastAsia"/>
          <w:kern w:val="0"/>
          <w:szCs w:val="21"/>
        </w:rPr>
        <w:t>每日不少于2次，时间为10:00和16：00左右（中标人根据实际情况，时间可作适当调整），做到日产日清，不过夜。</w:t>
      </w:r>
    </w:p>
    <w:p>
      <w:pPr>
        <w:spacing w:line="440" w:lineRule="exact"/>
        <w:outlineLvl w:val="1"/>
        <w:rPr>
          <w:rFonts w:hint="eastAsia"/>
          <w:b/>
          <w:szCs w:val="21"/>
        </w:rPr>
      </w:pPr>
    </w:p>
    <w:p>
      <w:pPr>
        <w:spacing w:line="440" w:lineRule="exact"/>
        <w:outlineLvl w:val="1"/>
        <w:rPr>
          <w:rFonts w:hint="eastAsia"/>
          <w:b/>
          <w:szCs w:val="21"/>
        </w:rPr>
      </w:pPr>
    </w:p>
    <w:p>
      <w:pPr>
        <w:spacing w:line="440" w:lineRule="exact"/>
        <w:outlineLvl w:val="1"/>
        <w:rPr>
          <w:rFonts w:hint="eastAsia"/>
          <w:b/>
          <w:szCs w:val="21"/>
        </w:rPr>
      </w:pPr>
    </w:p>
    <w:p>
      <w:pPr>
        <w:spacing w:line="440" w:lineRule="exact"/>
        <w:outlineLvl w:val="1"/>
        <w:rPr>
          <w:rFonts w:hint="eastAsia"/>
          <w:b/>
          <w:szCs w:val="21"/>
        </w:rPr>
      </w:pPr>
      <w:r>
        <w:rPr>
          <w:rFonts w:hint="eastAsia"/>
          <w:b/>
          <w:szCs w:val="21"/>
        </w:rPr>
        <w:t>（四）环卫车辆要求</w:t>
      </w:r>
    </w:p>
    <w:p>
      <w:pPr>
        <w:spacing w:line="440" w:lineRule="exact"/>
        <w:outlineLvl w:val="1"/>
        <w:rPr>
          <w:rFonts w:hint="eastAsia"/>
          <w:szCs w:val="21"/>
        </w:rPr>
      </w:pPr>
      <w:bookmarkStart w:id="62" w:name="_Toc329697487"/>
      <w:r>
        <w:rPr>
          <w:rFonts w:hint="eastAsia"/>
          <w:bCs/>
          <w:szCs w:val="21"/>
        </w:rPr>
        <w:t>中标人需自行配备的环卫车辆、设备类型及数量如下</w:t>
      </w:r>
      <w:r>
        <w:rPr>
          <w:rFonts w:hint="eastAsia"/>
          <w:szCs w:val="21"/>
        </w:rPr>
        <w:t>：</w:t>
      </w:r>
    </w:p>
    <w:tbl>
      <w:tblPr>
        <w:tblStyle w:val="50"/>
        <w:tblW w:w="9421" w:type="dxa"/>
        <w:jc w:val="center"/>
        <w:tblLayout w:type="autofit"/>
        <w:tblCellMar>
          <w:top w:w="0" w:type="dxa"/>
          <w:left w:w="108" w:type="dxa"/>
          <w:bottom w:w="0" w:type="dxa"/>
          <w:right w:w="108" w:type="dxa"/>
        </w:tblCellMar>
      </w:tblPr>
      <w:tblGrid>
        <w:gridCol w:w="1281"/>
        <w:gridCol w:w="2682"/>
        <w:gridCol w:w="2635"/>
        <w:gridCol w:w="1329"/>
        <w:gridCol w:w="1494"/>
      </w:tblGrid>
      <w:tr>
        <w:tblPrEx>
          <w:tblCellMar>
            <w:top w:w="0" w:type="dxa"/>
            <w:left w:w="108" w:type="dxa"/>
            <w:bottom w:w="0" w:type="dxa"/>
            <w:right w:w="108" w:type="dxa"/>
          </w:tblCellMar>
        </w:tblPrEx>
        <w:trPr>
          <w:wBefore w:w="0" w:type="dxa"/>
          <w:wAfter w:w="0" w:type="dxa"/>
          <w:trHeight w:val="56" w:hRule="atLeast"/>
          <w:jc w:val="center"/>
        </w:trPr>
        <w:tc>
          <w:tcPr>
            <w:tcW w:w="128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序号</w:t>
            </w:r>
          </w:p>
        </w:tc>
        <w:tc>
          <w:tcPr>
            <w:tcW w:w="2682" w:type="dxa"/>
            <w:tcBorders>
              <w:top w:val="single" w:color="auto" w:sz="4" w:space="0"/>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项目名称</w:t>
            </w:r>
          </w:p>
        </w:tc>
        <w:tc>
          <w:tcPr>
            <w:tcW w:w="2635" w:type="dxa"/>
            <w:tcBorders>
              <w:top w:val="single" w:color="auto" w:sz="4" w:space="0"/>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规格及型号</w:t>
            </w:r>
          </w:p>
        </w:tc>
        <w:tc>
          <w:tcPr>
            <w:tcW w:w="1329" w:type="dxa"/>
            <w:tcBorders>
              <w:top w:val="single" w:color="auto" w:sz="4" w:space="0"/>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单位</w:t>
            </w:r>
          </w:p>
        </w:tc>
        <w:tc>
          <w:tcPr>
            <w:tcW w:w="1494" w:type="dxa"/>
            <w:tcBorders>
              <w:top w:val="single" w:color="auto" w:sz="4" w:space="0"/>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数量</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洒水车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罐容量（4000L）</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洒水车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罐容量（8000L）</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3</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吸污车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装载质量（4T）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4</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桶装车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装载质量（1.5T）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桶装车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装载质量（3T）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6</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洗扫车（8T）</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罐容量（6500L）</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7</w:t>
            </w:r>
          </w:p>
        </w:tc>
        <w:tc>
          <w:tcPr>
            <w:tcW w:w="2682" w:type="dxa"/>
            <w:tcBorders>
              <w:top w:val="nil"/>
              <w:left w:val="nil"/>
              <w:bottom w:val="single" w:color="auto" w:sz="4" w:space="0"/>
              <w:right w:val="single" w:color="auto" w:sz="4" w:space="0"/>
            </w:tcBorders>
            <w:noWrap w:val="0"/>
            <w:vAlign w:val="center"/>
          </w:tcPr>
          <w:p>
            <w:pPr>
              <w:spacing w:line="400" w:lineRule="exact"/>
              <w:jc w:val="left"/>
              <w:outlineLvl w:val="1"/>
              <w:rPr>
                <w:rFonts w:ascii="Times New Roman" w:hAnsi="Times New Roman"/>
                <w:szCs w:val="21"/>
              </w:rPr>
            </w:pPr>
            <w:r>
              <w:rPr>
                <w:rFonts w:hint="eastAsia" w:ascii="Times New Roman" w:hAnsi="Times New Roman"/>
                <w:szCs w:val="21"/>
              </w:rPr>
              <w:t>压缩式垃圾车（8T）</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装载质量（8T）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8</w:t>
            </w:r>
          </w:p>
        </w:tc>
        <w:tc>
          <w:tcPr>
            <w:tcW w:w="2682"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车厢可卸式勾臂车</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最大拉举力（25T）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r>
      <w:tr>
        <w:tblPrEx>
          <w:tblCellMar>
            <w:top w:w="0" w:type="dxa"/>
            <w:left w:w="108" w:type="dxa"/>
            <w:bottom w:w="0" w:type="dxa"/>
            <w:right w:w="108" w:type="dxa"/>
          </w:tblCellMar>
        </w:tblPrEx>
        <w:trPr>
          <w:wBefore w:w="0" w:type="dxa"/>
          <w:wAfter w:w="0" w:type="dxa"/>
          <w:trHeight w:val="5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9</w:t>
            </w:r>
          </w:p>
        </w:tc>
        <w:tc>
          <w:tcPr>
            <w:tcW w:w="2682" w:type="dxa"/>
            <w:tcBorders>
              <w:top w:val="nil"/>
              <w:left w:val="nil"/>
              <w:bottom w:val="single" w:color="auto" w:sz="4" w:space="0"/>
              <w:right w:val="single" w:color="auto" w:sz="4" w:space="0"/>
            </w:tcBorders>
            <w:noWrap w:val="0"/>
            <w:vAlign w:val="center"/>
          </w:tcPr>
          <w:p>
            <w:pPr>
              <w:spacing w:line="400" w:lineRule="exact"/>
              <w:jc w:val="left"/>
              <w:outlineLvl w:val="1"/>
              <w:rPr>
                <w:rFonts w:ascii="Times New Roman" w:hAnsi="Times New Roman"/>
                <w:szCs w:val="21"/>
              </w:rPr>
            </w:pPr>
            <w:r>
              <w:rPr>
                <w:rFonts w:hint="eastAsia" w:ascii="Times New Roman" w:hAnsi="Times New Roman"/>
                <w:szCs w:val="21"/>
              </w:rPr>
              <w:t>压缩式（厨余）垃圾车（3T）</w:t>
            </w:r>
          </w:p>
        </w:tc>
        <w:tc>
          <w:tcPr>
            <w:tcW w:w="2635" w:type="dxa"/>
            <w:tcBorders>
              <w:top w:val="nil"/>
              <w:left w:val="nil"/>
              <w:bottom w:val="single" w:color="auto" w:sz="4" w:space="0"/>
              <w:right w:val="single" w:color="auto" w:sz="4" w:space="0"/>
            </w:tcBorders>
            <w:noWrap/>
            <w:vAlign w:val="center"/>
          </w:tcPr>
          <w:p>
            <w:pPr>
              <w:spacing w:line="400" w:lineRule="exact"/>
              <w:jc w:val="left"/>
              <w:outlineLvl w:val="1"/>
              <w:rPr>
                <w:rFonts w:ascii="Times New Roman" w:hAnsi="Times New Roman"/>
                <w:szCs w:val="21"/>
              </w:rPr>
            </w:pPr>
            <w:r>
              <w:rPr>
                <w:rFonts w:hint="eastAsia" w:ascii="Times New Roman" w:hAnsi="Times New Roman"/>
                <w:szCs w:val="21"/>
              </w:rPr>
              <w:t>装载质量（3T）</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r>
      <w:tr>
        <w:tblPrEx>
          <w:tblCellMar>
            <w:top w:w="0" w:type="dxa"/>
            <w:left w:w="108" w:type="dxa"/>
            <w:bottom w:w="0" w:type="dxa"/>
            <w:right w:w="108" w:type="dxa"/>
          </w:tblCellMar>
        </w:tblPrEx>
        <w:trPr>
          <w:wBefore w:w="0" w:type="dxa"/>
          <w:wAfter w:w="0" w:type="dxa"/>
          <w:trHeight w:val="43" w:hRule="atLeast"/>
          <w:jc w:val="center"/>
        </w:trPr>
        <w:tc>
          <w:tcPr>
            <w:tcW w:w="1281" w:type="dxa"/>
            <w:tcBorders>
              <w:top w:val="nil"/>
              <w:left w:val="single" w:color="auto" w:sz="4" w:space="0"/>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10</w:t>
            </w:r>
          </w:p>
        </w:tc>
        <w:tc>
          <w:tcPr>
            <w:tcW w:w="2682"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合计</w:t>
            </w:r>
          </w:p>
        </w:tc>
        <w:tc>
          <w:tcPr>
            <w:tcW w:w="2635"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　</w:t>
            </w:r>
          </w:p>
        </w:tc>
        <w:tc>
          <w:tcPr>
            <w:tcW w:w="1329"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辆</w:t>
            </w:r>
          </w:p>
        </w:tc>
        <w:tc>
          <w:tcPr>
            <w:tcW w:w="1494" w:type="dxa"/>
            <w:tcBorders>
              <w:top w:val="nil"/>
              <w:left w:val="nil"/>
              <w:bottom w:val="single" w:color="auto" w:sz="4" w:space="0"/>
              <w:right w:val="single" w:color="auto" w:sz="4" w:space="0"/>
            </w:tcBorders>
            <w:noWrap/>
            <w:vAlign w:val="center"/>
          </w:tcPr>
          <w:p>
            <w:pPr>
              <w:spacing w:line="400" w:lineRule="exact"/>
              <w:jc w:val="center"/>
              <w:outlineLvl w:val="1"/>
              <w:rPr>
                <w:rFonts w:ascii="Times New Roman" w:hAnsi="Times New Roman"/>
                <w:szCs w:val="21"/>
              </w:rPr>
            </w:pPr>
            <w:r>
              <w:rPr>
                <w:rFonts w:hint="eastAsia" w:ascii="Times New Roman" w:hAnsi="Times New Roman"/>
                <w:szCs w:val="21"/>
              </w:rPr>
              <w:t>24</w:t>
            </w:r>
          </w:p>
        </w:tc>
      </w:tr>
    </w:tbl>
    <w:p>
      <w:pPr>
        <w:spacing w:line="440" w:lineRule="exact"/>
        <w:outlineLvl w:val="1"/>
        <w:rPr>
          <w:rFonts w:hint="eastAsia"/>
          <w:szCs w:val="21"/>
        </w:rPr>
      </w:pPr>
    </w:p>
    <w:tbl>
      <w:tblPr>
        <w:tblStyle w:val="50"/>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56"/>
        <w:gridCol w:w="1655"/>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 w:hRule="atLeast"/>
          <w:jc w:val="center"/>
        </w:trPr>
        <w:tc>
          <w:tcPr>
            <w:tcW w:w="71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序号</w:t>
            </w:r>
          </w:p>
        </w:tc>
        <w:tc>
          <w:tcPr>
            <w:tcW w:w="195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车辆、设备类型</w:t>
            </w:r>
          </w:p>
        </w:tc>
        <w:tc>
          <w:tcPr>
            <w:tcW w:w="1655"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车辆数量（辆）</w:t>
            </w:r>
          </w:p>
        </w:tc>
        <w:tc>
          <w:tcPr>
            <w:tcW w:w="5269"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jc w:val="center"/>
        </w:trPr>
        <w:tc>
          <w:tcPr>
            <w:tcW w:w="71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1</w:t>
            </w:r>
          </w:p>
        </w:tc>
        <w:tc>
          <w:tcPr>
            <w:tcW w:w="195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电动保洁三轮环卫车</w:t>
            </w:r>
          </w:p>
        </w:tc>
        <w:tc>
          <w:tcPr>
            <w:tcW w:w="1655" w:type="dxa"/>
            <w:noWrap w:val="0"/>
            <w:vAlign w:val="center"/>
          </w:tcPr>
          <w:p>
            <w:pPr>
              <w:spacing w:line="280" w:lineRule="exact"/>
              <w:jc w:val="center"/>
              <w:outlineLvl w:val="1"/>
              <w:rPr>
                <w:rFonts w:hint="eastAsia" w:ascii="Times New Roman" w:hAnsi="Times New Roman"/>
                <w:szCs w:val="21"/>
              </w:rPr>
            </w:pPr>
            <w:r>
              <w:rPr>
                <w:rFonts w:ascii="Times New Roman" w:hAnsi="Times New Roman" w:cs="Arial"/>
                <w:szCs w:val="21"/>
              </w:rPr>
              <w:t>≥</w:t>
            </w:r>
            <w:r>
              <w:rPr>
                <w:rFonts w:hint="eastAsia" w:ascii="Times New Roman" w:hAnsi="Times New Roman"/>
                <w:szCs w:val="21"/>
              </w:rPr>
              <w:t xml:space="preserve">87 </w:t>
            </w:r>
          </w:p>
        </w:tc>
        <w:tc>
          <w:tcPr>
            <w:tcW w:w="5269" w:type="dxa"/>
            <w:noWrap w:val="0"/>
            <w:vAlign w:val="center"/>
          </w:tcPr>
          <w:p>
            <w:pPr>
              <w:spacing w:line="280" w:lineRule="exact"/>
              <w:outlineLvl w:val="1"/>
              <w:rPr>
                <w:rFonts w:hint="eastAsia" w:ascii="Times New Roman" w:hAnsi="Times New Roman"/>
                <w:szCs w:val="21"/>
              </w:rPr>
            </w:pPr>
            <w:r>
              <w:rPr>
                <w:rFonts w:hint="eastAsia" w:ascii="Times New Roman" w:hAnsi="Times New Roman"/>
                <w:szCs w:val="21"/>
              </w:rPr>
              <w:t>（1）电动保洁三轮环卫车：500L不锈钢+60V32AH超威/天能电池 继航70KM。</w:t>
            </w:r>
          </w:p>
          <w:p>
            <w:pPr>
              <w:spacing w:line="280" w:lineRule="exact"/>
              <w:jc w:val="left"/>
              <w:outlineLvl w:val="1"/>
              <w:rPr>
                <w:rFonts w:hint="eastAsia" w:ascii="Times New Roman" w:hAnsi="Times New Roman"/>
                <w:szCs w:val="21"/>
              </w:rPr>
            </w:pPr>
            <w:r>
              <w:rPr>
                <w:rFonts w:hint="eastAsia" w:ascii="Times New Roman" w:hAnsi="Times New Roman"/>
                <w:szCs w:val="21"/>
              </w:rPr>
              <w:t>（2）电动车性能必须等于或优于本表后附环卫电动车（见图1）；如合同履行期间，发现环卫电动车采购总量少于87辆的，采购人将在相应的服务经费中予以扣除。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 w:hRule="atLeast"/>
          <w:jc w:val="center"/>
        </w:trPr>
        <w:tc>
          <w:tcPr>
            <w:tcW w:w="71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2</w:t>
            </w:r>
          </w:p>
        </w:tc>
        <w:tc>
          <w:tcPr>
            <w:tcW w:w="195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329国道沿线二边垃圾收集车</w:t>
            </w:r>
          </w:p>
        </w:tc>
        <w:tc>
          <w:tcPr>
            <w:tcW w:w="1655" w:type="dxa"/>
            <w:noWrap w:val="0"/>
            <w:vAlign w:val="center"/>
          </w:tcPr>
          <w:p>
            <w:pPr>
              <w:spacing w:line="280" w:lineRule="exact"/>
              <w:jc w:val="center"/>
              <w:outlineLvl w:val="1"/>
              <w:rPr>
                <w:rFonts w:ascii="Times New Roman" w:hAnsi="Times New Roman" w:cs="Arial"/>
                <w:szCs w:val="21"/>
              </w:rPr>
            </w:pPr>
            <w:r>
              <w:rPr>
                <w:rFonts w:ascii="Times New Roman" w:hAnsi="Times New Roman" w:cs="Arial"/>
                <w:szCs w:val="21"/>
              </w:rPr>
              <w:t>≥</w:t>
            </w:r>
            <w:r>
              <w:rPr>
                <w:rFonts w:hint="eastAsia" w:ascii="Times New Roman" w:hAnsi="Times New Roman"/>
                <w:szCs w:val="21"/>
              </w:rPr>
              <w:t>7</w:t>
            </w:r>
          </w:p>
        </w:tc>
        <w:tc>
          <w:tcPr>
            <w:tcW w:w="5269" w:type="dxa"/>
            <w:noWrap w:val="0"/>
            <w:vAlign w:val="center"/>
          </w:tcPr>
          <w:p>
            <w:pPr>
              <w:spacing w:line="280" w:lineRule="exact"/>
              <w:outlineLvl w:val="1"/>
              <w:rPr>
                <w:rFonts w:hint="eastAsia" w:ascii="Times New Roman" w:hAnsi="Times New Roman"/>
                <w:szCs w:val="21"/>
              </w:rPr>
            </w:pPr>
            <w:r>
              <w:rPr>
                <w:rFonts w:hint="eastAsia" w:ascii="Times New Roman" w:hAnsi="Times New Roman"/>
                <w:szCs w:val="21"/>
              </w:rPr>
              <w:t>（1）收集车款式：四桶车配60V32A电池，详见图2。</w:t>
            </w:r>
          </w:p>
          <w:p>
            <w:pPr>
              <w:spacing w:line="280" w:lineRule="exact"/>
              <w:outlineLvl w:val="1"/>
              <w:rPr>
                <w:rFonts w:hint="eastAsia" w:ascii="Times New Roman" w:hAnsi="Times New Roman"/>
                <w:szCs w:val="21"/>
              </w:rPr>
            </w:pPr>
            <w:r>
              <w:rPr>
                <w:rFonts w:hint="eastAsia" w:ascii="Times New Roman" w:hAnsi="Times New Roman"/>
                <w:szCs w:val="21"/>
              </w:rPr>
              <w:t>（2）如合同履行期间，发现环卫电动车采购总量少于7辆的，采购人将在相应的服务经费中予以扣除。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6" w:hRule="atLeast"/>
          <w:jc w:val="center"/>
        </w:trPr>
        <w:tc>
          <w:tcPr>
            <w:tcW w:w="71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3</w:t>
            </w:r>
          </w:p>
        </w:tc>
        <w:tc>
          <w:tcPr>
            <w:tcW w:w="1956" w:type="dxa"/>
            <w:noWrap w:val="0"/>
            <w:vAlign w:val="center"/>
          </w:tcPr>
          <w:p>
            <w:pPr>
              <w:spacing w:line="280" w:lineRule="exact"/>
              <w:jc w:val="center"/>
              <w:outlineLvl w:val="1"/>
              <w:rPr>
                <w:rFonts w:hint="eastAsia" w:ascii="Times New Roman" w:hAnsi="Times New Roman"/>
                <w:szCs w:val="21"/>
              </w:rPr>
            </w:pPr>
            <w:r>
              <w:rPr>
                <w:rFonts w:hint="eastAsia" w:ascii="Times New Roman" w:hAnsi="Times New Roman"/>
                <w:szCs w:val="21"/>
              </w:rPr>
              <w:t>绿化养护用车、设备</w:t>
            </w:r>
          </w:p>
        </w:tc>
        <w:tc>
          <w:tcPr>
            <w:tcW w:w="1655" w:type="dxa"/>
            <w:noWrap w:val="0"/>
            <w:vAlign w:val="center"/>
          </w:tcPr>
          <w:p>
            <w:pPr>
              <w:spacing w:line="280" w:lineRule="exact"/>
              <w:jc w:val="center"/>
              <w:outlineLvl w:val="1"/>
              <w:rPr>
                <w:rFonts w:hint="eastAsia" w:ascii="Times New Roman" w:hAnsi="Times New Roman" w:cs="Arial"/>
                <w:szCs w:val="21"/>
              </w:rPr>
            </w:pPr>
            <w:r>
              <w:rPr>
                <w:rFonts w:hint="eastAsia" w:ascii="Times New Roman" w:hAnsi="Times New Roman" w:cs="Arial"/>
                <w:szCs w:val="21"/>
              </w:rPr>
              <w:t>由投标单位自行配备</w:t>
            </w:r>
          </w:p>
        </w:tc>
        <w:tc>
          <w:tcPr>
            <w:tcW w:w="5269" w:type="dxa"/>
            <w:noWrap w:val="0"/>
            <w:vAlign w:val="center"/>
          </w:tcPr>
          <w:p>
            <w:pPr>
              <w:spacing w:line="280" w:lineRule="exact"/>
              <w:jc w:val="center"/>
              <w:outlineLvl w:val="1"/>
              <w:rPr>
                <w:rFonts w:hint="eastAsia" w:ascii="Times New Roman" w:hAnsi="Times New Roman"/>
                <w:szCs w:val="21"/>
              </w:rPr>
            </w:pPr>
          </w:p>
        </w:tc>
      </w:tr>
    </w:tbl>
    <w:p>
      <w:pPr>
        <w:widowControl/>
        <w:jc w:val="left"/>
        <w:rPr>
          <w:rFonts w:hint="eastAsia" w:cs="宋体"/>
          <w:kern w:val="0"/>
          <w:sz w:val="22"/>
          <w:szCs w:val="22"/>
          <w:u w:val="single"/>
        </w:rPr>
      </w:pPr>
      <w:r>
        <w:rPr>
          <w:rFonts w:cs="宋体"/>
          <w:kern w:val="0"/>
          <w:sz w:val="22"/>
          <w:u w:val="single"/>
        </w:rPr>
        <w:fldChar w:fldCharType="begin"/>
      </w:r>
      <w:r>
        <w:rPr>
          <w:rFonts w:cs="宋体"/>
          <w:kern w:val="0"/>
          <w:sz w:val="22"/>
          <w:u w:val="single"/>
        </w:rPr>
        <w:instrText xml:space="preserve"> </w:instrText>
      </w:r>
      <w:r>
        <w:rPr>
          <w:rFonts w:hint="eastAsia" w:cs="宋体"/>
          <w:kern w:val="0"/>
          <w:sz w:val="22"/>
          <w:u w:val="single"/>
        </w:rPr>
        <w:instrText xml:space="preserve">HYPERLINK "https://item.taobao.com/item.htm?id=524417491953&amp;ali_refid=a3_430582_1006:1124604559:N:0ftvHYbL%2BXrzuuIhM4zCktN2Ma%2BdW6yy:d58d243d985e85c46bd835bcaaf2b11a&amp;ali_trackid=1_d58d243d985e85c46bd835bcaaf2b11a&amp;spm=a230r.1.14.1#detail"</w:instrText>
      </w:r>
      <w:r>
        <w:rPr>
          <w:rFonts w:cs="宋体"/>
          <w:kern w:val="0"/>
          <w:sz w:val="22"/>
          <w:u w:val="single"/>
        </w:rPr>
        <w:instrText xml:space="preserve"> </w:instrText>
      </w:r>
      <w:r>
        <w:rPr>
          <w:rFonts w:cs="宋体"/>
          <w:kern w:val="0"/>
          <w:sz w:val="22"/>
          <w:u w:val="single"/>
        </w:rPr>
        <w:fldChar w:fldCharType="separate"/>
      </w:r>
      <w:r>
        <w:rPr>
          <w:rStyle w:val="56"/>
          <w:rFonts w:hint="eastAsia" w:cs="宋体"/>
          <w:color w:val="auto"/>
          <w:kern w:val="0"/>
          <w:sz w:val="22"/>
        </w:rPr>
        <w:t>https://item.taobao.com/item.htm?id=524417491953&amp;ali_refid=a3_430582_1006:1124604559:N:0ftvHYbL%2BXrzuuIhM4zCktN2Ma%2BdW6yy:d58d243d985e85c46bd835bcaaf2b11a&amp;ali_trackid=1_d58d243d985e85c46bd835bcaaf2b11a&amp;spm=a230r.1.14.1#detail</w:t>
      </w:r>
      <w:r>
        <w:rPr>
          <w:rFonts w:cs="宋体"/>
          <w:kern w:val="0"/>
          <w:sz w:val="22"/>
          <w:u w:val="single"/>
        </w:rPr>
        <w:fldChar w:fldCharType="end"/>
      </w:r>
    </w:p>
    <w:p>
      <w:pPr>
        <w:spacing w:line="440" w:lineRule="exact"/>
        <w:jc w:val="left"/>
        <w:outlineLvl w:val="1"/>
        <w:rPr>
          <w:rFonts w:hint="eastAsia" w:cs="Arial"/>
          <w:b/>
          <w:szCs w:val="21"/>
        </w:rPr>
      </w:pPr>
      <w:r>
        <w:rPr>
          <w:rFonts w:hint="eastAsia" w:cs="Arial"/>
          <w:b/>
          <w:szCs w:val="21"/>
        </w:rPr>
        <w:t>图1：</w:t>
      </w:r>
    </w:p>
    <w:p>
      <w:pPr>
        <w:widowControl/>
        <w:jc w:val="left"/>
        <w:rPr>
          <w:rFonts w:hint="eastAsia"/>
          <w:b/>
          <w:szCs w:val="21"/>
        </w:rPr>
      </w:pPr>
      <w:r>
        <w:rPr>
          <w:b/>
          <w:szCs w:val="21"/>
          <w:lang/>
        </w:rPr>
        <w:drawing>
          <wp:inline distT="0" distB="0" distL="114300" distR="114300">
            <wp:extent cx="2217420" cy="2514600"/>
            <wp:effectExtent l="0" t="0" r="11430" b="0"/>
            <wp:docPr id="3" name="图片 1" descr="695578ff5be61850fc1aece545ee845d_O1CN012DmJZi1cAz0kAzcKr_!!183749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95578ff5be61850fc1aece545ee845d_O1CN012DmJZi1cAz0kAzcKr_!!1837493561"/>
                    <pic:cNvPicPr>
                      <a:picLocks noChangeAspect="1"/>
                    </pic:cNvPicPr>
                  </pic:nvPicPr>
                  <pic:blipFill>
                    <a:blip r:embed="rId15"/>
                    <a:stretch>
                      <a:fillRect/>
                    </a:stretch>
                  </pic:blipFill>
                  <pic:spPr>
                    <a:xfrm>
                      <a:off x="0" y="0"/>
                      <a:ext cx="2217420" cy="2514600"/>
                    </a:xfrm>
                    <a:prstGeom prst="rect">
                      <a:avLst/>
                    </a:prstGeom>
                    <a:noFill/>
                    <a:ln>
                      <a:noFill/>
                    </a:ln>
                  </pic:spPr>
                </pic:pic>
              </a:graphicData>
            </a:graphic>
          </wp:inline>
        </w:drawing>
      </w:r>
    </w:p>
    <w:p>
      <w:pPr>
        <w:widowControl/>
        <w:jc w:val="left"/>
        <w:rPr>
          <w:b/>
          <w:szCs w:val="21"/>
          <w:lang/>
        </w:rPr>
      </w:pPr>
      <w:r>
        <w:rPr>
          <w:rFonts w:hint="eastAsia"/>
          <w:b/>
          <w:szCs w:val="21"/>
        </w:rPr>
        <w:t>图2</w:t>
      </w:r>
    </w:p>
    <w:p>
      <w:pPr>
        <w:widowControl/>
        <w:jc w:val="left"/>
        <w:rPr>
          <w:rFonts w:hint="eastAsia"/>
          <w:b/>
          <w:szCs w:val="21"/>
        </w:rPr>
      </w:pPr>
      <w:r>
        <w:rPr>
          <w:b/>
          <w:szCs w:val="21"/>
          <w:lang/>
        </w:rPr>
        <w:drawing>
          <wp:inline distT="0" distB="0" distL="114300" distR="114300">
            <wp:extent cx="2600325" cy="3395980"/>
            <wp:effectExtent l="0" t="0" r="9525" b="13970"/>
            <wp:docPr id="4" name="图片 2" descr="1e9d193efeb99ea529af202d0ca9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e9d193efeb99ea529af202d0ca94de"/>
                    <pic:cNvPicPr>
                      <a:picLocks noChangeAspect="1"/>
                    </pic:cNvPicPr>
                  </pic:nvPicPr>
                  <pic:blipFill>
                    <a:blip r:embed="rId16"/>
                    <a:stretch>
                      <a:fillRect/>
                    </a:stretch>
                  </pic:blipFill>
                  <pic:spPr>
                    <a:xfrm>
                      <a:off x="0" y="0"/>
                      <a:ext cx="2600325" cy="3395980"/>
                    </a:xfrm>
                    <a:prstGeom prst="rect">
                      <a:avLst/>
                    </a:prstGeom>
                    <a:noFill/>
                    <a:ln>
                      <a:noFill/>
                    </a:ln>
                  </pic:spPr>
                </pic:pic>
              </a:graphicData>
            </a:graphic>
          </wp:inline>
        </w:drawing>
      </w:r>
    </w:p>
    <w:p>
      <w:pPr>
        <w:widowControl/>
        <w:spacing w:line="360" w:lineRule="auto"/>
        <w:ind w:right="-44" w:rightChars="-21" w:firstLine="422" w:firstLineChars="200"/>
        <w:jc w:val="left"/>
        <w:rPr>
          <w:rFonts w:hint="eastAsia"/>
          <w:b/>
          <w:szCs w:val="21"/>
        </w:rPr>
      </w:pPr>
    </w:p>
    <w:p>
      <w:pPr>
        <w:widowControl/>
        <w:spacing w:line="360" w:lineRule="auto"/>
        <w:ind w:right="-44" w:rightChars="-21" w:firstLine="422" w:firstLineChars="200"/>
        <w:jc w:val="left"/>
        <w:rPr>
          <w:rFonts w:hint="eastAsia"/>
          <w:bCs/>
          <w:kern w:val="32"/>
          <w:szCs w:val="32"/>
        </w:rPr>
      </w:pPr>
      <w:r>
        <w:rPr>
          <w:rFonts w:hint="eastAsia"/>
          <w:b/>
          <w:szCs w:val="21"/>
        </w:rPr>
        <w:t>★1、</w:t>
      </w:r>
      <w:r>
        <w:rPr>
          <w:rFonts w:hint="eastAsia"/>
          <w:bCs/>
          <w:kern w:val="0"/>
          <w:szCs w:val="21"/>
        </w:rPr>
        <w:t>所投车辆均安装车载称重系统、GPS卫星定位系统和视频设施。同时承诺上述车辆、车辆设备（GPS定位系统和视频</w:t>
      </w:r>
      <w:r>
        <w:rPr>
          <w:rFonts w:hint="eastAsia"/>
          <w:kern w:val="32"/>
          <w:szCs w:val="32"/>
        </w:rPr>
        <w:t>设施)在</w:t>
      </w:r>
      <w:r>
        <w:rPr>
          <w:rFonts w:hint="eastAsia"/>
          <w:b/>
          <w:bCs/>
          <w:kern w:val="32"/>
          <w:szCs w:val="32"/>
        </w:rPr>
        <w:t>中标通知书发出后二十天内按配置要求全部到位，通报采购人组织验收。按时验收合格的签订履约合同；逾期或不符合要求的采购人有权拒绝签订履约合同，且中标人被视为无正当理由弃标。</w:t>
      </w:r>
    </w:p>
    <w:p>
      <w:pPr>
        <w:widowControl/>
        <w:spacing w:line="360" w:lineRule="auto"/>
        <w:ind w:right="-44" w:rightChars="-21" w:firstLine="422" w:firstLineChars="200"/>
        <w:jc w:val="left"/>
        <w:rPr>
          <w:rFonts w:hint="eastAsia"/>
          <w:b/>
          <w:kern w:val="0"/>
          <w:szCs w:val="21"/>
        </w:rPr>
      </w:pPr>
      <w:r>
        <w:rPr>
          <w:rFonts w:hint="eastAsia"/>
          <w:b/>
          <w:szCs w:val="21"/>
        </w:rPr>
        <w:t>★</w:t>
      </w:r>
      <w:r>
        <w:rPr>
          <w:rFonts w:hint="eastAsia"/>
          <w:b/>
          <w:kern w:val="0"/>
          <w:szCs w:val="21"/>
        </w:rPr>
        <w:t>2、为保证服务质量提高服务效率，供应商需承诺服务期间在项目实施地设置固定的经营或办公场所，还需提供作业车辆以及方便实施作业的停车场地。</w:t>
      </w:r>
    </w:p>
    <w:p>
      <w:pPr>
        <w:widowControl/>
        <w:spacing w:line="360" w:lineRule="auto"/>
        <w:ind w:right="-44" w:rightChars="-21" w:firstLine="422" w:firstLineChars="200"/>
        <w:jc w:val="left"/>
        <w:rPr>
          <w:rFonts w:hint="eastAsia"/>
          <w:b/>
          <w:kern w:val="0"/>
          <w:szCs w:val="21"/>
        </w:rPr>
      </w:pPr>
      <w:r>
        <w:rPr>
          <w:rFonts w:hint="eastAsia"/>
          <w:b/>
          <w:szCs w:val="21"/>
        </w:rPr>
        <w:t>投标时要求在投标文件 “技术条款偏离表”中对以上1、2内容作出实质性响应，未响应的视作无效标。</w:t>
      </w:r>
    </w:p>
    <w:p>
      <w:pPr>
        <w:widowControl/>
        <w:jc w:val="left"/>
        <w:rPr>
          <w:rFonts w:hint="eastAsia"/>
          <w:b/>
          <w:szCs w:val="21"/>
        </w:rPr>
      </w:pPr>
    </w:p>
    <w:p>
      <w:pPr>
        <w:widowControl/>
        <w:jc w:val="left"/>
        <w:rPr>
          <w:rFonts w:hint="eastAsia"/>
          <w:b/>
          <w:szCs w:val="21"/>
        </w:rPr>
      </w:pPr>
    </w:p>
    <w:p>
      <w:pPr>
        <w:widowControl/>
        <w:jc w:val="left"/>
        <w:rPr>
          <w:rFonts w:hint="eastAsia"/>
          <w:b/>
          <w:szCs w:val="21"/>
        </w:rPr>
      </w:pPr>
    </w:p>
    <w:p>
      <w:pPr>
        <w:widowControl/>
        <w:jc w:val="left"/>
        <w:rPr>
          <w:rFonts w:hint="eastAsia"/>
          <w:b/>
          <w:szCs w:val="21"/>
        </w:rPr>
      </w:pPr>
    </w:p>
    <w:p>
      <w:pPr>
        <w:widowControl/>
        <w:jc w:val="left"/>
        <w:rPr>
          <w:rFonts w:hint="eastAsia"/>
          <w:b/>
          <w:szCs w:val="21"/>
        </w:rPr>
      </w:pPr>
    </w:p>
    <w:p>
      <w:pPr>
        <w:widowControl/>
        <w:jc w:val="left"/>
        <w:rPr>
          <w:rFonts w:hint="eastAsia"/>
          <w:b/>
          <w:szCs w:val="21"/>
        </w:rPr>
      </w:pPr>
      <w:r>
        <w:rPr>
          <w:rFonts w:hint="eastAsia"/>
          <w:b/>
          <w:szCs w:val="21"/>
        </w:rPr>
        <w:t>（五）人员</w:t>
      </w:r>
      <w:bookmarkEnd w:id="62"/>
      <w:r>
        <w:rPr>
          <w:rFonts w:hint="eastAsia"/>
          <w:b/>
          <w:szCs w:val="21"/>
        </w:rPr>
        <w:t>要求</w:t>
      </w:r>
    </w:p>
    <w:tbl>
      <w:tblPr>
        <w:tblStyle w:val="5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60"/>
        <w:gridCol w:w="358"/>
        <w:gridCol w:w="28"/>
        <w:gridCol w:w="2414"/>
        <w:gridCol w:w="349"/>
        <w:gridCol w:w="1404"/>
        <w:gridCol w:w="137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9"/>
            <w:noWrap w:val="0"/>
            <w:vAlign w:val="center"/>
          </w:tcPr>
          <w:p>
            <w:pPr>
              <w:spacing w:line="280" w:lineRule="exact"/>
              <w:contextualSpacing/>
              <w:jc w:val="center"/>
              <w:outlineLvl w:val="1"/>
              <w:rPr>
                <w:rFonts w:hint="eastAsia" w:ascii="Times New Roman" w:hAnsi="Times New Roman"/>
                <w:b/>
                <w:bCs/>
                <w:szCs w:val="21"/>
              </w:rPr>
            </w:pPr>
            <w:r>
              <w:rPr>
                <w:rFonts w:hint="eastAsia" w:ascii="Times New Roman" w:hAnsi="Times New Roman"/>
                <w:b/>
                <w:bCs/>
                <w:szCs w:val="21"/>
              </w:rPr>
              <w:t>道路保洁人员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保洁等级</w:t>
            </w:r>
          </w:p>
        </w:tc>
        <w:tc>
          <w:tcPr>
            <w:tcW w:w="3714" w:type="dxa"/>
            <w:gridSpan w:val="5"/>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保洁道路</w:t>
            </w:r>
          </w:p>
        </w:tc>
        <w:tc>
          <w:tcPr>
            <w:tcW w:w="1400" w:type="dxa"/>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道路保洁时间（h）</w:t>
            </w:r>
          </w:p>
        </w:tc>
        <w:tc>
          <w:tcPr>
            <w:tcW w:w="1380" w:type="dxa"/>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道路保洁面积（m</w:t>
            </w:r>
            <w:r>
              <w:rPr>
                <w:rFonts w:hint="eastAsia" w:ascii="Times New Roman" w:hAnsi="Times New Roman"/>
                <w:bCs/>
                <w:szCs w:val="21"/>
                <w:vertAlign w:val="superscript"/>
              </w:rPr>
              <w:t>2</w:t>
            </w:r>
            <w:r>
              <w:rPr>
                <w:rFonts w:hint="eastAsia" w:ascii="Times New Roman" w:hAnsi="Times New Roman"/>
                <w:bCs/>
                <w:szCs w:val="21"/>
              </w:rPr>
              <w:t>）</w:t>
            </w:r>
          </w:p>
        </w:tc>
        <w:tc>
          <w:tcPr>
            <w:tcW w:w="1336" w:type="dxa"/>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道路保洁人员数量（人）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42" w:type="dxa"/>
            <w:noWrap w:val="0"/>
            <w:vAlign w:val="center"/>
          </w:tcPr>
          <w:p>
            <w:pPr>
              <w:spacing w:line="240" w:lineRule="atLeast"/>
              <w:contextualSpacing/>
              <w:jc w:val="center"/>
              <w:rPr>
                <w:rFonts w:ascii="Times New Roman" w:hAnsi="Times New Roman"/>
                <w:szCs w:val="21"/>
              </w:rPr>
            </w:pPr>
            <w:r>
              <w:rPr>
                <w:rFonts w:hint="eastAsia" w:ascii="Times New Roman" w:hAnsi="Times New Roman"/>
                <w:szCs w:val="21"/>
              </w:rPr>
              <w:t>一类</w:t>
            </w:r>
          </w:p>
        </w:tc>
        <w:tc>
          <w:tcPr>
            <w:tcW w:w="3714" w:type="dxa"/>
            <w:gridSpan w:val="5"/>
            <w:noWrap w:val="0"/>
            <w:vAlign w:val="center"/>
          </w:tcPr>
          <w:p>
            <w:pPr>
              <w:spacing w:line="240" w:lineRule="atLeast"/>
              <w:contextualSpacing/>
              <w:jc w:val="left"/>
              <w:outlineLvl w:val="1"/>
              <w:rPr>
                <w:rFonts w:hint="eastAsia" w:ascii="Times New Roman" w:hAnsi="Times New Roman"/>
                <w:szCs w:val="21"/>
              </w:rPr>
            </w:pPr>
            <w:r>
              <w:rPr>
                <w:rFonts w:hint="eastAsia" w:ascii="Times New Roman" w:hAnsi="Times New Roman"/>
                <w:szCs w:val="21"/>
              </w:rPr>
              <w:t>宝幢菜市场</w:t>
            </w:r>
          </w:p>
        </w:tc>
        <w:tc>
          <w:tcPr>
            <w:tcW w:w="1400"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10h</w:t>
            </w:r>
          </w:p>
        </w:tc>
        <w:tc>
          <w:tcPr>
            <w:tcW w:w="1380"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9300</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42" w:type="dxa"/>
            <w:noWrap w:val="0"/>
            <w:vAlign w:val="center"/>
          </w:tcPr>
          <w:p>
            <w:pPr>
              <w:spacing w:line="240" w:lineRule="atLeast"/>
              <w:contextualSpacing/>
              <w:jc w:val="center"/>
              <w:rPr>
                <w:rFonts w:hint="eastAsia" w:ascii="Times New Roman" w:hAnsi="Times New Roman"/>
                <w:szCs w:val="21"/>
              </w:rPr>
            </w:pPr>
            <w:r>
              <w:rPr>
                <w:rFonts w:hint="eastAsia" w:ascii="Times New Roman" w:hAnsi="Times New Roman"/>
                <w:szCs w:val="21"/>
              </w:rPr>
              <w:t>二类</w:t>
            </w:r>
          </w:p>
        </w:tc>
        <w:tc>
          <w:tcPr>
            <w:tcW w:w="3714" w:type="dxa"/>
            <w:gridSpan w:val="5"/>
            <w:noWrap w:val="0"/>
            <w:vAlign w:val="center"/>
          </w:tcPr>
          <w:p>
            <w:pPr>
              <w:spacing w:line="240" w:lineRule="atLeast"/>
              <w:contextualSpacing/>
              <w:jc w:val="left"/>
              <w:outlineLvl w:val="1"/>
              <w:rPr>
                <w:rFonts w:hint="eastAsia" w:ascii="Times New Roman" w:hAnsi="Times New Roman"/>
                <w:szCs w:val="21"/>
              </w:rPr>
            </w:pPr>
            <w:r>
              <w:rPr>
                <w:rFonts w:hint="eastAsia" w:ascii="Times New Roman" w:hAnsi="Times New Roman"/>
                <w:szCs w:val="21"/>
              </w:rPr>
              <w:t>蟠龙路、西街、菜场路</w:t>
            </w:r>
          </w:p>
        </w:tc>
        <w:tc>
          <w:tcPr>
            <w:tcW w:w="1400"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16h</w:t>
            </w:r>
          </w:p>
        </w:tc>
        <w:tc>
          <w:tcPr>
            <w:tcW w:w="1380"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28416</w:t>
            </w:r>
          </w:p>
        </w:tc>
        <w:tc>
          <w:tcPr>
            <w:tcW w:w="1336"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240" w:lineRule="atLeast"/>
              <w:contextualSpacing/>
              <w:jc w:val="center"/>
              <w:rPr>
                <w:rFonts w:ascii="Times New Roman" w:hAnsi="Times New Roman"/>
                <w:szCs w:val="21"/>
              </w:rPr>
            </w:pPr>
            <w:r>
              <w:rPr>
                <w:rFonts w:hint="eastAsia" w:ascii="Times New Roman" w:hAnsi="Times New Roman"/>
                <w:szCs w:val="21"/>
              </w:rPr>
              <w:t>三类</w:t>
            </w:r>
          </w:p>
        </w:tc>
        <w:tc>
          <w:tcPr>
            <w:tcW w:w="3714" w:type="dxa"/>
            <w:gridSpan w:val="5"/>
            <w:noWrap w:val="0"/>
            <w:vAlign w:val="center"/>
          </w:tcPr>
          <w:p>
            <w:pPr>
              <w:spacing w:line="240" w:lineRule="atLeast"/>
              <w:contextualSpacing/>
              <w:jc w:val="left"/>
              <w:outlineLvl w:val="1"/>
              <w:rPr>
                <w:rFonts w:hint="eastAsia" w:ascii="Times New Roman" w:hAnsi="Times New Roman"/>
                <w:szCs w:val="21"/>
              </w:rPr>
            </w:pPr>
            <w:r>
              <w:rPr>
                <w:rFonts w:hint="eastAsia" w:ascii="Times New Roman" w:hAnsi="Times New Roman"/>
                <w:szCs w:val="21"/>
              </w:rPr>
              <w:t>军民路、宝幢老街、爱民路、爱民南路、回江南路、镇南路</w:t>
            </w:r>
          </w:p>
        </w:tc>
        <w:tc>
          <w:tcPr>
            <w:tcW w:w="1400"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10h</w:t>
            </w:r>
          </w:p>
        </w:tc>
        <w:tc>
          <w:tcPr>
            <w:tcW w:w="1380"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rPr>
              <w:t>47500</w:t>
            </w:r>
          </w:p>
        </w:tc>
        <w:tc>
          <w:tcPr>
            <w:tcW w:w="1336"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240" w:lineRule="atLeast"/>
              <w:contextualSpacing/>
              <w:jc w:val="center"/>
              <w:rPr>
                <w:rFonts w:ascii="Times New Roman" w:hAnsi="Times New Roman"/>
                <w:szCs w:val="21"/>
              </w:rPr>
            </w:pPr>
            <w:r>
              <w:rPr>
                <w:rFonts w:hint="eastAsia" w:ascii="Times New Roman" w:hAnsi="Times New Roman"/>
                <w:szCs w:val="21"/>
              </w:rPr>
              <w:t>三类</w:t>
            </w:r>
          </w:p>
        </w:tc>
        <w:tc>
          <w:tcPr>
            <w:tcW w:w="3714" w:type="dxa"/>
            <w:gridSpan w:val="5"/>
            <w:noWrap w:val="0"/>
            <w:vAlign w:val="center"/>
          </w:tcPr>
          <w:p>
            <w:pPr>
              <w:spacing w:line="240" w:lineRule="atLeast"/>
              <w:contextualSpacing/>
              <w:jc w:val="left"/>
              <w:outlineLvl w:val="1"/>
              <w:rPr>
                <w:rFonts w:hint="eastAsia" w:ascii="Times New Roman" w:hAnsi="Times New Roman"/>
                <w:szCs w:val="21"/>
              </w:rPr>
            </w:pPr>
            <w:r>
              <w:rPr>
                <w:rFonts w:hint="eastAsia" w:ascii="Times New Roman" w:hAnsi="Times New Roman"/>
                <w:szCs w:val="21"/>
              </w:rPr>
              <w:t>除以上路段外的其他道路</w:t>
            </w:r>
          </w:p>
        </w:tc>
        <w:tc>
          <w:tcPr>
            <w:tcW w:w="1400"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8h</w:t>
            </w:r>
          </w:p>
        </w:tc>
        <w:tc>
          <w:tcPr>
            <w:tcW w:w="1380"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rPr>
              <w:t>541545</w:t>
            </w:r>
          </w:p>
        </w:tc>
        <w:tc>
          <w:tcPr>
            <w:tcW w:w="1336"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三类</w:t>
            </w:r>
          </w:p>
        </w:tc>
        <w:tc>
          <w:tcPr>
            <w:tcW w:w="3709" w:type="dxa"/>
            <w:gridSpan w:val="5"/>
            <w:noWrap w:val="0"/>
            <w:vAlign w:val="center"/>
          </w:tcPr>
          <w:p>
            <w:pPr>
              <w:spacing w:line="240" w:lineRule="atLeast"/>
              <w:contextualSpacing/>
              <w:jc w:val="left"/>
              <w:outlineLvl w:val="1"/>
              <w:rPr>
                <w:rFonts w:hint="eastAsia" w:ascii="Times New Roman" w:hAnsi="Times New Roman"/>
                <w:szCs w:val="21"/>
              </w:rPr>
            </w:pPr>
            <w:r>
              <w:rPr>
                <w:rFonts w:hint="eastAsia" w:ascii="Times New Roman" w:hAnsi="Times New Roman"/>
                <w:szCs w:val="21"/>
              </w:rPr>
              <w:t>宝涵路、杨柳郡、329国道、通途路五乡段、南外环路（中车段）、宝瞻路五乡段、时代路（规划四路）、明南路（规划二路）、南车路（规划一路）、中车路（规划三路）的机扫路段</w:t>
            </w:r>
          </w:p>
        </w:tc>
        <w:tc>
          <w:tcPr>
            <w:tcW w:w="1405"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8h</w:t>
            </w:r>
          </w:p>
        </w:tc>
        <w:tc>
          <w:tcPr>
            <w:tcW w:w="1375"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293313</w:t>
            </w:r>
          </w:p>
        </w:tc>
        <w:tc>
          <w:tcPr>
            <w:tcW w:w="1336" w:type="dxa"/>
            <w:noWrap w:val="0"/>
            <w:vAlign w:val="center"/>
          </w:tcPr>
          <w:p>
            <w:pPr>
              <w:spacing w:line="240" w:lineRule="atLeast"/>
              <w:contextualSpacing/>
              <w:jc w:val="center"/>
              <w:outlineLvl w:val="1"/>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gridSpan w:val="6"/>
            <w:noWrap w:val="0"/>
            <w:vAlign w:val="center"/>
          </w:tcPr>
          <w:p>
            <w:pPr>
              <w:spacing w:line="240" w:lineRule="atLeast"/>
              <w:contextualSpacing/>
              <w:jc w:val="center"/>
              <w:outlineLvl w:val="1"/>
              <w:rPr>
                <w:rFonts w:hint="eastAsia" w:ascii="Times New Roman" w:hAnsi="Times New Roman"/>
              </w:rPr>
            </w:pPr>
            <w:r>
              <w:rPr>
                <w:rFonts w:hint="eastAsia" w:ascii="Times New Roman" w:hAnsi="Times New Roman"/>
                <w:szCs w:val="21"/>
              </w:rPr>
              <w:t>小计</w:t>
            </w:r>
          </w:p>
        </w:tc>
        <w:tc>
          <w:tcPr>
            <w:tcW w:w="1405" w:type="dxa"/>
            <w:noWrap w:val="0"/>
            <w:vAlign w:val="center"/>
          </w:tcPr>
          <w:p>
            <w:pPr>
              <w:spacing w:line="240" w:lineRule="atLeast"/>
              <w:contextualSpacing/>
              <w:jc w:val="center"/>
              <w:outlineLvl w:val="1"/>
              <w:rPr>
                <w:rFonts w:hint="eastAsia" w:ascii="Times New Roman" w:hAnsi="Times New Roman"/>
                <w:szCs w:val="21"/>
              </w:rPr>
            </w:pPr>
          </w:p>
        </w:tc>
        <w:tc>
          <w:tcPr>
            <w:tcW w:w="1375" w:type="dxa"/>
            <w:noWrap w:val="0"/>
            <w:vAlign w:val="center"/>
          </w:tcPr>
          <w:p>
            <w:pPr>
              <w:spacing w:line="240" w:lineRule="atLeast"/>
              <w:contextualSpacing/>
              <w:jc w:val="center"/>
              <w:outlineLvl w:val="1"/>
              <w:rPr>
                <w:rFonts w:ascii="Times New Roman" w:hAnsi="Times New Roman"/>
                <w:szCs w:val="21"/>
              </w:rPr>
            </w:pPr>
            <w:r>
              <w:rPr>
                <w:rFonts w:hint="eastAsia" w:ascii="Times New Roman" w:hAnsi="Times New Roman"/>
                <w:szCs w:val="21"/>
              </w:rPr>
              <w:t>920074</w:t>
            </w:r>
          </w:p>
        </w:tc>
        <w:tc>
          <w:tcPr>
            <w:tcW w:w="1336" w:type="dxa"/>
            <w:noWrap w:val="0"/>
            <w:vAlign w:val="center"/>
          </w:tcPr>
          <w:p>
            <w:pPr>
              <w:spacing w:line="240" w:lineRule="atLeast"/>
              <w:contextualSpacing/>
              <w:jc w:val="center"/>
              <w:outlineLvl w:val="1"/>
              <w:rPr>
                <w:rFonts w:hint="eastAsia" w:ascii="Times New Roman" w:hAnsi="Times New Roman"/>
              </w:rPr>
            </w:pPr>
            <w:r>
              <w:rPr>
                <w:rFonts w:hint="eastAsia" w:ascii="Times New Roman" w:hAnsi="Times New Roman"/>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9"/>
            <w:noWrap w:val="0"/>
            <w:vAlign w:val="center"/>
          </w:tcPr>
          <w:p>
            <w:pPr>
              <w:spacing w:line="380" w:lineRule="exact"/>
              <w:contextualSpacing/>
              <w:jc w:val="center"/>
              <w:outlineLvl w:val="1"/>
              <w:rPr>
                <w:rFonts w:hint="eastAsia" w:ascii="Times New Roman" w:hAnsi="Times New Roman"/>
                <w:b/>
                <w:szCs w:val="21"/>
              </w:rPr>
            </w:pPr>
            <w:r>
              <w:rPr>
                <w:rFonts w:hint="eastAsia" w:ascii="Times New Roman" w:hAnsi="Times New Roman"/>
                <w:b/>
                <w:szCs w:val="21"/>
              </w:rPr>
              <w:t>五乡镇公厕保洁、垃圾中转站、垃圾车等辅助工人员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09" w:type="dxa"/>
            <w:gridSpan w:val="2"/>
            <w:noWrap w:val="0"/>
            <w:vAlign w:val="center"/>
          </w:tcPr>
          <w:p>
            <w:pPr>
              <w:spacing w:line="240" w:lineRule="atLeast"/>
              <w:contextualSpacing/>
              <w:jc w:val="center"/>
              <w:outlineLvl w:val="1"/>
              <w:rPr>
                <w:rFonts w:hint="eastAsia" w:ascii="Times New Roman" w:hAnsi="Times New Roman"/>
                <w:b/>
                <w:szCs w:val="21"/>
              </w:rPr>
            </w:pPr>
            <w:r>
              <w:rPr>
                <w:rFonts w:hint="eastAsia" w:ascii="Times New Roman" w:hAnsi="Times New Roman"/>
                <w:bCs/>
                <w:szCs w:val="21"/>
              </w:rPr>
              <w:t>保洁类别</w:t>
            </w:r>
          </w:p>
        </w:tc>
        <w:tc>
          <w:tcPr>
            <w:tcW w:w="3147" w:type="dxa"/>
            <w:gridSpan w:val="4"/>
            <w:noWrap w:val="0"/>
            <w:vAlign w:val="center"/>
          </w:tcPr>
          <w:p>
            <w:pPr>
              <w:spacing w:line="240" w:lineRule="atLeast"/>
              <w:contextualSpacing/>
              <w:jc w:val="center"/>
              <w:outlineLvl w:val="1"/>
              <w:rPr>
                <w:rFonts w:hint="eastAsia" w:ascii="Times New Roman" w:hAnsi="Times New Roman"/>
                <w:b/>
                <w:szCs w:val="21"/>
              </w:rPr>
            </w:pPr>
            <w:r>
              <w:rPr>
                <w:rFonts w:hint="eastAsia" w:ascii="Times New Roman" w:hAnsi="Times New Roman"/>
                <w:bCs/>
                <w:szCs w:val="21"/>
              </w:rPr>
              <w:t>作业（保洁）时间</w:t>
            </w:r>
          </w:p>
        </w:tc>
        <w:tc>
          <w:tcPr>
            <w:tcW w:w="2780" w:type="dxa"/>
            <w:gridSpan w:val="2"/>
            <w:noWrap w:val="0"/>
            <w:vAlign w:val="center"/>
          </w:tcPr>
          <w:p>
            <w:pPr>
              <w:spacing w:line="240" w:lineRule="atLeast"/>
              <w:contextualSpacing/>
              <w:jc w:val="center"/>
              <w:outlineLvl w:val="1"/>
              <w:rPr>
                <w:rFonts w:hint="eastAsia" w:ascii="Times New Roman" w:hAnsi="Times New Roman"/>
                <w:b/>
                <w:szCs w:val="21"/>
              </w:rPr>
            </w:pPr>
            <w:r>
              <w:rPr>
                <w:rFonts w:hint="eastAsia" w:ascii="Times New Roman" w:hAnsi="Times New Roman"/>
                <w:bCs/>
                <w:szCs w:val="21"/>
              </w:rPr>
              <w:t>数量（套）</w:t>
            </w:r>
          </w:p>
        </w:tc>
        <w:tc>
          <w:tcPr>
            <w:tcW w:w="1336" w:type="dxa"/>
            <w:noWrap w:val="0"/>
            <w:vAlign w:val="center"/>
          </w:tcPr>
          <w:p>
            <w:pPr>
              <w:spacing w:line="240" w:lineRule="atLeast"/>
              <w:contextualSpacing/>
              <w:jc w:val="center"/>
              <w:outlineLvl w:val="1"/>
              <w:rPr>
                <w:rFonts w:hint="eastAsia" w:ascii="Times New Roman" w:hAnsi="Times New Roman"/>
                <w:b/>
                <w:szCs w:val="21"/>
              </w:rPr>
            </w:pPr>
            <w:r>
              <w:rPr>
                <w:rFonts w:hint="eastAsia" w:ascii="Times New Roman" w:hAnsi="Times New Roman"/>
                <w:bCs/>
                <w:szCs w:val="21"/>
              </w:rPr>
              <w:t>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cs="宋体"/>
                <w:kern w:val="0"/>
                <w:sz w:val="20"/>
                <w:szCs w:val="20"/>
              </w:rPr>
              <w:t>中转站辅助工</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8小时作业</w:t>
            </w:r>
          </w:p>
        </w:tc>
        <w:tc>
          <w:tcPr>
            <w:tcW w:w="2780"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倒桶工4人，垃圾压缩操作工4人（4台*1人/台），洗桶工2人，污水处理工1人</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cs="宋体"/>
                <w:kern w:val="0"/>
                <w:sz w:val="20"/>
                <w:szCs w:val="20"/>
              </w:rPr>
              <w:t>车辆配合辅助工</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8小时作业</w:t>
            </w:r>
          </w:p>
        </w:tc>
        <w:tc>
          <w:tcPr>
            <w:tcW w:w="2780" w:type="dxa"/>
            <w:gridSpan w:val="2"/>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吸粪车1人，压缩车14人（7辆*2人/辆）</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果壳箱（废物箱）清理保洁工</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8小时作业</w:t>
            </w:r>
          </w:p>
        </w:tc>
        <w:tc>
          <w:tcPr>
            <w:tcW w:w="2780" w:type="dxa"/>
            <w:gridSpan w:val="2"/>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329国道、宝瞻路、中车果壳箱共计88只；五乡地铁站周边18只；宝幢地铁站，宝涵路，环城南路合计25只。总计131只</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cs="宋体"/>
                <w:kern w:val="0"/>
                <w:sz w:val="20"/>
                <w:szCs w:val="20"/>
              </w:rPr>
              <w:t>垃圾收费协助员</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8小时作业</w:t>
            </w:r>
          </w:p>
        </w:tc>
        <w:tc>
          <w:tcPr>
            <w:tcW w:w="2780" w:type="dxa"/>
            <w:gridSpan w:val="2"/>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垃圾收费助理员</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cs="宋体"/>
                <w:kern w:val="0"/>
                <w:sz w:val="20"/>
                <w:szCs w:val="20"/>
              </w:rPr>
              <w:t>环卫站保洁及勤杂工</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8小时作业</w:t>
            </w:r>
          </w:p>
        </w:tc>
        <w:tc>
          <w:tcPr>
            <w:tcW w:w="2780" w:type="dxa"/>
            <w:gridSpan w:val="2"/>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站内保洁及勤杂</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center"/>
          </w:tcPr>
          <w:p>
            <w:pPr>
              <w:spacing w:line="240" w:lineRule="atLeast"/>
              <w:contextualSpacing/>
              <w:jc w:val="center"/>
              <w:rPr>
                <w:rFonts w:hint="eastAsia" w:ascii="Times New Roman" w:hAnsi="Times New Roman" w:cs="宋体"/>
                <w:kern w:val="0"/>
                <w:sz w:val="20"/>
              </w:rPr>
            </w:pPr>
            <w:r>
              <w:rPr>
                <w:rFonts w:hint="eastAsia" w:ascii="Times New Roman" w:hAnsi="Times New Roman" w:cs="宋体"/>
                <w:kern w:val="0"/>
                <w:sz w:val="20"/>
                <w:szCs w:val="20"/>
              </w:rPr>
              <w:t>公厕保洁工</w:t>
            </w:r>
          </w:p>
        </w:tc>
        <w:tc>
          <w:tcPr>
            <w:tcW w:w="3147" w:type="dxa"/>
            <w:gridSpan w:val="4"/>
            <w:noWrap w:val="0"/>
            <w:vAlign w:val="center"/>
          </w:tcPr>
          <w:p>
            <w:pPr>
              <w:spacing w:line="240" w:lineRule="atLeast"/>
              <w:contextualSpacing/>
              <w:jc w:val="center"/>
              <w:rPr>
                <w:rFonts w:hint="eastAsia" w:ascii="Times New Roman" w:hAnsi="Times New Roman"/>
                <w:bCs/>
                <w:szCs w:val="21"/>
              </w:rPr>
            </w:pPr>
            <w:r>
              <w:rPr>
                <w:rFonts w:hint="eastAsia" w:ascii="Times New Roman" w:hAnsi="Times New Roman"/>
                <w:bCs/>
                <w:szCs w:val="21"/>
              </w:rPr>
              <w:t>10小时保洁</w:t>
            </w:r>
          </w:p>
        </w:tc>
        <w:tc>
          <w:tcPr>
            <w:tcW w:w="2780" w:type="dxa"/>
            <w:gridSpan w:val="2"/>
            <w:noWrap w:val="0"/>
            <w:vAlign w:val="center"/>
          </w:tcPr>
          <w:p>
            <w:pPr>
              <w:spacing w:line="240" w:lineRule="atLeast"/>
              <w:contextualSpacing/>
              <w:jc w:val="center"/>
              <w:outlineLvl w:val="1"/>
              <w:rPr>
                <w:rFonts w:hint="eastAsia" w:ascii="Times New Roman" w:hAnsi="Times New Roman"/>
                <w:bCs/>
                <w:szCs w:val="21"/>
              </w:rPr>
            </w:pPr>
            <w:r>
              <w:rPr>
                <w:rFonts w:hint="eastAsia" w:ascii="Times New Roman" w:hAnsi="Times New Roman"/>
                <w:bCs/>
                <w:szCs w:val="21"/>
              </w:rPr>
              <w:t>公厕数量24座</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szCs w:val="21"/>
              </w:rPr>
              <w:t>≥</w:t>
            </w:r>
            <w:r>
              <w:rPr>
                <w:rFonts w:hint="eastAsia" w:ascii="Times New Roman" w:hAnsi="Times New Roman"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6" w:type="dxa"/>
            <w:gridSpan w:val="8"/>
            <w:noWrap w:val="0"/>
            <w:vAlign w:val="center"/>
          </w:tcPr>
          <w:p>
            <w:pPr>
              <w:spacing w:line="380" w:lineRule="exact"/>
              <w:contextualSpacing/>
              <w:jc w:val="center"/>
              <w:outlineLvl w:val="1"/>
              <w:rPr>
                <w:rFonts w:ascii="Times New Roman" w:hAnsi="Times New Roman"/>
                <w:szCs w:val="21"/>
              </w:rPr>
            </w:pPr>
            <w:r>
              <w:rPr>
                <w:rFonts w:hint="eastAsia" w:ascii="Times New Roman" w:hAnsi="Times New Roman"/>
                <w:szCs w:val="21"/>
              </w:rPr>
              <w:t>小计</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9"/>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
                <w:bCs/>
                <w:szCs w:val="21"/>
              </w:rPr>
              <w:t>329国道沿线二边垃圾收集工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3"/>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Cs/>
                <w:szCs w:val="21"/>
              </w:rPr>
              <w:t>作业类别</w:t>
            </w:r>
          </w:p>
        </w:tc>
        <w:tc>
          <w:tcPr>
            <w:tcW w:w="2445" w:type="dxa"/>
            <w:gridSpan w:val="2"/>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Cs/>
                <w:szCs w:val="21"/>
              </w:rPr>
              <w:t>作业时间</w:t>
            </w:r>
          </w:p>
        </w:tc>
        <w:tc>
          <w:tcPr>
            <w:tcW w:w="3124" w:type="dxa"/>
            <w:gridSpan w:val="3"/>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Cs/>
                <w:szCs w:val="21"/>
              </w:rPr>
              <w:t>数量</w:t>
            </w:r>
          </w:p>
        </w:tc>
        <w:tc>
          <w:tcPr>
            <w:tcW w:w="1336" w:type="dxa"/>
            <w:noWrap w:val="0"/>
            <w:vAlign w:val="center"/>
          </w:tcPr>
          <w:p>
            <w:pPr>
              <w:spacing w:line="240" w:lineRule="exact"/>
              <w:contextualSpacing/>
              <w:jc w:val="center"/>
              <w:outlineLvl w:val="1"/>
              <w:rPr>
                <w:rFonts w:hint="eastAsia" w:ascii="Times New Roman" w:hAnsi="Times New Roman"/>
                <w:szCs w:val="21"/>
              </w:rPr>
            </w:pPr>
            <w:r>
              <w:rPr>
                <w:rFonts w:hint="eastAsia" w:ascii="Times New Roman" w:hAnsi="Times New Roman"/>
                <w:bCs/>
                <w:szCs w:val="21"/>
              </w:rPr>
              <w:t>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7" w:type="dxa"/>
            <w:gridSpan w:val="3"/>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垃圾收集工</w:t>
            </w:r>
          </w:p>
        </w:tc>
        <w:tc>
          <w:tcPr>
            <w:tcW w:w="2445" w:type="dxa"/>
            <w:gridSpan w:val="2"/>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Cs/>
                <w:szCs w:val="21"/>
              </w:rPr>
              <w:t>8小时作业</w:t>
            </w:r>
          </w:p>
        </w:tc>
        <w:tc>
          <w:tcPr>
            <w:tcW w:w="3124" w:type="dxa"/>
            <w:gridSpan w:val="3"/>
            <w:noWrap w:val="0"/>
            <w:vAlign w:val="center"/>
          </w:tcPr>
          <w:p>
            <w:pPr>
              <w:spacing w:line="380" w:lineRule="exact"/>
              <w:contextualSpacing/>
              <w:jc w:val="center"/>
              <w:outlineLvl w:val="1"/>
              <w:rPr>
                <w:rFonts w:hint="eastAsia" w:ascii="Times New Roman" w:hAnsi="Times New Roman"/>
                <w:szCs w:val="21"/>
              </w:rPr>
            </w:pP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6" w:type="dxa"/>
            <w:gridSpan w:val="8"/>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小计</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9"/>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b/>
                <w:bCs/>
                <w:szCs w:val="21"/>
              </w:rPr>
              <w:t>绿化养护人员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6" w:type="dxa"/>
            <w:gridSpan w:val="8"/>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绿化养护类别</w:t>
            </w:r>
          </w:p>
        </w:tc>
        <w:tc>
          <w:tcPr>
            <w:tcW w:w="1336" w:type="dxa"/>
            <w:noWrap w:val="0"/>
            <w:vAlign w:val="center"/>
          </w:tcPr>
          <w:p>
            <w:pPr>
              <w:spacing w:line="240" w:lineRule="atLeast"/>
              <w:contextualSpacing/>
              <w:jc w:val="center"/>
              <w:outlineLvl w:val="1"/>
              <w:rPr>
                <w:rFonts w:hint="eastAsia" w:ascii="Times New Roman" w:hAnsi="Times New Roman"/>
                <w:szCs w:val="21"/>
              </w:rPr>
            </w:pPr>
            <w:r>
              <w:rPr>
                <w:rFonts w:hint="eastAsia" w:ascii="Times New Roman" w:hAnsi="Times New Roman"/>
                <w:bCs/>
                <w:szCs w:val="21"/>
              </w:rPr>
              <w:t>养护（保洁）人员数量（人）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36" w:type="dxa"/>
            <w:gridSpan w:val="8"/>
            <w:noWrap w:val="0"/>
            <w:vAlign w:val="center"/>
          </w:tcPr>
          <w:p>
            <w:pPr>
              <w:spacing w:line="380" w:lineRule="exact"/>
              <w:contextualSpacing/>
              <w:jc w:val="left"/>
              <w:outlineLvl w:val="1"/>
              <w:rPr>
                <w:rFonts w:hint="eastAsia" w:ascii="Times New Roman" w:hAnsi="Times New Roman"/>
              </w:rPr>
            </w:pPr>
            <w:r>
              <w:rPr>
                <w:rFonts w:hint="eastAsia" w:ascii="Times New Roman" w:hAnsi="Times New Roman"/>
              </w:rPr>
              <w:t>公园绿地养护：包括但不限于地被植物，灌木，乔木等一切植被养护（含施肥、除虫、修剪、浇水等），死苗补种，垃圾清运及处置，场地保洁，除草、花坛、树池修复，黄土回填等，维护绿化区域内的公共设施的正常使用。</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w:t>
            </w:r>
            <w:r>
              <w:rPr>
                <w:rFonts w:ascii="Times New Roman" w:hAnsi="Times New Roman"/>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736" w:type="dxa"/>
            <w:gridSpan w:val="8"/>
            <w:noWrap w:val="0"/>
            <w:vAlign w:val="center"/>
          </w:tcPr>
          <w:p>
            <w:pPr>
              <w:spacing w:line="380" w:lineRule="exact"/>
              <w:contextualSpacing/>
              <w:jc w:val="left"/>
              <w:outlineLvl w:val="1"/>
              <w:rPr>
                <w:rFonts w:hint="eastAsia" w:ascii="Times New Roman" w:hAnsi="Times New Roman"/>
              </w:rPr>
            </w:pPr>
            <w:r>
              <w:rPr>
                <w:rFonts w:hint="eastAsia" w:ascii="Times New Roman" w:hAnsi="Times New Roman"/>
              </w:rPr>
              <w:t>行道树及绿地养护：包括但不限于地被植物，灌木，乔木等一切植被养护（含施肥、除虫、修剪、浇水等），死苗补种，垃圾清运及处置，场地保洁，除草、花坛、树池修复，黄土回填等，维护绿化区域内的公共设施的正常使用。</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36" w:type="dxa"/>
            <w:gridSpan w:val="8"/>
            <w:noWrap w:val="0"/>
            <w:vAlign w:val="center"/>
          </w:tcPr>
          <w:p>
            <w:pPr>
              <w:spacing w:line="380" w:lineRule="exact"/>
              <w:contextualSpacing/>
              <w:jc w:val="left"/>
              <w:outlineLvl w:val="1"/>
              <w:rPr>
                <w:rFonts w:hint="eastAsia" w:ascii="Times New Roman" w:hAnsi="Times New Roman"/>
              </w:rPr>
            </w:pPr>
            <w:r>
              <w:rPr>
                <w:rFonts w:hint="eastAsia" w:ascii="Times New Roman" w:hAnsi="Times New Roman"/>
              </w:rPr>
              <w:t>公园绿地专项巡视：包含病虫害防治巡视、水面巡视、治安巡视、防火巡视、动植物资源调查等巡视</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6" w:type="dxa"/>
            <w:gridSpan w:val="8"/>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小计</w:t>
            </w:r>
          </w:p>
        </w:tc>
        <w:tc>
          <w:tcPr>
            <w:tcW w:w="1336" w:type="dxa"/>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w:t>
            </w:r>
            <w:r>
              <w:rPr>
                <w:rFonts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9"/>
            <w:noWrap w:val="0"/>
            <w:vAlign w:val="center"/>
          </w:tcPr>
          <w:p>
            <w:pPr>
              <w:spacing w:line="380" w:lineRule="exact"/>
              <w:contextualSpacing/>
              <w:jc w:val="center"/>
              <w:outlineLvl w:val="1"/>
              <w:rPr>
                <w:rFonts w:hint="eastAsia" w:ascii="Times New Roman" w:hAnsi="Times New Roman"/>
                <w:b/>
                <w:szCs w:val="21"/>
              </w:rPr>
            </w:pPr>
            <w:r>
              <w:rPr>
                <w:rFonts w:hint="eastAsia" w:ascii="Times New Roman" w:hAnsi="Times New Roman"/>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95" w:type="dxa"/>
            <w:gridSpan w:val="4"/>
            <w:noWrap w:val="0"/>
            <w:vAlign w:val="center"/>
          </w:tcPr>
          <w:p>
            <w:pPr>
              <w:spacing w:line="380" w:lineRule="exact"/>
              <w:contextualSpacing/>
              <w:jc w:val="center"/>
              <w:rPr>
                <w:rFonts w:ascii="Times New Roman" w:hAnsi="Times New Roman" w:cs="宋体"/>
                <w:szCs w:val="21"/>
              </w:rPr>
            </w:pPr>
            <w:r>
              <w:rPr>
                <w:rFonts w:hint="eastAsia" w:ascii="Times New Roman" w:hAnsi="Times New Roman"/>
                <w:szCs w:val="21"/>
              </w:rPr>
              <w:t>车辆类型</w:t>
            </w:r>
          </w:p>
        </w:tc>
        <w:tc>
          <w:tcPr>
            <w:tcW w:w="2417" w:type="dxa"/>
            <w:noWrap w:val="0"/>
            <w:vAlign w:val="center"/>
          </w:tcPr>
          <w:p>
            <w:pPr>
              <w:spacing w:line="380" w:lineRule="exact"/>
              <w:contextualSpacing/>
              <w:jc w:val="center"/>
              <w:rPr>
                <w:rFonts w:ascii="Times New Roman" w:hAnsi="Times New Roman" w:cs="宋体"/>
                <w:szCs w:val="21"/>
              </w:rPr>
            </w:pPr>
            <w:r>
              <w:rPr>
                <w:rFonts w:hint="eastAsia" w:ascii="Times New Roman" w:hAnsi="Times New Roman"/>
                <w:szCs w:val="21"/>
              </w:rPr>
              <w:t xml:space="preserve"> 作业时间（小时）</w:t>
            </w:r>
          </w:p>
        </w:tc>
        <w:tc>
          <w:tcPr>
            <w:tcW w:w="3124" w:type="dxa"/>
            <w:gridSpan w:val="3"/>
            <w:noWrap w:val="0"/>
            <w:vAlign w:val="center"/>
          </w:tcPr>
          <w:p>
            <w:pPr>
              <w:spacing w:line="380" w:lineRule="exact"/>
              <w:contextualSpacing/>
              <w:jc w:val="center"/>
              <w:rPr>
                <w:rFonts w:hint="eastAsia" w:ascii="Times New Roman" w:hAnsi="Times New Roman"/>
                <w:szCs w:val="21"/>
              </w:rPr>
            </w:pPr>
            <w:r>
              <w:rPr>
                <w:rFonts w:hint="eastAsia" w:ascii="Times New Roman" w:hAnsi="Times New Roman"/>
                <w:szCs w:val="21"/>
              </w:rPr>
              <w:t>车辆数量</w:t>
            </w:r>
          </w:p>
          <w:p>
            <w:pPr>
              <w:spacing w:line="380" w:lineRule="exact"/>
              <w:contextualSpacing/>
              <w:jc w:val="center"/>
              <w:rPr>
                <w:rFonts w:ascii="Times New Roman" w:hAnsi="Times New Roman" w:cs="宋体"/>
                <w:szCs w:val="21"/>
              </w:rPr>
            </w:pPr>
            <w:r>
              <w:rPr>
                <w:rFonts w:hint="eastAsia" w:ascii="Times New Roman" w:hAnsi="Times New Roman"/>
                <w:szCs w:val="21"/>
              </w:rPr>
              <w:t>（辆）</w:t>
            </w:r>
          </w:p>
        </w:tc>
        <w:tc>
          <w:tcPr>
            <w:tcW w:w="1336" w:type="dxa"/>
            <w:noWrap w:val="0"/>
            <w:vAlign w:val="center"/>
          </w:tcPr>
          <w:p>
            <w:pPr>
              <w:spacing w:line="380" w:lineRule="exact"/>
              <w:contextualSpacing/>
              <w:jc w:val="center"/>
              <w:rPr>
                <w:rFonts w:ascii="Times New Roman" w:hAnsi="Times New Roman" w:cs="宋体"/>
                <w:szCs w:val="21"/>
              </w:rPr>
            </w:pPr>
            <w:r>
              <w:rPr>
                <w:rFonts w:hint="eastAsia" w:ascii="Times New Roman" w:hAnsi="Times New Roman" w:cs="宋体"/>
                <w:szCs w:val="21"/>
              </w:rPr>
              <w:t>驾驶员数量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洒水车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c>
          <w:tcPr>
            <w:tcW w:w="1336" w:type="dxa"/>
            <w:vMerge w:val="restart"/>
            <w:noWrap w:val="0"/>
            <w:vAlign w:val="center"/>
          </w:tcPr>
          <w:p>
            <w:pPr>
              <w:spacing w:line="380" w:lineRule="exact"/>
              <w:contextualSpacing/>
              <w:jc w:val="center"/>
              <w:rPr>
                <w:rFonts w:hint="eastAsia" w:ascii="Times New Roman" w:hAnsi="Times New Roman"/>
                <w:szCs w:val="21"/>
              </w:rPr>
            </w:pPr>
            <w:r>
              <w:rPr>
                <w:rFonts w:hint="eastAsia" w:ascii="Times New Roman" w:hAnsi="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洒水车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吸污车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1</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桶装车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桶装车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洗扫车（8T）</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压缩式垃圾车（8T）</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5</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车厢可卸式勾臂车</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rPr>
                <w:rFonts w:ascii="Times New Roman" w:hAnsi="Times New Roman"/>
                <w:szCs w:val="21"/>
              </w:rPr>
            </w:pPr>
            <w:r>
              <w:rPr>
                <w:rFonts w:hint="eastAsia" w:ascii="Times New Roman" w:hAnsi="Times New Roman"/>
                <w:szCs w:val="21"/>
              </w:rPr>
              <w:t>压缩式（厨余）垃圾车（3T）</w:t>
            </w:r>
          </w:p>
        </w:tc>
        <w:tc>
          <w:tcPr>
            <w:tcW w:w="2417" w:type="dxa"/>
            <w:noWrap w:val="0"/>
            <w:vAlign w:val="center"/>
          </w:tcPr>
          <w:p>
            <w:pPr>
              <w:spacing w:line="380" w:lineRule="exact"/>
              <w:contextualSpacing/>
              <w:jc w:val="center"/>
              <w:outlineLvl w:val="1"/>
              <w:rPr>
                <w:rFonts w:hint="eastAsia" w:ascii="Times New Roman" w:hAnsi="Times New Roman"/>
                <w:szCs w:val="21"/>
              </w:rPr>
            </w:pPr>
          </w:p>
        </w:tc>
        <w:tc>
          <w:tcPr>
            <w:tcW w:w="3124" w:type="dxa"/>
            <w:gridSpan w:val="3"/>
            <w:noWrap w:val="0"/>
            <w:vAlign w:val="center"/>
          </w:tcPr>
          <w:p>
            <w:pPr>
              <w:spacing w:line="400" w:lineRule="exact"/>
              <w:jc w:val="center"/>
              <w:outlineLvl w:val="1"/>
              <w:rPr>
                <w:rFonts w:ascii="Times New Roman" w:hAnsi="Times New Roman"/>
                <w:szCs w:val="21"/>
              </w:rPr>
            </w:pPr>
            <w:r>
              <w:rPr>
                <w:rFonts w:hint="eastAsia" w:ascii="Times New Roman" w:hAnsi="Times New Roman"/>
                <w:szCs w:val="21"/>
              </w:rPr>
              <w:t>2</w:t>
            </w:r>
          </w:p>
        </w:tc>
        <w:tc>
          <w:tcPr>
            <w:tcW w:w="1336" w:type="dxa"/>
            <w:vMerge w:val="continue"/>
            <w:noWrap w:val="0"/>
            <w:vAlign w:val="center"/>
          </w:tcPr>
          <w:p>
            <w:pPr>
              <w:spacing w:line="380" w:lineRule="exact"/>
              <w:contextualSpacing/>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6" w:type="dxa"/>
            <w:gridSpan w:val="8"/>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小计</w:t>
            </w:r>
          </w:p>
        </w:tc>
        <w:tc>
          <w:tcPr>
            <w:tcW w:w="1336" w:type="dxa"/>
            <w:noWrap w:val="0"/>
            <w:vAlign w:val="center"/>
          </w:tcPr>
          <w:p>
            <w:pPr>
              <w:spacing w:line="380" w:lineRule="exact"/>
              <w:contextualSpacing/>
              <w:jc w:val="center"/>
              <w:rPr>
                <w:rFonts w:hint="eastAsia" w:ascii="Times New Roman" w:hAnsi="Times New Roman"/>
                <w:szCs w:val="21"/>
              </w:rPr>
            </w:pPr>
            <w:r>
              <w:rPr>
                <w:rFonts w:hint="eastAsia" w:ascii="Times New Roman" w:hAnsi="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72" w:type="dxa"/>
            <w:gridSpan w:val="9"/>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 w:val="22"/>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项目经理</w:t>
            </w:r>
          </w:p>
        </w:tc>
        <w:tc>
          <w:tcPr>
            <w:tcW w:w="5541" w:type="dxa"/>
            <w:gridSpan w:val="4"/>
            <w:noWrap w:val="0"/>
            <w:vAlign w:val="center"/>
          </w:tcPr>
          <w:p>
            <w:pPr>
              <w:spacing w:line="240" w:lineRule="exact"/>
              <w:contextualSpacing/>
              <w:jc w:val="left"/>
              <w:outlineLvl w:val="1"/>
              <w:rPr>
                <w:rFonts w:hint="eastAsia" w:ascii="Times New Roman" w:hAnsi="Times New Roman"/>
                <w:sz w:val="22"/>
              </w:rPr>
            </w:pPr>
            <w:r>
              <w:rPr>
                <w:rFonts w:hint="eastAsia" w:ascii="Times New Roman" w:hAnsi="Times New Roman"/>
                <w:b/>
                <w:szCs w:val="21"/>
              </w:rPr>
              <w:t>★</w:t>
            </w:r>
            <w:r>
              <w:rPr>
                <w:rFonts w:hint="eastAsia" w:ascii="Times New Roman" w:hAnsi="Times New Roman"/>
                <w:sz w:val="22"/>
              </w:rPr>
              <w:t>要求45周岁（含）以下，本科及以上学历，且具有中级及以上职称。（提供项目经理身份证、有效职称证书、学历证书或学信网证明、近3个月社保缴纳证明或其他相关身份证明）</w:t>
            </w:r>
          </w:p>
        </w:tc>
        <w:tc>
          <w:tcPr>
            <w:tcW w:w="1336" w:type="dxa"/>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w:t>
            </w:r>
            <w:r>
              <w:rPr>
                <w:rFonts w:hint="eastAsia" w:ascii="Times New Roman" w:hAnsi="Times New Roman"/>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95" w:type="dxa"/>
            <w:gridSpan w:val="4"/>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内勤</w:t>
            </w:r>
          </w:p>
        </w:tc>
        <w:tc>
          <w:tcPr>
            <w:tcW w:w="5541" w:type="dxa"/>
            <w:gridSpan w:val="4"/>
            <w:noWrap w:val="0"/>
            <w:vAlign w:val="center"/>
          </w:tcPr>
          <w:p>
            <w:pPr>
              <w:spacing w:line="380" w:lineRule="exact"/>
              <w:contextualSpacing/>
              <w:jc w:val="center"/>
              <w:outlineLvl w:val="1"/>
              <w:rPr>
                <w:rFonts w:hint="eastAsia" w:ascii="Times New Roman" w:hAnsi="Times New Roman"/>
                <w:sz w:val="22"/>
              </w:rPr>
            </w:pPr>
          </w:p>
        </w:tc>
        <w:tc>
          <w:tcPr>
            <w:tcW w:w="1336" w:type="dxa"/>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w:t>
            </w:r>
            <w:r>
              <w:rPr>
                <w:rFonts w:hint="eastAsia" w:ascii="Times New Roman" w:hAnsi="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95" w:type="dxa"/>
            <w:gridSpan w:val="4"/>
            <w:noWrap w:val="0"/>
            <w:vAlign w:val="center"/>
          </w:tcPr>
          <w:p>
            <w:pPr>
              <w:spacing w:line="380" w:lineRule="exact"/>
              <w:contextualSpacing/>
              <w:jc w:val="center"/>
              <w:outlineLvl w:val="1"/>
              <w:rPr>
                <w:rFonts w:hint="eastAsia" w:ascii="Times New Roman" w:hAnsi="Times New Roman"/>
                <w:szCs w:val="21"/>
              </w:rPr>
            </w:pPr>
            <w:r>
              <w:rPr>
                <w:rFonts w:hint="eastAsia" w:ascii="Times New Roman" w:hAnsi="Times New Roman"/>
                <w:szCs w:val="21"/>
              </w:rPr>
              <w:t>考核人员</w:t>
            </w:r>
          </w:p>
        </w:tc>
        <w:tc>
          <w:tcPr>
            <w:tcW w:w="5541" w:type="dxa"/>
            <w:gridSpan w:val="4"/>
            <w:noWrap w:val="0"/>
            <w:vAlign w:val="center"/>
          </w:tcPr>
          <w:p>
            <w:pPr>
              <w:spacing w:line="380" w:lineRule="exact"/>
              <w:contextualSpacing/>
              <w:jc w:val="center"/>
              <w:outlineLvl w:val="1"/>
              <w:rPr>
                <w:rFonts w:hint="eastAsia" w:ascii="Times New Roman" w:hAnsi="Times New Roman"/>
                <w:sz w:val="22"/>
              </w:rPr>
            </w:pPr>
          </w:p>
        </w:tc>
        <w:tc>
          <w:tcPr>
            <w:tcW w:w="1336" w:type="dxa"/>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w:t>
            </w:r>
            <w:r>
              <w:rPr>
                <w:rFonts w:hint="eastAsia" w:ascii="Times New Roman" w:hAnsi="Times New Roman"/>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6" w:type="dxa"/>
            <w:gridSpan w:val="8"/>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小计</w:t>
            </w:r>
          </w:p>
        </w:tc>
        <w:tc>
          <w:tcPr>
            <w:tcW w:w="1336" w:type="dxa"/>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w:t>
            </w:r>
            <w:r>
              <w:rPr>
                <w:rFonts w:hint="eastAsia" w:ascii="Times New Roman" w:hAnsi="Times New Roman"/>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36" w:type="dxa"/>
            <w:gridSpan w:val="8"/>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 w:val="22"/>
              </w:rPr>
              <w:t>合计</w:t>
            </w:r>
          </w:p>
        </w:tc>
        <w:tc>
          <w:tcPr>
            <w:tcW w:w="1336" w:type="dxa"/>
            <w:noWrap w:val="0"/>
            <w:vAlign w:val="center"/>
          </w:tcPr>
          <w:p>
            <w:pPr>
              <w:spacing w:line="380" w:lineRule="exact"/>
              <w:contextualSpacing/>
              <w:jc w:val="center"/>
              <w:rPr>
                <w:rFonts w:hint="eastAsia" w:ascii="Times New Roman" w:hAnsi="Times New Roman"/>
                <w:sz w:val="22"/>
              </w:rPr>
            </w:pPr>
            <w:r>
              <w:rPr>
                <w:rFonts w:hint="eastAsia" w:ascii="Times New Roman" w:hAnsi="Times New Roman"/>
                <w:szCs w:val="21"/>
              </w:rPr>
              <w:t>≥</w:t>
            </w:r>
            <w:r>
              <w:rPr>
                <w:rFonts w:ascii="Times New Roman" w:hAnsi="Times New Roman"/>
                <w:szCs w:val="21"/>
              </w:rPr>
              <w:t>180</w:t>
            </w:r>
          </w:p>
        </w:tc>
      </w:tr>
    </w:tbl>
    <w:p>
      <w:pPr>
        <w:spacing w:line="360" w:lineRule="auto"/>
        <w:ind w:firstLine="422" w:firstLineChars="200"/>
        <w:contextualSpacing/>
        <w:outlineLvl w:val="1"/>
        <w:rPr>
          <w:rFonts w:hint="eastAsia"/>
          <w:b/>
          <w:szCs w:val="21"/>
        </w:rPr>
      </w:pPr>
      <w:r>
        <w:rPr>
          <w:rFonts w:hint="eastAsia"/>
          <w:b/>
          <w:szCs w:val="21"/>
        </w:rPr>
        <w:t>★1、投标人必须按不少于上述人员的数量进行配置，否则作无效标处理；作业人员男性年龄原则上应在60周岁以下，女性年龄应在55周岁以下。大型活动和节假日等应根据实际情况增派保洁人员，以确保清卫保洁质量，增派人员的费用应考虑在投标总报价中。上述人员中除管理人员外，允许在中标通知书发出之日起1个月内配置完成并报采购人处备案，投标时要求在投标文件 “技术条款偏离表”中作出实质性响应，未响应的视作无效标；管理人员要求为投标人目前正式在职员工，投标文件中提供投标人为管理人员缴纳的近开标日3个月的有效社保证明</w:t>
      </w:r>
      <w:r>
        <w:rPr>
          <w:rFonts w:hint="eastAsia"/>
          <w:sz w:val="22"/>
        </w:rPr>
        <w:t>或其他相关身份证明</w:t>
      </w:r>
      <w:r>
        <w:rPr>
          <w:rFonts w:hint="eastAsia"/>
          <w:b/>
          <w:szCs w:val="21"/>
        </w:rPr>
        <w:t>复印件加盖公章，原件备查。</w:t>
      </w:r>
    </w:p>
    <w:p>
      <w:pPr>
        <w:spacing w:line="360" w:lineRule="auto"/>
        <w:ind w:firstLine="422" w:firstLineChars="200"/>
        <w:contextualSpacing/>
        <w:jc w:val="left"/>
        <w:rPr>
          <w:rFonts w:hint="eastAsia"/>
          <w:b/>
        </w:rPr>
      </w:pPr>
      <w:r>
        <w:rPr>
          <w:rFonts w:hint="eastAsia"/>
          <w:b/>
          <w:szCs w:val="21"/>
        </w:rPr>
        <w:t>2、</w:t>
      </w:r>
      <w:r>
        <w:rPr>
          <w:rFonts w:hint="eastAsia"/>
          <w:bCs/>
          <w:szCs w:val="21"/>
        </w:rPr>
        <w:t>采购人与中标人签订合同后，中标人必须为每位符合国家规定社保（城镇职工养老保险、医疗保险、工伤保险、生育保险、失业保险等各类保险）条件的职工参加保险，并对全体作业员工购买人身意外伤害保险（或类似险种）。</w:t>
      </w:r>
    </w:p>
    <w:p>
      <w:pPr>
        <w:widowControl/>
        <w:spacing w:line="360" w:lineRule="auto"/>
        <w:ind w:right="-44" w:rightChars="-21" w:firstLine="420" w:firstLineChars="200"/>
        <w:contextualSpacing/>
        <w:jc w:val="left"/>
        <w:rPr>
          <w:rFonts w:hint="eastAsia"/>
          <w:kern w:val="0"/>
          <w:szCs w:val="21"/>
        </w:rPr>
      </w:pPr>
      <w:r>
        <w:rPr>
          <w:rFonts w:hint="eastAsia"/>
          <w:bCs/>
          <w:szCs w:val="21"/>
        </w:rPr>
        <w:t>3、规范作业：保洁作业人员配证上岗，作业期间穿反光安全服装；在作业期间内，不集聚闲聊，工作休息时间不超过10分钟；作业期内不做与作业无关的事；车辆停放遵守交通法规；垃圾</w:t>
      </w:r>
      <w:r>
        <w:rPr>
          <w:rFonts w:hint="eastAsia"/>
          <w:kern w:val="0"/>
          <w:szCs w:val="21"/>
        </w:rPr>
        <w:t>运输实行密闭，不得超高运输和吊挂杂物；严禁作业人员擅自向责任区内单位收取各种费用。</w:t>
      </w:r>
    </w:p>
    <w:p>
      <w:pPr>
        <w:spacing w:line="360" w:lineRule="auto"/>
        <w:contextualSpacing/>
        <w:outlineLvl w:val="1"/>
        <w:rPr>
          <w:rFonts w:hint="eastAsia"/>
          <w:b/>
          <w:szCs w:val="21"/>
        </w:rPr>
      </w:pPr>
      <w:r>
        <w:rPr>
          <w:rFonts w:hint="eastAsia"/>
          <w:b/>
          <w:szCs w:val="21"/>
        </w:rPr>
        <w:t>（六）其他要求：</w:t>
      </w:r>
    </w:p>
    <w:p>
      <w:pPr>
        <w:widowControl/>
        <w:spacing w:line="360" w:lineRule="auto"/>
        <w:ind w:right="-44" w:rightChars="-21" w:firstLine="422" w:firstLineChars="200"/>
        <w:contextualSpacing/>
        <w:jc w:val="left"/>
        <w:rPr>
          <w:rFonts w:hint="eastAsia"/>
          <w:bCs/>
          <w:kern w:val="32"/>
          <w:szCs w:val="32"/>
        </w:rPr>
      </w:pPr>
      <w:r>
        <w:rPr>
          <w:rFonts w:hint="eastAsia"/>
          <w:b/>
          <w:szCs w:val="21"/>
        </w:rPr>
        <w:t>★1、</w:t>
      </w:r>
      <w:r>
        <w:rPr>
          <w:rFonts w:hint="eastAsia" w:cs="宋体"/>
          <w:kern w:val="0"/>
          <w:szCs w:val="21"/>
        </w:rPr>
        <w:t>本项目要求实现智慧环卫管控，要求投标人具有可满足采购人要求的智慧环卫管控系统。中标人须</w:t>
      </w:r>
      <w:r>
        <w:rPr>
          <w:rFonts w:hint="eastAsia"/>
          <w:b/>
          <w:bCs/>
          <w:kern w:val="32"/>
          <w:szCs w:val="32"/>
        </w:rPr>
        <w:t>中标通知书发出后二十天内提供满足要求的智慧环卫管控系统，通报采购人组织验收。按时验收合格的签订履约合同；逾期或不符合要求的采购人有权拒绝签订履约合同，且中标人被视为无正当理由弃标。</w:t>
      </w:r>
      <w:r>
        <w:rPr>
          <w:rFonts w:hint="eastAsia"/>
          <w:b/>
          <w:szCs w:val="21"/>
        </w:rPr>
        <w:t>投标时要求在投标文件 “技术条款偏离表”中作出实质性响应，未响应的视作无效标。</w:t>
      </w:r>
    </w:p>
    <w:p>
      <w:pPr>
        <w:widowControl/>
        <w:spacing w:line="360" w:lineRule="auto"/>
        <w:ind w:firstLine="420" w:firstLineChars="200"/>
        <w:contextualSpacing/>
        <w:rPr>
          <w:bCs/>
          <w:szCs w:val="21"/>
        </w:rPr>
      </w:pPr>
      <w:r>
        <w:rPr>
          <w:rFonts w:hint="eastAsia"/>
          <w:bCs/>
          <w:szCs w:val="21"/>
        </w:rPr>
        <w:t>系统要求如下：</w:t>
      </w:r>
    </w:p>
    <w:p>
      <w:pPr>
        <w:widowControl/>
        <w:spacing w:line="360" w:lineRule="auto"/>
        <w:ind w:firstLine="420" w:firstLineChars="200"/>
        <w:contextualSpacing/>
        <w:rPr>
          <w:rFonts w:hint="eastAsia" w:cs="ËÎÌå"/>
          <w:bCs/>
          <w:kern w:val="0"/>
          <w:szCs w:val="21"/>
        </w:rPr>
      </w:pPr>
      <w:r>
        <w:rPr>
          <w:rFonts w:hint="eastAsia"/>
          <w:bCs/>
          <w:szCs w:val="21"/>
        </w:rPr>
        <w:t>①</w:t>
      </w:r>
      <w:r>
        <w:rPr>
          <w:rFonts w:hint="eastAsia" w:cs="宋体"/>
          <w:bCs/>
          <w:kern w:val="0"/>
          <w:szCs w:val="21"/>
        </w:rPr>
        <w:t>系统</w:t>
      </w:r>
      <w:r>
        <w:rPr>
          <w:rFonts w:hint="eastAsia"/>
          <w:bCs/>
          <w:kern w:val="0"/>
          <w:szCs w:val="21"/>
        </w:rPr>
        <w:t>应用及后台管理程序应实现的核心功能：</w:t>
      </w:r>
      <w:r>
        <w:rPr>
          <w:rFonts w:cs="ËÎÌå"/>
          <w:bCs/>
          <w:kern w:val="0"/>
          <w:szCs w:val="21"/>
        </w:rPr>
        <w:t>1）提供</w:t>
      </w:r>
      <w:r>
        <w:rPr>
          <w:rFonts w:hint="eastAsia" w:cs="ËÎÌå"/>
          <w:bCs/>
          <w:kern w:val="0"/>
          <w:szCs w:val="21"/>
        </w:rPr>
        <w:t>作业</w:t>
      </w:r>
      <w:r>
        <w:rPr>
          <w:rFonts w:cs="ËÎÌå"/>
          <w:bCs/>
          <w:kern w:val="0"/>
          <w:szCs w:val="21"/>
        </w:rPr>
        <w:t>人员位置信息服务；</w:t>
      </w:r>
      <w:r>
        <w:rPr>
          <w:rFonts w:hint="eastAsia" w:cs="ËÎÌå"/>
          <w:bCs/>
          <w:kern w:val="0"/>
          <w:szCs w:val="21"/>
        </w:rPr>
        <w:t>2</w:t>
      </w:r>
      <w:r>
        <w:rPr>
          <w:rFonts w:cs="ËÎÌå"/>
          <w:bCs/>
          <w:kern w:val="0"/>
          <w:szCs w:val="21"/>
        </w:rPr>
        <w:t>）电子签到功能：当</w:t>
      </w:r>
      <w:r>
        <w:rPr>
          <w:rFonts w:hint="eastAsia" w:cs="ËÎÌå"/>
          <w:bCs/>
          <w:kern w:val="0"/>
          <w:szCs w:val="21"/>
        </w:rPr>
        <w:t>作业人员到达作业位置时，通过近场通讯技术进行签到，</w:t>
      </w:r>
      <w:r>
        <w:rPr>
          <w:rFonts w:cs="ËÎÌå"/>
          <w:bCs/>
          <w:kern w:val="0"/>
          <w:szCs w:val="21"/>
        </w:rPr>
        <w:t>系统记录下时间、地点等，并进行考核和统计</w:t>
      </w:r>
      <w:r>
        <w:rPr>
          <w:rFonts w:hint="eastAsia" w:cs="ËÎÌå"/>
          <w:bCs/>
          <w:kern w:val="0"/>
          <w:szCs w:val="21"/>
        </w:rPr>
        <w:t>；3</w:t>
      </w:r>
      <w:r>
        <w:rPr>
          <w:rFonts w:cs="ËÎÌå"/>
          <w:bCs/>
          <w:kern w:val="0"/>
          <w:szCs w:val="21"/>
        </w:rPr>
        <w:t>）</w:t>
      </w:r>
      <w:r>
        <w:rPr>
          <w:rFonts w:hint="eastAsia" w:cs="ËÎÌå"/>
          <w:bCs/>
          <w:kern w:val="0"/>
          <w:szCs w:val="21"/>
        </w:rPr>
        <w:t>实现</w:t>
      </w:r>
      <w:r>
        <w:rPr>
          <w:rFonts w:hint="eastAsia"/>
          <w:szCs w:val="21"/>
        </w:rPr>
        <w:t>对于保洁养护区域的实时监控。</w:t>
      </w:r>
    </w:p>
    <w:p>
      <w:pPr>
        <w:pStyle w:val="104"/>
        <w:widowControl/>
        <w:spacing w:line="360" w:lineRule="auto"/>
        <w:contextualSpacing/>
        <w:rPr>
          <w:rFonts w:hint="eastAsia"/>
          <w:kern w:val="0"/>
          <w:szCs w:val="21"/>
        </w:rPr>
      </w:pPr>
      <w:r>
        <w:rPr>
          <w:rFonts w:hint="eastAsia"/>
          <w:bCs/>
          <w:kern w:val="0"/>
          <w:szCs w:val="21"/>
        </w:rPr>
        <w:t>③其他要求：1）</w:t>
      </w:r>
      <w:r>
        <w:rPr>
          <w:rFonts w:hint="eastAsia"/>
          <w:szCs w:val="21"/>
        </w:rPr>
        <w:t>对于区域服务对象（五乡镇居民）提供便捷的在线服务窗口；2）</w:t>
      </w:r>
      <w:r>
        <w:rPr>
          <w:rFonts w:hint="eastAsia"/>
          <w:kern w:val="0"/>
          <w:szCs w:val="21"/>
        </w:rPr>
        <w:t>为采购人管理人员开设系统账户，使采购人管理人员通过系统远程管理和监督保洁养护工作。</w:t>
      </w:r>
    </w:p>
    <w:p>
      <w:pPr>
        <w:spacing w:line="360" w:lineRule="auto"/>
        <w:ind w:firstLine="420" w:firstLineChars="200"/>
        <w:contextualSpacing/>
        <w:outlineLvl w:val="1"/>
        <w:rPr>
          <w:rFonts w:hint="eastAsia"/>
          <w:bCs/>
          <w:szCs w:val="21"/>
        </w:rPr>
      </w:pPr>
      <w:r>
        <w:rPr>
          <w:rFonts w:hint="eastAsia"/>
        </w:rPr>
        <w:t>2、</w:t>
      </w:r>
      <w:r>
        <w:t>投标人必须重视安全生产工作，确保全年不出安全生产责任事故。如发生安全生产责任事故或交通事故，由投标</w:t>
      </w:r>
      <w:r>
        <w:rPr>
          <w:rFonts w:hint="eastAsia"/>
        </w:rPr>
        <w:t>单位</w:t>
      </w:r>
      <w:r>
        <w:t>承担一切责任及损失。</w:t>
      </w:r>
    </w:p>
    <w:p>
      <w:pPr>
        <w:spacing w:line="360" w:lineRule="auto"/>
        <w:ind w:firstLine="420" w:firstLineChars="200"/>
        <w:contextualSpacing/>
        <w:outlineLvl w:val="1"/>
        <w:rPr>
          <w:rFonts w:hint="eastAsia"/>
        </w:rPr>
      </w:pPr>
      <w:r>
        <w:rPr>
          <w:rFonts w:hint="eastAsia"/>
        </w:rPr>
        <w:t>3、合同期限内，本合同保洁清单中的240立升垃圾桶如发生人为减少及毁损的，中标人应予以及时补齐或修复，所需费用由中标人承担，同时中标人要加强对垃圾桶放置位置和牢固程度的检查。240立升垃圾桶更新镇区按每年约600只、垃圾中转站按每年约600只核算，费用包含在投标总价中，中标人负责垃圾桶的采购、安装；果壳箱等的更新、增添由中标人申请提出，镇环卫站进行核实确认后报采购人评估决定是否实施更新、增添，如实施，中标人负责安装。果壳箱如发生人为减少及损坏的，由中标人负责添置，费用由中标人自理。如因不可抗力（台风、洪水等）原因造成损坏，则经镇环卫站核实确认后报采购人批准添置，中标人负责安装。</w:t>
      </w:r>
    </w:p>
    <w:p>
      <w:pPr>
        <w:spacing w:line="360" w:lineRule="auto"/>
        <w:ind w:firstLine="420" w:firstLineChars="200"/>
        <w:contextualSpacing/>
        <w:outlineLvl w:val="1"/>
        <w:rPr>
          <w:rFonts w:hint="eastAsia"/>
        </w:rPr>
      </w:pPr>
      <w:r>
        <w:rPr>
          <w:rFonts w:hint="eastAsia"/>
        </w:rPr>
        <w:t>4、中标人应定期向采购人提供保洁管理计划及有关措施，按要求及时向采购人上报各类报表及数据，以便采购人进行监督考核。</w:t>
      </w:r>
    </w:p>
    <w:p>
      <w:pPr>
        <w:spacing w:line="360" w:lineRule="auto"/>
        <w:ind w:firstLine="420" w:firstLineChars="200"/>
        <w:contextualSpacing/>
        <w:outlineLvl w:val="1"/>
        <w:rPr>
          <w:rFonts w:hint="eastAsia"/>
        </w:rPr>
      </w:pPr>
      <w:r>
        <w:rPr>
          <w:rFonts w:hint="eastAsia"/>
        </w:rPr>
        <w:t>5、中标人在搞好日常保洁、清运等工作的同时，必须配合采购人参加市、区布置的各项节目或重大活动的临时布置任务。</w:t>
      </w:r>
    </w:p>
    <w:p>
      <w:pPr>
        <w:spacing w:line="360" w:lineRule="auto"/>
        <w:ind w:firstLine="420" w:firstLineChars="200"/>
        <w:contextualSpacing/>
        <w:outlineLvl w:val="1"/>
        <w:rPr>
          <w:rFonts w:hint="eastAsia"/>
        </w:rPr>
      </w:pPr>
      <w:r>
        <w:rPr>
          <w:rFonts w:hint="eastAsia"/>
        </w:rPr>
        <w:t>6、中标人不得无故拖欠本项目配置员工的工资，否则采购人有权终止拨付服务经费。</w:t>
      </w:r>
    </w:p>
    <w:p>
      <w:pPr>
        <w:spacing w:line="360" w:lineRule="auto"/>
        <w:ind w:firstLine="420" w:firstLineChars="200"/>
        <w:contextualSpacing/>
        <w:outlineLvl w:val="1"/>
        <w:rPr>
          <w:rFonts w:hint="eastAsia"/>
        </w:rPr>
      </w:pPr>
      <w:r>
        <w:rPr>
          <w:rFonts w:hint="eastAsia"/>
        </w:rPr>
        <w:t>7、中标人要加强员工教育，防止出现偷窃垃圾桶卖给企事业单位的现象，如经查实有该现象，除重新添置垃圾桶外另按损失额的5倍进行罚款。</w:t>
      </w:r>
    </w:p>
    <w:p>
      <w:pPr>
        <w:spacing w:line="360" w:lineRule="auto"/>
        <w:ind w:firstLine="420" w:firstLineChars="200"/>
        <w:contextualSpacing/>
        <w:outlineLvl w:val="1"/>
        <w:rPr>
          <w:rFonts w:hint="eastAsia"/>
        </w:rPr>
      </w:pPr>
      <w:r>
        <w:rPr>
          <w:rFonts w:hint="eastAsia"/>
        </w:rPr>
        <w:t>8、本项目实施过程所需的一切劳动力、材料、设备和服务与管理由中标人自行负责，所需费用由中标人承担。</w:t>
      </w:r>
    </w:p>
    <w:p>
      <w:pPr>
        <w:spacing w:line="360" w:lineRule="auto"/>
        <w:ind w:firstLine="420" w:firstLineChars="200"/>
        <w:contextualSpacing/>
        <w:outlineLvl w:val="1"/>
        <w:rPr>
          <w:rFonts w:hint="eastAsia"/>
        </w:rPr>
      </w:pPr>
      <w:r>
        <w:rPr>
          <w:rFonts w:hint="eastAsia"/>
        </w:rPr>
        <w:t>9、承包期间如发生道路面积变化或其他保洁范围增减引起的费用调整，由采购人确认同意后按实结算。</w:t>
      </w:r>
    </w:p>
    <w:p>
      <w:pPr>
        <w:spacing w:line="360" w:lineRule="auto"/>
        <w:ind w:firstLine="420" w:firstLineChars="200"/>
        <w:contextualSpacing/>
        <w:outlineLvl w:val="1"/>
        <w:rPr>
          <w:rFonts w:hint="eastAsia"/>
        </w:rPr>
      </w:pPr>
      <w:r>
        <w:rPr>
          <w:rFonts w:hint="eastAsia"/>
        </w:rPr>
        <w:t>10、因自然灾害等不可抗力因素造成经济损失的，由双方共同协商妥善处理。</w:t>
      </w:r>
    </w:p>
    <w:p>
      <w:pPr>
        <w:spacing w:line="360" w:lineRule="auto"/>
        <w:ind w:firstLine="420" w:firstLineChars="200"/>
        <w:contextualSpacing/>
        <w:outlineLvl w:val="1"/>
        <w:rPr>
          <w:rFonts w:hint="eastAsia"/>
        </w:rPr>
      </w:pPr>
      <w:r>
        <w:rPr>
          <w:rFonts w:hint="eastAsia"/>
        </w:rPr>
        <w:t>11、承包期间如发生施工开挖或其他人为原因对道路保洁质量造成影响的，经采购人核实同意后，中标人负责清理，所需费用由采购人核算同意后拨付。</w:t>
      </w:r>
    </w:p>
    <w:p>
      <w:pPr>
        <w:spacing w:line="360" w:lineRule="auto"/>
        <w:ind w:firstLine="420" w:firstLineChars="200"/>
        <w:contextualSpacing/>
        <w:outlineLvl w:val="1"/>
        <w:rPr>
          <w:rFonts w:hint="eastAsia"/>
        </w:rPr>
      </w:pPr>
      <w:r>
        <w:rPr>
          <w:rFonts w:hint="eastAsia"/>
        </w:rPr>
        <w:t>12、五乡镇垃圾清运的目的地为洞桥镇宁波</w:t>
      </w:r>
      <w:r>
        <w:t>明州能源环境有限公司</w:t>
      </w:r>
      <w:r>
        <w:rPr>
          <w:rFonts w:hint="eastAsia"/>
        </w:rPr>
        <w:t>；如需运至其他填埋场，根据运输距离的增加（或减少）的费用，该增减费用不再调整。</w:t>
      </w:r>
    </w:p>
    <w:p>
      <w:pPr>
        <w:spacing w:line="360" w:lineRule="auto"/>
        <w:ind w:firstLine="420" w:firstLineChars="200"/>
        <w:contextualSpacing/>
        <w:jc w:val="left"/>
        <w:rPr>
          <w:rFonts w:hint="eastAsia"/>
        </w:rPr>
      </w:pPr>
      <w:r>
        <w:rPr>
          <w:rFonts w:hint="eastAsia"/>
        </w:rPr>
        <w:t>13、合同终止时中标人应妥善处理好与职工的劳动关系，及时办理好移交手续。</w:t>
      </w:r>
    </w:p>
    <w:p>
      <w:pPr>
        <w:spacing w:line="360" w:lineRule="auto"/>
        <w:contextualSpacing/>
        <w:outlineLvl w:val="1"/>
        <w:rPr>
          <w:rFonts w:hint="eastAsia"/>
          <w:b/>
          <w:szCs w:val="21"/>
        </w:rPr>
      </w:pPr>
      <w:r>
        <w:rPr>
          <w:rFonts w:hint="eastAsia"/>
          <w:b/>
          <w:szCs w:val="21"/>
        </w:rPr>
        <w:t>五、考核细则</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（一）考核范围及内容：</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范围：（1）区级公路、镇村二级道路、街道、人行道、绿化带、花坛、公园等处路面、路肩、边沟、涵洞、隧道（仅限路面）、窨井、雨水口、绿化带垃圾清扫保洁；果壳箱（桶）、保洁车和垃圾车等设施设备保洁。（2）公厕保洁；（3）垃圾清运；（4）果壳箱、垃圾桶内垃圾收集；（5）绿化养护；（6）垃圾中转站日常保洁。</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考核内容：一是作业规范执行情况，包括清扫保洁时间和清扫配车、配员、机扫频次、冲洗和洒水频次、机械化作业要求、人工作业规范、安全作业规定、环卫工具和垃圾收集点管理等；二是道路清扫保洁质量，包括白天和夜间的路面废弃物控制、道路尘土量和本色呈现率等；三是上级部门及领导督办、公众监督的处理情况，包括上级部门和领导交办问题的处理情况、新闻媒体曝光、市民投诉等。</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（二）考核标准：依据《鄞州区五乡镇环卫保洁及绿化养护作业质量标准及考核扣分标准》进行。</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（三）考核方式：</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1、考核方法：</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（1）综合考核：每月组织一次综合考核。综合考核为定期通知考核，由甲方统一组织，保洁公司项目经理陪同考核，依据《鄞州区五乡镇环卫保洁及绿化养护作业质量标准及考核扣分标准》进行考评。</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日常考核：由甲方组织巡查人员每天分二组对道路清扫保洁、公厕保洁、垃圾清运、作业管理、设备设施保洁、绿化养护质量等工作进行日常考核，在巡查考核过程中发现问题后立即拨打此标段保洁公司项目经理电话及一线保洁员现场解决，并填写《鄞州区五乡镇保洁作业巡查记录表》，对所反映的问题在当天第二次巡查时仍未整改的一律扣分，并填入《五乡镇保洁作业考核处罚单》，并要求公司项目经理在处罚通知单上签字，确认被罚事实。如公司项目经理拒绝签字的，考核人员应在处罚联和存根联上注明，并以现场拍照或摄像为准，将加重处罚。考核处罚单于月末进行汇总，填入《鄞州区五乡镇环卫保洁及绿化养护作业质量标准及考核扣分标准》月报表。</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 xml:space="preserve">（3）其他考核：其他考核包括上级领导视察、重大活动、专项活动中没有按要求落实，存在问题的；领导交办的事项不按要求落实的；媒体曝光通过核实属保洁公司责任的；市民投诉经查属实不妥善处理的。对发生以上问题的承包路段，每次扣0.2分，由甲方按照《鄞州区五乡镇环卫保洁及绿化养护作业质量标准及考核扣分标准》从该承包路段环境卫生当月的总分中直接扣分。 </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计分办法：考核采用百分制倒扣计分法，环卫保洁及绿化养护月总分为100分，其中日常考核基准分为60分，考核中每一项内容未达标按《鄞州区五乡镇环卫保洁及绿化养护作业质量标准及考核扣分标准》扣分；综合考核基准分为40分, 考核中每一项内容未达标按《鄞州区五乡镇环卫保洁及绿化养护作业质量标准及考核扣分标准》加倍扣分。</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3、评定标准：月考核95分以上视为优秀，月考核80分以上（含80分）视为合格，一年内连续3个月或累计4个月月考核分在合格以下，视为作业质量严重不达标。</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4、考核结果：考核结果作为保洁公司支付当月保洁服务费的依据。考核结果每月以通报形式报送分管领导及被考核单位。</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（四）奖罚措施</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1、落实环卫保洁扣分扣款制度</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（1）考核得分在80分（不含80分）以下的，每低于1分相应扣除当月清扫保洁费500元；70分以下的加倍扣款，即每低于1分相应扣除当月清扫保洁服务费2000元，以此类推。</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根据区级的通报和督办情况及媒体监督的情况进行处罚。凡受到区镇二级领导点名批评、通报、督办或受到报纸、电视等媒体监督曝光的，经查证属实，每宗扣款1000元，并以此类推。同时，其存在的问题仍按《鄞州区五乡镇环卫保洁及绿化养护作业质量标准及考核扣分标准》进行扣分。</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2、引入环卫外包服务竞争淘汰机制</w:t>
      </w:r>
    </w:p>
    <w:p>
      <w:pPr>
        <w:pStyle w:val="25"/>
        <w:overflowPunct/>
        <w:autoSpaceDE/>
        <w:autoSpaceDN/>
        <w:adjustRightInd/>
        <w:spacing w:line="360" w:lineRule="auto"/>
        <w:ind w:firstLine="420" w:firstLineChars="200"/>
        <w:contextualSpacing/>
        <w:jc w:val="both"/>
        <w:textAlignment w:val="auto"/>
        <w:rPr>
          <w:rFonts w:hint="eastAsia" w:ascii="Times New Roman" w:hAnsi="Times New Roman"/>
          <w:bCs/>
          <w:sz w:val="21"/>
          <w:szCs w:val="21"/>
        </w:rPr>
      </w:pPr>
      <w:r>
        <w:rPr>
          <w:rFonts w:hint="eastAsia" w:ascii="Times New Roman" w:hAnsi="Times New Roman"/>
          <w:bCs/>
          <w:sz w:val="21"/>
          <w:szCs w:val="21"/>
        </w:rPr>
        <w:t>连续3个月或同一年度内累计有4个月考核得分80分以下的清扫保洁服务企业，甲方可以按合同中约定解除合同，同时甲方可重新组织招标，以确定新的清扫保洁企业接管。</w:t>
      </w:r>
    </w:p>
    <w:p>
      <w:pPr>
        <w:pStyle w:val="25"/>
        <w:overflowPunct/>
        <w:autoSpaceDE/>
        <w:autoSpaceDN/>
        <w:adjustRightInd/>
        <w:spacing w:line="360" w:lineRule="auto"/>
        <w:contextualSpacing/>
        <w:jc w:val="both"/>
        <w:textAlignment w:val="auto"/>
        <w:rPr>
          <w:rFonts w:hint="eastAsia" w:ascii="Times New Roman" w:hAnsi="Times New Roman"/>
          <w:bCs/>
          <w:sz w:val="21"/>
          <w:szCs w:val="21"/>
        </w:rPr>
      </w:pPr>
    </w:p>
    <w:p>
      <w:pPr>
        <w:pStyle w:val="25"/>
        <w:overflowPunct/>
        <w:autoSpaceDE/>
        <w:autoSpaceDN/>
        <w:adjustRightInd/>
        <w:spacing w:line="360" w:lineRule="auto"/>
        <w:contextualSpacing/>
        <w:jc w:val="both"/>
        <w:textAlignment w:val="auto"/>
        <w:rPr>
          <w:rFonts w:hint="eastAsia" w:ascii="Times New Roman" w:hAnsi="Times New Roman"/>
          <w:bCs/>
          <w:sz w:val="21"/>
          <w:szCs w:val="21"/>
        </w:rPr>
      </w:pPr>
    </w:p>
    <w:p>
      <w:pPr>
        <w:pStyle w:val="25"/>
        <w:overflowPunct/>
        <w:autoSpaceDE/>
        <w:autoSpaceDN/>
        <w:adjustRightInd/>
        <w:spacing w:line="360" w:lineRule="auto"/>
        <w:contextualSpacing/>
        <w:jc w:val="both"/>
        <w:textAlignment w:val="auto"/>
        <w:rPr>
          <w:b/>
          <w:bCs/>
          <w:szCs w:val="21"/>
        </w:rPr>
      </w:pPr>
      <w:r>
        <w:rPr>
          <w:rFonts w:hint="eastAsia"/>
          <w:szCs w:val="21"/>
        </w:rPr>
        <w:t>附件：</w:t>
      </w:r>
      <w:r>
        <w:rPr>
          <w:rFonts w:hint="eastAsia"/>
          <w:b/>
          <w:bCs/>
          <w:szCs w:val="21"/>
        </w:rPr>
        <w:t>鄞州区五乡镇环卫保洁及绿化养护作业质量标准及考核扣分标准</w:t>
      </w:r>
    </w:p>
    <w:tbl>
      <w:tblPr>
        <w:tblStyle w:val="50"/>
        <w:tblW w:w="100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5"/>
        <w:gridCol w:w="950"/>
        <w:gridCol w:w="871"/>
        <w:gridCol w:w="3798"/>
        <w:gridCol w:w="1872"/>
        <w:gridCol w:w="851"/>
        <w:gridCol w:w="1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80" w:hRule="atLeast"/>
          <w:tblHeader/>
          <w:jc w:val="center"/>
        </w:trPr>
        <w:tc>
          <w:tcPr>
            <w:tcW w:w="645" w:type="dxa"/>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序号</w:t>
            </w:r>
          </w:p>
        </w:tc>
        <w:tc>
          <w:tcPr>
            <w:tcW w:w="1821" w:type="dxa"/>
            <w:gridSpan w:val="2"/>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工作内容</w:t>
            </w:r>
          </w:p>
        </w:tc>
        <w:tc>
          <w:tcPr>
            <w:tcW w:w="3798" w:type="dxa"/>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作业标准要求</w:t>
            </w:r>
          </w:p>
        </w:tc>
        <w:tc>
          <w:tcPr>
            <w:tcW w:w="1872" w:type="dxa"/>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扣分标准</w:t>
            </w:r>
          </w:p>
        </w:tc>
        <w:tc>
          <w:tcPr>
            <w:tcW w:w="851" w:type="dxa"/>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标准分</w:t>
            </w:r>
          </w:p>
        </w:tc>
        <w:tc>
          <w:tcPr>
            <w:tcW w:w="1103" w:type="dxa"/>
            <w:shd w:val="clear" w:color="auto" w:fill="FFFFFF"/>
            <w:noWrap w:val="0"/>
            <w:vAlign w:val="center"/>
          </w:tcPr>
          <w:p>
            <w:pPr>
              <w:spacing w:line="280" w:lineRule="exact"/>
              <w:contextualSpacing/>
              <w:jc w:val="center"/>
              <w:rPr>
                <w:rFonts w:ascii="Times New Roman" w:hAnsi="Times New Roman"/>
                <w:b/>
                <w:sz w:val="18"/>
                <w:szCs w:val="18"/>
              </w:rPr>
            </w:pPr>
            <w:r>
              <w:rPr>
                <w:rFonts w:hint="eastAsia" w:ascii="Times New Roman" w:hAnsi="Times New Roman"/>
                <w:b/>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73" w:hRule="atLeast"/>
          <w:jc w:val="center"/>
        </w:trPr>
        <w:tc>
          <w:tcPr>
            <w:tcW w:w="645"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950"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一、道路保洁</w:t>
            </w:r>
            <w:r>
              <w:rPr>
                <w:rFonts w:ascii="Times New Roman" w:hAnsi="Times New Roman"/>
                <w:sz w:val="18"/>
                <w:szCs w:val="18"/>
              </w:rPr>
              <w:t>53</w:t>
            </w:r>
            <w:r>
              <w:rPr>
                <w:rFonts w:hint="eastAsia" w:ascii="Times New Roman" w:hAnsi="Times New Roman"/>
                <w:sz w:val="18"/>
                <w:szCs w:val="18"/>
              </w:rPr>
              <w:t>分</w:t>
            </w:r>
          </w:p>
        </w:tc>
        <w:tc>
          <w:tcPr>
            <w:tcW w:w="871"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作业时间1分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首次普扫必须在7:30之前完成；16小时保洁：即4:30-20:30；10小时保洁：即5:00-9：00，14：00-18:00，8小时保洁：即6:00-10:00,13:00-16:00</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上班迟到、早退的每人扣0.5分，普扫未完成的，每50M</w:t>
            </w:r>
            <w:r>
              <w:rPr>
                <w:rFonts w:hint="eastAsia" w:ascii="Times New Roman" w:hAnsi="Times New Roman"/>
                <w:sz w:val="18"/>
                <w:szCs w:val="18"/>
                <w:vertAlign w:val="superscript"/>
              </w:rPr>
              <w:t>2</w:t>
            </w:r>
            <w:r>
              <w:rPr>
                <w:rFonts w:hint="eastAsia" w:ascii="Times New Roman" w:hAnsi="Times New Roman"/>
                <w:sz w:val="18"/>
                <w:szCs w:val="18"/>
              </w:rPr>
              <w:t>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04"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人员配备2分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按照招标文件规定根据不同作业时间和要求配备保洁人员、驾驶员、考核员及其他人员，并配备巡检队伍。</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未做到的，每缺一人扣0.5分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每缺一人并扣一人当月保洁经费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7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作业质量</w:t>
            </w:r>
            <w:r>
              <w:rPr>
                <w:rFonts w:ascii="Times New Roman" w:hAnsi="Times New Roman"/>
                <w:sz w:val="18"/>
                <w:szCs w:val="18"/>
              </w:rPr>
              <w:t>22</w:t>
            </w:r>
            <w:r>
              <w:rPr>
                <w:rFonts w:hint="eastAsia" w:ascii="Times New Roman" w:hAnsi="Times New Roman"/>
                <w:sz w:val="18"/>
                <w:szCs w:val="18"/>
              </w:rPr>
              <w:t>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达到“四无四净”，无烟蒂白色垃圾、无果皮纸屑、无杂物堆积、无积泥沙石；路面干净、绿化隔离带树穴干净、排水口沟槽干净、果壳箱等环卫设施干净。</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9</w:t>
            </w:r>
          </w:p>
        </w:tc>
        <w:tc>
          <w:tcPr>
            <w:tcW w:w="1103" w:type="dxa"/>
            <w:vMerge w:val="restart"/>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3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绿化带垃圾清除；垃圾倾倒及时处理；</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3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垃圾停留时间不超过30分钟。</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70"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6</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人行道杂草停留时间不超过6小时。</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4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7</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垃圾不得扫入窨井、花坛、绿化带、道路边沟等</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每发现一处，扣0.1分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47" w:hRule="atLeast"/>
          <w:jc w:val="center"/>
        </w:trPr>
        <w:tc>
          <w:tcPr>
            <w:tcW w:w="645" w:type="dxa"/>
            <w:shd w:val="clear" w:color="auto" w:fill="FFFFFF"/>
            <w:noWrap w:val="0"/>
            <w:vAlign w:val="center"/>
          </w:tcPr>
          <w:p>
            <w:pPr>
              <w:widowControl/>
              <w:spacing w:line="280" w:lineRule="exact"/>
              <w:contextualSpacing/>
              <w:jc w:val="center"/>
              <w:rPr>
                <w:rFonts w:hint="eastAsia" w:ascii="Times New Roman" w:hAnsi="Times New Roman"/>
                <w:sz w:val="18"/>
                <w:szCs w:val="18"/>
              </w:rPr>
            </w:pPr>
            <w:r>
              <w:rPr>
                <w:rFonts w:hint="eastAsia" w:ascii="Times New Roman" w:hAnsi="Times New Roman"/>
                <w:sz w:val="18"/>
                <w:szCs w:val="18"/>
              </w:rPr>
              <w:t>8</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hint="eastAsia" w:ascii="Times New Roman" w:hAnsi="Times New Roman"/>
                <w:sz w:val="18"/>
                <w:szCs w:val="18"/>
              </w:rPr>
            </w:pPr>
            <w:r>
              <w:rPr>
                <w:rFonts w:hint="eastAsia" w:ascii="Times New Roman" w:hAnsi="Times New Roman"/>
                <w:sz w:val="18"/>
                <w:szCs w:val="18"/>
              </w:rPr>
              <w:t>道路（公路）垃圾未清扫至建（构）筑物墙根。</w:t>
            </w:r>
          </w:p>
        </w:tc>
        <w:tc>
          <w:tcPr>
            <w:tcW w:w="1872" w:type="dxa"/>
            <w:shd w:val="clear" w:color="auto" w:fill="FFFFFF"/>
            <w:noWrap w:val="0"/>
            <w:vAlign w:val="center"/>
          </w:tcPr>
          <w:p>
            <w:pPr>
              <w:spacing w:line="280" w:lineRule="exact"/>
              <w:contextualSpacing/>
              <w:rPr>
                <w:rFonts w:hint="eastAsia" w:ascii="Times New Roman" w:hAnsi="Times New Roman"/>
                <w:sz w:val="18"/>
                <w:szCs w:val="18"/>
              </w:rPr>
            </w:pPr>
            <w:r>
              <w:rPr>
                <w:rFonts w:hint="eastAsia" w:ascii="Times New Roman" w:hAnsi="Times New Roman"/>
                <w:sz w:val="18"/>
                <w:szCs w:val="18"/>
              </w:rPr>
              <w:t>每发现一处，扣0.</w:t>
            </w:r>
            <w:r>
              <w:rPr>
                <w:rFonts w:ascii="Times New Roman" w:hAnsi="Times New Roman"/>
                <w:sz w:val="18"/>
                <w:szCs w:val="18"/>
              </w:rPr>
              <w:t>2</w:t>
            </w:r>
            <w:r>
              <w:rPr>
                <w:rFonts w:hint="eastAsia" w:ascii="Times New Roman" w:hAnsi="Times New Roman"/>
                <w:sz w:val="18"/>
                <w:szCs w:val="18"/>
              </w:rPr>
              <w:t>分</w:t>
            </w:r>
          </w:p>
        </w:tc>
        <w:tc>
          <w:tcPr>
            <w:tcW w:w="851" w:type="dxa"/>
            <w:shd w:val="clear" w:color="auto" w:fill="FFFFFF"/>
            <w:noWrap w:val="0"/>
            <w:vAlign w:val="center"/>
          </w:tcPr>
          <w:p>
            <w:pPr>
              <w:spacing w:line="280" w:lineRule="exact"/>
              <w:contextualSpacing/>
              <w:jc w:val="center"/>
              <w:rPr>
                <w:rFonts w:hint="eastAsia"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54"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9</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宁波市市容环境质量监测平台曝光的问题</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每路段次扣0.1分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8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10</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环卫设施</w:t>
            </w:r>
            <w:r>
              <w:rPr>
                <w:rFonts w:ascii="Times New Roman" w:hAnsi="Times New Roman"/>
                <w:sz w:val="18"/>
                <w:szCs w:val="18"/>
              </w:rPr>
              <w:t>8</w:t>
            </w:r>
            <w:r>
              <w:rPr>
                <w:rFonts w:hint="eastAsia" w:ascii="Times New Roman" w:hAnsi="Times New Roman"/>
                <w:sz w:val="18"/>
                <w:szCs w:val="18"/>
              </w:rPr>
              <w:t>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果壳箱和垃圾桶出现破损、缺失现象应于2天内予以更新。</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ascii="Times New Roman" w:hAnsi="Times New Roman"/>
                <w:sz w:val="18"/>
                <w:szCs w:val="18"/>
              </w:rPr>
              <w:t>2</w:t>
            </w:r>
          </w:p>
        </w:tc>
        <w:tc>
          <w:tcPr>
            <w:tcW w:w="1103" w:type="dxa"/>
            <w:vMerge w:val="restart"/>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24"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11</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果壳箱和垃圾桶应及时清理，做到无满溢、内外无残存垃圾与污水。</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09"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垃圾筒和果壳箱每天清洗次数不少于1次，保持箱体及周边环境干净整洁。垃圾中转房保持周边环境干净整洁。</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91"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13</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果壳箱清理清洗后，应将垃圾收集容器复位并关闭箱门。</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0.5</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2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果壳箱内的垃圾收集容器应加套专用垃圾袋。</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0.5</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2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垃圾车、保洁车等设备每日清洗1次，</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4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16</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作业管理13分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作业单位应及时向行业主管部门汇报有关工作事宜，原则上半月一次，以加强相互交流、沟通。</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restart"/>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2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17</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作业单位管理规范，作业标准、考核细则及责任书等管理制度上墙，台账资料齐全。</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无台账资料的，每次扣0.5分；台账资料不全的，每次扣0. 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2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18</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作业单位在日常保洁及重大活动保障时应按行业主管部门的督查告知单要求限期整改各类问题。</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未按规定时间整改的，每次扣0.5分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84"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19</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作业单位应健全保洁人员人身意外伤害保险制度、及缴纳社保医保等相关社会福利。</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96"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20</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作业单位应按管理部门要求上报各类报表、每月工资清单及相关资料和数据。</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4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21</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公司重视安全生产工作，定期开展车辆驾驶员等各类安全作业培训。</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2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作业人员在上班时间内必须穿反光安全服，佩戴工作证，严禁穿拖鞋和携带小孩，举止文明、着装规范。</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未按规定的每人次扣0.2分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06"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23</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作业人员垃圾应按指定地点倾倒（包括区域外垃圾倾倒），严禁焚烧垃圾、树叶等，严禁把垃圾扫到窨井、绿带及桥下等。</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发现一次，每次扣0.2分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9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24</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清扫保洁车保持车容整洁、标识清晰完整，无吊挂、洒落及滴漏等现象。</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发现一次，每次扣0.1分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93"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工人保洁期间，必须配齐所需工具（扫帚、畚斗、铁锹等）。</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7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26</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工人保洁期间，无擅自离（脱）岗、闲谈、消极怠工等现象。</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2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27</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加强队伍建设和思想政治工作，作业单位人员思想稳定，无上访和群访现象。</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每发现一次五人以上群访或罢工的每次扣1分（包括五人）</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8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28</w:t>
            </w:r>
          </w:p>
        </w:tc>
        <w:tc>
          <w:tcPr>
            <w:tcW w:w="950" w:type="dxa"/>
            <w:vMerge w:val="continue"/>
            <w:shd w:val="clear" w:color="auto" w:fill="FFFFFF"/>
            <w:noWrap w:val="0"/>
            <w:vAlign w:val="center"/>
          </w:tcPr>
          <w:p>
            <w:pPr>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保障任务4分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按照行业主管部门要求，确保重大活动顺利开展</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未做的，每次扣1分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restart"/>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4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29</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根据工作需要，及时完成下达的各种突击任务和突发性应急处置工作。突发性事件，从接到通知后半小时内到达现场。</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不完成或超期完成的扣1分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9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30</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其他规定3分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主管部门管理人员在巡查中发现工人严重违规的，公司必须按照相关规定进行处罚，并上报处理结果给主管部门。</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不上报或不处理的扣0.5分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59"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31</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环卫作业被镇、区级以上点名、通报批评的。</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70"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32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环卫作业被新闻媒体或网站曝光的</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93" w:hRule="atLeast"/>
          <w:jc w:val="center"/>
        </w:trPr>
        <w:tc>
          <w:tcPr>
            <w:tcW w:w="10090" w:type="dxa"/>
            <w:gridSpan w:val="7"/>
            <w:shd w:val="clear" w:color="auto" w:fill="FFFFFF"/>
            <w:noWrap w:val="0"/>
            <w:vAlign w:val="center"/>
          </w:tcPr>
          <w:p>
            <w:pPr>
              <w:spacing w:line="280" w:lineRule="exact"/>
              <w:contextualSpacing/>
              <w:jc w:val="left"/>
              <w:rPr>
                <w:rFonts w:ascii="Times New Roman" w:hAnsi="Times New Roman"/>
                <w:sz w:val="18"/>
                <w:szCs w:val="18"/>
              </w:rPr>
            </w:pPr>
            <w:r>
              <w:rPr>
                <w:rFonts w:hint="eastAsia" w:ascii="Times New Roman" w:hAnsi="Times New Roman"/>
                <w:sz w:val="18"/>
                <w:szCs w:val="18"/>
              </w:rPr>
              <w:t>注：1、垃圾包、白色垃圾、烟蒂、果皮、纸屑等路面及绿化带垃圾按个数计数；垃圾堆、污渍按0.5 M</w:t>
            </w:r>
            <w:r>
              <w:rPr>
                <w:rFonts w:hint="eastAsia" w:ascii="Times New Roman" w:hAnsi="Times New Roman"/>
                <w:sz w:val="18"/>
                <w:szCs w:val="18"/>
                <w:vertAlign w:val="superscript"/>
              </w:rPr>
              <w:t>2</w:t>
            </w:r>
            <w:r>
              <w:rPr>
                <w:rFonts w:hint="eastAsia" w:ascii="Times New Roman" w:hAnsi="Times New Roman"/>
                <w:sz w:val="18"/>
                <w:szCs w:val="18"/>
              </w:rPr>
              <w:t>算1处（不足0.5 M</w:t>
            </w:r>
            <w:r>
              <w:rPr>
                <w:rFonts w:hint="eastAsia" w:ascii="Times New Roman" w:hAnsi="Times New Roman"/>
                <w:sz w:val="18"/>
                <w:szCs w:val="18"/>
                <w:vertAlign w:val="superscript"/>
              </w:rPr>
              <w:t>2</w:t>
            </w:r>
            <w:r>
              <w:rPr>
                <w:rFonts w:hint="eastAsia" w:ascii="Times New Roman" w:hAnsi="Times New Roman"/>
                <w:sz w:val="18"/>
                <w:szCs w:val="18"/>
              </w:rPr>
              <w:t>按0.5 M</w:t>
            </w:r>
            <w:r>
              <w:rPr>
                <w:rFonts w:hint="eastAsia" w:ascii="Times New Roman" w:hAnsi="Times New Roman"/>
                <w:sz w:val="18"/>
                <w:szCs w:val="18"/>
                <w:vertAlign w:val="superscript"/>
              </w:rPr>
              <w:t>2</w:t>
            </w:r>
            <w:r>
              <w:rPr>
                <w:rFonts w:hint="eastAsia" w:ascii="Times New Roman" w:hAnsi="Times New Roman"/>
                <w:sz w:val="18"/>
                <w:szCs w:val="18"/>
              </w:rPr>
              <w:t>计算）；非降雨日，积水、泥沙按1M</w:t>
            </w:r>
            <w:r>
              <w:rPr>
                <w:rFonts w:hint="eastAsia" w:ascii="Times New Roman" w:hAnsi="Times New Roman"/>
                <w:sz w:val="18"/>
                <w:szCs w:val="18"/>
                <w:vertAlign w:val="superscript"/>
              </w:rPr>
              <w:t>2</w:t>
            </w:r>
            <w:r>
              <w:rPr>
                <w:rFonts w:hint="eastAsia" w:ascii="Times New Roman" w:hAnsi="Times New Roman"/>
                <w:sz w:val="18"/>
                <w:szCs w:val="18"/>
              </w:rPr>
              <w:t>算1处（不足1M</w:t>
            </w:r>
            <w:r>
              <w:rPr>
                <w:rFonts w:hint="eastAsia" w:ascii="Times New Roman" w:hAnsi="Times New Roman"/>
                <w:sz w:val="18"/>
                <w:szCs w:val="18"/>
                <w:vertAlign w:val="superscript"/>
              </w:rPr>
              <w:t>2</w:t>
            </w:r>
            <w:r>
              <w:rPr>
                <w:rFonts w:hint="eastAsia" w:ascii="Times New Roman" w:hAnsi="Times New Roman"/>
                <w:sz w:val="18"/>
                <w:szCs w:val="18"/>
              </w:rPr>
              <w:t>按1 M</w:t>
            </w:r>
            <w:r>
              <w:rPr>
                <w:rFonts w:hint="eastAsia" w:ascii="Times New Roman" w:hAnsi="Times New Roman"/>
                <w:sz w:val="18"/>
                <w:szCs w:val="18"/>
                <w:vertAlign w:val="superscript"/>
              </w:rPr>
              <w:t>2</w:t>
            </w:r>
            <w:r>
              <w:rPr>
                <w:rFonts w:hint="eastAsia" w:ascii="Times New Roman" w:hAnsi="Times New Roman"/>
                <w:sz w:val="18"/>
                <w:szCs w:val="18"/>
              </w:rPr>
              <w:t>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24" w:hRule="atLeast"/>
          <w:jc w:val="center"/>
        </w:trPr>
        <w:tc>
          <w:tcPr>
            <w:tcW w:w="645"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33</w:t>
            </w:r>
          </w:p>
        </w:tc>
        <w:tc>
          <w:tcPr>
            <w:tcW w:w="950"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二、公厕保洁24分</w:t>
            </w:r>
          </w:p>
        </w:tc>
        <w:tc>
          <w:tcPr>
            <w:tcW w:w="871"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作业时间2分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10小时保洁</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上班迟到、早退的每人扣0.5分。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9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34</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人员配备2分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按照24座公厕配8个保洁员，并配备相应的考核员</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未做到的，每缺一人扣0.5分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每缺一人并扣一人当月保洁经费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15"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作业质量</w:t>
            </w:r>
            <w:r>
              <w:rPr>
                <w:rFonts w:ascii="Times New Roman" w:hAnsi="Times New Roman"/>
                <w:sz w:val="18"/>
                <w:szCs w:val="18"/>
              </w:rPr>
              <w:t>12</w:t>
            </w:r>
            <w:r>
              <w:rPr>
                <w:rFonts w:hint="eastAsia" w:ascii="Times New Roman" w:hAnsi="Times New Roman"/>
                <w:sz w:val="18"/>
                <w:szCs w:val="18"/>
              </w:rPr>
              <w:t>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公厕内外环境保持一致，每日确保两至三次全面清洗，粪便及时清理。</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未按规定每处扣1分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6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36</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公厕内无蛛网，无尿迹、蹲坑及档板上无粪迹、痰迹、污迹。</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每发现一次扣1分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41"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37</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消毒季节（4月1日-10月31日）做到消毒彻底，公厕内蚊蝇小于规定标准，消毒后将蚊蝇及时清理干净。</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消毒期间未消毒或未及时清理蚊蝇。每发现一次扣1分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3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38</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公厕化粪池每月至少吸粪一次，保持不满溢。</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未达到标准每次扣1分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39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39</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发现公厕设施损坏1小时内与镇环卫站联系。</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未按规定每次扣0.5分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5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40</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作业管理4分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作业人员在上班时间必须按规定穿工作服，戴工作帽，佩戴工作证。</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未按规定的每人次扣0.2分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41"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41</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作业单位应健全保洁人员意外伤害保险制度，及缴纳社保医保等相关社会福利。</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未做到的，每人次扣0.2分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41"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作业单位应按管理部门要求上报各类报表、每月工资清单及相关资料和数据</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未上报的，每次扣0.2分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41"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43</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工人保洁期间，无擅自离（脱）岗、闲谈、消极怠工等现象。</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未做到的，每次扣0.5分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08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44</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保障任务2分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根据工作需要，及时完成下达的各种突击任务和突发性应急处置工作。突发性事件，从接到通知后半小时内达到现场。</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不完成或超期完成的扣1分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5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45</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其他规定2分</w:t>
            </w: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环卫作业被区级、市局以上点名、通报批评的</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57"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46</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871"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3798"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环卫作业被新闻媒体或网站曝光的</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每次扣0.5分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557" w:hRule="atLeast"/>
          <w:jc w:val="center"/>
        </w:trPr>
        <w:tc>
          <w:tcPr>
            <w:tcW w:w="645"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47</w:t>
            </w:r>
          </w:p>
        </w:tc>
        <w:tc>
          <w:tcPr>
            <w:tcW w:w="950"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三、垃圾清运6分</w:t>
            </w:r>
          </w:p>
        </w:tc>
        <w:tc>
          <w:tcPr>
            <w:tcW w:w="4669" w:type="dxa"/>
            <w:gridSpan w:val="2"/>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必须做到准时清运，日产日清。</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除车辆故障外，未按规定每次扣2分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94"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48</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4669" w:type="dxa"/>
            <w:gridSpan w:val="2"/>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垃圾装运不准超高、超载。</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不按规定每次扣2分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218"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49</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4669" w:type="dxa"/>
            <w:gridSpan w:val="2"/>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禁止运输过程中沿途滴、漏、洒。</w:t>
            </w:r>
          </w:p>
        </w:tc>
        <w:tc>
          <w:tcPr>
            <w:tcW w:w="1872" w:type="dxa"/>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发现一次扣1分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10" w:hRule="atLeast"/>
          <w:jc w:val="center"/>
        </w:trPr>
        <w:tc>
          <w:tcPr>
            <w:tcW w:w="645"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50</w:t>
            </w:r>
          </w:p>
        </w:tc>
        <w:tc>
          <w:tcPr>
            <w:tcW w:w="950" w:type="dxa"/>
            <w:vMerge w:val="restart"/>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四、绿化养护10分</w:t>
            </w: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由于肥、水管理不善造成的枯黄、叶烧现象；乔灌木每株、绿篱、草坪每平方米扣</w:t>
            </w:r>
            <w:r>
              <w:rPr>
                <w:rFonts w:hint="eastAsia" w:ascii="Times New Roman" w:hAnsi="Times New Roman" w:cs="Arial"/>
                <w:sz w:val="18"/>
                <w:szCs w:val="18"/>
              </w:rPr>
              <w:t>0.1</w:t>
            </w:r>
            <w:r>
              <w:rPr>
                <w:rFonts w:hint="eastAsia" w:ascii="Times New Roman" w:hAnsi="Times New Roman"/>
                <w:sz w:val="18"/>
                <w:szCs w:val="18"/>
              </w:rPr>
              <w:t>分；没有肥、水计划扣</w:t>
            </w:r>
            <w:r>
              <w:rPr>
                <w:rFonts w:hint="eastAsia" w:ascii="Times New Roman" w:hAnsi="Times New Roman" w:cs="Arial"/>
                <w:sz w:val="18"/>
                <w:szCs w:val="18"/>
              </w:rPr>
              <w:t>1</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月度；未按标准施肥、灌溉的，每次扣</w:t>
            </w:r>
            <w:r>
              <w:rPr>
                <w:rFonts w:hint="eastAsia" w:ascii="Times New Roman" w:hAnsi="Times New Roman" w:cs="Arial"/>
                <w:sz w:val="18"/>
                <w:szCs w:val="18"/>
              </w:rPr>
              <w:t>1</w:t>
            </w:r>
            <w:r>
              <w:rPr>
                <w:rFonts w:hint="eastAsia" w:ascii="Times New Roman" w:hAnsi="Times New Roman"/>
                <w:sz w:val="18"/>
                <w:szCs w:val="18"/>
              </w:rPr>
              <w:t>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410"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51</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有明显病虫害危害的，乔灌木扣</w:t>
            </w:r>
            <w:r>
              <w:rPr>
                <w:rFonts w:hint="eastAsia" w:ascii="Times New Roman" w:hAnsi="Times New Roman" w:cs="Arial"/>
                <w:sz w:val="18"/>
                <w:szCs w:val="18"/>
              </w:rPr>
              <w:t>0.1</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株，绿化带扣</w:t>
            </w:r>
            <w:r>
              <w:rPr>
                <w:rFonts w:hint="eastAsia" w:ascii="Times New Roman" w:hAnsi="Times New Roman" w:cs="Arial"/>
                <w:sz w:val="18"/>
                <w:szCs w:val="18"/>
              </w:rPr>
              <w:t>0.1</w:t>
            </w:r>
            <w:r>
              <w:rPr>
                <w:rFonts w:hint="eastAsia" w:ascii="Times New Roman" w:hAnsi="Times New Roman"/>
                <w:sz w:val="18"/>
                <w:szCs w:val="18"/>
              </w:rPr>
              <w:t>分</w:t>
            </w:r>
            <w:r>
              <w:rPr>
                <w:rFonts w:hint="eastAsia" w:ascii="Times New Roman" w:hAnsi="Times New Roman" w:cs="Arial"/>
                <w:sz w:val="18"/>
                <w:szCs w:val="18"/>
              </w:rPr>
              <w:t>/m</w:t>
            </w:r>
            <w:r>
              <w:rPr>
                <w:rFonts w:hint="eastAsia" w:ascii="Times New Roman" w:hAnsi="Times New Roman"/>
                <w:sz w:val="18"/>
                <w:szCs w:val="18"/>
                <w:vertAlign w:val="superscript"/>
              </w:rPr>
              <w:t>2；</w:t>
            </w:r>
            <w:r>
              <w:rPr>
                <w:rFonts w:hint="eastAsia" w:ascii="Times New Roman" w:hAnsi="Times New Roman"/>
                <w:sz w:val="18"/>
                <w:szCs w:val="18"/>
              </w:rPr>
              <w:t>用药配比不正确、操作不规范，扣</w:t>
            </w:r>
            <w:r>
              <w:rPr>
                <w:rFonts w:hint="eastAsia" w:ascii="Times New Roman" w:hAnsi="Times New Roman" w:cs="Arial"/>
                <w:sz w:val="18"/>
                <w:szCs w:val="18"/>
              </w:rPr>
              <w:t>1</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处；无病虫害防治预案和防治计划，扣</w:t>
            </w:r>
            <w:r>
              <w:rPr>
                <w:rFonts w:hint="eastAsia" w:ascii="Times New Roman" w:hAnsi="Times New Roman" w:cs="Arial"/>
                <w:sz w:val="18"/>
                <w:szCs w:val="18"/>
              </w:rPr>
              <w:t>1</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月度；未经许可，擅自使用违禁药品（如草甘膦等），扣</w:t>
            </w:r>
            <w:r>
              <w:rPr>
                <w:rFonts w:hint="eastAsia" w:ascii="Times New Roman" w:hAnsi="Times New Roman" w:cs="Arial"/>
                <w:sz w:val="18"/>
                <w:szCs w:val="18"/>
              </w:rPr>
              <w:t>1</w:t>
            </w:r>
            <w:r>
              <w:rPr>
                <w:rFonts w:hint="eastAsia" w:ascii="Times New Roman" w:hAnsi="Times New Roman"/>
                <w:sz w:val="18"/>
                <w:szCs w:val="18"/>
              </w:rPr>
              <w:t>分。发生药害事故，该项全扣。</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2</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22"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2</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绿化修剪废弃物未在</w:t>
            </w:r>
            <w:r>
              <w:rPr>
                <w:rFonts w:hint="eastAsia" w:ascii="Times New Roman" w:hAnsi="Times New Roman" w:cs="Arial"/>
                <w:sz w:val="18"/>
                <w:szCs w:val="18"/>
              </w:rPr>
              <w:t>1</w:t>
            </w:r>
            <w:r>
              <w:rPr>
                <w:rFonts w:hint="eastAsia" w:ascii="Times New Roman" w:hAnsi="Times New Roman"/>
                <w:sz w:val="18"/>
                <w:szCs w:val="18"/>
              </w:rPr>
              <w:t>个工作日内及时清理，扣</w:t>
            </w:r>
            <w:r>
              <w:rPr>
                <w:rFonts w:hint="eastAsia" w:ascii="Times New Roman" w:hAnsi="Times New Roman" w:cs="Arial"/>
                <w:sz w:val="18"/>
                <w:szCs w:val="18"/>
              </w:rPr>
              <w:t>0.1</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处</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92"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3</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每年整枝、修剪不少于3次，施肥2次，除虫2次，草坪修整2次，每次扣0.5分；绿化带中间无白色垃圾及废弃物，每次扣0.2分。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3</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92"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p>
        </w:tc>
        <w:tc>
          <w:tcPr>
            <w:tcW w:w="950" w:type="dxa"/>
            <w:vMerge w:val="continue"/>
            <w:shd w:val="clear" w:color="auto" w:fill="FFFFFF"/>
            <w:noWrap w:val="0"/>
            <w:vAlign w:val="center"/>
          </w:tcPr>
          <w:p>
            <w:pPr>
              <w:widowControl/>
              <w:spacing w:line="280" w:lineRule="exact"/>
              <w:contextualSpacing/>
              <w:rPr>
                <w:rFonts w:ascii="Times New Roman" w:hAnsi="Times New Roman"/>
                <w:sz w:val="18"/>
                <w:szCs w:val="18"/>
              </w:rPr>
            </w:pP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对占绿毁绿现象、破坏绿化景观行为、治安问题不及时劝阻或上报的，扣</w:t>
            </w:r>
            <w:r>
              <w:rPr>
                <w:rFonts w:hint="eastAsia" w:ascii="Times New Roman" w:hAnsi="Times New Roman" w:cs="Arial"/>
                <w:sz w:val="18"/>
                <w:szCs w:val="18"/>
              </w:rPr>
              <w:t>0.2</w:t>
            </w:r>
            <w:r>
              <w:rPr>
                <w:rFonts w:hint="eastAsia" w:ascii="Times New Roman" w:hAnsi="Times New Roman"/>
                <w:sz w:val="18"/>
                <w:szCs w:val="18"/>
              </w:rPr>
              <w:t>分</w:t>
            </w:r>
            <w:r>
              <w:rPr>
                <w:rFonts w:hint="eastAsia" w:ascii="Times New Roman" w:hAnsi="Times New Roman" w:cs="Arial"/>
                <w:sz w:val="18"/>
                <w:szCs w:val="18"/>
              </w:rPr>
              <w:t>/</w:t>
            </w:r>
            <w:r>
              <w:rPr>
                <w:rFonts w:hint="eastAsia" w:ascii="Times New Roman" w:hAnsi="Times New Roman"/>
                <w:sz w:val="18"/>
                <w:szCs w:val="18"/>
              </w:rPr>
              <w:t>次。</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1</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wBefore w:w="0" w:type="dxa"/>
          <w:wAfter w:w="0" w:type="dxa"/>
          <w:trHeight w:val="192" w:hRule="atLeast"/>
          <w:jc w:val="center"/>
        </w:trPr>
        <w:tc>
          <w:tcPr>
            <w:tcW w:w="645" w:type="dxa"/>
            <w:shd w:val="clear" w:color="auto" w:fill="FFFFFF"/>
            <w:noWrap w:val="0"/>
            <w:vAlign w:val="center"/>
          </w:tcPr>
          <w:p>
            <w:pPr>
              <w:widowControl/>
              <w:spacing w:line="280" w:lineRule="exact"/>
              <w:contextualSpacing/>
              <w:jc w:val="center"/>
              <w:rPr>
                <w:rFonts w:ascii="Times New Roman" w:hAnsi="Times New Roman"/>
                <w:sz w:val="18"/>
                <w:szCs w:val="18"/>
              </w:rPr>
            </w:pPr>
            <w:r>
              <w:rPr>
                <w:rFonts w:ascii="Times New Roman" w:hAnsi="Times New Roman"/>
                <w:sz w:val="18"/>
                <w:szCs w:val="18"/>
              </w:rPr>
              <w:t>55</w:t>
            </w:r>
          </w:p>
        </w:tc>
        <w:tc>
          <w:tcPr>
            <w:tcW w:w="950" w:type="dxa"/>
            <w:shd w:val="clear" w:color="auto" w:fill="FFFFFF"/>
            <w:noWrap w:val="0"/>
            <w:vAlign w:val="center"/>
          </w:tcPr>
          <w:p>
            <w:pPr>
              <w:widowControl/>
              <w:spacing w:line="280" w:lineRule="exact"/>
              <w:contextualSpacing/>
              <w:rPr>
                <w:rFonts w:ascii="Times New Roman" w:hAnsi="Times New Roman"/>
                <w:sz w:val="18"/>
                <w:szCs w:val="18"/>
              </w:rPr>
            </w:pPr>
            <w:r>
              <w:rPr>
                <w:rFonts w:hint="eastAsia" w:ascii="Times New Roman" w:hAnsi="Times New Roman"/>
                <w:sz w:val="18"/>
                <w:szCs w:val="18"/>
              </w:rPr>
              <w:t>五、中转站日常保洁7分</w:t>
            </w:r>
          </w:p>
        </w:tc>
        <w:tc>
          <w:tcPr>
            <w:tcW w:w="6541" w:type="dxa"/>
            <w:gridSpan w:val="3"/>
            <w:shd w:val="clear" w:color="auto" w:fill="FFFFFF"/>
            <w:noWrap w:val="0"/>
            <w:vAlign w:val="center"/>
          </w:tcPr>
          <w:p>
            <w:pPr>
              <w:spacing w:line="280" w:lineRule="exact"/>
              <w:contextualSpacing/>
              <w:rPr>
                <w:rFonts w:ascii="Times New Roman" w:hAnsi="Times New Roman"/>
                <w:sz w:val="18"/>
                <w:szCs w:val="18"/>
              </w:rPr>
            </w:pPr>
            <w:r>
              <w:rPr>
                <w:rFonts w:hint="eastAsia" w:ascii="Times New Roman" w:hAnsi="Times New Roman"/>
                <w:sz w:val="18"/>
                <w:szCs w:val="18"/>
              </w:rPr>
              <w:t>无散落垃圾；规章制度规范齐全，各类制度上墙；场内垃圾做到日产日清；中转站内设施、设备保养良好；操作台、车厢保持清洁，垃圾压缩车离站前清理倒斗内暴露垃圾、拖挂杂物。地坑内四壁无污渍，污水管道畅通，零星垃圾清理干净；责任区域内场地、休息间整洁；无零星垃圾、蛛网、积水、积泥，无乱堆放杂物，四壁瓷面无积灰、污水迹；中转站工作人员禁止在工作场地内拾废品；工作完毕，场地内外冲洗干净，工具摆放整齐。每处次各扣0.2分。</w:t>
            </w:r>
          </w:p>
        </w:tc>
        <w:tc>
          <w:tcPr>
            <w:tcW w:w="851" w:type="dxa"/>
            <w:shd w:val="clear" w:color="auto" w:fill="FFFFFF"/>
            <w:noWrap w:val="0"/>
            <w:vAlign w:val="center"/>
          </w:tcPr>
          <w:p>
            <w:pPr>
              <w:spacing w:line="280" w:lineRule="exact"/>
              <w:contextualSpacing/>
              <w:jc w:val="center"/>
              <w:rPr>
                <w:rFonts w:ascii="Times New Roman" w:hAnsi="Times New Roman"/>
                <w:sz w:val="18"/>
                <w:szCs w:val="18"/>
              </w:rPr>
            </w:pPr>
            <w:r>
              <w:rPr>
                <w:rFonts w:hint="eastAsia" w:ascii="Times New Roman" w:hAnsi="Times New Roman"/>
                <w:sz w:val="18"/>
                <w:szCs w:val="18"/>
              </w:rPr>
              <w:t>7</w:t>
            </w:r>
          </w:p>
        </w:tc>
        <w:tc>
          <w:tcPr>
            <w:tcW w:w="1103" w:type="dxa"/>
            <w:shd w:val="clear" w:color="auto" w:fill="FFFFFF"/>
            <w:noWrap w:val="0"/>
            <w:vAlign w:val="center"/>
          </w:tcPr>
          <w:p>
            <w:pPr>
              <w:spacing w:line="280" w:lineRule="exact"/>
              <w:contextualSpacing/>
              <w:jc w:val="center"/>
              <w:rPr>
                <w:rFonts w:ascii="Times New Roman" w:hAnsi="Times New Roman"/>
                <w:sz w:val="18"/>
                <w:szCs w:val="18"/>
              </w:rPr>
            </w:pPr>
          </w:p>
        </w:tc>
      </w:tr>
    </w:tbl>
    <w:p>
      <w:pPr>
        <w:rPr>
          <w:b/>
          <w:bCs/>
          <w:szCs w:val="21"/>
        </w:rPr>
      </w:pPr>
    </w:p>
    <w:p>
      <w:pPr>
        <w:spacing w:line="360" w:lineRule="auto"/>
        <w:ind w:firstLine="308" w:firstLineChars="147"/>
        <w:contextualSpacing/>
        <w:outlineLvl w:val="1"/>
        <w:rPr>
          <w:szCs w:val="21"/>
        </w:rPr>
      </w:pPr>
    </w:p>
    <w:p>
      <w:pPr>
        <w:widowControl/>
        <w:jc w:val="left"/>
        <w:rPr>
          <w:rFonts w:hint="eastAsia"/>
        </w:rPr>
      </w:pPr>
    </w:p>
    <w:p>
      <w:pPr>
        <w:pStyle w:val="46"/>
        <w:rPr>
          <w:rFonts w:hint="eastAsia" w:ascii="Times New Roman" w:hAnsi="Times New Roman"/>
        </w:rPr>
      </w:pPr>
      <w:bookmarkStart w:id="63" w:name="_Toc89855396"/>
      <w:r>
        <w:rPr>
          <w:rFonts w:ascii="Times New Roman" w:hAnsi="Times New Roman"/>
        </w:rPr>
        <w:br w:type="page"/>
      </w:r>
      <w:bookmarkStart w:id="64" w:name="_Toc96720897"/>
      <w:r>
        <w:rPr>
          <w:rFonts w:ascii="Times New Roman" w:hAnsi="Times New Roman"/>
        </w:rPr>
        <w:t>第</w:t>
      </w:r>
      <w:r>
        <w:rPr>
          <w:rFonts w:hint="eastAsia" w:ascii="Times New Roman" w:hAnsi="Times New Roman"/>
        </w:rPr>
        <w:t>六</w:t>
      </w:r>
      <w:r>
        <w:rPr>
          <w:rFonts w:ascii="Times New Roman" w:hAnsi="Times New Roman"/>
        </w:rPr>
        <w:t>部分</w:t>
      </w:r>
      <w:r>
        <w:rPr>
          <w:rFonts w:hint="eastAsia" w:ascii="Times New Roman" w:hAnsi="Times New Roman"/>
        </w:rPr>
        <w:t xml:space="preserve">  拟签订的合同文本</w:t>
      </w:r>
      <w:bookmarkEnd w:id="52"/>
      <w:bookmarkEnd w:id="53"/>
      <w:bookmarkEnd w:id="54"/>
      <w:bookmarkEnd w:id="63"/>
      <w:bookmarkEnd w:id="64"/>
    </w:p>
    <w:p>
      <w:pPr>
        <w:pStyle w:val="19"/>
        <w:tabs>
          <w:tab w:val="left" w:pos="426"/>
        </w:tabs>
        <w:spacing w:after="120" w:line="420" w:lineRule="exact"/>
        <w:ind w:firstLine="0"/>
        <w:jc w:val="center"/>
        <w:rPr>
          <w:rFonts w:hint="eastAsia" w:eastAsia="宋体"/>
          <w:sz w:val="21"/>
          <w:szCs w:val="28"/>
        </w:rPr>
      </w:pPr>
      <w:r>
        <w:rPr>
          <w:rFonts w:hint="eastAsia" w:eastAsia="宋体"/>
          <w:sz w:val="21"/>
          <w:szCs w:val="28"/>
        </w:rPr>
        <w:t>（本合同仅供参考，最终合同以采购人与中标人签订的合同为准）</w:t>
      </w:r>
    </w:p>
    <w:p>
      <w:pPr>
        <w:adjustRightInd w:val="0"/>
        <w:snapToGrid w:val="0"/>
        <w:spacing w:line="276" w:lineRule="auto"/>
        <w:rPr>
          <w:rFonts w:hint="eastAsia" w:cs="宋体"/>
          <w:b/>
          <w:szCs w:val="21"/>
        </w:rPr>
      </w:pPr>
    </w:p>
    <w:p>
      <w:pPr>
        <w:spacing w:line="360" w:lineRule="auto"/>
        <w:ind w:firstLine="420" w:firstLineChars="200"/>
        <w:contextualSpacing/>
        <w:rPr>
          <w:rFonts w:hint="eastAsia"/>
          <w:szCs w:val="21"/>
        </w:rPr>
      </w:pPr>
      <w:r>
        <w:rPr>
          <w:rFonts w:hint="eastAsia"/>
          <w:szCs w:val="21"/>
        </w:rPr>
        <w:t>甲方：</w:t>
      </w:r>
      <w:r>
        <w:rPr>
          <w:rFonts w:hint="eastAsia"/>
          <w:szCs w:val="21"/>
          <w:u w:val="single"/>
        </w:rPr>
        <w:t>宁波市鄞州区五乡镇人民政府</w:t>
      </w:r>
    </w:p>
    <w:p>
      <w:pPr>
        <w:spacing w:line="360" w:lineRule="auto"/>
        <w:ind w:firstLine="420" w:firstLineChars="200"/>
        <w:contextualSpacing/>
        <w:rPr>
          <w:szCs w:val="21"/>
          <w:u w:val="single"/>
        </w:rPr>
      </w:pPr>
      <w:r>
        <w:rPr>
          <w:rFonts w:hint="eastAsia"/>
          <w:szCs w:val="21"/>
        </w:rPr>
        <w:t>乙方：</w:t>
      </w:r>
      <w:r>
        <w:rPr>
          <w:rFonts w:hint="eastAsia"/>
          <w:szCs w:val="21"/>
          <w:u w:val="single"/>
        </w:rPr>
        <w:t xml:space="preserve">      </w:t>
      </w:r>
      <w:r>
        <w:rPr>
          <w:szCs w:val="21"/>
          <w:u w:val="single"/>
        </w:rPr>
        <w:t xml:space="preserve">            </w:t>
      </w:r>
      <w:r>
        <w:rPr>
          <w:rFonts w:hint="eastAsia"/>
          <w:szCs w:val="21"/>
          <w:u w:val="single"/>
        </w:rPr>
        <w:t xml:space="preserve">                </w:t>
      </w:r>
    </w:p>
    <w:p>
      <w:pPr>
        <w:autoSpaceDN w:val="0"/>
        <w:spacing w:line="360" w:lineRule="auto"/>
        <w:ind w:firstLine="420" w:firstLineChars="200"/>
        <w:contextualSpacing/>
        <w:rPr>
          <w:rFonts w:hint="eastAsia" w:cs="宋体"/>
          <w:szCs w:val="21"/>
        </w:rPr>
      </w:pP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根据《中华人民共和国政府采购法》、《中华人民共和国政府采购法实施条例》、《中华人民共和国民法典》和相关法律、法规及</w:t>
      </w:r>
      <w:r>
        <w:rPr>
          <w:rFonts w:hint="eastAsia" w:cs="宋体"/>
          <w:kern w:val="0"/>
          <w:szCs w:val="21"/>
          <w:u w:val="single"/>
        </w:rPr>
        <w:t xml:space="preserve">                       </w:t>
      </w:r>
      <w:r>
        <w:rPr>
          <w:rFonts w:hint="eastAsia" w:cs="宋体"/>
          <w:kern w:val="0"/>
          <w:szCs w:val="21"/>
        </w:rPr>
        <w:t>公开招标采购的结果，在自愿、平等、协商一致的基础上，订立本合同。</w:t>
      </w:r>
    </w:p>
    <w:p>
      <w:pPr>
        <w:pStyle w:val="25"/>
        <w:overflowPunct/>
        <w:autoSpaceDE/>
        <w:autoSpaceDN/>
        <w:adjustRightInd/>
        <w:spacing w:line="360" w:lineRule="auto"/>
        <w:contextualSpacing/>
        <w:jc w:val="both"/>
        <w:textAlignment w:val="auto"/>
        <w:rPr>
          <w:rFonts w:hint="eastAsia" w:ascii="Times New Roman" w:hAnsi="Times New Roman"/>
          <w:b/>
          <w:sz w:val="21"/>
          <w:szCs w:val="21"/>
        </w:rPr>
      </w:pPr>
      <w:r>
        <w:rPr>
          <w:rFonts w:hint="eastAsia" w:ascii="Times New Roman" w:hAnsi="Times New Roman"/>
          <w:b/>
          <w:sz w:val="21"/>
          <w:szCs w:val="21"/>
        </w:rPr>
        <w:t>一、服务区域及主要内容</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1、服务清单：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1.1五乡道路(镇区)及公路保洁面积清单（详见附件）；</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1.2公厕保洁清单（详见附件）；</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1.3绿化养护清单（详见附件）。</w:t>
      </w:r>
    </w:p>
    <w:p>
      <w:pPr>
        <w:pStyle w:val="171"/>
        <w:spacing w:line="360" w:lineRule="auto"/>
        <w:contextualSpacing/>
        <w:rPr>
          <w:rFonts w:hint="eastAsia" w:cs="宋体"/>
          <w:kern w:val="0"/>
          <w:szCs w:val="21"/>
        </w:rPr>
      </w:pPr>
      <w:r>
        <w:rPr>
          <w:rFonts w:hint="eastAsia" w:cs="宋体"/>
          <w:kern w:val="0"/>
          <w:szCs w:val="21"/>
        </w:rPr>
        <w:t>2、服务范围：</w:t>
      </w:r>
    </w:p>
    <w:p>
      <w:pPr>
        <w:pStyle w:val="171"/>
        <w:spacing w:line="360" w:lineRule="auto"/>
        <w:contextualSpacing/>
        <w:rPr>
          <w:rFonts w:hint="eastAsia"/>
          <w:bCs/>
          <w:szCs w:val="21"/>
        </w:rPr>
      </w:pPr>
      <w:r>
        <w:rPr>
          <w:rFonts w:hint="eastAsia"/>
          <w:bCs/>
          <w:szCs w:val="21"/>
        </w:rPr>
        <w:t>2.1五乡道路（镇区）保洁以及公路保洁范围：共</w:t>
      </w:r>
      <w:r>
        <w:rPr>
          <w:bCs/>
          <w:szCs w:val="21"/>
        </w:rPr>
        <w:t>920074</w:t>
      </w:r>
      <w:r>
        <w:rPr>
          <w:rFonts w:hint="eastAsia"/>
          <w:bCs/>
          <w:szCs w:val="21"/>
        </w:rPr>
        <w:t>平方米</w:t>
      </w:r>
      <w:r>
        <w:rPr>
          <w:rFonts w:hint="eastAsia"/>
        </w:rPr>
        <w:t>，其中：</w:t>
      </w:r>
    </w:p>
    <w:p>
      <w:pPr>
        <w:spacing w:line="360" w:lineRule="auto"/>
        <w:ind w:firstLine="420" w:firstLineChars="200"/>
        <w:contextualSpacing/>
        <w:rPr>
          <w:rFonts w:hint="eastAsia"/>
        </w:rPr>
      </w:pPr>
      <w:r>
        <w:rPr>
          <w:rFonts w:hint="eastAsia"/>
        </w:rPr>
        <w:t>（1）16小时保洁：28416平方米，包括蟠龙路、西街、菜场路；</w:t>
      </w:r>
    </w:p>
    <w:p>
      <w:pPr>
        <w:spacing w:line="360" w:lineRule="auto"/>
        <w:ind w:firstLine="420" w:firstLineChars="200"/>
        <w:contextualSpacing/>
        <w:rPr>
          <w:rFonts w:hint="eastAsia"/>
        </w:rPr>
      </w:pPr>
      <w:r>
        <w:rPr>
          <w:rFonts w:hint="eastAsia"/>
        </w:rPr>
        <w:t>（2）10小时保洁：56800平方米，包括军民路、宝幢老街、爱民路、爱民南路、回江南路、镇南路、宝幢菜市场；</w:t>
      </w:r>
    </w:p>
    <w:p>
      <w:pPr>
        <w:spacing w:line="360" w:lineRule="auto"/>
        <w:ind w:firstLine="420" w:firstLineChars="200"/>
        <w:contextualSpacing/>
        <w:rPr>
          <w:rFonts w:hint="eastAsia"/>
        </w:rPr>
      </w:pPr>
      <w:r>
        <w:rPr>
          <w:rFonts w:hint="eastAsia"/>
        </w:rPr>
        <w:t>（3）8小时保洁：834858平方米，包括龙兴路、五乡北路、美迪斯路、美迪斯南路、中洲路、精达路、振兴路、三江路、金腾路、精英路、鑫穗路、金通路、善华路、四安高速桥下停车场、蟠龙北路、五乡西街延伸段、原镇南菜场北边沿河道路、***面前道路、马园新村停车场、马园新村道路、回江北路、镇南新村弄道（包括老菜场）、爱民北路、蟠龙北村弄堂、东街、堰塘路、逸夫中学东弄道、马园路南小路、旭力路、新诚村牌楼路、天童庄史丹利、皎矸樟漕路、庵桥头路、农业银行东、四安铁路桥下、李家洋火车桥南面停车场、钢材市场前二个停车场、贵玉小学东侧道路、贵玉小学南侧道路、五乡镇政府机关道路和车库、宝幢轨道交通、宝幢轨道交通公交首末站外、懋德路、马园新村、菜场南小路（新江厦超市南）、云鹤A区巷弄、云鹤B区巷弄、五乡北路、育王寺西后道路、高速公路地面道路北段、高速公路地面道路南段、五乡临时菜市场室外停车场。。</w:t>
      </w:r>
    </w:p>
    <w:p>
      <w:pPr>
        <w:spacing w:line="360" w:lineRule="auto"/>
        <w:ind w:firstLine="420" w:firstLineChars="200"/>
        <w:contextualSpacing/>
        <w:rPr>
          <w:rFonts w:hint="eastAsia"/>
          <w:bCs/>
          <w:szCs w:val="21"/>
        </w:rPr>
      </w:pPr>
      <w:r>
        <w:rPr>
          <w:rFonts w:hint="eastAsia"/>
          <w:bCs/>
          <w:szCs w:val="21"/>
        </w:rPr>
        <w:t>2.2 240立升垃圾桶清理、更换：镇区范围内的240立升垃圾桶约1200只（其中：中转站600只）。垃圾收集原则上要求每日二次，具体收集完毕时间以甲方要求为准，如遇特殊情况另行要求。乙方每年须负责更换240立升垃圾桶1200只，费用包含在合同总价中。</w:t>
      </w:r>
    </w:p>
    <w:p>
      <w:pPr>
        <w:spacing w:line="360" w:lineRule="auto"/>
        <w:ind w:firstLine="420" w:firstLineChars="200"/>
        <w:contextualSpacing/>
        <w:rPr>
          <w:rFonts w:hint="eastAsia"/>
          <w:bCs/>
          <w:szCs w:val="21"/>
        </w:rPr>
      </w:pPr>
      <w:r>
        <w:rPr>
          <w:rFonts w:hint="eastAsia"/>
          <w:bCs/>
          <w:szCs w:val="21"/>
        </w:rPr>
        <w:t>2.3果壳箱（废物箱）保洁：服务范围内的果壳箱（废物箱）约131只（329国道、宝瞻路、中车果壳箱共计88只；五乡地铁站周边18只；宝幢地铁站，宝涵路，环城南路合计25只）。</w:t>
      </w:r>
    </w:p>
    <w:p>
      <w:pPr>
        <w:spacing w:line="360" w:lineRule="auto"/>
        <w:ind w:firstLine="420" w:firstLineChars="200"/>
        <w:contextualSpacing/>
        <w:rPr>
          <w:rFonts w:hint="eastAsia"/>
          <w:bCs/>
          <w:szCs w:val="21"/>
        </w:rPr>
      </w:pPr>
      <w:r>
        <w:rPr>
          <w:rFonts w:hint="eastAsia"/>
          <w:bCs/>
          <w:szCs w:val="21"/>
        </w:rPr>
        <w:t>2.4公厕保洁及吸粪工作：五乡镇公共厕所24座，10小时保洁；乙方还需负责各村108座公厕的化粪池清理及吸粪工作。</w:t>
      </w:r>
    </w:p>
    <w:p>
      <w:pPr>
        <w:spacing w:line="360" w:lineRule="auto"/>
        <w:ind w:firstLine="420" w:firstLineChars="200"/>
        <w:contextualSpacing/>
        <w:rPr>
          <w:rFonts w:hint="eastAsia"/>
        </w:rPr>
      </w:pPr>
      <w:r>
        <w:rPr>
          <w:rFonts w:hint="eastAsia"/>
          <w:bCs/>
          <w:szCs w:val="21"/>
        </w:rPr>
        <w:t>2.5垃圾清运：</w:t>
      </w:r>
      <w:r>
        <w:rPr>
          <w:rFonts w:hint="eastAsia"/>
        </w:rPr>
        <w:t>包含村级及企事业单位垃圾桶、果壳箱垃圾（包含</w:t>
      </w:r>
      <w:r>
        <w:t>餐厨及厨余垃圾</w:t>
      </w:r>
      <w:r>
        <w:rPr>
          <w:rFonts w:hint="eastAsia"/>
        </w:rPr>
        <w:t>）的收集、倾倒、清运，垃圾统一清运至洞桥镇宁波</w:t>
      </w:r>
      <w:r>
        <w:t>明州能源环境有限公司</w:t>
      </w:r>
      <w:r>
        <w:rPr>
          <w:rFonts w:hint="eastAsia"/>
        </w:rPr>
        <w:t>或</w:t>
      </w:r>
      <w:r>
        <w:t>指定地点。</w:t>
      </w:r>
    </w:p>
    <w:p>
      <w:pPr>
        <w:spacing w:line="360" w:lineRule="auto"/>
        <w:ind w:firstLine="420" w:firstLineChars="200"/>
        <w:contextualSpacing/>
        <w:rPr>
          <w:rFonts w:hint="eastAsia"/>
          <w:bCs/>
          <w:szCs w:val="21"/>
        </w:rPr>
      </w:pPr>
      <w:r>
        <w:rPr>
          <w:rFonts w:hint="eastAsia"/>
          <w:bCs/>
          <w:szCs w:val="21"/>
        </w:rPr>
        <w:t>2.6垃圾中转站日常保洁、管理：垃圾中转站日常保洁及除臭工作，必须保证中转站周边无散落垃圾。垃圾中转站日常保洁所需的垃圾桶装车10辆及2辆车厢可卸式勾臂车等自行配置；垃圾中转站日常保洁所需的人员及耗材等由乙方按照相关标准配备【包括但不少于如下内容：配套垃圾桶装车驾驶员10人、中转站辅助工11人（其中倒桶工4人，垃圾压缩操作工4人（4台*1人/台），洗桶工2人，污水处理工1人）、站内每年新旧240立升垃圾桶替换约600只】，费用包含在投标总价中。</w:t>
      </w:r>
    </w:p>
    <w:p>
      <w:pPr>
        <w:spacing w:line="360" w:lineRule="auto"/>
        <w:ind w:firstLine="420" w:firstLineChars="200"/>
        <w:contextualSpacing/>
        <w:rPr>
          <w:rFonts w:hint="eastAsia"/>
        </w:rPr>
      </w:pPr>
      <w:r>
        <w:rPr>
          <w:rFonts w:hint="eastAsia"/>
          <w:bCs/>
          <w:szCs w:val="21"/>
        </w:rPr>
        <w:t>2.7绿化养护：</w:t>
      </w:r>
      <w:r>
        <w:rPr>
          <w:rFonts w:hint="eastAsia"/>
        </w:rPr>
        <w:t>绿化养护总面积约为329752平方米【其中公园绿地养护面积约287420平方米、行道树及绿地养护面积（包括乔木）约为42332平方米】。养护内容包括但不限于地被植物，灌木，乔木等一切植被养护（含施肥、除虫、修剪、浇水等），死苗补种，垃圾清运及处置，场地保洁，除草、花坛、树池修复，黄土回填等，维护绿化区域内的公共设施的正常使用。</w:t>
      </w:r>
    </w:p>
    <w:p>
      <w:pPr>
        <w:spacing w:line="360" w:lineRule="auto"/>
        <w:ind w:firstLine="420" w:firstLineChars="200"/>
        <w:contextualSpacing/>
        <w:outlineLvl w:val="1"/>
        <w:rPr>
          <w:rFonts w:hint="eastAsia"/>
        </w:rPr>
      </w:pPr>
      <w:r>
        <w:rPr>
          <w:rFonts w:hint="eastAsia"/>
        </w:rPr>
        <w:t>2.8绿地专项巡视范围为仁久公园、小浃江湿地公园、987高线公园，面积约104606平方米，绿地专项巡视内容包括病虫害防治巡视、水面巡视、治安巡视、防火巡视、动植物资源调查等巡视，巡视时间为8点-20点（具体时间以甲方要求为准）。</w:t>
      </w:r>
    </w:p>
    <w:p>
      <w:pPr>
        <w:spacing w:line="360" w:lineRule="auto"/>
        <w:ind w:firstLine="420" w:firstLineChars="200"/>
        <w:contextualSpacing/>
        <w:rPr>
          <w:rFonts w:hint="eastAsia"/>
          <w:bCs/>
          <w:szCs w:val="21"/>
        </w:rPr>
      </w:pPr>
      <w:r>
        <w:rPr>
          <w:rFonts w:hint="eastAsia"/>
          <w:bCs/>
          <w:szCs w:val="21"/>
        </w:rPr>
        <w:t>2.9临时建筑垃圾（包括装修垃圾）突发外运及处置。</w:t>
      </w:r>
    </w:p>
    <w:p>
      <w:pPr>
        <w:spacing w:line="360" w:lineRule="auto"/>
        <w:ind w:firstLine="420" w:firstLineChars="200"/>
        <w:contextualSpacing/>
        <w:rPr>
          <w:rFonts w:hint="eastAsia"/>
          <w:bCs/>
          <w:szCs w:val="21"/>
        </w:rPr>
      </w:pPr>
      <w:r>
        <w:rPr>
          <w:rFonts w:hint="eastAsia"/>
          <w:bCs/>
          <w:szCs w:val="21"/>
        </w:rPr>
        <w:t>2.10五乡镇329国道（起止范围：东外环-育王寺（五乡范围））沿线两边店铺垃圾收集清运。</w:t>
      </w:r>
    </w:p>
    <w:p>
      <w:pPr>
        <w:spacing w:line="360" w:lineRule="auto"/>
        <w:ind w:firstLine="420" w:firstLineChars="200"/>
        <w:contextualSpacing/>
        <w:rPr>
          <w:rFonts w:hint="eastAsia"/>
          <w:b/>
        </w:rPr>
      </w:pPr>
      <w:r>
        <w:rPr>
          <w:rFonts w:hint="eastAsia"/>
        </w:rPr>
        <w:t>2.10临时及应急任务：甲方通知的市区检查、节假日等重大活动的清扫、清理等突击型保洁任务（甲方另行安排同意补助的项目除外）。</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二、合同金额及经费结算方式</w:t>
      </w:r>
    </w:p>
    <w:p>
      <w:pPr>
        <w:pStyle w:val="25"/>
        <w:snapToGrid w:val="0"/>
        <w:spacing w:line="360" w:lineRule="auto"/>
        <w:ind w:firstLine="420" w:firstLineChars="200"/>
        <w:contextualSpacing/>
        <w:jc w:val="both"/>
        <w:rPr>
          <w:rFonts w:ascii="Times New Roman" w:hAnsi="Times New Roman"/>
          <w:bCs/>
          <w:kern w:val="2"/>
          <w:sz w:val="21"/>
          <w:szCs w:val="21"/>
        </w:rPr>
      </w:pPr>
      <w:r>
        <w:rPr>
          <w:rFonts w:hint="eastAsia" w:ascii="Times New Roman" w:hAnsi="Times New Roman"/>
          <w:sz w:val="21"/>
          <w:szCs w:val="21"/>
        </w:rPr>
        <w:t>1、本合同金额为（大写）：人民币_________________元/年（￥______元/年）。</w:t>
      </w:r>
      <w:r>
        <w:rPr>
          <w:rFonts w:hint="eastAsia" w:ascii="Times New Roman" w:hAnsi="Times New Roman"/>
          <w:bCs/>
          <w:kern w:val="2"/>
          <w:sz w:val="21"/>
          <w:szCs w:val="21"/>
        </w:rPr>
        <w:t>其中：</w:t>
      </w:r>
    </w:p>
    <w:p>
      <w:pPr>
        <w:spacing w:line="360" w:lineRule="auto"/>
        <w:ind w:firstLine="630" w:firstLineChars="300"/>
        <w:contextualSpacing/>
        <w:rPr>
          <w:bCs/>
          <w:szCs w:val="21"/>
          <w:u w:val="single"/>
        </w:rPr>
      </w:pPr>
      <w:r>
        <w:rPr>
          <w:rFonts w:hint="eastAsia" w:cs="黑体"/>
          <w:szCs w:val="21"/>
        </w:rPr>
        <w:t>中标浮动率</w:t>
      </w:r>
      <w:r>
        <w:rPr>
          <w:rFonts w:cs="黑体"/>
          <w:szCs w:val="21"/>
        </w:rPr>
        <w:t>=</w:t>
      </w:r>
      <w:r>
        <w:rPr>
          <w:rFonts w:cs="黑体"/>
          <w:szCs w:val="21"/>
          <w:u w:val="single"/>
        </w:rPr>
        <w:t>-</w:t>
      </w:r>
      <w:r>
        <w:rPr>
          <w:rFonts w:hint="eastAsia" w:cs="黑体"/>
          <w:szCs w:val="21"/>
          <w:u w:val="single"/>
        </w:rPr>
        <w:t xml:space="preserve">  %</w:t>
      </w:r>
    </w:p>
    <w:p>
      <w:pPr>
        <w:spacing w:line="360" w:lineRule="auto"/>
        <w:ind w:firstLine="420" w:firstLineChars="200"/>
        <w:contextualSpacing/>
        <w:rPr>
          <w:rFonts w:hint="eastAsia"/>
          <w:bCs/>
          <w:szCs w:val="21"/>
        </w:rPr>
      </w:pPr>
      <w:r>
        <w:rPr>
          <w:rFonts w:hint="eastAsia"/>
          <w:bCs/>
          <w:szCs w:val="21"/>
        </w:rPr>
        <w:t>2、经费结算方式</w:t>
      </w:r>
    </w:p>
    <w:p>
      <w:pPr>
        <w:spacing w:line="360" w:lineRule="auto"/>
        <w:ind w:firstLine="420" w:firstLineChars="200"/>
        <w:contextualSpacing/>
        <w:rPr>
          <w:rFonts w:hint="eastAsia"/>
          <w:bCs/>
          <w:szCs w:val="21"/>
        </w:rPr>
      </w:pPr>
      <w:r>
        <w:rPr>
          <w:rFonts w:hint="eastAsia"/>
          <w:bCs/>
          <w:szCs w:val="21"/>
        </w:rPr>
        <w:t>服务期内，道路保洁及垃圾处置费用、绿化养护费用年度总价包干，即，</w:t>
      </w:r>
    </w:p>
    <w:p>
      <w:pPr>
        <w:spacing w:line="360" w:lineRule="auto"/>
        <w:ind w:firstLine="420" w:firstLineChars="200"/>
        <w:contextualSpacing/>
        <w:rPr>
          <w:rFonts w:hint="eastAsia"/>
          <w:bCs/>
          <w:szCs w:val="21"/>
        </w:rPr>
      </w:pPr>
      <w:r>
        <w:rPr>
          <w:rFonts w:hint="eastAsia"/>
          <w:bCs/>
          <w:szCs w:val="21"/>
        </w:rPr>
        <w:t>年度合同金额=道路保洁及垃圾处置费用+绿化养护费用，其中：</w:t>
      </w:r>
    </w:p>
    <w:p>
      <w:pPr>
        <w:spacing w:line="360" w:lineRule="auto"/>
        <w:ind w:firstLine="420" w:firstLineChars="200"/>
        <w:contextualSpacing/>
        <w:rPr>
          <w:rFonts w:hint="eastAsia"/>
          <w:bCs/>
          <w:szCs w:val="21"/>
        </w:rPr>
      </w:pPr>
      <w:r>
        <w:rPr>
          <w:rFonts w:hint="eastAsia"/>
          <w:bCs/>
          <w:szCs w:val="21"/>
        </w:rPr>
        <w:t>道路保洁及垃圾处置费用=道路保洁费用+环卫车辆机械台班部分费用+五乡镇公厕保洁、垃圾中转站、垃圾车等辅助工人员年经费+五乡镇环卫保洁物料及临时建筑垃圾处置年度经费+五乡镇329国道二边店铺垃圾收集年经费</w:t>
      </w:r>
    </w:p>
    <w:p>
      <w:pPr>
        <w:spacing w:line="360" w:lineRule="auto"/>
        <w:ind w:firstLine="420" w:firstLineChars="200"/>
        <w:contextualSpacing/>
        <w:rPr>
          <w:rFonts w:hint="eastAsia"/>
          <w:bCs/>
          <w:szCs w:val="21"/>
        </w:rPr>
      </w:pPr>
      <w:r>
        <w:rPr>
          <w:rFonts w:hint="eastAsia"/>
          <w:bCs/>
          <w:szCs w:val="21"/>
        </w:rPr>
        <w:t xml:space="preserve"> 绿化养护费用=公园绿地养护费用+行道树及绿地养护费用+公园绿地专项巡视费用</w:t>
      </w:r>
    </w:p>
    <w:p>
      <w:pPr>
        <w:spacing w:line="360" w:lineRule="auto"/>
        <w:ind w:firstLine="422" w:firstLineChars="200"/>
        <w:contextualSpacing/>
        <w:rPr>
          <w:rFonts w:hint="eastAsia"/>
          <w:b/>
          <w:bCs/>
          <w:szCs w:val="21"/>
        </w:rPr>
      </w:pPr>
      <w:r>
        <w:rPr>
          <w:rFonts w:hint="eastAsia"/>
          <w:b/>
          <w:bCs/>
          <w:szCs w:val="21"/>
        </w:rPr>
        <w:t>注：（1）公园内的公厕保洁费用包含在绿化养护费用内；（2）各村垃圾筒的垃圾收集清运、垃圾筒清洁等费用已包含在合同总价内。</w:t>
      </w:r>
    </w:p>
    <w:p>
      <w:pPr>
        <w:spacing w:line="360" w:lineRule="auto"/>
        <w:ind w:firstLine="420" w:firstLineChars="200"/>
        <w:contextualSpacing/>
        <w:rPr>
          <w:bCs/>
          <w:szCs w:val="21"/>
        </w:rPr>
      </w:pPr>
      <w:r>
        <w:rPr>
          <w:rFonts w:hint="eastAsia"/>
          <w:bCs/>
          <w:szCs w:val="21"/>
        </w:rPr>
        <w:t>3、</w:t>
      </w:r>
      <w:r>
        <w:rPr>
          <w:bCs/>
          <w:szCs w:val="21"/>
        </w:rPr>
        <w:t>经费的核拨</w:t>
      </w:r>
    </w:p>
    <w:p>
      <w:pPr>
        <w:spacing w:line="360" w:lineRule="auto"/>
        <w:ind w:firstLine="420" w:firstLineChars="200"/>
        <w:contextualSpacing/>
        <w:rPr>
          <w:rFonts w:hint="eastAsia"/>
          <w:bCs/>
          <w:szCs w:val="21"/>
        </w:rPr>
      </w:pPr>
      <w:r>
        <w:rPr>
          <w:rFonts w:hint="eastAsia"/>
          <w:bCs/>
          <w:szCs w:val="21"/>
        </w:rPr>
        <w:t>服务期间的服务经费按月核拨。由甲方组成的考评组每月对乙方进行考核，按考评结果核拔总价包干费。具体方法为：</w:t>
      </w:r>
    </w:p>
    <w:p>
      <w:pPr>
        <w:spacing w:line="360" w:lineRule="auto"/>
        <w:ind w:firstLine="420" w:firstLineChars="200"/>
        <w:contextualSpacing/>
        <w:rPr>
          <w:rFonts w:hint="eastAsia"/>
          <w:bCs/>
          <w:szCs w:val="21"/>
        </w:rPr>
      </w:pPr>
      <w:r>
        <w:rPr>
          <w:rFonts w:hint="eastAsia"/>
          <w:szCs w:val="21"/>
        </w:rPr>
        <w:t>根据考评结果按月进行核拨，由甲方在次月10日之前支付给乙方</w:t>
      </w:r>
      <w:r>
        <w:rPr>
          <w:rFonts w:hint="eastAsia"/>
          <w:bCs/>
          <w:szCs w:val="21"/>
        </w:rPr>
        <w:t>；</w:t>
      </w:r>
    </w:p>
    <w:p>
      <w:pPr>
        <w:spacing w:line="360" w:lineRule="auto"/>
        <w:ind w:firstLine="420" w:firstLineChars="200"/>
        <w:contextualSpacing/>
        <w:rPr>
          <w:bCs/>
          <w:szCs w:val="21"/>
        </w:rPr>
      </w:pPr>
      <w:r>
        <w:rPr>
          <w:rFonts w:hint="eastAsia"/>
          <w:bCs/>
          <w:szCs w:val="21"/>
        </w:rPr>
        <w:t>具体公式如下：</w:t>
      </w:r>
    </w:p>
    <w:p>
      <w:pPr>
        <w:spacing w:line="360" w:lineRule="auto"/>
        <w:ind w:firstLine="420" w:firstLineChars="200"/>
        <w:contextualSpacing/>
        <w:rPr>
          <w:szCs w:val="21"/>
        </w:rPr>
      </w:pPr>
      <w:r>
        <w:rPr>
          <w:rFonts w:hint="eastAsia"/>
          <w:szCs w:val="21"/>
        </w:rPr>
        <w:t>进度款=</w:t>
      </w:r>
      <w:r>
        <w:rPr>
          <w:rFonts w:hint="eastAsia"/>
          <w:bCs/>
          <w:szCs w:val="21"/>
        </w:rPr>
        <w:t>年度合同金额</w:t>
      </w:r>
      <w:r>
        <w:rPr>
          <w:rFonts w:hint="eastAsia"/>
          <w:szCs w:val="21"/>
        </w:rPr>
        <w:t>/</w:t>
      </w:r>
      <w:r>
        <w:rPr>
          <w:szCs w:val="21"/>
        </w:rPr>
        <w:t>12</w:t>
      </w:r>
      <w:r>
        <w:rPr>
          <w:rFonts w:hint="eastAsia"/>
          <w:szCs w:val="21"/>
        </w:rPr>
        <w:t xml:space="preserve"> -当月考核扣款；</w:t>
      </w:r>
    </w:p>
    <w:p>
      <w:pPr>
        <w:spacing w:line="360" w:lineRule="auto"/>
        <w:ind w:firstLine="420" w:firstLineChars="200"/>
        <w:contextualSpacing/>
        <w:rPr>
          <w:rFonts w:hint="eastAsia"/>
          <w:szCs w:val="21"/>
        </w:rPr>
      </w:pPr>
      <w:r>
        <w:rPr>
          <w:rFonts w:hint="eastAsia"/>
          <w:szCs w:val="21"/>
        </w:rPr>
        <w:t>4、若发生服务量增加或减少，原则上由甲方统一调配并以签证认可的联系单为准，产生的费用计入发生期间所对应的月份中。</w:t>
      </w:r>
    </w:p>
    <w:p>
      <w:pPr>
        <w:spacing w:line="360" w:lineRule="auto"/>
        <w:ind w:firstLine="420" w:firstLineChars="200"/>
        <w:contextualSpacing/>
        <w:rPr>
          <w:rFonts w:hint="eastAsia"/>
          <w:szCs w:val="21"/>
        </w:rPr>
      </w:pPr>
      <w:r>
        <w:rPr>
          <w:rFonts w:hint="eastAsia"/>
          <w:szCs w:val="21"/>
        </w:rPr>
        <w:t>价格结算方式如下：</w:t>
      </w:r>
    </w:p>
    <w:p>
      <w:pPr>
        <w:spacing w:line="360" w:lineRule="auto"/>
        <w:ind w:firstLine="420" w:firstLineChars="200"/>
        <w:contextualSpacing/>
        <w:rPr>
          <w:rFonts w:cs="黑体"/>
          <w:szCs w:val="21"/>
        </w:rPr>
      </w:pPr>
      <w:r>
        <w:rPr>
          <w:rFonts w:hint="eastAsia"/>
          <w:szCs w:val="21"/>
        </w:rPr>
        <w:t>增加或减少结算金额=∑《采购人可调整变更内容清单》（见附表）内各项内容对应最高限价</w:t>
      </w:r>
      <w:r>
        <w:rPr>
          <w:rFonts w:hint="eastAsia" w:cs="黑体"/>
          <w:szCs w:val="21"/>
        </w:rPr>
        <w:t>×（1+中标浮动率）×对应新增或减少</w:t>
      </w:r>
      <w:r>
        <w:rPr>
          <w:rFonts w:hint="eastAsia"/>
          <w:szCs w:val="21"/>
        </w:rPr>
        <w:t>服务量</w:t>
      </w:r>
      <w:r>
        <w:rPr>
          <w:rFonts w:hint="eastAsia" w:cs="黑体"/>
          <w:szCs w:val="21"/>
        </w:rPr>
        <w:t>；</w:t>
      </w:r>
    </w:p>
    <w:p>
      <w:pPr>
        <w:spacing w:line="360" w:lineRule="auto"/>
        <w:ind w:firstLine="420" w:firstLineChars="200"/>
        <w:contextualSpacing/>
        <w:rPr>
          <w:rFonts w:hint="eastAsia" w:cs="黑体"/>
          <w:szCs w:val="21"/>
          <w:u w:val="single"/>
        </w:rPr>
      </w:pPr>
      <w:r>
        <w:rPr>
          <w:rFonts w:hint="eastAsia" w:cs="黑体"/>
          <w:szCs w:val="21"/>
        </w:rPr>
        <w:t>中标浮动率=年度投标总价/年度最高限价-</w:t>
      </w:r>
      <w:r>
        <w:rPr>
          <w:rFonts w:cs="黑体"/>
          <w:szCs w:val="21"/>
        </w:rPr>
        <w:t>1</w:t>
      </w:r>
      <w:r>
        <w:rPr>
          <w:rFonts w:hint="eastAsia" w:cs="黑体"/>
          <w:szCs w:val="21"/>
        </w:rPr>
        <w:t>=</w:t>
      </w:r>
      <w:r>
        <w:rPr>
          <w:rFonts w:hint="eastAsia" w:cs="黑体"/>
          <w:szCs w:val="21"/>
          <w:u w:val="single"/>
        </w:rPr>
        <w:t xml:space="preserve">    %</w:t>
      </w:r>
    </w:p>
    <w:p>
      <w:pPr>
        <w:pStyle w:val="25"/>
        <w:spacing w:line="360" w:lineRule="auto"/>
        <w:ind w:firstLine="400" w:firstLineChars="200"/>
        <w:contextualSpacing/>
        <w:jc w:val="both"/>
        <w:rPr>
          <w:rFonts w:hint="eastAsia" w:ascii="Times New Roman" w:hAnsi="Times New Roman"/>
          <w:sz w:val="21"/>
          <w:szCs w:val="21"/>
        </w:rPr>
      </w:pPr>
      <w:r>
        <w:rPr>
          <w:rFonts w:hint="eastAsia" w:ascii="Times New Roman" w:hAnsi="Times New Roman" w:cs="黑体"/>
          <w:szCs w:val="21"/>
        </w:rPr>
        <w:t>注：服务范围内，</w:t>
      </w:r>
      <w:r>
        <w:rPr>
          <w:rFonts w:hint="eastAsia" w:ascii="Times New Roman" w:hAnsi="Times New Roman"/>
          <w:szCs w:val="21"/>
        </w:rPr>
        <w:t>《采购人可调整变更内容清单》以外增加或减少的服务量，甲方不另行结算，包含在年度合同金额内。</w:t>
      </w:r>
    </w:p>
    <w:p>
      <w:pPr>
        <w:pStyle w:val="25"/>
        <w:overflowPunct/>
        <w:autoSpaceDE/>
        <w:autoSpaceDN/>
        <w:adjustRightInd/>
        <w:spacing w:line="360" w:lineRule="auto"/>
        <w:contextualSpacing/>
        <w:jc w:val="both"/>
        <w:textAlignment w:val="auto"/>
        <w:rPr>
          <w:rFonts w:hint="eastAsia" w:ascii="Times New Roman" w:hAnsi="Times New Roman"/>
          <w:b/>
          <w:sz w:val="21"/>
          <w:szCs w:val="21"/>
        </w:rPr>
      </w:pPr>
      <w:r>
        <w:rPr>
          <w:rFonts w:hint="eastAsia" w:ascii="Times New Roman" w:hAnsi="Times New Roman"/>
          <w:b/>
          <w:sz w:val="21"/>
          <w:szCs w:val="21"/>
        </w:rPr>
        <w:t>三、服务期限</w:t>
      </w:r>
    </w:p>
    <w:p>
      <w:pPr>
        <w:pStyle w:val="25"/>
        <w:spacing w:line="360" w:lineRule="auto"/>
        <w:ind w:firstLine="420" w:firstLineChars="200"/>
        <w:contextualSpacing/>
        <w:jc w:val="both"/>
        <w:rPr>
          <w:rFonts w:ascii="Times New Roman" w:hAnsi="Times New Roman" w:cs="Arial"/>
          <w:bCs/>
          <w:sz w:val="21"/>
          <w:szCs w:val="21"/>
        </w:rPr>
      </w:pPr>
      <w:r>
        <w:rPr>
          <w:rFonts w:hint="eastAsia" w:ascii="Times New Roman" w:hAnsi="Times New Roman" w:cs="Arial"/>
          <w:bCs/>
          <w:sz w:val="21"/>
          <w:szCs w:val="21"/>
        </w:rPr>
        <w:t>采用“1+1+1”模式，总期限3年，合同一年一签；第一年合同期限自2022年</w:t>
      </w:r>
      <w:r>
        <w:rPr>
          <w:rFonts w:ascii="Times New Roman" w:hAnsi="Times New Roman" w:cs="Arial"/>
          <w:bCs/>
          <w:sz w:val="21"/>
          <w:szCs w:val="21"/>
          <w:u w:val="single"/>
        </w:rPr>
        <w:t xml:space="preserve">   </w:t>
      </w:r>
      <w:r>
        <w:rPr>
          <w:rFonts w:hint="eastAsia" w:ascii="Times New Roman" w:hAnsi="Times New Roman" w:cs="Arial"/>
          <w:bCs/>
          <w:sz w:val="21"/>
          <w:szCs w:val="21"/>
        </w:rPr>
        <w:t>月</w:t>
      </w:r>
      <w:r>
        <w:rPr>
          <w:rFonts w:ascii="Times New Roman" w:hAnsi="Times New Roman" w:cs="Arial"/>
          <w:bCs/>
          <w:sz w:val="21"/>
          <w:szCs w:val="21"/>
          <w:u w:val="single"/>
        </w:rPr>
        <w:t xml:space="preserve">   </w:t>
      </w:r>
      <w:r>
        <w:rPr>
          <w:rFonts w:hint="eastAsia" w:ascii="Times New Roman" w:hAnsi="Times New Roman" w:cs="Arial"/>
          <w:bCs/>
          <w:sz w:val="21"/>
          <w:szCs w:val="21"/>
        </w:rPr>
        <w:t>日起至2023年</w:t>
      </w:r>
      <w:r>
        <w:rPr>
          <w:rFonts w:ascii="Times New Roman" w:hAnsi="Times New Roman" w:cs="Arial"/>
          <w:bCs/>
          <w:sz w:val="21"/>
          <w:szCs w:val="21"/>
          <w:u w:val="single"/>
        </w:rPr>
        <w:t xml:space="preserve">   </w:t>
      </w:r>
      <w:r>
        <w:rPr>
          <w:rFonts w:hint="eastAsia" w:ascii="Times New Roman" w:hAnsi="Times New Roman" w:cs="Arial"/>
          <w:bCs/>
          <w:sz w:val="21"/>
          <w:szCs w:val="21"/>
        </w:rPr>
        <w:t>月</w:t>
      </w:r>
      <w:r>
        <w:rPr>
          <w:rFonts w:ascii="Times New Roman" w:hAnsi="Times New Roman" w:cs="Arial"/>
          <w:bCs/>
          <w:sz w:val="21"/>
          <w:szCs w:val="21"/>
          <w:u w:val="single"/>
        </w:rPr>
        <w:t xml:space="preserve">     </w:t>
      </w:r>
      <w:r>
        <w:rPr>
          <w:rFonts w:hint="eastAsia" w:ascii="Times New Roman" w:hAnsi="Times New Roman" w:cs="Arial"/>
          <w:bCs/>
          <w:sz w:val="21"/>
          <w:szCs w:val="21"/>
        </w:rPr>
        <w:t>日止，后两年由甲方根据乙方在上一年度合同履约、养护考核等情况及财政资金审批情况决定是否续签（若因政策调整、养护模式调整等原因需要重新进行招标的，甲方有权单方面终止合同）</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bCs/>
          <w:sz w:val="21"/>
          <w:szCs w:val="21"/>
        </w:rPr>
        <w:t>四、履约保证金</w:t>
      </w:r>
    </w:p>
    <w:p>
      <w:pPr>
        <w:snapToGrid w:val="0"/>
        <w:spacing w:line="400" w:lineRule="exact"/>
        <w:ind w:firstLine="420" w:firstLineChars="200"/>
        <w:contextualSpacing/>
        <w:rPr>
          <w:rFonts w:hint="eastAsia" w:cs="宋体"/>
          <w:szCs w:val="21"/>
        </w:rPr>
      </w:pPr>
      <w:r>
        <w:rPr>
          <w:rFonts w:cs="宋体"/>
          <w:szCs w:val="21"/>
        </w:rPr>
        <w:t>1</w:t>
      </w:r>
      <w:r>
        <w:rPr>
          <w:rFonts w:hint="eastAsia" w:cs="宋体"/>
          <w:szCs w:val="21"/>
        </w:rPr>
        <w:t>、在合同签订后5个工作日内，乙方必须支付</w:t>
      </w:r>
      <w:r>
        <w:rPr>
          <w:rFonts w:hint="eastAsia" w:cs="宋体"/>
          <w:b/>
          <w:bCs/>
          <w:szCs w:val="21"/>
        </w:rPr>
        <w:t>合同总价2.5%</w:t>
      </w:r>
      <w:r>
        <w:rPr>
          <w:rFonts w:hint="eastAsia" w:cs="宋体"/>
          <w:szCs w:val="21"/>
        </w:rPr>
        <w:t>的履约保证金给甲方，计人民币</w:t>
      </w:r>
      <w:r>
        <w:rPr>
          <w:rFonts w:hint="eastAsia" w:cs="宋体"/>
          <w:szCs w:val="21"/>
          <w:u w:val="single"/>
        </w:rPr>
        <w:t xml:space="preserve"> </w:t>
      </w:r>
      <w:r>
        <w:rPr>
          <w:rFonts w:cs="宋体"/>
          <w:szCs w:val="21"/>
          <w:u w:val="single"/>
        </w:rPr>
        <w:t xml:space="preserve">          </w:t>
      </w:r>
      <w:r>
        <w:rPr>
          <w:rFonts w:hint="eastAsia" w:cs="宋体"/>
          <w:szCs w:val="21"/>
        </w:rPr>
        <w:t>元整；</w:t>
      </w:r>
    </w:p>
    <w:p>
      <w:pPr>
        <w:snapToGrid w:val="0"/>
        <w:spacing w:line="400" w:lineRule="exact"/>
        <w:ind w:firstLine="420" w:firstLineChars="200"/>
        <w:contextualSpacing/>
        <w:rPr>
          <w:rFonts w:hint="eastAsia" w:cs="宋体"/>
          <w:szCs w:val="21"/>
        </w:rPr>
      </w:pPr>
      <w:r>
        <w:rPr>
          <w:rFonts w:cs="宋体"/>
          <w:szCs w:val="21"/>
        </w:rPr>
        <w:t>2</w:t>
      </w:r>
      <w:r>
        <w:rPr>
          <w:rFonts w:hint="eastAsia" w:cs="宋体"/>
          <w:szCs w:val="21"/>
        </w:rPr>
        <w:t>、乙方任务完成并经甲方验收移交甲方后十个工作日内，甲方无息退还乙方合同履约保证金；</w:t>
      </w:r>
    </w:p>
    <w:p>
      <w:pPr>
        <w:snapToGrid w:val="0"/>
        <w:spacing w:line="400" w:lineRule="exact"/>
        <w:ind w:firstLine="420" w:firstLineChars="200"/>
        <w:contextualSpacing/>
        <w:rPr>
          <w:rFonts w:hint="eastAsia" w:cs="宋体"/>
          <w:szCs w:val="21"/>
        </w:rPr>
      </w:pPr>
      <w:r>
        <w:rPr>
          <w:rFonts w:hint="eastAsia" w:cs="宋体"/>
          <w:szCs w:val="21"/>
        </w:rPr>
        <w:t>3）因乙方原因导致本合同被解除的，乙方除承担相关责任外，甲方还将罚没乙方合同履约保证金。</w:t>
      </w:r>
    </w:p>
    <w:p>
      <w:pPr>
        <w:snapToGrid w:val="0"/>
        <w:spacing w:line="400" w:lineRule="exact"/>
        <w:ind w:firstLine="420" w:firstLineChars="200"/>
        <w:contextualSpacing/>
        <w:rPr>
          <w:rFonts w:hint="eastAsia" w:cs="宋体"/>
          <w:szCs w:val="21"/>
        </w:rPr>
      </w:pPr>
      <w:r>
        <w:rPr>
          <w:rFonts w:hint="eastAsia" w:cs="宋体"/>
          <w:szCs w:val="21"/>
        </w:rPr>
        <w:t>4）因乙方经营不善而造成拖欠工人工资或其它违反劳动合同法等法律法规的，甲方有权从履约保证金中支付相关费用。</w:t>
      </w:r>
    </w:p>
    <w:p>
      <w:pPr>
        <w:spacing w:line="400" w:lineRule="exact"/>
        <w:ind w:firstLine="420" w:firstLineChars="200"/>
        <w:contextualSpacing/>
        <w:rPr>
          <w:rFonts w:hint="eastAsia" w:cs="宋体"/>
          <w:szCs w:val="21"/>
        </w:rPr>
      </w:pPr>
      <w:r>
        <w:rPr>
          <w:rFonts w:hint="eastAsia" w:cs="宋体"/>
          <w:szCs w:val="21"/>
        </w:rPr>
        <w:t>5）乙方损坏甲方设施、设备且不按规定赔偿，甲方有权从履约保证金中支取相关赔偿费用。</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bCs/>
          <w:sz w:val="21"/>
          <w:szCs w:val="21"/>
        </w:rPr>
        <w:t>五、服务标准</w:t>
      </w:r>
    </w:p>
    <w:p>
      <w:pPr>
        <w:widowControl/>
        <w:numPr>
          <w:ilvl w:val="0"/>
          <w:numId w:val="2"/>
        </w:numPr>
        <w:autoSpaceDE w:val="0"/>
        <w:autoSpaceDN w:val="0"/>
        <w:spacing w:line="360" w:lineRule="auto"/>
        <w:ind w:firstLine="420" w:firstLineChars="200"/>
        <w:contextualSpacing/>
        <w:textAlignment w:val="bottom"/>
        <w:rPr>
          <w:rFonts w:hint="eastAsia"/>
          <w:szCs w:val="21"/>
        </w:rPr>
      </w:pPr>
      <w:r>
        <w:rPr>
          <w:rFonts w:hint="eastAsia"/>
        </w:rPr>
        <w:t>《</w:t>
      </w:r>
      <w:r>
        <w:rPr>
          <w:rFonts w:hint="eastAsia"/>
          <w:szCs w:val="21"/>
        </w:rPr>
        <w:t>鄞州区五乡镇环卫保洁及绿化养护作业质量标准及考核扣分标准</w:t>
      </w:r>
      <w:r>
        <w:rPr>
          <w:rFonts w:hint="eastAsia"/>
        </w:rPr>
        <w:t>》</w:t>
      </w:r>
    </w:p>
    <w:p>
      <w:pPr>
        <w:widowControl/>
        <w:numPr>
          <w:ilvl w:val="0"/>
          <w:numId w:val="2"/>
        </w:numPr>
        <w:autoSpaceDE w:val="0"/>
        <w:autoSpaceDN w:val="0"/>
        <w:spacing w:line="360" w:lineRule="auto"/>
        <w:ind w:firstLine="420" w:firstLineChars="200"/>
        <w:contextualSpacing/>
        <w:textAlignment w:val="bottom"/>
        <w:rPr>
          <w:rFonts w:hint="eastAsia"/>
          <w:szCs w:val="21"/>
        </w:rPr>
      </w:pPr>
      <w:r>
        <w:rPr>
          <w:rFonts w:hint="eastAsia"/>
        </w:rPr>
        <w:t>《城市环境卫生质量标准》城建【1977】21号道路保洁标准</w:t>
      </w:r>
      <w:r>
        <w:rPr>
          <w:rFonts w:hint="eastAsia"/>
          <w:szCs w:val="21"/>
        </w:rPr>
        <w:t>；</w:t>
      </w:r>
    </w:p>
    <w:p>
      <w:pPr>
        <w:widowControl/>
        <w:numPr>
          <w:ilvl w:val="0"/>
          <w:numId w:val="2"/>
        </w:numPr>
        <w:autoSpaceDE w:val="0"/>
        <w:autoSpaceDN w:val="0"/>
        <w:spacing w:line="360" w:lineRule="auto"/>
        <w:ind w:firstLine="420" w:firstLineChars="200"/>
        <w:contextualSpacing/>
        <w:textAlignment w:val="bottom"/>
        <w:rPr>
          <w:rFonts w:hint="eastAsia"/>
          <w:szCs w:val="21"/>
        </w:rPr>
      </w:pPr>
      <w:r>
        <w:rPr>
          <w:rFonts w:hint="eastAsia"/>
          <w:szCs w:val="21"/>
        </w:rPr>
        <w:t>其它甲方认可的标准及规范。</w:t>
      </w:r>
    </w:p>
    <w:p>
      <w:pPr>
        <w:widowControl/>
        <w:autoSpaceDE w:val="0"/>
        <w:autoSpaceDN w:val="0"/>
        <w:spacing w:line="360" w:lineRule="auto"/>
        <w:ind w:firstLine="420" w:firstLineChars="200"/>
        <w:contextualSpacing/>
        <w:textAlignment w:val="bottom"/>
        <w:rPr>
          <w:rFonts w:hint="eastAsia"/>
          <w:b/>
          <w:bCs/>
          <w:szCs w:val="21"/>
        </w:rPr>
      </w:pPr>
      <w:r>
        <w:rPr>
          <w:rFonts w:hint="eastAsia"/>
          <w:szCs w:val="21"/>
        </w:rPr>
        <w:t>注：本技术要求所列的规范、标准不意味着全部的或最新的，乙方必须执行国家、地方、有关机构所有相关的技术规范与标准，且确保所采用的技术规范、标准必须是国家或有关机构发布的最新版本，无论此合同在此有无提及。</w:t>
      </w:r>
    </w:p>
    <w:p>
      <w:pPr>
        <w:pStyle w:val="25"/>
        <w:overflowPunct/>
        <w:autoSpaceDE/>
        <w:autoSpaceDN/>
        <w:adjustRightInd/>
        <w:spacing w:line="360" w:lineRule="auto"/>
        <w:contextualSpacing/>
        <w:jc w:val="both"/>
        <w:textAlignment w:val="auto"/>
        <w:rPr>
          <w:rFonts w:ascii="Times New Roman" w:hAnsi="Times New Roman"/>
          <w:b/>
          <w:bCs/>
          <w:sz w:val="21"/>
          <w:szCs w:val="21"/>
        </w:rPr>
      </w:pPr>
      <w:r>
        <w:rPr>
          <w:rFonts w:hint="eastAsia" w:ascii="Times New Roman" w:hAnsi="Times New Roman"/>
          <w:b/>
          <w:bCs/>
          <w:sz w:val="21"/>
          <w:szCs w:val="21"/>
        </w:rPr>
        <w:t>六、服务要求：</w:t>
      </w:r>
    </w:p>
    <w:p>
      <w:pPr>
        <w:spacing w:line="360" w:lineRule="auto"/>
        <w:ind w:firstLine="420" w:firstLineChars="200"/>
        <w:contextualSpacing/>
        <w:rPr>
          <w:rFonts w:hint="eastAsia"/>
        </w:rPr>
      </w:pPr>
      <w:r>
        <w:rPr>
          <w:rFonts w:hint="eastAsia"/>
        </w:rPr>
        <w:t>1、保洁服务标准：由乙方实施的所有</w:t>
      </w:r>
      <w:r>
        <w:t>建成区范围内</w:t>
      </w:r>
      <w:r>
        <w:rPr>
          <w:rFonts w:hint="eastAsia"/>
        </w:rPr>
        <w:t>的保洁、养护质量均应达到保洁标准及《五乡镇环卫保洁作业质量标准》，其中道路保洁服务需至少达到《城市环境卫生质量标准》城建【1977】21号道路保洁三级标准（具体以招标文件对各路段的保洁要求为准）。在承包期限内，乙方应按照保洁养护操作规程及保洁养护质量标准，合理组织，精心养护，保质、保量完成保洁、养护任务。</w:t>
      </w:r>
    </w:p>
    <w:p>
      <w:pPr>
        <w:spacing w:line="360" w:lineRule="auto"/>
        <w:ind w:firstLine="420" w:firstLineChars="200"/>
        <w:contextualSpacing/>
        <w:rPr>
          <w:rFonts w:hint="eastAsia"/>
        </w:rPr>
      </w:pPr>
      <w:r>
        <w:rPr>
          <w:rFonts w:hint="eastAsia"/>
        </w:rPr>
        <w:t>2、道路及公路保洁要求：</w:t>
      </w:r>
    </w:p>
    <w:p>
      <w:pPr>
        <w:spacing w:line="360" w:lineRule="auto"/>
        <w:ind w:firstLine="420" w:firstLineChars="200"/>
        <w:contextualSpacing/>
        <w:rPr>
          <w:rFonts w:hint="eastAsia"/>
          <w:szCs w:val="21"/>
        </w:rPr>
      </w:pPr>
      <w:r>
        <w:rPr>
          <w:rFonts w:hint="eastAsia"/>
          <w:szCs w:val="21"/>
        </w:rPr>
        <w:t>（1）道路保洁：在保洁范围内的道路、街道、人行道、绿化带、花坛等处，做到无果壳、纸屑、尼龙袋和其他废弃物，路面做到无积水、无积泥；</w:t>
      </w:r>
      <w:r>
        <w:rPr>
          <w:rFonts w:cs="仿宋_GB2312"/>
          <w:kern w:val="0"/>
          <w:szCs w:val="21"/>
          <w:shd w:val="clear" w:color="auto" w:fill="FFFFFF"/>
        </w:rPr>
        <w:t>垃圾不得扫入窨井、花坛、绿化带、</w:t>
      </w:r>
      <w:r>
        <w:rPr>
          <w:rFonts w:hint="eastAsia" w:cs="仿宋_GB2312"/>
          <w:kern w:val="0"/>
          <w:szCs w:val="21"/>
          <w:shd w:val="clear" w:color="auto" w:fill="FFFFFF"/>
        </w:rPr>
        <w:t>道路边沟</w:t>
      </w:r>
      <w:r>
        <w:rPr>
          <w:rFonts w:cs="仿宋_GB2312"/>
          <w:kern w:val="0"/>
          <w:szCs w:val="21"/>
          <w:shd w:val="clear" w:color="auto" w:fill="FFFFFF"/>
        </w:rPr>
        <w:t>等</w:t>
      </w:r>
      <w:r>
        <w:rPr>
          <w:rFonts w:hint="eastAsia" w:cs="仿宋_GB2312"/>
          <w:kern w:val="0"/>
          <w:szCs w:val="21"/>
          <w:shd w:val="clear" w:color="auto" w:fill="FFFFFF"/>
        </w:rPr>
        <w:t>，</w:t>
      </w:r>
      <w:r>
        <w:rPr>
          <w:rFonts w:hint="eastAsia"/>
          <w:szCs w:val="21"/>
        </w:rPr>
        <w:t>道路两旁应保持清洁；沿街道路保洁作业必须清扫至建（构）筑物墙根为界；</w:t>
      </w:r>
    </w:p>
    <w:p>
      <w:pPr>
        <w:spacing w:line="360" w:lineRule="auto"/>
        <w:ind w:firstLine="420" w:firstLineChars="200"/>
        <w:contextualSpacing/>
        <w:rPr>
          <w:rFonts w:hint="eastAsia"/>
          <w:szCs w:val="21"/>
        </w:rPr>
      </w:pPr>
      <w:r>
        <w:rPr>
          <w:rFonts w:hint="eastAsia"/>
          <w:szCs w:val="21"/>
        </w:rPr>
        <w:t>（2）公路保洁：</w:t>
      </w:r>
      <w:r>
        <w:rPr>
          <w:rFonts w:hint="eastAsia"/>
          <w:bCs/>
          <w:szCs w:val="21"/>
        </w:rPr>
        <w:t>包含保洁范围内公路的路面、路肩清扫、冲洗；边沟、涵洞、隧道（仅限路面）、窨井、雨水口、果壳箱清洗及标志线（不含护栏）清洗；绿化带垃圾清除；果壳箱损坏、遗失调换；垃圾倾倒、处理；公路用地范围内及部分路段范围外白色垃圾清除等。</w:t>
      </w:r>
      <w:r>
        <w:rPr>
          <w:rFonts w:hint="eastAsia"/>
          <w:szCs w:val="21"/>
        </w:rPr>
        <w:t>公路保洁作业必须扫入界外2公尺，沿街喇叭口扫入1公尺，沿街公路保洁作业必须清扫至建（构）筑物墙根为界。</w:t>
      </w:r>
    </w:p>
    <w:p>
      <w:pPr>
        <w:widowControl/>
        <w:spacing w:line="360" w:lineRule="auto"/>
        <w:ind w:firstLine="420" w:firstLineChars="200"/>
        <w:contextualSpacing/>
        <w:rPr>
          <w:rFonts w:hint="eastAsia"/>
          <w:bCs/>
          <w:kern w:val="0"/>
          <w:szCs w:val="21"/>
        </w:rPr>
      </w:pPr>
      <w:r>
        <w:rPr>
          <w:rFonts w:hint="eastAsia"/>
          <w:bCs/>
          <w:kern w:val="0"/>
          <w:szCs w:val="21"/>
        </w:rPr>
        <w:t>（3）车辆作业频次要求及车辆清洗要求：机扫道路每日不少于4次（上下午来回各2次）。垃圾车、保洁车等设备每日清洗1次，保持外观清洁。</w:t>
      </w:r>
    </w:p>
    <w:p>
      <w:pPr>
        <w:widowControl/>
        <w:spacing w:line="360" w:lineRule="auto"/>
        <w:ind w:firstLine="420" w:firstLineChars="200"/>
        <w:contextualSpacing/>
        <w:rPr>
          <w:rFonts w:hint="eastAsia"/>
          <w:kern w:val="0"/>
          <w:szCs w:val="21"/>
        </w:rPr>
      </w:pPr>
      <w:r>
        <w:rPr>
          <w:rFonts w:hint="eastAsia"/>
          <w:kern w:val="0"/>
          <w:szCs w:val="21"/>
        </w:rPr>
        <w:t>（4）机械清扫:机扫到边、到位效果明显，路面无垃圾、无淤泥、无沙石；作业期间基本无扬尘，清扫途中无垃圾洒落；垃圾到指定地点倾倒，不得随意倾倒、偷倒、乱倒垃圾；每次倾倒垃圾时间不得超过30分钟；严格按照范围、路线、时间进行机械作业，不得随意变更。</w:t>
      </w:r>
    </w:p>
    <w:p>
      <w:pPr>
        <w:widowControl/>
        <w:spacing w:line="360" w:lineRule="auto"/>
        <w:ind w:firstLine="420" w:firstLineChars="200"/>
        <w:contextualSpacing/>
        <w:rPr>
          <w:rFonts w:hint="eastAsia"/>
          <w:kern w:val="0"/>
          <w:szCs w:val="21"/>
        </w:rPr>
      </w:pPr>
      <w:r>
        <w:rPr>
          <w:rFonts w:hint="eastAsia"/>
          <w:kern w:val="0"/>
          <w:szCs w:val="21"/>
        </w:rPr>
        <w:t>（5）清扫保洁时，垃圾不得扫入窨井、花坛、绿化带；清扫作业中不得漏扫、甩扫；交接班不得出现空挡，责任区交界处清扫保洁由相应负责的保洁公司共同清扫，垃圾在指定地点倾倒，不得焚烧垃圾。</w:t>
      </w:r>
    </w:p>
    <w:p>
      <w:pPr>
        <w:widowControl/>
        <w:spacing w:line="360" w:lineRule="auto"/>
        <w:ind w:firstLine="420" w:firstLineChars="200"/>
        <w:contextualSpacing/>
        <w:rPr>
          <w:rFonts w:hint="eastAsia"/>
          <w:kern w:val="0"/>
          <w:szCs w:val="21"/>
        </w:rPr>
      </w:pPr>
      <w:r>
        <w:rPr>
          <w:rFonts w:hint="eastAsia"/>
          <w:kern w:val="0"/>
          <w:szCs w:val="21"/>
        </w:rPr>
        <w:t>（6）机械化清扫车和洒水车出车前必须进行车辆检查，发现故障及时排除。禁止带故障运行。</w:t>
      </w:r>
    </w:p>
    <w:p>
      <w:pPr>
        <w:widowControl/>
        <w:spacing w:line="360" w:lineRule="auto"/>
        <w:ind w:firstLine="420" w:firstLineChars="200"/>
        <w:contextualSpacing/>
        <w:rPr>
          <w:rFonts w:hint="eastAsia"/>
          <w:kern w:val="0"/>
          <w:szCs w:val="21"/>
        </w:rPr>
      </w:pPr>
      <w:r>
        <w:rPr>
          <w:rFonts w:hint="eastAsia"/>
          <w:kern w:val="0"/>
          <w:szCs w:val="21"/>
        </w:rPr>
        <w:t>（7）机械化清扫车和洒水车作业时必须开警示灯或发送警示信号；机扫作业时，应喷水压尘。冲洒水作业时应适当控制水压和车速，避免把水溅到路边的行人。</w:t>
      </w:r>
    </w:p>
    <w:p>
      <w:pPr>
        <w:widowControl/>
        <w:spacing w:line="360" w:lineRule="auto"/>
        <w:ind w:firstLine="420" w:firstLineChars="200"/>
        <w:contextualSpacing/>
        <w:rPr>
          <w:rFonts w:hint="eastAsia"/>
          <w:kern w:val="0"/>
          <w:szCs w:val="21"/>
        </w:rPr>
      </w:pPr>
      <w:r>
        <w:rPr>
          <w:rFonts w:hint="eastAsia"/>
          <w:kern w:val="0"/>
          <w:szCs w:val="21"/>
        </w:rPr>
        <w:t>（8）机械化清扫车作业时，应视道路和车况实际确定优质、高效的合理车速，但最高车速不宜超过10公里/小时。</w:t>
      </w:r>
    </w:p>
    <w:p>
      <w:pPr>
        <w:widowControl/>
        <w:spacing w:line="360" w:lineRule="auto"/>
        <w:ind w:firstLine="420" w:firstLineChars="200"/>
        <w:contextualSpacing/>
        <w:rPr>
          <w:rFonts w:hint="eastAsia"/>
          <w:kern w:val="0"/>
          <w:szCs w:val="21"/>
        </w:rPr>
      </w:pPr>
      <w:r>
        <w:rPr>
          <w:rFonts w:hint="eastAsia"/>
          <w:kern w:val="0"/>
          <w:szCs w:val="21"/>
        </w:rPr>
        <w:t>（9）机械化清扫车和洒水车驾驶员在工作过程中，要遵守道路交通安全法，礼让行车，注意行人的安全。</w:t>
      </w:r>
    </w:p>
    <w:p>
      <w:pPr>
        <w:spacing w:line="360" w:lineRule="auto"/>
        <w:ind w:firstLine="420" w:firstLineChars="200"/>
        <w:contextualSpacing/>
        <w:rPr>
          <w:rFonts w:hint="eastAsia"/>
        </w:rPr>
      </w:pPr>
      <w:r>
        <w:rPr>
          <w:rFonts w:hint="eastAsia"/>
        </w:rPr>
        <w:t>3、公厕：在保洁范围内的公厕有专人保洁，做到无臭、无蝇、无溢渗、无污渍、定期消毒，并保持环境清洁。质量要求如下：</w:t>
      </w:r>
    </w:p>
    <w:p>
      <w:pPr>
        <w:spacing w:line="360" w:lineRule="auto"/>
        <w:ind w:firstLine="420" w:firstLineChars="200"/>
        <w:contextualSpacing/>
        <w:rPr>
          <w:rFonts w:hint="eastAsia"/>
        </w:rPr>
      </w:pPr>
      <w:r>
        <w:rPr>
          <w:rFonts w:hint="eastAsia"/>
        </w:rPr>
        <w:t>3.1周边环境</w:t>
      </w:r>
    </w:p>
    <w:p>
      <w:pPr>
        <w:spacing w:line="360" w:lineRule="auto"/>
        <w:ind w:firstLine="420" w:firstLineChars="200"/>
        <w:contextualSpacing/>
        <w:rPr>
          <w:rFonts w:hint="eastAsia"/>
        </w:rPr>
      </w:pPr>
      <w:r>
        <w:rPr>
          <w:rFonts w:hint="eastAsia"/>
        </w:rPr>
        <w:t>（1）公共厕所周边环境应整洁有序，周边无垃圾、粪便、污水、杂草、废土、乱堆乱挂杂物，无黄土裸露，无卫生死角。</w:t>
      </w:r>
    </w:p>
    <w:p>
      <w:pPr>
        <w:spacing w:line="360" w:lineRule="auto"/>
        <w:ind w:firstLine="420" w:firstLineChars="200"/>
        <w:contextualSpacing/>
        <w:rPr>
          <w:rFonts w:hint="eastAsia"/>
        </w:rPr>
      </w:pPr>
      <w:r>
        <w:rPr>
          <w:rFonts w:hint="eastAsia"/>
        </w:rPr>
        <w:t>（2）坡道、台阶、扶手应保持干净整洁，无垃圾、杂物、吊挂，不得有障碍物。</w:t>
      </w:r>
    </w:p>
    <w:p>
      <w:pPr>
        <w:spacing w:line="360" w:lineRule="auto"/>
        <w:ind w:firstLine="420" w:firstLineChars="200"/>
        <w:contextualSpacing/>
        <w:rPr>
          <w:rFonts w:hint="eastAsia"/>
        </w:rPr>
      </w:pPr>
      <w:r>
        <w:rPr>
          <w:rFonts w:hint="eastAsia"/>
        </w:rPr>
        <w:t>（3）化粪池、贮粪池周围场地应保持整洁，无垃圾、粪迹、污水，不得有恶臭、蝇蛆。化粪池、贮粪池不得满溢。</w:t>
      </w:r>
    </w:p>
    <w:p>
      <w:pPr>
        <w:spacing w:line="360" w:lineRule="auto"/>
        <w:ind w:firstLine="420" w:firstLineChars="200"/>
        <w:contextualSpacing/>
        <w:rPr>
          <w:rFonts w:hint="eastAsia"/>
        </w:rPr>
      </w:pPr>
      <w:r>
        <w:rPr>
          <w:rFonts w:hint="eastAsia"/>
        </w:rPr>
        <w:t>3.2内部环境</w:t>
      </w:r>
    </w:p>
    <w:p>
      <w:pPr>
        <w:spacing w:line="360" w:lineRule="auto"/>
        <w:ind w:firstLine="420" w:firstLineChars="200"/>
        <w:contextualSpacing/>
        <w:rPr>
          <w:rFonts w:hint="eastAsia"/>
        </w:rPr>
      </w:pPr>
      <w:r>
        <w:rPr>
          <w:rFonts w:hint="eastAsia"/>
        </w:rPr>
        <w:t>（1）门窗</w:t>
      </w:r>
    </w:p>
    <w:p>
      <w:pPr>
        <w:spacing w:line="360" w:lineRule="auto"/>
        <w:ind w:firstLine="420" w:firstLineChars="200"/>
        <w:contextualSpacing/>
        <w:rPr>
          <w:rFonts w:hint="eastAsia"/>
        </w:rPr>
      </w:pPr>
      <w:r>
        <w:rPr>
          <w:rFonts w:hint="eastAsia"/>
        </w:rPr>
        <w:t>门正、反面和门把手应洁净，无污迹和吊挂杂物；门缝及闭门器应无垃圾、积灰、锈蚀。</w:t>
      </w:r>
    </w:p>
    <w:p>
      <w:pPr>
        <w:spacing w:line="360" w:lineRule="auto"/>
        <w:ind w:firstLine="420" w:firstLineChars="200"/>
        <w:contextualSpacing/>
        <w:rPr>
          <w:rFonts w:hint="eastAsia"/>
        </w:rPr>
      </w:pPr>
      <w:r>
        <w:rPr>
          <w:rFonts w:hint="eastAsia"/>
        </w:rPr>
        <w:t>窗玻璃应干净明亮，窗台、窗框、窗纱、排风扇等处应无垃圾、杂物、蛛网、积灰。</w:t>
      </w:r>
    </w:p>
    <w:p>
      <w:pPr>
        <w:spacing w:line="360" w:lineRule="auto"/>
        <w:ind w:firstLine="420" w:firstLineChars="200"/>
        <w:contextualSpacing/>
      </w:pPr>
      <w:r>
        <w:rPr>
          <w:rFonts w:hint="eastAsia"/>
        </w:rPr>
        <w:t>（2）地面</w:t>
      </w:r>
    </w:p>
    <w:p>
      <w:pPr>
        <w:spacing w:line="360" w:lineRule="auto"/>
        <w:ind w:firstLine="420" w:firstLineChars="200"/>
        <w:contextualSpacing/>
      </w:pPr>
      <w:r>
        <w:rPr>
          <w:rFonts w:hint="eastAsia"/>
        </w:rPr>
        <w:t>地面应洁净，无垃圾、污迹、积水、杂物。</w:t>
      </w:r>
    </w:p>
    <w:p>
      <w:pPr>
        <w:spacing w:line="360" w:lineRule="auto"/>
        <w:ind w:firstLine="420" w:firstLineChars="200"/>
        <w:contextualSpacing/>
      </w:pPr>
      <w:r>
        <w:rPr>
          <w:rFonts w:hint="eastAsia"/>
        </w:rPr>
        <w:t>（3）厕位</w:t>
      </w:r>
    </w:p>
    <w:p>
      <w:pPr>
        <w:spacing w:line="360" w:lineRule="auto"/>
        <w:ind w:firstLine="420" w:firstLineChars="200"/>
        <w:contextualSpacing/>
      </w:pPr>
      <w:r>
        <w:rPr>
          <w:rFonts w:hint="eastAsia"/>
        </w:rPr>
        <w:t>蹲便器、座便器外侧应无水锈、粪便、污物；蹲便器、座便器内应洁净，无积粪、堵塞。</w:t>
      </w:r>
    </w:p>
    <w:p>
      <w:pPr>
        <w:spacing w:line="360" w:lineRule="auto"/>
        <w:ind w:firstLine="420" w:firstLineChars="200"/>
        <w:contextualSpacing/>
        <w:rPr>
          <w:rFonts w:hint="eastAsia"/>
        </w:rPr>
      </w:pPr>
      <w:r>
        <w:rPr>
          <w:rFonts w:hint="eastAsia"/>
        </w:rPr>
        <w:t>小便器（槽）应清洁，无垃圾、尿垢、水锈，管道沟眼应保持畅通。</w:t>
      </w:r>
    </w:p>
    <w:p>
      <w:pPr>
        <w:spacing w:line="360" w:lineRule="auto"/>
        <w:ind w:firstLine="420" w:firstLineChars="200"/>
        <w:contextualSpacing/>
      </w:pPr>
      <w:r>
        <w:rPr>
          <w:rFonts w:hint="eastAsia"/>
        </w:rPr>
        <w:t>厕位隔断板应洁净，无积灰、污迹、蛛网、乱涂乱画、广告。</w:t>
      </w:r>
    </w:p>
    <w:p>
      <w:pPr>
        <w:spacing w:line="360" w:lineRule="auto"/>
        <w:ind w:firstLine="420" w:firstLineChars="200"/>
        <w:contextualSpacing/>
      </w:pPr>
      <w:r>
        <w:rPr>
          <w:rFonts w:hint="eastAsia"/>
        </w:rPr>
        <w:t>3.3内部设施</w:t>
      </w:r>
    </w:p>
    <w:p>
      <w:pPr>
        <w:spacing w:line="360" w:lineRule="auto"/>
        <w:ind w:firstLine="420" w:firstLineChars="200"/>
        <w:contextualSpacing/>
      </w:pPr>
      <w:r>
        <w:rPr>
          <w:rFonts w:hint="eastAsia"/>
        </w:rPr>
        <w:t>（1）洗手池及台面、拖把池、搁物台、镜子完好，无积灰、污迹、蛛网、水垢、毛发、杂物、乱涂乱画。</w:t>
      </w:r>
    </w:p>
    <w:p>
      <w:pPr>
        <w:spacing w:line="360" w:lineRule="auto"/>
        <w:ind w:firstLine="420" w:firstLineChars="200"/>
        <w:contextualSpacing/>
      </w:pPr>
      <w:r>
        <w:rPr>
          <w:rFonts w:hint="eastAsia"/>
        </w:rPr>
        <w:t>（2）洗手液分配器、烘手器、除臭设备、空调、灯具及开关、拖把架、手纸盒等设备应洁净、无积灰、污迹，使用标识应清晰、无污迹。</w:t>
      </w:r>
    </w:p>
    <w:p>
      <w:pPr>
        <w:spacing w:line="360" w:lineRule="auto"/>
        <w:ind w:firstLine="420" w:firstLineChars="200"/>
        <w:contextualSpacing/>
      </w:pPr>
      <w:r>
        <w:rPr>
          <w:rFonts w:hint="eastAsia"/>
        </w:rPr>
        <w:t>（3）废物篓内废弃物不得超过废物篓的平口。</w:t>
      </w:r>
    </w:p>
    <w:p>
      <w:pPr>
        <w:spacing w:line="360" w:lineRule="auto"/>
        <w:ind w:firstLine="420" w:firstLineChars="200"/>
        <w:contextualSpacing/>
      </w:pPr>
      <w:r>
        <w:rPr>
          <w:rFonts w:hint="eastAsia"/>
        </w:rPr>
        <w:t>3.4管理房</w:t>
      </w:r>
    </w:p>
    <w:p>
      <w:pPr>
        <w:spacing w:line="360" w:lineRule="auto"/>
        <w:ind w:firstLine="420" w:firstLineChars="200"/>
        <w:contextualSpacing/>
      </w:pPr>
      <w:r>
        <w:rPr>
          <w:rFonts w:hint="eastAsia"/>
        </w:rPr>
        <w:t>公共厕所管理房不应挪作他用，室内保持整洁，不得饲养宠物。</w:t>
      </w:r>
    </w:p>
    <w:p>
      <w:pPr>
        <w:spacing w:line="360" w:lineRule="auto"/>
        <w:ind w:firstLine="420" w:firstLineChars="200"/>
        <w:contextualSpacing/>
      </w:pPr>
      <w:r>
        <w:rPr>
          <w:rFonts w:hint="eastAsia"/>
        </w:rPr>
        <w:t>3.5内外墙面及屋顶</w:t>
      </w:r>
    </w:p>
    <w:p>
      <w:pPr>
        <w:spacing w:line="360" w:lineRule="auto"/>
        <w:ind w:firstLine="420" w:firstLineChars="200"/>
        <w:contextualSpacing/>
        <w:rPr>
          <w:rFonts w:hint="eastAsia"/>
        </w:rPr>
      </w:pPr>
      <w:r>
        <w:rPr>
          <w:rFonts w:hint="eastAsia"/>
        </w:rPr>
        <w:t>（1）内外墙面和天花板应保持洁净，无积灰、污迹、渗漏、蛛网，无乱涂乱画、无张贴，不得安装或吊挂与公厕管理无关的物品。</w:t>
      </w:r>
    </w:p>
    <w:p>
      <w:pPr>
        <w:spacing w:line="360" w:lineRule="auto"/>
        <w:ind w:firstLine="420" w:firstLineChars="200"/>
        <w:contextualSpacing/>
        <w:rPr>
          <w:rFonts w:hint="eastAsia"/>
        </w:rPr>
      </w:pPr>
      <w:r>
        <w:rPr>
          <w:rFonts w:hint="eastAsia"/>
        </w:rPr>
        <w:t>（2）屋顶应无垃圾、无杂物，不得设置与公厕管理无关的物品。</w:t>
      </w:r>
    </w:p>
    <w:p>
      <w:pPr>
        <w:spacing w:line="360" w:lineRule="auto"/>
        <w:ind w:firstLine="420" w:firstLineChars="200"/>
        <w:contextualSpacing/>
        <w:rPr>
          <w:rFonts w:hint="eastAsia"/>
        </w:rPr>
      </w:pPr>
      <w:r>
        <w:rPr>
          <w:rFonts w:hint="eastAsia"/>
        </w:rPr>
        <w:t>3.6作业和工具放置</w:t>
      </w:r>
    </w:p>
    <w:p>
      <w:pPr>
        <w:spacing w:line="360" w:lineRule="auto"/>
        <w:ind w:firstLine="420" w:firstLineChars="200"/>
        <w:contextualSpacing/>
        <w:rPr>
          <w:rFonts w:hint="eastAsia"/>
        </w:rPr>
      </w:pPr>
      <w:r>
        <w:rPr>
          <w:rFonts w:hint="eastAsia"/>
        </w:rPr>
        <w:t>（1）保洁作业时宜在入口处设置提示牌。雨天和地面保洁时，应设置防滑标志和铺设防滑垫。</w:t>
      </w:r>
    </w:p>
    <w:p>
      <w:pPr>
        <w:spacing w:line="360" w:lineRule="auto"/>
        <w:ind w:firstLine="420" w:firstLineChars="200"/>
        <w:contextualSpacing/>
        <w:rPr>
          <w:rFonts w:hint="eastAsia"/>
        </w:rPr>
      </w:pPr>
      <w:r>
        <w:rPr>
          <w:rFonts w:hint="eastAsia"/>
        </w:rPr>
        <w:t>（2）清洁大小便洁具的拖把、抹布应与清洁其他设施的拖把、抹布区分使用。</w:t>
      </w:r>
    </w:p>
    <w:p>
      <w:pPr>
        <w:spacing w:line="360" w:lineRule="auto"/>
        <w:ind w:firstLine="420" w:firstLineChars="200"/>
        <w:contextualSpacing/>
        <w:rPr>
          <w:rFonts w:hint="eastAsia"/>
        </w:rPr>
      </w:pPr>
      <w:r>
        <w:rPr>
          <w:rFonts w:hint="eastAsia"/>
        </w:rPr>
        <w:t>（3）保洁作业完毕后，应将作业工具统一放置在工具间内，摆放整齐，拖把、扫把、抹布晾晒时应置于拖把架上。</w:t>
      </w:r>
    </w:p>
    <w:p>
      <w:pPr>
        <w:spacing w:line="360" w:lineRule="auto"/>
        <w:ind w:firstLine="420" w:firstLineChars="200"/>
        <w:contextualSpacing/>
        <w:rPr>
          <w:rFonts w:hint="eastAsia"/>
        </w:rPr>
      </w:pPr>
      <w:r>
        <w:rPr>
          <w:rFonts w:hint="eastAsia"/>
        </w:rPr>
        <w:t>（4）公共厕所内部通道、洗手台不应放置拖把、水桶、抹布、扫把等作业工具和其他影响视觉观瞻及通行的物品。</w:t>
      </w:r>
    </w:p>
    <w:p>
      <w:pPr>
        <w:spacing w:line="360" w:lineRule="auto"/>
        <w:ind w:firstLine="420" w:firstLineChars="200"/>
        <w:contextualSpacing/>
        <w:rPr>
          <w:rFonts w:hint="eastAsia"/>
        </w:rPr>
      </w:pPr>
      <w:r>
        <w:rPr>
          <w:rFonts w:hint="eastAsia"/>
        </w:rPr>
        <w:t>4、垃圾清运：村级及企事业单位垃圾桶（箱）的倾倒、收集、清运以及建筑垃圾、</w:t>
      </w:r>
      <w:r>
        <w:t>餐厨和厨余垃圾</w:t>
      </w:r>
      <w:r>
        <w:rPr>
          <w:rFonts w:hint="eastAsia"/>
        </w:rPr>
        <w:t>等的清运，垃圾统一运送到指定填埋场或</w:t>
      </w:r>
      <w:r>
        <w:t>指定地点。</w:t>
      </w:r>
    </w:p>
    <w:p>
      <w:pPr>
        <w:spacing w:line="360" w:lineRule="auto"/>
        <w:ind w:firstLine="420" w:firstLineChars="200"/>
        <w:contextualSpacing/>
        <w:rPr>
          <w:rFonts w:hint="eastAsia"/>
          <w:bCs/>
          <w:szCs w:val="21"/>
        </w:rPr>
      </w:pPr>
      <w:r>
        <w:rPr>
          <w:rFonts w:hint="eastAsia"/>
          <w:bCs/>
          <w:szCs w:val="21"/>
        </w:rPr>
        <w:t>5、垃圾桶、果壳箱等按标准放置并经常检查牢固程度，保持外观清洁美观完好，果壳箱损坏、遗失更换；除2</w:t>
      </w:r>
      <w:r>
        <w:rPr>
          <w:bCs/>
          <w:szCs w:val="21"/>
        </w:rPr>
        <w:t>40</w:t>
      </w:r>
      <w:r>
        <w:rPr>
          <w:rFonts w:hint="eastAsia"/>
          <w:bCs/>
          <w:szCs w:val="21"/>
        </w:rPr>
        <w:t>立升垃圾桶每日清洗一次外每日清洗一次外，其余垃圾箱（桶）等环卫设施每月至少清洗2次以上；果壳箱、垃圾桶内垃圾应及时清理，清理次数每天应不少于一次，每天保证垃圾无溢出。</w:t>
      </w:r>
    </w:p>
    <w:p>
      <w:pPr>
        <w:spacing w:line="360" w:lineRule="auto"/>
        <w:ind w:firstLine="420" w:firstLineChars="200"/>
        <w:contextualSpacing/>
        <w:rPr>
          <w:rFonts w:hint="eastAsia"/>
          <w:bCs/>
          <w:szCs w:val="21"/>
        </w:rPr>
      </w:pPr>
      <w:r>
        <w:rPr>
          <w:rFonts w:hint="eastAsia"/>
          <w:bCs/>
          <w:szCs w:val="21"/>
        </w:rPr>
        <w:t>6、垃圾桶、果壳箱等周围不允许有垃圾散落、溢出；保持无异味、无蚊蝇、无四害孳生。做到垃圾日产日清无积存垃圾，在规定时间内分类收集建筑垃圾和生活垃圾并倾倒在指定地点，垃圾运输途中不得抛洒滴漏。</w:t>
      </w:r>
    </w:p>
    <w:p>
      <w:pPr>
        <w:spacing w:line="360" w:lineRule="auto"/>
        <w:ind w:firstLine="420" w:firstLineChars="200"/>
        <w:contextualSpacing/>
        <w:rPr>
          <w:rFonts w:hint="eastAsia"/>
        </w:rPr>
      </w:pPr>
      <w:r>
        <w:rPr>
          <w:rFonts w:hint="eastAsia"/>
        </w:rPr>
        <w:t>7、绿化养护：对养护范围的花木及草坪要及时做好整枝、施肥、修剪、除虫、浇水和补缺工作，尤其高温季节更要保护好花木、草坪的养护；维护绿化区域内的公共设施的正常使用。为了花木、草坪不无故受损，要求每年整枝、修剪不少于3次，施肥2次，除虫2次，草坪修整2次。绿化整枝修剪后的废弃物，在一个工作日内清理完毕，绿化带中间无白色垃圾及废弃物，做到路面整洁，规范有序。</w:t>
      </w:r>
    </w:p>
    <w:p>
      <w:pPr>
        <w:spacing w:line="360" w:lineRule="auto"/>
        <w:ind w:firstLine="420" w:firstLineChars="200"/>
        <w:contextualSpacing/>
        <w:rPr>
          <w:rFonts w:hint="eastAsia"/>
        </w:rPr>
      </w:pPr>
      <w:r>
        <w:rPr>
          <w:rFonts w:hint="eastAsia"/>
        </w:rPr>
        <w:t>7.1树木养护质量要求：</w:t>
      </w:r>
    </w:p>
    <w:p>
      <w:pPr>
        <w:spacing w:line="360" w:lineRule="auto"/>
        <w:ind w:firstLine="420" w:firstLineChars="200"/>
        <w:contextualSpacing/>
        <w:rPr>
          <w:rFonts w:hint="eastAsia"/>
        </w:rPr>
      </w:pPr>
      <w:r>
        <w:rPr>
          <w:rFonts w:hint="eastAsia"/>
        </w:rPr>
        <w:t>整体效果：（</w:t>
      </w:r>
      <w:r>
        <w:t>1</w:t>
      </w:r>
      <w:r>
        <w:rPr>
          <w:rFonts w:hint="eastAsia"/>
        </w:rPr>
        <w:t>）树林、树丛群落结构基本合理，林冠线和林缘线基本完整；（</w:t>
      </w:r>
      <w:r>
        <w:t>2</w:t>
      </w:r>
      <w:r>
        <w:rPr>
          <w:rFonts w:hint="eastAsia"/>
        </w:rPr>
        <w:t>）孤植树树形基本完美，树冠基本饱满；（</w:t>
      </w:r>
      <w:r>
        <w:t>3</w:t>
      </w:r>
      <w:r>
        <w:rPr>
          <w:rFonts w:hint="eastAsia"/>
        </w:rPr>
        <w:t>）行道树树冠基本完整，规格基本整齐，无死树，缺株≤</w:t>
      </w:r>
      <w:r>
        <w:t>5%</w:t>
      </w:r>
      <w:r>
        <w:rPr>
          <w:rFonts w:hint="eastAsia"/>
        </w:rPr>
        <w:t>，树干基本挺直；（</w:t>
      </w:r>
      <w:r>
        <w:t>4</w:t>
      </w:r>
      <w:r>
        <w:rPr>
          <w:rFonts w:hint="eastAsia"/>
        </w:rPr>
        <w:t>）绿篱基本无缺株，修剪面平整饱满，直线处平直，曲线处弧度圆润。</w:t>
      </w:r>
    </w:p>
    <w:p>
      <w:pPr>
        <w:spacing w:line="360" w:lineRule="auto"/>
        <w:ind w:firstLine="420" w:firstLineChars="200"/>
        <w:contextualSpacing/>
        <w:rPr>
          <w:rFonts w:hint="eastAsia"/>
        </w:rPr>
      </w:pPr>
      <w:r>
        <w:rPr>
          <w:rFonts w:hint="eastAsia"/>
        </w:rPr>
        <w:t>生长势：枝叶生长正常，观花、观果树种正常开花结果，无明显枯枝。</w:t>
      </w:r>
    </w:p>
    <w:p>
      <w:pPr>
        <w:spacing w:line="360" w:lineRule="auto"/>
        <w:ind w:firstLine="420" w:firstLineChars="200"/>
        <w:contextualSpacing/>
        <w:rPr>
          <w:rFonts w:hint="eastAsia"/>
        </w:rPr>
      </w:pPr>
      <w:r>
        <w:rPr>
          <w:rFonts w:hint="eastAsia"/>
        </w:rPr>
        <w:t>排灌：（</w:t>
      </w:r>
      <w:r>
        <w:t>1</w:t>
      </w:r>
      <w:r>
        <w:rPr>
          <w:rFonts w:hint="eastAsia"/>
        </w:rPr>
        <w:t>）暴雨后0.5d内无积水；（</w:t>
      </w:r>
      <w:r>
        <w:t>2</w:t>
      </w:r>
      <w:r>
        <w:rPr>
          <w:rFonts w:hint="eastAsia"/>
        </w:rPr>
        <w:t>）植株基本无失水萎蔫和沥涝现象。</w:t>
      </w:r>
    </w:p>
    <w:p>
      <w:pPr>
        <w:spacing w:line="360" w:lineRule="auto"/>
        <w:ind w:firstLine="420" w:firstLineChars="200"/>
        <w:contextualSpacing/>
        <w:rPr>
          <w:rFonts w:hint="eastAsia"/>
        </w:rPr>
      </w:pPr>
      <w:r>
        <w:rPr>
          <w:rFonts w:hint="eastAsia"/>
        </w:rPr>
        <w:t>病虫害情况：（</w:t>
      </w:r>
      <w:r>
        <w:t>1</w:t>
      </w:r>
      <w:r>
        <w:rPr>
          <w:rFonts w:hint="eastAsia"/>
        </w:rPr>
        <w:t>）无明显的有害生物危害状；（</w:t>
      </w:r>
      <w:r>
        <w:t>2</w:t>
      </w:r>
      <w:r>
        <w:rPr>
          <w:rFonts w:hint="eastAsia"/>
        </w:rPr>
        <w:t>）整体枝叶受害率≤</w:t>
      </w:r>
      <w:r>
        <w:t>10%</w:t>
      </w:r>
      <w:r>
        <w:rPr>
          <w:rFonts w:hint="eastAsia"/>
        </w:rPr>
        <w:t>，树干受害率≤</w:t>
      </w:r>
      <w:r>
        <w:t>8%</w:t>
      </w:r>
      <w:r>
        <w:rPr>
          <w:rFonts w:hint="eastAsia"/>
        </w:rPr>
        <w:t>。</w:t>
      </w:r>
    </w:p>
    <w:p>
      <w:pPr>
        <w:spacing w:line="360" w:lineRule="auto"/>
        <w:ind w:firstLine="420" w:firstLineChars="200"/>
        <w:contextualSpacing/>
        <w:rPr>
          <w:rFonts w:hint="eastAsia"/>
        </w:rPr>
      </w:pPr>
      <w:r>
        <w:rPr>
          <w:rFonts w:hint="eastAsia"/>
        </w:rPr>
        <w:t>补植完成时间：≤</w:t>
      </w:r>
      <w:r>
        <w:t>7d</w:t>
      </w:r>
      <w:r>
        <w:rPr>
          <w:rFonts w:hint="eastAsia"/>
        </w:rPr>
        <w:t>。</w:t>
      </w:r>
    </w:p>
    <w:p>
      <w:pPr>
        <w:spacing w:line="360" w:lineRule="auto"/>
        <w:ind w:firstLine="420" w:firstLineChars="200"/>
        <w:contextualSpacing/>
        <w:rPr>
          <w:rFonts w:hint="eastAsia"/>
        </w:rPr>
      </w:pPr>
      <w:r>
        <w:rPr>
          <w:rFonts w:hint="eastAsia"/>
        </w:rPr>
        <w:t>7.2花卉养护质量</w:t>
      </w:r>
    </w:p>
    <w:p>
      <w:pPr>
        <w:spacing w:line="360" w:lineRule="auto"/>
        <w:ind w:firstLine="420" w:firstLineChars="200"/>
        <w:contextualSpacing/>
        <w:rPr>
          <w:rFonts w:hint="eastAsia"/>
        </w:rPr>
      </w:pPr>
      <w:r>
        <w:rPr>
          <w:rFonts w:hint="eastAsia"/>
        </w:rPr>
        <w:t>整体效果：（</w:t>
      </w:r>
      <w:r>
        <w:t>1</w:t>
      </w:r>
      <w:r>
        <w:rPr>
          <w:rFonts w:hint="eastAsia"/>
        </w:rPr>
        <w:t>）缺株倒伏的花苗≤</w:t>
      </w:r>
      <w:r>
        <w:t>7%</w:t>
      </w:r>
      <w:r>
        <w:rPr>
          <w:rFonts w:hint="eastAsia"/>
        </w:rPr>
        <w:t>；（</w:t>
      </w:r>
      <w:r>
        <w:t>2</w:t>
      </w:r>
      <w:r>
        <w:rPr>
          <w:rFonts w:hint="eastAsia"/>
        </w:rPr>
        <w:t>）枯叶、残花量≤</w:t>
      </w:r>
      <w:r>
        <w:t>5%</w:t>
      </w:r>
      <w:r>
        <w:rPr>
          <w:rFonts w:hint="eastAsia"/>
        </w:rPr>
        <w:t>。</w:t>
      </w:r>
    </w:p>
    <w:p>
      <w:pPr>
        <w:spacing w:line="360" w:lineRule="auto"/>
        <w:ind w:firstLine="420" w:firstLineChars="200"/>
        <w:contextualSpacing/>
        <w:rPr>
          <w:rFonts w:hint="eastAsia"/>
        </w:rPr>
      </w:pPr>
      <w:r>
        <w:rPr>
          <w:rFonts w:hint="eastAsia"/>
        </w:rPr>
        <w:t>生长势：（</w:t>
      </w:r>
      <w:r>
        <w:t>1</w:t>
      </w:r>
      <w:r>
        <w:rPr>
          <w:rFonts w:hint="eastAsia"/>
        </w:rPr>
        <w:t>）植株生长基本健壮；（</w:t>
      </w:r>
      <w:r>
        <w:t>2</w:t>
      </w:r>
      <w:r>
        <w:rPr>
          <w:rFonts w:hint="eastAsia"/>
        </w:rPr>
        <w:t>）茎干粗壮，基部分枝强健，蓬径基本饱满；（</w:t>
      </w:r>
      <w:r>
        <w:t>3</w:t>
      </w:r>
      <w:r>
        <w:rPr>
          <w:rFonts w:hint="eastAsia"/>
        </w:rPr>
        <w:t>）株高一致。</w:t>
      </w:r>
    </w:p>
    <w:p>
      <w:pPr>
        <w:spacing w:line="360" w:lineRule="auto"/>
        <w:ind w:firstLine="420" w:firstLineChars="200"/>
        <w:contextualSpacing/>
        <w:rPr>
          <w:rFonts w:hint="eastAsia"/>
        </w:rPr>
      </w:pPr>
      <w:r>
        <w:rPr>
          <w:rFonts w:hint="eastAsia"/>
        </w:rPr>
        <w:t>排灌：（</w:t>
      </w:r>
      <w:r>
        <w:t>1</w:t>
      </w:r>
      <w:r>
        <w:rPr>
          <w:rFonts w:hint="eastAsia"/>
        </w:rPr>
        <w:t>）暴雨后</w:t>
      </w:r>
      <w:r>
        <w:t>0.5d</w:t>
      </w:r>
      <w:r>
        <w:rPr>
          <w:rFonts w:hint="eastAsia"/>
        </w:rPr>
        <w:t>内无积水；（</w:t>
      </w:r>
      <w:r>
        <w:t>2</w:t>
      </w:r>
      <w:r>
        <w:rPr>
          <w:rFonts w:hint="eastAsia"/>
        </w:rPr>
        <w:t>）植株基本无失水萎蔫现象。</w:t>
      </w:r>
    </w:p>
    <w:p>
      <w:pPr>
        <w:spacing w:line="360" w:lineRule="auto"/>
        <w:ind w:firstLine="420" w:firstLineChars="200"/>
        <w:contextualSpacing/>
        <w:rPr>
          <w:rFonts w:hint="eastAsia"/>
        </w:rPr>
      </w:pPr>
      <w:r>
        <w:rPr>
          <w:rFonts w:hint="eastAsia"/>
        </w:rPr>
        <w:t>病虫害情况：（</w:t>
      </w:r>
      <w:r>
        <w:t>1</w:t>
      </w:r>
      <w:r>
        <w:rPr>
          <w:rFonts w:hint="eastAsia"/>
        </w:rPr>
        <w:t>）无明显有害生物危害状；（</w:t>
      </w:r>
      <w:r>
        <w:t>2</w:t>
      </w:r>
      <w:r>
        <w:rPr>
          <w:rFonts w:hint="eastAsia"/>
        </w:rPr>
        <w:t>）植株受害率≤</w:t>
      </w:r>
      <w:r>
        <w:t>8%</w:t>
      </w:r>
      <w:r>
        <w:rPr>
          <w:rFonts w:hint="eastAsia"/>
        </w:rPr>
        <w:t>。</w:t>
      </w:r>
    </w:p>
    <w:p>
      <w:pPr>
        <w:spacing w:line="360" w:lineRule="auto"/>
        <w:ind w:firstLine="420" w:firstLineChars="200"/>
        <w:contextualSpacing/>
        <w:rPr>
          <w:rFonts w:hint="eastAsia"/>
        </w:rPr>
      </w:pPr>
      <w:r>
        <w:rPr>
          <w:rFonts w:hint="eastAsia"/>
        </w:rPr>
        <w:t>杂草覆盖率：≤5%。</w:t>
      </w:r>
    </w:p>
    <w:p>
      <w:pPr>
        <w:spacing w:line="360" w:lineRule="auto"/>
        <w:ind w:firstLine="420" w:firstLineChars="200"/>
        <w:contextualSpacing/>
        <w:rPr>
          <w:rFonts w:hint="eastAsia"/>
        </w:rPr>
      </w:pPr>
      <w:r>
        <w:rPr>
          <w:rFonts w:hint="eastAsia"/>
        </w:rPr>
        <w:t>补植完成时间：≤</w:t>
      </w:r>
      <w:r>
        <w:t>7d</w:t>
      </w:r>
    </w:p>
    <w:p>
      <w:pPr>
        <w:spacing w:line="360" w:lineRule="auto"/>
        <w:ind w:firstLine="420" w:firstLineChars="200"/>
        <w:contextualSpacing/>
        <w:rPr>
          <w:rFonts w:hint="eastAsia"/>
        </w:rPr>
      </w:pPr>
      <w:r>
        <w:rPr>
          <w:rFonts w:hint="eastAsia"/>
        </w:rPr>
        <w:t>7.3草坪养护质量要求</w:t>
      </w:r>
    </w:p>
    <w:p>
      <w:pPr>
        <w:spacing w:line="360" w:lineRule="auto"/>
        <w:ind w:firstLine="420" w:firstLineChars="200"/>
        <w:contextualSpacing/>
        <w:rPr>
          <w:rFonts w:hint="eastAsia"/>
        </w:rPr>
      </w:pPr>
      <w:r>
        <w:rPr>
          <w:rFonts w:hint="eastAsia"/>
        </w:rPr>
        <w:t>整体效果：（1）成坪高度应符合 现行国家标准《主要花卉产品等级 第7部分：草坪》GB/T 18247.7中开放型绿地草坪二级的标准要求；（2）修剪后基本无残留草屑，剪口基本无撕裂现象。</w:t>
      </w:r>
    </w:p>
    <w:p>
      <w:pPr>
        <w:spacing w:line="360" w:lineRule="auto"/>
        <w:ind w:firstLine="420" w:firstLineChars="200"/>
        <w:contextualSpacing/>
        <w:rPr>
          <w:rFonts w:hint="eastAsia"/>
        </w:rPr>
      </w:pPr>
      <w:r>
        <w:rPr>
          <w:rFonts w:hint="eastAsia"/>
        </w:rPr>
        <w:t>生长势：生长良好。</w:t>
      </w:r>
    </w:p>
    <w:p>
      <w:pPr>
        <w:spacing w:line="360" w:lineRule="auto"/>
        <w:ind w:firstLine="420" w:firstLineChars="200"/>
        <w:contextualSpacing/>
        <w:rPr>
          <w:rFonts w:hint="eastAsia"/>
        </w:rPr>
      </w:pPr>
      <w:r>
        <w:rPr>
          <w:rFonts w:hint="eastAsia"/>
        </w:rPr>
        <w:t>排灌：（1）暴雨后0.5d内积水；（2）草坪基本无失水萎蔫现象。</w:t>
      </w:r>
    </w:p>
    <w:p>
      <w:pPr>
        <w:spacing w:line="360" w:lineRule="auto"/>
        <w:ind w:firstLine="420" w:firstLineChars="200"/>
        <w:contextualSpacing/>
        <w:rPr>
          <w:rFonts w:hint="eastAsia"/>
        </w:rPr>
      </w:pPr>
      <w:r>
        <w:rPr>
          <w:rFonts w:hint="eastAsia"/>
        </w:rPr>
        <w:t>有病虫害情况：（1）草坪草受害度应符合现行国家标准 《主要花卉产品等级 第7部分：草坪》GB/T 18247.7中开放型绿地草坪二级标准的要求；（2）杂草率应符合现行国家标准 《主要花卉产品等级 第7部分：草坪》GB/T 18247.7中开放型绿地草坪二级标准的要求。</w:t>
      </w:r>
    </w:p>
    <w:p>
      <w:pPr>
        <w:spacing w:line="360" w:lineRule="auto"/>
        <w:ind w:firstLine="420" w:firstLineChars="200"/>
        <w:contextualSpacing/>
        <w:rPr>
          <w:rFonts w:hint="eastAsia"/>
        </w:rPr>
      </w:pPr>
      <w:r>
        <w:rPr>
          <w:rFonts w:hint="eastAsia"/>
        </w:rPr>
        <w:t>覆盖度：应符合现行国家标准 《主要花卉产品等级 第7部分：草坪》GB/T 18247.7中开放型绿地草坪二级标准的要求</w:t>
      </w:r>
    </w:p>
    <w:p>
      <w:pPr>
        <w:spacing w:line="360" w:lineRule="auto"/>
        <w:ind w:firstLine="420" w:firstLineChars="200"/>
        <w:contextualSpacing/>
        <w:rPr>
          <w:rFonts w:hint="eastAsia"/>
        </w:rPr>
      </w:pPr>
      <w:r>
        <w:rPr>
          <w:rFonts w:hint="eastAsia"/>
        </w:rPr>
        <w:t>补植完成时间：≤</w:t>
      </w:r>
      <w:r>
        <w:t>7d</w:t>
      </w:r>
    </w:p>
    <w:p>
      <w:pPr>
        <w:spacing w:line="360" w:lineRule="auto"/>
        <w:ind w:firstLine="420" w:firstLineChars="200"/>
        <w:contextualSpacing/>
        <w:rPr>
          <w:rFonts w:hint="eastAsia"/>
        </w:rPr>
      </w:pPr>
      <w:r>
        <w:rPr>
          <w:rFonts w:hint="eastAsia"/>
        </w:rPr>
        <w:t>7.4水生植物养护质量要求</w:t>
      </w:r>
    </w:p>
    <w:p>
      <w:pPr>
        <w:spacing w:line="360" w:lineRule="auto"/>
        <w:ind w:firstLine="420" w:firstLineChars="200"/>
        <w:contextualSpacing/>
        <w:rPr>
          <w:rFonts w:hint="eastAsia"/>
        </w:rPr>
      </w:pPr>
      <w:r>
        <w:rPr>
          <w:rFonts w:hint="eastAsia"/>
        </w:rPr>
        <w:t>整体效果：景观效果明显。基本无残花败叶漂浮。</w:t>
      </w:r>
    </w:p>
    <w:p>
      <w:pPr>
        <w:spacing w:line="360" w:lineRule="auto"/>
        <w:ind w:firstLine="420" w:firstLineChars="200"/>
        <w:contextualSpacing/>
        <w:rPr>
          <w:rFonts w:hint="eastAsia"/>
        </w:rPr>
      </w:pPr>
      <w:r>
        <w:rPr>
          <w:rFonts w:hint="eastAsia"/>
        </w:rPr>
        <w:t>生长势：（</w:t>
      </w:r>
      <w:r>
        <w:t>1</w:t>
      </w:r>
      <w:r>
        <w:rPr>
          <w:rFonts w:hint="eastAsia"/>
        </w:rPr>
        <w:t>）植株生长良好；（2）叶色正常；观花、观果植株正常开花结果；（3）枯死植株小于≤10%。</w:t>
      </w:r>
    </w:p>
    <w:p>
      <w:pPr>
        <w:spacing w:line="360" w:lineRule="auto"/>
        <w:ind w:firstLine="420" w:firstLineChars="200"/>
        <w:contextualSpacing/>
        <w:rPr>
          <w:rFonts w:hint="eastAsia"/>
        </w:rPr>
      </w:pPr>
      <w:r>
        <w:rPr>
          <w:rFonts w:hint="eastAsia"/>
        </w:rPr>
        <w:t>排灌：暴雨后20h恢复常水位。</w:t>
      </w:r>
    </w:p>
    <w:p>
      <w:pPr>
        <w:spacing w:line="360" w:lineRule="auto"/>
        <w:ind w:firstLine="420" w:firstLineChars="200"/>
        <w:contextualSpacing/>
        <w:rPr>
          <w:rFonts w:hint="eastAsia"/>
        </w:rPr>
      </w:pPr>
      <w:r>
        <w:rPr>
          <w:rFonts w:hint="eastAsia"/>
        </w:rPr>
        <w:t>病虫害情况：无明显有害生物危害状，无杂草。</w:t>
      </w:r>
    </w:p>
    <w:p>
      <w:pPr>
        <w:spacing w:line="360" w:lineRule="auto"/>
        <w:ind w:firstLine="420" w:firstLineChars="200"/>
        <w:contextualSpacing/>
        <w:rPr>
          <w:rFonts w:hint="eastAsia"/>
        </w:rPr>
      </w:pPr>
      <w:r>
        <w:rPr>
          <w:rFonts w:hint="eastAsia"/>
        </w:rPr>
        <w:t>覆盖率：≥90%</w:t>
      </w:r>
    </w:p>
    <w:p>
      <w:pPr>
        <w:spacing w:line="360" w:lineRule="auto"/>
        <w:ind w:firstLine="420" w:firstLineChars="200"/>
        <w:contextualSpacing/>
        <w:rPr>
          <w:rFonts w:hint="eastAsia"/>
        </w:rPr>
      </w:pPr>
      <w:r>
        <w:rPr>
          <w:rFonts w:hint="eastAsia"/>
        </w:rPr>
        <w:t>补植完成时间：≤</w:t>
      </w:r>
      <w:r>
        <w:t>7d</w:t>
      </w:r>
      <w:r>
        <w:rPr>
          <w:rFonts w:hint="eastAsia"/>
        </w:rPr>
        <w:t>。</w:t>
      </w:r>
    </w:p>
    <w:p>
      <w:pPr>
        <w:spacing w:line="360" w:lineRule="auto"/>
        <w:ind w:firstLine="420" w:firstLineChars="200"/>
        <w:rPr>
          <w:rFonts w:hint="eastAsia"/>
        </w:rPr>
      </w:pPr>
      <w:r>
        <w:rPr>
          <w:rFonts w:hint="eastAsia"/>
        </w:rPr>
        <w:t>7.5公园</w:t>
      </w:r>
      <w:r>
        <w:rPr>
          <w:rFonts w:hint="eastAsia" w:cs="宋体"/>
          <w:b/>
          <w:szCs w:val="21"/>
        </w:rPr>
        <w:t>绿地保洁管理质量要求：</w:t>
      </w:r>
    </w:p>
    <w:p>
      <w:pPr>
        <w:spacing w:line="360" w:lineRule="auto"/>
        <w:ind w:firstLine="420" w:firstLineChars="200"/>
        <w:rPr>
          <w:rFonts w:hint="eastAsia" w:cs="宋体"/>
          <w:szCs w:val="21"/>
        </w:rPr>
      </w:pPr>
      <w:r>
        <w:rPr>
          <w:rFonts w:hint="eastAsia" w:cs="宋体"/>
          <w:szCs w:val="21"/>
        </w:rPr>
        <w:t>（1）绿地、树穴、园路、广场及公园内基本整洁，地面无渣土、垃圾纸屑、果壳、烟头及石块等杂物，叶面无陈旧性积尘，园路平整，无坑洼、无积水。</w:t>
      </w:r>
    </w:p>
    <w:p>
      <w:pPr>
        <w:spacing w:line="360" w:lineRule="auto"/>
        <w:ind w:firstLine="420" w:firstLineChars="200"/>
        <w:rPr>
          <w:rFonts w:hint="eastAsia" w:cs="宋体"/>
          <w:szCs w:val="21"/>
        </w:rPr>
      </w:pPr>
      <w:r>
        <w:rPr>
          <w:rFonts w:hint="eastAsia" w:cs="宋体"/>
          <w:szCs w:val="21"/>
        </w:rPr>
        <w:t>（2）广场、绿地内水体整洁卫生、无漂浮杂物、无杂物。</w:t>
      </w:r>
    </w:p>
    <w:p>
      <w:pPr>
        <w:spacing w:line="360" w:lineRule="auto"/>
        <w:ind w:firstLine="420" w:firstLineChars="200"/>
        <w:rPr>
          <w:rFonts w:hint="eastAsia" w:cs="宋体"/>
          <w:szCs w:val="21"/>
        </w:rPr>
      </w:pPr>
      <w:r>
        <w:rPr>
          <w:rFonts w:hint="eastAsia" w:cs="宋体"/>
          <w:szCs w:val="21"/>
        </w:rPr>
        <w:t>（3）无焚烧垃圾树叶现象，垃圾日产日清，无卫生死角。</w:t>
      </w:r>
    </w:p>
    <w:p>
      <w:pPr>
        <w:spacing w:line="360" w:lineRule="auto"/>
        <w:ind w:firstLine="420" w:firstLineChars="200"/>
        <w:rPr>
          <w:rFonts w:hint="eastAsia" w:cs="宋体"/>
          <w:szCs w:val="21"/>
        </w:rPr>
      </w:pPr>
      <w:r>
        <w:rPr>
          <w:rFonts w:hint="eastAsia" w:cs="宋体"/>
          <w:szCs w:val="21"/>
        </w:rPr>
        <w:t>（4）绿篱、树穴平时实行8小时动态保洁，有节假日或重要活动时，做到1</w:t>
      </w:r>
      <w:r>
        <w:rPr>
          <w:rFonts w:cs="宋体"/>
          <w:szCs w:val="21"/>
        </w:rPr>
        <w:t>2</w:t>
      </w:r>
      <w:r>
        <w:rPr>
          <w:rFonts w:hint="eastAsia" w:cs="宋体"/>
          <w:szCs w:val="21"/>
        </w:rPr>
        <w:t>小时保洁。</w:t>
      </w:r>
    </w:p>
    <w:p>
      <w:pPr>
        <w:spacing w:line="360" w:lineRule="auto"/>
        <w:ind w:firstLine="420" w:firstLineChars="200"/>
        <w:contextualSpacing/>
        <w:rPr>
          <w:rFonts w:hint="eastAsia"/>
        </w:rPr>
      </w:pPr>
      <w:r>
        <w:rPr>
          <w:rFonts w:hint="eastAsia"/>
        </w:rPr>
        <w:t>（5）绿地内（含水生植物区域）无白色垃圾，白色垃圾停留时间不超过15分钟。</w:t>
      </w:r>
    </w:p>
    <w:p>
      <w:pPr>
        <w:spacing w:line="360" w:lineRule="auto"/>
        <w:ind w:firstLine="420" w:firstLineChars="200"/>
        <w:contextualSpacing/>
        <w:rPr>
          <w:rFonts w:hint="eastAsia"/>
        </w:rPr>
      </w:pPr>
      <w:r>
        <w:rPr>
          <w:rFonts w:hint="eastAsia"/>
        </w:rPr>
        <w:t>（6）广场路面每日清扫2次。北京时间7点前，完成园路广场硬地全面清扫。保持清洁，无有色垃圾（瓶罐、瓜皮、果壳、纸屑等）及枯死枝、落叶；无污迹、油迹；无积泥、无积水。窨井眼无堵塞，不得将垃圾扫至河面、绿篱内，不得有卫生死角。垃圾停留时间不超过15分钟。</w:t>
      </w:r>
    </w:p>
    <w:p>
      <w:pPr>
        <w:spacing w:line="360" w:lineRule="auto"/>
        <w:ind w:firstLine="420" w:firstLineChars="200"/>
        <w:contextualSpacing/>
        <w:rPr>
          <w:rFonts w:hint="eastAsia"/>
        </w:rPr>
      </w:pPr>
      <w:r>
        <w:rPr>
          <w:rFonts w:hint="eastAsia"/>
          <w:bCs/>
          <w:szCs w:val="21"/>
        </w:rPr>
        <w:t>8、垃圾中转站日常保洁：乙方需做好垃圾中转站日常保洁及除臭工作，需保证中转站周边无散落垃圾。</w:t>
      </w:r>
      <w:r>
        <w:rPr>
          <w:rFonts w:hint="eastAsia"/>
        </w:rPr>
        <w:t>垃圾中转站规章制度规范齐全，各类制度上墙。场内垃圾做到日产日清，中转站内设施、设备保养良好，操作台、车厢保持清洁，垃圾压缩车离站前清理倒斗内暴露垃圾、拖挂杂物。地坑内四壁无污渍，污水管道畅通，零星垃圾清理干净。责任区域内场地、休息间整洁，无零星垃圾、蛛网、积水、积泥，无乱堆放杂物，四壁瓷面无积灰、污水迹。中转站工作人员禁止在工作场地内拾废品。工作完毕，场地内外冲洗干净，工具摆放整齐。</w:t>
      </w:r>
    </w:p>
    <w:p>
      <w:pPr>
        <w:widowControl/>
        <w:spacing w:line="360" w:lineRule="auto"/>
        <w:ind w:firstLine="420" w:firstLineChars="200"/>
        <w:contextualSpacing/>
        <w:rPr>
          <w:rFonts w:hint="eastAsia"/>
          <w:kern w:val="0"/>
          <w:szCs w:val="21"/>
        </w:rPr>
      </w:pPr>
      <w:r>
        <w:rPr>
          <w:rFonts w:hint="eastAsia"/>
          <w:bCs/>
          <w:szCs w:val="21"/>
        </w:rPr>
        <w:t>9、五乡镇329国道沿线两边店铺垃圾收集：</w:t>
      </w:r>
      <w:r>
        <w:rPr>
          <w:rFonts w:hint="eastAsia"/>
          <w:kern w:val="0"/>
          <w:szCs w:val="21"/>
        </w:rPr>
        <w:t>每日不少于2次，时间为10:00和16：00左右（乙方根据实际情况，时间可作适当调整），做到日产日清，不过夜。</w:t>
      </w:r>
    </w:p>
    <w:p>
      <w:pPr>
        <w:pStyle w:val="25"/>
        <w:overflowPunct/>
        <w:autoSpaceDE/>
        <w:autoSpaceDN/>
        <w:adjustRightInd/>
        <w:snapToGrid w:val="0"/>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bCs/>
          <w:sz w:val="21"/>
        </w:rPr>
        <w:t>七、人员配置：</w:t>
      </w:r>
    </w:p>
    <w:p>
      <w:pPr>
        <w:pStyle w:val="25"/>
        <w:numPr>
          <w:ilvl w:val="0"/>
          <w:numId w:val="3"/>
        </w:numPr>
        <w:overflowPunct/>
        <w:autoSpaceDE/>
        <w:autoSpaceDN/>
        <w:adjustRightInd/>
        <w:snapToGrid w:val="0"/>
        <w:spacing w:line="360" w:lineRule="auto"/>
        <w:ind w:firstLine="422" w:firstLineChars="200"/>
        <w:contextualSpacing/>
        <w:jc w:val="both"/>
        <w:textAlignment w:val="auto"/>
        <w:rPr>
          <w:rFonts w:hint="eastAsia" w:ascii="Times New Roman" w:hAnsi="Times New Roman"/>
          <w:b/>
          <w:bCs/>
          <w:sz w:val="21"/>
          <w:szCs w:val="21"/>
        </w:rPr>
      </w:pPr>
      <w:r>
        <w:rPr>
          <w:rFonts w:hint="eastAsia" w:ascii="Times New Roman" w:hAnsi="Times New Roman"/>
          <w:b/>
          <w:bCs/>
          <w:sz w:val="21"/>
          <w:szCs w:val="21"/>
        </w:rPr>
        <w:t>项目负责人</w:t>
      </w:r>
    </w:p>
    <w:p>
      <w:pPr>
        <w:pStyle w:val="25"/>
        <w:snapToGrid w:val="0"/>
        <w:spacing w:line="360" w:lineRule="auto"/>
        <w:ind w:firstLine="420" w:firstLineChars="200"/>
        <w:contextualSpacing/>
        <w:jc w:val="both"/>
        <w:rPr>
          <w:rFonts w:hint="eastAsia" w:ascii="Times New Roman" w:hAnsi="Times New Roman"/>
          <w:sz w:val="21"/>
        </w:rPr>
      </w:pPr>
      <w:r>
        <w:rPr>
          <w:rFonts w:hint="eastAsia" w:ascii="Times New Roman" w:hAnsi="Times New Roman"/>
          <w:sz w:val="21"/>
        </w:rPr>
        <w:t>项目负责人姓名：</w:t>
      </w:r>
      <w:r>
        <w:rPr>
          <w:rFonts w:hint="eastAsia" w:ascii="Times New Roman" w:hAnsi="Times New Roman"/>
          <w:sz w:val="21"/>
          <w:u w:val="single"/>
        </w:rPr>
        <w:t xml:space="preserve">            </w:t>
      </w:r>
      <w:r>
        <w:rPr>
          <w:rFonts w:hint="eastAsia" w:ascii="Times New Roman" w:hAnsi="Times New Roman"/>
          <w:sz w:val="21"/>
        </w:rPr>
        <w:t>，性别：</w:t>
      </w:r>
      <w:r>
        <w:rPr>
          <w:rFonts w:hint="eastAsia" w:ascii="Times New Roman" w:hAnsi="Times New Roman"/>
          <w:sz w:val="21"/>
          <w:u w:val="single"/>
        </w:rPr>
        <w:t xml:space="preserve">      </w:t>
      </w:r>
      <w:r>
        <w:rPr>
          <w:rFonts w:hint="eastAsia" w:ascii="Times New Roman" w:hAnsi="Times New Roman"/>
          <w:sz w:val="21"/>
        </w:rPr>
        <w:t>，身份证号码：</w:t>
      </w:r>
      <w:r>
        <w:rPr>
          <w:rFonts w:hint="eastAsia" w:ascii="Times New Roman" w:hAnsi="Times New Roman"/>
          <w:sz w:val="21"/>
          <w:u w:val="single"/>
        </w:rPr>
        <w:t xml:space="preserve">                  </w:t>
      </w:r>
      <w:r>
        <w:rPr>
          <w:rFonts w:hint="eastAsia" w:ascii="Times New Roman" w:hAnsi="Times New Roman"/>
          <w:sz w:val="21"/>
        </w:rPr>
        <w:t>。</w:t>
      </w:r>
    </w:p>
    <w:p>
      <w:pPr>
        <w:pStyle w:val="25"/>
        <w:numPr>
          <w:ilvl w:val="0"/>
          <w:numId w:val="3"/>
        </w:numPr>
        <w:overflowPunct/>
        <w:autoSpaceDE/>
        <w:autoSpaceDN/>
        <w:adjustRightInd/>
        <w:snapToGrid w:val="0"/>
        <w:spacing w:line="360" w:lineRule="auto"/>
        <w:ind w:firstLine="422" w:firstLineChars="200"/>
        <w:contextualSpacing/>
        <w:jc w:val="both"/>
        <w:textAlignment w:val="auto"/>
        <w:rPr>
          <w:rFonts w:hint="eastAsia" w:ascii="Times New Roman" w:hAnsi="Times New Roman"/>
          <w:b/>
          <w:bCs/>
          <w:sz w:val="21"/>
          <w:szCs w:val="21"/>
        </w:rPr>
      </w:pPr>
      <w:r>
        <w:rPr>
          <w:rFonts w:hint="eastAsia" w:ascii="Times New Roman" w:hAnsi="Times New Roman"/>
          <w:b/>
          <w:bCs/>
          <w:sz w:val="21"/>
          <w:szCs w:val="21"/>
        </w:rPr>
        <w:t>作业人员：</w:t>
      </w:r>
    </w:p>
    <w:p>
      <w:pPr>
        <w:pStyle w:val="25"/>
        <w:snapToGrid w:val="0"/>
        <w:spacing w:line="360" w:lineRule="auto"/>
        <w:ind w:firstLine="420" w:firstLineChars="200"/>
        <w:contextualSpacing/>
        <w:jc w:val="both"/>
        <w:rPr>
          <w:rFonts w:hint="eastAsia" w:ascii="Times New Roman" w:hAnsi="Times New Roman"/>
          <w:sz w:val="21"/>
          <w:szCs w:val="21"/>
        </w:rPr>
      </w:pPr>
      <w:r>
        <w:rPr>
          <w:rFonts w:hint="eastAsia" w:ascii="Times New Roman" w:hAnsi="Times New Roman" w:cs="Arial"/>
          <w:bCs/>
          <w:sz w:val="21"/>
          <w:szCs w:val="21"/>
        </w:rPr>
        <w:t>2.1乙方将配备完毕并经甲方审核的作业人员名单附于本合同后作为附件</w:t>
      </w:r>
      <w:r>
        <w:rPr>
          <w:rFonts w:ascii="Times New Roman" w:hAnsi="Times New Roman" w:cs="Arial"/>
          <w:bCs/>
          <w:sz w:val="21"/>
          <w:szCs w:val="21"/>
        </w:rPr>
        <w:t>5</w:t>
      </w:r>
      <w:r>
        <w:rPr>
          <w:rFonts w:hint="eastAsia" w:ascii="Times New Roman" w:hAnsi="Times New Roman" w:cs="Arial"/>
          <w:bCs/>
          <w:sz w:val="21"/>
          <w:szCs w:val="21"/>
        </w:rPr>
        <w:t>。</w:t>
      </w:r>
    </w:p>
    <w:p>
      <w:pPr>
        <w:pStyle w:val="25"/>
        <w:snapToGrid w:val="0"/>
        <w:spacing w:line="360" w:lineRule="auto"/>
        <w:ind w:firstLine="420" w:firstLineChars="200"/>
        <w:contextualSpacing/>
        <w:jc w:val="both"/>
        <w:rPr>
          <w:rFonts w:hint="eastAsia" w:ascii="Times New Roman" w:hAnsi="Times New Roman" w:cs="Arial"/>
          <w:bCs/>
          <w:sz w:val="21"/>
          <w:szCs w:val="21"/>
        </w:rPr>
      </w:pPr>
      <w:r>
        <w:rPr>
          <w:rFonts w:hint="eastAsia" w:ascii="Times New Roman" w:hAnsi="Times New Roman" w:cs="Arial"/>
          <w:bCs/>
          <w:sz w:val="21"/>
          <w:szCs w:val="21"/>
        </w:rPr>
        <w:t>2.2乙方配备的男性作业人员、女性作业人员年龄最高不得超过法定年龄。</w:t>
      </w:r>
    </w:p>
    <w:p>
      <w:pPr>
        <w:pStyle w:val="25"/>
        <w:overflowPunct/>
        <w:autoSpaceDE/>
        <w:autoSpaceDN/>
        <w:adjustRightInd/>
        <w:spacing w:line="360" w:lineRule="auto"/>
        <w:contextualSpacing/>
        <w:jc w:val="both"/>
        <w:textAlignment w:val="auto"/>
        <w:rPr>
          <w:rFonts w:hint="eastAsia" w:ascii="Times New Roman" w:hAnsi="Times New Roman"/>
          <w:b/>
          <w:sz w:val="21"/>
          <w:szCs w:val="21"/>
        </w:rPr>
      </w:pPr>
      <w:r>
        <w:rPr>
          <w:rFonts w:hint="eastAsia" w:ascii="Times New Roman" w:hAnsi="Times New Roman"/>
          <w:b/>
          <w:sz w:val="21"/>
          <w:szCs w:val="21"/>
        </w:rPr>
        <w:t>八、车辆要求</w:t>
      </w:r>
    </w:p>
    <w:p>
      <w:pPr>
        <w:pStyle w:val="25"/>
        <w:spacing w:line="360" w:lineRule="auto"/>
        <w:ind w:firstLine="420" w:firstLineChars="200"/>
        <w:contextualSpacing/>
        <w:jc w:val="both"/>
        <w:rPr>
          <w:rFonts w:hint="eastAsia" w:ascii="Times New Roman" w:hAnsi="Times New Roman"/>
          <w:b/>
          <w:sz w:val="21"/>
          <w:szCs w:val="21"/>
        </w:rPr>
      </w:pPr>
      <w:r>
        <w:rPr>
          <w:rFonts w:hint="eastAsia" w:ascii="Times New Roman" w:hAnsi="Times New Roman" w:cs="宋体"/>
          <w:sz w:val="21"/>
          <w:szCs w:val="21"/>
        </w:rPr>
        <w:t>车辆详见附件</w:t>
      </w:r>
      <w:r>
        <w:rPr>
          <w:rFonts w:ascii="Times New Roman" w:hAnsi="Times New Roman" w:cs="宋体"/>
          <w:sz w:val="21"/>
          <w:szCs w:val="21"/>
        </w:rPr>
        <w:t>6</w:t>
      </w:r>
      <w:r>
        <w:rPr>
          <w:rFonts w:hint="eastAsia" w:ascii="Times New Roman" w:hAnsi="Times New Roman" w:cs="宋体"/>
          <w:sz w:val="21"/>
          <w:szCs w:val="21"/>
        </w:rPr>
        <w:t>：车辆配置清单</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九、转包或分包</w:t>
      </w:r>
    </w:p>
    <w:p>
      <w:pPr>
        <w:widowControl/>
        <w:numPr>
          <w:ilvl w:val="0"/>
          <w:numId w:val="4"/>
        </w:numPr>
        <w:spacing w:line="360" w:lineRule="auto"/>
        <w:ind w:firstLine="420" w:firstLineChars="200"/>
        <w:contextualSpacing/>
        <w:rPr>
          <w:rFonts w:hint="eastAsia"/>
          <w:szCs w:val="21"/>
        </w:rPr>
      </w:pPr>
      <w:r>
        <w:rPr>
          <w:rFonts w:hint="eastAsia"/>
          <w:szCs w:val="21"/>
        </w:rPr>
        <w:t>本合同范围的服务，应由乙方直接供应，不得转让他人供应；</w:t>
      </w:r>
    </w:p>
    <w:p>
      <w:pPr>
        <w:widowControl/>
        <w:numPr>
          <w:ilvl w:val="0"/>
          <w:numId w:val="4"/>
        </w:numPr>
        <w:spacing w:line="360" w:lineRule="auto"/>
        <w:ind w:firstLine="420" w:firstLineChars="200"/>
        <w:contextualSpacing/>
        <w:rPr>
          <w:rFonts w:hint="eastAsia"/>
          <w:szCs w:val="21"/>
        </w:rPr>
      </w:pPr>
      <w:r>
        <w:rPr>
          <w:rFonts w:hint="eastAsia"/>
          <w:szCs w:val="21"/>
        </w:rPr>
        <w:t>如有转让的分包行为，甲方有权解除合同，没收履约保证金并追究乙方的违约责任。</w:t>
      </w:r>
    </w:p>
    <w:p>
      <w:pPr>
        <w:pStyle w:val="25"/>
        <w:overflowPunct/>
        <w:autoSpaceDE/>
        <w:autoSpaceDN/>
        <w:adjustRightInd/>
        <w:spacing w:line="360" w:lineRule="auto"/>
        <w:contextualSpacing/>
        <w:jc w:val="both"/>
        <w:textAlignment w:val="auto"/>
        <w:rPr>
          <w:rFonts w:hint="eastAsia" w:ascii="Times New Roman" w:hAnsi="Times New Roman"/>
          <w:b/>
          <w:sz w:val="21"/>
          <w:szCs w:val="21"/>
        </w:rPr>
      </w:pPr>
      <w:r>
        <w:rPr>
          <w:rFonts w:hint="eastAsia" w:ascii="Times New Roman" w:hAnsi="Times New Roman"/>
          <w:b/>
          <w:sz w:val="21"/>
          <w:szCs w:val="21"/>
        </w:rPr>
        <w:t>十、其他要求</w:t>
      </w:r>
    </w:p>
    <w:p>
      <w:pPr>
        <w:widowControl/>
        <w:spacing w:line="360" w:lineRule="auto"/>
        <w:ind w:firstLine="422" w:firstLineChars="200"/>
        <w:contextualSpacing/>
        <w:rPr>
          <w:rFonts w:hint="eastAsia"/>
          <w:bCs/>
          <w:kern w:val="32"/>
          <w:szCs w:val="32"/>
        </w:rPr>
      </w:pPr>
      <w:r>
        <w:rPr>
          <w:rFonts w:hint="eastAsia"/>
          <w:b/>
          <w:szCs w:val="21"/>
        </w:rPr>
        <w:t>1、</w:t>
      </w:r>
      <w:r>
        <w:rPr>
          <w:rFonts w:hint="eastAsia" w:cs="宋体"/>
          <w:kern w:val="0"/>
          <w:szCs w:val="21"/>
        </w:rPr>
        <w:t>本项目要求实现智慧环卫管控，要求乙方具有可满足甲方要求的智慧环卫管控系统。</w:t>
      </w:r>
    </w:p>
    <w:p>
      <w:pPr>
        <w:widowControl/>
        <w:spacing w:line="360" w:lineRule="auto"/>
        <w:ind w:firstLine="420" w:firstLineChars="200"/>
        <w:contextualSpacing/>
        <w:rPr>
          <w:bCs/>
          <w:szCs w:val="21"/>
        </w:rPr>
      </w:pPr>
      <w:r>
        <w:rPr>
          <w:rFonts w:hint="eastAsia"/>
          <w:bCs/>
          <w:szCs w:val="21"/>
        </w:rPr>
        <w:t>系统要求如下：</w:t>
      </w:r>
    </w:p>
    <w:p>
      <w:pPr>
        <w:widowControl/>
        <w:spacing w:line="360" w:lineRule="auto"/>
        <w:ind w:firstLine="420" w:firstLineChars="200"/>
        <w:contextualSpacing/>
        <w:rPr>
          <w:rFonts w:hint="eastAsia" w:cs="ËÎÌå"/>
          <w:bCs/>
          <w:kern w:val="0"/>
          <w:szCs w:val="21"/>
        </w:rPr>
      </w:pPr>
      <w:r>
        <w:rPr>
          <w:rFonts w:hint="eastAsia"/>
          <w:bCs/>
          <w:szCs w:val="21"/>
        </w:rPr>
        <w:t>①</w:t>
      </w:r>
      <w:r>
        <w:rPr>
          <w:rFonts w:hint="eastAsia" w:cs="宋体"/>
          <w:bCs/>
          <w:kern w:val="0"/>
          <w:szCs w:val="21"/>
        </w:rPr>
        <w:t>系统</w:t>
      </w:r>
      <w:r>
        <w:rPr>
          <w:rFonts w:hint="eastAsia"/>
          <w:bCs/>
          <w:kern w:val="0"/>
          <w:szCs w:val="21"/>
        </w:rPr>
        <w:t>应用及后台管理程序应实现的核心功能：</w:t>
      </w:r>
      <w:r>
        <w:rPr>
          <w:rFonts w:cs="ËÎÌå"/>
          <w:bCs/>
          <w:kern w:val="0"/>
          <w:szCs w:val="21"/>
        </w:rPr>
        <w:t>1）提供</w:t>
      </w:r>
      <w:r>
        <w:rPr>
          <w:rFonts w:hint="eastAsia" w:cs="ËÎÌå"/>
          <w:bCs/>
          <w:kern w:val="0"/>
          <w:szCs w:val="21"/>
        </w:rPr>
        <w:t>作业</w:t>
      </w:r>
      <w:r>
        <w:rPr>
          <w:rFonts w:cs="ËÎÌå"/>
          <w:bCs/>
          <w:kern w:val="0"/>
          <w:szCs w:val="21"/>
        </w:rPr>
        <w:t>人员位置信息服务；</w:t>
      </w:r>
      <w:r>
        <w:rPr>
          <w:rFonts w:hint="eastAsia" w:cs="ËÎÌå"/>
          <w:bCs/>
          <w:kern w:val="0"/>
          <w:szCs w:val="21"/>
        </w:rPr>
        <w:t>2</w:t>
      </w:r>
      <w:r>
        <w:rPr>
          <w:rFonts w:cs="ËÎÌå"/>
          <w:bCs/>
          <w:kern w:val="0"/>
          <w:szCs w:val="21"/>
        </w:rPr>
        <w:t>）电子签到功能：当</w:t>
      </w:r>
      <w:r>
        <w:rPr>
          <w:rFonts w:hint="eastAsia" w:cs="ËÎÌå"/>
          <w:bCs/>
          <w:kern w:val="0"/>
          <w:szCs w:val="21"/>
        </w:rPr>
        <w:t>作业人员到达作业位置时，通过近场通讯技术进行签到，</w:t>
      </w:r>
      <w:r>
        <w:rPr>
          <w:rFonts w:cs="ËÎÌå"/>
          <w:bCs/>
          <w:kern w:val="0"/>
          <w:szCs w:val="21"/>
        </w:rPr>
        <w:t>系统记录下时间、地点等，并进行考核和统计</w:t>
      </w:r>
      <w:r>
        <w:rPr>
          <w:rFonts w:hint="eastAsia" w:cs="ËÎÌå"/>
          <w:bCs/>
          <w:kern w:val="0"/>
          <w:szCs w:val="21"/>
        </w:rPr>
        <w:t>；3</w:t>
      </w:r>
      <w:r>
        <w:rPr>
          <w:rFonts w:cs="ËÎÌå"/>
          <w:bCs/>
          <w:kern w:val="0"/>
          <w:szCs w:val="21"/>
        </w:rPr>
        <w:t>）</w:t>
      </w:r>
      <w:r>
        <w:rPr>
          <w:rFonts w:hint="eastAsia" w:cs="ËÎÌå"/>
          <w:bCs/>
          <w:kern w:val="0"/>
          <w:szCs w:val="21"/>
        </w:rPr>
        <w:t>实现</w:t>
      </w:r>
      <w:r>
        <w:rPr>
          <w:rFonts w:hint="eastAsia"/>
          <w:szCs w:val="21"/>
        </w:rPr>
        <w:t>对于保洁养护区域的实时监控。</w:t>
      </w:r>
    </w:p>
    <w:p>
      <w:pPr>
        <w:pStyle w:val="104"/>
        <w:widowControl/>
        <w:spacing w:line="360" w:lineRule="auto"/>
        <w:contextualSpacing/>
        <w:rPr>
          <w:rFonts w:hint="eastAsia"/>
          <w:kern w:val="0"/>
          <w:szCs w:val="21"/>
        </w:rPr>
      </w:pPr>
      <w:r>
        <w:rPr>
          <w:rFonts w:hint="eastAsia"/>
          <w:bCs/>
          <w:kern w:val="0"/>
          <w:szCs w:val="21"/>
        </w:rPr>
        <w:t>③其他要求：1）</w:t>
      </w:r>
      <w:r>
        <w:rPr>
          <w:rFonts w:hint="eastAsia"/>
          <w:szCs w:val="21"/>
        </w:rPr>
        <w:t>对于区域服务对象（五乡镇居民）提供便捷的在线服务窗口；2）</w:t>
      </w:r>
      <w:r>
        <w:rPr>
          <w:rFonts w:hint="eastAsia"/>
          <w:kern w:val="0"/>
          <w:szCs w:val="21"/>
        </w:rPr>
        <w:t>为甲方管理人员开设系统账户，使甲方管理人员通过系统远程管理和监督保洁养护工作。</w:t>
      </w:r>
    </w:p>
    <w:p>
      <w:pPr>
        <w:spacing w:line="360" w:lineRule="auto"/>
        <w:ind w:firstLine="420" w:firstLineChars="200"/>
        <w:contextualSpacing/>
        <w:rPr>
          <w:rFonts w:hint="eastAsia"/>
          <w:bCs/>
          <w:szCs w:val="21"/>
        </w:rPr>
      </w:pPr>
      <w:r>
        <w:rPr>
          <w:rFonts w:hint="eastAsia"/>
        </w:rPr>
        <w:t>2、</w:t>
      </w:r>
      <w:r>
        <w:t>乙方必须重视安全生产工作，确保全年不出安全生产责任事故。如发生安全生产责任事故或交通事故，由投标</w:t>
      </w:r>
      <w:r>
        <w:rPr>
          <w:rFonts w:hint="eastAsia"/>
        </w:rPr>
        <w:t>单位</w:t>
      </w:r>
      <w:r>
        <w:t>承担一切责任及损失。</w:t>
      </w:r>
    </w:p>
    <w:p>
      <w:pPr>
        <w:spacing w:line="360" w:lineRule="auto"/>
        <w:ind w:firstLine="420" w:firstLineChars="200"/>
        <w:contextualSpacing/>
        <w:rPr>
          <w:rFonts w:hint="eastAsia"/>
        </w:rPr>
      </w:pPr>
      <w:r>
        <w:rPr>
          <w:rFonts w:hint="eastAsia"/>
        </w:rPr>
        <w:t>3、合同期限内，本合同保洁清单中的240立升垃圾桶如发生人为减少及毁损的，乙方应予以及时补齐或修复，所需费用由乙方承担，同时乙方要加强对垃圾桶放置位置和牢固程度的检查。240立升垃圾桶更新镇区按每年约600只核算、垃圾中转站按每年约600只核算，费用包含在合同总价中，乙方负责垃圾桶的采购、安装；果壳箱等的更新、增添由乙方申请提出，镇环卫站进行核实确认后报甲方评估决定是否实施更新、增添，如实施，乙方负责安装。果壳箱如发生人为减少及损坏的，由乙方负责添置，费用由乙方自理。如因不可抗力（台风、洪水等）原因造成损坏，则经镇环卫站核实确认后报甲方批准添置，乙方负责安装。</w:t>
      </w:r>
    </w:p>
    <w:p>
      <w:pPr>
        <w:spacing w:line="360" w:lineRule="auto"/>
        <w:ind w:firstLine="420" w:firstLineChars="200"/>
        <w:contextualSpacing/>
        <w:rPr>
          <w:rFonts w:hint="eastAsia"/>
        </w:rPr>
      </w:pPr>
      <w:r>
        <w:rPr>
          <w:rFonts w:hint="eastAsia"/>
        </w:rPr>
        <w:t>4、乙方应定期向甲方提供保洁管理计划及有关措施，按要求及时向甲方上报各类报表及数据，以便甲方进行监督考核。</w:t>
      </w:r>
    </w:p>
    <w:p>
      <w:pPr>
        <w:spacing w:line="360" w:lineRule="auto"/>
        <w:ind w:firstLine="420" w:firstLineChars="200"/>
        <w:contextualSpacing/>
        <w:rPr>
          <w:rFonts w:hint="eastAsia"/>
        </w:rPr>
      </w:pPr>
      <w:r>
        <w:rPr>
          <w:rFonts w:hint="eastAsia"/>
        </w:rPr>
        <w:t>5、乙方在搞好日常保洁、清运等工作的同时，必须配合甲方参加市、区布置的各项节目或重大活动的临时布置任务。</w:t>
      </w:r>
    </w:p>
    <w:p>
      <w:pPr>
        <w:spacing w:line="360" w:lineRule="auto"/>
        <w:ind w:firstLine="420" w:firstLineChars="200"/>
        <w:contextualSpacing/>
        <w:rPr>
          <w:rFonts w:hint="eastAsia"/>
        </w:rPr>
      </w:pPr>
      <w:r>
        <w:rPr>
          <w:rFonts w:hint="eastAsia"/>
        </w:rPr>
        <w:t>6、乙方不得无故拖欠本项目配置员工的工资，否则甲方有权终止拨付服务经费。</w:t>
      </w:r>
    </w:p>
    <w:p>
      <w:pPr>
        <w:spacing w:line="360" w:lineRule="auto"/>
        <w:ind w:firstLine="420" w:firstLineChars="200"/>
        <w:contextualSpacing/>
        <w:rPr>
          <w:rFonts w:hint="eastAsia"/>
        </w:rPr>
      </w:pPr>
      <w:r>
        <w:rPr>
          <w:rFonts w:hint="eastAsia"/>
        </w:rPr>
        <w:t>7、乙方要加强员工教育，防止出现偷窃垃圾桶卖给企事业单位的现象，如经查实有该现象，除重新添置垃圾桶外另按损失额的5倍进行罚款。</w:t>
      </w:r>
    </w:p>
    <w:p>
      <w:pPr>
        <w:spacing w:line="360" w:lineRule="auto"/>
        <w:ind w:firstLine="420" w:firstLineChars="200"/>
        <w:contextualSpacing/>
        <w:rPr>
          <w:rFonts w:hint="eastAsia"/>
        </w:rPr>
      </w:pPr>
      <w:r>
        <w:rPr>
          <w:rFonts w:hint="eastAsia"/>
        </w:rPr>
        <w:t>8、本项目实施过程所需的一切劳动力、材料、设备和服务与管理由乙方自行负责，所需费用由乙方承担。</w:t>
      </w:r>
    </w:p>
    <w:p>
      <w:pPr>
        <w:spacing w:line="360" w:lineRule="auto"/>
        <w:ind w:firstLine="420" w:firstLineChars="200"/>
        <w:contextualSpacing/>
        <w:rPr>
          <w:rFonts w:hint="eastAsia"/>
        </w:rPr>
      </w:pPr>
      <w:r>
        <w:rPr>
          <w:rFonts w:hint="eastAsia"/>
        </w:rPr>
        <w:t>9、承包期间如发生道路面积变化或其他保洁范围增减引起的费用调整，由甲方确认同意后按实结算。</w:t>
      </w:r>
    </w:p>
    <w:p>
      <w:pPr>
        <w:spacing w:line="360" w:lineRule="auto"/>
        <w:ind w:firstLine="420" w:firstLineChars="200"/>
        <w:contextualSpacing/>
        <w:rPr>
          <w:rFonts w:hint="eastAsia"/>
        </w:rPr>
      </w:pPr>
      <w:r>
        <w:rPr>
          <w:rFonts w:hint="eastAsia"/>
        </w:rPr>
        <w:t>10、因自然灾害等不可抗力因素造成经济损失的，由双方共同协商妥善处理。</w:t>
      </w:r>
    </w:p>
    <w:p>
      <w:pPr>
        <w:spacing w:line="360" w:lineRule="auto"/>
        <w:ind w:firstLine="420" w:firstLineChars="200"/>
        <w:contextualSpacing/>
        <w:rPr>
          <w:rFonts w:hint="eastAsia"/>
        </w:rPr>
      </w:pPr>
      <w:r>
        <w:rPr>
          <w:rFonts w:hint="eastAsia"/>
        </w:rPr>
        <w:t>11、承包期间如发生施工开挖或其他人为原因对道路保洁质量造成影响的，经甲方核实同意后，乙方负责清理，所需费用由甲方核算同意后拨付。</w:t>
      </w:r>
    </w:p>
    <w:p>
      <w:pPr>
        <w:spacing w:line="360" w:lineRule="auto"/>
        <w:ind w:firstLine="420" w:firstLineChars="200"/>
        <w:contextualSpacing/>
        <w:rPr>
          <w:rFonts w:hint="eastAsia"/>
        </w:rPr>
      </w:pPr>
      <w:r>
        <w:rPr>
          <w:rFonts w:hint="eastAsia"/>
        </w:rPr>
        <w:t>12、五乡镇垃圾清运的目的地为洞桥镇宁波</w:t>
      </w:r>
      <w:r>
        <w:t>明州能源环境有限公司</w:t>
      </w:r>
      <w:r>
        <w:rPr>
          <w:rFonts w:hint="eastAsia"/>
        </w:rPr>
        <w:t>；如需运至其他填埋场，根据运输距离的增加（或减少）的费用，该增减费用不再调整。</w:t>
      </w:r>
    </w:p>
    <w:p>
      <w:pPr>
        <w:spacing w:line="360" w:lineRule="auto"/>
        <w:ind w:firstLine="420" w:firstLineChars="200"/>
        <w:contextualSpacing/>
        <w:rPr>
          <w:rFonts w:hint="eastAsia"/>
        </w:rPr>
      </w:pPr>
      <w:r>
        <w:rPr>
          <w:rFonts w:hint="eastAsia"/>
        </w:rPr>
        <w:t>13、合同终止时乙方应妥善处理好与职工的劳动关系，及时办理好移交手续。</w:t>
      </w:r>
    </w:p>
    <w:p>
      <w:pPr>
        <w:pStyle w:val="25"/>
        <w:spacing w:line="360" w:lineRule="auto"/>
        <w:contextualSpacing/>
        <w:jc w:val="both"/>
        <w:rPr>
          <w:rFonts w:hint="eastAsia" w:ascii="Times New Roman" w:hAnsi="Times New Roman"/>
          <w:b/>
          <w:bCs/>
          <w:sz w:val="21"/>
          <w:szCs w:val="21"/>
        </w:rPr>
      </w:pPr>
      <w:r>
        <w:rPr>
          <w:rFonts w:hint="eastAsia" w:ascii="Times New Roman" w:hAnsi="Times New Roman"/>
          <w:b/>
          <w:bCs/>
          <w:sz w:val="21"/>
          <w:szCs w:val="21"/>
        </w:rPr>
        <w:t>十一、考核细则</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（一）考核范围及内容：</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范围：（1）区级公路、镇村二级道路、街道、人行道、绿化带、花坛、公园等处路面、路肩、边沟、涵洞、隧道（仅限路面）、窨井、雨水口、绿化带垃圾清扫保洁；果壳箱（桶）、保洁车和垃圾车等设施设备保洁。（2）公厕保洁；（3）垃圾清运；（4）果壳箱、垃圾桶内垃圾收集；（5）绿化养护；（6）垃圾中转站日常保洁。</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考核内容：一是作业规范执行情况，包括清扫保洁时间和清扫配车、配员、机扫频次、冲洗和洒水频次、机械化作业要求、人工作业规范、安全作业规定、环卫工具和垃圾收集点管理等；二是道路清扫保洁质量，包括白天和夜间的路面废弃物控制、道路尘土量和本色呈现率等；三是上级部门及领导督办、公众监督的处理情况，包括上级部门和领导交办问题的处理情况、新闻媒体曝光、市民投诉等。</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（二）考核标准：依据《鄞州区五乡镇环卫保洁及绿化养护作业质量标准及考核扣分标准》进行。</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（三）考核方式：</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1、考核方法：</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（1）综合考核：每月组织一次综合考核。综合考核为定期通知考核，由甲方统一组织，保洁公司项目经理陪同考核，依据《鄞州区五乡镇环卫保洁及绿化养护作业质量标准及考核扣分标准》进行考评。</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日常考核：由甲方组织巡查人员每天分二组对道路清扫保洁、公厕保洁、垃圾清运、作业管理、设备设施保洁、绿化养护质量等工作进行日常考核，在巡查考核过程中发现问题后立即拨打此标段保洁公司项目经理电话及一线保洁员现场解决，并填写《鄞州区五乡镇保洁作业巡查记录表》，对所反映的问题在当天第二次巡查时仍未整改的一律扣分，并填入《五乡镇保洁作业考核处罚单》，并要求公司项目经理在处罚通知单上签字，确认被罚事实。如公司项目经理拒绝签字的，考核人员应在处罚联和存根联上注明，并以现场拍照或摄像为准，将加重处罚。考核处罚单于月末进行汇总，填入《鄞州区五乡镇环卫保洁及绿化养护作业质量标准及考核扣分标准》月报表。</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 xml:space="preserve">（3）其他考核：其他考核包括上级领导视察、重大活动、专项活动中没有按要求落实，存在问题的；领导交办的事项不按要求落实的；媒体曝光通过核实属保洁公司责任的；市民投诉经查属实不妥善处理的。对发生以上问题的承包路段，每次扣0.2分，由甲方按照《鄞州区五乡镇环卫保洁及绿化养护作业质量标准及考核扣分标准》从该承包路段环境卫生当月的总分中直接扣分。 </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计分办法：考核采用百分制倒扣计分法，环卫保洁及绿化养护月总分为100分，其中日常考核基准分为60分，考核中每一项内容未达标按《鄞州区五乡镇环卫保洁及绿化养护作业质量标准及考核扣分标准》扣分；综合考核基准分为40分, 考核中每一项内容未达标按《鄞州区五乡镇环卫保洁及绿化养护作业质量标准及考核扣分标准》加倍扣分。</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3、评定标准：月考核95分以上视为优秀，月考核80分以上（含80分）视为合格，一年内连续3个月或累计4个月月考核分在合格以下，视为作业质量严重不达标。</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4、考核结果：考核结果作为保洁公司支付当月保洁服务费的依据。考核结果每月以通报形式报送分管领导及被考核单位。</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（四）奖罚措施</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1、落实环卫保洁扣分扣款制度</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（1）考核得分在80分（不含80分）以下的，每低于1分相应扣除当月清扫保洁费500元；70分以下的加倍扣款，即每低于1分相应扣除当月清扫保洁服务费2000元，以此类推。</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根据区级的通报和督办情况及媒体监督的情况进行处罚。凡受到区镇二级领导点名批评、通报、督办或受到报纸、电视等媒体监督曝光的，经查证属实，每宗扣款1000元，并以此类推。同时，其存在的问题仍按《鄞州区五乡镇环卫保洁及绿化养护作业质量标准及考核扣分标准》进行扣分。</w:t>
      </w:r>
    </w:p>
    <w:p>
      <w:pPr>
        <w:pStyle w:val="25"/>
        <w:spacing w:line="360" w:lineRule="auto"/>
        <w:ind w:firstLine="420" w:firstLineChars="200"/>
        <w:contextualSpacing/>
        <w:jc w:val="both"/>
        <w:rPr>
          <w:rFonts w:hint="eastAsia" w:ascii="Times New Roman" w:hAnsi="Times New Roman"/>
          <w:bCs/>
          <w:sz w:val="21"/>
          <w:szCs w:val="21"/>
        </w:rPr>
      </w:pPr>
      <w:r>
        <w:rPr>
          <w:rFonts w:hint="eastAsia" w:ascii="Times New Roman" w:hAnsi="Times New Roman"/>
          <w:bCs/>
          <w:sz w:val="21"/>
          <w:szCs w:val="21"/>
        </w:rPr>
        <w:t>2、引入环卫外包服务竞争淘汰机制</w:t>
      </w:r>
    </w:p>
    <w:p>
      <w:pPr>
        <w:pStyle w:val="25"/>
        <w:overflowPunct/>
        <w:autoSpaceDE/>
        <w:autoSpaceDN/>
        <w:adjustRightInd/>
        <w:spacing w:line="360" w:lineRule="auto"/>
        <w:ind w:firstLine="420" w:firstLineChars="200"/>
        <w:contextualSpacing/>
        <w:jc w:val="both"/>
        <w:textAlignment w:val="auto"/>
        <w:rPr>
          <w:rFonts w:hint="eastAsia" w:ascii="Times New Roman" w:hAnsi="Times New Roman"/>
          <w:bCs/>
          <w:sz w:val="21"/>
          <w:szCs w:val="21"/>
        </w:rPr>
      </w:pPr>
      <w:r>
        <w:rPr>
          <w:rFonts w:hint="eastAsia" w:ascii="Times New Roman" w:hAnsi="Times New Roman"/>
          <w:bCs/>
          <w:sz w:val="21"/>
          <w:szCs w:val="21"/>
        </w:rPr>
        <w:t>连续3个月或同一年度内累计有4个月考核得分80分以下的清扫保洁服务企业，甲方可以按合同中约定解除合同，同时甲方可重新组织招标，以确定新的清扫保洁企业接管。</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bCs/>
          <w:sz w:val="21"/>
          <w:szCs w:val="21"/>
        </w:rPr>
        <w:t>十二、违约责任</w:t>
      </w:r>
    </w:p>
    <w:p>
      <w:pPr>
        <w:widowControl/>
        <w:numPr>
          <w:ilvl w:val="0"/>
          <w:numId w:val="5"/>
        </w:numPr>
        <w:spacing w:line="360" w:lineRule="auto"/>
        <w:ind w:firstLine="420" w:firstLineChars="200"/>
        <w:contextualSpacing/>
        <w:rPr>
          <w:rFonts w:hint="eastAsia"/>
          <w:bCs/>
          <w:szCs w:val="21"/>
        </w:rPr>
      </w:pPr>
      <w:r>
        <w:rPr>
          <w:rFonts w:hint="eastAsia"/>
          <w:szCs w:val="21"/>
        </w:rPr>
        <w:t>合同期限内，甲、乙双方任一方不得擅自单方解除合同，不得擅自将合同全部或部分转让给第三方，若乙方违反，甲方有权提前解除合同。</w:t>
      </w:r>
    </w:p>
    <w:p>
      <w:pPr>
        <w:widowControl/>
        <w:numPr>
          <w:ilvl w:val="0"/>
          <w:numId w:val="5"/>
        </w:numPr>
        <w:spacing w:line="360" w:lineRule="auto"/>
        <w:ind w:firstLine="420" w:firstLineChars="200"/>
        <w:contextualSpacing/>
        <w:rPr>
          <w:rFonts w:hint="eastAsia"/>
          <w:bCs/>
          <w:szCs w:val="21"/>
        </w:rPr>
      </w:pPr>
      <w:r>
        <w:rPr>
          <w:rFonts w:hint="eastAsia" w:cs="Arial"/>
          <w:bCs/>
          <w:szCs w:val="21"/>
        </w:rPr>
        <w:t>合同履行期间，乙方发生行贿或重大刑事案件的，甲方有权直接单方解除合同。</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十三、税费</w:t>
      </w:r>
    </w:p>
    <w:p>
      <w:pPr>
        <w:pStyle w:val="25"/>
        <w:spacing w:line="360" w:lineRule="auto"/>
        <w:ind w:firstLine="420" w:firstLineChars="200"/>
        <w:contextualSpacing/>
        <w:jc w:val="both"/>
        <w:rPr>
          <w:rFonts w:hint="eastAsia" w:ascii="Times New Roman" w:hAnsi="Times New Roman"/>
          <w:b/>
          <w:bCs/>
          <w:sz w:val="21"/>
          <w:szCs w:val="21"/>
        </w:rPr>
      </w:pPr>
      <w:r>
        <w:rPr>
          <w:rFonts w:hint="eastAsia" w:ascii="Times New Roman" w:hAnsi="Times New Roman"/>
          <w:sz w:val="21"/>
          <w:szCs w:val="21"/>
        </w:rPr>
        <w:t>本合同执行中相关的一切税费均由乙方负担。</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十四、不可抗力</w:t>
      </w:r>
    </w:p>
    <w:p>
      <w:pPr>
        <w:pStyle w:val="25"/>
        <w:numPr>
          <w:ilvl w:val="0"/>
          <w:numId w:val="6"/>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在合同有效期内，因自然灾害等不可抗力因素造成本合同项目经济损失的，甲、乙双方共同协商妥善解决。</w:t>
      </w:r>
    </w:p>
    <w:p>
      <w:pPr>
        <w:pStyle w:val="25"/>
        <w:numPr>
          <w:ilvl w:val="0"/>
          <w:numId w:val="6"/>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不可抗力事件发生后，应立即通知对方，并寄送有关权威机构出具的证明。</w:t>
      </w:r>
    </w:p>
    <w:p>
      <w:pPr>
        <w:pStyle w:val="25"/>
        <w:numPr>
          <w:ilvl w:val="0"/>
          <w:numId w:val="6"/>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不可抗力事件延续120天以上，双方应通过友好协商，确定是否继续履行合同。</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十五、诉讼</w:t>
      </w:r>
    </w:p>
    <w:p>
      <w:pPr>
        <w:pStyle w:val="25"/>
        <w:spacing w:line="360" w:lineRule="auto"/>
        <w:ind w:firstLine="420" w:firstLineChars="200"/>
        <w:contextualSpacing/>
        <w:jc w:val="both"/>
        <w:rPr>
          <w:rFonts w:hint="eastAsia" w:ascii="Times New Roman" w:hAnsi="Times New Roman"/>
          <w:b/>
          <w:bCs/>
          <w:sz w:val="21"/>
          <w:szCs w:val="21"/>
        </w:rPr>
      </w:pPr>
      <w:r>
        <w:rPr>
          <w:rFonts w:hint="eastAsia" w:ascii="Times New Roman" w:hAnsi="Times New Roman"/>
          <w:sz w:val="21"/>
          <w:szCs w:val="21"/>
        </w:rPr>
        <w:t>双方在执行合同中所发生的一切争议，应通过协商解决。如协商不成，可向甲方所在地法院起诉。</w:t>
      </w:r>
    </w:p>
    <w:p>
      <w:pPr>
        <w:pStyle w:val="25"/>
        <w:overflowPunct/>
        <w:autoSpaceDE/>
        <w:autoSpaceDN/>
        <w:adjustRightInd/>
        <w:spacing w:line="360" w:lineRule="auto"/>
        <w:contextualSpacing/>
        <w:jc w:val="both"/>
        <w:textAlignment w:val="auto"/>
        <w:rPr>
          <w:rFonts w:hint="eastAsia" w:ascii="Times New Roman" w:hAnsi="Times New Roman"/>
          <w:b/>
          <w:bCs/>
          <w:sz w:val="21"/>
          <w:szCs w:val="21"/>
        </w:rPr>
      </w:pPr>
      <w:r>
        <w:rPr>
          <w:rFonts w:hint="eastAsia" w:ascii="Times New Roman" w:hAnsi="Times New Roman"/>
          <w:b/>
          <w:sz w:val="21"/>
          <w:szCs w:val="21"/>
        </w:rPr>
        <w:t>十六、合同生效</w:t>
      </w:r>
    </w:p>
    <w:p>
      <w:pPr>
        <w:pStyle w:val="25"/>
        <w:numPr>
          <w:ilvl w:val="0"/>
          <w:numId w:val="7"/>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合同经双方法定代表人或授权代表签字并加盖单位公章后生效。</w:t>
      </w:r>
    </w:p>
    <w:p>
      <w:pPr>
        <w:pStyle w:val="25"/>
        <w:numPr>
          <w:ilvl w:val="0"/>
          <w:numId w:val="7"/>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本合同招标文件、乙方投标文件作为合同附件，对合同条款具有补充作用。</w:t>
      </w:r>
    </w:p>
    <w:p>
      <w:pPr>
        <w:pStyle w:val="25"/>
        <w:numPr>
          <w:ilvl w:val="0"/>
          <w:numId w:val="7"/>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合同执行中涉及采购资金和采购内容修改或补充的，须经财政部门审批，并签书面补充协议报政府采购监督管理部门备案，方可作为主合同不可分割的一部分。</w:t>
      </w:r>
    </w:p>
    <w:p>
      <w:pPr>
        <w:pStyle w:val="25"/>
        <w:numPr>
          <w:ilvl w:val="0"/>
          <w:numId w:val="7"/>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本合同未尽事宜，遵照《中华人民共和国民法典》有关条文执行。</w:t>
      </w:r>
    </w:p>
    <w:p>
      <w:pPr>
        <w:pStyle w:val="25"/>
        <w:numPr>
          <w:ilvl w:val="0"/>
          <w:numId w:val="7"/>
        </w:numPr>
        <w:overflowPunct/>
        <w:autoSpaceDE/>
        <w:autoSpaceDN/>
        <w:adjustRightInd/>
        <w:spacing w:line="360" w:lineRule="auto"/>
        <w:ind w:firstLine="420" w:firstLineChars="200"/>
        <w:contextualSpacing/>
        <w:jc w:val="both"/>
        <w:textAlignment w:val="auto"/>
        <w:rPr>
          <w:rFonts w:hint="eastAsia" w:ascii="Times New Roman" w:hAnsi="Times New Roman"/>
          <w:sz w:val="21"/>
          <w:szCs w:val="21"/>
        </w:rPr>
      </w:pPr>
      <w:r>
        <w:rPr>
          <w:rFonts w:hint="eastAsia" w:ascii="Times New Roman" w:hAnsi="Times New Roman"/>
          <w:sz w:val="21"/>
          <w:szCs w:val="21"/>
        </w:rPr>
        <w:t>本合同一式</w:t>
      </w:r>
      <w:r>
        <w:rPr>
          <w:rFonts w:hint="eastAsia" w:ascii="Times New Roman" w:hAnsi="Times New Roman"/>
          <w:sz w:val="21"/>
          <w:szCs w:val="21"/>
          <w:u w:val="single"/>
        </w:rPr>
        <w:t xml:space="preserve">    </w:t>
      </w:r>
      <w:r>
        <w:rPr>
          <w:rFonts w:hint="eastAsia" w:ascii="Times New Roman" w:hAnsi="Times New Roman"/>
          <w:sz w:val="21"/>
          <w:szCs w:val="21"/>
        </w:rPr>
        <w:t>份，具有同等法律效力，甲乙双方各执</w:t>
      </w:r>
      <w:r>
        <w:rPr>
          <w:rFonts w:hint="eastAsia" w:ascii="Times New Roman" w:hAnsi="Times New Roman"/>
          <w:sz w:val="21"/>
          <w:szCs w:val="21"/>
          <w:u w:val="single"/>
        </w:rPr>
        <w:t xml:space="preserve">    </w:t>
      </w:r>
      <w:r>
        <w:rPr>
          <w:rFonts w:hint="eastAsia" w:ascii="Times New Roman" w:hAnsi="Times New Roman"/>
          <w:sz w:val="21"/>
          <w:szCs w:val="21"/>
        </w:rPr>
        <w:t>份，监管部门执壹份。</w:t>
      </w:r>
    </w:p>
    <w:p>
      <w:pPr>
        <w:autoSpaceDE w:val="0"/>
        <w:autoSpaceDN w:val="0"/>
        <w:adjustRightInd w:val="0"/>
        <w:spacing w:line="360" w:lineRule="auto"/>
        <w:contextualSpacing/>
        <w:rPr>
          <w:rFonts w:cs="宋体"/>
          <w:kern w:val="0"/>
          <w:szCs w:val="21"/>
        </w:rPr>
      </w:pP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附件1：五乡道路(镇区)及公路保洁面积清单；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附件2：公厕保洁清单；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附件3：绿化养护清单；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附件4：开标一览表、投标分项报价表和中标通知书</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附件5：作业人员名单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szCs w:val="21"/>
        </w:rPr>
        <w:t>附件</w:t>
      </w:r>
      <w:r>
        <w:rPr>
          <w:rFonts w:cs="宋体"/>
          <w:szCs w:val="21"/>
        </w:rPr>
        <w:t>6</w:t>
      </w:r>
      <w:r>
        <w:rPr>
          <w:rFonts w:hint="eastAsia" w:cs="宋体"/>
          <w:szCs w:val="21"/>
        </w:rPr>
        <w:t>：车辆配置清单</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w:t>
      </w:r>
      <w:r>
        <w:rPr>
          <w:rFonts w:cs="宋体"/>
          <w:kern w:val="0"/>
          <w:szCs w:val="21"/>
        </w:rPr>
        <w:t>7</w:t>
      </w:r>
      <w:r>
        <w:rPr>
          <w:rFonts w:hint="eastAsia" w:cs="宋体"/>
          <w:kern w:val="0"/>
          <w:szCs w:val="21"/>
        </w:rPr>
        <w:t>：鄞州区五乡镇环卫保洁及绿化养护作业质量标准及考核扣分标准</w:t>
      </w:r>
    </w:p>
    <w:p>
      <w:pPr>
        <w:autoSpaceDE w:val="0"/>
        <w:autoSpaceDN w:val="0"/>
        <w:adjustRightInd w:val="0"/>
        <w:spacing w:line="360" w:lineRule="auto"/>
        <w:ind w:firstLine="420" w:firstLineChars="200"/>
        <w:contextualSpacing/>
        <w:rPr>
          <w:rFonts w:hint="eastAsia" w:cs="宋体"/>
          <w:kern w:val="0"/>
          <w:szCs w:val="21"/>
        </w:rPr>
      </w:pPr>
      <w:r>
        <w:rPr>
          <w:rFonts w:hint="eastAsia" w:cs="宋体"/>
          <w:kern w:val="0"/>
          <w:szCs w:val="21"/>
        </w:rPr>
        <w:t>附件</w:t>
      </w:r>
      <w:r>
        <w:rPr>
          <w:rFonts w:cs="宋体"/>
          <w:kern w:val="0"/>
          <w:szCs w:val="21"/>
        </w:rPr>
        <w:t>8</w:t>
      </w:r>
      <w:r>
        <w:rPr>
          <w:rFonts w:hint="eastAsia" w:cs="宋体"/>
          <w:kern w:val="0"/>
          <w:szCs w:val="21"/>
        </w:rPr>
        <w:t>：</w:t>
      </w:r>
      <w:r>
        <w:rPr>
          <w:rFonts w:hint="eastAsia"/>
          <w:szCs w:val="21"/>
        </w:rPr>
        <w:t>采购人可调整变更内容清单</w:t>
      </w:r>
    </w:p>
    <w:p>
      <w:pPr>
        <w:autoSpaceDE w:val="0"/>
        <w:autoSpaceDN w:val="0"/>
        <w:adjustRightInd w:val="0"/>
        <w:spacing w:line="360" w:lineRule="auto"/>
        <w:contextualSpacing/>
        <w:rPr>
          <w:rFonts w:cs="宋体"/>
          <w:kern w:val="0"/>
          <w:szCs w:val="21"/>
        </w:rPr>
      </w:pPr>
    </w:p>
    <w:p>
      <w:pPr>
        <w:autoSpaceDE w:val="0"/>
        <w:autoSpaceDN w:val="0"/>
        <w:adjustRightInd w:val="0"/>
        <w:spacing w:line="360" w:lineRule="auto"/>
        <w:contextualSpacing/>
        <w:rPr>
          <w:rFonts w:cs="宋体"/>
          <w:kern w:val="0"/>
          <w:szCs w:val="21"/>
        </w:rPr>
      </w:pPr>
    </w:p>
    <w:p>
      <w:pPr>
        <w:autoSpaceDE w:val="0"/>
        <w:autoSpaceDN w:val="0"/>
        <w:adjustRightInd w:val="0"/>
        <w:spacing w:line="360" w:lineRule="auto"/>
        <w:contextualSpacing/>
        <w:rPr>
          <w:rFonts w:cs="宋体"/>
          <w:kern w:val="0"/>
          <w:szCs w:val="21"/>
        </w:rPr>
      </w:pPr>
    </w:p>
    <w:p>
      <w:pPr>
        <w:autoSpaceDE w:val="0"/>
        <w:autoSpaceDN w:val="0"/>
        <w:adjustRightInd w:val="0"/>
        <w:spacing w:line="360" w:lineRule="auto"/>
        <w:contextualSpacing/>
        <w:rPr>
          <w:rFonts w:hint="eastAsia" w:cs="宋体"/>
          <w:kern w:val="0"/>
          <w:szCs w:val="21"/>
        </w:rPr>
      </w:pP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甲方（盖章）：</w:t>
      </w:r>
      <w:r>
        <w:rPr>
          <w:rFonts w:cs="宋体"/>
          <w:kern w:val="0"/>
          <w:szCs w:val="21"/>
        </w:rPr>
        <w:t xml:space="preserve"> </w:t>
      </w:r>
      <w:r>
        <w:rPr>
          <w:rFonts w:hint="eastAsia" w:cs="宋体"/>
          <w:kern w:val="0"/>
          <w:szCs w:val="21"/>
        </w:rPr>
        <w:t xml:space="preserve">                                        乙方（盖章）：</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地址：</w:t>
      </w:r>
      <w:r>
        <w:rPr>
          <w:rFonts w:cs="宋体"/>
          <w:kern w:val="0"/>
          <w:szCs w:val="21"/>
        </w:rPr>
        <w:t xml:space="preserve"> </w:t>
      </w:r>
      <w:r>
        <w:rPr>
          <w:rFonts w:hint="eastAsia" w:cs="宋体"/>
          <w:kern w:val="0"/>
          <w:szCs w:val="21"/>
        </w:rPr>
        <w:t xml:space="preserve">                                                地址：</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法定代表人：</w:t>
      </w:r>
      <w:r>
        <w:rPr>
          <w:rFonts w:cs="宋体"/>
          <w:kern w:val="0"/>
          <w:szCs w:val="21"/>
        </w:rPr>
        <w:t xml:space="preserve"> </w:t>
      </w:r>
      <w:r>
        <w:rPr>
          <w:rFonts w:hint="eastAsia" w:cs="宋体"/>
          <w:kern w:val="0"/>
          <w:szCs w:val="21"/>
        </w:rPr>
        <w:t xml:space="preserve">                                          法定代表人：</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或授权代表（签字或盖章）：</w:t>
      </w:r>
      <w:r>
        <w:rPr>
          <w:rFonts w:cs="宋体"/>
          <w:kern w:val="0"/>
          <w:szCs w:val="21"/>
        </w:rPr>
        <w:t xml:space="preserve"> </w:t>
      </w:r>
      <w:r>
        <w:rPr>
          <w:rFonts w:hint="eastAsia" w:cs="宋体"/>
          <w:kern w:val="0"/>
          <w:szCs w:val="21"/>
        </w:rPr>
        <w:t xml:space="preserve">                            或授权代表（签字或盖章）：</w:t>
      </w:r>
    </w:p>
    <w:p>
      <w:pPr>
        <w:autoSpaceDE w:val="0"/>
        <w:autoSpaceDN w:val="0"/>
        <w:adjustRightInd w:val="0"/>
        <w:spacing w:line="360" w:lineRule="auto"/>
        <w:ind w:firstLine="420" w:firstLineChars="200"/>
        <w:contextualSpacing/>
        <w:rPr>
          <w:rFonts w:cs="宋体"/>
          <w:kern w:val="0"/>
          <w:szCs w:val="21"/>
        </w:rPr>
      </w:pPr>
      <w:r>
        <w:rPr>
          <w:rFonts w:hint="eastAsia" w:cs="宋体"/>
          <w:kern w:val="0"/>
          <w:szCs w:val="21"/>
        </w:rPr>
        <w:t>签订地点：</w:t>
      </w:r>
      <w:r>
        <w:rPr>
          <w:rFonts w:cs="宋体"/>
          <w:kern w:val="0"/>
          <w:szCs w:val="21"/>
        </w:rPr>
        <w:t xml:space="preserve"> </w:t>
      </w:r>
      <w:r>
        <w:rPr>
          <w:rFonts w:hint="eastAsia" w:cs="宋体"/>
          <w:kern w:val="0"/>
          <w:szCs w:val="21"/>
        </w:rPr>
        <w:t xml:space="preserve">                                            签订地点：</w:t>
      </w:r>
    </w:p>
    <w:p>
      <w:pPr>
        <w:autoSpaceDE w:val="0"/>
        <w:autoSpaceDN w:val="0"/>
        <w:adjustRightInd w:val="0"/>
        <w:spacing w:line="360" w:lineRule="auto"/>
        <w:ind w:firstLine="420" w:firstLineChars="200"/>
        <w:contextualSpacing/>
      </w:pPr>
      <w:r>
        <w:rPr>
          <w:rFonts w:hint="eastAsia" w:cs="宋体"/>
          <w:kern w:val="0"/>
          <w:szCs w:val="21"/>
        </w:rPr>
        <w:t>签订日期：</w:t>
      </w:r>
      <w:r>
        <w:rPr>
          <w:rFonts w:cs="宋体"/>
          <w:kern w:val="0"/>
          <w:szCs w:val="21"/>
        </w:rPr>
        <w:t>2022</w:t>
      </w:r>
      <w:r>
        <w:rPr>
          <w:rFonts w:hint="eastAsia" w:cs="宋体"/>
          <w:kern w:val="0"/>
          <w:szCs w:val="21"/>
        </w:rPr>
        <w:t xml:space="preserve">年 </w:t>
      </w:r>
      <w:r>
        <w:rPr>
          <w:rFonts w:cs="宋体"/>
          <w:kern w:val="0"/>
          <w:szCs w:val="21"/>
        </w:rPr>
        <w:t xml:space="preserve"> </w:t>
      </w:r>
      <w:r>
        <w:rPr>
          <w:rFonts w:hint="eastAsia" w:cs="宋体"/>
          <w:kern w:val="0"/>
          <w:szCs w:val="21"/>
        </w:rPr>
        <w:t xml:space="preserve">月 </w:t>
      </w:r>
      <w:r>
        <w:rPr>
          <w:rFonts w:cs="宋体"/>
          <w:kern w:val="0"/>
          <w:szCs w:val="21"/>
        </w:rPr>
        <w:t xml:space="preserve"> </w:t>
      </w:r>
      <w:r>
        <w:rPr>
          <w:rFonts w:hint="eastAsia" w:cs="宋体"/>
          <w:kern w:val="0"/>
          <w:szCs w:val="21"/>
        </w:rPr>
        <w:t>日                               签订日期：</w:t>
      </w:r>
      <w:r>
        <w:rPr>
          <w:rFonts w:cs="宋体"/>
          <w:kern w:val="0"/>
          <w:szCs w:val="21"/>
        </w:rPr>
        <w:t>2022</w:t>
      </w:r>
      <w:r>
        <w:rPr>
          <w:rFonts w:hint="eastAsia" w:cs="宋体"/>
          <w:kern w:val="0"/>
          <w:szCs w:val="21"/>
        </w:rPr>
        <w:t>年 月 日</w:t>
      </w:r>
      <w:bookmarkStart w:id="65" w:name="_Toc89855397"/>
      <w:r>
        <w:br w:type="page"/>
      </w:r>
      <w:bookmarkStart w:id="66" w:name="_Toc96720898"/>
    </w:p>
    <w:p>
      <w:pPr>
        <w:autoSpaceDE w:val="0"/>
        <w:autoSpaceDN w:val="0"/>
        <w:adjustRightInd w:val="0"/>
        <w:spacing w:line="360" w:lineRule="auto"/>
        <w:ind w:firstLine="643" w:firstLineChars="200"/>
        <w:contextualSpacing/>
        <w:jc w:val="center"/>
        <w:rPr>
          <w:rFonts w:hint="eastAsia" w:cs="宋体"/>
          <w:kern w:val="0"/>
          <w:szCs w:val="21"/>
        </w:rPr>
      </w:pPr>
      <w:r>
        <w:rPr>
          <w:rFonts w:hint="eastAsia"/>
          <w:b/>
          <w:bCs/>
          <w:sz w:val="32"/>
          <w:szCs w:val="32"/>
        </w:rPr>
        <w:t>第七部分   格式与表格</w:t>
      </w:r>
      <w:bookmarkEnd w:id="0"/>
      <w:bookmarkEnd w:id="65"/>
      <w:bookmarkEnd w:id="66"/>
    </w:p>
    <w:p>
      <w:pPr>
        <w:spacing w:line="360" w:lineRule="auto"/>
        <w:rPr>
          <w:rFonts w:hint="eastAsia"/>
          <w:szCs w:val="21"/>
        </w:rPr>
      </w:pPr>
    </w:p>
    <w:p>
      <w:pPr>
        <w:spacing w:line="360" w:lineRule="auto"/>
        <w:rPr>
          <w:szCs w:val="21"/>
        </w:rPr>
      </w:pPr>
      <w:r>
        <w:rPr>
          <w:szCs w:val="21"/>
        </w:rPr>
        <w:t>1</w:t>
      </w:r>
      <w:r>
        <w:rPr>
          <w:rFonts w:hint="eastAsia"/>
          <w:szCs w:val="21"/>
        </w:rPr>
        <w:t>、所有投标文件的外包装封面格式：（可选用）</w:t>
      </w:r>
    </w:p>
    <w:p>
      <w:pPr>
        <w:spacing w:line="360" w:lineRule="auto"/>
        <w:jc w:val="center"/>
        <w:rPr>
          <w:bCs/>
          <w:szCs w:val="21"/>
        </w:rPr>
      </w:pPr>
    </w:p>
    <w:p>
      <w:pPr>
        <w:spacing w:line="360" w:lineRule="auto"/>
        <w:jc w:val="center"/>
        <w:rPr>
          <w:rFonts w:hint="eastAsia"/>
          <w:b/>
          <w:bCs/>
          <w:szCs w:val="21"/>
        </w:rPr>
      </w:pPr>
      <w:r>
        <w:rPr>
          <w:rFonts w:hint="eastAsia"/>
          <w:b/>
          <w:bCs/>
          <w:szCs w:val="21"/>
        </w:rPr>
        <w:t>投</w:t>
      </w:r>
      <w:r>
        <w:rPr>
          <w:b/>
          <w:bCs/>
          <w:szCs w:val="21"/>
        </w:rPr>
        <w:t xml:space="preserve"> </w:t>
      </w:r>
      <w:r>
        <w:rPr>
          <w:rFonts w:hint="eastAsia"/>
          <w:b/>
          <w:bCs/>
          <w:szCs w:val="21"/>
        </w:rPr>
        <w:t>标</w:t>
      </w:r>
      <w:r>
        <w:rPr>
          <w:b/>
          <w:bCs/>
          <w:szCs w:val="21"/>
        </w:rPr>
        <w:t xml:space="preserve"> </w:t>
      </w:r>
      <w:r>
        <w:rPr>
          <w:rFonts w:hint="eastAsia"/>
          <w:b/>
          <w:bCs/>
          <w:szCs w:val="21"/>
        </w:rPr>
        <w:t>文</w:t>
      </w:r>
      <w:r>
        <w:rPr>
          <w:b/>
          <w:bCs/>
          <w:szCs w:val="21"/>
        </w:rPr>
        <w:t xml:space="preserve"> </w:t>
      </w:r>
      <w:r>
        <w:rPr>
          <w:rFonts w:hint="eastAsia"/>
          <w:b/>
          <w:bCs/>
          <w:szCs w:val="21"/>
        </w:rPr>
        <w:t>件</w:t>
      </w:r>
    </w:p>
    <w:p>
      <w:pPr>
        <w:spacing w:line="360" w:lineRule="auto"/>
        <w:rPr>
          <w:bCs/>
          <w:szCs w:val="21"/>
        </w:rPr>
      </w:pPr>
    </w:p>
    <w:p>
      <w:pPr>
        <w:spacing w:line="360" w:lineRule="auto"/>
        <w:rPr>
          <w:bCs/>
          <w:szCs w:val="21"/>
        </w:rPr>
      </w:pPr>
    </w:p>
    <w:p>
      <w:pPr>
        <w:spacing w:line="360" w:lineRule="auto"/>
        <w:ind w:firstLine="1785" w:firstLineChars="850"/>
        <w:rPr>
          <w:bCs/>
          <w:szCs w:val="21"/>
        </w:rPr>
      </w:pPr>
      <w:r>
        <w:rPr>
          <w:rFonts w:hint="eastAsia"/>
          <w:bCs/>
          <w:szCs w:val="21"/>
        </w:rPr>
        <w:t>项目名称：</w:t>
      </w:r>
    </w:p>
    <w:p>
      <w:pPr>
        <w:spacing w:line="360" w:lineRule="auto"/>
        <w:ind w:firstLine="1785" w:firstLineChars="850"/>
        <w:rPr>
          <w:rFonts w:hint="eastAsia"/>
          <w:bCs/>
          <w:szCs w:val="21"/>
        </w:rPr>
      </w:pPr>
      <w:r>
        <w:rPr>
          <w:rFonts w:hint="eastAsia"/>
          <w:bCs/>
          <w:szCs w:val="21"/>
        </w:rPr>
        <w:t>项目编号：</w:t>
      </w:r>
    </w:p>
    <w:p>
      <w:pPr>
        <w:spacing w:line="360" w:lineRule="auto"/>
        <w:ind w:firstLine="1785" w:firstLineChars="850"/>
        <w:rPr>
          <w:bCs/>
          <w:szCs w:val="21"/>
        </w:rPr>
      </w:pPr>
      <w:r>
        <w:rPr>
          <w:rFonts w:hint="eastAsia"/>
          <w:bCs/>
          <w:szCs w:val="21"/>
        </w:rPr>
        <w:t>投标文件名称：资格证明文件/报价文件/技术商务文件/</w:t>
      </w:r>
      <w:r>
        <w:rPr>
          <w:rFonts w:hint="eastAsia"/>
          <w:b/>
          <w:szCs w:val="21"/>
        </w:rPr>
        <w:t>电子备份投标文件</w:t>
      </w:r>
    </w:p>
    <w:p>
      <w:pPr>
        <w:pStyle w:val="8"/>
        <w:spacing w:line="360" w:lineRule="auto"/>
        <w:ind w:firstLine="1785" w:firstLineChars="850"/>
        <w:rPr>
          <w:rFonts w:ascii="Times New Roman"/>
          <w:bCs/>
          <w:kern w:val="2"/>
          <w:szCs w:val="21"/>
        </w:rPr>
      </w:pPr>
      <w:r>
        <w:rPr>
          <w:rFonts w:hint="eastAsia" w:ascii="Times New Roman"/>
          <w:bCs/>
          <w:kern w:val="2"/>
          <w:szCs w:val="21"/>
        </w:rPr>
        <w:t>投标人名称（盖章）：</w:t>
      </w:r>
    </w:p>
    <w:p>
      <w:pPr>
        <w:pStyle w:val="8"/>
        <w:spacing w:line="360" w:lineRule="auto"/>
        <w:ind w:firstLine="1785" w:firstLineChars="850"/>
        <w:rPr>
          <w:rFonts w:hint="eastAsia" w:ascii="Times New Roman"/>
          <w:bCs/>
          <w:kern w:val="2"/>
          <w:szCs w:val="21"/>
        </w:rPr>
      </w:pPr>
      <w:r>
        <w:rPr>
          <w:rFonts w:hint="eastAsia" w:ascii="Times New Roman"/>
          <w:bCs/>
          <w:kern w:val="2"/>
          <w:szCs w:val="21"/>
        </w:rPr>
        <w:t>投标人地址：</w:t>
      </w:r>
    </w:p>
    <w:p>
      <w:pPr>
        <w:pStyle w:val="8"/>
        <w:spacing w:line="360" w:lineRule="auto"/>
        <w:ind w:firstLine="1785" w:firstLineChars="850"/>
        <w:rPr>
          <w:rFonts w:ascii="Times New Roman"/>
          <w:bCs/>
          <w:kern w:val="2"/>
          <w:szCs w:val="21"/>
        </w:rPr>
      </w:pPr>
      <w:r>
        <w:rPr>
          <w:rFonts w:hint="eastAsia" w:ascii="Times New Roman"/>
          <w:bCs/>
          <w:kern w:val="2"/>
          <w:szCs w:val="21"/>
        </w:rPr>
        <w:t>法定代表人或授权代表人（签字或盖章）</w:t>
      </w:r>
    </w:p>
    <w:p>
      <w:pPr>
        <w:pStyle w:val="8"/>
        <w:spacing w:line="360" w:lineRule="auto"/>
        <w:ind w:firstLine="1785" w:firstLineChars="850"/>
        <w:rPr>
          <w:rFonts w:ascii="Times New Roman"/>
          <w:bCs/>
          <w:kern w:val="2"/>
          <w:szCs w:val="21"/>
        </w:rPr>
      </w:pPr>
      <w:r>
        <w:rPr>
          <w:rFonts w:hint="eastAsia" w:ascii="Times New Roman"/>
          <w:kern w:val="2"/>
          <w:szCs w:val="21"/>
        </w:rPr>
        <w:t xml:space="preserve">                  开标时启封</w:t>
      </w:r>
    </w:p>
    <w:p>
      <w:pPr>
        <w:spacing w:line="360" w:lineRule="auto"/>
        <w:ind w:firstLine="3570" w:firstLineChars="1700"/>
        <w:rPr>
          <w:bCs/>
          <w:szCs w:val="21"/>
        </w:rPr>
      </w:pPr>
    </w:p>
    <w:p>
      <w:pPr>
        <w:spacing w:line="360" w:lineRule="auto"/>
        <w:ind w:firstLine="645"/>
        <w:jc w:val="center"/>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pPr>
        <w:spacing w:line="360" w:lineRule="auto"/>
        <w:rPr>
          <w:rFonts w:hint="eastAsia"/>
          <w:szCs w:val="21"/>
        </w:rPr>
      </w:pPr>
    </w:p>
    <w:p>
      <w:pPr>
        <w:spacing w:line="360" w:lineRule="auto"/>
        <w:rPr>
          <w:szCs w:val="21"/>
        </w:rPr>
      </w:pPr>
      <w:r>
        <w:rPr>
          <w:rFonts w:hint="eastAsia"/>
          <w:szCs w:val="21"/>
        </w:rPr>
        <w:t>2、封面格式：（可选用）</w:t>
      </w:r>
    </w:p>
    <w:p>
      <w:pPr>
        <w:spacing w:line="360" w:lineRule="auto"/>
        <w:rPr>
          <w:b/>
          <w:bCs/>
          <w:szCs w:val="21"/>
        </w:rPr>
      </w:pPr>
      <w:r>
        <w:rPr>
          <w:szCs w:val="21"/>
        </w:rPr>
        <w:t xml:space="preserve">                                                    </w:t>
      </w:r>
      <w:r>
        <w:rPr>
          <w:rFonts w:hint="eastAsia"/>
          <w:b/>
          <w:bCs/>
          <w:szCs w:val="21"/>
        </w:rPr>
        <w:t>正本</w:t>
      </w:r>
      <w:r>
        <w:rPr>
          <w:b/>
          <w:bCs/>
          <w:szCs w:val="21"/>
        </w:rPr>
        <w:t>/</w:t>
      </w:r>
      <w:r>
        <w:rPr>
          <w:rFonts w:hint="eastAsia"/>
          <w:b/>
          <w:bCs/>
          <w:szCs w:val="21"/>
        </w:rPr>
        <w:t>或副本</w:t>
      </w:r>
    </w:p>
    <w:p>
      <w:pPr>
        <w:spacing w:line="360" w:lineRule="auto"/>
        <w:rPr>
          <w:bCs/>
          <w:szCs w:val="21"/>
        </w:rPr>
      </w:pPr>
    </w:p>
    <w:p>
      <w:pPr>
        <w:spacing w:line="360" w:lineRule="auto"/>
        <w:jc w:val="center"/>
        <w:rPr>
          <w:rFonts w:hint="eastAsia"/>
          <w:b/>
          <w:bCs/>
          <w:szCs w:val="21"/>
        </w:rPr>
      </w:pPr>
      <w:r>
        <w:rPr>
          <w:rFonts w:hint="eastAsia"/>
          <w:b/>
          <w:bCs/>
          <w:szCs w:val="21"/>
        </w:rPr>
        <w:t>投 标 文 件</w:t>
      </w:r>
    </w:p>
    <w:p>
      <w:pPr>
        <w:spacing w:line="360" w:lineRule="auto"/>
        <w:rPr>
          <w:bCs/>
          <w:szCs w:val="21"/>
        </w:rPr>
      </w:pPr>
    </w:p>
    <w:p>
      <w:pPr>
        <w:spacing w:line="360" w:lineRule="auto"/>
        <w:rPr>
          <w:bCs/>
          <w:szCs w:val="21"/>
        </w:rPr>
      </w:pPr>
    </w:p>
    <w:p>
      <w:pPr>
        <w:spacing w:line="360" w:lineRule="auto"/>
        <w:ind w:firstLine="1575" w:firstLineChars="750"/>
        <w:rPr>
          <w:bCs/>
          <w:szCs w:val="21"/>
        </w:rPr>
      </w:pPr>
      <w:r>
        <w:rPr>
          <w:rFonts w:hint="eastAsia"/>
          <w:bCs/>
          <w:szCs w:val="21"/>
        </w:rPr>
        <w:t>项目名称：</w:t>
      </w:r>
    </w:p>
    <w:p>
      <w:pPr>
        <w:spacing w:line="360" w:lineRule="auto"/>
        <w:rPr>
          <w:rFonts w:hint="eastAsia"/>
          <w:bCs/>
          <w:szCs w:val="21"/>
        </w:rPr>
      </w:pPr>
      <w:r>
        <w:rPr>
          <w:bCs/>
          <w:szCs w:val="21"/>
        </w:rPr>
        <w:t xml:space="preserve">    </w:t>
      </w:r>
      <w:r>
        <w:rPr>
          <w:rFonts w:hint="eastAsia"/>
          <w:bCs/>
          <w:szCs w:val="21"/>
        </w:rPr>
        <w:t xml:space="preserve">          </w:t>
      </w:r>
      <w:r>
        <w:rPr>
          <w:bCs/>
          <w:szCs w:val="21"/>
        </w:rPr>
        <w:t xml:space="preserve"> </w:t>
      </w:r>
      <w:r>
        <w:rPr>
          <w:rFonts w:hint="eastAsia"/>
          <w:bCs/>
          <w:szCs w:val="21"/>
        </w:rPr>
        <w:t>项目编号：</w:t>
      </w:r>
    </w:p>
    <w:p>
      <w:pPr>
        <w:spacing w:line="360" w:lineRule="auto"/>
        <w:ind w:firstLine="1575" w:firstLineChars="750"/>
        <w:rPr>
          <w:bCs/>
          <w:szCs w:val="21"/>
        </w:rPr>
      </w:pPr>
      <w:r>
        <w:rPr>
          <w:rFonts w:hint="eastAsia"/>
          <w:bCs/>
          <w:szCs w:val="21"/>
        </w:rPr>
        <w:t>投标文件名称：资格证明文件/报价文件/技术商务文件</w:t>
      </w:r>
    </w:p>
    <w:p>
      <w:pPr>
        <w:pStyle w:val="8"/>
        <w:spacing w:line="360" w:lineRule="auto"/>
        <w:ind w:firstLine="1575" w:firstLineChars="750"/>
        <w:rPr>
          <w:rFonts w:ascii="Times New Roman"/>
          <w:bCs/>
          <w:kern w:val="2"/>
          <w:szCs w:val="21"/>
        </w:rPr>
      </w:pPr>
      <w:r>
        <w:rPr>
          <w:rFonts w:hint="eastAsia" w:ascii="Times New Roman"/>
          <w:bCs/>
          <w:kern w:val="2"/>
          <w:szCs w:val="21"/>
        </w:rPr>
        <w:t>投标人名称（盖章）：</w:t>
      </w:r>
    </w:p>
    <w:p>
      <w:pPr>
        <w:pStyle w:val="8"/>
        <w:spacing w:line="360" w:lineRule="auto"/>
        <w:ind w:firstLine="1575" w:firstLineChars="750"/>
        <w:rPr>
          <w:rFonts w:ascii="Times New Roman"/>
          <w:bCs/>
          <w:kern w:val="2"/>
          <w:szCs w:val="21"/>
        </w:rPr>
      </w:pPr>
      <w:r>
        <w:rPr>
          <w:rFonts w:hint="eastAsia" w:ascii="Times New Roman"/>
          <w:bCs/>
          <w:kern w:val="2"/>
          <w:szCs w:val="21"/>
        </w:rPr>
        <w:t>投标人地址：</w:t>
      </w:r>
    </w:p>
    <w:p>
      <w:pPr>
        <w:pStyle w:val="8"/>
        <w:spacing w:line="360" w:lineRule="auto"/>
        <w:ind w:firstLine="1558" w:firstLineChars="742"/>
        <w:rPr>
          <w:rFonts w:ascii="Times New Roman"/>
          <w:bCs/>
          <w:kern w:val="2"/>
          <w:szCs w:val="21"/>
        </w:rPr>
      </w:pPr>
      <w:r>
        <w:rPr>
          <w:rFonts w:hint="eastAsia" w:ascii="Times New Roman"/>
          <w:bCs/>
          <w:kern w:val="2"/>
          <w:szCs w:val="21"/>
        </w:rPr>
        <w:t>法定代表人或授权代表人（签字或盖章）</w:t>
      </w:r>
    </w:p>
    <w:p>
      <w:pPr>
        <w:pStyle w:val="8"/>
        <w:spacing w:line="360" w:lineRule="auto"/>
        <w:ind w:firstLine="873" w:firstLineChars="416"/>
        <w:rPr>
          <w:rFonts w:ascii="Times New Roman"/>
          <w:kern w:val="2"/>
          <w:szCs w:val="21"/>
        </w:rPr>
      </w:pPr>
    </w:p>
    <w:p>
      <w:pPr>
        <w:spacing w:line="360" w:lineRule="auto"/>
        <w:ind w:firstLine="645"/>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ind w:firstLine="645"/>
        <w:jc w:val="center"/>
        <w:rPr>
          <w:szCs w:val="21"/>
        </w:rPr>
      </w:pPr>
    </w:p>
    <w:p>
      <w:pPr>
        <w:spacing w:line="360" w:lineRule="auto"/>
        <w:rPr>
          <w:rFonts w:hint="eastAsia"/>
        </w:rPr>
      </w:pPr>
    </w:p>
    <w:p>
      <w:pPr>
        <w:pStyle w:val="3"/>
        <w:spacing w:before="0" w:after="0" w:line="240" w:lineRule="auto"/>
        <w:ind w:right="-567"/>
        <w:jc w:val="left"/>
        <w:rPr>
          <w:rFonts w:ascii="Times New Roman" w:hAnsi="Times New Roman" w:eastAsia="宋体"/>
          <w:b w:val="0"/>
          <w:sz w:val="18"/>
          <w:szCs w:val="18"/>
        </w:rPr>
      </w:pPr>
      <w:bookmarkStart w:id="67" w:name="_Toc97372565"/>
      <w:r>
        <w:rPr>
          <w:rFonts w:ascii="Times New Roman" w:hAnsi="Times New Roman" w:eastAsia="宋体"/>
          <w:b w:val="0"/>
          <w:sz w:val="18"/>
          <w:szCs w:val="18"/>
        </w:rPr>
        <w:br w:type="page"/>
      </w:r>
      <w:r>
        <w:rPr>
          <w:rFonts w:hint="eastAsia" w:ascii="Times New Roman" w:hAnsi="Times New Roman" w:eastAsia="宋体"/>
          <w:b w:val="0"/>
          <w:sz w:val="18"/>
          <w:szCs w:val="18"/>
        </w:rPr>
        <w:t>格式一 投标函</w:t>
      </w:r>
      <w:bookmarkEnd w:id="67"/>
    </w:p>
    <w:p>
      <w:pPr>
        <w:pStyle w:val="2"/>
        <w:spacing w:line="360" w:lineRule="exact"/>
        <w:rPr>
          <w:rFonts w:ascii="Times New Roman"/>
          <w:sz w:val="32"/>
          <w:szCs w:val="32"/>
        </w:rPr>
      </w:pPr>
      <w:bookmarkStart w:id="68" w:name="_Toc505353794"/>
      <w:bookmarkStart w:id="69" w:name="_Toc496003216"/>
      <w:bookmarkStart w:id="70" w:name="_Toc498429649"/>
      <w:r>
        <w:rPr>
          <w:rFonts w:hint="eastAsia" w:ascii="Times New Roman"/>
          <w:sz w:val="32"/>
          <w:szCs w:val="32"/>
        </w:rPr>
        <w:t>投标函</w:t>
      </w:r>
      <w:bookmarkEnd w:id="68"/>
      <w:bookmarkEnd w:id="69"/>
      <w:bookmarkEnd w:id="70"/>
    </w:p>
    <w:p>
      <w:pPr>
        <w:spacing w:line="360" w:lineRule="exact"/>
      </w:pPr>
    </w:p>
    <w:p>
      <w:pPr>
        <w:pStyle w:val="19"/>
        <w:spacing w:line="360" w:lineRule="auto"/>
        <w:ind w:firstLine="0"/>
        <w:contextualSpacing/>
        <w:rPr>
          <w:rFonts w:eastAsia="宋体"/>
          <w:szCs w:val="24"/>
        </w:rPr>
      </w:pPr>
      <w:r>
        <w:rPr>
          <w:rFonts w:hint="eastAsia" w:eastAsia="宋体"/>
          <w:szCs w:val="24"/>
        </w:rPr>
        <w:t>致：中冠工程管理咨询有限公司</w:t>
      </w:r>
    </w:p>
    <w:p>
      <w:pPr>
        <w:pStyle w:val="19"/>
        <w:spacing w:line="360" w:lineRule="auto"/>
        <w:ind w:firstLine="490"/>
        <w:contextualSpacing/>
        <w:rPr>
          <w:rFonts w:eastAsia="宋体"/>
          <w:szCs w:val="24"/>
          <w:u w:val="single"/>
        </w:rPr>
      </w:pPr>
      <w:r>
        <w:rPr>
          <w:rFonts w:hint="eastAsia" w:eastAsia="宋体"/>
          <w:szCs w:val="24"/>
          <w:u w:val="single"/>
        </w:rPr>
        <w:t>（投标人全称）</w:t>
      </w:r>
      <w:r>
        <w:rPr>
          <w:rFonts w:hint="eastAsia" w:eastAsia="宋体"/>
          <w:szCs w:val="24"/>
        </w:rPr>
        <w:t>授权</w:t>
      </w:r>
      <w:r>
        <w:rPr>
          <w:rFonts w:hint="eastAsia" w:eastAsia="宋体"/>
          <w:szCs w:val="24"/>
          <w:u w:val="single"/>
        </w:rPr>
        <w:t>（全权代表姓名、职务）</w:t>
      </w:r>
      <w:r>
        <w:rPr>
          <w:rFonts w:hint="eastAsia" w:eastAsia="宋体"/>
          <w:szCs w:val="24"/>
        </w:rPr>
        <w:t>为本公司合法代理人，参加贵方组织的</w:t>
      </w:r>
      <w:r>
        <w:rPr>
          <w:rFonts w:hint="eastAsia" w:eastAsia="宋体"/>
          <w:szCs w:val="24"/>
          <w:u w:val="single"/>
        </w:rPr>
        <w:t>（项目编号、项目名称）</w:t>
      </w:r>
      <w:r>
        <w:rPr>
          <w:rFonts w:hint="eastAsia" w:eastAsia="宋体"/>
          <w:szCs w:val="24"/>
        </w:rPr>
        <w:t>招投标活动，代表本公司处理招投标活动中的一切事宜。在此：</w:t>
      </w:r>
    </w:p>
    <w:p>
      <w:pPr>
        <w:pStyle w:val="19"/>
        <w:tabs>
          <w:tab w:val="left" w:pos="426"/>
        </w:tabs>
        <w:spacing w:line="360" w:lineRule="auto"/>
        <w:ind w:firstLine="0"/>
        <w:contextualSpacing/>
        <w:rPr>
          <w:rFonts w:eastAsia="宋体"/>
          <w:szCs w:val="24"/>
        </w:rPr>
      </w:pPr>
      <w:r>
        <w:rPr>
          <w:rFonts w:hint="eastAsia" w:eastAsia="宋体"/>
          <w:szCs w:val="24"/>
        </w:rPr>
        <w:t>1、提供采购文件中“投标须知”规定的全部投标文件资料。</w:t>
      </w:r>
    </w:p>
    <w:p>
      <w:pPr>
        <w:pStyle w:val="19"/>
        <w:tabs>
          <w:tab w:val="left" w:pos="426"/>
        </w:tabs>
        <w:spacing w:line="360" w:lineRule="auto"/>
        <w:ind w:firstLine="0"/>
        <w:contextualSpacing/>
        <w:rPr>
          <w:rFonts w:eastAsia="宋体"/>
          <w:szCs w:val="24"/>
        </w:rPr>
      </w:pPr>
      <w:r>
        <w:rPr>
          <w:rFonts w:hint="eastAsia" w:eastAsia="宋体"/>
          <w:szCs w:val="24"/>
        </w:rPr>
        <w:t>2、据此函，签字代表宣布并承诺如下：</w:t>
      </w:r>
    </w:p>
    <w:p>
      <w:pPr>
        <w:pStyle w:val="19"/>
        <w:spacing w:line="360" w:lineRule="auto"/>
        <w:ind w:firstLineChars="200"/>
        <w:contextualSpacing/>
        <w:rPr>
          <w:rFonts w:eastAsia="宋体"/>
          <w:szCs w:val="24"/>
        </w:rPr>
      </w:pPr>
      <w:r>
        <w:rPr>
          <w:rFonts w:hint="eastAsia" w:eastAsia="宋体"/>
          <w:szCs w:val="24"/>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pStyle w:val="19"/>
        <w:spacing w:line="360" w:lineRule="auto"/>
        <w:ind w:firstLineChars="200"/>
        <w:contextualSpacing/>
        <w:rPr>
          <w:rFonts w:eastAsia="宋体"/>
          <w:szCs w:val="24"/>
        </w:rPr>
      </w:pPr>
      <w:r>
        <w:rPr>
          <w:rFonts w:hint="eastAsia" w:eastAsia="宋体"/>
          <w:szCs w:val="24"/>
        </w:rPr>
        <w:t>（2）本投标自开标之日起</w:t>
      </w:r>
      <w:r>
        <w:rPr>
          <w:rFonts w:hint="eastAsia" w:eastAsia="宋体"/>
          <w:szCs w:val="24"/>
          <w:u w:val="single"/>
        </w:rPr>
        <w:t xml:space="preserve">     </w:t>
      </w:r>
      <w:r>
        <w:rPr>
          <w:rFonts w:hint="eastAsia" w:eastAsia="宋体"/>
          <w:szCs w:val="24"/>
        </w:rPr>
        <w:t>天内有效。</w:t>
      </w:r>
    </w:p>
    <w:p>
      <w:pPr>
        <w:pStyle w:val="19"/>
        <w:spacing w:line="360" w:lineRule="auto"/>
        <w:ind w:firstLineChars="200"/>
        <w:contextualSpacing/>
        <w:rPr>
          <w:rFonts w:eastAsia="宋体"/>
          <w:szCs w:val="24"/>
        </w:rPr>
      </w:pPr>
      <w:r>
        <w:rPr>
          <w:rFonts w:hint="eastAsia" w:eastAsia="宋体"/>
          <w:szCs w:val="24"/>
        </w:rPr>
        <w:t>（3）保证遵守采购文件有关条款规定。</w:t>
      </w:r>
    </w:p>
    <w:p>
      <w:pPr>
        <w:pStyle w:val="19"/>
        <w:spacing w:line="360" w:lineRule="auto"/>
        <w:ind w:firstLineChars="200"/>
        <w:contextualSpacing/>
        <w:rPr>
          <w:rFonts w:eastAsia="宋体"/>
          <w:szCs w:val="24"/>
        </w:rPr>
      </w:pPr>
      <w:r>
        <w:rPr>
          <w:rFonts w:hint="eastAsia" w:eastAsia="宋体"/>
          <w:szCs w:val="24"/>
        </w:rPr>
        <w:t>（4）保证在中标后忠实地执行与采购人所签署的合同，并承担合同规定的责任义务。保证在中标后按照采购文件的规定支付招标代理服务费。</w:t>
      </w:r>
    </w:p>
    <w:p>
      <w:pPr>
        <w:pStyle w:val="19"/>
        <w:spacing w:line="360" w:lineRule="auto"/>
        <w:ind w:firstLineChars="200"/>
        <w:contextualSpacing/>
        <w:rPr>
          <w:rFonts w:eastAsia="宋体"/>
          <w:szCs w:val="24"/>
        </w:rPr>
      </w:pPr>
      <w:r>
        <w:rPr>
          <w:rFonts w:hint="eastAsia" w:eastAsia="宋体"/>
          <w:szCs w:val="24"/>
        </w:rPr>
        <w:t>（5）承诺应贵方要求提供任何与该项目投标有关的数据、情况和技术资料。</w:t>
      </w:r>
    </w:p>
    <w:p>
      <w:pPr>
        <w:pStyle w:val="19"/>
        <w:tabs>
          <w:tab w:val="left" w:pos="426"/>
        </w:tabs>
        <w:spacing w:line="360" w:lineRule="auto"/>
        <w:ind w:firstLine="0"/>
        <w:contextualSpacing/>
        <w:rPr>
          <w:rFonts w:hint="eastAsia" w:eastAsia="宋体"/>
          <w:szCs w:val="24"/>
        </w:rPr>
      </w:pPr>
      <w:r>
        <w:rPr>
          <w:rFonts w:hint="eastAsia" w:eastAsia="宋体"/>
          <w:szCs w:val="24"/>
        </w:rPr>
        <w:t>3、与本项目有关的澄清、补充文件请发送至：</w:t>
      </w:r>
    </w:p>
    <w:p>
      <w:pPr>
        <w:pStyle w:val="19"/>
        <w:spacing w:line="360" w:lineRule="auto"/>
        <w:ind w:firstLineChars="200"/>
        <w:rPr>
          <w:rFonts w:eastAsia="宋体" w:cs="宋体"/>
          <w:szCs w:val="24"/>
        </w:rPr>
      </w:pPr>
      <w:r>
        <w:rPr>
          <w:rFonts w:hint="eastAsia" w:eastAsia="宋体" w:cs="宋体"/>
          <w:szCs w:val="24"/>
        </w:rPr>
        <w:t>电子邮箱：</w:t>
      </w:r>
      <w:r>
        <w:rPr>
          <w:rFonts w:hint="eastAsia" w:eastAsia="宋体" w:cs="宋体"/>
          <w:szCs w:val="24"/>
          <w:u w:val="single"/>
        </w:rPr>
        <w:t xml:space="preserve">                 </w:t>
      </w:r>
      <w:r>
        <w:rPr>
          <w:rFonts w:hint="eastAsia" w:eastAsia="宋体" w:cs="宋体"/>
          <w:szCs w:val="24"/>
        </w:rPr>
        <w:t xml:space="preserve">  传真号码：</w:t>
      </w:r>
      <w:r>
        <w:rPr>
          <w:rFonts w:hint="eastAsia" w:eastAsia="宋体" w:cs="宋体"/>
          <w:szCs w:val="24"/>
          <w:u w:val="single"/>
        </w:rPr>
        <w:t xml:space="preserve">                </w:t>
      </w:r>
    </w:p>
    <w:p>
      <w:pPr>
        <w:pStyle w:val="19"/>
        <w:tabs>
          <w:tab w:val="left" w:pos="426"/>
        </w:tabs>
        <w:spacing w:line="360" w:lineRule="auto"/>
        <w:ind w:firstLine="0"/>
        <w:contextualSpacing/>
        <w:rPr>
          <w:rFonts w:eastAsia="宋体"/>
          <w:szCs w:val="24"/>
        </w:rPr>
      </w:pPr>
      <w:r>
        <w:rPr>
          <w:rFonts w:hint="eastAsia" w:eastAsia="宋体"/>
          <w:szCs w:val="24"/>
        </w:rPr>
        <w:t>4、与本投标有关的一切往来通讯请寄：</w:t>
      </w:r>
    </w:p>
    <w:p>
      <w:pPr>
        <w:pStyle w:val="19"/>
        <w:spacing w:line="360" w:lineRule="auto"/>
        <w:ind w:left="480" w:firstLine="0"/>
        <w:contextualSpacing/>
        <w:rPr>
          <w:rFonts w:eastAsia="宋体"/>
          <w:szCs w:val="24"/>
          <w:u w:val="single"/>
        </w:rPr>
      </w:pPr>
      <w:r>
        <w:rPr>
          <w:rFonts w:hint="eastAsia" w:eastAsia="宋体"/>
          <w:szCs w:val="24"/>
        </w:rPr>
        <w:t>地址：</w:t>
      </w:r>
      <w:r>
        <w:rPr>
          <w:rFonts w:hint="eastAsia" w:eastAsia="宋体"/>
          <w:szCs w:val="24"/>
          <w:u w:val="single"/>
        </w:rPr>
        <w:t xml:space="preserve">                  </w:t>
      </w:r>
    </w:p>
    <w:p>
      <w:pPr>
        <w:pStyle w:val="19"/>
        <w:spacing w:line="360" w:lineRule="auto"/>
        <w:ind w:left="480" w:firstLine="0"/>
        <w:contextualSpacing/>
        <w:rPr>
          <w:rFonts w:eastAsia="宋体"/>
          <w:szCs w:val="24"/>
          <w:u w:val="single"/>
        </w:rPr>
      </w:pPr>
      <w:r>
        <w:rPr>
          <w:rFonts w:hint="eastAsia" w:eastAsia="宋体"/>
          <w:szCs w:val="24"/>
        </w:rPr>
        <w:t>邮编：</w:t>
      </w:r>
      <w:r>
        <w:rPr>
          <w:rFonts w:hint="eastAsia" w:eastAsia="宋体"/>
          <w:szCs w:val="24"/>
          <w:u w:val="single"/>
        </w:rPr>
        <w:t xml:space="preserve">           </w:t>
      </w:r>
      <w:r>
        <w:rPr>
          <w:rFonts w:hint="eastAsia" w:eastAsia="宋体"/>
          <w:szCs w:val="24"/>
        </w:rPr>
        <w:t>电话：</w:t>
      </w:r>
      <w:r>
        <w:rPr>
          <w:rFonts w:hint="eastAsia" w:eastAsia="宋体"/>
          <w:szCs w:val="24"/>
          <w:u w:val="single"/>
        </w:rPr>
        <w:t xml:space="preserve">           </w:t>
      </w:r>
      <w:r>
        <w:rPr>
          <w:rFonts w:hint="eastAsia" w:eastAsia="宋体"/>
          <w:szCs w:val="24"/>
        </w:rPr>
        <w:t>传真：</w:t>
      </w:r>
      <w:r>
        <w:rPr>
          <w:rFonts w:hint="eastAsia" w:eastAsia="宋体"/>
          <w:szCs w:val="24"/>
          <w:u w:val="single"/>
        </w:rPr>
        <w:t xml:space="preserve">             </w:t>
      </w:r>
    </w:p>
    <w:p>
      <w:pPr>
        <w:pStyle w:val="19"/>
        <w:spacing w:line="360" w:lineRule="auto"/>
        <w:ind w:firstLine="0"/>
        <w:contextualSpacing/>
        <w:rPr>
          <w:rFonts w:eastAsia="宋体"/>
          <w:szCs w:val="24"/>
        </w:rPr>
      </w:pPr>
    </w:p>
    <w:p>
      <w:pPr>
        <w:pStyle w:val="19"/>
        <w:tabs>
          <w:tab w:val="left" w:pos="4185"/>
        </w:tabs>
        <w:spacing w:line="360" w:lineRule="auto"/>
        <w:ind w:firstLine="360" w:firstLineChars="150"/>
        <w:contextualSpacing/>
        <w:rPr>
          <w:rFonts w:hint="eastAsia" w:eastAsia="宋体"/>
          <w:szCs w:val="24"/>
        </w:rPr>
      </w:pPr>
      <w:r>
        <w:rPr>
          <w:rFonts w:hint="eastAsia" w:eastAsia="宋体"/>
          <w:szCs w:val="24"/>
        </w:rPr>
        <w:t>投标人（盖章）：</w:t>
      </w:r>
    </w:p>
    <w:p>
      <w:pPr>
        <w:pStyle w:val="19"/>
        <w:tabs>
          <w:tab w:val="left" w:pos="4185"/>
        </w:tabs>
        <w:spacing w:line="360" w:lineRule="auto"/>
        <w:ind w:firstLine="360" w:firstLineChars="150"/>
        <w:contextualSpacing/>
        <w:rPr>
          <w:rFonts w:hint="eastAsia" w:eastAsia="宋体"/>
          <w:szCs w:val="24"/>
        </w:rPr>
      </w:pPr>
      <w:r>
        <w:rPr>
          <w:rFonts w:hint="eastAsia" w:eastAsia="宋体"/>
          <w:szCs w:val="24"/>
        </w:rPr>
        <w:t>法定代表人或授权代表人（签字或盖章）：</w:t>
      </w:r>
    </w:p>
    <w:p>
      <w:pPr>
        <w:pStyle w:val="19"/>
        <w:tabs>
          <w:tab w:val="left" w:pos="4841"/>
        </w:tabs>
        <w:spacing w:line="360" w:lineRule="auto"/>
        <w:ind w:firstLine="360" w:firstLineChars="150"/>
        <w:contextualSpacing/>
        <w:rPr>
          <w:rFonts w:eastAsia="宋体"/>
          <w:szCs w:val="24"/>
        </w:rPr>
      </w:pPr>
      <w:r>
        <w:rPr>
          <w:rFonts w:hint="eastAsia" w:eastAsia="宋体"/>
          <w:szCs w:val="24"/>
        </w:rPr>
        <w:t>日期：</w:t>
      </w:r>
    </w:p>
    <w:p>
      <w:pPr>
        <w:widowControl/>
        <w:snapToGrid w:val="0"/>
        <w:spacing w:line="360" w:lineRule="auto"/>
        <w:rPr>
          <w:rFonts w:hint="eastAsia"/>
          <w:b/>
          <w:bCs/>
          <w:szCs w:val="21"/>
        </w:rPr>
      </w:pPr>
      <w:r>
        <w:rPr>
          <w:szCs w:val="24"/>
        </w:rPr>
        <w:br w:type="page"/>
      </w:r>
      <w:r>
        <w:rPr>
          <w:rFonts w:hint="eastAsia"/>
          <w:b/>
          <w:bCs/>
          <w:szCs w:val="21"/>
        </w:rPr>
        <w:t>附：招标服务费支付承诺书</w:t>
      </w:r>
    </w:p>
    <w:p>
      <w:pPr>
        <w:widowControl/>
        <w:snapToGrid w:val="0"/>
        <w:spacing w:line="360" w:lineRule="auto"/>
        <w:jc w:val="center"/>
        <w:rPr>
          <w:rFonts w:hint="eastAsia"/>
          <w:b/>
          <w:sz w:val="24"/>
          <w:szCs w:val="21"/>
        </w:rPr>
      </w:pPr>
      <w:r>
        <w:rPr>
          <w:rFonts w:hint="eastAsia"/>
          <w:b/>
          <w:sz w:val="24"/>
          <w:szCs w:val="21"/>
        </w:rPr>
        <w:t>招标服务费支付承诺书</w:t>
      </w:r>
    </w:p>
    <w:p>
      <w:pPr>
        <w:widowControl/>
        <w:snapToGrid w:val="0"/>
        <w:spacing w:line="360" w:lineRule="auto"/>
        <w:jc w:val="center"/>
        <w:rPr>
          <w:rFonts w:hint="eastAsia"/>
          <w:b/>
          <w:sz w:val="28"/>
          <w:szCs w:val="28"/>
        </w:rPr>
      </w:pPr>
    </w:p>
    <w:p>
      <w:pPr>
        <w:widowControl/>
        <w:snapToGrid w:val="0"/>
        <w:spacing w:line="360" w:lineRule="auto"/>
        <w:rPr>
          <w:rFonts w:hint="eastAsia"/>
          <w:b/>
          <w:szCs w:val="24"/>
          <w:u w:val="single"/>
        </w:rPr>
      </w:pPr>
      <w:r>
        <w:rPr>
          <w:rFonts w:hint="eastAsia"/>
          <w:b/>
          <w:szCs w:val="24"/>
          <w:u w:val="single"/>
        </w:rPr>
        <w:t>致：中冠工程管理</w:t>
      </w:r>
      <w:r>
        <w:rPr>
          <w:b/>
          <w:szCs w:val="24"/>
          <w:u w:val="single"/>
        </w:rPr>
        <w:t>咨询有限公司</w:t>
      </w:r>
    </w:p>
    <w:p>
      <w:pPr>
        <w:widowControl/>
        <w:snapToGrid w:val="0"/>
        <w:spacing w:line="360" w:lineRule="auto"/>
        <w:ind w:firstLine="420" w:firstLineChars="200"/>
      </w:pPr>
      <w:r>
        <w:t>我公司已认真阅读了</w:t>
      </w:r>
      <w:r>
        <w:rPr>
          <w:rFonts w:hint="eastAsia"/>
          <w:u w:val="single"/>
        </w:rPr>
        <w:t xml:space="preserve">                       </w:t>
      </w:r>
      <w:r>
        <w:rPr>
          <w:rFonts w:hint="eastAsia"/>
        </w:rPr>
        <w:t>项目</w:t>
      </w:r>
      <w:r>
        <w:t>招标文件并在此承诺：</w:t>
      </w:r>
    </w:p>
    <w:p>
      <w:pPr>
        <w:widowControl/>
        <w:snapToGrid w:val="0"/>
        <w:spacing w:line="360" w:lineRule="auto"/>
        <w:ind w:firstLine="420" w:firstLineChars="200"/>
        <w:rPr>
          <w:rFonts w:hint="eastAsia"/>
          <w:bCs/>
        </w:rPr>
      </w:pPr>
      <w:r>
        <w:rPr>
          <w:rFonts w:hint="eastAsia"/>
          <w:bCs/>
        </w:rPr>
        <w:t>如在本项目中标，我公司将在</w:t>
      </w:r>
      <w:r>
        <w:rPr>
          <w:rFonts w:hint="eastAsia"/>
        </w:rPr>
        <w:t>结果公示</w:t>
      </w:r>
      <w:r>
        <w:t>发布之日起</w:t>
      </w:r>
      <w:r>
        <w:rPr>
          <w:rFonts w:hint="eastAsia"/>
          <w:bCs/>
        </w:rPr>
        <w:t>5个工作日之内</w:t>
      </w:r>
      <w:r>
        <w:t>按招标文件规定的标准（金额）一次性向</w:t>
      </w:r>
      <w:r>
        <w:rPr>
          <w:rFonts w:hint="eastAsia"/>
        </w:rPr>
        <w:t>贵公司</w:t>
      </w:r>
      <w:r>
        <w:rPr>
          <w:rFonts w:hint="eastAsia"/>
          <w:bCs/>
        </w:rPr>
        <w:t>支付招标服务费。</w:t>
      </w:r>
    </w:p>
    <w:p>
      <w:pPr>
        <w:widowControl/>
        <w:snapToGrid w:val="0"/>
        <w:spacing w:line="360" w:lineRule="auto"/>
        <w:ind w:firstLine="420" w:firstLineChars="200"/>
        <w:rPr>
          <w:rFonts w:hint="eastAsia"/>
          <w:szCs w:val="21"/>
        </w:rPr>
      </w:pPr>
      <w:r>
        <w:rPr>
          <w:rFonts w:hint="eastAsia"/>
          <w:bCs/>
        </w:rPr>
        <w:t>若我司未按上述承诺内容执行，我司自愿承担本项目招标服务费200%的违约金，且在中标通知书领取后5个工作日内支付上述违约金，否则由此引起的一切法律责任和经济责任由我公司承担。</w:t>
      </w:r>
    </w:p>
    <w:p>
      <w:pPr>
        <w:widowControl/>
        <w:snapToGrid w:val="0"/>
        <w:spacing w:line="360" w:lineRule="auto"/>
        <w:ind w:left="479" w:leftChars="228"/>
        <w:rPr>
          <w:rFonts w:hint="eastAsia"/>
          <w:b/>
          <w:szCs w:val="24"/>
        </w:rPr>
      </w:pPr>
    </w:p>
    <w:p>
      <w:pPr>
        <w:widowControl/>
        <w:snapToGrid w:val="0"/>
        <w:spacing w:line="360" w:lineRule="auto"/>
        <w:rPr>
          <w:rFonts w:hint="eastAsia"/>
        </w:rPr>
      </w:pPr>
    </w:p>
    <w:p>
      <w:pPr>
        <w:widowControl/>
        <w:snapToGrid w:val="0"/>
        <w:spacing w:line="360" w:lineRule="auto"/>
        <w:rPr>
          <w:rFonts w:hint="eastAsia"/>
        </w:rPr>
      </w:pPr>
    </w:p>
    <w:p>
      <w:pPr>
        <w:widowControl/>
        <w:snapToGrid w:val="0"/>
        <w:spacing w:line="360" w:lineRule="auto"/>
        <w:rPr>
          <w:rFonts w:hint="eastAsia"/>
        </w:rPr>
      </w:pPr>
    </w:p>
    <w:p>
      <w:pPr>
        <w:spacing w:line="360" w:lineRule="auto"/>
        <w:rPr>
          <w:rFonts w:hint="eastAsia"/>
          <w:szCs w:val="21"/>
        </w:rPr>
      </w:pPr>
      <w:r>
        <w:rPr>
          <w:rFonts w:hint="eastAsia"/>
          <w:szCs w:val="21"/>
        </w:rPr>
        <w:t>投标人全称（公章）：</w:t>
      </w:r>
    </w:p>
    <w:p>
      <w:pPr>
        <w:spacing w:line="360" w:lineRule="auto"/>
        <w:rPr>
          <w:rFonts w:hint="eastAsia"/>
          <w:szCs w:val="21"/>
        </w:rPr>
      </w:pPr>
      <w:r>
        <w:rPr>
          <w:rFonts w:hint="eastAsia"/>
          <w:szCs w:val="21"/>
        </w:rPr>
        <w:t xml:space="preserve">法定代表人或授权代表（签字或盖章）：                       </w:t>
      </w:r>
    </w:p>
    <w:p>
      <w:pPr>
        <w:widowControl/>
        <w:snapToGrid w:val="0"/>
        <w:spacing w:line="360" w:lineRule="auto"/>
        <w:ind w:right="375"/>
        <w:rPr>
          <w:rFonts w:hint="eastAsia"/>
        </w:rPr>
      </w:pPr>
      <w:r>
        <w:rPr>
          <w:rFonts w:hint="eastAsia"/>
          <w:szCs w:val="21"/>
        </w:rPr>
        <w:t>日期：</w:t>
      </w:r>
    </w:p>
    <w:p>
      <w:pPr>
        <w:widowControl/>
        <w:snapToGrid w:val="0"/>
        <w:spacing w:line="360" w:lineRule="auto"/>
        <w:ind w:right="480"/>
        <w:rPr>
          <w:rFonts w:hint="eastAsia"/>
        </w:rPr>
      </w:pPr>
    </w:p>
    <w:p>
      <w:pPr>
        <w:widowControl/>
        <w:snapToGrid w:val="0"/>
        <w:spacing w:line="360" w:lineRule="auto"/>
        <w:ind w:right="480"/>
        <w:rPr>
          <w:rFonts w:hint="eastAsia"/>
        </w:rPr>
      </w:pPr>
    </w:p>
    <w:p>
      <w:pPr>
        <w:widowControl/>
        <w:snapToGrid w:val="0"/>
        <w:spacing w:line="360" w:lineRule="auto"/>
        <w:ind w:right="480"/>
        <w:rPr>
          <w:rFonts w:hint="eastAsia"/>
        </w:rPr>
      </w:pPr>
    </w:p>
    <w:p>
      <w:pPr>
        <w:widowControl/>
        <w:snapToGrid w:val="0"/>
        <w:spacing w:line="360" w:lineRule="auto"/>
        <w:ind w:right="480"/>
        <w:rPr>
          <w:rFonts w:hint="eastAsia"/>
        </w:rPr>
      </w:pPr>
    </w:p>
    <w:p>
      <w:pPr>
        <w:widowControl/>
        <w:snapToGrid w:val="0"/>
        <w:spacing w:line="360" w:lineRule="auto"/>
        <w:jc w:val="left"/>
        <w:rPr>
          <w:rFonts w:hint="eastAsia"/>
        </w:rPr>
      </w:pPr>
      <w:r>
        <w:rPr>
          <w:rFonts w:hint="eastAsia"/>
        </w:rPr>
        <w:t>中冠工程</w:t>
      </w:r>
      <w:r>
        <w:t>管理咨询有限</w:t>
      </w:r>
      <w:r>
        <w:rPr>
          <w:rFonts w:hint="eastAsia"/>
        </w:rPr>
        <w:t>公司招标服务费收取账号信息：</w:t>
      </w:r>
    </w:p>
    <w:p>
      <w:pPr>
        <w:widowControl/>
        <w:snapToGrid w:val="0"/>
        <w:spacing w:line="360" w:lineRule="auto"/>
        <w:jc w:val="left"/>
        <w:rPr>
          <w:rFonts w:hint="eastAsia"/>
        </w:rPr>
      </w:pPr>
    </w:p>
    <w:p>
      <w:pPr>
        <w:snapToGrid w:val="0"/>
        <w:spacing w:before="50" w:after="50"/>
        <w:rPr>
          <w:rFonts w:hint="eastAsia"/>
          <w:szCs w:val="22"/>
        </w:rPr>
      </w:pPr>
      <w:r>
        <w:rPr>
          <w:rFonts w:hint="eastAsia"/>
          <w:szCs w:val="22"/>
        </w:rPr>
        <w:t>开户银行：温州银行股份有限公司宁波分行营业部</w:t>
      </w:r>
    </w:p>
    <w:p>
      <w:pPr>
        <w:snapToGrid w:val="0"/>
        <w:spacing w:before="50" w:after="50"/>
        <w:rPr>
          <w:rFonts w:hint="eastAsia"/>
          <w:szCs w:val="22"/>
        </w:rPr>
      </w:pPr>
      <w:r>
        <w:rPr>
          <w:rFonts w:hint="eastAsia"/>
          <w:szCs w:val="22"/>
        </w:rPr>
        <w:t>户名：中冠工程管理咨询有限公司</w:t>
      </w:r>
    </w:p>
    <w:p>
      <w:pPr>
        <w:snapToGrid w:val="0"/>
        <w:spacing w:before="50" w:after="50"/>
        <w:rPr>
          <w:szCs w:val="21"/>
        </w:rPr>
      </w:pPr>
      <w:r>
        <w:rPr>
          <w:rFonts w:hint="eastAsia"/>
          <w:szCs w:val="22"/>
        </w:rPr>
        <w:t>账号：902000120190005234</w:t>
      </w:r>
    </w:p>
    <w:p>
      <w:pPr>
        <w:snapToGrid w:val="0"/>
        <w:spacing w:before="50" w:after="50"/>
        <w:rPr>
          <w:szCs w:val="21"/>
        </w:rPr>
        <w:sectPr>
          <w:pgSz w:w="11907" w:h="16840"/>
          <w:pgMar w:top="1134" w:right="1531" w:bottom="1134" w:left="1531" w:header="425" w:footer="709" w:gutter="0"/>
          <w:cols w:space="720" w:num="1"/>
          <w:docGrid w:linePitch="285" w:charSpace="0"/>
        </w:sectPr>
      </w:pPr>
    </w:p>
    <w:p>
      <w:pPr>
        <w:pStyle w:val="3"/>
        <w:spacing w:before="0" w:after="0" w:line="240" w:lineRule="auto"/>
        <w:ind w:right="-567"/>
        <w:jc w:val="left"/>
        <w:rPr>
          <w:rFonts w:hint="eastAsia" w:ascii="Times New Roman" w:hAnsi="Times New Roman" w:eastAsia="宋体"/>
          <w:b w:val="0"/>
          <w:sz w:val="18"/>
          <w:szCs w:val="18"/>
        </w:rPr>
      </w:pPr>
      <w:bookmarkStart w:id="71" w:name="_Toc97372566"/>
      <w:r>
        <w:rPr>
          <w:rFonts w:hint="eastAsia" w:ascii="Times New Roman" w:hAnsi="Times New Roman" w:eastAsia="宋体"/>
          <w:b w:val="0"/>
          <w:sz w:val="18"/>
          <w:szCs w:val="18"/>
        </w:rPr>
        <w:t>格式二 开标一览表</w:t>
      </w:r>
      <w:bookmarkEnd w:id="71"/>
      <w:r>
        <w:rPr>
          <w:rFonts w:hint="eastAsia" w:ascii="Times New Roman" w:hAnsi="Times New Roman" w:eastAsia="宋体"/>
          <w:b w:val="0"/>
          <w:sz w:val="18"/>
          <w:szCs w:val="18"/>
        </w:rPr>
        <w:t>、分项报价表</w:t>
      </w:r>
    </w:p>
    <w:p>
      <w:pPr>
        <w:rPr>
          <w:rFonts w:hint="eastAsia"/>
        </w:rPr>
      </w:pPr>
    </w:p>
    <w:p>
      <w:pPr>
        <w:pStyle w:val="2"/>
        <w:spacing w:after="120" w:afterLines="50" w:line="360" w:lineRule="exact"/>
        <w:rPr>
          <w:rFonts w:hint="eastAsia" w:ascii="Times New Roman"/>
          <w:sz w:val="32"/>
          <w:szCs w:val="32"/>
        </w:rPr>
      </w:pPr>
      <w:bookmarkStart w:id="72" w:name="_Toc505353795"/>
      <w:bookmarkStart w:id="73" w:name="_Toc496003217"/>
      <w:bookmarkStart w:id="74" w:name="_Toc498429650"/>
      <w:r>
        <w:rPr>
          <w:rFonts w:hint="eastAsia" w:ascii="Times New Roman"/>
          <w:sz w:val="32"/>
          <w:szCs w:val="32"/>
        </w:rPr>
        <w:t>开标一览表</w:t>
      </w:r>
      <w:bookmarkEnd w:id="72"/>
      <w:bookmarkEnd w:id="73"/>
      <w:bookmarkEnd w:id="74"/>
    </w:p>
    <w:p>
      <w:pPr>
        <w:rPr>
          <w:rFonts w:hint="eastAsia"/>
        </w:rPr>
      </w:pPr>
    </w:p>
    <w:p>
      <w:pPr>
        <w:pStyle w:val="19"/>
        <w:spacing w:line="360" w:lineRule="auto"/>
        <w:ind w:firstLine="0"/>
        <w:rPr>
          <w:rFonts w:hint="eastAsia" w:eastAsia="宋体"/>
          <w:sz w:val="21"/>
          <w:szCs w:val="21"/>
        </w:rPr>
      </w:pPr>
      <w:r>
        <w:rPr>
          <w:rFonts w:hint="eastAsia" w:eastAsia="宋体"/>
          <w:sz w:val="21"/>
          <w:szCs w:val="21"/>
        </w:rPr>
        <w:t>项目名称：</w:t>
      </w:r>
      <w:r>
        <w:rPr>
          <w:rFonts w:hint="eastAsia" w:eastAsia="宋体"/>
          <w:sz w:val="21"/>
          <w:szCs w:val="21"/>
          <w:u w:val="single"/>
        </w:rPr>
        <w:t xml:space="preserve">                </w:t>
      </w:r>
      <w:r>
        <w:rPr>
          <w:rFonts w:hint="eastAsia" w:eastAsia="宋体"/>
          <w:sz w:val="21"/>
          <w:szCs w:val="21"/>
        </w:rPr>
        <w:t xml:space="preserve">                          项目编号：</w:t>
      </w:r>
      <w:r>
        <w:rPr>
          <w:rFonts w:hint="eastAsia" w:eastAsia="宋体"/>
          <w:sz w:val="21"/>
          <w:szCs w:val="21"/>
          <w:u w:val="single"/>
        </w:rPr>
        <w:t xml:space="preserve">             </w:t>
      </w:r>
      <w:r>
        <w:rPr>
          <w:rFonts w:hint="eastAsia" w:eastAsia="宋体"/>
          <w:sz w:val="21"/>
          <w:szCs w:val="21"/>
        </w:rPr>
        <w:t xml:space="preserve"> </w:t>
      </w:r>
    </w:p>
    <w:tbl>
      <w:tblPr>
        <w:tblStyle w:val="50"/>
        <w:tblW w:w="14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969"/>
        <w:gridCol w:w="4370"/>
        <w:gridCol w:w="1337"/>
        <w:gridCol w:w="3073"/>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8" w:hRule="atLeast"/>
          <w:jc w:val="center"/>
        </w:trPr>
        <w:tc>
          <w:tcPr>
            <w:tcW w:w="887" w:type="dxa"/>
            <w:noWrap w:val="0"/>
            <w:vAlign w:val="center"/>
          </w:tcPr>
          <w:p>
            <w:pPr>
              <w:widowControl/>
              <w:spacing w:line="440" w:lineRule="exact"/>
              <w:jc w:val="center"/>
              <w:rPr>
                <w:rFonts w:hint="eastAsia" w:ascii="Times New Roman" w:hAnsi="Times New Roman"/>
                <w:b/>
                <w:bCs/>
                <w:kern w:val="0"/>
                <w:szCs w:val="21"/>
              </w:rPr>
            </w:pPr>
            <w:r>
              <w:rPr>
                <w:rFonts w:hint="eastAsia" w:ascii="Times New Roman" w:hAnsi="Times New Roman"/>
                <w:b/>
                <w:bCs/>
                <w:kern w:val="0"/>
                <w:szCs w:val="21"/>
              </w:rPr>
              <w:t>序号</w:t>
            </w:r>
          </w:p>
        </w:tc>
        <w:tc>
          <w:tcPr>
            <w:tcW w:w="1969" w:type="dxa"/>
            <w:noWrap w:val="0"/>
            <w:vAlign w:val="center"/>
          </w:tcPr>
          <w:p>
            <w:pPr>
              <w:widowControl/>
              <w:spacing w:line="440" w:lineRule="exact"/>
              <w:jc w:val="center"/>
              <w:rPr>
                <w:rFonts w:ascii="Times New Roman" w:hAnsi="Times New Roman"/>
                <w:b/>
                <w:bCs/>
                <w:kern w:val="0"/>
                <w:szCs w:val="21"/>
              </w:rPr>
            </w:pPr>
            <w:r>
              <w:rPr>
                <w:rFonts w:hint="eastAsia" w:ascii="Times New Roman" w:hAnsi="Times New Roman"/>
                <w:b/>
                <w:bCs/>
                <w:kern w:val="0"/>
                <w:szCs w:val="21"/>
              </w:rPr>
              <w:t>项目</w:t>
            </w:r>
            <w:r>
              <w:rPr>
                <w:rFonts w:ascii="Times New Roman" w:hAnsi="Times New Roman"/>
                <w:b/>
                <w:bCs/>
                <w:kern w:val="0"/>
                <w:szCs w:val="21"/>
              </w:rPr>
              <w:t>名称</w:t>
            </w:r>
          </w:p>
        </w:tc>
        <w:tc>
          <w:tcPr>
            <w:tcW w:w="4370" w:type="dxa"/>
            <w:noWrap w:val="0"/>
            <w:vAlign w:val="center"/>
          </w:tcPr>
          <w:p>
            <w:pPr>
              <w:widowControl/>
              <w:spacing w:line="440" w:lineRule="exact"/>
              <w:jc w:val="center"/>
              <w:rPr>
                <w:rFonts w:ascii="Times New Roman" w:hAnsi="Times New Roman"/>
                <w:b/>
                <w:bCs/>
                <w:kern w:val="0"/>
                <w:szCs w:val="21"/>
              </w:rPr>
            </w:pPr>
            <w:r>
              <w:rPr>
                <w:rFonts w:ascii="Times New Roman" w:hAnsi="Times New Roman"/>
                <w:b/>
                <w:szCs w:val="21"/>
              </w:rPr>
              <w:t>服务期限</w:t>
            </w:r>
          </w:p>
        </w:tc>
        <w:tc>
          <w:tcPr>
            <w:tcW w:w="1337" w:type="dxa"/>
            <w:noWrap w:val="0"/>
            <w:vAlign w:val="center"/>
          </w:tcPr>
          <w:p>
            <w:pPr>
              <w:widowControl/>
              <w:spacing w:line="440" w:lineRule="exact"/>
              <w:jc w:val="center"/>
              <w:rPr>
                <w:rFonts w:ascii="Times New Roman" w:hAnsi="Times New Roman"/>
                <w:b/>
                <w:bCs/>
                <w:kern w:val="0"/>
                <w:szCs w:val="21"/>
              </w:rPr>
            </w:pPr>
            <w:r>
              <w:rPr>
                <w:rFonts w:hint="eastAsia" w:ascii="Times New Roman" w:hAnsi="Times New Roman"/>
                <w:b/>
                <w:bCs/>
                <w:kern w:val="0"/>
                <w:szCs w:val="21"/>
              </w:rPr>
              <w:t>年度最高限价（元/年）</w:t>
            </w:r>
          </w:p>
        </w:tc>
        <w:tc>
          <w:tcPr>
            <w:tcW w:w="3073" w:type="dxa"/>
            <w:noWrap w:val="0"/>
            <w:vAlign w:val="center"/>
          </w:tcPr>
          <w:p>
            <w:pPr>
              <w:widowControl/>
              <w:spacing w:line="440" w:lineRule="exact"/>
              <w:jc w:val="center"/>
              <w:rPr>
                <w:rFonts w:ascii="Times New Roman" w:hAnsi="Times New Roman"/>
                <w:b/>
                <w:bCs/>
                <w:kern w:val="0"/>
                <w:szCs w:val="21"/>
              </w:rPr>
            </w:pPr>
            <w:r>
              <w:rPr>
                <w:rFonts w:ascii="Times New Roman" w:hAnsi="Times New Roman"/>
                <w:b/>
                <w:bCs/>
                <w:kern w:val="0"/>
                <w:szCs w:val="21"/>
              </w:rPr>
              <w:t>年度投标总价</w:t>
            </w:r>
            <w:r>
              <w:rPr>
                <w:rFonts w:hint="eastAsia" w:ascii="Times New Roman" w:hAnsi="Times New Roman"/>
                <w:b/>
                <w:bCs/>
                <w:kern w:val="0"/>
                <w:szCs w:val="21"/>
              </w:rPr>
              <w:t>（元/年）</w:t>
            </w:r>
          </w:p>
        </w:tc>
        <w:tc>
          <w:tcPr>
            <w:tcW w:w="2928" w:type="dxa"/>
            <w:noWrap w:val="0"/>
            <w:vAlign w:val="center"/>
          </w:tcPr>
          <w:p>
            <w:pPr>
              <w:widowControl/>
              <w:spacing w:line="440" w:lineRule="exact"/>
              <w:jc w:val="center"/>
              <w:rPr>
                <w:rFonts w:hint="eastAsia" w:ascii="Times New Roman" w:hAnsi="Times New Roman"/>
                <w:b/>
                <w:bCs/>
                <w:kern w:val="0"/>
                <w:szCs w:val="21"/>
              </w:rPr>
            </w:pPr>
            <w:r>
              <w:rPr>
                <w:rFonts w:hint="eastAsia" w:ascii="Times New Roman" w:hAnsi="Times New Roman"/>
                <w:b/>
                <w:bCs/>
                <w:kern w:val="0"/>
                <w:szCs w:val="21"/>
              </w:rPr>
              <w:t>3年投标总价（元）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6" w:hRule="atLeast"/>
          <w:jc w:val="center"/>
        </w:trPr>
        <w:tc>
          <w:tcPr>
            <w:tcW w:w="887" w:type="dxa"/>
            <w:noWrap w:val="0"/>
            <w:vAlign w:val="center"/>
          </w:tcPr>
          <w:p>
            <w:pPr>
              <w:widowControl/>
              <w:spacing w:line="440" w:lineRule="exact"/>
              <w:jc w:val="center"/>
              <w:rPr>
                <w:rFonts w:hint="eastAsia" w:ascii="Times New Roman" w:hAnsi="Times New Roman"/>
                <w:kern w:val="0"/>
                <w:szCs w:val="21"/>
              </w:rPr>
            </w:pPr>
            <w:r>
              <w:rPr>
                <w:rFonts w:hint="eastAsia" w:ascii="Times New Roman" w:hAnsi="Times New Roman"/>
                <w:kern w:val="0"/>
                <w:szCs w:val="21"/>
              </w:rPr>
              <w:t>1</w:t>
            </w:r>
          </w:p>
        </w:tc>
        <w:tc>
          <w:tcPr>
            <w:tcW w:w="1969" w:type="dxa"/>
            <w:noWrap w:val="0"/>
            <w:vAlign w:val="center"/>
          </w:tcPr>
          <w:p>
            <w:pPr>
              <w:widowControl/>
              <w:spacing w:line="440" w:lineRule="exact"/>
              <w:jc w:val="center"/>
              <w:rPr>
                <w:rFonts w:ascii="Times New Roman" w:hAnsi="Times New Roman"/>
                <w:kern w:val="0"/>
                <w:szCs w:val="21"/>
              </w:rPr>
            </w:pPr>
            <w:r>
              <w:rPr>
                <w:rFonts w:hint="eastAsia" w:ascii="Times New Roman" w:hAnsi="Times New Roman"/>
                <w:kern w:val="0"/>
                <w:szCs w:val="21"/>
              </w:rPr>
              <w:t>五乡镇环卫保洁及绿化养护项目</w:t>
            </w:r>
          </w:p>
        </w:tc>
        <w:tc>
          <w:tcPr>
            <w:tcW w:w="4370" w:type="dxa"/>
            <w:noWrap w:val="0"/>
            <w:vAlign w:val="center"/>
          </w:tcPr>
          <w:p>
            <w:pPr>
              <w:widowControl/>
              <w:spacing w:line="440" w:lineRule="exact"/>
              <w:jc w:val="center"/>
              <w:rPr>
                <w:rFonts w:ascii="Times New Roman" w:hAnsi="Times New Roman"/>
                <w:kern w:val="0"/>
                <w:szCs w:val="21"/>
              </w:rPr>
            </w:pPr>
            <w:r>
              <w:rPr>
                <w:rFonts w:hint="eastAsia" w:ascii="Times New Roman" w:hAnsi="Times New Roman" w:cs="宋体"/>
                <w:szCs w:val="21"/>
              </w:rPr>
              <w:t>采用“1+1+1”模式，总期限3年，合同一年一签；第一年合同期限暂定自2022年04月01日起至2023年03月31日止，后两年由采购人根据中标人在上一年度合同履约、养护考核等情况及财政资金审批情况决定是否续签（若因政策调整、养护模式调整等原因需要重新进行招标的，采购人有权单方面终止合同）。</w:t>
            </w:r>
          </w:p>
        </w:tc>
        <w:tc>
          <w:tcPr>
            <w:tcW w:w="1337" w:type="dxa"/>
            <w:noWrap w:val="0"/>
            <w:vAlign w:val="center"/>
          </w:tcPr>
          <w:p>
            <w:pPr>
              <w:widowControl/>
              <w:spacing w:line="440" w:lineRule="exact"/>
              <w:jc w:val="center"/>
              <w:rPr>
                <w:rFonts w:ascii="Times New Roman" w:hAnsi="Times New Roman"/>
                <w:kern w:val="0"/>
                <w:szCs w:val="21"/>
              </w:rPr>
            </w:pPr>
            <w:r>
              <w:rPr>
                <w:rFonts w:ascii="Times New Roman" w:hAnsi="Times New Roman"/>
                <w:kern w:val="0"/>
                <w:szCs w:val="21"/>
              </w:rPr>
              <w:t>16452023</w:t>
            </w:r>
          </w:p>
        </w:tc>
        <w:tc>
          <w:tcPr>
            <w:tcW w:w="3073" w:type="dxa"/>
            <w:noWrap w:val="0"/>
            <w:vAlign w:val="center"/>
          </w:tcPr>
          <w:p>
            <w:pPr>
              <w:widowControl/>
              <w:spacing w:line="440" w:lineRule="exact"/>
              <w:jc w:val="left"/>
              <w:rPr>
                <w:rFonts w:ascii="Times New Roman" w:hAnsi="Times New Roman"/>
                <w:kern w:val="0"/>
                <w:szCs w:val="21"/>
              </w:rPr>
            </w:pPr>
            <w:r>
              <w:rPr>
                <w:rFonts w:ascii="Times New Roman" w:hAnsi="Times New Roman"/>
                <w:kern w:val="0"/>
                <w:szCs w:val="21"/>
              </w:rPr>
              <w:t>小写：￥</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元</w:t>
            </w:r>
            <w:r>
              <w:rPr>
                <w:rFonts w:hint="eastAsia" w:ascii="Times New Roman" w:hAnsi="Times New Roman"/>
                <w:kern w:val="0"/>
                <w:szCs w:val="21"/>
              </w:rPr>
              <w:t>；</w:t>
            </w:r>
          </w:p>
          <w:p>
            <w:pPr>
              <w:widowControl/>
              <w:spacing w:line="440" w:lineRule="exact"/>
              <w:jc w:val="left"/>
              <w:rPr>
                <w:rFonts w:ascii="Times New Roman" w:hAnsi="Times New Roman"/>
                <w:kern w:val="0"/>
                <w:szCs w:val="21"/>
              </w:rPr>
            </w:pPr>
            <w:r>
              <w:rPr>
                <w:rFonts w:ascii="Times New Roman" w:hAnsi="Times New Roman"/>
                <w:kern w:val="0"/>
                <w:szCs w:val="21"/>
              </w:rPr>
              <w:t>大写</w:t>
            </w:r>
            <w:r>
              <w:rPr>
                <w:rFonts w:hint="eastAsia" w:ascii="Times New Roman" w:hAnsi="Times New Roman"/>
                <w:kern w:val="0"/>
                <w:szCs w:val="21"/>
              </w:rPr>
              <w:t>：</w:t>
            </w:r>
            <w:r>
              <w:rPr>
                <w:rFonts w:ascii="Times New Roman" w:hAnsi="Times New Roman"/>
                <w:kern w:val="0"/>
                <w:szCs w:val="21"/>
              </w:rPr>
              <w:t>人民币</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元</w:t>
            </w:r>
            <w:r>
              <w:rPr>
                <w:rFonts w:hint="eastAsia" w:ascii="Times New Roman" w:hAnsi="Times New Roman"/>
                <w:kern w:val="0"/>
                <w:szCs w:val="21"/>
              </w:rPr>
              <w:t>。</w:t>
            </w:r>
          </w:p>
        </w:tc>
        <w:tc>
          <w:tcPr>
            <w:tcW w:w="2928" w:type="dxa"/>
            <w:noWrap w:val="0"/>
            <w:vAlign w:val="center"/>
          </w:tcPr>
          <w:p>
            <w:pPr>
              <w:widowControl/>
              <w:spacing w:line="440" w:lineRule="exact"/>
              <w:jc w:val="left"/>
              <w:rPr>
                <w:rFonts w:ascii="Times New Roman" w:hAnsi="Times New Roman"/>
                <w:kern w:val="0"/>
                <w:szCs w:val="21"/>
              </w:rPr>
            </w:pPr>
            <w:r>
              <w:rPr>
                <w:rFonts w:ascii="Times New Roman" w:hAnsi="Times New Roman"/>
                <w:kern w:val="0"/>
                <w:szCs w:val="21"/>
              </w:rPr>
              <w:t>小写：￥</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ascii="Times New Roman" w:hAnsi="Times New Roman"/>
                <w:kern w:val="0"/>
                <w:szCs w:val="21"/>
              </w:rPr>
              <w:t>元</w:t>
            </w:r>
            <w:r>
              <w:rPr>
                <w:rFonts w:hint="eastAsia" w:ascii="Times New Roman" w:hAnsi="Times New Roman"/>
                <w:kern w:val="0"/>
                <w:szCs w:val="21"/>
              </w:rPr>
              <w:t>；</w:t>
            </w:r>
          </w:p>
          <w:p>
            <w:pPr>
              <w:widowControl/>
              <w:spacing w:line="440" w:lineRule="exact"/>
              <w:jc w:val="left"/>
              <w:rPr>
                <w:rFonts w:ascii="Times New Roman" w:hAnsi="Times New Roman"/>
                <w:kern w:val="0"/>
                <w:szCs w:val="21"/>
              </w:rPr>
            </w:pPr>
            <w:r>
              <w:rPr>
                <w:rFonts w:ascii="Times New Roman" w:hAnsi="Times New Roman"/>
                <w:kern w:val="0"/>
                <w:szCs w:val="21"/>
              </w:rPr>
              <w:t>大写：</w:t>
            </w:r>
            <w:r>
              <w:rPr>
                <w:rFonts w:hint="eastAsia" w:ascii="Times New Roman" w:hAnsi="Times New Roman"/>
                <w:kern w:val="0"/>
                <w:szCs w:val="21"/>
              </w:rPr>
              <w:t xml:space="preserve"> </w:t>
            </w:r>
            <w:r>
              <w:rPr>
                <w:rFonts w:ascii="Times New Roman" w:hAnsi="Times New Roman"/>
                <w:kern w:val="0"/>
                <w:szCs w:val="21"/>
              </w:rPr>
              <w:t>人民币</w:t>
            </w:r>
            <w:r>
              <w:rPr>
                <w:rFonts w:ascii="Times New Roman" w:hAnsi="Times New Roman"/>
                <w:kern w:val="0"/>
                <w:szCs w:val="21"/>
                <w:u w:val="single"/>
              </w:rPr>
              <w:t xml:space="preserve">         </w:t>
            </w:r>
            <w:r>
              <w:rPr>
                <w:rFonts w:ascii="Times New Roman" w:hAnsi="Times New Roman"/>
                <w:kern w:val="0"/>
                <w:szCs w:val="21"/>
              </w:rPr>
              <w:t>元</w:t>
            </w:r>
            <w:r>
              <w:rPr>
                <w:rFonts w:hint="eastAsia"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jc w:val="center"/>
        </w:trPr>
        <w:tc>
          <w:tcPr>
            <w:tcW w:w="2856" w:type="dxa"/>
            <w:gridSpan w:val="2"/>
            <w:noWrap w:val="0"/>
            <w:vAlign w:val="center"/>
          </w:tcPr>
          <w:p>
            <w:pPr>
              <w:widowControl/>
              <w:spacing w:line="440" w:lineRule="exact"/>
              <w:jc w:val="center"/>
              <w:rPr>
                <w:rFonts w:hint="eastAsia" w:ascii="Times New Roman" w:hAnsi="Times New Roman"/>
                <w:kern w:val="0"/>
                <w:szCs w:val="21"/>
              </w:rPr>
            </w:pPr>
            <w:r>
              <w:rPr>
                <w:rFonts w:hint="eastAsia" w:ascii="Times New Roman" w:hAnsi="Times New Roman"/>
                <w:kern w:val="0"/>
                <w:szCs w:val="21"/>
              </w:rPr>
              <w:t>投标声明</w:t>
            </w:r>
          </w:p>
        </w:tc>
        <w:tc>
          <w:tcPr>
            <w:tcW w:w="11708" w:type="dxa"/>
            <w:gridSpan w:val="4"/>
            <w:noWrap w:val="0"/>
            <w:vAlign w:val="center"/>
          </w:tcPr>
          <w:p>
            <w:pPr>
              <w:widowControl/>
              <w:spacing w:line="440" w:lineRule="exact"/>
              <w:rPr>
                <w:rFonts w:ascii="Times New Roman" w:hAnsi="Times New Roman"/>
                <w:kern w:val="0"/>
                <w:szCs w:val="21"/>
              </w:rPr>
            </w:pPr>
          </w:p>
        </w:tc>
      </w:tr>
    </w:tbl>
    <w:p>
      <w:pPr>
        <w:spacing w:line="360" w:lineRule="auto"/>
        <w:rPr>
          <w:rFonts w:hint="eastAsia"/>
          <w:bCs/>
          <w:sz w:val="18"/>
          <w:szCs w:val="18"/>
        </w:rPr>
      </w:pPr>
      <w:r>
        <w:rPr>
          <w:rFonts w:hint="eastAsia"/>
          <w:bCs/>
          <w:sz w:val="18"/>
          <w:szCs w:val="18"/>
        </w:rPr>
        <w:t>注：1、以下分项报价表表1中的第五项环卫保洁</w:t>
      </w:r>
      <w:r>
        <w:rPr>
          <w:rFonts w:hint="eastAsia"/>
          <w:bCs/>
          <w:kern w:val="0"/>
          <w:sz w:val="18"/>
          <w:szCs w:val="18"/>
        </w:rPr>
        <w:t>（或绿化养护）作业</w:t>
      </w:r>
      <w:r>
        <w:rPr>
          <w:rFonts w:hint="eastAsia"/>
          <w:bCs/>
          <w:sz w:val="18"/>
          <w:szCs w:val="18"/>
        </w:rPr>
        <w:t>人员或驾驶员工资包括</w:t>
      </w:r>
      <w:r>
        <w:rPr>
          <w:bCs/>
          <w:sz w:val="18"/>
          <w:szCs w:val="18"/>
        </w:rPr>
        <w:t>人员</w:t>
      </w:r>
      <w:r>
        <w:rPr>
          <w:rFonts w:hint="eastAsia"/>
          <w:bCs/>
          <w:sz w:val="18"/>
          <w:szCs w:val="18"/>
        </w:rPr>
        <w:t>基本</w:t>
      </w:r>
      <w:r>
        <w:rPr>
          <w:bCs/>
          <w:sz w:val="18"/>
          <w:szCs w:val="18"/>
        </w:rPr>
        <w:t>工资、</w:t>
      </w:r>
      <w:r>
        <w:rPr>
          <w:rFonts w:hint="eastAsia"/>
          <w:bCs/>
          <w:sz w:val="18"/>
          <w:szCs w:val="18"/>
        </w:rPr>
        <w:t>各类</w:t>
      </w:r>
      <w:r>
        <w:rPr>
          <w:bCs/>
          <w:sz w:val="18"/>
          <w:szCs w:val="18"/>
        </w:rPr>
        <w:t>福利</w:t>
      </w:r>
      <w:r>
        <w:rPr>
          <w:rFonts w:hint="eastAsia"/>
          <w:bCs/>
          <w:sz w:val="18"/>
          <w:szCs w:val="18"/>
        </w:rPr>
        <w:t>和补贴（如高温补贴、加班补贴等）</w:t>
      </w:r>
      <w:r>
        <w:rPr>
          <w:bCs/>
          <w:sz w:val="18"/>
          <w:szCs w:val="18"/>
        </w:rPr>
        <w:t>、</w:t>
      </w:r>
      <w:r>
        <w:rPr>
          <w:rFonts w:hint="eastAsia"/>
          <w:bCs/>
          <w:sz w:val="18"/>
          <w:szCs w:val="18"/>
        </w:rPr>
        <w:t>社保（五险）以及各种</w:t>
      </w:r>
      <w:r>
        <w:rPr>
          <w:bCs/>
          <w:sz w:val="18"/>
          <w:szCs w:val="18"/>
        </w:rPr>
        <w:t>保险</w:t>
      </w:r>
      <w:r>
        <w:rPr>
          <w:rFonts w:hint="eastAsia"/>
          <w:bCs/>
          <w:sz w:val="18"/>
          <w:szCs w:val="18"/>
        </w:rPr>
        <w:t>），且小计金额不得低于本部分附件2列明的总金额；以下表1中的第七项管理费包括管理人员工资、人员培训费、办公管理用房费、其他管理费的全年合计；以下表1中的</w:t>
      </w:r>
      <w:r>
        <w:rPr>
          <w:rFonts w:hint="eastAsia"/>
          <w:bCs/>
          <w:kern w:val="0"/>
          <w:sz w:val="18"/>
          <w:szCs w:val="18"/>
        </w:rPr>
        <w:t>第六项其他费用如有，只需报合计经费，无需核算到单个人；环卫</w:t>
      </w:r>
      <w:r>
        <w:rPr>
          <w:rFonts w:hint="eastAsia"/>
          <w:bCs/>
          <w:sz w:val="18"/>
          <w:szCs w:val="18"/>
        </w:rPr>
        <w:t>车辆及绿化养护车辆费用按分项报价表表2单独报出费用明细，并计入表1。</w:t>
      </w:r>
    </w:p>
    <w:p>
      <w:pPr>
        <w:spacing w:line="360" w:lineRule="auto"/>
        <w:ind w:firstLine="360" w:firstLineChars="200"/>
        <w:rPr>
          <w:rFonts w:hint="eastAsia"/>
          <w:bCs/>
          <w:sz w:val="18"/>
          <w:szCs w:val="18"/>
        </w:rPr>
      </w:pPr>
      <w:r>
        <w:rPr>
          <w:rFonts w:hint="eastAsia"/>
          <w:bCs/>
          <w:sz w:val="18"/>
          <w:szCs w:val="18"/>
        </w:rPr>
        <w:t>2、上表中年度投标总价=表1的“第九项”序号11的报价。投标总价=年度投标总价*3。</w:t>
      </w:r>
    </w:p>
    <w:p>
      <w:pPr>
        <w:pStyle w:val="19"/>
        <w:ind w:right="420"/>
        <w:jc w:val="left"/>
        <w:rPr>
          <w:rFonts w:hint="eastAsia" w:eastAsia="宋体"/>
          <w:szCs w:val="24"/>
        </w:rPr>
      </w:pPr>
      <w:r>
        <w:rPr>
          <w:rFonts w:hint="eastAsia" w:eastAsia="宋体"/>
          <w:szCs w:val="24"/>
        </w:rPr>
        <w:t>投标人（盖章）：</w:t>
      </w:r>
    </w:p>
    <w:p>
      <w:pPr>
        <w:pStyle w:val="19"/>
        <w:ind w:right="420" w:firstLineChars="200"/>
        <w:jc w:val="left"/>
        <w:rPr>
          <w:rFonts w:hint="eastAsia" w:eastAsia="宋体"/>
          <w:szCs w:val="24"/>
        </w:rPr>
      </w:pPr>
      <w:r>
        <w:rPr>
          <w:rFonts w:hint="eastAsia" w:eastAsia="宋体"/>
          <w:szCs w:val="24"/>
        </w:rPr>
        <w:t>法定代表人或授权代表人（签字或盖章）：</w:t>
      </w:r>
    </w:p>
    <w:p>
      <w:pPr>
        <w:pStyle w:val="19"/>
        <w:ind w:right="420"/>
        <w:jc w:val="left"/>
        <w:rPr>
          <w:rFonts w:eastAsia="宋体"/>
          <w:szCs w:val="24"/>
        </w:rPr>
        <w:sectPr>
          <w:pgSz w:w="16840" w:h="11907" w:orient="landscape"/>
          <w:pgMar w:top="851" w:right="1134" w:bottom="1531" w:left="1134" w:header="425" w:footer="709" w:gutter="0"/>
          <w:cols w:space="720" w:num="1"/>
          <w:docGrid w:linePitch="285" w:charSpace="0"/>
        </w:sectPr>
      </w:pPr>
      <w:r>
        <w:rPr>
          <w:rFonts w:hint="eastAsia" w:eastAsia="宋体"/>
          <w:szCs w:val="24"/>
        </w:rPr>
        <w:t>日期：</w:t>
      </w:r>
    </w:p>
    <w:p>
      <w:pPr>
        <w:pStyle w:val="2"/>
        <w:spacing w:line="280" w:lineRule="exact"/>
        <w:contextualSpacing/>
        <w:rPr>
          <w:rFonts w:hint="eastAsia" w:ascii="Times New Roman"/>
          <w:szCs w:val="28"/>
        </w:rPr>
      </w:pPr>
      <w:r>
        <w:rPr>
          <w:rFonts w:hint="eastAsia" w:ascii="Times New Roman"/>
          <w:szCs w:val="28"/>
        </w:rPr>
        <w:t>分项</w:t>
      </w:r>
      <w:r>
        <w:rPr>
          <w:rFonts w:ascii="Times New Roman"/>
          <w:szCs w:val="28"/>
        </w:rPr>
        <w:t>报价</w:t>
      </w:r>
      <w:r>
        <w:rPr>
          <w:rFonts w:hint="eastAsia" w:ascii="Times New Roman"/>
          <w:szCs w:val="28"/>
        </w:rPr>
        <w:t>表</w:t>
      </w:r>
    </w:p>
    <w:p>
      <w:pPr>
        <w:pStyle w:val="19"/>
        <w:spacing w:line="280" w:lineRule="exact"/>
        <w:ind w:right="420"/>
        <w:contextualSpacing/>
        <w:jc w:val="left"/>
        <w:rPr>
          <w:rFonts w:eastAsia="宋体"/>
          <w:b/>
          <w:sz w:val="21"/>
          <w:szCs w:val="21"/>
        </w:rPr>
      </w:pPr>
      <w:r>
        <w:rPr>
          <w:rFonts w:hint="eastAsia" w:eastAsia="宋体"/>
          <w:sz w:val="21"/>
          <w:szCs w:val="21"/>
        </w:rPr>
        <w:t>项目名称：</w:t>
      </w: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hint="eastAsia" w:eastAsia="宋体"/>
          <w:sz w:val="21"/>
          <w:szCs w:val="21"/>
        </w:rPr>
        <w:t xml:space="preserve"> </w:t>
      </w:r>
      <w:r>
        <w:rPr>
          <w:rFonts w:eastAsia="宋体"/>
          <w:sz w:val="21"/>
          <w:szCs w:val="21"/>
        </w:rPr>
        <w:t xml:space="preserve">                     </w:t>
      </w:r>
      <w:r>
        <w:rPr>
          <w:rFonts w:hint="eastAsia" w:eastAsia="宋体"/>
          <w:sz w:val="21"/>
          <w:szCs w:val="21"/>
        </w:rPr>
        <w:t>项目编号：</w:t>
      </w:r>
      <w:r>
        <w:rPr>
          <w:rFonts w:hint="eastAsia" w:eastAsia="宋体"/>
          <w:sz w:val="21"/>
          <w:szCs w:val="21"/>
          <w:u w:val="single"/>
        </w:rPr>
        <w:t xml:space="preserve">             </w:t>
      </w:r>
      <w:r>
        <w:rPr>
          <w:rFonts w:hint="eastAsia" w:eastAsia="宋体"/>
          <w:sz w:val="21"/>
          <w:szCs w:val="21"/>
        </w:rPr>
        <w:t xml:space="preserve"> </w:t>
      </w:r>
      <w:bookmarkStart w:id="75" w:name="_Toc97372569"/>
      <w:r>
        <w:rPr>
          <w:rFonts w:hint="eastAsia" w:eastAsia="宋体"/>
          <w:sz w:val="21"/>
          <w:szCs w:val="21"/>
        </w:rPr>
        <w:t xml:space="preserve">               </w:t>
      </w:r>
      <w:r>
        <w:rPr>
          <w:rFonts w:hint="eastAsia" w:eastAsia="宋体"/>
          <w:b/>
          <w:sz w:val="21"/>
          <w:szCs w:val="21"/>
        </w:rPr>
        <w:t xml:space="preserve"> </w:t>
      </w:r>
      <w:r>
        <w:rPr>
          <w:rFonts w:eastAsia="宋体"/>
          <w:b/>
          <w:sz w:val="21"/>
          <w:szCs w:val="21"/>
        </w:rPr>
        <w:t xml:space="preserve">                         </w:t>
      </w:r>
      <w:r>
        <w:rPr>
          <w:rFonts w:hint="eastAsia" w:eastAsia="宋体"/>
          <w:b/>
          <w:sz w:val="21"/>
          <w:szCs w:val="21"/>
        </w:rPr>
        <w:t xml:space="preserve">   表1</w:t>
      </w:r>
    </w:p>
    <w:tbl>
      <w:tblPr>
        <w:tblStyle w:val="50"/>
        <w:tblW w:w="15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82"/>
        <w:gridCol w:w="2465"/>
        <w:gridCol w:w="402"/>
        <w:gridCol w:w="2198"/>
        <w:gridCol w:w="1358"/>
        <w:gridCol w:w="1038"/>
        <w:gridCol w:w="1143"/>
        <w:gridCol w:w="827"/>
        <w:gridCol w:w="711"/>
        <w:gridCol w:w="699"/>
        <w:gridCol w:w="1167"/>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 w:hRule="atLeast"/>
          <w:jc w:val="center"/>
        </w:trPr>
        <w:tc>
          <w:tcPr>
            <w:tcW w:w="735" w:type="dxa"/>
            <w:noWrap w:val="0"/>
            <w:vAlign w:val="center"/>
          </w:tcPr>
          <w:p>
            <w:pPr>
              <w:widowControl/>
              <w:spacing w:line="240" w:lineRule="exact"/>
              <w:contextualSpacing/>
              <w:jc w:val="center"/>
              <w:rPr>
                <w:rFonts w:ascii="Times New Roman" w:hAnsi="Times New Roman"/>
                <w:kern w:val="0"/>
                <w:sz w:val="18"/>
                <w:szCs w:val="18"/>
              </w:rPr>
            </w:pPr>
            <w:r>
              <w:rPr>
                <w:rFonts w:ascii="Times New Roman" w:hAnsi="Times New Roman"/>
                <w:kern w:val="0"/>
                <w:sz w:val="18"/>
                <w:szCs w:val="18"/>
              </w:rPr>
              <w:t>项目</w:t>
            </w:r>
          </w:p>
        </w:tc>
        <w:tc>
          <w:tcPr>
            <w:tcW w:w="3750" w:type="dxa"/>
            <w:gridSpan w:val="2"/>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一</w:t>
            </w:r>
          </w:p>
        </w:tc>
        <w:tc>
          <w:tcPr>
            <w:tcW w:w="2601" w:type="dxa"/>
            <w:gridSpan w:val="2"/>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二</w:t>
            </w:r>
          </w:p>
        </w:tc>
        <w:tc>
          <w:tcPr>
            <w:tcW w:w="135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三</w:t>
            </w:r>
          </w:p>
        </w:tc>
        <w:tc>
          <w:tcPr>
            <w:tcW w:w="103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四</w:t>
            </w: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五</w:t>
            </w:r>
          </w:p>
        </w:tc>
        <w:tc>
          <w:tcPr>
            <w:tcW w:w="827"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六</w:t>
            </w:r>
          </w:p>
        </w:tc>
        <w:tc>
          <w:tcPr>
            <w:tcW w:w="711"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七</w:t>
            </w:r>
          </w:p>
        </w:tc>
        <w:tc>
          <w:tcPr>
            <w:tcW w:w="699"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八</w:t>
            </w:r>
          </w:p>
        </w:tc>
        <w:tc>
          <w:tcPr>
            <w:tcW w:w="1167"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九</w:t>
            </w:r>
          </w:p>
        </w:tc>
        <w:tc>
          <w:tcPr>
            <w:tcW w:w="1413" w:type="dxa"/>
            <w:vMerge w:val="restart"/>
            <w:noWrap w:val="0"/>
            <w:vAlign w:val="center"/>
          </w:tcPr>
          <w:p>
            <w:pPr>
              <w:spacing w:line="240" w:lineRule="exact"/>
              <w:contextualSpacing/>
              <w:jc w:val="center"/>
              <w:rPr>
                <w:rFonts w:ascii="Times New Roman" w:hAnsi="Times New Roman"/>
                <w:kern w:val="0"/>
                <w:sz w:val="18"/>
                <w:szCs w:val="18"/>
              </w:rPr>
            </w:pPr>
            <w:r>
              <w:rPr>
                <w:rFonts w:ascii="Times New Roman" w:hAnsi="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1" w:hRule="atLeast"/>
          <w:jc w:val="center"/>
        </w:trPr>
        <w:tc>
          <w:tcPr>
            <w:tcW w:w="735" w:type="dxa"/>
            <w:noWrap w:val="0"/>
            <w:vAlign w:val="center"/>
          </w:tcPr>
          <w:p>
            <w:pPr>
              <w:spacing w:line="240" w:lineRule="exact"/>
              <w:contextualSpacing/>
              <w:jc w:val="center"/>
              <w:rPr>
                <w:rFonts w:ascii="Times New Roman" w:hAnsi="Times New Roman"/>
                <w:kern w:val="0"/>
                <w:sz w:val="18"/>
                <w:szCs w:val="18"/>
              </w:rPr>
            </w:pPr>
            <w:r>
              <w:rPr>
                <w:rFonts w:ascii="Times New Roman" w:hAnsi="Times New Roman"/>
                <w:kern w:val="0"/>
                <w:sz w:val="18"/>
                <w:szCs w:val="18"/>
              </w:rPr>
              <w:t>序号</w:t>
            </w:r>
          </w:p>
        </w:tc>
        <w:tc>
          <w:tcPr>
            <w:tcW w:w="3750" w:type="dxa"/>
            <w:gridSpan w:val="2"/>
            <w:noWrap w:val="0"/>
            <w:vAlign w:val="center"/>
          </w:tcPr>
          <w:p>
            <w:pPr>
              <w:spacing w:line="240" w:lineRule="exact"/>
              <w:contextualSpacing/>
              <w:jc w:val="center"/>
              <w:rPr>
                <w:rFonts w:ascii="Times New Roman" w:hAnsi="Times New Roman"/>
                <w:kern w:val="0"/>
                <w:sz w:val="18"/>
                <w:szCs w:val="18"/>
              </w:rPr>
            </w:pPr>
            <w:r>
              <w:rPr>
                <w:rFonts w:ascii="Times New Roman" w:hAnsi="Times New Roman"/>
                <w:kern w:val="0"/>
                <w:sz w:val="18"/>
                <w:szCs w:val="18"/>
              </w:rPr>
              <w:t>类别</w:t>
            </w:r>
          </w:p>
        </w:tc>
        <w:tc>
          <w:tcPr>
            <w:tcW w:w="402" w:type="dxa"/>
            <w:noWrap w:val="0"/>
            <w:vAlign w:val="center"/>
          </w:tcPr>
          <w:p>
            <w:pPr>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 xml:space="preserve">单位 </w:t>
            </w:r>
          </w:p>
        </w:tc>
        <w:tc>
          <w:tcPr>
            <w:tcW w:w="2199" w:type="dxa"/>
            <w:noWrap w:val="0"/>
            <w:vAlign w:val="center"/>
          </w:tcPr>
          <w:p>
            <w:pPr>
              <w:spacing w:line="240" w:lineRule="exact"/>
              <w:contextualSpacing/>
              <w:jc w:val="center"/>
              <w:rPr>
                <w:rFonts w:hint="eastAsia" w:ascii="Times New Roman" w:hAnsi="Times New Roman"/>
                <w:kern w:val="0"/>
                <w:sz w:val="18"/>
                <w:szCs w:val="18"/>
              </w:rPr>
            </w:pPr>
            <w:r>
              <w:rPr>
                <w:rFonts w:hint="eastAsia" w:ascii="Times New Roman" w:hAnsi="Times New Roman"/>
                <w:kern w:val="0"/>
                <w:sz w:val="18"/>
                <w:szCs w:val="18"/>
              </w:rPr>
              <w:t>数量</w:t>
            </w:r>
          </w:p>
        </w:tc>
        <w:tc>
          <w:tcPr>
            <w:tcW w:w="1358" w:type="dxa"/>
            <w:noWrap w:val="0"/>
            <w:vAlign w:val="center"/>
          </w:tcPr>
          <w:p>
            <w:pPr>
              <w:widowControl/>
              <w:spacing w:line="200" w:lineRule="exact"/>
              <w:contextualSpacing/>
              <w:jc w:val="center"/>
              <w:rPr>
                <w:rFonts w:ascii="Times New Roman" w:hAnsi="Times New Roman"/>
                <w:kern w:val="0"/>
                <w:sz w:val="18"/>
                <w:szCs w:val="18"/>
              </w:rPr>
            </w:pPr>
            <w:r>
              <w:rPr>
                <w:rFonts w:hint="eastAsia" w:ascii="Times New Roman" w:hAnsi="Times New Roman"/>
                <w:kern w:val="0"/>
                <w:sz w:val="18"/>
                <w:szCs w:val="18"/>
              </w:rPr>
              <w:t>环卫</w:t>
            </w:r>
            <w:r>
              <w:rPr>
                <w:rFonts w:ascii="Times New Roman" w:hAnsi="Times New Roman"/>
                <w:kern w:val="0"/>
                <w:sz w:val="18"/>
                <w:szCs w:val="18"/>
              </w:rPr>
              <w:t>保洁</w:t>
            </w:r>
            <w:r>
              <w:rPr>
                <w:rFonts w:hint="eastAsia" w:ascii="Times New Roman" w:hAnsi="Times New Roman"/>
                <w:kern w:val="0"/>
                <w:sz w:val="18"/>
                <w:szCs w:val="18"/>
              </w:rPr>
              <w:t>（或绿化养护）作业</w:t>
            </w:r>
            <w:r>
              <w:rPr>
                <w:rFonts w:ascii="Times New Roman" w:hAnsi="Times New Roman"/>
                <w:kern w:val="0"/>
                <w:sz w:val="18"/>
                <w:szCs w:val="18"/>
              </w:rPr>
              <w:t>人员</w:t>
            </w:r>
            <w:r>
              <w:rPr>
                <w:rFonts w:hint="eastAsia" w:ascii="Times New Roman" w:hAnsi="Times New Roman"/>
                <w:kern w:val="0"/>
                <w:sz w:val="18"/>
                <w:szCs w:val="18"/>
              </w:rPr>
              <w:t>、其他各项辅助工或驾驶员</w:t>
            </w:r>
            <w:r>
              <w:rPr>
                <w:rFonts w:ascii="Times New Roman" w:hAnsi="Times New Roman"/>
                <w:kern w:val="0"/>
                <w:sz w:val="18"/>
                <w:szCs w:val="18"/>
              </w:rPr>
              <w:t>工资（元/人.年）</w:t>
            </w:r>
          </w:p>
        </w:tc>
        <w:tc>
          <w:tcPr>
            <w:tcW w:w="1038" w:type="dxa"/>
            <w:noWrap w:val="0"/>
            <w:vAlign w:val="center"/>
          </w:tcPr>
          <w:p>
            <w:pPr>
              <w:spacing w:line="200" w:lineRule="exact"/>
              <w:contextualSpacing/>
              <w:jc w:val="center"/>
              <w:rPr>
                <w:rFonts w:ascii="Times New Roman" w:hAnsi="Times New Roman"/>
                <w:kern w:val="0"/>
                <w:sz w:val="18"/>
                <w:szCs w:val="18"/>
              </w:rPr>
            </w:pPr>
            <w:r>
              <w:rPr>
                <w:rFonts w:ascii="Times New Roman" w:hAnsi="Times New Roman"/>
                <w:bCs/>
                <w:sz w:val="18"/>
                <w:szCs w:val="18"/>
              </w:rPr>
              <w:t>人员工作服、</w:t>
            </w:r>
            <w:r>
              <w:rPr>
                <w:rFonts w:ascii="Times New Roman" w:hAnsi="Times New Roman"/>
                <w:kern w:val="0"/>
                <w:sz w:val="18"/>
                <w:szCs w:val="18"/>
              </w:rPr>
              <w:t>人员所使用的扫帚等各类耗材、工具费用（元/人.年）</w:t>
            </w:r>
          </w:p>
        </w:tc>
        <w:tc>
          <w:tcPr>
            <w:tcW w:w="1143" w:type="dxa"/>
            <w:noWrap w:val="0"/>
            <w:vAlign w:val="center"/>
          </w:tcPr>
          <w:p>
            <w:pPr>
              <w:spacing w:line="200" w:lineRule="exact"/>
              <w:contextualSpacing/>
              <w:jc w:val="center"/>
              <w:rPr>
                <w:rFonts w:ascii="Times New Roman" w:hAnsi="Times New Roman"/>
                <w:kern w:val="0"/>
                <w:sz w:val="18"/>
                <w:szCs w:val="18"/>
              </w:rPr>
            </w:pPr>
            <w:r>
              <w:rPr>
                <w:rFonts w:hint="eastAsia" w:ascii="Times New Roman" w:hAnsi="Times New Roman"/>
                <w:kern w:val="0"/>
                <w:sz w:val="18"/>
                <w:szCs w:val="18"/>
              </w:rPr>
              <w:t>电动垃圾</w:t>
            </w:r>
            <w:r>
              <w:rPr>
                <w:rFonts w:ascii="Times New Roman" w:hAnsi="Times New Roman"/>
                <w:kern w:val="0"/>
                <w:sz w:val="18"/>
                <w:szCs w:val="18"/>
              </w:rPr>
              <w:t>车辆费（元/年）</w:t>
            </w:r>
            <w:r>
              <w:rPr>
                <w:rFonts w:hint="eastAsia" w:ascii="Times New Roman" w:hAnsi="Times New Roman"/>
                <w:kern w:val="0"/>
                <w:sz w:val="18"/>
                <w:szCs w:val="18"/>
              </w:rPr>
              <w:t>，环卫车辆</w:t>
            </w:r>
            <w:r>
              <w:rPr>
                <w:rFonts w:ascii="Times New Roman" w:hAnsi="Times New Roman"/>
                <w:kern w:val="0"/>
                <w:sz w:val="18"/>
                <w:szCs w:val="18"/>
              </w:rPr>
              <w:t>按表2</w:t>
            </w:r>
            <w:r>
              <w:rPr>
                <w:rFonts w:hint="eastAsia" w:ascii="Times New Roman" w:hAnsi="Times New Roman"/>
                <w:kern w:val="0"/>
                <w:sz w:val="18"/>
                <w:szCs w:val="18"/>
              </w:rPr>
              <w:t>第五项的报价填写</w:t>
            </w:r>
          </w:p>
        </w:tc>
        <w:tc>
          <w:tcPr>
            <w:tcW w:w="827" w:type="dxa"/>
            <w:noWrap w:val="0"/>
            <w:vAlign w:val="center"/>
          </w:tcPr>
          <w:p>
            <w:pPr>
              <w:spacing w:line="200" w:lineRule="exact"/>
              <w:contextualSpacing/>
              <w:jc w:val="center"/>
              <w:rPr>
                <w:rFonts w:ascii="Times New Roman" w:hAnsi="Times New Roman"/>
                <w:kern w:val="0"/>
                <w:sz w:val="18"/>
                <w:szCs w:val="18"/>
              </w:rPr>
            </w:pPr>
            <w:r>
              <w:rPr>
                <w:rFonts w:ascii="Times New Roman" w:hAnsi="Times New Roman"/>
                <w:kern w:val="0"/>
                <w:sz w:val="18"/>
                <w:szCs w:val="18"/>
              </w:rPr>
              <w:t>其他费用（元/年）</w:t>
            </w:r>
          </w:p>
        </w:tc>
        <w:tc>
          <w:tcPr>
            <w:tcW w:w="711" w:type="dxa"/>
            <w:noWrap w:val="0"/>
            <w:vAlign w:val="center"/>
          </w:tcPr>
          <w:p>
            <w:pPr>
              <w:spacing w:line="200" w:lineRule="exact"/>
              <w:contextualSpacing/>
              <w:jc w:val="center"/>
              <w:rPr>
                <w:rFonts w:ascii="Times New Roman" w:hAnsi="Times New Roman"/>
                <w:kern w:val="0"/>
                <w:sz w:val="18"/>
                <w:szCs w:val="18"/>
              </w:rPr>
            </w:pPr>
            <w:r>
              <w:rPr>
                <w:rFonts w:ascii="Times New Roman" w:hAnsi="Times New Roman"/>
                <w:kern w:val="0"/>
                <w:sz w:val="18"/>
                <w:szCs w:val="18"/>
              </w:rPr>
              <w:t>管理费（元/年）</w:t>
            </w:r>
          </w:p>
        </w:tc>
        <w:tc>
          <w:tcPr>
            <w:tcW w:w="699" w:type="dxa"/>
            <w:noWrap w:val="0"/>
            <w:vAlign w:val="center"/>
          </w:tcPr>
          <w:p>
            <w:pPr>
              <w:spacing w:line="200" w:lineRule="exact"/>
              <w:contextualSpacing/>
              <w:jc w:val="center"/>
              <w:rPr>
                <w:rFonts w:ascii="Times New Roman" w:hAnsi="Times New Roman"/>
                <w:kern w:val="0"/>
                <w:sz w:val="18"/>
                <w:szCs w:val="18"/>
              </w:rPr>
            </w:pPr>
            <w:r>
              <w:rPr>
                <w:rFonts w:ascii="Times New Roman" w:hAnsi="Times New Roman"/>
                <w:kern w:val="0"/>
                <w:sz w:val="18"/>
                <w:szCs w:val="18"/>
              </w:rPr>
              <w:t>税金</w:t>
            </w:r>
            <w:r>
              <w:rPr>
                <w:rFonts w:hint="eastAsia" w:ascii="Times New Roman" w:hAnsi="Times New Roman"/>
                <w:kern w:val="0"/>
                <w:sz w:val="18"/>
                <w:szCs w:val="18"/>
              </w:rPr>
              <w:t xml:space="preserve">（%） </w:t>
            </w:r>
          </w:p>
        </w:tc>
        <w:tc>
          <w:tcPr>
            <w:tcW w:w="1167" w:type="dxa"/>
            <w:noWrap w:val="0"/>
            <w:vAlign w:val="center"/>
          </w:tcPr>
          <w:p>
            <w:pPr>
              <w:spacing w:line="200" w:lineRule="exact"/>
              <w:contextualSpacing/>
              <w:jc w:val="center"/>
              <w:rPr>
                <w:rFonts w:ascii="Times New Roman" w:hAnsi="Times New Roman"/>
                <w:kern w:val="0"/>
                <w:sz w:val="18"/>
                <w:szCs w:val="18"/>
              </w:rPr>
            </w:pPr>
            <w:r>
              <w:rPr>
                <w:rFonts w:ascii="Times New Roman" w:hAnsi="Times New Roman"/>
                <w:kern w:val="0"/>
                <w:sz w:val="18"/>
                <w:szCs w:val="18"/>
              </w:rPr>
              <w:t>总价（元/年）=｛【</w:t>
            </w:r>
            <w:r>
              <w:rPr>
                <w:rFonts w:hint="eastAsia" w:ascii="Times New Roman" w:hAnsi="Times New Roman"/>
                <w:kern w:val="0"/>
                <w:sz w:val="18"/>
                <w:szCs w:val="18"/>
              </w:rPr>
              <w:t>二</w:t>
            </w:r>
            <w:r>
              <w:rPr>
                <w:rFonts w:ascii="Times New Roman" w:hAnsi="Times New Roman"/>
                <w:kern w:val="0"/>
                <w:sz w:val="18"/>
                <w:szCs w:val="18"/>
              </w:rPr>
              <w:t>*（</w:t>
            </w:r>
            <w:r>
              <w:rPr>
                <w:rFonts w:hint="eastAsia" w:ascii="Times New Roman" w:hAnsi="Times New Roman"/>
                <w:kern w:val="0"/>
                <w:sz w:val="18"/>
                <w:szCs w:val="18"/>
              </w:rPr>
              <w:t>三</w:t>
            </w:r>
            <w:r>
              <w:rPr>
                <w:rFonts w:ascii="Times New Roman" w:hAnsi="Times New Roman"/>
                <w:kern w:val="0"/>
                <w:sz w:val="18"/>
                <w:szCs w:val="18"/>
              </w:rPr>
              <w:t>+</w:t>
            </w:r>
            <w:r>
              <w:rPr>
                <w:rFonts w:hint="eastAsia" w:ascii="Times New Roman" w:hAnsi="Times New Roman"/>
                <w:kern w:val="0"/>
                <w:sz w:val="18"/>
                <w:szCs w:val="18"/>
              </w:rPr>
              <w:t>四</w:t>
            </w:r>
            <w:r>
              <w:rPr>
                <w:rFonts w:ascii="Times New Roman" w:hAnsi="Times New Roman"/>
                <w:kern w:val="0"/>
                <w:sz w:val="18"/>
                <w:szCs w:val="18"/>
              </w:rPr>
              <w:t>）】+</w:t>
            </w:r>
            <w:r>
              <w:rPr>
                <w:rFonts w:hint="eastAsia" w:ascii="Times New Roman" w:hAnsi="Times New Roman"/>
                <w:kern w:val="0"/>
                <w:sz w:val="18"/>
                <w:szCs w:val="18"/>
              </w:rPr>
              <w:t>五</w:t>
            </w:r>
            <w:r>
              <w:rPr>
                <w:rFonts w:ascii="Times New Roman" w:hAnsi="Times New Roman"/>
                <w:kern w:val="0"/>
                <w:sz w:val="18"/>
                <w:szCs w:val="18"/>
              </w:rPr>
              <w:t>+</w:t>
            </w:r>
            <w:r>
              <w:rPr>
                <w:rFonts w:hint="eastAsia" w:ascii="Times New Roman" w:hAnsi="Times New Roman"/>
                <w:kern w:val="0"/>
                <w:sz w:val="18"/>
                <w:szCs w:val="18"/>
              </w:rPr>
              <w:t>六+七</w:t>
            </w:r>
            <w:r>
              <w:rPr>
                <w:rFonts w:ascii="Times New Roman" w:hAnsi="Times New Roman"/>
                <w:kern w:val="0"/>
                <w:sz w:val="18"/>
                <w:szCs w:val="18"/>
              </w:rPr>
              <w:t>｝*（1+</w:t>
            </w:r>
            <w:r>
              <w:rPr>
                <w:rFonts w:hint="eastAsia" w:ascii="Times New Roman" w:hAnsi="Times New Roman"/>
                <w:kern w:val="0"/>
                <w:sz w:val="18"/>
                <w:szCs w:val="18"/>
              </w:rPr>
              <w:t>八</w:t>
            </w:r>
            <w:r>
              <w:rPr>
                <w:rFonts w:ascii="Times New Roman" w:hAnsi="Times New Roman"/>
                <w:kern w:val="0"/>
                <w:sz w:val="18"/>
                <w:szCs w:val="18"/>
              </w:rPr>
              <w:t>）</w:t>
            </w:r>
          </w:p>
        </w:tc>
        <w:tc>
          <w:tcPr>
            <w:tcW w:w="1413" w:type="dxa"/>
            <w:vMerge w:val="continue"/>
            <w:noWrap w:val="0"/>
            <w:vAlign w:val="center"/>
          </w:tcPr>
          <w:p>
            <w:pPr>
              <w:spacing w:line="240" w:lineRule="exact"/>
              <w:contextualSpacing/>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9" w:hRule="atLeast"/>
          <w:jc w:val="center"/>
        </w:trPr>
        <w:tc>
          <w:tcPr>
            <w:tcW w:w="735" w:type="dxa"/>
            <w:noWrap w:val="0"/>
            <w:vAlign w:val="center"/>
          </w:tcPr>
          <w:p>
            <w:pPr>
              <w:spacing w:line="240" w:lineRule="exact"/>
              <w:contextualSpacing/>
              <w:jc w:val="center"/>
              <w:rPr>
                <w:kern w:val="0"/>
                <w:sz w:val="18"/>
                <w:szCs w:val="18"/>
              </w:rPr>
            </w:pPr>
            <w:r>
              <w:rPr>
                <w:rFonts w:hint="eastAsia"/>
                <w:kern w:val="0"/>
                <w:sz w:val="18"/>
                <w:szCs w:val="18"/>
              </w:rPr>
              <w:t>一</w:t>
            </w:r>
          </w:p>
        </w:tc>
        <w:tc>
          <w:tcPr>
            <w:tcW w:w="14707" w:type="dxa"/>
            <w:gridSpan w:val="12"/>
            <w:noWrap w:val="0"/>
            <w:vAlign w:val="center"/>
          </w:tcPr>
          <w:p>
            <w:pPr>
              <w:spacing w:line="240" w:lineRule="exact"/>
              <w:contextualSpacing/>
              <w:rPr>
                <w:sz w:val="18"/>
                <w:szCs w:val="18"/>
              </w:rPr>
            </w:pPr>
            <w:r>
              <w:rPr>
                <w:rFonts w:hint="eastAsia"/>
                <w:sz w:val="18"/>
                <w:szCs w:val="18"/>
              </w:rPr>
              <w:t>道路保洁及垃圾处置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noWrap w:val="0"/>
            <w:vAlign w:val="center"/>
          </w:tcPr>
          <w:p>
            <w:pPr>
              <w:widowControl/>
              <w:spacing w:line="240" w:lineRule="exact"/>
              <w:contextualSpacing/>
              <w:jc w:val="center"/>
              <w:rPr>
                <w:rFonts w:ascii="Times New Roman" w:hAnsi="Times New Roman"/>
                <w:kern w:val="0"/>
                <w:sz w:val="18"/>
                <w:szCs w:val="18"/>
              </w:rPr>
            </w:pPr>
            <w:r>
              <w:rPr>
                <w:rFonts w:ascii="Times New Roman" w:hAnsi="Times New Roman"/>
                <w:kern w:val="0"/>
                <w:sz w:val="18"/>
                <w:szCs w:val="18"/>
              </w:rPr>
              <w:t>1</w:t>
            </w:r>
          </w:p>
        </w:tc>
        <w:tc>
          <w:tcPr>
            <w:tcW w:w="3750" w:type="dxa"/>
            <w:gridSpan w:val="2"/>
            <w:noWrap w:val="0"/>
            <w:vAlign w:val="center"/>
          </w:tcPr>
          <w:p>
            <w:pPr>
              <w:spacing w:line="240" w:lineRule="exact"/>
              <w:contextualSpacing/>
              <w:jc w:val="center"/>
              <w:outlineLvl w:val="1"/>
              <w:rPr>
                <w:rFonts w:ascii="Times New Roman" w:hAnsi="Times New Roman"/>
                <w:sz w:val="18"/>
                <w:szCs w:val="18"/>
              </w:rPr>
            </w:pPr>
            <w:r>
              <w:rPr>
                <w:rFonts w:hint="eastAsia" w:ascii="Times New Roman" w:hAnsi="Times New Roman"/>
                <w:kern w:val="0"/>
                <w:sz w:val="18"/>
                <w:szCs w:val="18"/>
              </w:rPr>
              <w:t>道路保洁工</w:t>
            </w:r>
            <w:r>
              <w:rPr>
                <w:rFonts w:hint="eastAsia" w:ascii="Times New Roman" w:hAnsi="Times New Roman"/>
                <w:sz w:val="18"/>
                <w:szCs w:val="18"/>
              </w:rPr>
              <w:t>≥77人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此项填写保洁人员数量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ascii="Times New Roman" w:hAnsi="Times New Roman"/>
                <w:kern w:val="0"/>
                <w:sz w:val="18"/>
                <w:szCs w:val="18"/>
              </w:rPr>
            </w:pP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r>
              <w:rPr>
                <w:rFonts w:ascii="Times New Roman" w:hAnsi="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restart"/>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2</w:t>
            </w:r>
          </w:p>
        </w:tc>
        <w:tc>
          <w:tcPr>
            <w:tcW w:w="1283" w:type="dxa"/>
            <w:vMerge w:val="restart"/>
            <w:noWrap w:val="0"/>
            <w:vAlign w:val="center"/>
          </w:tcPr>
          <w:p>
            <w:pPr>
              <w:autoSpaceDN w:val="0"/>
              <w:spacing w:line="240" w:lineRule="exact"/>
              <w:contextualSpacing/>
              <w:jc w:val="center"/>
              <w:textAlignment w:val="center"/>
              <w:rPr>
                <w:rFonts w:ascii="Times New Roman" w:hAnsi="Times New Roman"/>
                <w:sz w:val="18"/>
                <w:szCs w:val="18"/>
              </w:rPr>
            </w:pPr>
            <w:r>
              <w:rPr>
                <w:rFonts w:hint="eastAsia" w:ascii="Times New Roman" w:hAnsi="Times New Roman"/>
                <w:sz w:val="18"/>
                <w:szCs w:val="18"/>
              </w:rPr>
              <w:t>环卫车辆机械台班部分</w:t>
            </w:r>
          </w:p>
        </w:tc>
        <w:tc>
          <w:tcPr>
            <w:tcW w:w="2467"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驾驶员</w:t>
            </w:r>
            <w:r>
              <w:rPr>
                <w:rFonts w:hint="eastAsia" w:ascii="Times New Roman" w:hAnsi="Times New Roman"/>
                <w:sz w:val="18"/>
                <w:szCs w:val="18"/>
              </w:rPr>
              <w:t>≥24人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此项填写驾驶员数量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ascii="Times New Roman" w:hAnsi="Times New Roman"/>
                <w:kern w:val="0"/>
                <w:sz w:val="18"/>
                <w:szCs w:val="18"/>
              </w:rPr>
            </w:pP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ascii="Times New Roman" w:hAnsi="Times New Roman"/>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ascii="Times New Roman" w:hAnsi="Times New Roman"/>
                <w:sz w:val="18"/>
                <w:szCs w:val="18"/>
              </w:rPr>
            </w:pPr>
          </w:p>
        </w:tc>
        <w:tc>
          <w:tcPr>
            <w:tcW w:w="2467" w:type="dxa"/>
            <w:noWrap w:val="0"/>
            <w:vAlign w:val="center"/>
          </w:tcPr>
          <w:p>
            <w:pPr>
              <w:autoSpaceDN w:val="0"/>
              <w:spacing w:line="240" w:lineRule="exact"/>
              <w:contextualSpacing/>
              <w:jc w:val="center"/>
              <w:textAlignment w:val="center"/>
              <w:rPr>
                <w:rFonts w:ascii="Times New Roman" w:hAnsi="Times New Roman"/>
                <w:kern w:val="0"/>
                <w:sz w:val="18"/>
                <w:szCs w:val="18"/>
              </w:rPr>
            </w:pPr>
            <w:r>
              <w:rPr>
                <w:rFonts w:hint="eastAsia" w:ascii="Times New Roman" w:hAnsi="Times New Roman"/>
                <w:kern w:val="0"/>
                <w:sz w:val="18"/>
                <w:szCs w:val="18"/>
              </w:rPr>
              <w:t>车辆费用</w:t>
            </w:r>
            <w:r>
              <w:rPr>
                <w:rFonts w:hint="eastAsia" w:ascii="Times New Roman" w:hAnsi="Times New Roman"/>
                <w:sz w:val="18"/>
                <w:szCs w:val="18"/>
              </w:rPr>
              <w:t>≥24辆</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辆</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此项填写环卫车辆数量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ascii="Times New Roman" w:hAnsi="Times New Roman"/>
                <w:kern w:val="0"/>
                <w:sz w:val="18"/>
                <w:szCs w:val="18"/>
              </w:rPr>
            </w:pPr>
          </w:p>
        </w:tc>
        <w:tc>
          <w:tcPr>
            <w:tcW w:w="1143" w:type="dxa"/>
            <w:noWrap w:val="0"/>
            <w:vAlign w:val="center"/>
          </w:tcPr>
          <w:p>
            <w:pPr>
              <w:widowControl/>
              <w:spacing w:line="240" w:lineRule="exact"/>
              <w:contextualSpacing/>
              <w:jc w:val="center"/>
              <w:rPr>
                <w:rFonts w:ascii="Times New Roman" w:hAnsi="Times New Roman"/>
                <w:kern w:val="0"/>
                <w:sz w:val="18"/>
                <w:szCs w:val="18"/>
              </w:rPr>
            </w:pP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restart"/>
            <w:noWrap w:val="0"/>
            <w:vAlign w:val="center"/>
          </w:tcPr>
          <w:p>
            <w:pPr>
              <w:spacing w:line="240" w:lineRule="exact"/>
              <w:contextualSpacing/>
              <w:jc w:val="center"/>
              <w:rPr>
                <w:rFonts w:hint="eastAsia"/>
                <w:kern w:val="0"/>
                <w:sz w:val="18"/>
                <w:szCs w:val="18"/>
              </w:rPr>
            </w:pPr>
            <w:r>
              <w:rPr>
                <w:rFonts w:hint="eastAsia"/>
                <w:kern w:val="0"/>
                <w:sz w:val="18"/>
                <w:szCs w:val="18"/>
              </w:rPr>
              <w:t>3</w:t>
            </w:r>
          </w:p>
        </w:tc>
        <w:tc>
          <w:tcPr>
            <w:tcW w:w="1283" w:type="dxa"/>
            <w:vMerge w:val="restart"/>
            <w:noWrap w:val="0"/>
            <w:vAlign w:val="center"/>
          </w:tcPr>
          <w:p>
            <w:pPr>
              <w:autoSpaceDN w:val="0"/>
              <w:spacing w:line="240" w:lineRule="exact"/>
              <w:contextualSpacing/>
              <w:jc w:val="center"/>
              <w:textAlignment w:val="center"/>
              <w:rPr>
                <w:rFonts w:hint="eastAsia"/>
                <w:sz w:val="18"/>
                <w:szCs w:val="18"/>
              </w:rPr>
            </w:pPr>
            <w:r>
              <w:rPr>
                <w:rFonts w:hint="eastAsia"/>
                <w:sz w:val="18"/>
                <w:szCs w:val="18"/>
              </w:rPr>
              <w:t>五乡镇公厕保洁、垃圾中转站、垃圾车等辅助工人员年经费</w:t>
            </w: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sz w:val="18"/>
                <w:szCs w:val="18"/>
              </w:rPr>
              <w:t>中转站辅助工≥11人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sz w:val="18"/>
                <w:szCs w:val="18"/>
              </w:rPr>
              <w:t>车辆配合辅助工≥15人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kern w:val="0"/>
                <w:sz w:val="18"/>
                <w:szCs w:val="18"/>
              </w:rPr>
              <w:t>果壳箱（废物箱）清理保洁工</w:t>
            </w:r>
            <w:r>
              <w:rPr>
                <w:rFonts w:hint="eastAsia" w:ascii="Times New Roman" w:hAnsi="Times New Roman"/>
                <w:sz w:val="18"/>
                <w:szCs w:val="18"/>
              </w:rPr>
              <w:t>≥1人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sz w:val="18"/>
                <w:szCs w:val="18"/>
              </w:rPr>
              <w:t>收费助理员≥1人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sz w:val="18"/>
                <w:szCs w:val="18"/>
              </w:rPr>
              <w:t>环卫站保洁及勤杂工≥1人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sz w:val="18"/>
                <w:szCs w:val="18"/>
              </w:rPr>
              <w:t>24座</w:t>
            </w:r>
            <w:r>
              <w:rPr>
                <w:rFonts w:hint="eastAsia" w:ascii="宋体" w:cs="宋体"/>
                <w:kern w:val="0"/>
                <w:sz w:val="18"/>
                <w:szCs w:val="18"/>
              </w:rPr>
              <w:t>公厕清理管理工</w:t>
            </w:r>
            <w:r>
              <w:rPr>
                <w:rFonts w:hint="eastAsia" w:ascii="Times New Roman" w:hAnsi="Times New Roman"/>
                <w:sz w:val="18"/>
                <w:szCs w:val="18"/>
              </w:rPr>
              <w:t>≥8人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E w:val="0"/>
              <w:autoSpaceDN w:val="0"/>
              <w:adjustRightInd w:val="0"/>
              <w:jc w:val="left"/>
              <w:rPr>
                <w:rFonts w:hint="eastAsia" w:ascii="宋体" w:cs="宋体"/>
                <w:kern w:val="0"/>
                <w:sz w:val="18"/>
                <w:szCs w:val="18"/>
              </w:rPr>
            </w:pPr>
            <w:r>
              <w:rPr>
                <w:rFonts w:hint="eastAsia" w:ascii="宋体" w:cs="宋体"/>
                <w:kern w:val="0"/>
                <w:sz w:val="18"/>
                <w:szCs w:val="18"/>
              </w:rPr>
              <w:t>保洁车维修和电瓶更换（果壳箱（废物箱）清理保洁工</w:t>
            </w:r>
            <w:r>
              <w:rPr>
                <w:rFonts w:ascii="宋体" w:cs="宋体"/>
                <w:kern w:val="0"/>
                <w:sz w:val="18"/>
                <w:szCs w:val="18"/>
              </w:rPr>
              <w:t>1</w:t>
            </w:r>
            <w:r>
              <w:rPr>
                <w:rFonts w:hint="eastAsia" w:ascii="宋体" w:cs="宋体"/>
                <w:kern w:val="0"/>
                <w:sz w:val="18"/>
                <w:szCs w:val="18"/>
              </w:rPr>
              <w:t>人，公厕保洁工</w:t>
            </w:r>
            <w:r>
              <w:rPr>
                <w:rFonts w:ascii="宋体" w:cs="宋体"/>
                <w:kern w:val="0"/>
                <w:sz w:val="18"/>
                <w:szCs w:val="18"/>
              </w:rPr>
              <w:t>8</w:t>
            </w:r>
            <w:r>
              <w:rPr>
                <w:rFonts w:hint="eastAsia" w:ascii="宋体" w:cs="宋体"/>
                <w:kern w:val="0"/>
                <w:sz w:val="18"/>
                <w:szCs w:val="18"/>
              </w:rPr>
              <w:t>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kern w:val="0"/>
                <w:sz w:val="18"/>
                <w:szCs w:val="18"/>
              </w:rPr>
              <w:t>辆</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kern w:val="0"/>
                <w:sz w:val="18"/>
                <w:szCs w:val="18"/>
              </w:rPr>
              <w:t>9</w:t>
            </w:r>
          </w:p>
        </w:tc>
        <w:tc>
          <w:tcPr>
            <w:tcW w:w="1358"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1038"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1143" w:type="dxa"/>
            <w:noWrap w:val="0"/>
            <w:vAlign w:val="center"/>
          </w:tcPr>
          <w:p>
            <w:pPr>
              <w:widowControl/>
              <w:spacing w:line="240" w:lineRule="exact"/>
              <w:contextualSpacing/>
              <w:jc w:val="center"/>
              <w:rPr>
                <w:kern w:val="0"/>
                <w:sz w:val="18"/>
                <w:szCs w:val="18"/>
              </w:rPr>
            </w:pP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E w:val="0"/>
              <w:autoSpaceDN w:val="0"/>
              <w:adjustRightInd w:val="0"/>
              <w:jc w:val="left"/>
              <w:rPr>
                <w:rFonts w:hint="eastAsia" w:ascii="宋体" w:cs="宋体"/>
                <w:kern w:val="0"/>
                <w:sz w:val="18"/>
                <w:szCs w:val="18"/>
              </w:rPr>
            </w:pPr>
            <w:r>
              <w:rPr>
                <w:rFonts w:hint="eastAsia" w:ascii="Times New Roman" w:hAnsi="Times New Roman"/>
                <w:sz w:val="18"/>
                <w:szCs w:val="18"/>
              </w:rPr>
              <w:t>108座公厕吸粪车粪便清运</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座</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kern w:val="0"/>
                <w:sz w:val="18"/>
                <w:szCs w:val="18"/>
              </w:rPr>
              <w:t>1</w:t>
            </w:r>
            <w:r>
              <w:rPr>
                <w:kern w:val="0"/>
                <w:sz w:val="18"/>
                <w:szCs w:val="18"/>
              </w:rPr>
              <w:t>08</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kern w:val="0"/>
                <w:sz w:val="18"/>
                <w:szCs w:val="18"/>
              </w:rPr>
            </w:pPr>
          </w:p>
        </w:tc>
        <w:tc>
          <w:tcPr>
            <w:tcW w:w="1143" w:type="dxa"/>
            <w:noWrap w:val="0"/>
            <w:vAlign w:val="center"/>
          </w:tcPr>
          <w:p>
            <w:pPr>
              <w:widowControl/>
              <w:spacing w:line="240" w:lineRule="exact"/>
              <w:contextualSpacing/>
              <w:jc w:val="center"/>
              <w:rPr>
                <w:kern w:val="0"/>
                <w:sz w:val="18"/>
                <w:szCs w:val="18"/>
              </w:rPr>
            </w:pP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restart"/>
            <w:noWrap w:val="0"/>
            <w:vAlign w:val="center"/>
          </w:tcPr>
          <w:p>
            <w:pPr>
              <w:widowControl/>
              <w:spacing w:line="240" w:lineRule="exact"/>
              <w:contextualSpacing/>
              <w:jc w:val="center"/>
              <w:rPr>
                <w:rFonts w:hint="eastAsia" w:ascii="Times New Roman" w:hAnsi="Times New Roman"/>
                <w:kern w:val="0"/>
                <w:sz w:val="18"/>
                <w:szCs w:val="18"/>
              </w:rPr>
            </w:pPr>
            <w:r>
              <w:rPr>
                <w:rFonts w:ascii="Times New Roman" w:hAnsi="Times New Roman"/>
                <w:kern w:val="0"/>
                <w:sz w:val="18"/>
                <w:szCs w:val="18"/>
              </w:rPr>
              <w:t>4</w:t>
            </w:r>
          </w:p>
        </w:tc>
        <w:tc>
          <w:tcPr>
            <w:tcW w:w="1283" w:type="dxa"/>
            <w:vMerge w:val="restart"/>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sz w:val="18"/>
                <w:szCs w:val="18"/>
              </w:rPr>
              <w:t>五乡镇环卫保洁物料及临时建筑垃圾处置年经费</w:t>
            </w:r>
          </w:p>
        </w:tc>
        <w:tc>
          <w:tcPr>
            <w:tcW w:w="2467"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临时建筑垃圾（包括装修垃圾）突发外运及处置</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项</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1</w:t>
            </w:r>
          </w:p>
        </w:tc>
        <w:tc>
          <w:tcPr>
            <w:tcW w:w="135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03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vMerge w:val="continue"/>
            <w:noWrap w:val="0"/>
            <w:vAlign w:val="center"/>
          </w:tcPr>
          <w:p>
            <w:pPr>
              <w:widowControl/>
              <w:spacing w:line="240" w:lineRule="exact"/>
              <w:contextualSpacing/>
              <w:jc w:val="center"/>
              <w:rPr>
                <w:rFonts w:hint="eastAsia"/>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kern w:val="0"/>
                <w:sz w:val="18"/>
                <w:szCs w:val="18"/>
              </w:rPr>
            </w:pPr>
            <w:r>
              <w:rPr>
                <w:rFonts w:hint="eastAsia"/>
                <w:kern w:val="0"/>
                <w:sz w:val="18"/>
                <w:szCs w:val="18"/>
              </w:rPr>
              <w:t>电动保洁三轮环卫车配置及维修</w:t>
            </w:r>
            <w:r>
              <w:rPr>
                <w:rFonts w:hint="eastAsia" w:ascii="Times New Roman" w:hAnsi="Times New Roman"/>
                <w:sz w:val="18"/>
                <w:szCs w:val="18"/>
              </w:rPr>
              <w:t>≥87辆</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辆</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w:t>
            </w:r>
            <w:r>
              <w:rPr>
                <w:rFonts w:hint="eastAsia" w:ascii="Times New Roman" w:hAnsi="Times New Roman"/>
                <w:sz w:val="18"/>
                <w:szCs w:val="18"/>
              </w:rPr>
              <w:t>电动保洁三轮环卫车数量</w:t>
            </w:r>
          </w:p>
        </w:tc>
        <w:tc>
          <w:tcPr>
            <w:tcW w:w="1358"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1038" w:type="dxa"/>
            <w:noWrap w:val="0"/>
            <w:vAlign w:val="center"/>
          </w:tcPr>
          <w:p>
            <w:pPr>
              <w:widowControl/>
              <w:spacing w:line="240" w:lineRule="exact"/>
              <w:contextualSpacing/>
              <w:jc w:val="center"/>
              <w:rPr>
                <w:kern w:val="0"/>
                <w:sz w:val="18"/>
                <w:szCs w:val="18"/>
              </w:rPr>
            </w:pPr>
            <w:r>
              <w:rPr>
                <w:rFonts w:hint="eastAsia"/>
                <w:kern w:val="0"/>
                <w:sz w:val="18"/>
                <w:szCs w:val="18"/>
              </w:rPr>
              <w:t>/</w:t>
            </w:r>
          </w:p>
        </w:tc>
        <w:tc>
          <w:tcPr>
            <w:tcW w:w="1143" w:type="dxa"/>
            <w:noWrap w:val="0"/>
            <w:vAlign w:val="center"/>
          </w:tcPr>
          <w:p>
            <w:pPr>
              <w:widowControl/>
              <w:spacing w:line="240" w:lineRule="exact"/>
              <w:contextualSpacing/>
              <w:jc w:val="center"/>
              <w:rPr>
                <w:rFonts w:hint="eastAsia"/>
                <w:kern w:val="0"/>
                <w:sz w:val="18"/>
                <w:szCs w:val="18"/>
              </w:rPr>
            </w:pP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rFonts w:hint="eastAsia"/>
                <w:kern w:val="0"/>
                <w:sz w:val="18"/>
                <w:szCs w:val="18"/>
              </w:rPr>
            </w:pPr>
          </w:p>
        </w:tc>
        <w:tc>
          <w:tcPr>
            <w:tcW w:w="1413" w:type="dxa"/>
            <w:noWrap w:val="0"/>
            <w:vAlign w:val="center"/>
          </w:tcPr>
          <w:p>
            <w:pPr>
              <w:widowControl/>
              <w:spacing w:line="240" w:lineRule="exact"/>
              <w:contextualSpacing/>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1" w:hRule="atLeast"/>
          <w:jc w:val="center"/>
        </w:trPr>
        <w:tc>
          <w:tcPr>
            <w:tcW w:w="735" w:type="dxa"/>
            <w:vMerge w:val="continue"/>
            <w:noWrap w:val="0"/>
            <w:vAlign w:val="center"/>
          </w:tcPr>
          <w:p>
            <w:pPr>
              <w:widowControl/>
              <w:spacing w:line="240" w:lineRule="exact"/>
              <w:contextualSpacing/>
              <w:jc w:val="center"/>
              <w:rPr>
                <w:rFonts w:hint="eastAsia" w:ascii="Times New Roman" w:hAnsi="Times New Roman"/>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ascii="Times New Roman" w:hAnsi="Times New Roman"/>
                <w:sz w:val="18"/>
                <w:szCs w:val="18"/>
              </w:rPr>
            </w:pPr>
          </w:p>
        </w:tc>
        <w:tc>
          <w:tcPr>
            <w:tcW w:w="2467" w:type="dxa"/>
            <w:noWrap w:val="0"/>
            <w:vAlign w:val="center"/>
          </w:tcPr>
          <w:p>
            <w:pPr>
              <w:autoSpaceDN w:val="0"/>
              <w:spacing w:line="240" w:lineRule="exact"/>
              <w:contextualSpacing/>
              <w:jc w:val="center"/>
              <w:textAlignment w:val="center"/>
              <w:rPr>
                <w:rFonts w:hint="eastAsia" w:ascii="Times New Roman" w:hAnsi="Times New Roman"/>
                <w:sz w:val="18"/>
                <w:szCs w:val="18"/>
              </w:rPr>
            </w:pPr>
            <w:r>
              <w:rPr>
                <w:rFonts w:ascii="Times New Roman" w:hAnsi="Times New Roman"/>
                <w:sz w:val="18"/>
                <w:szCs w:val="18"/>
              </w:rPr>
              <w:t>1200</w:t>
            </w:r>
            <w:r>
              <w:rPr>
                <w:rFonts w:hint="eastAsia" w:ascii="Times New Roman" w:hAnsi="Times New Roman"/>
                <w:sz w:val="18"/>
                <w:szCs w:val="18"/>
              </w:rPr>
              <w:t>只240立升垃圾桶换桶</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只</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1</w:t>
            </w:r>
            <w:r>
              <w:rPr>
                <w:rFonts w:ascii="Times New Roman" w:hAnsi="Times New Roman"/>
                <w:kern w:val="0"/>
                <w:sz w:val="18"/>
                <w:szCs w:val="18"/>
              </w:rPr>
              <w:t>200</w:t>
            </w:r>
          </w:p>
        </w:tc>
        <w:tc>
          <w:tcPr>
            <w:tcW w:w="135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03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55" w:hRule="atLeast"/>
          <w:jc w:val="center"/>
        </w:trPr>
        <w:tc>
          <w:tcPr>
            <w:tcW w:w="735" w:type="dxa"/>
            <w:vMerge w:val="restart"/>
            <w:noWrap w:val="0"/>
            <w:vAlign w:val="center"/>
          </w:tcPr>
          <w:p>
            <w:pPr>
              <w:widowControl/>
              <w:spacing w:line="240" w:lineRule="exact"/>
              <w:contextualSpacing/>
              <w:jc w:val="center"/>
              <w:rPr>
                <w:rFonts w:hint="eastAsia" w:ascii="Times New Roman" w:hAnsi="Times New Roman"/>
                <w:kern w:val="0"/>
                <w:sz w:val="18"/>
                <w:szCs w:val="18"/>
              </w:rPr>
            </w:pPr>
            <w:r>
              <w:rPr>
                <w:rFonts w:ascii="Times New Roman" w:hAnsi="Times New Roman"/>
                <w:kern w:val="0"/>
                <w:sz w:val="18"/>
                <w:szCs w:val="18"/>
              </w:rPr>
              <w:t>5</w:t>
            </w:r>
          </w:p>
        </w:tc>
        <w:tc>
          <w:tcPr>
            <w:tcW w:w="1283" w:type="dxa"/>
            <w:vMerge w:val="restart"/>
            <w:noWrap w:val="0"/>
            <w:vAlign w:val="center"/>
          </w:tcPr>
          <w:p>
            <w:pPr>
              <w:autoSpaceDN w:val="0"/>
              <w:spacing w:line="240" w:lineRule="exact"/>
              <w:contextualSpacing/>
              <w:jc w:val="center"/>
              <w:textAlignment w:val="center"/>
              <w:rPr>
                <w:rFonts w:hint="eastAsia"/>
                <w:sz w:val="18"/>
                <w:szCs w:val="18"/>
              </w:rPr>
            </w:pPr>
            <w:r>
              <w:rPr>
                <w:rFonts w:hint="eastAsia" w:ascii="Times New Roman" w:hAnsi="Times New Roman"/>
                <w:sz w:val="18"/>
                <w:szCs w:val="18"/>
              </w:rPr>
              <w:t>五乡镇329国道二边店铺垃圾收集年经费</w:t>
            </w:r>
          </w:p>
        </w:tc>
        <w:tc>
          <w:tcPr>
            <w:tcW w:w="2467" w:type="dxa"/>
            <w:noWrap w:val="0"/>
            <w:vAlign w:val="center"/>
          </w:tcPr>
          <w:p>
            <w:pPr>
              <w:autoSpaceDN w:val="0"/>
              <w:spacing w:line="240" w:lineRule="exact"/>
              <w:contextualSpacing/>
              <w:jc w:val="center"/>
              <w:textAlignment w:val="center"/>
              <w:rPr>
                <w:rFonts w:hint="eastAsia" w:ascii="Times New Roman" w:hAnsi="Times New Roman"/>
                <w:sz w:val="18"/>
                <w:szCs w:val="18"/>
              </w:rPr>
            </w:pPr>
            <w:r>
              <w:rPr>
                <w:rFonts w:hint="eastAsia" w:ascii="Times New Roman" w:hAnsi="Times New Roman"/>
                <w:sz w:val="18"/>
                <w:szCs w:val="18"/>
              </w:rPr>
              <w:t>329国道沿线二边垃圾收集工≥7人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此项填写收集工数量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143" w:type="dxa"/>
            <w:noWrap w:val="0"/>
            <w:vAlign w:val="center"/>
          </w:tcPr>
          <w:p>
            <w:pPr>
              <w:widowControl/>
              <w:spacing w:line="240" w:lineRule="exact"/>
              <w:contextualSpacing/>
              <w:jc w:val="center"/>
              <w:rPr>
                <w:rFonts w:hint="eastAsia"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0" w:hRule="atLeast"/>
          <w:jc w:val="center"/>
        </w:trPr>
        <w:tc>
          <w:tcPr>
            <w:tcW w:w="735" w:type="dxa"/>
            <w:vMerge w:val="continue"/>
            <w:noWrap w:val="0"/>
            <w:vAlign w:val="center"/>
          </w:tcPr>
          <w:p>
            <w:pPr>
              <w:widowControl/>
              <w:spacing w:line="240" w:lineRule="exact"/>
              <w:contextualSpacing/>
              <w:jc w:val="center"/>
              <w:rPr>
                <w:rFonts w:hint="eastAsia" w:ascii="Times New Roman" w:hAnsi="Times New Roman"/>
                <w:kern w:val="0"/>
                <w:sz w:val="18"/>
                <w:szCs w:val="18"/>
              </w:rPr>
            </w:pPr>
          </w:p>
        </w:tc>
        <w:tc>
          <w:tcPr>
            <w:tcW w:w="1283" w:type="dxa"/>
            <w:vMerge w:val="continue"/>
            <w:noWrap w:val="0"/>
            <w:vAlign w:val="center"/>
          </w:tcPr>
          <w:p>
            <w:pPr>
              <w:autoSpaceDN w:val="0"/>
              <w:spacing w:line="240" w:lineRule="exact"/>
              <w:contextualSpacing/>
              <w:jc w:val="center"/>
              <w:textAlignment w:val="center"/>
              <w:rPr>
                <w:rFonts w:hint="eastAsia"/>
                <w:sz w:val="18"/>
                <w:szCs w:val="18"/>
              </w:rPr>
            </w:pPr>
          </w:p>
        </w:tc>
        <w:tc>
          <w:tcPr>
            <w:tcW w:w="2467" w:type="dxa"/>
            <w:noWrap w:val="0"/>
            <w:vAlign w:val="center"/>
          </w:tcPr>
          <w:p>
            <w:pPr>
              <w:autoSpaceDN w:val="0"/>
              <w:spacing w:line="240" w:lineRule="exact"/>
              <w:contextualSpacing/>
              <w:jc w:val="center"/>
              <w:textAlignment w:val="center"/>
              <w:rPr>
                <w:rFonts w:hint="eastAsia" w:ascii="Times New Roman" w:hAnsi="Times New Roman"/>
                <w:sz w:val="18"/>
                <w:szCs w:val="18"/>
              </w:rPr>
            </w:pPr>
            <w:r>
              <w:rPr>
                <w:rFonts w:hint="eastAsia" w:ascii="Times New Roman" w:hAnsi="Times New Roman"/>
                <w:sz w:val="18"/>
                <w:szCs w:val="18"/>
              </w:rPr>
              <w:t>收集车购置及维修≥7辆</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辆</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w:t>
            </w:r>
            <w:r>
              <w:rPr>
                <w:rFonts w:hint="eastAsia" w:ascii="Times New Roman" w:hAnsi="Times New Roman"/>
                <w:sz w:val="18"/>
                <w:szCs w:val="18"/>
              </w:rPr>
              <w:t>垃圾收集车数量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038" w:type="dxa"/>
            <w:noWrap w:val="0"/>
            <w:vAlign w:val="center"/>
          </w:tcPr>
          <w:p>
            <w:pPr>
              <w:widowControl/>
              <w:spacing w:line="240" w:lineRule="exact"/>
              <w:contextualSpacing/>
              <w:jc w:val="center"/>
              <w:rPr>
                <w:rFonts w:hint="eastAsia" w:ascii="Times New Roman" w:hAnsi="Times New Roman"/>
                <w:kern w:val="0"/>
                <w:sz w:val="18"/>
                <w:szCs w:val="18"/>
              </w:rPr>
            </w:pPr>
            <w:r>
              <w:rPr>
                <w:rFonts w:hint="eastAsia" w:ascii="Times New Roman" w:hAnsi="Times New Roman"/>
                <w:kern w:val="0"/>
                <w:sz w:val="18"/>
                <w:szCs w:val="18"/>
              </w:rPr>
              <w:t>/</w:t>
            </w:r>
          </w:p>
        </w:tc>
        <w:tc>
          <w:tcPr>
            <w:tcW w:w="1143" w:type="dxa"/>
            <w:noWrap w:val="0"/>
            <w:vAlign w:val="center"/>
          </w:tcPr>
          <w:p>
            <w:pPr>
              <w:widowControl/>
              <w:spacing w:line="240" w:lineRule="exact"/>
              <w:contextualSpacing/>
              <w:jc w:val="center"/>
              <w:rPr>
                <w:rFonts w:hint="eastAsia" w:ascii="Times New Roman" w:hAnsi="Times New Roman"/>
                <w:kern w:val="0"/>
                <w:sz w:val="18"/>
                <w:szCs w:val="18"/>
              </w:rPr>
            </w:pP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 w:hRule="atLeast"/>
          <w:jc w:val="center"/>
        </w:trPr>
        <w:tc>
          <w:tcPr>
            <w:tcW w:w="735" w:type="dxa"/>
            <w:noWrap w:val="0"/>
            <w:vAlign w:val="center"/>
          </w:tcPr>
          <w:p>
            <w:pPr>
              <w:widowControl/>
              <w:spacing w:line="240" w:lineRule="exact"/>
              <w:contextualSpacing/>
              <w:jc w:val="center"/>
              <w:rPr>
                <w:rFonts w:hint="eastAsia"/>
                <w:kern w:val="0"/>
                <w:sz w:val="18"/>
                <w:szCs w:val="18"/>
              </w:rPr>
            </w:pPr>
            <w:r>
              <w:rPr>
                <w:rFonts w:hint="eastAsia"/>
                <w:kern w:val="0"/>
                <w:sz w:val="18"/>
                <w:szCs w:val="18"/>
              </w:rPr>
              <w:t>二</w:t>
            </w:r>
          </w:p>
        </w:tc>
        <w:tc>
          <w:tcPr>
            <w:tcW w:w="14707" w:type="dxa"/>
            <w:gridSpan w:val="12"/>
            <w:noWrap w:val="0"/>
            <w:vAlign w:val="center"/>
          </w:tcPr>
          <w:p>
            <w:pPr>
              <w:widowControl/>
              <w:spacing w:line="240" w:lineRule="exact"/>
              <w:contextualSpacing/>
              <w:jc w:val="left"/>
              <w:rPr>
                <w:kern w:val="0"/>
                <w:sz w:val="18"/>
                <w:szCs w:val="18"/>
              </w:rPr>
            </w:pPr>
            <w:r>
              <w:rPr>
                <w:rFonts w:hint="eastAsia"/>
                <w:kern w:val="0"/>
                <w:sz w:val="18"/>
                <w:szCs w:val="18"/>
              </w:rPr>
              <w:t>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5" w:hRule="atLeast"/>
          <w:jc w:val="center"/>
        </w:trPr>
        <w:tc>
          <w:tcPr>
            <w:tcW w:w="735" w:type="dxa"/>
            <w:noWrap w:val="0"/>
            <w:vAlign w:val="center"/>
          </w:tcPr>
          <w:p>
            <w:pPr>
              <w:widowControl/>
              <w:spacing w:line="240" w:lineRule="exact"/>
              <w:contextualSpacing/>
              <w:jc w:val="center"/>
              <w:rPr>
                <w:rFonts w:hint="eastAsia" w:ascii="Times New Roman" w:hAnsi="Times New Roman"/>
                <w:kern w:val="0"/>
                <w:sz w:val="18"/>
                <w:szCs w:val="18"/>
              </w:rPr>
            </w:pPr>
            <w:r>
              <w:rPr>
                <w:rFonts w:ascii="Times New Roman" w:hAnsi="Times New Roman"/>
                <w:kern w:val="0"/>
                <w:sz w:val="18"/>
                <w:szCs w:val="18"/>
              </w:rPr>
              <w:t>1</w:t>
            </w:r>
          </w:p>
        </w:tc>
        <w:tc>
          <w:tcPr>
            <w:tcW w:w="3750" w:type="dxa"/>
            <w:gridSpan w:val="2"/>
            <w:noWrap w:val="0"/>
            <w:vAlign w:val="center"/>
          </w:tcPr>
          <w:p>
            <w:pPr>
              <w:autoSpaceDN w:val="0"/>
              <w:spacing w:line="240" w:lineRule="exact"/>
              <w:contextualSpacing/>
              <w:jc w:val="center"/>
              <w:textAlignment w:val="center"/>
              <w:rPr>
                <w:rFonts w:hint="eastAsia" w:ascii="Times New Roman" w:hAnsi="Times New Roman"/>
                <w:sz w:val="18"/>
                <w:szCs w:val="18"/>
              </w:rPr>
            </w:pPr>
            <w:r>
              <w:rPr>
                <w:rFonts w:hint="eastAsia" w:ascii="Times New Roman" w:hAnsi="Times New Roman"/>
                <w:sz w:val="18"/>
                <w:szCs w:val="18"/>
              </w:rPr>
              <w:t>公园绿化养护≥23人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此项填写养护人员数量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143" w:type="dxa"/>
            <w:noWrap w:val="0"/>
            <w:vAlign w:val="center"/>
          </w:tcPr>
          <w:p>
            <w:pPr>
              <w:widowControl/>
              <w:spacing w:line="240" w:lineRule="exact"/>
              <w:contextualSpacing/>
              <w:jc w:val="center"/>
              <w:rPr>
                <w:rFonts w:hint="eastAsia"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noWrap w:val="0"/>
            <w:vAlign w:val="center"/>
          </w:tcPr>
          <w:p>
            <w:pPr>
              <w:widowControl/>
              <w:spacing w:line="240" w:lineRule="exact"/>
              <w:contextualSpacing/>
              <w:jc w:val="center"/>
              <w:rPr>
                <w:kern w:val="0"/>
                <w:sz w:val="18"/>
                <w:szCs w:val="18"/>
              </w:rPr>
            </w:pPr>
            <w:r>
              <w:rPr>
                <w:kern w:val="0"/>
                <w:sz w:val="18"/>
                <w:szCs w:val="18"/>
              </w:rPr>
              <w:t>2</w:t>
            </w:r>
          </w:p>
        </w:tc>
        <w:tc>
          <w:tcPr>
            <w:tcW w:w="3750" w:type="dxa"/>
            <w:gridSpan w:val="2"/>
            <w:noWrap w:val="0"/>
            <w:vAlign w:val="center"/>
          </w:tcPr>
          <w:p>
            <w:pPr>
              <w:autoSpaceDN w:val="0"/>
              <w:spacing w:line="240" w:lineRule="exact"/>
              <w:contextualSpacing/>
              <w:jc w:val="center"/>
              <w:textAlignment w:val="center"/>
              <w:rPr>
                <w:rFonts w:hint="eastAsia"/>
                <w:sz w:val="18"/>
                <w:szCs w:val="18"/>
              </w:rPr>
            </w:pPr>
            <w:r>
              <w:rPr>
                <w:rFonts w:hint="eastAsia"/>
                <w:sz w:val="18"/>
                <w:szCs w:val="18"/>
              </w:rPr>
              <w:t>行道树及绿地养护</w:t>
            </w:r>
            <w:r>
              <w:rPr>
                <w:rFonts w:hint="eastAsia" w:ascii="Times New Roman" w:hAnsi="Times New Roman"/>
                <w:sz w:val="18"/>
                <w:szCs w:val="18"/>
              </w:rPr>
              <w:t>≥4人</w:t>
            </w:r>
          </w:p>
        </w:tc>
        <w:tc>
          <w:tcPr>
            <w:tcW w:w="402"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hint="eastAsia"/>
                <w:kern w:val="0"/>
                <w:sz w:val="18"/>
                <w:szCs w:val="18"/>
              </w:rPr>
            </w:pPr>
            <w:r>
              <w:rPr>
                <w:rFonts w:hint="eastAsia" w:ascii="Times New Roman" w:hAnsi="Times New Roman"/>
                <w:kern w:val="0"/>
                <w:sz w:val="18"/>
                <w:szCs w:val="18"/>
              </w:rPr>
              <w:t>此项填写养护人员数量</w:t>
            </w:r>
          </w:p>
        </w:tc>
        <w:tc>
          <w:tcPr>
            <w:tcW w:w="1358" w:type="dxa"/>
            <w:noWrap w:val="0"/>
            <w:vAlign w:val="center"/>
          </w:tcPr>
          <w:p>
            <w:pPr>
              <w:widowControl/>
              <w:spacing w:line="240" w:lineRule="exact"/>
              <w:contextualSpacing/>
              <w:jc w:val="center"/>
              <w:rPr>
                <w:kern w:val="0"/>
                <w:sz w:val="18"/>
                <w:szCs w:val="18"/>
              </w:rPr>
            </w:pPr>
          </w:p>
        </w:tc>
        <w:tc>
          <w:tcPr>
            <w:tcW w:w="1038" w:type="dxa"/>
            <w:noWrap w:val="0"/>
            <w:vAlign w:val="center"/>
          </w:tcPr>
          <w:p>
            <w:pPr>
              <w:widowControl/>
              <w:spacing w:line="240" w:lineRule="exact"/>
              <w:contextualSpacing/>
              <w:jc w:val="center"/>
              <w:rPr>
                <w:rFonts w:hint="eastAsia"/>
                <w:kern w:val="0"/>
                <w:sz w:val="18"/>
                <w:szCs w:val="18"/>
              </w:rPr>
            </w:pPr>
          </w:p>
        </w:tc>
        <w:tc>
          <w:tcPr>
            <w:tcW w:w="1143" w:type="dxa"/>
            <w:noWrap w:val="0"/>
            <w:vAlign w:val="center"/>
          </w:tcPr>
          <w:p>
            <w:pPr>
              <w:widowControl/>
              <w:spacing w:line="240" w:lineRule="exact"/>
              <w:contextualSpacing/>
              <w:jc w:val="center"/>
              <w:rPr>
                <w:rFonts w:hint="eastAsia"/>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kern w:val="0"/>
                <w:sz w:val="18"/>
                <w:szCs w:val="18"/>
              </w:rPr>
            </w:pPr>
          </w:p>
        </w:tc>
        <w:tc>
          <w:tcPr>
            <w:tcW w:w="711" w:type="dxa"/>
            <w:noWrap w:val="0"/>
            <w:vAlign w:val="center"/>
          </w:tcPr>
          <w:p>
            <w:pPr>
              <w:widowControl/>
              <w:spacing w:line="240" w:lineRule="exact"/>
              <w:contextualSpacing/>
              <w:jc w:val="center"/>
              <w:rPr>
                <w:kern w:val="0"/>
                <w:sz w:val="18"/>
                <w:szCs w:val="18"/>
              </w:rPr>
            </w:pPr>
          </w:p>
        </w:tc>
        <w:tc>
          <w:tcPr>
            <w:tcW w:w="699" w:type="dxa"/>
            <w:noWrap w:val="0"/>
            <w:vAlign w:val="center"/>
          </w:tcPr>
          <w:p>
            <w:pPr>
              <w:widowControl/>
              <w:spacing w:line="240" w:lineRule="exact"/>
              <w:contextualSpacing/>
              <w:jc w:val="center"/>
              <w:rPr>
                <w:kern w:val="0"/>
                <w:sz w:val="18"/>
                <w:szCs w:val="18"/>
              </w:rPr>
            </w:pPr>
          </w:p>
        </w:tc>
        <w:tc>
          <w:tcPr>
            <w:tcW w:w="1167" w:type="dxa"/>
            <w:noWrap w:val="0"/>
            <w:vAlign w:val="center"/>
          </w:tcPr>
          <w:p>
            <w:pPr>
              <w:widowControl/>
              <w:spacing w:line="240" w:lineRule="exact"/>
              <w:contextualSpacing/>
              <w:jc w:val="center"/>
              <w:rPr>
                <w:kern w:val="0"/>
                <w:sz w:val="18"/>
                <w:szCs w:val="18"/>
              </w:rPr>
            </w:pPr>
          </w:p>
        </w:tc>
        <w:tc>
          <w:tcPr>
            <w:tcW w:w="1413" w:type="dxa"/>
            <w:noWrap w:val="0"/>
            <w:vAlign w:val="center"/>
          </w:tcPr>
          <w:p>
            <w:pPr>
              <w:widowControl/>
              <w:spacing w:line="240" w:lineRule="exact"/>
              <w:contextualSpacing/>
              <w:jc w:val="cente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35" w:type="dxa"/>
            <w:noWrap w:val="0"/>
            <w:vAlign w:val="center"/>
          </w:tcPr>
          <w:p>
            <w:pPr>
              <w:widowControl/>
              <w:spacing w:line="240" w:lineRule="exact"/>
              <w:contextualSpacing/>
              <w:jc w:val="center"/>
              <w:rPr>
                <w:rFonts w:hint="eastAsia" w:ascii="Times New Roman" w:hAnsi="Times New Roman"/>
                <w:kern w:val="0"/>
                <w:sz w:val="18"/>
                <w:szCs w:val="18"/>
              </w:rPr>
            </w:pPr>
            <w:r>
              <w:rPr>
                <w:rFonts w:ascii="Times New Roman" w:hAnsi="Times New Roman"/>
                <w:kern w:val="0"/>
                <w:sz w:val="18"/>
                <w:szCs w:val="18"/>
              </w:rPr>
              <w:t>3</w:t>
            </w:r>
          </w:p>
        </w:tc>
        <w:tc>
          <w:tcPr>
            <w:tcW w:w="3750" w:type="dxa"/>
            <w:gridSpan w:val="2"/>
            <w:noWrap w:val="0"/>
            <w:vAlign w:val="center"/>
          </w:tcPr>
          <w:p>
            <w:pPr>
              <w:autoSpaceDN w:val="0"/>
              <w:spacing w:line="240" w:lineRule="exact"/>
              <w:contextualSpacing/>
              <w:jc w:val="center"/>
              <w:textAlignment w:val="center"/>
              <w:rPr>
                <w:rFonts w:hint="eastAsia" w:ascii="Times New Roman" w:hAnsi="Times New Roman"/>
                <w:sz w:val="18"/>
                <w:szCs w:val="18"/>
              </w:rPr>
            </w:pPr>
            <w:r>
              <w:rPr>
                <w:rFonts w:hint="eastAsia" w:ascii="Times New Roman" w:hAnsi="Times New Roman"/>
                <w:bCs/>
                <w:sz w:val="18"/>
                <w:szCs w:val="18"/>
              </w:rPr>
              <w:t>公园绿地专项巡视</w:t>
            </w:r>
            <w:r>
              <w:rPr>
                <w:rFonts w:hint="eastAsia" w:ascii="Times New Roman" w:hAnsi="Times New Roman"/>
                <w:sz w:val="18"/>
                <w:szCs w:val="18"/>
              </w:rPr>
              <w:t>≥3人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ascii="Times New Roman" w:hAnsi="Times New Roman"/>
                <w:kern w:val="0"/>
                <w:sz w:val="18"/>
                <w:szCs w:val="18"/>
              </w:rPr>
            </w:pPr>
            <w:r>
              <w:rPr>
                <w:rFonts w:hint="eastAsia" w:ascii="Times New Roman" w:hAnsi="Times New Roman"/>
                <w:kern w:val="0"/>
                <w:sz w:val="18"/>
                <w:szCs w:val="18"/>
              </w:rPr>
              <w:t>此项填写巡视人员数量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hint="eastAsia" w:ascii="Times New Roman" w:hAnsi="Times New Roman"/>
                <w:kern w:val="0"/>
                <w:sz w:val="18"/>
                <w:szCs w:val="18"/>
              </w:rPr>
            </w:pPr>
          </w:p>
        </w:tc>
        <w:tc>
          <w:tcPr>
            <w:tcW w:w="1143" w:type="dxa"/>
            <w:noWrap w:val="0"/>
            <w:vAlign w:val="center"/>
          </w:tcPr>
          <w:p>
            <w:pPr>
              <w:widowControl/>
              <w:spacing w:line="240" w:lineRule="exact"/>
              <w:contextualSpacing/>
              <w:jc w:val="center"/>
              <w:rPr>
                <w:rFonts w:hint="eastAsia"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740" w:type="dxa"/>
            <w:noWrap w:val="0"/>
            <w:vAlign w:val="center"/>
          </w:tcPr>
          <w:p>
            <w:pPr>
              <w:widowControl/>
              <w:spacing w:line="240" w:lineRule="exact"/>
              <w:contextualSpacing/>
              <w:jc w:val="center"/>
              <w:rPr>
                <w:rFonts w:hint="eastAsia" w:ascii="Times New Roman" w:hAnsi="Times New Roman"/>
                <w:sz w:val="18"/>
                <w:szCs w:val="18"/>
              </w:rPr>
            </w:pPr>
            <w:r>
              <w:rPr>
                <w:rFonts w:hint="eastAsia" w:ascii="Times New Roman" w:hAnsi="Times New Roman"/>
                <w:sz w:val="18"/>
                <w:szCs w:val="18"/>
              </w:rPr>
              <w:t>三</w:t>
            </w:r>
          </w:p>
        </w:tc>
        <w:tc>
          <w:tcPr>
            <w:tcW w:w="3745" w:type="dxa"/>
            <w:gridSpan w:val="2"/>
            <w:noWrap w:val="0"/>
            <w:vAlign w:val="center"/>
          </w:tcPr>
          <w:p>
            <w:pPr>
              <w:widowControl/>
              <w:spacing w:line="240" w:lineRule="exact"/>
              <w:contextualSpacing/>
              <w:jc w:val="left"/>
              <w:rPr>
                <w:rFonts w:hint="eastAsia" w:ascii="Times New Roman" w:hAnsi="Times New Roman"/>
                <w:sz w:val="18"/>
                <w:szCs w:val="18"/>
              </w:rPr>
            </w:pPr>
            <w:r>
              <w:rPr>
                <w:rFonts w:hint="eastAsia" w:ascii="Times New Roman" w:hAnsi="Times New Roman"/>
                <w:sz w:val="18"/>
                <w:szCs w:val="18"/>
              </w:rPr>
              <w:t>管理人员≥5人</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人</w:t>
            </w:r>
          </w:p>
        </w:tc>
        <w:tc>
          <w:tcPr>
            <w:tcW w:w="2199" w:type="dxa"/>
            <w:noWrap w:val="0"/>
            <w:vAlign w:val="center"/>
          </w:tcPr>
          <w:p>
            <w:pPr>
              <w:autoSpaceDN w:val="0"/>
              <w:spacing w:line="240" w:lineRule="exact"/>
              <w:contextualSpacing/>
              <w:jc w:val="center"/>
              <w:textAlignment w:val="center"/>
              <w:rPr>
                <w:rFonts w:ascii="Times New Roman" w:hAnsi="Times New Roman"/>
                <w:kern w:val="0"/>
                <w:sz w:val="18"/>
                <w:szCs w:val="18"/>
              </w:rPr>
            </w:pPr>
            <w:r>
              <w:rPr>
                <w:rFonts w:hint="eastAsia" w:ascii="Times New Roman" w:hAnsi="Times New Roman"/>
                <w:kern w:val="0"/>
                <w:sz w:val="18"/>
                <w:szCs w:val="18"/>
              </w:rPr>
              <w:t>此项填写管理人员数量</w:t>
            </w:r>
          </w:p>
        </w:tc>
        <w:tc>
          <w:tcPr>
            <w:tcW w:w="135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038"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143"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827"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711"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699"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167" w:type="dxa"/>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kern w:val="0"/>
                <w:sz w:val="18"/>
                <w:szCs w:val="18"/>
              </w:rPr>
              <w:t>/</w:t>
            </w: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 w:hRule="atLeast"/>
          <w:jc w:val="center"/>
        </w:trPr>
        <w:tc>
          <w:tcPr>
            <w:tcW w:w="4485" w:type="dxa"/>
            <w:gridSpan w:val="3"/>
            <w:noWrap w:val="0"/>
            <w:vAlign w:val="center"/>
          </w:tcPr>
          <w:p>
            <w:pPr>
              <w:widowControl/>
              <w:spacing w:line="240" w:lineRule="exact"/>
              <w:contextualSpacing/>
              <w:jc w:val="center"/>
              <w:rPr>
                <w:rFonts w:ascii="Times New Roman" w:hAnsi="Times New Roman"/>
                <w:kern w:val="0"/>
                <w:sz w:val="18"/>
                <w:szCs w:val="18"/>
              </w:rPr>
            </w:pPr>
            <w:r>
              <w:rPr>
                <w:rFonts w:hint="eastAsia" w:ascii="Times New Roman" w:hAnsi="Times New Roman"/>
                <w:sz w:val="18"/>
                <w:szCs w:val="18"/>
              </w:rPr>
              <w:t>一年投标总价</w:t>
            </w:r>
          </w:p>
        </w:tc>
        <w:tc>
          <w:tcPr>
            <w:tcW w:w="402" w:type="dxa"/>
            <w:noWrap w:val="0"/>
            <w:vAlign w:val="center"/>
          </w:tcPr>
          <w:p>
            <w:pPr>
              <w:autoSpaceDN w:val="0"/>
              <w:spacing w:line="240" w:lineRule="exact"/>
              <w:contextualSpacing/>
              <w:jc w:val="center"/>
              <w:textAlignment w:val="center"/>
              <w:rPr>
                <w:rFonts w:hint="eastAsia" w:ascii="Times New Roman" w:hAnsi="Times New Roman"/>
                <w:kern w:val="0"/>
                <w:sz w:val="18"/>
                <w:szCs w:val="18"/>
              </w:rPr>
            </w:pPr>
            <w:r>
              <w:rPr>
                <w:rFonts w:hint="eastAsia" w:ascii="Times New Roman" w:hAnsi="Times New Roman"/>
                <w:kern w:val="0"/>
                <w:sz w:val="18"/>
                <w:szCs w:val="18"/>
              </w:rPr>
              <w:t>元</w:t>
            </w:r>
          </w:p>
        </w:tc>
        <w:tc>
          <w:tcPr>
            <w:tcW w:w="2199" w:type="dxa"/>
            <w:noWrap w:val="0"/>
            <w:vAlign w:val="center"/>
          </w:tcPr>
          <w:p>
            <w:pPr>
              <w:autoSpaceDN w:val="0"/>
              <w:spacing w:line="240" w:lineRule="exact"/>
              <w:contextualSpacing/>
              <w:jc w:val="center"/>
              <w:textAlignment w:val="center"/>
              <w:rPr>
                <w:rFonts w:ascii="Times New Roman" w:hAnsi="Times New Roman"/>
                <w:kern w:val="0"/>
                <w:sz w:val="18"/>
                <w:szCs w:val="18"/>
              </w:rPr>
            </w:pPr>
          </w:p>
        </w:tc>
        <w:tc>
          <w:tcPr>
            <w:tcW w:w="1358" w:type="dxa"/>
            <w:noWrap w:val="0"/>
            <w:vAlign w:val="center"/>
          </w:tcPr>
          <w:p>
            <w:pPr>
              <w:widowControl/>
              <w:spacing w:line="240" w:lineRule="exact"/>
              <w:contextualSpacing/>
              <w:jc w:val="center"/>
              <w:rPr>
                <w:rFonts w:ascii="Times New Roman" w:hAnsi="Times New Roman"/>
                <w:kern w:val="0"/>
                <w:sz w:val="18"/>
                <w:szCs w:val="18"/>
              </w:rPr>
            </w:pPr>
          </w:p>
        </w:tc>
        <w:tc>
          <w:tcPr>
            <w:tcW w:w="1038" w:type="dxa"/>
            <w:noWrap w:val="0"/>
            <w:vAlign w:val="center"/>
          </w:tcPr>
          <w:p>
            <w:pPr>
              <w:widowControl/>
              <w:spacing w:line="240" w:lineRule="exact"/>
              <w:contextualSpacing/>
              <w:jc w:val="center"/>
              <w:rPr>
                <w:rFonts w:ascii="Times New Roman" w:hAnsi="Times New Roman"/>
                <w:kern w:val="0"/>
                <w:sz w:val="18"/>
                <w:szCs w:val="18"/>
              </w:rPr>
            </w:pPr>
          </w:p>
        </w:tc>
        <w:tc>
          <w:tcPr>
            <w:tcW w:w="1143" w:type="dxa"/>
            <w:noWrap w:val="0"/>
            <w:vAlign w:val="center"/>
          </w:tcPr>
          <w:p>
            <w:pPr>
              <w:widowControl/>
              <w:spacing w:line="240" w:lineRule="exact"/>
              <w:contextualSpacing/>
              <w:jc w:val="center"/>
              <w:rPr>
                <w:rFonts w:ascii="Times New Roman" w:hAnsi="Times New Roman"/>
                <w:kern w:val="0"/>
                <w:sz w:val="18"/>
                <w:szCs w:val="18"/>
              </w:rPr>
            </w:pPr>
          </w:p>
        </w:tc>
        <w:tc>
          <w:tcPr>
            <w:tcW w:w="827" w:type="dxa"/>
            <w:noWrap w:val="0"/>
            <w:vAlign w:val="center"/>
          </w:tcPr>
          <w:p>
            <w:pPr>
              <w:widowControl/>
              <w:spacing w:line="240" w:lineRule="exact"/>
              <w:contextualSpacing/>
              <w:jc w:val="center"/>
              <w:rPr>
                <w:rFonts w:ascii="Times New Roman" w:hAnsi="Times New Roman"/>
                <w:kern w:val="0"/>
                <w:sz w:val="18"/>
                <w:szCs w:val="18"/>
              </w:rPr>
            </w:pPr>
          </w:p>
        </w:tc>
        <w:tc>
          <w:tcPr>
            <w:tcW w:w="711" w:type="dxa"/>
            <w:noWrap w:val="0"/>
            <w:vAlign w:val="center"/>
          </w:tcPr>
          <w:p>
            <w:pPr>
              <w:widowControl/>
              <w:spacing w:line="240" w:lineRule="exact"/>
              <w:contextualSpacing/>
              <w:jc w:val="center"/>
              <w:rPr>
                <w:rFonts w:ascii="Times New Roman" w:hAnsi="Times New Roman"/>
                <w:kern w:val="0"/>
                <w:sz w:val="18"/>
                <w:szCs w:val="18"/>
              </w:rPr>
            </w:pPr>
          </w:p>
        </w:tc>
        <w:tc>
          <w:tcPr>
            <w:tcW w:w="699" w:type="dxa"/>
            <w:noWrap w:val="0"/>
            <w:vAlign w:val="center"/>
          </w:tcPr>
          <w:p>
            <w:pPr>
              <w:widowControl/>
              <w:spacing w:line="240" w:lineRule="exact"/>
              <w:contextualSpacing/>
              <w:jc w:val="center"/>
              <w:rPr>
                <w:rFonts w:ascii="Times New Roman" w:hAnsi="Times New Roman"/>
                <w:kern w:val="0"/>
                <w:sz w:val="18"/>
                <w:szCs w:val="18"/>
              </w:rPr>
            </w:pPr>
          </w:p>
        </w:tc>
        <w:tc>
          <w:tcPr>
            <w:tcW w:w="1167" w:type="dxa"/>
            <w:noWrap w:val="0"/>
            <w:vAlign w:val="center"/>
          </w:tcPr>
          <w:p>
            <w:pPr>
              <w:widowControl/>
              <w:spacing w:line="240" w:lineRule="exact"/>
              <w:contextualSpacing/>
              <w:jc w:val="center"/>
              <w:rPr>
                <w:rFonts w:ascii="Times New Roman" w:hAnsi="Times New Roman"/>
                <w:kern w:val="0"/>
                <w:sz w:val="18"/>
                <w:szCs w:val="18"/>
              </w:rPr>
            </w:pPr>
          </w:p>
        </w:tc>
        <w:tc>
          <w:tcPr>
            <w:tcW w:w="1413" w:type="dxa"/>
            <w:noWrap w:val="0"/>
            <w:vAlign w:val="center"/>
          </w:tcPr>
          <w:p>
            <w:pPr>
              <w:widowControl/>
              <w:spacing w:line="240" w:lineRule="exact"/>
              <w:contextualSpacing/>
              <w:jc w:val="center"/>
              <w:rPr>
                <w:rFonts w:ascii="Times New Roman" w:hAnsi="Times New Roman"/>
                <w:kern w:val="0"/>
                <w:sz w:val="18"/>
                <w:szCs w:val="18"/>
              </w:rPr>
            </w:pPr>
          </w:p>
        </w:tc>
      </w:tr>
    </w:tbl>
    <w:p>
      <w:pPr>
        <w:pStyle w:val="19"/>
        <w:spacing w:line="280" w:lineRule="exact"/>
        <w:ind w:right="420"/>
        <w:contextualSpacing/>
        <w:jc w:val="left"/>
        <w:rPr>
          <w:rFonts w:hint="eastAsia" w:eastAsia="宋体"/>
          <w:b/>
          <w:sz w:val="18"/>
          <w:szCs w:val="18"/>
        </w:rPr>
      </w:pPr>
      <w:r>
        <w:rPr>
          <w:rFonts w:hint="eastAsia" w:eastAsia="宋体"/>
          <w:b/>
          <w:sz w:val="18"/>
          <w:szCs w:val="18"/>
        </w:rPr>
        <w:t>注：本表中管理人员仅需填写数量，且数量须与《项目管理人员配备表》中人员数量保持一致，涉及费用包含在本表第七项管理费中。</w:t>
      </w:r>
    </w:p>
    <w:p>
      <w:pPr>
        <w:pStyle w:val="19"/>
        <w:ind w:right="420" w:firstLine="0"/>
        <w:jc w:val="left"/>
        <w:rPr>
          <w:rFonts w:hint="eastAsia" w:eastAsia="宋体"/>
          <w:sz w:val="18"/>
          <w:szCs w:val="18"/>
        </w:rPr>
      </w:pPr>
      <w:r>
        <w:rPr>
          <w:rFonts w:hint="eastAsia" w:eastAsia="宋体"/>
          <w:sz w:val="18"/>
          <w:szCs w:val="18"/>
        </w:rPr>
        <w:t xml:space="preserve">投标人（盖章）： </w:t>
      </w:r>
      <w:r>
        <w:rPr>
          <w:rFonts w:eastAsia="宋体"/>
          <w:sz w:val="18"/>
          <w:szCs w:val="18"/>
        </w:rPr>
        <w:t xml:space="preserve">                         </w:t>
      </w:r>
      <w:r>
        <w:rPr>
          <w:rFonts w:hint="eastAsia" w:eastAsia="宋体"/>
          <w:sz w:val="18"/>
          <w:szCs w:val="18"/>
        </w:rPr>
        <w:t>法定代表人或授权代表人（签字或盖章）：                               日期：</w:t>
      </w:r>
    </w:p>
    <w:p>
      <w:pPr>
        <w:pStyle w:val="19"/>
        <w:ind w:right="660"/>
        <w:jc w:val="right"/>
        <w:rPr>
          <w:rFonts w:hint="eastAsia" w:eastAsia="宋体"/>
          <w:b/>
          <w:szCs w:val="24"/>
        </w:rPr>
      </w:pPr>
      <w:r>
        <w:rPr>
          <w:rFonts w:hint="eastAsia" w:eastAsia="宋体"/>
          <w:b/>
          <w:szCs w:val="24"/>
        </w:rPr>
        <w:t>表2</w:t>
      </w:r>
    </w:p>
    <w:tbl>
      <w:tblPr>
        <w:tblStyle w:val="50"/>
        <w:tblW w:w="14715" w:type="dxa"/>
        <w:jc w:val="center"/>
        <w:tblLayout w:type="fixed"/>
        <w:tblCellMar>
          <w:top w:w="0" w:type="dxa"/>
          <w:left w:w="108" w:type="dxa"/>
          <w:bottom w:w="0" w:type="dxa"/>
          <w:right w:w="108" w:type="dxa"/>
        </w:tblCellMar>
      </w:tblPr>
      <w:tblGrid>
        <w:gridCol w:w="1853"/>
        <w:gridCol w:w="2972"/>
        <w:gridCol w:w="1946"/>
        <w:gridCol w:w="1842"/>
        <w:gridCol w:w="3828"/>
        <w:gridCol w:w="2274"/>
      </w:tblGrid>
      <w:tr>
        <w:tblPrEx>
          <w:tblCellMar>
            <w:top w:w="0" w:type="dxa"/>
            <w:left w:w="108" w:type="dxa"/>
            <w:bottom w:w="0" w:type="dxa"/>
            <w:right w:w="108" w:type="dxa"/>
          </w:tblCellMar>
        </w:tblPrEx>
        <w:trPr>
          <w:wBefore w:w="0" w:type="dxa"/>
          <w:wAfter w:w="0" w:type="dxa"/>
          <w:trHeight w:val="181" w:hRule="atLeast"/>
          <w:jc w:val="center"/>
        </w:trPr>
        <w:tc>
          <w:tcPr>
            <w:tcW w:w="1471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b/>
                <w:bCs/>
                <w:kern w:val="0"/>
                <w:szCs w:val="21"/>
              </w:rPr>
            </w:pPr>
            <w:r>
              <w:rPr>
                <w:rFonts w:hint="eastAsia" w:ascii="Times New Roman" w:hAnsi="Times New Roman" w:cs="宋体"/>
                <w:b/>
                <w:bCs/>
                <w:kern w:val="0"/>
                <w:szCs w:val="21"/>
              </w:rPr>
              <w:t>拟投入车辆等机械费用（年度包干）</w:t>
            </w:r>
          </w:p>
        </w:tc>
      </w:tr>
      <w:tr>
        <w:tblPrEx>
          <w:tblCellMar>
            <w:top w:w="0" w:type="dxa"/>
            <w:left w:w="108" w:type="dxa"/>
            <w:bottom w:w="0" w:type="dxa"/>
            <w:right w:w="108" w:type="dxa"/>
          </w:tblCellMar>
        </w:tblPrEx>
        <w:trPr>
          <w:wBefore w:w="0" w:type="dxa"/>
          <w:wAfter w:w="0" w:type="dxa"/>
          <w:trHeight w:val="181"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项目</w:t>
            </w:r>
          </w:p>
        </w:tc>
        <w:tc>
          <w:tcPr>
            <w:tcW w:w="29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 xml:space="preserve">一 </w:t>
            </w:r>
          </w:p>
        </w:tc>
        <w:tc>
          <w:tcPr>
            <w:tcW w:w="19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二</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三</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四</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五</w:t>
            </w:r>
          </w:p>
        </w:tc>
      </w:tr>
      <w:tr>
        <w:tblPrEx>
          <w:tblCellMar>
            <w:top w:w="0" w:type="dxa"/>
            <w:left w:w="108" w:type="dxa"/>
            <w:bottom w:w="0" w:type="dxa"/>
            <w:right w:w="108" w:type="dxa"/>
          </w:tblCellMar>
        </w:tblPrEx>
        <w:trPr>
          <w:wBefore w:w="0" w:type="dxa"/>
          <w:wAfter w:w="0" w:type="dxa"/>
          <w:trHeight w:val="507"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29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车辆类型</w:t>
            </w:r>
          </w:p>
        </w:tc>
        <w:tc>
          <w:tcPr>
            <w:tcW w:w="19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作业时间（小时）</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车辆数量（辆）</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包含但不限于车辆购置费（或车辆租赁费）、车辆燃油费、车辆保险费、车辆年检费、车辆维修保养费、折旧费</w:t>
            </w:r>
          </w:p>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（如有），须单独附上详细费用组成和说明</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车辆年度费用合计（元/年）=三*四</w:t>
            </w:r>
          </w:p>
        </w:tc>
      </w:tr>
      <w:tr>
        <w:tblPrEx>
          <w:tblCellMar>
            <w:top w:w="0" w:type="dxa"/>
            <w:left w:w="108" w:type="dxa"/>
            <w:bottom w:w="0" w:type="dxa"/>
            <w:right w:w="108" w:type="dxa"/>
          </w:tblCellMar>
        </w:tblPrEx>
        <w:trPr>
          <w:wBefore w:w="0" w:type="dxa"/>
          <w:wAfter w:w="0" w:type="dxa"/>
          <w:trHeight w:val="305"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1</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洒水车</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1</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305"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2</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洒水车</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1</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305"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3</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吸污车</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1</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4</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桶装车</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5</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5</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桶装车</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5</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6</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洗扫车（8T）</w:t>
            </w:r>
          </w:p>
        </w:tc>
        <w:tc>
          <w:tcPr>
            <w:tcW w:w="1946" w:type="dxa"/>
            <w:tcBorders>
              <w:top w:val="single" w:color="auto" w:sz="4" w:space="0"/>
              <w:left w:val="nil"/>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2</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1"/>
              <w:rPr>
                <w:rFonts w:hint="eastAsia" w:ascii="Times New Roman" w:hAnsi="Times New Roman" w:cs="宋体"/>
                <w:kern w:val="0"/>
                <w:sz w:val="18"/>
                <w:szCs w:val="18"/>
              </w:rPr>
            </w:pPr>
            <w:r>
              <w:rPr>
                <w:rFonts w:hint="eastAsia" w:ascii="Times New Roman" w:hAnsi="Times New Roman"/>
                <w:sz w:val="18"/>
                <w:szCs w:val="18"/>
              </w:rPr>
              <w:t>7</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压缩式垃圾车（8T）</w:t>
            </w:r>
          </w:p>
        </w:tc>
        <w:tc>
          <w:tcPr>
            <w:tcW w:w="1946"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5</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cs="宋体"/>
                <w:kern w:val="0"/>
                <w:sz w:val="18"/>
                <w:szCs w:val="18"/>
              </w:rPr>
              <w:t>8</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车厢可卸式勾臂车</w:t>
            </w:r>
          </w:p>
        </w:tc>
        <w:tc>
          <w:tcPr>
            <w:tcW w:w="1946"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2</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9</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压缩式（厨余）垃圾车（3T）</w:t>
            </w:r>
          </w:p>
        </w:tc>
        <w:tc>
          <w:tcPr>
            <w:tcW w:w="1946"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ascii="Times New Roman" w:hAnsi="Times New Roman"/>
                <w:sz w:val="18"/>
                <w:szCs w:val="18"/>
              </w:rPr>
            </w:pPr>
            <w:r>
              <w:rPr>
                <w:rFonts w:hint="eastAsia" w:ascii="Times New Roman" w:hAnsi="Times New Roman"/>
                <w:sz w:val="18"/>
                <w:szCs w:val="18"/>
              </w:rPr>
              <w:t>2</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482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1"/>
              <w:rPr>
                <w:rFonts w:hint="eastAsia"/>
                <w:sz w:val="18"/>
                <w:szCs w:val="18"/>
              </w:rPr>
            </w:pPr>
            <w:r>
              <w:rPr>
                <w:rFonts w:hint="eastAsia"/>
                <w:sz w:val="18"/>
                <w:szCs w:val="18"/>
              </w:rPr>
              <w:t>小计</w:t>
            </w:r>
          </w:p>
        </w:tc>
        <w:tc>
          <w:tcPr>
            <w:tcW w:w="1946"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cs="宋体"/>
                <w:kern w:val="0"/>
                <w:sz w:val="18"/>
                <w:szCs w:val="18"/>
              </w:rPr>
            </w:pP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hint="eastAsia"/>
                <w:sz w:val="18"/>
                <w:szCs w:val="18"/>
              </w:rPr>
            </w:pP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cs="宋体"/>
                <w:kern w:val="0"/>
                <w:sz w:val="18"/>
                <w:szCs w:val="18"/>
              </w:rPr>
            </w:pPr>
          </w:p>
        </w:tc>
      </w:tr>
      <w:tr>
        <w:tblPrEx>
          <w:tblCellMar>
            <w:top w:w="0" w:type="dxa"/>
            <w:left w:w="108" w:type="dxa"/>
            <w:bottom w:w="0" w:type="dxa"/>
            <w:right w:w="108" w:type="dxa"/>
          </w:tblCellMar>
        </w:tblPrEx>
        <w:trPr>
          <w:wBefore w:w="0" w:type="dxa"/>
          <w:wAfter w:w="0" w:type="dxa"/>
          <w:trHeight w:val="272" w:hRule="atLeas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10</w:t>
            </w:r>
          </w:p>
        </w:tc>
        <w:tc>
          <w:tcPr>
            <w:tcW w:w="297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hint="eastAsia" w:ascii="Times New Roman" w:hAnsi="Times New Roman"/>
                <w:sz w:val="18"/>
                <w:szCs w:val="18"/>
              </w:rPr>
            </w:pPr>
            <w:r>
              <w:rPr>
                <w:rFonts w:hint="eastAsia" w:ascii="Times New Roman" w:hAnsi="Times New Roman"/>
                <w:sz w:val="18"/>
                <w:szCs w:val="18"/>
              </w:rPr>
              <w:t>绿化养护用车、设备</w:t>
            </w:r>
          </w:p>
        </w:tc>
        <w:tc>
          <w:tcPr>
            <w:tcW w:w="1946" w:type="dxa"/>
            <w:tcBorders>
              <w:top w:val="single" w:color="auto" w:sz="4" w:space="0"/>
              <w:left w:val="nil"/>
              <w:bottom w:val="single" w:color="auto" w:sz="4" w:space="0"/>
              <w:right w:val="single" w:color="auto" w:sz="4" w:space="0"/>
            </w:tcBorders>
            <w:noWrap w:val="0"/>
            <w:vAlign w:val="center"/>
          </w:tcPr>
          <w:p>
            <w:pPr>
              <w:autoSpaceDN w:val="0"/>
              <w:spacing w:line="400" w:lineRule="exact"/>
              <w:jc w:val="center"/>
              <w:textAlignment w:val="center"/>
              <w:rPr>
                <w:rFonts w:hint="eastAsia" w:ascii="Times New Roman" w:hAnsi="Times New Roman"/>
                <w:sz w:val="18"/>
                <w:szCs w:val="18"/>
              </w:rPr>
            </w:pPr>
            <w:r>
              <w:rPr>
                <w:rFonts w:hint="eastAsia" w:ascii="Times New Roman" w:hAnsi="Times New Roman"/>
                <w:sz w:val="18"/>
                <w:szCs w:val="18"/>
              </w:rPr>
              <w:t>/</w:t>
            </w:r>
          </w:p>
        </w:tc>
        <w:tc>
          <w:tcPr>
            <w:tcW w:w="1842" w:type="dxa"/>
            <w:tcBorders>
              <w:top w:val="single" w:color="auto" w:sz="4" w:space="0"/>
              <w:left w:val="nil"/>
              <w:bottom w:val="single" w:color="auto" w:sz="4" w:space="0"/>
              <w:right w:val="single" w:color="auto" w:sz="4" w:space="0"/>
            </w:tcBorders>
            <w:noWrap w:val="0"/>
            <w:vAlign w:val="center"/>
          </w:tcPr>
          <w:p>
            <w:pPr>
              <w:spacing w:line="400" w:lineRule="exact"/>
              <w:jc w:val="center"/>
              <w:outlineLvl w:val="1"/>
              <w:rPr>
                <w:rFonts w:hint="eastAsia" w:ascii="Times New Roman" w:hAnsi="Times New Roman"/>
                <w:sz w:val="18"/>
                <w:szCs w:val="18"/>
              </w:rPr>
            </w:pPr>
            <w:r>
              <w:rPr>
                <w:rFonts w:hint="eastAsia" w:ascii="Times New Roman" w:hAnsi="Times New Roman"/>
                <w:sz w:val="18"/>
                <w:szCs w:val="18"/>
              </w:rPr>
              <w:t>如有，由中标单位自行填写</w:t>
            </w: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r>
        <w:tblPrEx>
          <w:tblCellMar>
            <w:top w:w="0" w:type="dxa"/>
            <w:left w:w="108" w:type="dxa"/>
            <w:bottom w:w="0" w:type="dxa"/>
            <w:right w:w="108" w:type="dxa"/>
          </w:tblCellMar>
        </w:tblPrEx>
        <w:trPr>
          <w:wBefore w:w="0" w:type="dxa"/>
          <w:wAfter w:w="0" w:type="dxa"/>
          <w:trHeight w:val="401" w:hRule="atLeast"/>
          <w:jc w:val="center"/>
        </w:trPr>
        <w:tc>
          <w:tcPr>
            <w:tcW w:w="4825" w:type="dxa"/>
            <w:gridSpan w:val="2"/>
            <w:tcBorders>
              <w:top w:val="single" w:color="auto"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sz w:val="18"/>
                <w:szCs w:val="18"/>
              </w:rPr>
              <w:t>小计</w:t>
            </w:r>
          </w:p>
        </w:tc>
        <w:tc>
          <w:tcPr>
            <w:tcW w:w="1946"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r>
              <w:rPr>
                <w:rFonts w:hint="eastAsia" w:ascii="Times New Roman" w:hAnsi="Times New Roman"/>
                <w:sz w:val="18"/>
                <w:szCs w:val="18"/>
              </w:rPr>
              <w:t xml:space="preserve"> </w:t>
            </w:r>
          </w:p>
        </w:tc>
        <w:tc>
          <w:tcPr>
            <w:tcW w:w="1842"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c>
          <w:tcPr>
            <w:tcW w:w="3828"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Times New Roman" w:hAnsi="Times New Roman" w:cs="宋体"/>
                <w:kern w:val="0"/>
                <w:sz w:val="18"/>
                <w:szCs w:val="18"/>
              </w:rPr>
            </w:pPr>
          </w:p>
        </w:tc>
      </w:tr>
    </w:tbl>
    <w:p>
      <w:pPr>
        <w:spacing w:line="360" w:lineRule="auto"/>
        <w:rPr>
          <w:szCs w:val="21"/>
        </w:rPr>
      </w:pPr>
      <w:r>
        <w:rPr>
          <w:rFonts w:hint="eastAsia"/>
          <w:szCs w:val="21"/>
        </w:rPr>
        <w:t xml:space="preserve">注： </w:t>
      </w:r>
      <w:r>
        <w:rPr>
          <w:rFonts w:hint="eastAsia" w:cs="宋体"/>
          <w:kern w:val="0"/>
          <w:szCs w:val="21"/>
        </w:rPr>
        <w:t>须单独附上详细费用组成和说明。</w:t>
      </w:r>
    </w:p>
    <w:p>
      <w:pPr>
        <w:spacing w:line="360" w:lineRule="auto"/>
        <w:rPr>
          <w:rFonts w:hint="eastAsia"/>
          <w:szCs w:val="21"/>
        </w:rPr>
      </w:pPr>
      <w:r>
        <w:rPr>
          <w:rFonts w:hint="eastAsia"/>
          <w:szCs w:val="21"/>
        </w:rPr>
        <w:t>投标人（盖章）：                                   法定代表人或授权代表（签字或盖章）：                          日期：</w:t>
      </w:r>
    </w:p>
    <w:p>
      <w:pPr>
        <w:spacing w:line="360" w:lineRule="auto"/>
        <w:ind w:left="360"/>
        <w:jc w:val="right"/>
        <w:rPr>
          <w:szCs w:val="21"/>
        </w:rPr>
        <w:sectPr>
          <w:pgSz w:w="16840" w:h="11907" w:orient="landscape"/>
          <w:pgMar w:top="709" w:right="1134" w:bottom="568" w:left="1134" w:header="510" w:footer="283" w:gutter="0"/>
          <w:cols w:space="720" w:num="1"/>
          <w:docGrid w:linePitch="602" w:charSpace="-1675"/>
        </w:sectPr>
      </w:pPr>
    </w:p>
    <w:p>
      <w:pPr>
        <w:spacing w:line="360" w:lineRule="auto"/>
        <w:rPr>
          <w:rFonts w:hint="eastAsia" w:cs="宋体"/>
          <w:b/>
          <w:szCs w:val="28"/>
        </w:rPr>
      </w:pPr>
    </w:p>
    <w:p>
      <w:pPr>
        <w:pStyle w:val="3"/>
        <w:spacing w:before="0" w:after="0" w:line="240" w:lineRule="auto"/>
        <w:ind w:right="-567"/>
        <w:jc w:val="left"/>
        <w:rPr>
          <w:rFonts w:ascii="Times New Roman" w:hAnsi="Times New Roman" w:eastAsia="宋体"/>
          <w:b w:val="0"/>
          <w:sz w:val="18"/>
          <w:szCs w:val="18"/>
        </w:rPr>
      </w:pPr>
      <w:r>
        <w:rPr>
          <w:rFonts w:hint="eastAsia" w:ascii="Times New Roman" w:hAnsi="Times New Roman" w:eastAsia="宋体"/>
          <w:b w:val="0"/>
          <w:sz w:val="18"/>
          <w:szCs w:val="18"/>
        </w:rPr>
        <w:t>格式三 《采购人可调整变更内容清单》及相应全费用综合单价最高限价</w:t>
      </w:r>
    </w:p>
    <w:p>
      <w:pPr>
        <w:rPr>
          <w:rFonts w:hint="eastAsia"/>
        </w:rPr>
      </w:pPr>
    </w:p>
    <w:p>
      <w:pPr>
        <w:pStyle w:val="2"/>
        <w:spacing w:line="280" w:lineRule="exact"/>
        <w:contextualSpacing/>
        <w:rPr>
          <w:rFonts w:ascii="Times New Roman"/>
          <w:sz w:val="24"/>
          <w:szCs w:val="24"/>
        </w:rPr>
      </w:pPr>
      <w:r>
        <w:rPr>
          <w:rFonts w:hint="eastAsia" w:ascii="Times New Roman"/>
          <w:sz w:val="24"/>
          <w:szCs w:val="24"/>
        </w:rPr>
        <w:t>《采购人可调整变更内容清单》及相应全费用综合单价最高限价</w:t>
      </w:r>
    </w:p>
    <w:p/>
    <w:p>
      <w:pPr>
        <w:rPr>
          <w:rFonts w:hint="eastAsia"/>
        </w:rPr>
      </w:pPr>
      <w:r>
        <w:rPr>
          <w:rFonts w:hint="eastAsia"/>
          <w:szCs w:val="21"/>
        </w:rPr>
        <w:t>项目名称：</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 xml:space="preserve">                     </w:t>
      </w:r>
      <w:r>
        <w:rPr>
          <w:rFonts w:hint="eastAsia"/>
          <w:szCs w:val="21"/>
        </w:rPr>
        <w:t>项目编号：</w:t>
      </w:r>
      <w:r>
        <w:rPr>
          <w:rFonts w:hint="eastAsia"/>
          <w:szCs w:val="21"/>
          <w:u w:val="single"/>
        </w:rPr>
        <w:t xml:space="preserve">             </w:t>
      </w:r>
    </w:p>
    <w:p>
      <w:pPr>
        <w:rPr>
          <w:rFonts w:hint="eastAsia"/>
        </w:rPr>
      </w:pPr>
    </w:p>
    <w:p>
      <w:pPr>
        <w:spacing w:line="360" w:lineRule="auto"/>
        <w:rPr>
          <w:b/>
          <w:szCs w:val="21"/>
        </w:rPr>
      </w:pPr>
      <w:r>
        <w:rPr>
          <w:rFonts w:hint="eastAsia"/>
          <w:b/>
          <w:szCs w:val="21"/>
        </w:rPr>
        <w:t>表1：道路保洁</w:t>
      </w:r>
    </w:p>
    <w:tbl>
      <w:tblPr>
        <w:tblStyle w:val="50"/>
        <w:tblW w:w="8991" w:type="dxa"/>
        <w:jc w:val="center"/>
        <w:tblLayout w:type="autofit"/>
        <w:tblCellMar>
          <w:top w:w="0" w:type="dxa"/>
          <w:left w:w="108" w:type="dxa"/>
          <w:bottom w:w="0" w:type="dxa"/>
          <w:right w:w="108" w:type="dxa"/>
        </w:tblCellMar>
      </w:tblPr>
      <w:tblGrid>
        <w:gridCol w:w="722"/>
        <w:gridCol w:w="1048"/>
        <w:gridCol w:w="3932"/>
        <w:gridCol w:w="1442"/>
        <w:gridCol w:w="1847"/>
      </w:tblGrid>
      <w:tr>
        <w:tblPrEx>
          <w:tblCellMar>
            <w:top w:w="0" w:type="dxa"/>
            <w:left w:w="108" w:type="dxa"/>
            <w:bottom w:w="0" w:type="dxa"/>
            <w:right w:w="108" w:type="dxa"/>
          </w:tblCellMar>
        </w:tblPrEx>
        <w:trPr>
          <w:wBefore w:w="0" w:type="dxa"/>
          <w:wAfter w:w="0" w:type="dxa"/>
          <w:trHeight w:val="361" w:hRule="atLeast"/>
          <w:jc w:val="center"/>
        </w:trPr>
        <w:tc>
          <w:tcPr>
            <w:tcW w:w="7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104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保洁等级</w:t>
            </w:r>
          </w:p>
        </w:tc>
        <w:tc>
          <w:tcPr>
            <w:tcW w:w="39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划分条件</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清扫保洁时间 h</w:t>
            </w:r>
          </w:p>
        </w:tc>
        <w:tc>
          <w:tcPr>
            <w:tcW w:w="184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全费用综合单价最高限价（元/平米.年）</w:t>
            </w:r>
          </w:p>
        </w:tc>
      </w:tr>
      <w:tr>
        <w:tblPrEx>
          <w:tblCellMar>
            <w:top w:w="0" w:type="dxa"/>
            <w:left w:w="108" w:type="dxa"/>
            <w:bottom w:w="0" w:type="dxa"/>
            <w:right w:w="108" w:type="dxa"/>
          </w:tblCellMar>
        </w:tblPrEx>
        <w:trPr>
          <w:wBefore w:w="0" w:type="dxa"/>
          <w:wAfter w:w="0" w:type="dxa"/>
          <w:trHeight w:val="444"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4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一级</w:t>
            </w:r>
          </w:p>
        </w:tc>
        <w:tc>
          <w:tcPr>
            <w:tcW w:w="3932"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菜市场</w:t>
            </w:r>
          </w:p>
        </w:tc>
        <w:tc>
          <w:tcPr>
            <w:tcW w:w="1442"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10小时</w:t>
            </w:r>
          </w:p>
        </w:tc>
        <w:tc>
          <w:tcPr>
            <w:tcW w:w="184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45.69 </w:t>
            </w:r>
          </w:p>
        </w:tc>
      </w:tr>
      <w:tr>
        <w:tblPrEx>
          <w:tblCellMar>
            <w:top w:w="0" w:type="dxa"/>
            <w:left w:w="108" w:type="dxa"/>
            <w:bottom w:w="0" w:type="dxa"/>
            <w:right w:w="108" w:type="dxa"/>
          </w:tblCellMar>
        </w:tblPrEx>
        <w:trPr>
          <w:wBefore w:w="0" w:type="dxa"/>
          <w:wAfter w:w="0" w:type="dxa"/>
          <w:trHeight w:val="559"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104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二级</w:t>
            </w:r>
          </w:p>
        </w:tc>
        <w:tc>
          <w:tcPr>
            <w:tcW w:w="3932"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1、商业网点集中，道路旁商业店铺占道路长度不小于70％的繁华闹市地段；  2、平均人流量为100人次/分钟以上和公共交通线路较多的路段。</w:t>
            </w:r>
          </w:p>
        </w:tc>
        <w:tc>
          <w:tcPr>
            <w:tcW w:w="1442"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16小时</w:t>
            </w:r>
          </w:p>
        </w:tc>
        <w:tc>
          <w:tcPr>
            <w:tcW w:w="184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12.18 </w:t>
            </w:r>
          </w:p>
        </w:tc>
      </w:tr>
      <w:tr>
        <w:tblPrEx>
          <w:tblCellMar>
            <w:top w:w="0" w:type="dxa"/>
            <w:left w:w="108" w:type="dxa"/>
            <w:bottom w:w="0" w:type="dxa"/>
            <w:right w:w="108" w:type="dxa"/>
          </w:tblCellMar>
        </w:tblPrEx>
        <w:trPr>
          <w:wBefore w:w="0" w:type="dxa"/>
          <w:wAfter w:w="0" w:type="dxa"/>
          <w:trHeight w:val="605"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04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932"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1、商业网点较集中、占道路长度60～70%的路段；2、平均人流量为50～100人次/分钟的路段；</w:t>
            </w:r>
          </w:p>
        </w:tc>
        <w:tc>
          <w:tcPr>
            <w:tcW w:w="1442"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10小时</w:t>
            </w:r>
          </w:p>
        </w:tc>
        <w:tc>
          <w:tcPr>
            <w:tcW w:w="184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9.75 </w:t>
            </w:r>
          </w:p>
        </w:tc>
      </w:tr>
      <w:tr>
        <w:tblPrEx>
          <w:tblCellMar>
            <w:top w:w="0" w:type="dxa"/>
            <w:left w:w="108" w:type="dxa"/>
            <w:bottom w:w="0" w:type="dxa"/>
            <w:right w:w="108" w:type="dxa"/>
          </w:tblCellMar>
        </w:tblPrEx>
        <w:trPr>
          <w:wBefore w:w="0" w:type="dxa"/>
          <w:wAfter w:w="0" w:type="dxa"/>
          <w:trHeight w:val="576"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04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932" w:type="dxa"/>
            <w:tcBorders>
              <w:top w:val="nil"/>
              <w:left w:val="nil"/>
              <w:bottom w:val="single" w:color="auto" w:sz="4" w:space="0"/>
              <w:right w:val="single" w:color="auto" w:sz="4" w:space="0"/>
            </w:tcBorders>
            <w:noWrap/>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1、商业网点较集中、占道路长度60～70%的路段；2、平均人流量为50～100人次/分钟的路段；3、有固定公共交通线路的路段 4、居民区和单位相间的路段</w:t>
            </w:r>
          </w:p>
        </w:tc>
        <w:tc>
          <w:tcPr>
            <w:tcW w:w="1442"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8小时</w:t>
            </w:r>
          </w:p>
        </w:tc>
        <w:tc>
          <w:tcPr>
            <w:tcW w:w="184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8.12 </w:t>
            </w:r>
          </w:p>
        </w:tc>
      </w:tr>
      <w:tr>
        <w:tblPrEx>
          <w:tblCellMar>
            <w:top w:w="0" w:type="dxa"/>
            <w:left w:w="108" w:type="dxa"/>
            <w:bottom w:w="0" w:type="dxa"/>
            <w:right w:w="108" w:type="dxa"/>
          </w:tblCellMar>
        </w:tblPrEx>
        <w:trPr>
          <w:wBefore w:w="0" w:type="dxa"/>
          <w:wAfter w:w="0" w:type="dxa"/>
          <w:trHeight w:val="689" w:hRule="atLeast"/>
          <w:jc w:val="center"/>
        </w:trPr>
        <w:tc>
          <w:tcPr>
            <w:tcW w:w="7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1048"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三级</w:t>
            </w:r>
          </w:p>
        </w:tc>
        <w:tc>
          <w:tcPr>
            <w:tcW w:w="3932"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1、城市主、次干路及其附近路段；2、机扫道路，上下午各一次来回。</w:t>
            </w:r>
          </w:p>
        </w:tc>
        <w:tc>
          <w:tcPr>
            <w:tcW w:w="1442"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8小时</w:t>
            </w:r>
          </w:p>
        </w:tc>
        <w:tc>
          <w:tcPr>
            <w:tcW w:w="1847" w:type="dxa"/>
            <w:tcBorders>
              <w:top w:val="nil"/>
              <w:left w:val="nil"/>
              <w:bottom w:val="single" w:color="auto" w:sz="4" w:space="0"/>
              <w:right w:val="single" w:color="auto" w:sz="4" w:space="0"/>
            </w:tcBorders>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1.91 </w:t>
            </w:r>
          </w:p>
        </w:tc>
      </w:tr>
    </w:tbl>
    <w:p>
      <w:pPr>
        <w:spacing w:line="400" w:lineRule="exact"/>
        <w:jc w:val="left"/>
        <w:rPr>
          <w:rFonts w:hint="eastAsia" w:cs="宋体"/>
          <w:b/>
          <w:szCs w:val="28"/>
        </w:rPr>
      </w:pPr>
      <w:r>
        <w:rPr>
          <w:rFonts w:hint="eastAsia" w:cs="宋体"/>
          <w:b/>
          <w:szCs w:val="28"/>
        </w:rPr>
        <w:t>表2：公厕保洁</w:t>
      </w:r>
    </w:p>
    <w:tbl>
      <w:tblPr>
        <w:tblStyle w:val="5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799"/>
        <w:gridCol w:w="2475"/>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1262" w:type="dxa"/>
            <w:noWrap/>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2799"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内容</w:t>
            </w:r>
          </w:p>
        </w:tc>
        <w:tc>
          <w:tcPr>
            <w:tcW w:w="2475"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20"/>
                <w:szCs w:val="20"/>
              </w:rPr>
              <w:t>保洁时间 h</w:t>
            </w:r>
          </w:p>
        </w:tc>
        <w:tc>
          <w:tcPr>
            <w:tcW w:w="2548" w:type="dxa"/>
            <w:noWrap/>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全费用综合单价最高限价（元/座.年）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12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79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公厕清理管理</w:t>
            </w:r>
          </w:p>
        </w:tc>
        <w:tc>
          <w:tcPr>
            <w:tcW w:w="2475" w:type="dxa"/>
            <w:noWrap w:val="0"/>
            <w:vAlign w:val="center"/>
          </w:tcPr>
          <w:p>
            <w:pPr>
              <w:widowControl/>
              <w:jc w:val="center"/>
              <w:rPr>
                <w:rFonts w:hint="eastAsia" w:ascii="Times New Roman" w:hAnsi="Times New Roman" w:cs="宋体"/>
                <w:kern w:val="0"/>
                <w:sz w:val="18"/>
                <w:szCs w:val="18"/>
              </w:rPr>
            </w:pPr>
            <w:r>
              <w:rPr>
                <w:rFonts w:hint="eastAsia" w:ascii="Times New Roman" w:hAnsi="Times New Roman" w:cs="宋体"/>
                <w:kern w:val="0"/>
                <w:sz w:val="18"/>
                <w:szCs w:val="18"/>
              </w:rPr>
              <w:t>10小时</w:t>
            </w:r>
          </w:p>
        </w:tc>
        <w:tc>
          <w:tcPr>
            <w:tcW w:w="2548" w:type="dxa"/>
            <w:noWrap/>
            <w:vAlign w:val="center"/>
          </w:tcPr>
          <w:p>
            <w:pPr>
              <w:widowControl/>
              <w:jc w:val="center"/>
              <w:rPr>
                <w:rFonts w:ascii="Times New Roman" w:hAnsi="Times New Roman" w:cs="宋体"/>
                <w:b/>
                <w:kern w:val="0"/>
                <w:sz w:val="18"/>
                <w:szCs w:val="18"/>
              </w:rPr>
            </w:pPr>
            <w:r>
              <w:rPr>
                <w:rFonts w:hint="eastAsia" w:ascii="Times New Roman" w:hAnsi="Times New Roman" w:cs="宋体"/>
                <w:b/>
                <w:kern w:val="0"/>
                <w:sz w:val="18"/>
                <w:szCs w:val="18"/>
              </w:rPr>
              <w:t>23981</w:t>
            </w:r>
          </w:p>
        </w:tc>
      </w:tr>
    </w:tbl>
    <w:p>
      <w:pPr>
        <w:spacing w:line="400" w:lineRule="exact"/>
        <w:jc w:val="left"/>
        <w:rPr>
          <w:rFonts w:hint="eastAsia" w:cs="宋体"/>
          <w:b/>
          <w:szCs w:val="28"/>
        </w:rPr>
      </w:pPr>
      <w:r>
        <w:rPr>
          <w:rFonts w:hint="eastAsia" w:cs="宋体"/>
          <w:b/>
          <w:szCs w:val="28"/>
        </w:rPr>
        <w:t>表3：公园绿地养护</w:t>
      </w:r>
    </w:p>
    <w:tbl>
      <w:tblPr>
        <w:tblStyle w:val="5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051"/>
        <w:gridCol w:w="2316"/>
        <w:gridCol w:w="1993"/>
        <w:gridCol w:w="1389"/>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jc w:val="center"/>
        </w:trPr>
        <w:tc>
          <w:tcPr>
            <w:tcW w:w="1051"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2316" w:type="dxa"/>
            <w:shd w:val="clear" w:color="auto" w:fill="FFFFFF"/>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993" w:type="dxa"/>
            <w:shd w:val="clear" w:color="auto" w:fill="FFFFFF"/>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w:t>
            </w:r>
          </w:p>
        </w:tc>
        <w:tc>
          <w:tcPr>
            <w:tcW w:w="1389" w:type="dxa"/>
            <w:shd w:val="clear" w:color="auto" w:fill="FFFFFF"/>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公园养护等级</w:t>
            </w:r>
          </w:p>
        </w:tc>
        <w:tc>
          <w:tcPr>
            <w:tcW w:w="2542" w:type="dxa"/>
            <w:shd w:val="clear" w:color="auto" w:fill="FFFFFF"/>
            <w:noWrap w:val="0"/>
            <w:vAlign w:val="center"/>
          </w:tcPr>
          <w:p>
            <w:pPr>
              <w:jc w:val="center"/>
              <w:rPr>
                <w:rFonts w:hint="eastAsia"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161"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广场保洁（步行道、广场等）</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4.17</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3</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水生植物养护</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6.7</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4</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沿河绿化（绿化带）</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5</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草坪（绿化带）</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6</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w:t>
            </w:r>
            <w:r>
              <w:rPr>
                <w:rFonts w:hint="eastAsia" w:ascii="Times New Roman" w:hAnsi="Times New Roman" w:cs="宋体"/>
                <w:kern w:val="0"/>
                <w:sz w:val="18"/>
                <w:szCs w:val="18"/>
              </w:rPr>
              <w:t>草坪</w:t>
            </w:r>
            <w:r>
              <w:rPr>
                <w:rFonts w:hint="eastAsia" w:ascii="Times New Roman" w:hAnsi="Times New Roman" w:cs="宋体"/>
                <w:bCs/>
                <w:kern w:val="0"/>
                <w:sz w:val="18"/>
                <w:szCs w:val="18"/>
              </w:rPr>
              <w:t>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jc w:val="center"/>
        </w:trPr>
        <w:tc>
          <w:tcPr>
            <w:tcW w:w="1051" w:type="dxa"/>
            <w:shd w:val="clear" w:color="auto" w:fill="FFFFFF"/>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7</w:t>
            </w:r>
          </w:p>
        </w:tc>
        <w:tc>
          <w:tcPr>
            <w:tcW w:w="2316"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花坛</w:t>
            </w:r>
          </w:p>
        </w:tc>
        <w:tc>
          <w:tcPr>
            <w:tcW w:w="1993"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389" w:type="dxa"/>
            <w:shd w:val="clear" w:color="auto" w:fill="FFFFFF"/>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2542" w:type="dxa"/>
            <w:shd w:val="clear" w:color="auto" w:fill="FFFFFF"/>
            <w:noWrap w:val="0"/>
            <w:vAlign w:val="center"/>
          </w:tcPr>
          <w:p>
            <w:pPr>
              <w:widowControl/>
              <w:jc w:val="center"/>
              <w:rPr>
                <w:rFonts w:hint="eastAsia" w:ascii="Times New Roman" w:hAnsi="Times New Roman" w:cs="宋体"/>
                <w:bCs/>
                <w:kern w:val="0"/>
                <w:sz w:val="18"/>
                <w:szCs w:val="18"/>
              </w:rPr>
            </w:pPr>
            <w:r>
              <w:rPr>
                <w:rFonts w:hint="eastAsia" w:ascii="Times New Roman" w:hAnsi="Times New Roman" w:cs="宋体"/>
                <w:bCs/>
                <w:kern w:val="0"/>
                <w:sz w:val="18"/>
                <w:szCs w:val="18"/>
              </w:rPr>
              <w:t>包含乔木、灌木等养护</w:t>
            </w:r>
          </w:p>
        </w:tc>
      </w:tr>
    </w:tbl>
    <w:p>
      <w:pPr>
        <w:spacing w:line="400" w:lineRule="exact"/>
        <w:jc w:val="left"/>
        <w:rPr>
          <w:rFonts w:hint="eastAsia" w:cs="宋体"/>
          <w:b/>
          <w:szCs w:val="28"/>
        </w:rPr>
      </w:pPr>
      <w:r>
        <w:rPr>
          <w:rFonts w:hint="eastAsia" w:cs="宋体"/>
          <w:b/>
          <w:szCs w:val="28"/>
        </w:rPr>
        <w:t>表4：行道树及绿地养护</w:t>
      </w:r>
    </w:p>
    <w:tbl>
      <w:tblPr>
        <w:tblStyle w:val="5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725"/>
        <w:gridCol w:w="1994"/>
        <w:gridCol w:w="1275"/>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1" w:hRule="atLeast"/>
          <w:jc w:val="center"/>
        </w:trPr>
        <w:tc>
          <w:tcPr>
            <w:tcW w:w="836"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1725"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1994"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全费用综合单价最高限价（元/平米.年）、（元/株.年）</w:t>
            </w:r>
          </w:p>
        </w:tc>
        <w:tc>
          <w:tcPr>
            <w:tcW w:w="1275"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绿地等级</w:t>
            </w:r>
          </w:p>
        </w:tc>
        <w:tc>
          <w:tcPr>
            <w:tcW w:w="3220"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1</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灌木养护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5.85</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rPr>
                <w:rFonts w:ascii="Times New Roman" w:hAnsi="Times New Roman" w:cs="宋体"/>
                <w:kern w:val="0"/>
                <w:sz w:val="18"/>
                <w:szCs w:val="18"/>
              </w:rPr>
            </w:pPr>
            <w:r>
              <w:rPr>
                <w:rFonts w:hint="eastAsia" w:ascii="Times New Roman" w:hAnsi="Times New Roman" w:cs="宋体"/>
                <w:kern w:val="0"/>
                <w:sz w:val="18"/>
                <w:szCs w:val="18"/>
              </w:rPr>
              <w:t>包含零星乔木和草坪养护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2</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21.51</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胸径D10CM以内，行道树每6米一株乔木考虑（包含地面花木养护）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3</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草坪养护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6.91</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包含零星乔木和灌木养护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jc w:val="center"/>
        </w:trPr>
        <w:tc>
          <w:tcPr>
            <w:tcW w:w="836" w:type="dxa"/>
            <w:noWrap w:val="0"/>
            <w:vAlign w:val="center"/>
          </w:tcPr>
          <w:p>
            <w:pPr>
              <w:widowControl/>
              <w:jc w:val="center"/>
              <w:rPr>
                <w:rFonts w:ascii="Times New Roman" w:hAnsi="Times New Roman" w:cs="宋体"/>
                <w:kern w:val="0"/>
                <w:sz w:val="18"/>
                <w:szCs w:val="18"/>
              </w:rPr>
            </w:pPr>
            <w:r>
              <w:rPr>
                <w:rFonts w:ascii="Times New Roman" w:hAnsi="Times New Roman" w:cs="宋体"/>
                <w:kern w:val="0"/>
                <w:sz w:val="18"/>
                <w:szCs w:val="18"/>
              </w:rPr>
              <w:t>4</w:t>
            </w:r>
          </w:p>
        </w:tc>
        <w:tc>
          <w:tcPr>
            <w:tcW w:w="17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乔木养护</w:t>
            </w:r>
          </w:p>
        </w:tc>
        <w:tc>
          <w:tcPr>
            <w:tcW w:w="199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39.12</w:t>
            </w:r>
          </w:p>
        </w:tc>
        <w:tc>
          <w:tcPr>
            <w:tcW w:w="127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二级</w:t>
            </w:r>
          </w:p>
        </w:tc>
        <w:tc>
          <w:tcPr>
            <w:tcW w:w="3220" w:type="dxa"/>
            <w:noWrap w:val="0"/>
            <w:vAlign w:val="center"/>
          </w:tcPr>
          <w:p>
            <w:pPr>
              <w:widowControl/>
              <w:jc w:val="left"/>
              <w:rPr>
                <w:rFonts w:hint="eastAsia" w:ascii="Times New Roman" w:hAnsi="Times New Roman" w:cs="宋体"/>
                <w:kern w:val="0"/>
                <w:sz w:val="18"/>
                <w:szCs w:val="18"/>
              </w:rPr>
            </w:pPr>
            <w:r>
              <w:rPr>
                <w:rFonts w:hint="eastAsia" w:ascii="Times New Roman" w:hAnsi="Times New Roman" w:cs="宋体"/>
                <w:kern w:val="0"/>
                <w:sz w:val="18"/>
                <w:szCs w:val="18"/>
              </w:rPr>
              <w:t>胸径D20CM以内，行道树每6米一株乔木考虑（包含地面花木养护）</w:t>
            </w:r>
          </w:p>
        </w:tc>
      </w:tr>
    </w:tbl>
    <w:p>
      <w:pPr>
        <w:spacing w:line="400" w:lineRule="exact"/>
        <w:jc w:val="left"/>
        <w:rPr>
          <w:rFonts w:hint="eastAsia" w:cs="宋体"/>
          <w:b/>
          <w:szCs w:val="28"/>
        </w:rPr>
      </w:pPr>
    </w:p>
    <w:p>
      <w:pPr>
        <w:spacing w:line="400" w:lineRule="exact"/>
        <w:jc w:val="left"/>
        <w:rPr>
          <w:rFonts w:hint="eastAsia" w:cs="宋体"/>
          <w:b/>
          <w:szCs w:val="28"/>
        </w:rPr>
      </w:pPr>
    </w:p>
    <w:p>
      <w:pPr>
        <w:spacing w:line="400" w:lineRule="exact"/>
        <w:jc w:val="left"/>
        <w:rPr>
          <w:rFonts w:hint="eastAsia" w:cs="宋体"/>
          <w:b/>
          <w:szCs w:val="28"/>
        </w:rPr>
      </w:pPr>
      <w:r>
        <w:rPr>
          <w:rFonts w:hint="eastAsia" w:cs="宋体"/>
          <w:b/>
          <w:szCs w:val="28"/>
        </w:rPr>
        <w:t>表5：</w:t>
      </w:r>
    </w:p>
    <w:tbl>
      <w:tblPr>
        <w:tblStyle w:val="5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974"/>
        <w:gridCol w:w="290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1209"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序号</w:t>
            </w:r>
          </w:p>
        </w:tc>
        <w:tc>
          <w:tcPr>
            <w:tcW w:w="2974" w:type="dxa"/>
            <w:noWrap w:val="0"/>
            <w:vAlign w:val="center"/>
          </w:tcPr>
          <w:p>
            <w:pPr>
              <w:widowControl/>
              <w:jc w:val="center"/>
              <w:rPr>
                <w:rFonts w:ascii="Times New Roman" w:hAnsi="Times New Roman" w:cs="宋体"/>
                <w:b/>
                <w:bCs/>
                <w:kern w:val="0"/>
                <w:sz w:val="18"/>
                <w:szCs w:val="18"/>
              </w:rPr>
            </w:pPr>
            <w:r>
              <w:rPr>
                <w:rFonts w:hint="eastAsia" w:ascii="Times New Roman" w:hAnsi="Times New Roman" w:cs="宋体"/>
                <w:b/>
                <w:bCs/>
                <w:kern w:val="0"/>
                <w:sz w:val="18"/>
                <w:szCs w:val="18"/>
              </w:rPr>
              <w:t>绿化养护类别</w:t>
            </w:r>
          </w:p>
        </w:tc>
        <w:tc>
          <w:tcPr>
            <w:tcW w:w="2902"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全费用综合单价最高限价（元/平米.年）</w:t>
            </w:r>
          </w:p>
        </w:tc>
        <w:tc>
          <w:tcPr>
            <w:tcW w:w="1823" w:type="dxa"/>
            <w:noWrap w:val="0"/>
            <w:vAlign w:val="center"/>
          </w:tcPr>
          <w:p>
            <w:pPr>
              <w:jc w:val="center"/>
              <w:rPr>
                <w:rFonts w:ascii="Times New Roman" w:hAnsi="Times New Roman" w:cs="宋体"/>
                <w:b/>
                <w:bCs/>
                <w:kern w:val="0"/>
                <w:sz w:val="18"/>
                <w:szCs w:val="18"/>
              </w:rPr>
            </w:pPr>
            <w:r>
              <w:rPr>
                <w:rFonts w:hint="eastAsia" w:ascii="Times New Roman" w:hAnsi="Times New Roman" w:cs="宋体"/>
                <w:b/>
                <w:bCs/>
                <w:kern w:val="0"/>
                <w:sz w:val="18"/>
                <w:szCs w:val="18"/>
              </w:rPr>
              <w:t>专项巡视绿地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1209"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2974"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绿地专项巡视（包含水面）</w:t>
            </w:r>
          </w:p>
        </w:tc>
        <w:tc>
          <w:tcPr>
            <w:tcW w:w="290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1.47</w:t>
            </w:r>
          </w:p>
        </w:tc>
        <w:tc>
          <w:tcPr>
            <w:tcW w:w="1823"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b/>
                <w:bCs/>
                <w:kern w:val="0"/>
                <w:sz w:val="18"/>
                <w:szCs w:val="18"/>
              </w:rPr>
              <w:t>一、二类</w:t>
            </w:r>
          </w:p>
        </w:tc>
      </w:tr>
    </w:tbl>
    <w:p>
      <w:pPr>
        <w:spacing w:line="400" w:lineRule="exact"/>
        <w:jc w:val="left"/>
        <w:rPr>
          <w:rFonts w:cs="宋体"/>
          <w:b/>
          <w:szCs w:val="28"/>
        </w:rPr>
      </w:pPr>
    </w:p>
    <w:p>
      <w:pPr>
        <w:spacing w:line="400" w:lineRule="exact"/>
        <w:contextualSpacing/>
        <w:rPr>
          <w:rFonts w:hint="eastAsia" w:cs="宋体"/>
          <w:b/>
          <w:szCs w:val="28"/>
        </w:rPr>
      </w:pPr>
      <w:r>
        <w:rPr>
          <w:rFonts w:hint="eastAsia" w:cs="宋体"/>
          <w:b/>
          <w:szCs w:val="28"/>
        </w:rPr>
        <w:t>注：（1）以上表1~</w:t>
      </w:r>
      <w:r>
        <w:rPr>
          <w:rFonts w:cs="宋体"/>
          <w:b/>
          <w:szCs w:val="28"/>
        </w:rPr>
        <w:t>5</w:t>
      </w:r>
      <w:r>
        <w:rPr>
          <w:rFonts w:hint="eastAsia" w:cs="宋体"/>
          <w:b/>
          <w:szCs w:val="28"/>
        </w:rPr>
        <w:t>内容投标人不得变动。</w:t>
      </w:r>
    </w:p>
    <w:p>
      <w:pPr>
        <w:spacing w:line="400" w:lineRule="exact"/>
        <w:ind w:firstLine="422" w:firstLineChars="200"/>
        <w:contextualSpacing/>
        <w:rPr>
          <w:rFonts w:cs="宋体"/>
          <w:b/>
          <w:szCs w:val="28"/>
        </w:rPr>
      </w:pPr>
      <w:r>
        <w:rPr>
          <w:rFonts w:hint="eastAsia" w:cs="宋体"/>
          <w:b/>
          <w:szCs w:val="28"/>
        </w:rPr>
        <w:t>（2）投标人承诺：</w:t>
      </w:r>
    </w:p>
    <w:p>
      <w:pPr>
        <w:spacing w:line="400" w:lineRule="exact"/>
        <w:ind w:firstLine="422" w:firstLineChars="200"/>
        <w:contextualSpacing/>
        <w:rPr>
          <w:rFonts w:hint="eastAsia"/>
          <w:b/>
          <w:szCs w:val="21"/>
        </w:rPr>
      </w:pPr>
      <w:r>
        <w:rPr>
          <w:rFonts w:hint="eastAsia" w:cs="宋体"/>
          <w:b/>
          <w:szCs w:val="28"/>
        </w:rPr>
        <w:t>合同期内，</w:t>
      </w:r>
      <w:r>
        <w:rPr>
          <w:rFonts w:hint="eastAsia"/>
          <w:b/>
          <w:szCs w:val="21"/>
        </w:rPr>
        <w:t>若发生服务量增加或减少，原则上由采购人统一调配并以签证认可的联系单为准，产生的费用计入发生期间所对应的月份中。</w:t>
      </w:r>
    </w:p>
    <w:p>
      <w:pPr>
        <w:spacing w:line="400" w:lineRule="exact"/>
        <w:ind w:firstLine="405"/>
        <w:contextualSpacing/>
        <w:rPr>
          <w:rFonts w:hint="eastAsia"/>
          <w:szCs w:val="21"/>
        </w:rPr>
      </w:pPr>
      <w:r>
        <w:rPr>
          <w:rFonts w:hint="eastAsia"/>
          <w:szCs w:val="21"/>
        </w:rPr>
        <w:t>服务量调整变更联系单结算方式如下：</w:t>
      </w:r>
    </w:p>
    <w:p>
      <w:pPr>
        <w:spacing w:line="400" w:lineRule="exact"/>
        <w:ind w:firstLine="420" w:firstLineChars="200"/>
        <w:contextualSpacing/>
        <w:rPr>
          <w:rFonts w:cs="黑体"/>
          <w:szCs w:val="21"/>
        </w:rPr>
      </w:pPr>
      <w:r>
        <w:rPr>
          <w:rFonts w:hint="eastAsia"/>
          <w:szCs w:val="21"/>
        </w:rPr>
        <w:t>增加或减少结算金额=∑《采购人可调整变更内容清单》（见上表1~</w:t>
      </w:r>
      <w:r>
        <w:rPr>
          <w:szCs w:val="21"/>
        </w:rPr>
        <w:t>5</w:t>
      </w:r>
      <w:r>
        <w:rPr>
          <w:rFonts w:hint="eastAsia"/>
          <w:szCs w:val="21"/>
        </w:rPr>
        <w:t>）内各项内容对应最高限价</w:t>
      </w:r>
      <w:r>
        <w:rPr>
          <w:rFonts w:hint="eastAsia" w:cs="黑体"/>
          <w:szCs w:val="21"/>
        </w:rPr>
        <w:t>×（1+中标浮动率）×对应新增或减少</w:t>
      </w:r>
      <w:r>
        <w:rPr>
          <w:rFonts w:hint="eastAsia"/>
          <w:szCs w:val="21"/>
        </w:rPr>
        <w:t>服务量</w:t>
      </w:r>
      <w:r>
        <w:rPr>
          <w:rFonts w:hint="eastAsia" w:cs="黑体"/>
          <w:szCs w:val="21"/>
        </w:rPr>
        <w:t>；</w:t>
      </w:r>
    </w:p>
    <w:p>
      <w:pPr>
        <w:spacing w:line="400" w:lineRule="exact"/>
        <w:ind w:firstLine="420" w:firstLineChars="200"/>
        <w:contextualSpacing/>
        <w:rPr>
          <w:rFonts w:hint="eastAsia" w:cs="黑体"/>
          <w:szCs w:val="21"/>
        </w:rPr>
      </w:pPr>
      <w:r>
        <w:rPr>
          <w:rFonts w:hint="eastAsia" w:cs="黑体"/>
          <w:szCs w:val="21"/>
        </w:rPr>
        <w:t>中标浮动率=年度投标总价/年度最高限价-</w:t>
      </w:r>
      <w:r>
        <w:rPr>
          <w:rFonts w:cs="黑体"/>
          <w:szCs w:val="21"/>
        </w:rPr>
        <w:t>1</w:t>
      </w:r>
    </w:p>
    <w:p>
      <w:pPr>
        <w:spacing w:line="400" w:lineRule="exact"/>
        <w:ind w:firstLine="420" w:firstLineChars="200"/>
        <w:jc w:val="left"/>
        <w:rPr>
          <w:b/>
          <w:szCs w:val="21"/>
        </w:rPr>
      </w:pPr>
      <w:r>
        <w:rPr>
          <w:rFonts w:hint="eastAsia" w:cs="黑体"/>
          <w:szCs w:val="21"/>
        </w:rPr>
        <w:t>注：服务范围内，</w:t>
      </w:r>
      <w:r>
        <w:rPr>
          <w:rFonts w:hint="eastAsia"/>
          <w:szCs w:val="21"/>
        </w:rPr>
        <w:t>《采购人可调整变更内容清单》以外增加或减少的服务量，采购人不另行结算，包含在年度合同金额内。</w:t>
      </w:r>
    </w:p>
    <w:p>
      <w:pPr>
        <w:spacing w:line="400" w:lineRule="exact"/>
        <w:ind w:firstLine="422" w:firstLineChars="200"/>
        <w:jc w:val="left"/>
        <w:rPr>
          <w:b/>
          <w:szCs w:val="21"/>
        </w:rPr>
      </w:pPr>
    </w:p>
    <w:p>
      <w:pPr>
        <w:spacing w:line="360" w:lineRule="auto"/>
        <w:contextualSpacing/>
        <w:outlineLvl w:val="1"/>
        <w:rPr>
          <w:rFonts w:hint="eastAsia"/>
          <w:sz w:val="24"/>
          <w:szCs w:val="24"/>
        </w:rPr>
      </w:pPr>
      <w:r>
        <w:rPr>
          <w:rFonts w:hint="eastAsia"/>
          <w:sz w:val="24"/>
          <w:szCs w:val="24"/>
        </w:rPr>
        <w:t>投标人（盖章）：</w:t>
      </w:r>
    </w:p>
    <w:p>
      <w:pPr>
        <w:spacing w:line="360" w:lineRule="auto"/>
        <w:contextualSpacing/>
        <w:outlineLvl w:val="1"/>
        <w:rPr>
          <w:rFonts w:hint="eastAsia"/>
          <w:sz w:val="24"/>
          <w:szCs w:val="24"/>
        </w:rPr>
      </w:pPr>
      <w:r>
        <w:rPr>
          <w:rFonts w:hint="eastAsia"/>
          <w:sz w:val="24"/>
          <w:szCs w:val="24"/>
        </w:rPr>
        <w:t>法定代表人或授权代表人（签字或盖章）：</w:t>
      </w:r>
    </w:p>
    <w:p>
      <w:pPr>
        <w:spacing w:line="360" w:lineRule="auto"/>
        <w:contextualSpacing/>
        <w:outlineLvl w:val="1"/>
        <w:rPr>
          <w:sz w:val="24"/>
          <w:szCs w:val="24"/>
        </w:rPr>
      </w:pPr>
      <w:r>
        <w:rPr>
          <w:rFonts w:hint="eastAsia"/>
          <w:sz w:val="24"/>
          <w:szCs w:val="24"/>
        </w:rPr>
        <w:t>日期：</w:t>
      </w:r>
    </w:p>
    <w:p>
      <w:pPr>
        <w:spacing w:line="360" w:lineRule="auto"/>
        <w:ind w:left="360"/>
        <w:jc w:val="right"/>
        <w:rPr>
          <w:szCs w:val="21"/>
        </w:rPr>
        <w:sectPr>
          <w:pgSz w:w="11907" w:h="16840"/>
          <w:pgMar w:top="1134" w:right="1418" w:bottom="1134" w:left="1418" w:header="851" w:footer="992" w:gutter="0"/>
          <w:cols w:space="720" w:num="1"/>
          <w:docGrid w:linePitch="602" w:charSpace="-1675"/>
        </w:sectPr>
      </w:pPr>
    </w:p>
    <w:p>
      <w:pPr>
        <w:pStyle w:val="3"/>
        <w:spacing w:before="0" w:after="0" w:line="240" w:lineRule="auto"/>
        <w:ind w:right="-567"/>
        <w:jc w:val="left"/>
        <w:rPr>
          <w:rFonts w:hint="eastAsia" w:ascii="Times New Roman" w:hAnsi="Times New Roman" w:eastAsia="宋体"/>
          <w:b w:val="0"/>
          <w:sz w:val="18"/>
          <w:szCs w:val="18"/>
        </w:rPr>
      </w:pPr>
      <w:r>
        <w:rPr>
          <w:rFonts w:hint="eastAsia" w:ascii="Times New Roman" w:hAnsi="Times New Roman" w:eastAsia="宋体"/>
          <w:b w:val="0"/>
          <w:sz w:val="18"/>
          <w:szCs w:val="18"/>
        </w:rPr>
        <w:t>格式四 资格条件审查表</w:t>
      </w:r>
    </w:p>
    <w:p>
      <w:pPr>
        <w:pStyle w:val="19"/>
        <w:ind w:firstLine="0"/>
        <w:jc w:val="center"/>
        <w:rPr>
          <w:rFonts w:hint="eastAsia" w:eastAsia="宋体"/>
          <w:szCs w:val="24"/>
        </w:rPr>
      </w:pPr>
    </w:p>
    <w:bookmarkEnd w:id="75"/>
    <w:p>
      <w:pPr>
        <w:pStyle w:val="19"/>
        <w:ind w:firstLine="0"/>
        <w:jc w:val="center"/>
        <w:rPr>
          <w:rFonts w:hint="eastAsia" w:eastAsia="宋体"/>
          <w:szCs w:val="24"/>
        </w:rPr>
      </w:pPr>
    </w:p>
    <w:p>
      <w:pPr>
        <w:adjustRightInd w:val="0"/>
        <w:spacing w:line="360" w:lineRule="auto"/>
        <w:jc w:val="center"/>
        <w:rPr>
          <w:rFonts w:hint="eastAsia" w:cs="宋体"/>
          <w:b/>
          <w:sz w:val="24"/>
        </w:rPr>
      </w:pPr>
      <w:r>
        <w:rPr>
          <w:rFonts w:hint="eastAsia" w:cs="宋体"/>
          <w:b/>
          <w:sz w:val="24"/>
        </w:rPr>
        <w:t>资格条件自查表</w:t>
      </w:r>
    </w:p>
    <w:tbl>
      <w:tblPr>
        <w:tblStyle w:val="50"/>
        <w:tblW w:w="98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113"/>
        <w:gridCol w:w="1327"/>
        <w:gridCol w:w="2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3" w:hRule="atLeast"/>
          <w:tblHeader/>
          <w:jc w:val="center"/>
        </w:trPr>
        <w:tc>
          <w:tcPr>
            <w:tcW w:w="811" w:type="dxa"/>
            <w:noWrap w:val="0"/>
            <w:vAlign w:val="center"/>
          </w:tcPr>
          <w:p>
            <w:pPr>
              <w:widowControl/>
              <w:adjustRightInd w:val="0"/>
              <w:spacing w:line="300" w:lineRule="exact"/>
              <w:contextualSpacing/>
              <w:jc w:val="center"/>
              <w:rPr>
                <w:rFonts w:hint="eastAsia" w:ascii="Times New Roman" w:hAnsi="Times New Roman" w:cs="宋体"/>
                <w:b/>
                <w:sz w:val="24"/>
              </w:rPr>
            </w:pPr>
            <w:r>
              <w:rPr>
                <w:rStyle w:val="53"/>
                <w:rFonts w:hint="eastAsia" w:ascii="Times New Roman" w:hAnsi="Times New Roman" w:cs="宋体"/>
                <w:szCs w:val="21"/>
              </w:rPr>
              <w:t>评审内容</w:t>
            </w:r>
          </w:p>
        </w:tc>
        <w:tc>
          <w:tcPr>
            <w:tcW w:w="5113" w:type="dxa"/>
            <w:noWrap w:val="0"/>
            <w:vAlign w:val="center"/>
          </w:tcPr>
          <w:p>
            <w:pPr>
              <w:widowControl/>
              <w:adjustRightInd w:val="0"/>
              <w:spacing w:line="300" w:lineRule="exact"/>
              <w:contextualSpacing/>
              <w:jc w:val="center"/>
              <w:rPr>
                <w:rFonts w:hint="eastAsia" w:ascii="Times New Roman" w:hAnsi="Times New Roman" w:cs="宋体"/>
                <w:b/>
                <w:sz w:val="24"/>
              </w:rPr>
            </w:pPr>
            <w:r>
              <w:rPr>
                <w:rStyle w:val="53"/>
                <w:rFonts w:hint="eastAsia" w:ascii="Times New Roman" w:hAnsi="Times New Roman" w:cs="宋体"/>
                <w:szCs w:val="21"/>
              </w:rPr>
              <w:t>招标文件要求</w:t>
            </w:r>
          </w:p>
        </w:tc>
        <w:tc>
          <w:tcPr>
            <w:tcW w:w="1327" w:type="dxa"/>
            <w:noWrap w:val="0"/>
            <w:vAlign w:val="center"/>
          </w:tcPr>
          <w:p>
            <w:pPr>
              <w:widowControl/>
              <w:adjustRightInd w:val="0"/>
              <w:spacing w:line="300" w:lineRule="exact"/>
              <w:contextualSpacing/>
              <w:jc w:val="center"/>
              <w:rPr>
                <w:rFonts w:hint="eastAsia" w:ascii="Times New Roman" w:hAnsi="Times New Roman" w:cs="宋体"/>
                <w:b/>
                <w:sz w:val="24"/>
              </w:rPr>
            </w:pPr>
            <w:r>
              <w:rPr>
                <w:rStyle w:val="53"/>
                <w:rFonts w:hint="eastAsia" w:ascii="Times New Roman" w:hAnsi="Times New Roman" w:cs="宋体"/>
                <w:szCs w:val="21"/>
              </w:rPr>
              <w:t>自查结论</w:t>
            </w:r>
          </w:p>
        </w:tc>
        <w:tc>
          <w:tcPr>
            <w:tcW w:w="2588" w:type="dxa"/>
            <w:noWrap w:val="0"/>
            <w:vAlign w:val="center"/>
          </w:tcPr>
          <w:p>
            <w:pPr>
              <w:widowControl/>
              <w:adjustRightInd w:val="0"/>
              <w:spacing w:line="300" w:lineRule="exact"/>
              <w:contextualSpacing/>
              <w:jc w:val="center"/>
              <w:rPr>
                <w:rFonts w:hint="eastAsia" w:ascii="Times New Roman" w:hAnsi="Times New Roman" w:cs="宋体"/>
                <w:b/>
                <w:sz w:val="24"/>
              </w:rPr>
            </w:pPr>
            <w:r>
              <w:rPr>
                <w:rStyle w:val="53"/>
                <w:rFonts w:hint="eastAsia" w:ascii="Times New Roman" w:hAnsi="Times New Roman" w:cs="宋体"/>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atLeast"/>
          <w:jc w:val="center"/>
        </w:trPr>
        <w:tc>
          <w:tcPr>
            <w:tcW w:w="811" w:type="dxa"/>
            <w:vMerge w:val="restart"/>
            <w:noWrap w:val="0"/>
            <w:vAlign w:val="center"/>
          </w:tcPr>
          <w:p>
            <w:pPr>
              <w:pStyle w:val="252"/>
              <w:adjustRightInd w:val="0"/>
              <w:spacing w:before="0" w:beforeAutospacing="0" w:after="0" w:afterAutospacing="0" w:line="300" w:lineRule="exact"/>
              <w:contextualSpacing/>
              <w:jc w:val="center"/>
              <w:rPr>
                <w:rFonts w:hint="eastAsia" w:ascii="Times New Roman" w:hAnsi="Times New Roman" w:cs="宋体"/>
                <w:b/>
                <w:kern w:val="2"/>
                <w:sz w:val="21"/>
                <w:szCs w:val="21"/>
              </w:rPr>
            </w:pPr>
            <w:r>
              <w:rPr>
                <w:rFonts w:hint="eastAsia" w:ascii="Times New Roman" w:hAnsi="Times New Roman" w:cs="宋体"/>
                <w:b/>
                <w:kern w:val="2"/>
                <w:sz w:val="21"/>
                <w:szCs w:val="21"/>
              </w:rPr>
              <w:t>资</w:t>
            </w:r>
          </w:p>
          <w:p>
            <w:pPr>
              <w:pStyle w:val="252"/>
              <w:adjustRightInd w:val="0"/>
              <w:spacing w:before="0" w:beforeAutospacing="0" w:after="0" w:afterAutospacing="0" w:line="300" w:lineRule="exact"/>
              <w:contextualSpacing/>
              <w:jc w:val="center"/>
              <w:rPr>
                <w:rFonts w:hint="eastAsia" w:ascii="Times New Roman" w:hAnsi="Times New Roman" w:cs="宋体"/>
                <w:b/>
                <w:kern w:val="2"/>
                <w:sz w:val="21"/>
                <w:szCs w:val="21"/>
              </w:rPr>
            </w:pPr>
            <w:r>
              <w:rPr>
                <w:rFonts w:hint="eastAsia" w:ascii="Times New Roman" w:hAnsi="Times New Roman" w:cs="宋体"/>
                <w:b/>
                <w:kern w:val="2"/>
                <w:sz w:val="21"/>
                <w:szCs w:val="21"/>
              </w:rPr>
              <w:t>格</w:t>
            </w:r>
          </w:p>
          <w:p>
            <w:pPr>
              <w:pStyle w:val="252"/>
              <w:adjustRightInd w:val="0"/>
              <w:spacing w:before="0" w:beforeAutospacing="0" w:after="0" w:afterAutospacing="0" w:line="300" w:lineRule="exact"/>
              <w:contextualSpacing/>
              <w:jc w:val="center"/>
              <w:rPr>
                <w:rFonts w:hint="eastAsia" w:ascii="Times New Roman" w:hAnsi="Times New Roman" w:cs="宋体"/>
                <w:b/>
                <w:kern w:val="2"/>
                <w:sz w:val="21"/>
                <w:szCs w:val="21"/>
              </w:rPr>
            </w:pPr>
            <w:r>
              <w:rPr>
                <w:rFonts w:hint="eastAsia" w:ascii="Times New Roman" w:hAnsi="Times New Roman" w:cs="宋体"/>
                <w:b/>
                <w:kern w:val="2"/>
                <w:sz w:val="21"/>
                <w:szCs w:val="21"/>
              </w:rPr>
              <w:t>性</w:t>
            </w:r>
          </w:p>
          <w:p>
            <w:pPr>
              <w:pStyle w:val="252"/>
              <w:adjustRightInd w:val="0"/>
              <w:spacing w:before="0" w:beforeAutospacing="0" w:after="0" w:afterAutospacing="0" w:line="300" w:lineRule="exact"/>
              <w:contextualSpacing/>
              <w:jc w:val="center"/>
              <w:rPr>
                <w:rFonts w:hint="eastAsia" w:ascii="Times New Roman" w:hAnsi="Times New Roman" w:cs="宋体"/>
                <w:b/>
                <w:kern w:val="2"/>
                <w:sz w:val="21"/>
                <w:szCs w:val="21"/>
              </w:rPr>
            </w:pPr>
            <w:r>
              <w:rPr>
                <w:rFonts w:hint="eastAsia" w:ascii="Times New Roman" w:hAnsi="Times New Roman" w:cs="宋体"/>
                <w:b/>
                <w:kern w:val="2"/>
                <w:sz w:val="21"/>
                <w:szCs w:val="21"/>
              </w:rPr>
              <w:t>审</w:t>
            </w:r>
          </w:p>
          <w:p>
            <w:pPr>
              <w:widowControl/>
              <w:adjustRightInd w:val="0"/>
              <w:spacing w:line="300" w:lineRule="exact"/>
              <w:contextualSpacing/>
              <w:jc w:val="center"/>
              <w:rPr>
                <w:rFonts w:hint="eastAsia" w:ascii="Times New Roman" w:hAnsi="Times New Roman" w:cs="宋体"/>
                <w:b/>
                <w:sz w:val="24"/>
              </w:rPr>
            </w:pPr>
            <w:r>
              <w:rPr>
                <w:rFonts w:hint="eastAsia" w:ascii="Times New Roman" w:hAnsi="Times New Roman" w:cs="宋体"/>
                <w:b/>
                <w:szCs w:val="21"/>
              </w:rPr>
              <w:t>查</w:t>
            </w:r>
          </w:p>
        </w:tc>
        <w:tc>
          <w:tcPr>
            <w:tcW w:w="5113" w:type="dxa"/>
            <w:noWrap w:val="0"/>
            <w:vAlign w:val="center"/>
          </w:tcPr>
          <w:p>
            <w:pPr>
              <w:widowControl/>
              <w:adjustRightInd w:val="0"/>
              <w:spacing w:line="300" w:lineRule="exact"/>
              <w:contextualSpacing/>
              <w:rPr>
                <w:rFonts w:hint="eastAsia" w:ascii="Times New Roman" w:hAnsi="Times New Roman" w:cs="宋体"/>
                <w:b/>
                <w:sz w:val="24"/>
              </w:rPr>
            </w:pPr>
            <w:r>
              <w:rPr>
                <w:rFonts w:hint="eastAsia" w:ascii="Times New Roman" w:hAnsi="Times New Roman" w:cs="宋体"/>
                <w:szCs w:val="21"/>
              </w:rPr>
              <w:t>一、投标人具备《</w:t>
            </w:r>
            <w:r>
              <w:rPr>
                <w:rFonts w:hint="eastAsia" w:ascii="Times New Roman" w:hAnsi="Times New Roman" w:cs="宋体"/>
              </w:rPr>
              <w:t>中华人民共和国政府采购法</w:t>
            </w:r>
            <w:r>
              <w:rPr>
                <w:rFonts w:hint="eastAsia" w:ascii="Times New Roman" w:hAnsi="Times New Roman" w:cs="宋体"/>
                <w:szCs w:val="21"/>
              </w:rPr>
              <w:t>》第二十二条所规定的条件：</w:t>
            </w:r>
          </w:p>
        </w:tc>
        <w:tc>
          <w:tcPr>
            <w:tcW w:w="1327" w:type="dxa"/>
            <w:vMerge w:val="restart"/>
            <w:noWrap w:val="0"/>
            <w:vAlign w:val="center"/>
          </w:tcPr>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 xml:space="preserve">□通过 </w:t>
            </w:r>
          </w:p>
          <w:p>
            <w:pPr>
              <w:widowControl/>
              <w:adjustRightInd w:val="0"/>
              <w:spacing w:line="300" w:lineRule="exact"/>
              <w:contextualSpacing/>
              <w:rPr>
                <w:rFonts w:hint="eastAsia" w:ascii="Times New Roman" w:hAnsi="Times New Roman" w:cs="宋体"/>
                <w:b/>
                <w:sz w:val="24"/>
              </w:rPr>
            </w:pPr>
            <w:r>
              <w:rPr>
                <w:rFonts w:hint="eastAsia" w:ascii="Times New Roman" w:hAnsi="Times New Roman" w:cs="宋体"/>
                <w:szCs w:val="21"/>
              </w:rPr>
              <w:t>□不通过</w:t>
            </w:r>
          </w:p>
        </w:tc>
        <w:tc>
          <w:tcPr>
            <w:tcW w:w="2588" w:type="dxa"/>
            <w:noWrap w:val="0"/>
            <w:vAlign w:val="center"/>
          </w:tcPr>
          <w:p>
            <w:pPr>
              <w:widowControl/>
              <w:adjustRightInd w:val="0"/>
              <w:spacing w:line="300" w:lineRule="exact"/>
              <w:contextualSpacing/>
              <w:jc w:val="center"/>
              <w:rPr>
                <w:rFonts w:hint="eastAsia" w:ascii="Times New Roman" w:hAnsi="Times New Roman" w:cs="宋体"/>
                <w:b/>
                <w:sz w:val="24"/>
              </w:rPr>
            </w:pPr>
            <w:r>
              <w:rPr>
                <w:rFonts w:hint="eastAsia" w:ascii="Times New Roman" w:hAnsi="Times New Roman"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
                <w:sz w:val="24"/>
              </w:rPr>
            </w:pPr>
          </w:p>
        </w:tc>
        <w:tc>
          <w:tcPr>
            <w:tcW w:w="5113" w:type="dxa"/>
            <w:noWrap w:val="0"/>
            <w:vAlign w:val="center"/>
          </w:tcPr>
          <w:p>
            <w:pPr>
              <w:widowControl/>
              <w:adjustRightInd w:val="0"/>
              <w:spacing w:line="300" w:lineRule="exact"/>
              <w:contextualSpacing/>
              <w:rPr>
                <w:rFonts w:hint="eastAsia" w:ascii="Times New Roman" w:hAnsi="Times New Roman"/>
                <w:szCs w:val="21"/>
              </w:rPr>
            </w:pPr>
            <w:r>
              <w:rPr>
                <w:rFonts w:hint="eastAsia" w:ascii="Times New Roman" w:hAnsi="Times New Roman"/>
                <w:szCs w:val="21"/>
              </w:rPr>
              <w:t>1.关于资格的承诺函（格式见附件）</w:t>
            </w:r>
          </w:p>
        </w:tc>
        <w:tc>
          <w:tcPr>
            <w:tcW w:w="1327" w:type="dxa"/>
            <w:vMerge w:val="continue"/>
            <w:noWrap w:val="0"/>
            <w:vAlign w:val="top"/>
          </w:tcPr>
          <w:p>
            <w:pPr>
              <w:widowControl/>
              <w:adjustRightInd w:val="0"/>
              <w:spacing w:line="300" w:lineRule="exact"/>
              <w:contextualSpacing/>
              <w:rPr>
                <w:rFonts w:hint="eastAsia" w:ascii="Times New Roman" w:hAnsi="Times New Roman" w:cs="宋体"/>
                <w:b/>
                <w:sz w:val="24"/>
              </w:rPr>
            </w:pPr>
          </w:p>
        </w:tc>
        <w:tc>
          <w:tcPr>
            <w:tcW w:w="2588" w:type="dxa"/>
            <w:noWrap w:val="0"/>
            <w:vAlign w:val="center"/>
          </w:tcPr>
          <w:p>
            <w:pPr>
              <w:widowControl/>
              <w:adjustRightInd w:val="0"/>
              <w:spacing w:line="300" w:lineRule="exact"/>
              <w:contextualSpacing/>
              <w:jc w:val="center"/>
              <w:rPr>
                <w:rFonts w:hint="eastAsia" w:ascii="Times New Roman" w:hAnsi="Times New Roman" w:cs="宋体"/>
                <w:b/>
                <w:sz w:val="24"/>
              </w:rPr>
            </w:pPr>
            <w:r>
              <w:rPr>
                <w:rFonts w:hint="eastAsia" w:ascii="Times New Roman" w:hAnsi="Times New Roman"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4"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5113" w:type="dxa"/>
            <w:noWrap w:val="0"/>
            <w:vAlign w:val="center"/>
          </w:tcPr>
          <w:p>
            <w:pPr>
              <w:widowControl/>
              <w:adjustRightInd w:val="0"/>
              <w:spacing w:line="300" w:lineRule="exact"/>
              <w:contextualSpacing/>
              <w:rPr>
                <w:rFonts w:hint="eastAsia" w:ascii="Times New Roman" w:hAnsi="Times New Roman" w:cs="宋体"/>
              </w:rPr>
            </w:pPr>
            <w:r>
              <w:rPr>
                <w:rFonts w:hint="eastAsia" w:ascii="Times New Roman" w:hAnsi="Times New Roman" w:cs="宋体"/>
                <w:bCs/>
                <w:szCs w:val="28"/>
              </w:rPr>
              <w:t>2.有效的企业法人营业执照（或事业法人登记证）、其他组织（个体工商户）的营业执照或者民办非企业单位登记证书复印件</w:t>
            </w:r>
            <w:r>
              <w:rPr>
                <w:rFonts w:hint="eastAsia" w:ascii="Times New Roman" w:hAnsi="Times New Roman" w:cs="宋体"/>
              </w:rPr>
              <w:t>。</w:t>
            </w:r>
          </w:p>
          <w:p>
            <w:pPr>
              <w:adjustRightInd w:val="0"/>
              <w:spacing w:line="300" w:lineRule="exact"/>
              <w:contextualSpacing/>
              <w:rPr>
                <w:rFonts w:hint="eastAsia" w:ascii="Times New Roman" w:hAnsi="Times New Roman" w:cs="宋体"/>
                <w:bCs/>
                <w:szCs w:val="28"/>
              </w:rPr>
            </w:pPr>
            <w:r>
              <w:rPr>
                <w:rFonts w:hint="eastAsia" w:ascii="Times New Roman" w:hAnsi="Times New Roman" w:cs="宋体"/>
              </w:rPr>
              <w:t>（投标人如果有名称变更的，应提供由行政主管部门出具的变更证明文件。）</w:t>
            </w:r>
          </w:p>
        </w:tc>
        <w:tc>
          <w:tcPr>
            <w:tcW w:w="1327"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2588" w:type="dxa"/>
            <w:noWrap w:val="0"/>
            <w:vAlign w:val="center"/>
          </w:tcPr>
          <w:p>
            <w:pPr>
              <w:widowControl/>
              <w:adjustRightInd w:val="0"/>
              <w:spacing w:line="300" w:lineRule="exact"/>
              <w:contextualSpacing/>
              <w:jc w:val="center"/>
              <w:rPr>
                <w:rFonts w:hint="eastAsia" w:ascii="Times New Roman" w:hAnsi="Times New Roman" w:cs="宋体"/>
                <w:bCs/>
                <w:szCs w:val="28"/>
              </w:rPr>
            </w:pPr>
            <w:r>
              <w:rPr>
                <w:rFonts w:hint="eastAsia" w:ascii="Times New Roman" w:hAnsi="Times New Roman"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4"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5113" w:type="dxa"/>
            <w:noWrap w:val="0"/>
            <w:vAlign w:val="center"/>
          </w:tcPr>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bCs/>
                <w:szCs w:val="28"/>
              </w:rPr>
              <w:t>二、</w:t>
            </w:r>
            <w:r>
              <w:rPr>
                <w:rFonts w:hint="eastAsia" w:ascii="Times New Roman" w:hAnsi="Times New Roman" w:cs="宋体"/>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327" w:type="dxa"/>
            <w:noWrap w:val="0"/>
            <w:vAlign w:val="center"/>
          </w:tcPr>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 xml:space="preserve">□通过 </w:t>
            </w:r>
          </w:p>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szCs w:val="21"/>
              </w:rPr>
              <w:t>□不通过</w:t>
            </w:r>
          </w:p>
        </w:tc>
        <w:tc>
          <w:tcPr>
            <w:tcW w:w="2588" w:type="dxa"/>
            <w:noWrap w:val="0"/>
            <w:vAlign w:val="center"/>
          </w:tcPr>
          <w:p>
            <w:pPr>
              <w:widowControl/>
              <w:adjustRightInd w:val="0"/>
              <w:spacing w:line="300" w:lineRule="exact"/>
              <w:contextualSpacing/>
              <w:jc w:val="center"/>
              <w:rPr>
                <w:rFonts w:hint="eastAsia" w:ascii="Times New Roman" w:hAnsi="Times New Roman" w:cs="宋体"/>
                <w:bCs/>
                <w:szCs w:val="28"/>
                <w:u w:val="single"/>
              </w:rPr>
            </w:pPr>
            <w:r>
              <w:rPr>
                <w:rFonts w:hint="eastAsia" w:ascii="Times New Roman" w:hAnsi="Times New Roman" w:cs="宋体"/>
                <w:bCs/>
                <w:szCs w:val="28"/>
              </w:rPr>
              <w:t xml:space="preserve">信用记录 </w:t>
            </w:r>
            <w:r>
              <w:rPr>
                <w:rFonts w:hint="eastAsia" w:ascii="Times New Roman" w:hAnsi="Times New Roman" w:cs="宋体"/>
                <w:bCs/>
                <w:szCs w:val="28"/>
                <w:u w:val="single"/>
              </w:rPr>
              <w:t>是/否</w:t>
            </w:r>
            <w:r>
              <w:rPr>
                <w:rFonts w:hint="eastAsia" w:ascii="Times New Roman" w:hAnsi="Times New Roman" w:cs="宋体"/>
                <w:bCs/>
                <w:szCs w:val="28"/>
              </w:rPr>
              <w:t xml:space="preserve"> 已失效，如失效，证明材料详见</w:t>
            </w:r>
            <w:r>
              <w:rPr>
                <w:rFonts w:hint="eastAsia" w:ascii="Times New Roman" w:hAnsi="Times New Roman"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5113" w:type="dxa"/>
            <w:noWrap w:val="0"/>
            <w:vAlign w:val="center"/>
          </w:tcPr>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bCs/>
                <w:szCs w:val="28"/>
              </w:rPr>
              <w:t>三、</w:t>
            </w:r>
            <w:r>
              <w:rPr>
                <w:rFonts w:hint="eastAsia" w:ascii="Times New Roman" w:hAnsi="Times New Roman"/>
                <w:szCs w:val="21"/>
              </w:rPr>
              <w:t>本项目的特定资格要求</w:t>
            </w:r>
          </w:p>
        </w:tc>
        <w:tc>
          <w:tcPr>
            <w:tcW w:w="1327" w:type="dxa"/>
            <w:noWrap w:val="0"/>
            <w:vAlign w:val="center"/>
          </w:tcPr>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 xml:space="preserve">□通过 </w:t>
            </w:r>
          </w:p>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szCs w:val="21"/>
              </w:rPr>
              <w:t>□不通过</w:t>
            </w:r>
          </w:p>
        </w:tc>
        <w:tc>
          <w:tcPr>
            <w:tcW w:w="2588" w:type="dxa"/>
            <w:noWrap w:val="0"/>
            <w:vAlign w:val="center"/>
          </w:tcPr>
          <w:p>
            <w:pPr>
              <w:widowControl/>
              <w:adjustRightInd w:val="0"/>
              <w:spacing w:line="300" w:lineRule="exact"/>
              <w:contextualSpacing/>
              <w:jc w:val="center"/>
              <w:rPr>
                <w:rFonts w:hint="eastAsia" w:ascii="Times New Roman" w:hAnsi="Times New Roman" w:cs="宋体"/>
                <w:bCs/>
                <w:szCs w:val="28"/>
              </w:rPr>
            </w:pPr>
            <w:r>
              <w:rPr>
                <w:rFonts w:hint="eastAsia" w:ascii="Times New Roman" w:hAnsi="Times New Roman" w:cs="宋体"/>
                <w:bCs/>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1"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5113" w:type="dxa"/>
            <w:noWrap w:val="0"/>
            <w:vAlign w:val="center"/>
          </w:tcPr>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ascii="Times New Roman" w:hAnsi="Times New Roman"/>
                <w:szCs w:val="21"/>
              </w:rPr>
              <w:t>关于资格的承诺函</w:t>
            </w:r>
            <w:r>
              <w:rPr>
                <w:rFonts w:hint="eastAsia" w:ascii="Times New Roman" w:hAnsi="Times New Roman" w:cs="宋体"/>
              </w:rPr>
              <w:t>》）。</w:t>
            </w:r>
          </w:p>
        </w:tc>
        <w:tc>
          <w:tcPr>
            <w:tcW w:w="1327" w:type="dxa"/>
            <w:noWrap w:val="0"/>
            <w:vAlign w:val="center"/>
          </w:tcPr>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 xml:space="preserve">□通过 </w:t>
            </w:r>
          </w:p>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□不通过</w:t>
            </w:r>
          </w:p>
        </w:tc>
        <w:tc>
          <w:tcPr>
            <w:tcW w:w="2588" w:type="dxa"/>
            <w:noWrap w:val="0"/>
            <w:vAlign w:val="center"/>
          </w:tcPr>
          <w:p>
            <w:pPr>
              <w:widowControl/>
              <w:adjustRightInd w:val="0"/>
              <w:spacing w:line="300" w:lineRule="exact"/>
              <w:contextualSpacing/>
              <w:jc w:val="center"/>
              <w:rPr>
                <w:rFonts w:hint="eastAsia" w:ascii="Times New Roman" w:hAnsi="Times New Roman" w:cs="宋体"/>
                <w:bCs/>
                <w:szCs w:val="28"/>
              </w:rPr>
            </w:pPr>
            <w:r>
              <w:rPr>
                <w:rFonts w:hint="eastAsia" w:ascii="Times New Roman" w:hAnsi="Times New Roman" w:cs="宋体"/>
                <w:bCs/>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811" w:type="dxa"/>
            <w:vMerge w:val="continue"/>
            <w:noWrap w:val="0"/>
            <w:vAlign w:val="top"/>
          </w:tcPr>
          <w:p>
            <w:pPr>
              <w:widowControl/>
              <w:adjustRightInd w:val="0"/>
              <w:spacing w:line="300" w:lineRule="exact"/>
              <w:contextualSpacing/>
              <w:rPr>
                <w:rFonts w:hint="eastAsia" w:ascii="Times New Roman" w:hAnsi="Times New Roman" w:cs="宋体"/>
                <w:bCs/>
                <w:szCs w:val="28"/>
              </w:rPr>
            </w:pPr>
          </w:p>
        </w:tc>
        <w:tc>
          <w:tcPr>
            <w:tcW w:w="5113" w:type="dxa"/>
            <w:noWrap w:val="0"/>
            <w:vAlign w:val="center"/>
          </w:tcPr>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bCs/>
                <w:szCs w:val="28"/>
              </w:rPr>
              <w:t>四、</w:t>
            </w:r>
            <w:r>
              <w:rPr>
                <w:rFonts w:hint="eastAsia" w:ascii="Times New Roman" w:hAnsi="Times New Roman" w:cs="宋体"/>
                <w:szCs w:val="21"/>
              </w:rPr>
              <w:t>本项目不接受联合体投标。</w:t>
            </w:r>
          </w:p>
        </w:tc>
        <w:tc>
          <w:tcPr>
            <w:tcW w:w="1327" w:type="dxa"/>
            <w:noWrap w:val="0"/>
            <w:vAlign w:val="center"/>
          </w:tcPr>
          <w:p>
            <w:pPr>
              <w:widowControl/>
              <w:adjustRightInd w:val="0"/>
              <w:spacing w:line="300" w:lineRule="exact"/>
              <w:contextualSpacing/>
              <w:rPr>
                <w:rFonts w:hint="eastAsia" w:ascii="Times New Roman" w:hAnsi="Times New Roman" w:cs="宋体"/>
                <w:szCs w:val="21"/>
              </w:rPr>
            </w:pPr>
            <w:r>
              <w:rPr>
                <w:rFonts w:hint="eastAsia" w:ascii="Times New Roman" w:hAnsi="Times New Roman" w:cs="宋体"/>
                <w:szCs w:val="21"/>
              </w:rPr>
              <w:t xml:space="preserve">□通过 </w:t>
            </w:r>
          </w:p>
          <w:p>
            <w:pPr>
              <w:widowControl/>
              <w:adjustRightInd w:val="0"/>
              <w:spacing w:line="300" w:lineRule="exact"/>
              <w:contextualSpacing/>
              <w:rPr>
                <w:rFonts w:hint="eastAsia" w:ascii="Times New Roman" w:hAnsi="Times New Roman" w:cs="宋体"/>
                <w:bCs/>
                <w:szCs w:val="28"/>
              </w:rPr>
            </w:pPr>
            <w:r>
              <w:rPr>
                <w:rFonts w:hint="eastAsia" w:ascii="Times New Roman" w:hAnsi="Times New Roman" w:cs="宋体"/>
                <w:szCs w:val="21"/>
              </w:rPr>
              <w:t>□不通过</w:t>
            </w:r>
          </w:p>
        </w:tc>
        <w:tc>
          <w:tcPr>
            <w:tcW w:w="2588" w:type="dxa"/>
            <w:noWrap w:val="0"/>
            <w:vAlign w:val="center"/>
          </w:tcPr>
          <w:p>
            <w:pPr>
              <w:widowControl/>
              <w:adjustRightInd w:val="0"/>
              <w:spacing w:line="300" w:lineRule="exact"/>
              <w:contextualSpacing/>
              <w:jc w:val="center"/>
              <w:rPr>
                <w:rFonts w:hint="eastAsia" w:ascii="Times New Roman" w:hAnsi="Times New Roman" w:cs="宋体"/>
                <w:bCs/>
                <w:szCs w:val="28"/>
              </w:rPr>
            </w:pPr>
            <w:r>
              <w:rPr>
                <w:rFonts w:hint="eastAsia" w:ascii="Times New Roman" w:hAnsi="Times New Roman" w:cs="宋体"/>
                <w:szCs w:val="21"/>
              </w:rPr>
              <w:t>/</w:t>
            </w:r>
          </w:p>
        </w:tc>
      </w:tr>
    </w:tbl>
    <w:p>
      <w:pPr>
        <w:pStyle w:val="19"/>
        <w:tabs>
          <w:tab w:val="left" w:pos="4185"/>
        </w:tabs>
        <w:spacing w:line="360" w:lineRule="auto"/>
        <w:ind w:firstLine="0"/>
        <w:contextualSpacing/>
        <w:rPr>
          <w:rFonts w:hint="eastAsia" w:eastAsia="宋体"/>
          <w:szCs w:val="24"/>
        </w:rPr>
      </w:pPr>
    </w:p>
    <w:p>
      <w:pPr>
        <w:pStyle w:val="19"/>
        <w:tabs>
          <w:tab w:val="left" w:pos="4185"/>
        </w:tabs>
        <w:spacing w:line="360" w:lineRule="auto"/>
        <w:ind w:firstLine="0"/>
        <w:contextualSpacing/>
        <w:rPr>
          <w:rFonts w:hint="eastAsia" w:eastAsia="宋体"/>
          <w:szCs w:val="24"/>
        </w:rPr>
      </w:pPr>
      <w:r>
        <w:rPr>
          <w:rFonts w:hint="eastAsia" w:eastAsia="宋体"/>
          <w:szCs w:val="24"/>
        </w:rPr>
        <w:t xml:space="preserve">投标人（盖章）： </w:t>
      </w:r>
    </w:p>
    <w:p>
      <w:pPr>
        <w:pStyle w:val="19"/>
        <w:tabs>
          <w:tab w:val="left" w:pos="4185"/>
        </w:tabs>
        <w:spacing w:line="360" w:lineRule="auto"/>
        <w:ind w:firstLine="0"/>
        <w:contextualSpacing/>
        <w:rPr>
          <w:rFonts w:hint="eastAsia" w:eastAsia="宋体"/>
          <w:szCs w:val="24"/>
        </w:rPr>
      </w:pPr>
      <w:r>
        <w:rPr>
          <w:rFonts w:hint="eastAsia" w:eastAsia="宋体"/>
          <w:szCs w:val="24"/>
        </w:rPr>
        <w:t>法定代表人或授权代表人（签字或盖章）：</w:t>
      </w:r>
    </w:p>
    <w:p>
      <w:pPr>
        <w:pStyle w:val="19"/>
        <w:ind w:firstLine="0"/>
        <w:rPr>
          <w:rFonts w:hint="eastAsia" w:eastAsia="宋体"/>
          <w:szCs w:val="24"/>
        </w:rPr>
      </w:pPr>
      <w:r>
        <w:rPr>
          <w:rFonts w:hint="eastAsia" w:eastAsia="宋体"/>
          <w:szCs w:val="24"/>
        </w:rPr>
        <w:t>日期：       年  月  日</w:t>
      </w:r>
    </w:p>
    <w:p>
      <w:pPr>
        <w:pStyle w:val="19"/>
        <w:ind w:right="420" w:firstLine="0"/>
        <w:jc w:val="left"/>
        <w:rPr>
          <w:rFonts w:hint="eastAsia" w:eastAsia="宋体"/>
          <w:b/>
          <w:sz w:val="18"/>
          <w:szCs w:val="18"/>
        </w:rPr>
      </w:pPr>
      <w:r>
        <w:rPr>
          <w:rFonts w:eastAsia="宋体"/>
          <w:b/>
          <w:sz w:val="18"/>
          <w:szCs w:val="18"/>
        </w:rPr>
        <w:br w:type="page"/>
      </w:r>
      <w:r>
        <w:rPr>
          <w:rFonts w:hint="eastAsia" w:eastAsia="宋体"/>
          <w:b/>
          <w:sz w:val="18"/>
          <w:szCs w:val="18"/>
        </w:rPr>
        <w:t>格式五 关于资格的承诺函</w:t>
      </w:r>
    </w:p>
    <w:p>
      <w:pPr>
        <w:spacing w:line="360" w:lineRule="auto"/>
        <w:jc w:val="center"/>
        <w:outlineLvl w:val="1"/>
        <w:rPr>
          <w:rFonts w:hint="eastAsia"/>
          <w:b/>
          <w:bCs/>
          <w:sz w:val="24"/>
        </w:rPr>
      </w:pPr>
    </w:p>
    <w:p>
      <w:pPr>
        <w:spacing w:line="360" w:lineRule="auto"/>
        <w:jc w:val="center"/>
        <w:outlineLvl w:val="1"/>
        <w:rPr>
          <w:rFonts w:hint="eastAsia"/>
          <w:b/>
          <w:bCs/>
          <w:szCs w:val="21"/>
        </w:rPr>
      </w:pPr>
      <w:r>
        <w:rPr>
          <w:rFonts w:hint="eastAsia"/>
          <w:b/>
          <w:bCs/>
          <w:sz w:val="24"/>
        </w:rPr>
        <w:t>关于资格的承诺函</w:t>
      </w:r>
    </w:p>
    <w:p>
      <w:pPr>
        <w:spacing w:line="360" w:lineRule="auto"/>
        <w:contextualSpacing/>
        <w:rPr>
          <w:rFonts w:hint="eastAsia" w:cs="宋体"/>
          <w:b/>
          <w:sz w:val="24"/>
          <w:szCs w:val="24"/>
        </w:rPr>
      </w:pPr>
      <w:r>
        <w:rPr>
          <w:rFonts w:hint="eastAsia" w:cs="宋体"/>
          <w:b/>
          <w:sz w:val="24"/>
          <w:szCs w:val="24"/>
        </w:rPr>
        <w:t>致：中冠工程管理咨询有限公司</w:t>
      </w:r>
    </w:p>
    <w:p>
      <w:pPr>
        <w:snapToGrid w:val="0"/>
        <w:spacing w:before="120" w:beforeLines="50" w:line="360" w:lineRule="auto"/>
        <w:ind w:firstLine="484" w:firstLineChars="202"/>
        <w:rPr>
          <w:rFonts w:hint="eastAsia" w:cs="宋体"/>
          <w:sz w:val="24"/>
          <w:szCs w:val="24"/>
        </w:rPr>
      </w:pPr>
      <w:r>
        <w:rPr>
          <w:rFonts w:hint="eastAsia" w:cs="宋体"/>
          <w:sz w:val="24"/>
          <w:szCs w:val="24"/>
        </w:rPr>
        <w:t>关于</w:t>
      </w:r>
      <w:r>
        <w:rPr>
          <w:rFonts w:hint="eastAsia" w:cs="宋体"/>
          <w:sz w:val="24"/>
          <w:szCs w:val="24"/>
          <w:u w:val="single"/>
        </w:rPr>
        <w:t xml:space="preserve">  </w:t>
      </w:r>
      <w:r>
        <w:rPr>
          <w:rFonts w:hint="eastAsia" w:cs="宋体"/>
          <w:kern w:val="28"/>
          <w:sz w:val="24"/>
          <w:szCs w:val="24"/>
          <w:u w:val="single"/>
        </w:rPr>
        <w:t xml:space="preserve">                    </w:t>
      </w:r>
      <w:r>
        <w:rPr>
          <w:rFonts w:hint="eastAsia" w:cs="宋体"/>
          <w:sz w:val="24"/>
          <w:szCs w:val="24"/>
          <w:u w:val="single"/>
        </w:rPr>
        <w:t xml:space="preserve"> </w:t>
      </w:r>
      <w:r>
        <w:rPr>
          <w:rFonts w:hint="eastAsia" w:cs="宋体"/>
          <w:sz w:val="24"/>
          <w:szCs w:val="24"/>
        </w:rPr>
        <w:t>项目（项目编号：</w:t>
      </w:r>
      <w:r>
        <w:rPr>
          <w:rFonts w:hint="eastAsia" w:cs="宋体"/>
          <w:sz w:val="24"/>
          <w:szCs w:val="24"/>
          <w:u w:val="single"/>
        </w:rPr>
        <w:t>　　　</w:t>
      </w:r>
      <w:r>
        <w:rPr>
          <w:rFonts w:hint="eastAsia" w:cs="宋体"/>
          <w:sz w:val="24"/>
          <w:szCs w:val="24"/>
        </w:rPr>
        <w:t>），我方愿意参加投标，并声明：</w:t>
      </w:r>
    </w:p>
    <w:p>
      <w:pPr>
        <w:snapToGrid w:val="0"/>
        <w:spacing w:line="360" w:lineRule="auto"/>
        <w:ind w:firstLine="480" w:firstLineChars="200"/>
        <w:rPr>
          <w:rFonts w:hint="eastAsia" w:cs="宋体"/>
          <w:bCs/>
          <w:sz w:val="24"/>
          <w:szCs w:val="24"/>
        </w:rPr>
      </w:pPr>
      <w:r>
        <w:rPr>
          <w:rFonts w:hint="eastAsia" w:cs="宋体"/>
          <w:bCs/>
          <w:sz w:val="24"/>
          <w:szCs w:val="24"/>
        </w:rPr>
        <w:t>1、我方具备《中华人民共和国政府采购法》第二十二条规定资格条件：</w:t>
      </w:r>
    </w:p>
    <w:p>
      <w:pPr>
        <w:snapToGrid w:val="0"/>
        <w:spacing w:line="360" w:lineRule="auto"/>
        <w:ind w:firstLine="480" w:firstLineChars="200"/>
        <w:rPr>
          <w:rFonts w:hint="eastAsia" w:cs="宋体"/>
          <w:bCs/>
          <w:sz w:val="24"/>
          <w:szCs w:val="24"/>
        </w:rPr>
      </w:pPr>
      <w:r>
        <w:rPr>
          <w:rFonts w:hint="eastAsia" w:cs="宋体"/>
          <w:bCs/>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80" w:firstLineChars="200"/>
        <w:rPr>
          <w:rFonts w:hint="eastAsia" w:cs="宋体"/>
          <w:sz w:val="24"/>
          <w:szCs w:val="24"/>
        </w:rPr>
      </w:pPr>
      <w:r>
        <w:rPr>
          <w:rFonts w:hint="eastAsia" w:cs="宋体"/>
          <w:sz w:val="24"/>
          <w:szCs w:val="24"/>
        </w:rPr>
        <w:t>2、我方的单位负责人与所参投的本采购项目的其他投标人的单位负责人不为同一人且与其他投标人之间不存在直接控股、管理关系。</w:t>
      </w:r>
    </w:p>
    <w:p>
      <w:pPr>
        <w:snapToGrid w:val="0"/>
        <w:spacing w:line="360" w:lineRule="auto"/>
        <w:ind w:firstLine="480" w:firstLineChars="200"/>
        <w:rPr>
          <w:rFonts w:hint="eastAsia" w:cs="宋体"/>
          <w:sz w:val="24"/>
          <w:szCs w:val="24"/>
        </w:rPr>
      </w:pPr>
      <w:r>
        <w:rPr>
          <w:rFonts w:hint="eastAsia" w:cs="宋体"/>
          <w:sz w:val="24"/>
          <w:szCs w:val="24"/>
        </w:rPr>
        <w:t>3、我方不是本采购项目提供整体设计、规范编制或者项目管理、监理、检测等服务的供应商。</w:t>
      </w:r>
    </w:p>
    <w:p>
      <w:pPr>
        <w:snapToGrid w:val="0"/>
        <w:spacing w:line="360" w:lineRule="auto"/>
        <w:ind w:firstLine="480" w:firstLineChars="200"/>
        <w:rPr>
          <w:rFonts w:hint="eastAsia" w:cs="宋体"/>
          <w:bCs/>
          <w:sz w:val="24"/>
          <w:szCs w:val="24"/>
        </w:rPr>
      </w:pPr>
      <w:r>
        <w:rPr>
          <w:rFonts w:hint="eastAsia" w:cs="宋体"/>
          <w:sz w:val="24"/>
          <w:szCs w:val="24"/>
        </w:rPr>
        <w:t>4、我方</w:t>
      </w:r>
      <w:r>
        <w:rPr>
          <w:rFonts w:hint="eastAsia" w:cs="宋体"/>
          <w:bCs/>
          <w:sz w:val="24"/>
          <w:szCs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cs="宋体"/>
          <w:sz w:val="24"/>
          <w:szCs w:val="24"/>
        </w:rPr>
      </w:pPr>
      <w:r>
        <w:rPr>
          <w:rFonts w:hint="eastAsia" w:cs="宋体"/>
          <w:bCs/>
          <w:sz w:val="24"/>
          <w:szCs w:val="24"/>
        </w:rPr>
        <w:t>我方对上述声明的真实性负责。</w:t>
      </w:r>
      <w:r>
        <w:rPr>
          <w:rFonts w:hint="eastAsia" w:cs="宋体"/>
          <w:sz w:val="24"/>
          <w:szCs w:val="24"/>
        </w:rPr>
        <w:t>本次招标采购活动中，如有违法、违规、弄虚作假行为，所造成的损失、不良后果及法律责任，一律由我我方承担。</w:t>
      </w:r>
    </w:p>
    <w:p>
      <w:pPr>
        <w:spacing w:line="360" w:lineRule="auto"/>
        <w:rPr>
          <w:rFonts w:hint="eastAsia" w:cs="宋体"/>
          <w:b/>
          <w:sz w:val="24"/>
          <w:szCs w:val="24"/>
        </w:rPr>
      </w:pPr>
    </w:p>
    <w:p>
      <w:pPr>
        <w:spacing w:line="360" w:lineRule="auto"/>
        <w:ind w:firstLine="420"/>
        <w:rPr>
          <w:rFonts w:hint="eastAsia" w:cs="宋体"/>
          <w:b/>
          <w:sz w:val="24"/>
          <w:szCs w:val="24"/>
        </w:rPr>
      </w:pPr>
      <w:r>
        <w:rPr>
          <w:rFonts w:hint="eastAsia" w:cs="宋体"/>
          <w:b/>
          <w:sz w:val="24"/>
          <w:szCs w:val="24"/>
        </w:rPr>
        <w:t>特此声明！</w:t>
      </w:r>
    </w:p>
    <w:p>
      <w:pPr>
        <w:spacing w:line="360" w:lineRule="auto"/>
        <w:outlineLvl w:val="1"/>
        <w:rPr>
          <w:rFonts w:hint="eastAsia" w:cs="宋体"/>
          <w:b/>
          <w:szCs w:val="21"/>
        </w:rPr>
      </w:pPr>
    </w:p>
    <w:p>
      <w:pPr>
        <w:spacing w:line="360" w:lineRule="auto"/>
        <w:contextualSpacing/>
        <w:outlineLvl w:val="1"/>
        <w:rPr>
          <w:rFonts w:hint="eastAsia"/>
          <w:b/>
          <w:bCs/>
          <w:sz w:val="24"/>
          <w:szCs w:val="24"/>
        </w:rPr>
      </w:pPr>
    </w:p>
    <w:p>
      <w:pPr>
        <w:spacing w:line="360" w:lineRule="auto"/>
        <w:contextualSpacing/>
        <w:outlineLvl w:val="1"/>
        <w:rPr>
          <w:rFonts w:hint="eastAsia"/>
          <w:sz w:val="24"/>
          <w:szCs w:val="24"/>
        </w:rPr>
      </w:pPr>
    </w:p>
    <w:p>
      <w:pPr>
        <w:spacing w:line="360" w:lineRule="auto"/>
        <w:contextualSpacing/>
        <w:outlineLvl w:val="1"/>
        <w:rPr>
          <w:rFonts w:hint="eastAsia"/>
          <w:sz w:val="24"/>
          <w:szCs w:val="24"/>
        </w:rPr>
      </w:pPr>
      <w:r>
        <w:rPr>
          <w:rFonts w:hint="eastAsia"/>
          <w:sz w:val="24"/>
          <w:szCs w:val="24"/>
        </w:rPr>
        <w:t>投标人（盖章）：</w:t>
      </w:r>
    </w:p>
    <w:p>
      <w:pPr>
        <w:spacing w:line="360" w:lineRule="auto"/>
        <w:contextualSpacing/>
        <w:outlineLvl w:val="1"/>
        <w:rPr>
          <w:rFonts w:hint="eastAsia"/>
          <w:sz w:val="24"/>
          <w:szCs w:val="24"/>
        </w:rPr>
      </w:pPr>
      <w:r>
        <w:rPr>
          <w:rFonts w:hint="eastAsia"/>
          <w:sz w:val="24"/>
          <w:szCs w:val="24"/>
        </w:rPr>
        <w:t>法定代表人或授权代表人（签字或盖章）：</w:t>
      </w:r>
    </w:p>
    <w:p>
      <w:pPr>
        <w:spacing w:line="360" w:lineRule="auto"/>
        <w:contextualSpacing/>
        <w:outlineLvl w:val="1"/>
        <w:rPr>
          <w:sz w:val="24"/>
          <w:szCs w:val="24"/>
        </w:rPr>
      </w:pPr>
      <w:r>
        <w:rPr>
          <w:rFonts w:hint="eastAsia"/>
          <w:sz w:val="24"/>
          <w:szCs w:val="24"/>
        </w:rPr>
        <w:t>日期：</w:t>
      </w:r>
    </w:p>
    <w:p>
      <w:pPr>
        <w:pStyle w:val="3"/>
        <w:spacing w:before="0" w:after="0" w:line="240" w:lineRule="auto"/>
        <w:ind w:right="-567"/>
        <w:jc w:val="left"/>
        <w:rPr>
          <w:rFonts w:hint="eastAsia" w:ascii="Times New Roman" w:hAnsi="Times New Roman" w:eastAsia="宋体"/>
          <w:b w:val="0"/>
          <w:sz w:val="18"/>
          <w:szCs w:val="18"/>
        </w:rPr>
      </w:pPr>
      <w:r>
        <w:rPr>
          <w:rFonts w:ascii="Times New Roman" w:hAnsi="Times New Roman" w:eastAsia="宋体"/>
          <w:sz w:val="24"/>
          <w:szCs w:val="24"/>
        </w:rPr>
        <w:br w:type="page"/>
      </w:r>
    </w:p>
    <w:p>
      <w:pPr>
        <w:pStyle w:val="3"/>
        <w:spacing w:before="0" w:after="0" w:line="240" w:lineRule="auto"/>
        <w:ind w:right="-567"/>
        <w:jc w:val="left"/>
        <w:rPr>
          <w:rFonts w:hint="eastAsia" w:ascii="Times New Roman" w:hAnsi="Times New Roman" w:eastAsia="宋体"/>
          <w:b w:val="0"/>
          <w:sz w:val="18"/>
          <w:szCs w:val="18"/>
        </w:rPr>
      </w:pPr>
      <w:r>
        <w:rPr>
          <w:rFonts w:hint="eastAsia" w:ascii="Times New Roman" w:hAnsi="Times New Roman" w:eastAsia="宋体"/>
          <w:b w:val="0"/>
          <w:sz w:val="18"/>
          <w:szCs w:val="18"/>
        </w:rPr>
        <w:t>格式六 符合性自查表</w:t>
      </w:r>
    </w:p>
    <w:p>
      <w:pPr>
        <w:spacing w:line="360" w:lineRule="auto"/>
        <w:contextualSpacing/>
        <w:outlineLvl w:val="1"/>
        <w:rPr>
          <w:rFonts w:hint="eastAsia"/>
          <w:b/>
          <w:sz w:val="18"/>
          <w:szCs w:val="18"/>
        </w:rPr>
      </w:pPr>
    </w:p>
    <w:p>
      <w:pPr>
        <w:spacing w:line="360" w:lineRule="auto"/>
        <w:jc w:val="center"/>
        <w:rPr>
          <w:rFonts w:hint="eastAsia" w:cs="宋体"/>
          <w:sz w:val="24"/>
        </w:rPr>
      </w:pPr>
      <w:r>
        <w:rPr>
          <w:rFonts w:hint="eastAsia" w:cs="宋体"/>
          <w:b/>
          <w:sz w:val="24"/>
        </w:rPr>
        <w:t>符合性自查表</w:t>
      </w:r>
    </w:p>
    <w:tbl>
      <w:tblPr>
        <w:tblStyle w:val="50"/>
        <w:tblW w:w="889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27"/>
        <w:gridCol w:w="4702"/>
        <w:gridCol w:w="1411"/>
        <w:gridCol w:w="195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tcBorders>
              <w:top w:val="single" w:color="auto" w:sz="12" w:space="0"/>
              <w:left w:val="single" w:color="auto" w:sz="12" w:space="0"/>
              <w:bottom w:val="outset" w:color="111111" w:sz="6" w:space="0"/>
              <w:right w:val="outset" w:color="111111" w:sz="6"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评审内容</w:t>
            </w:r>
          </w:p>
        </w:tc>
        <w:tc>
          <w:tcPr>
            <w:tcW w:w="4702" w:type="dxa"/>
            <w:tcBorders>
              <w:top w:val="single" w:color="auto" w:sz="12" w:space="0"/>
              <w:left w:val="outset" w:color="111111" w:sz="6" w:space="0"/>
              <w:bottom w:val="outset" w:color="111111" w:sz="6" w:space="0"/>
              <w:right w:val="outset" w:color="111111" w:sz="6"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采购文件要求</w:t>
            </w:r>
          </w:p>
        </w:tc>
        <w:tc>
          <w:tcPr>
            <w:tcW w:w="1411" w:type="dxa"/>
            <w:tcBorders>
              <w:top w:val="single" w:color="auto" w:sz="12" w:space="0"/>
              <w:left w:val="outset" w:color="111111" w:sz="6" w:space="0"/>
              <w:bottom w:val="outset" w:color="111111" w:sz="6" w:space="0"/>
              <w:right w:val="outset" w:color="111111" w:sz="6"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自查结论</w:t>
            </w:r>
          </w:p>
        </w:tc>
        <w:tc>
          <w:tcPr>
            <w:tcW w:w="1950" w:type="dxa"/>
            <w:tcBorders>
              <w:top w:val="single" w:color="auto" w:sz="12"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restart"/>
            <w:tcBorders>
              <w:top w:val="outset" w:color="111111" w:sz="6" w:space="0"/>
              <w:left w:val="single" w:color="auto" w:sz="12" w:space="0"/>
              <w:right w:val="outset" w:color="111111" w:sz="6"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符</w:t>
            </w:r>
          </w:p>
          <w:p>
            <w:pPr>
              <w:spacing w:line="300" w:lineRule="exact"/>
              <w:jc w:val="center"/>
              <w:rPr>
                <w:rFonts w:hint="eastAsia" w:ascii="Times New Roman" w:hAnsi="Times New Roman" w:cs="宋体"/>
                <w:szCs w:val="21"/>
              </w:rPr>
            </w:pPr>
            <w:r>
              <w:rPr>
                <w:rFonts w:hint="eastAsia" w:ascii="Times New Roman" w:hAnsi="Times New Roman" w:cs="宋体"/>
                <w:szCs w:val="21"/>
              </w:rPr>
              <w:t>合</w:t>
            </w:r>
          </w:p>
          <w:p>
            <w:pPr>
              <w:spacing w:line="300" w:lineRule="exact"/>
              <w:jc w:val="center"/>
              <w:rPr>
                <w:rFonts w:hint="eastAsia" w:ascii="Times New Roman" w:hAnsi="Times New Roman" w:cs="宋体"/>
                <w:szCs w:val="21"/>
              </w:rPr>
            </w:pPr>
            <w:r>
              <w:rPr>
                <w:rFonts w:hint="eastAsia" w:ascii="Times New Roman" w:hAnsi="Times New Roman" w:cs="宋体"/>
                <w:szCs w:val="21"/>
              </w:rPr>
              <w:t>性</w:t>
            </w:r>
          </w:p>
          <w:p>
            <w:pPr>
              <w:spacing w:line="300" w:lineRule="exact"/>
              <w:jc w:val="center"/>
              <w:rPr>
                <w:rFonts w:hint="eastAsia" w:ascii="Times New Roman" w:hAnsi="Times New Roman" w:cs="宋体"/>
                <w:szCs w:val="21"/>
              </w:rPr>
            </w:pPr>
            <w:r>
              <w:rPr>
                <w:rFonts w:hint="eastAsia" w:ascii="Times New Roman" w:hAnsi="Times New Roman" w:cs="宋体"/>
                <w:szCs w:val="21"/>
              </w:rPr>
              <w:t>审</w:t>
            </w:r>
          </w:p>
          <w:p>
            <w:pPr>
              <w:spacing w:line="300" w:lineRule="exact"/>
              <w:jc w:val="center"/>
              <w:rPr>
                <w:rFonts w:hint="eastAsia" w:ascii="Times New Roman" w:hAnsi="Times New Roman" w:cs="宋体"/>
                <w:szCs w:val="21"/>
              </w:rPr>
            </w:pPr>
            <w:r>
              <w:rPr>
                <w:rFonts w:hint="eastAsia" w:ascii="Times New Roman" w:hAnsi="Times New Roman" w:cs="宋体"/>
                <w:szCs w:val="21"/>
              </w:rPr>
              <w:t>查</w:t>
            </w:r>
          </w:p>
        </w:tc>
        <w:tc>
          <w:tcPr>
            <w:tcW w:w="4702" w:type="dxa"/>
            <w:tcBorders>
              <w:top w:val="outset" w:color="111111" w:sz="6" w:space="0"/>
              <w:left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1、投标人按招标文件要求签署、签章</w:t>
            </w:r>
          </w:p>
        </w:tc>
        <w:tc>
          <w:tcPr>
            <w:tcW w:w="1411" w:type="dxa"/>
            <w:tcBorders>
              <w:top w:val="outset" w:color="111111" w:sz="6" w:space="0"/>
              <w:left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2、投标有效期满足招标文件要求；</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105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3、投标文件完全满足招标文件的实质性条款（即标注★号条款）无负偏离的。</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4、投标文件没有采购人不能接受的附加的条件；</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5、委托人提供法定代表人授权委托书，填写项目齐全；</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6、投标文件提供资料齐全并且不存在内容虚假；</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97"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7、投标文件的实质性内容使用中文表述、表述明确、前后不存在矛盾且使用计量单位均符合招标文件要求；</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5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8、投标文件的关键内容字迹清晰、能够辨认，且投标文件中经修正的内容（如有）字迹清晰可以辩认并且修改处均按规定签署、盖章；</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9、不含法律、法规和招标文件规定的其他无效情形。</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10、报价未超过采购文件中规定的预算金额或者最高限价的</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11、采用招标文件要求的报价形式报价的</w:t>
            </w:r>
          </w:p>
        </w:tc>
        <w:tc>
          <w:tcPr>
            <w:tcW w:w="1411" w:type="dxa"/>
            <w:tcBorders>
              <w:top w:val="outset" w:color="111111" w:sz="6" w:space="0"/>
              <w:left w:val="outset" w:color="111111" w:sz="6" w:space="0"/>
              <w:bottom w:val="outset" w:color="111111" w:sz="6"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outset" w:color="111111" w:sz="6"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1" w:hRule="exact"/>
          <w:jc w:val="center"/>
        </w:trPr>
        <w:tc>
          <w:tcPr>
            <w:tcW w:w="827" w:type="dxa"/>
            <w:vMerge w:val="continue"/>
            <w:tcBorders>
              <w:left w:val="single" w:color="auto" w:sz="12" w:space="0"/>
              <w:bottom w:val="single" w:color="auto" w:sz="12" w:space="0"/>
              <w:right w:val="outset" w:color="111111" w:sz="6" w:space="0"/>
            </w:tcBorders>
            <w:noWrap w:val="0"/>
            <w:vAlign w:val="center"/>
          </w:tcPr>
          <w:p>
            <w:pPr>
              <w:spacing w:line="300" w:lineRule="exact"/>
              <w:rPr>
                <w:rFonts w:hint="eastAsia" w:ascii="Times New Roman" w:hAnsi="Times New Roman" w:cs="宋体"/>
                <w:szCs w:val="21"/>
              </w:rPr>
            </w:pPr>
          </w:p>
        </w:tc>
        <w:tc>
          <w:tcPr>
            <w:tcW w:w="4702" w:type="dxa"/>
            <w:tcBorders>
              <w:top w:val="outset" w:color="111111" w:sz="6" w:space="0"/>
              <w:left w:val="outset" w:color="111111" w:sz="6" w:space="0"/>
              <w:bottom w:val="single" w:color="auto" w:sz="12"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12、投标报价不具有选择性的</w:t>
            </w:r>
          </w:p>
        </w:tc>
        <w:tc>
          <w:tcPr>
            <w:tcW w:w="1411" w:type="dxa"/>
            <w:tcBorders>
              <w:top w:val="outset" w:color="111111" w:sz="6" w:space="0"/>
              <w:left w:val="outset" w:color="111111" w:sz="6" w:space="0"/>
              <w:bottom w:val="single" w:color="auto" w:sz="12" w:space="0"/>
              <w:right w:val="outset" w:color="111111" w:sz="6" w:space="0"/>
            </w:tcBorders>
            <w:noWrap w:val="0"/>
            <w:vAlign w:val="center"/>
          </w:tcPr>
          <w:p>
            <w:pPr>
              <w:spacing w:line="300" w:lineRule="exact"/>
              <w:rPr>
                <w:rFonts w:hint="eastAsia" w:ascii="Times New Roman" w:hAnsi="Times New Roman" w:cs="宋体"/>
                <w:szCs w:val="21"/>
              </w:rPr>
            </w:pPr>
            <w:r>
              <w:rPr>
                <w:rFonts w:hint="eastAsia" w:ascii="Times New Roman" w:hAnsi="Times New Roman" w:cs="宋体"/>
                <w:szCs w:val="21"/>
              </w:rPr>
              <w:t xml:space="preserve">□通过 </w:t>
            </w:r>
          </w:p>
          <w:p>
            <w:pPr>
              <w:spacing w:line="300" w:lineRule="exact"/>
              <w:rPr>
                <w:rFonts w:hint="eastAsia" w:ascii="Times New Roman" w:hAnsi="Times New Roman" w:cs="宋体"/>
                <w:szCs w:val="21"/>
              </w:rPr>
            </w:pPr>
            <w:r>
              <w:rPr>
                <w:rFonts w:hint="eastAsia" w:ascii="Times New Roman" w:hAnsi="Times New Roman" w:cs="宋体"/>
                <w:szCs w:val="21"/>
              </w:rPr>
              <w:t>□不通过</w:t>
            </w:r>
          </w:p>
        </w:tc>
        <w:tc>
          <w:tcPr>
            <w:tcW w:w="1950" w:type="dxa"/>
            <w:tcBorders>
              <w:top w:val="outset" w:color="111111" w:sz="6" w:space="0"/>
              <w:left w:val="outset" w:color="111111" w:sz="6" w:space="0"/>
              <w:bottom w:val="single" w:color="auto" w:sz="12" w:space="0"/>
              <w:right w:val="single" w:color="auto" w:sz="12" w:space="0"/>
            </w:tcBorders>
            <w:noWrap w:val="0"/>
            <w:vAlign w:val="center"/>
          </w:tcPr>
          <w:p>
            <w:pPr>
              <w:spacing w:line="300" w:lineRule="exact"/>
              <w:jc w:val="center"/>
              <w:rPr>
                <w:rFonts w:hint="eastAsia" w:ascii="Times New Roman" w:hAnsi="Times New Roman" w:cs="宋体"/>
                <w:szCs w:val="21"/>
              </w:rPr>
            </w:pPr>
            <w:r>
              <w:rPr>
                <w:rFonts w:hint="eastAsia" w:ascii="Times New Roman" w:hAnsi="Times New Roman" w:cs="宋体"/>
                <w:szCs w:val="21"/>
              </w:rPr>
              <w:t>/</w:t>
            </w:r>
          </w:p>
        </w:tc>
      </w:tr>
    </w:tbl>
    <w:p>
      <w:pPr>
        <w:spacing w:line="360" w:lineRule="auto"/>
        <w:contextualSpacing/>
        <w:outlineLvl w:val="1"/>
        <w:rPr>
          <w:rFonts w:hint="eastAsia"/>
          <w:b/>
          <w:sz w:val="18"/>
          <w:szCs w:val="18"/>
        </w:rPr>
      </w:pPr>
      <w:r>
        <w:rPr>
          <w:rFonts w:hint="eastAsia" w:cs="宋体"/>
          <w:b/>
          <w:szCs w:val="21"/>
        </w:rPr>
        <w:t>备注：投标人自查表将作为投标投标人有效性审查的重要内容之一，投标投标人请按照其内容及序列要求在投标文件中对应如实提供。</w:t>
      </w:r>
    </w:p>
    <w:p>
      <w:pPr>
        <w:spacing w:line="360" w:lineRule="auto"/>
        <w:contextualSpacing/>
        <w:outlineLvl w:val="1"/>
        <w:rPr>
          <w:b/>
          <w:sz w:val="18"/>
          <w:szCs w:val="18"/>
        </w:rPr>
      </w:pPr>
      <w:r>
        <w:rPr>
          <w:b/>
          <w:sz w:val="18"/>
          <w:szCs w:val="18"/>
        </w:rPr>
        <w:t xml:space="preserve"> </w:t>
      </w:r>
      <w:r>
        <w:rPr>
          <w:b/>
          <w:sz w:val="18"/>
          <w:szCs w:val="18"/>
        </w:rPr>
        <w:br w:type="page"/>
      </w:r>
    </w:p>
    <w:p>
      <w:pPr>
        <w:pStyle w:val="3"/>
        <w:spacing w:before="0" w:after="0" w:line="240" w:lineRule="auto"/>
        <w:ind w:right="-567"/>
        <w:jc w:val="left"/>
        <w:rPr>
          <w:rFonts w:hint="eastAsia" w:ascii="Times New Roman" w:hAnsi="Times New Roman" w:eastAsia="宋体"/>
          <w:b w:val="0"/>
          <w:sz w:val="18"/>
          <w:szCs w:val="18"/>
        </w:rPr>
      </w:pPr>
      <w:r>
        <w:rPr>
          <w:rFonts w:hint="eastAsia" w:ascii="Times New Roman" w:hAnsi="Times New Roman" w:eastAsia="宋体"/>
          <w:b w:val="0"/>
          <w:sz w:val="18"/>
          <w:szCs w:val="18"/>
        </w:rPr>
        <w:t>格式七  技术条款偏离表</w:t>
      </w:r>
    </w:p>
    <w:p/>
    <w:p>
      <w:pPr>
        <w:pStyle w:val="2"/>
        <w:spacing w:after="120" w:afterLines="50" w:line="360" w:lineRule="exact"/>
        <w:rPr>
          <w:rFonts w:hint="eastAsia" w:ascii="Times New Roman"/>
          <w:sz w:val="32"/>
          <w:szCs w:val="32"/>
        </w:rPr>
      </w:pPr>
      <w:r>
        <w:rPr>
          <w:rFonts w:hint="eastAsia" w:ascii="Times New Roman"/>
          <w:sz w:val="32"/>
          <w:szCs w:val="32"/>
        </w:rPr>
        <w:t>技术条款偏离表</w:t>
      </w:r>
    </w:p>
    <w:p/>
    <w:p>
      <w:pPr>
        <w:pStyle w:val="19"/>
        <w:tabs>
          <w:tab w:val="right" w:pos="8847"/>
        </w:tabs>
        <w:ind w:firstLine="0"/>
        <w:rPr>
          <w:rFonts w:eastAsia="宋体"/>
          <w:szCs w:val="24"/>
          <w:u w:val="single"/>
        </w:rPr>
      </w:pPr>
      <w:r>
        <w:rPr>
          <w:rFonts w:hint="eastAsia" w:eastAsia="宋体"/>
          <w:szCs w:val="24"/>
        </w:rPr>
        <w:t>项目编号：                        项目名称：</w:t>
      </w:r>
    </w:p>
    <w:tbl>
      <w:tblPr>
        <w:tblStyle w:val="50"/>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591"/>
        <w:gridCol w:w="2945"/>
        <w:gridCol w:w="9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序号</w:t>
            </w:r>
          </w:p>
        </w:tc>
        <w:tc>
          <w:tcPr>
            <w:tcW w:w="4591"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《采购文件》中的技术要求</w:t>
            </w:r>
          </w:p>
        </w:tc>
        <w:tc>
          <w:tcPr>
            <w:tcW w:w="2945"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《投标文件》技术条款响应</w:t>
            </w:r>
          </w:p>
        </w:tc>
        <w:tc>
          <w:tcPr>
            <w:tcW w:w="995"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1</w:t>
            </w:r>
          </w:p>
        </w:tc>
        <w:tc>
          <w:tcPr>
            <w:tcW w:w="4591" w:type="dxa"/>
            <w:tcBorders>
              <w:top w:val="single" w:color="auto" w:sz="4" w:space="0"/>
            </w:tcBorders>
            <w:noWrap w:val="0"/>
            <w:tcMar>
              <w:left w:w="0" w:type="dxa"/>
              <w:right w:w="0" w:type="dxa"/>
            </w:tcMar>
            <w:vAlign w:val="center"/>
          </w:tcPr>
          <w:p>
            <w:pPr>
              <w:spacing w:line="340" w:lineRule="exact"/>
              <w:contextualSpacing/>
              <w:rPr>
                <w:rFonts w:ascii="Times New Roman" w:hAnsi="Times New Roman"/>
                <w:sz w:val="24"/>
                <w:szCs w:val="24"/>
              </w:rPr>
            </w:pPr>
            <w:r>
              <w:rPr>
                <w:rFonts w:hint="eastAsia" w:ascii="Times New Roman" w:hAnsi="Times New Roman"/>
                <w:sz w:val="24"/>
                <w:szCs w:val="24"/>
              </w:rPr>
              <w:t>技术需求：</w:t>
            </w:r>
          </w:p>
        </w:tc>
        <w:tc>
          <w:tcPr>
            <w:tcW w:w="2945"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2</w:t>
            </w:r>
          </w:p>
        </w:tc>
        <w:tc>
          <w:tcPr>
            <w:tcW w:w="4591"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3</w:t>
            </w:r>
          </w:p>
        </w:tc>
        <w:tc>
          <w:tcPr>
            <w:tcW w:w="4591" w:type="dxa"/>
            <w:noWrap w:val="0"/>
            <w:tcMar>
              <w:left w:w="0" w:type="dxa"/>
              <w:right w:w="0" w:type="dxa"/>
            </w:tcMar>
            <w:vAlign w:val="center"/>
          </w:tcPr>
          <w:p>
            <w:pPr>
              <w:spacing w:line="340" w:lineRule="exact"/>
              <w:contextualSpacing/>
              <w:rPr>
                <w:rFonts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4</w:t>
            </w:r>
          </w:p>
        </w:tc>
        <w:tc>
          <w:tcPr>
            <w:tcW w:w="4591" w:type="dxa"/>
            <w:noWrap w:val="0"/>
            <w:tcMar>
              <w:left w:w="0" w:type="dxa"/>
              <w:right w:w="0" w:type="dxa"/>
            </w:tcMar>
            <w:vAlign w:val="center"/>
          </w:tcPr>
          <w:p>
            <w:pPr>
              <w:tabs>
                <w:tab w:val="left" w:pos="851"/>
              </w:tabs>
              <w:spacing w:line="340" w:lineRule="exact"/>
              <w:contextualSpacing/>
              <w:rPr>
                <w:rFonts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5</w:t>
            </w:r>
          </w:p>
        </w:tc>
        <w:tc>
          <w:tcPr>
            <w:tcW w:w="4591" w:type="dxa"/>
            <w:noWrap w:val="0"/>
            <w:tcMar>
              <w:left w:w="0" w:type="dxa"/>
              <w:right w:w="0" w:type="dxa"/>
            </w:tcMar>
            <w:vAlign w:val="center"/>
          </w:tcPr>
          <w:p>
            <w:pPr>
              <w:spacing w:line="340" w:lineRule="exact"/>
              <w:contextualSpacing/>
              <w:rPr>
                <w:rFonts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6</w:t>
            </w:r>
          </w:p>
        </w:tc>
        <w:tc>
          <w:tcPr>
            <w:tcW w:w="4591" w:type="dxa"/>
            <w:noWrap w:val="0"/>
            <w:tcMar>
              <w:left w:w="0" w:type="dxa"/>
              <w:right w:w="0" w:type="dxa"/>
            </w:tcMar>
            <w:vAlign w:val="center"/>
          </w:tcPr>
          <w:p>
            <w:pPr>
              <w:spacing w:line="340" w:lineRule="exact"/>
              <w:contextualSpacing/>
              <w:rPr>
                <w:rFonts w:ascii="Times New Roman" w:hAnsi="Times New Roman"/>
                <w:sz w:val="24"/>
                <w:szCs w:val="24"/>
              </w:rPr>
            </w:pPr>
            <w:r>
              <w:rPr>
                <w:rFonts w:ascii="Times New Roman" w:hAnsi="Times New Roman"/>
                <w:sz w:val="24"/>
                <w:szCs w:val="24"/>
              </w:rPr>
              <w:t>……</w:t>
            </w: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7</w:t>
            </w:r>
          </w:p>
        </w:tc>
        <w:tc>
          <w:tcPr>
            <w:tcW w:w="4591" w:type="dxa"/>
            <w:noWrap w:val="0"/>
            <w:tcMar>
              <w:left w:w="0" w:type="dxa"/>
              <w:right w:w="0" w:type="dxa"/>
            </w:tcMar>
            <w:vAlign w:val="center"/>
          </w:tcPr>
          <w:p>
            <w:pPr>
              <w:spacing w:line="340" w:lineRule="exact"/>
              <w:contextualSpacing/>
              <w:rPr>
                <w:rFonts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ascii="Times New Roman" w:hAnsi="Times New Roman"/>
                <w:sz w:val="24"/>
                <w:szCs w:val="24"/>
              </w:rPr>
              <w:t>8</w:t>
            </w:r>
          </w:p>
        </w:tc>
        <w:tc>
          <w:tcPr>
            <w:tcW w:w="4591" w:type="dxa"/>
            <w:noWrap w:val="0"/>
            <w:tcMar>
              <w:left w:w="0" w:type="dxa"/>
              <w:right w:w="0" w:type="dxa"/>
            </w:tcMar>
            <w:vAlign w:val="center"/>
          </w:tcPr>
          <w:p>
            <w:pPr>
              <w:spacing w:line="340" w:lineRule="exact"/>
              <w:contextualSpacing/>
              <w:rPr>
                <w:rFonts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9</w:t>
            </w:r>
          </w:p>
        </w:tc>
        <w:tc>
          <w:tcPr>
            <w:tcW w:w="4591"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0</w:t>
            </w:r>
          </w:p>
        </w:tc>
        <w:tc>
          <w:tcPr>
            <w:tcW w:w="4591"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hint="eastAsia" w:ascii="Times New Roman" w:hAnsi="Times New Roman"/>
                <w:sz w:val="24"/>
                <w:szCs w:val="24"/>
              </w:rPr>
            </w:pPr>
            <w:r>
              <w:rPr>
                <w:rFonts w:ascii="Times New Roman" w:hAnsi="Times New Roman"/>
                <w:sz w:val="24"/>
                <w:szCs w:val="24"/>
              </w:rPr>
              <w:t>……</w:t>
            </w:r>
          </w:p>
        </w:tc>
        <w:tc>
          <w:tcPr>
            <w:tcW w:w="4591"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2945"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bl>
    <w:p>
      <w:pPr>
        <w:pStyle w:val="19"/>
        <w:ind w:firstLine="0"/>
        <w:rPr>
          <w:rFonts w:eastAsia="宋体"/>
          <w:sz w:val="21"/>
          <w:szCs w:val="21"/>
        </w:rPr>
      </w:pPr>
      <w:r>
        <w:rPr>
          <w:rFonts w:hint="eastAsia" w:eastAsia="宋体"/>
          <w:sz w:val="18"/>
          <w:szCs w:val="18"/>
        </w:rPr>
        <w:t>备注：1、列明采购文件的技术要求与投标文件对应响应，并说明偏离状况（正偏离或负偏离）；2、无偏离应在本表“说明”处醒目地注明“无条款偏离”的字样。3、本表格供参考，投标人可根据项目实际情况自拟（增减）表格。</w:t>
      </w:r>
    </w:p>
    <w:p>
      <w:pPr>
        <w:ind w:right="420"/>
        <w:rPr>
          <w:rFonts w:hint="eastAsia"/>
          <w:sz w:val="24"/>
          <w:szCs w:val="24"/>
        </w:rPr>
      </w:pPr>
    </w:p>
    <w:p>
      <w:pPr>
        <w:ind w:right="420"/>
        <w:rPr>
          <w:rFonts w:hint="eastAsia"/>
          <w:sz w:val="24"/>
          <w:szCs w:val="24"/>
        </w:rPr>
      </w:pPr>
    </w:p>
    <w:p>
      <w:pPr>
        <w:ind w:right="420"/>
        <w:rPr>
          <w:sz w:val="24"/>
          <w:szCs w:val="24"/>
        </w:rPr>
      </w:pPr>
      <w:r>
        <w:rPr>
          <w:rFonts w:hint="eastAsia"/>
          <w:sz w:val="24"/>
          <w:szCs w:val="24"/>
        </w:rPr>
        <w:t>投标人（盖章）：</w:t>
      </w:r>
    </w:p>
    <w:p>
      <w:pPr>
        <w:rPr>
          <w:sz w:val="24"/>
          <w:szCs w:val="24"/>
          <w:u w:val="single"/>
        </w:rPr>
      </w:pPr>
      <w:r>
        <w:rPr>
          <w:rFonts w:hint="eastAsia"/>
          <w:sz w:val="24"/>
          <w:szCs w:val="24"/>
        </w:rPr>
        <w:t>法定代表人或授权代表人（签字或盖章）：</w:t>
      </w:r>
    </w:p>
    <w:p>
      <w:pPr>
        <w:rPr>
          <w:sz w:val="24"/>
          <w:szCs w:val="24"/>
        </w:rPr>
      </w:pPr>
      <w:r>
        <w:rPr>
          <w:rFonts w:hint="eastAsia"/>
          <w:sz w:val="24"/>
          <w:szCs w:val="24"/>
        </w:rPr>
        <w:t>日期：</w:t>
      </w:r>
    </w:p>
    <w:p>
      <w:pPr>
        <w:pStyle w:val="3"/>
        <w:spacing w:before="0" w:after="0" w:line="240" w:lineRule="auto"/>
        <w:ind w:right="-567"/>
        <w:jc w:val="left"/>
        <w:rPr>
          <w:rFonts w:hint="eastAsia" w:ascii="Times New Roman" w:hAnsi="Times New Roman" w:eastAsia="宋体"/>
          <w:sz w:val="24"/>
        </w:rPr>
      </w:pPr>
      <w:r>
        <w:rPr>
          <w:rFonts w:ascii="Times New Roman" w:hAnsi="Times New Roman" w:eastAsia="宋体"/>
          <w:sz w:val="24"/>
        </w:rPr>
        <w:br w:type="page"/>
      </w:r>
    </w:p>
    <w:p>
      <w:pPr>
        <w:pStyle w:val="3"/>
        <w:spacing w:before="0" w:after="0" w:line="240" w:lineRule="auto"/>
        <w:ind w:right="-567"/>
        <w:jc w:val="left"/>
        <w:rPr>
          <w:rFonts w:hint="eastAsia" w:ascii="Times New Roman" w:hAnsi="Times New Roman" w:eastAsia="宋体"/>
          <w:b w:val="0"/>
          <w:sz w:val="18"/>
          <w:szCs w:val="18"/>
        </w:rPr>
      </w:pPr>
      <w:r>
        <w:rPr>
          <w:rFonts w:hint="eastAsia" w:ascii="Times New Roman" w:hAnsi="Times New Roman" w:eastAsia="宋体"/>
          <w:b w:val="0"/>
          <w:sz w:val="18"/>
          <w:szCs w:val="18"/>
        </w:rPr>
        <w:t>格式八  商务条款偏离表</w:t>
      </w:r>
    </w:p>
    <w:p/>
    <w:p>
      <w:pPr>
        <w:pStyle w:val="2"/>
        <w:spacing w:after="120" w:afterLines="50" w:line="360" w:lineRule="exact"/>
        <w:rPr>
          <w:rFonts w:hint="eastAsia" w:ascii="Times New Roman"/>
          <w:sz w:val="32"/>
          <w:szCs w:val="32"/>
        </w:rPr>
      </w:pPr>
      <w:r>
        <w:rPr>
          <w:rFonts w:hint="eastAsia" w:ascii="Times New Roman"/>
          <w:sz w:val="32"/>
          <w:szCs w:val="32"/>
        </w:rPr>
        <w:t>商务条款偏离表</w:t>
      </w:r>
    </w:p>
    <w:p/>
    <w:p>
      <w:pPr>
        <w:pStyle w:val="19"/>
        <w:tabs>
          <w:tab w:val="right" w:pos="8847"/>
        </w:tabs>
        <w:ind w:firstLine="0"/>
        <w:rPr>
          <w:rFonts w:eastAsia="宋体"/>
          <w:szCs w:val="24"/>
          <w:u w:val="single"/>
        </w:rPr>
      </w:pPr>
      <w:r>
        <w:rPr>
          <w:rFonts w:hint="eastAsia" w:eastAsia="宋体"/>
          <w:szCs w:val="24"/>
        </w:rPr>
        <w:t>项目编号：                        项目名称：</w:t>
      </w:r>
    </w:p>
    <w:tbl>
      <w:tblPr>
        <w:tblStyle w:val="50"/>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序号</w:t>
            </w:r>
          </w:p>
        </w:tc>
        <w:tc>
          <w:tcPr>
            <w:tcW w:w="4450"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《采购文件》商务条款要求</w:t>
            </w:r>
          </w:p>
        </w:tc>
        <w:tc>
          <w:tcPr>
            <w:tcW w:w="3086"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《投标文件》商务条款响应</w:t>
            </w:r>
          </w:p>
        </w:tc>
        <w:tc>
          <w:tcPr>
            <w:tcW w:w="995" w:type="dxa"/>
            <w:tcBorders>
              <w:top w:val="single" w:color="auto" w:sz="4" w:space="0"/>
              <w:bottom w:val="single" w:color="auto" w:sz="4" w:space="0"/>
            </w:tcBorders>
            <w:noWrap w:val="0"/>
            <w:tcMar>
              <w:left w:w="0" w:type="dxa"/>
              <w:right w:w="0" w:type="dxa"/>
            </w:tcMar>
            <w:vAlign w:val="center"/>
          </w:tcPr>
          <w:p>
            <w:pPr>
              <w:pStyle w:val="19"/>
              <w:spacing w:line="340" w:lineRule="exact"/>
              <w:ind w:firstLine="0"/>
              <w:contextualSpacing/>
              <w:jc w:val="center"/>
              <w:rPr>
                <w:rFonts w:ascii="Times New Roman" w:hAnsi="Times New Roman" w:eastAsia="宋体"/>
                <w:szCs w:val="24"/>
              </w:rPr>
            </w:pPr>
            <w:r>
              <w:rPr>
                <w:rFonts w:hint="eastAsia" w:ascii="Times New Roman" w:hAnsi="Times New Roman" w:eastAsia="宋体"/>
                <w:szCs w:val="24"/>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1</w:t>
            </w:r>
          </w:p>
        </w:tc>
        <w:tc>
          <w:tcPr>
            <w:tcW w:w="4450" w:type="dxa"/>
            <w:tcBorders>
              <w:top w:val="single" w:color="auto" w:sz="4" w:space="0"/>
            </w:tcBorders>
            <w:noWrap w:val="0"/>
            <w:tcMar>
              <w:left w:w="0" w:type="dxa"/>
              <w:right w:w="0" w:type="dxa"/>
            </w:tcMar>
            <w:vAlign w:val="center"/>
          </w:tcPr>
          <w:p>
            <w:pPr>
              <w:spacing w:line="340" w:lineRule="exact"/>
              <w:contextualSpacing/>
              <w:rPr>
                <w:rFonts w:ascii="Times New Roman" w:hAnsi="Times New Roman"/>
                <w:sz w:val="24"/>
                <w:szCs w:val="24"/>
              </w:rPr>
            </w:pPr>
            <w:r>
              <w:rPr>
                <w:rFonts w:hint="eastAsia" w:ascii="Times New Roman" w:hAnsi="Times New Roman"/>
                <w:sz w:val="24"/>
                <w:szCs w:val="24"/>
              </w:rPr>
              <w:t>付款方式：</w:t>
            </w:r>
          </w:p>
        </w:tc>
        <w:tc>
          <w:tcPr>
            <w:tcW w:w="3086"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tcBorders>
              <w:top w:val="single" w:color="auto" w:sz="4" w:space="0"/>
            </w:tcBorders>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2</w:t>
            </w:r>
          </w:p>
        </w:tc>
        <w:tc>
          <w:tcPr>
            <w:tcW w:w="4450" w:type="dxa"/>
            <w:noWrap w:val="0"/>
            <w:tcMar>
              <w:left w:w="0" w:type="dxa"/>
              <w:right w:w="0" w:type="dxa"/>
            </w:tcMar>
            <w:vAlign w:val="center"/>
          </w:tcPr>
          <w:p>
            <w:pPr>
              <w:spacing w:line="340" w:lineRule="exact"/>
              <w:contextualSpacing/>
              <w:rPr>
                <w:rFonts w:ascii="Times New Roman" w:hAnsi="Times New Roman"/>
                <w:sz w:val="24"/>
                <w:szCs w:val="24"/>
              </w:rPr>
            </w:pPr>
            <w:r>
              <w:rPr>
                <w:rFonts w:hint="eastAsia" w:ascii="Times New Roman" w:hAnsi="Times New Roman"/>
                <w:sz w:val="24"/>
                <w:szCs w:val="24"/>
              </w:rPr>
              <w:t>服务期限：</w:t>
            </w: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3</w:t>
            </w:r>
          </w:p>
        </w:tc>
        <w:tc>
          <w:tcPr>
            <w:tcW w:w="4450" w:type="dxa"/>
            <w:noWrap w:val="0"/>
            <w:tcMar>
              <w:left w:w="0" w:type="dxa"/>
              <w:right w:w="0" w:type="dxa"/>
            </w:tcMar>
            <w:vAlign w:val="center"/>
          </w:tcPr>
          <w:p>
            <w:pPr>
              <w:spacing w:line="340" w:lineRule="exact"/>
              <w:contextualSpacing/>
              <w:rPr>
                <w:rFonts w:hint="eastAsia" w:ascii="Times New Roman" w:hAnsi="Times New Roman"/>
                <w:sz w:val="24"/>
                <w:szCs w:val="24"/>
              </w:rPr>
            </w:pPr>
            <w:r>
              <w:rPr>
                <w:rFonts w:hint="eastAsia" w:ascii="Times New Roman" w:hAnsi="Times New Roman"/>
                <w:sz w:val="24"/>
                <w:szCs w:val="24"/>
              </w:rPr>
              <w:t>投标有效期：</w:t>
            </w: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4</w:t>
            </w:r>
          </w:p>
        </w:tc>
        <w:tc>
          <w:tcPr>
            <w:tcW w:w="4450" w:type="dxa"/>
            <w:noWrap w:val="0"/>
            <w:tcMar>
              <w:left w:w="0" w:type="dxa"/>
              <w:right w:w="0" w:type="dxa"/>
            </w:tcMar>
            <w:vAlign w:val="center"/>
          </w:tcPr>
          <w:p>
            <w:pPr>
              <w:spacing w:line="340" w:lineRule="exact"/>
              <w:contextualSpacing/>
              <w:rPr>
                <w:rFonts w:hint="eastAsia" w:ascii="Times New Roman" w:hAnsi="Times New Roman"/>
                <w:sz w:val="24"/>
                <w:szCs w:val="24"/>
              </w:rPr>
            </w:pPr>
            <w:r>
              <w:rPr>
                <w:rFonts w:hint="eastAsia" w:ascii="Times New Roman" w:hAnsi="Times New Roman"/>
                <w:sz w:val="24"/>
                <w:szCs w:val="24"/>
              </w:rPr>
              <w:t>履约保证金：</w:t>
            </w: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5</w:t>
            </w:r>
          </w:p>
        </w:tc>
        <w:tc>
          <w:tcPr>
            <w:tcW w:w="4450" w:type="dxa"/>
            <w:noWrap w:val="0"/>
            <w:tcMar>
              <w:left w:w="0" w:type="dxa"/>
              <w:right w:w="0" w:type="dxa"/>
            </w:tcMar>
            <w:vAlign w:val="center"/>
          </w:tcPr>
          <w:p>
            <w:pPr>
              <w:spacing w:line="340" w:lineRule="exact"/>
              <w:contextualSpacing/>
              <w:rPr>
                <w:rFonts w:ascii="Times New Roman" w:hAnsi="Times New Roman"/>
                <w:sz w:val="24"/>
                <w:szCs w:val="24"/>
              </w:rPr>
            </w:pPr>
            <w:r>
              <w:rPr>
                <w:rFonts w:hint="eastAsia" w:ascii="Times New Roman" w:hAnsi="Times New Roman"/>
                <w:sz w:val="24"/>
                <w:szCs w:val="24"/>
              </w:rPr>
              <w:t>结算方式：</w:t>
            </w: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6</w:t>
            </w:r>
          </w:p>
        </w:tc>
        <w:tc>
          <w:tcPr>
            <w:tcW w:w="4450" w:type="dxa"/>
            <w:noWrap w:val="0"/>
            <w:tcMar>
              <w:left w:w="0" w:type="dxa"/>
              <w:right w:w="0" w:type="dxa"/>
            </w:tcMar>
            <w:vAlign w:val="center"/>
          </w:tcPr>
          <w:p>
            <w:pPr>
              <w:spacing w:line="340" w:lineRule="exact"/>
              <w:contextualSpacing/>
              <w:rPr>
                <w:rFonts w:ascii="Times New Roman" w:hAnsi="Times New Roman"/>
                <w:sz w:val="24"/>
                <w:szCs w:val="24"/>
              </w:rPr>
            </w:pPr>
            <w:r>
              <w:rPr>
                <w:rFonts w:ascii="Times New Roman" w:hAnsi="Times New Roman"/>
                <w:sz w:val="24"/>
                <w:szCs w:val="24"/>
              </w:rPr>
              <w:t>……</w:t>
            </w: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7</w:t>
            </w:r>
          </w:p>
        </w:tc>
        <w:tc>
          <w:tcPr>
            <w:tcW w:w="4450" w:type="dxa"/>
            <w:noWrap w:val="0"/>
            <w:tcMar>
              <w:left w:w="0" w:type="dxa"/>
              <w:right w:w="0" w:type="dxa"/>
            </w:tcMar>
            <w:vAlign w:val="center"/>
          </w:tcPr>
          <w:p>
            <w:pPr>
              <w:spacing w:line="340" w:lineRule="exact"/>
              <w:contextualSpacing/>
              <w:rPr>
                <w:rFonts w:ascii="Times New Roman" w:hAnsi="Times New Roman"/>
                <w:sz w:val="24"/>
                <w:szCs w:val="24"/>
              </w:rPr>
            </w:pP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ascii="Times New Roman" w:hAnsi="Times New Roman"/>
                <w:sz w:val="24"/>
                <w:szCs w:val="24"/>
              </w:rPr>
              <w:t>8</w:t>
            </w:r>
          </w:p>
        </w:tc>
        <w:tc>
          <w:tcPr>
            <w:tcW w:w="4450" w:type="dxa"/>
            <w:noWrap w:val="0"/>
            <w:tcMar>
              <w:left w:w="0" w:type="dxa"/>
              <w:right w:w="0" w:type="dxa"/>
            </w:tcMar>
            <w:vAlign w:val="center"/>
          </w:tcPr>
          <w:p>
            <w:pPr>
              <w:spacing w:line="340" w:lineRule="exact"/>
              <w:contextualSpacing/>
              <w:rPr>
                <w:rFonts w:ascii="Times New Roman" w:hAnsi="Times New Roman"/>
                <w:sz w:val="24"/>
                <w:szCs w:val="24"/>
              </w:rPr>
            </w:pP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ascii="Times New Roman" w:hAnsi="Times New Roman"/>
                <w:sz w:val="24"/>
                <w:szCs w:val="24"/>
              </w:rPr>
            </w:pPr>
            <w:r>
              <w:rPr>
                <w:rFonts w:hint="eastAsia" w:ascii="Times New Roman" w:hAnsi="Times New Roman"/>
                <w:sz w:val="24"/>
                <w:szCs w:val="24"/>
              </w:rPr>
              <w:t>9</w:t>
            </w:r>
          </w:p>
        </w:tc>
        <w:tc>
          <w:tcPr>
            <w:tcW w:w="4450"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hint="eastAsia"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0</w:t>
            </w:r>
          </w:p>
        </w:tc>
        <w:tc>
          <w:tcPr>
            <w:tcW w:w="4450"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60" w:hRule="atLeast"/>
          <w:jc w:val="center"/>
        </w:trPr>
        <w:tc>
          <w:tcPr>
            <w:tcW w:w="711" w:type="dxa"/>
            <w:noWrap w:val="0"/>
            <w:tcMar>
              <w:left w:w="0" w:type="dxa"/>
              <w:right w:w="0" w:type="dxa"/>
            </w:tcMar>
            <w:vAlign w:val="center"/>
          </w:tcPr>
          <w:p>
            <w:pPr>
              <w:spacing w:line="340" w:lineRule="exact"/>
              <w:contextualSpacing/>
              <w:jc w:val="center"/>
              <w:rPr>
                <w:rFonts w:hint="eastAsia" w:ascii="Times New Roman" w:hAnsi="Times New Roman"/>
                <w:sz w:val="24"/>
                <w:szCs w:val="24"/>
              </w:rPr>
            </w:pPr>
            <w:r>
              <w:rPr>
                <w:rFonts w:ascii="Times New Roman" w:hAnsi="Times New Roman"/>
                <w:sz w:val="24"/>
                <w:szCs w:val="24"/>
              </w:rPr>
              <w:t>……</w:t>
            </w:r>
          </w:p>
        </w:tc>
        <w:tc>
          <w:tcPr>
            <w:tcW w:w="4450" w:type="dxa"/>
            <w:noWrap w:val="0"/>
            <w:tcMar>
              <w:left w:w="0" w:type="dxa"/>
              <w:right w:w="0" w:type="dxa"/>
            </w:tcMar>
            <w:vAlign w:val="center"/>
          </w:tcPr>
          <w:p>
            <w:pPr>
              <w:spacing w:line="340" w:lineRule="exact"/>
              <w:contextualSpacing/>
              <w:rPr>
                <w:rFonts w:hint="eastAsia" w:ascii="Times New Roman" w:hAnsi="Times New Roman"/>
                <w:sz w:val="24"/>
                <w:szCs w:val="24"/>
              </w:rPr>
            </w:pPr>
          </w:p>
        </w:tc>
        <w:tc>
          <w:tcPr>
            <w:tcW w:w="3086" w:type="dxa"/>
            <w:noWrap w:val="0"/>
            <w:tcMar>
              <w:left w:w="0" w:type="dxa"/>
              <w:right w:w="0" w:type="dxa"/>
            </w:tcMar>
            <w:vAlign w:val="center"/>
          </w:tcPr>
          <w:p>
            <w:pPr>
              <w:spacing w:line="340" w:lineRule="exact"/>
              <w:contextualSpacing/>
              <w:jc w:val="center"/>
              <w:rPr>
                <w:rFonts w:ascii="Times New Roman" w:hAnsi="Times New Roman"/>
                <w:sz w:val="24"/>
                <w:szCs w:val="24"/>
              </w:rPr>
            </w:pPr>
          </w:p>
        </w:tc>
        <w:tc>
          <w:tcPr>
            <w:tcW w:w="995" w:type="dxa"/>
            <w:noWrap w:val="0"/>
            <w:tcMar>
              <w:left w:w="0" w:type="dxa"/>
              <w:right w:w="0" w:type="dxa"/>
            </w:tcMar>
            <w:vAlign w:val="center"/>
          </w:tcPr>
          <w:p>
            <w:pPr>
              <w:spacing w:line="340" w:lineRule="exact"/>
              <w:contextualSpacing/>
              <w:jc w:val="center"/>
              <w:rPr>
                <w:rFonts w:ascii="Times New Roman" w:hAnsi="Times New Roman"/>
                <w:sz w:val="24"/>
                <w:szCs w:val="24"/>
              </w:rPr>
            </w:pPr>
          </w:p>
        </w:tc>
      </w:tr>
    </w:tbl>
    <w:p>
      <w:pPr>
        <w:pStyle w:val="19"/>
        <w:ind w:firstLine="0"/>
        <w:rPr>
          <w:rFonts w:eastAsia="宋体"/>
          <w:sz w:val="21"/>
          <w:szCs w:val="21"/>
        </w:rPr>
      </w:pPr>
      <w:r>
        <w:rPr>
          <w:rFonts w:hint="eastAsia" w:eastAsia="宋体"/>
          <w:sz w:val="18"/>
          <w:szCs w:val="18"/>
        </w:rPr>
        <w:t>备注：1、列明采购文件的商务要求与投标文件对应响应，并说明偏离状况（正偏离或负偏离）；2、无偏离应在本表“说明”处醒目地注明“无条款偏离”的字样。3、本表格供参考，投标人可根据项目实际情况自拟（增减）表格。</w:t>
      </w:r>
    </w:p>
    <w:p>
      <w:pPr>
        <w:ind w:right="420"/>
        <w:rPr>
          <w:rFonts w:hint="eastAsia"/>
          <w:sz w:val="24"/>
          <w:szCs w:val="24"/>
        </w:rPr>
      </w:pPr>
    </w:p>
    <w:p>
      <w:pPr>
        <w:ind w:right="420"/>
        <w:rPr>
          <w:rFonts w:hint="eastAsia"/>
          <w:sz w:val="24"/>
          <w:szCs w:val="24"/>
        </w:rPr>
      </w:pPr>
    </w:p>
    <w:p>
      <w:pPr>
        <w:ind w:right="420"/>
        <w:rPr>
          <w:sz w:val="24"/>
          <w:szCs w:val="24"/>
        </w:rPr>
      </w:pPr>
      <w:r>
        <w:rPr>
          <w:rFonts w:hint="eastAsia"/>
          <w:sz w:val="24"/>
          <w:szCs w:val="24"/>
        </w:rPr>
        <w:t>投标人（盖章）：</w:t>
      </w:r>
    </w:p>
    <w:p>
      <w:pPr>
        <w:rPr>
          <w:sz w:val="24"/>
          <w:szCs w:val="24"/>
          <w:u w:val="single"/>
        </w:rPr>
      </w:pPr>
      <w:r>
        <w:rPr>
          <w:rFonts w:hint="eastAsia"/>
          <w:sz w:val="24"/>
          <w:szCs w:val="24"/>
        </w:rPr>
        <w:t>法定代表人或授权代表人（签字或盖章）：</w:t>
      </w:r>
    </w:p>
    <w:p>
      <w:pPr>
        <w:rPr>
          <w:sz w:val="24"/>
          <w:szCs w:val="24"/>
        </w:rPr>
      </w:pPr>
      <w:r>
        <w:rPr>
          <w:rFonts w:hint="eastAsia"/>
          <w:sz w:val="24"/>
          <w:szCs w:val="24"/>
        </w:rPr>
        <w:t>日期：</w:t>
      </w:r>
    </w:p>
    <w:p>
      <w:pPr>
        <w:spacing w:line="360" w:lineRule="auto"/>
        <w:contextualSpacing/>
        <w:outlineLvl w:val="1"/>
        <w:rPr>
          <w:rFonts w:hint="eastAsia"/>
          <w:szCs w:val="24"/>
        </w:rPr>
      </w:pPr>
      <w:r>
        <w:rPr>
          <w:sz w:val="24"/>
        </w:rPr>
        <w:br w:type="page"/>
      </w:r>
      <w:r>
        <w:rPr>
          <w:rFonts w:hint="eastAsia"/>
          <w:b/>
          <w:sz w:val="24"/>
        </w:rPr>
        <w:t xml:space="preserve"> </w:t>
      </w:r>
    </w:p>
    <w:p>
      <w:pPr>
        <w:pStyle w:val="3"/>
        <w:spacing w:before="0" w:after="0" w:line="240" w:lineRule="auto"/>
        <w:ind w:right="-567"/>
        <w:jc w:val="left"/>
        <w:rPr>
          <w:rFonts w:hint="eastAsia" w:ascii="Times New Roman" w:hAnsi="Times New Roman" w:eastAsia="宋体"/>
          <w:sz w:val="18"/>
          <w:szCs w:val="18"/>
        </w:rPr>
      </w:pPr>
      <w:r>
        <w:rPr>
          <w:rFonts w:hint="eastAsia" w:ascii="Times New Roman" w:hAnsi="Times New Roman" w:eastAsia="宋体"/>
          <w:b w:val="0"/>
          <w:bCs w:val="0"/>
          <w:sz w:val="18"/>
          <w:szCs w:val="18"/>
        </w:rPr>
        <w:t>格式九  项目管理人员配备表</w:t>
      </w:r>
      <w:r>
        <w:rPr>
          <w:rFonts w:hint="eastAsia" w:ascii="Times New Roman" w:hAnsi="Times New Roman" w:eastAsia="宋体"/>
          <w:sz w:val="18"/>
          <w:szCs w:val="18"/>
        </w:rPr>
        <w:t xml:space="preserve">  </w:t>
      </w:r>
    </w:p>
    <w:p>
      <w:pPr>
        <w:pStyle w:val="2"/>
        <w:spacing w:after="120" w:afterLines="50" w:line="360" w:lineRule="exact"/>
        <w:rPr>
          <w:rFonts w:hint="eastAsia" w:ascii="Times New Roman"/>
          <w:sz w:val="32"/>
          <w:szCs w:val="32"/>
        </w:rPr>
      </w:pPr>
      <w:r>
        <w:rPr>
          <w:rFonts w:hint="eastAsia" w:ascii="Times New Roman"/>
          <w:sz w:val="32"/>
          <w:szCs w:val="32"/>
        </w:rPr>
        <w:t>项目管理人员配备表</w:t>
      </w:r>
    </w:p>
    <w:p>
      <w:pPr>
        <w:pStyle w:val="19"/>
        <w:ind w:right="420" w:firstLine="0"/>
        <w:jc w:val="left"/>
        <w:rPr>
          <w:rFonts w:eastAsia="宋体"/>
          <w:szCs w:val="24"/>
          <w:u w:val="single"/>
        </w:rPr>
      </w:pPr>
    </w:p>
    <w:p>
      <w:pPr>
        <w:pStyle w:val="19"/>
        <w:ind w:right="420" w:firstLine="0"/>
        <w:jc w:val="left"/>
        <w:rPr>
          <w:rFonts w:hint="eastAsia" w:eastAsia="宋体"/>
          <w:szCs w:val="24"/>
          <w:u w:val="single"/>
        </w:rPr>
      </w:pPr>
      <w:r>
        <w:rPr>
          <w:rFonts w:hint="eastAsia" w:eastAsia="宋体"/>
          <w:szCs w:val="24"/>
        </w:rPr>
        <w:t>项目名称：</w:t>
      </w:r>
      <w:r>
        <w:rPr>
          <w:rFonts w:hint="eastAsia" w:eastAsia="宋体"/>
          <w:szCs w:val="24"/>
          <w:u w:val="single"/>
        </w:rPr>
        <w:t xml:space="preserve">                  </w:t>
      </w:r>
      <w:r>
        <w:rPr>
          <w:rFonts w:hint="eastAsia" w:eastAsia="宋体"/>
          <w:szCs w:val="24"/>
        </w:rPr>
        <w:t xml:space="preserve">           项目编号：</w:t>
      </w:r>
      <w:r>
        <w:rPr>
          <w:rFonts w:hint="eastAsia" w:eastAsia="宋体"/>
          <w:szCs w:val="24"/>
          <w:u w:val="single"/>
        </w:rPr>
        <w:t xml:space="preserve">             </w:t>
      </w:r>
    </w:p>
    <w:p>
      <w:pPr>
        <w:pStyle w:val="19"/>
        <w:ind w:right="420" w:firstLine="0"/>
        <w:jc w:val="left"/>
        <w:rPr>
          <w:rFonts w:hint="eastAsia" w:eastAsia="宋体"/>
          <w:szCs w:val="24"/>
          <w:u w:val="singl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05"/>
        <w:gridCol w:w="1985"/>
        <w:gridCol w:w="1854"/>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901" w:type="dxa"/>
            <w:noWrap w:val="0"/>
            <w:vAlign w:val="center"/>
          </w:tcPr>
          <w:p>
            <w:pPr>
              <w:jc w:val="center"/>
              <w:rPr>
                <w:rFonts w:ascii="Times New Roman" w:hAnsi="Times New Roman"/>
                <w:szCs w:val="21"/>
              </w:rPr>
            </w:pPr>
            <w:r>
              <w:rPr>
                <w:rFonts w:ascii="Times New Roman" w:hAnsi="Times New Roman"/>
                <w:szCs w:val="21"/>
              </w:rPr>
              <w:t>序号</w:t>
            </w:r>
          </w:p>
        </w:tc>
        <w:tc>
          <w:tcPr>
            <w:tcW w:w="2105" w:type="dxa"/>
            <w:noWrap w:val="0"/>
            <w:vAlign w:val="center"/>
          </w:tcPr>
          <w:p>
            <w:pPr>
              <w:jc w:val="center"/>
              <w:rPr>
                <w:rFonts w:ascii="Times New Roman" w:hAnsi="Times New Roman"/>
                <w:szCs w:val="21"/>
              </w:rPr>
            </w:pPr>
            <w:r>
              <w:rPr>
                <w:rFonts w:ascii="Times New Roman" w:hAnsi="Times New Roman"/>
                <w:szCs w:val="21"/>
              </w:rPr>
              <w:t>姓名</w:t>
            </w:r>
          </w:p>
        </w:tc>
        <w:tc>
          <w:tcPr>
            <w:tcW w:w="1985" w:type="dxa"/>
            <w:noWrap w:val="0"/>
            <w:vAlign w:val="center"/>
          </w:tcPr>
          <w:p>
            <w:pPr>
              <w:jc w:val="center"/>
              <w:rPr>
                <w:rFonts w:ascii="Times New Roman" w:hAnsi="Times New Roman"/>
                <w:szCs w:val="21"/>
              </w:rPr>
            </w:pPr>
            <w:r>
              <w:rPr>
                <w:rFonts w:ascii="Times New Roman" w:hAnsi="Times New Roman"/>
                <w:szCs w:val="21"/>
              </w:rPr>
              <w:t>岗位或工种</w:t>
            </w:r>
          </w:p>
        </w:tc>
        <w:tc>
          <w:tcPr>
            <w:tcW w:w="1854" w:type="dxa"/>
            <w:noWrap w:val="0"/>
            <w:vAlign w:val="center"/>
          </w:tcPr>
          <w:p>
            <w:pPr>
              <w:jc w:val="center"/>
              <w:rPr>
                <w:rFonts w:ascii="Times New Roman" w:hAnsi="Times New Roman"/>
                <w:szCs w:val="21"/>
              </w:rPr>
            </w:pPr>
            <w:r>
              <w:rPr>
                <w:rFonts w:ascii="Times New Roman" w:hAnsi="Times New Roman"/>
                <w:szCs w:val="21"/>
              </w:rPr>
              <w:t>职称或技术等级</w:t>
            </w:r>
          </w:p>
        </w:tc>
        <w:tc>
          <w:tcPr>
            <w:tcW w:w="2342" w:type="dxa"/>
            <w:noWrap w:val="0"/>
            <w:vAlign w:val="center"/>
          </w:tcPr>
          <w:p>
            <w:pPr>
              <w:jc w:val="center"/>
              <w:rPr>
                <w:rFonts w:ascii="Times New Roman" w:hAnsi="Times New Roman"/>
                <w:szCs w:val="21"/>
              </w:rPr>
            </w:pPr>
            <w:r>
              <w:rPr>
                <w:rFonts w:ascii="Times New Roman" w:hAnsi="Times New Roman"/>
                <w:szCs w:val="21"/>
              </w:rPr>
              <w:t>承担过的类似项目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jc w:val="cente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jc w:val="cente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rPr>
                <w:rFonts w:ascii="Times New Roman" w:hAnsi="Times New Roman"/>
                <w:szCs w:val="21"/>
              </w:rPr>
            </w:pP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jc w:val="center"/>
              <w:rPr>
                <w:rFonts w:ascii="Times New Roman" w:hAnsi="Times New Roman"/>
                <w:szCs w:val="21"/>
              </w:rPr>
            </w:pPr>
            <w:r>
              <w:rPr>
                <w:rFonts w:hint="eastAsia" w:ascii="Times New Roman" w:hAnsi="Times New Roman"/>
                <w:szCs w:val="21"/>
              </w:rPr>
              <w:t>...</w:t>
            </w:r>
          </w:p>
        </w:tc>
        <w:tc>
          <w:tcPr>
            <w:tcW w:w="1985" w:type="dxa"/>
            <w:noWrap w:val="0"/>
            <w:vAlign w:val="center"/>
          </w:tcPr>
          <w:p>
            <w:pPr>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ascii="Times New Roman" w:hAnsi="Times New Roman"/>
                <w:szCs w:val="21"/>
              </w:rPr>
            </w:pPr>
            <w:r>
              <w:rPr>
                <w:rFonts w:hint="eastAsia" w:ascii="Times New Roman" w:hAnsi="Times New Roman"/>
                <w:szCs w:val="21"/>
              </w:rPr>
              <w:t>...</w:t>
            </w: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hint="eastAsia" w:ascii="Times New Roman" w:hAnsi="Times New Roman"/>
                <w:szCs w:val="21"/>
              </w:rPr>
            </w:pP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hint="eastAsia" w:ascii="Times New Roman" w:hAnsi="Times New Roman"/>
                <w:szCs w:val="21"/>
              </w:rPr>
            </w:pP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hint="eastAsia" w:ascii="Times New Roman" w:hAnsi="Times New Roman"/>
                <w:szCs w:val="21"/>
              </w:rPr>
            </w:pP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hint="eastAsia" w:ascii="Times New Roman" w:hAnsi="Times New Roman"/>
                <w:szCs w:val="21"/>
              </w:rPr>
            </w:pP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01" w:type="dxa"/>
            <w:noWrap w:val="0"/>
            <w:vAlign w:val="center"/>
          </w:tcPr>
          <w:p>
            <w:pPr>
              <w:jc w:val="center"/>
              <w:rPr>
                <w:rFonts w:ascii="Times New Roman" w:hAnsi="Times New Roman"/>
                <w:szCs w:val="21"/>
              </w:rPr>
            </w:pPr>
          </w:p>
        </w:tc>
        <w:tc>
          <w:tcPr>
            <w:tcW w:w="2105" w:type="dxa"/>
            <w:noWrap w:val="0"/>
            <w:vAlign w:val="center"/>
          </w:tcPr>
          <w:p>
            <w:pPr>
              <w:tabs>
                <w:tab w:val="left" w:pos="973"/>
              </w:tabs>
              <w:ind w:firstLine="613" w:firstLineChars="292"/>
              <w:rPr>
                <w:rFonts w:hint="eastAsia" w:ascii="Times New Roman" w:hAnsi="Times New Roman"/>
                <w:szCs w:val="21"/>
              </w:rPr>
            </w:pPr>
          </w:p>
        </w:tc>
        <w:tc>
          <w:tcPr>
            <w:tcW w:w="1985" w:type="dxa"/>
            <w:noWrap w:val="0"/>
            <w:vAlign w:val="center"/>
          </w:tcPr>
          <w:p>
            <w:pPr>
              <w:tabs>
                <w:tab w:val="left" w:pos="973"/>
              </w:tabs>
              <w:ind w:firstLine="613" w:firstLineChars="292"/>
              <w:jc w:val="center"/>
              <w:rPr>
                <w:rFonts w:ascii="Times New Roman" w:hAnsi="Times New Roman"/>
                <w:szCs w:val="21"/>
              </w:rPr>
            </w:pPr>
          </w:p>
        </w:tc>
        <w:tc>
          <w:tcPr>
            <w:tcW w:w="1854" w:type="dxa"/>
            <w:noWrap w:val="0"/>
            <w:vAlign w:val="center"/>
          </w:tcPr>
          <w:p>
            <w:pPr>
              <w:jc w:val="center"/>
              <w:rPr>
                <w:rFonts w:ascii="Times New Roman" w:hAnsi="Times New Roman"/>
                <w:szCs w:val="21"/>
              </w:rPr>
            </w:pPr>
          </w:p>
        </w:tc>
        <w:tc>
          <w:tcPr>
            <w:tcW w:w="2342"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jc w:val="center"/>
        </w:trPr>
        <w:tc>
          <w:tcPr>
            <w:tcW w:w="9187" w:type="dxa"/>
            <w:gridSpan w:val="5"/>
            <w:noWrap w:val="0"/>
            <w:vAlign w:val="top"/>
          </w:tcPr>
          <w:p>
            <w:pPr>
              <w:jc w:val="left"/>
              <w:rPr>
                <w:rFonts w:hint="eastAsia" w:ascii="Times New Roman" w:hAnsi="Times New Roman"/>
                <w:szCs w:val="21"/>
              </w:rPr>
            </w:pPr>
          </w:p>
          <w:p>
            <w:pPr>
              <w:jc w:val="left"/>
              <w:rPr>
                <w:rFonts w:ascii="Times New Roman" w:hAnsi="Times New Roman"/>
                <w:szCs w:val="21"/>
              </w:rPr>
            </w:pPr>
            <w:r>
              <w:rPr>
                <w:rFonts w:ascii="Times New Roman" w:hAnsi="Times New Roman"/>
                <w:szCs w:val="21"/>
              </w:rPr>
              <w:t>合计：</w:t>
            </w:r>
            <w:r>
              <w:rPr>
                <w:rFonts w:ascii="Times New Roman" w:hAnsi="Times New Roman"/>
                <w:szCs w:val="21"/>
                <w:u w:val="single"/>
              </w:rPr>
              <w:t>_</w:t>
            </w:r>
            <w:r>
              <w:rPr>
                <w:rFonts w:hint="eastAsia" w:ascii="Times New Roman" w:hAnsi="Times New Roman"/>
                <w:szCs w:val="21"/>
                <w:u w:val="single"/>
              </w:rPr>
              <w:t xml:space="preserve">                   </w:t>
            </w:r>
            <w:r>
              <w:rPr>
                <w:rFonts w:ascii="Times New Roman" w:hAnsi="Times New Roman"/>
                <w:szCs w:val="21"/>
                <w:u w:val="single"/>
              </w:rPr>
              <w:t>__</w:t>
            </w:r>
            <w:r>
              <w:rPr>
                <w:rFonts w:ascii="Times New Roman" w:hAnsi="Times New Roman"/>
                <w:szCs w:val="21"/>
              </w:rPr>
              <w:t>人</w:t>
            </w:r>
          </w:p>
        </w:tc>
      </w:tr>
    </w:tbl>
    <w:p>
      <w:pPr>
        <w:jc w:val="left"/>
        <w:rPr>
          <w:szCs w:val="21"/>
        </w:rPr>
      </w:pPr>
      <w:r>
        <w:rPr>
          <w:szCs w:val="21"/>
        </w:rPr>
        <w:t>注：</w:t>
      </w:r>
      <w:r>
        <w:rPr>
          <w:rFonts w:hint="eastAsia"/>
          <w:szCs w:val="21"/>
        </w:rPr>
        <w:t>附相关证明文件</w:t>
      </w:r>
    </w:p>
    <w:p>
      <w:pPr>
        <w:jc w:val="left"/>
        <w:rPr>
          <w:szCs w:val="21"/>
        </w:rPr>
      </w:pPr>
    </w:p>
    <w:p>
      <w:pPr>
        <w:ind w:right="420"/>
        <w:rPr>
          <w:rFonts w:hint="eastAsia"/>
          <w:sz w:val="24"/>
          <w:szCs w:val="24"/>
        </w:rPr>
      </w:pPr>
    </w:p>
    <w:p>
      <w:pPr>
        <w:ind w:right="420"/>
        <w:rPr>
          <w:sz w:val="24"/>
          <w:szCs w:val="24"/>
        </w:rPr>
      </w:pPr>
      <w:r>
        <w:rPr>
          <w:rFonts w:hint="eastAsia"/>
          <w:sz w:val="24"/>
          <w:szCs w:val="24"/>
        </w:rPr>
        <w:t>投标人（盖章）：</w:t>
      </w:r>
    </w:p>
    <w:p>
      <w:pPr>
        <w:rPr>
          <w:sz w:val="24"/>
          <w:szCs w:val="24"/>
          <w:u w:val="single"/>
        </w:rPr>
      </w:pPr>
      <w:r>
        <w:rPr>
          <w:rFonts w:hint="eastAsia"/>
          <w:sz w:val="24"/>
          <w:szCs w:val="24"/>
        </w:rPr>
        <w:t>法定代表人或授权代表人（签字或盖章）：</w:t>
      </w:r>
    </w:p>
    <w:p>
      <w:pPr>
        <w:rPr>
          <w:sz w:val="24"/>
          <w:szCs w:val="24"/>
        </w:rPr>
      </w:pPr>
      <w:r>
        <w:rPr>
          <w:rFonts w:hint="eastAsia"/>
          <w:sz w:val="24"/>
          <w:szCs w:val="24"/>
        </w:rPr>
        <w:t>日期：</w:t>
      </w:r>
    </w:p>
    <w:p>
      <w:pPr>
        <w:pStyle w:val="3"/>
        <w:spacing w:before="0" w:after="0" w:line="240" w:lineRule="auto"/>
        <w:ind w:right="-567"/>
        <w:jc w:val="left"/>
        <w:rPr>
          <w:rFonts w:ascii="Times New Roman" w:hAnsi="Times New Roman" w:eastAsia="宋体"/>
          <w:sz w:val="24"/>
        </w:rPr>
      </w:pPr>
      <w:r>
        <w:rPr>
          <w:rFonts w:ascii="Times New Roman" w:hAnsi="Times New Roman" w:eastAsia="宋体"/>
          <w:sz w:val="24"/>
        </w:rPr>
        <w:br w:type="page"/>
      </w:r>
    </w:p>
    <w:p>
      <w:pPr>
        <w:pStyle w:val="3"/>
        <w:spacing w:before="0" w:after="0" w:line="240" w:lineRule="auto"/>
        <w:ind w:right="-567"/>
        <w:jc w:val="left"/>
        <w:rPr>
          <w:rFonts w:ascii="Times New Roman" w:hAnsi="Times New Roman" w:eastAsia="宋体"/>
          <w:b w:val="0"/>
          <w:sz w:val="18"/>
          <w:szCs w:val="18"/>
        </w:rPr>
      </w:pPr>
      <w:r>
        <w:rPr>
          <w:rFonts w:hint="eastAsia" w:ascii="Times New Roman" w:hAnsi="Times New Roman" w:eastAsia="宋体"/>
          <w:b w:val="0"/>
          <w:sz w:val="18"/>
          <w:szCs w:val="18"/>
        </w:rPr>
        <w:t>格式十 类似项目业绩表</w:t>
      </w:r>
    </w:p>
    <w:p>
      <w:pPr>
        <w:spacing w:line="360" w:lineRule="auto"/>
        <w:rPr>
          <w:u w:val="single"/>
        </w:rPr>
      </w:pPr>
    </w:p>
    <w:p>
      <w:pPr>
        <w:pStyle w:val="2"/>
        <w:spacing w:after="120" w:afterLines="50" w:line="360" w:lineRule="exact"/>
        <w:rPr>
          <w:rFonts w:ascii="Times New Roman"/>
          <w:sz w:val="32"/>
          <w:szCs w:val="32"/>
        </w:rPr>
      </w:pPr>
      <w:r>
        <w:rPr>
          <w:rFonts w:hint="eastAsia" w:ascii="Times New Roman"/>
          <w:sz w:val="32"/>
          <w:szCs w:val="32"/>
        </w:rPr>
        <w:t>类似项目业绩表</w:t>
      </w:r>
    </w:p>
    <w:p>
      <w:pPr>
        <w:rPr>
          <w:sz w:val="28"/>
        </w:rPr>
      </w:pPr>
    </w:p>
    <w:p>
      <w:pPr>
        <w:pStyle w:val="19"/>
        <w:tabs>
          <w:tab w:val="right" w:pos="8847"/>
        </w:tabs>
        <w:ind w:firstLine="0"/>
        <w:rPr>
          <w:rFonts w:eastAsia="宋体"/>
          <w:szCs w:val="24"/>
          <w:u w:val="single"/>
        </w:rPr>
      </w:pPr>
      <w:r>
        <w:rPr>
          <w:rFonts w:hint="eastAsia" w:eastAsia="宋体"/>
          <w:szCs w:val="24"/>
        </w:rPr>
        <w:t>项目编号：                         项目名称：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654"/>
        <w:gridCol w:w="1753"/>
        <w:gridCol w:w="1276"/>
        <w:gridCol w:w="1701"/>
        <w:gridCol w:w="175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05" w:hRule="atLeast"/>
        </w:trPr>
        <w:tc>
          <w:tcPr>
            <w:tcW w:w="709"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序号</w:t>
            </w:r>
          </w:p>
        </w:tc>
        <w:tc>
          <w:tcPr>
            <w:tcW w:w="1654" w:type="dxa"/>
            <w:tcBorders>
              <w:top w:val="single" w:color="auto" w:sz="4" w:space="0"/>
              <w:bottom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服务名称</w:t>
            </w:r>
          </w:p>
        </w:tc>
        <w:tc>
          <w:tcPr>
            <w:tcW w:w="175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业主名称</w:t>
            </w:r>
          </w:p>
        </w:tc>
        <w:tc>
          <w:tcPr>
            <w:tcW w:w="1276"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合同金额</w:t>
            </w:r>
          </w:p>
        </w:tc>
        <w:tc>
          <w:tcPr>
            <w:tcW w:w="1701"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合同签订时间</w:t>
            </w:r>
          </w:p>
        </w:tc>
        <w:tc>
          <w:tcPr>
            <w:tcW w:w="1753" w:type="dxa"/>
            <w:tcBorders>
              <w:top w:val="single" w:color="auto" w:sz="4" w:space="0"/>
              <w:bottom w:val="single" w:color="auto" w:sz="4" w:space="0"/>
            </w:tcBorders>
            <w:noWrap w:val="0"/>
            <w:tcMar>
              <w:left w:w="0" w:type="dxa"/>
              <w:right w:w="0" w:type="dxa"/>
            </w:tcMar>
            <w:vAlign w:val="center"/>
          </w:tcPr>
          <w:p>
            <w:pPr>
              <w:spacing w:line="0" w:lineRule="atLeast"/>
              <w:ind w:left="-115" w:right="-107"/>
              <w:jc w:val="center"/>
              <w:rPr>
                <w:rFonts w:ascii="Times New Roman" w:hAnsi="Times New Roman"/>
                <w:sz w:val="24"/>
                <w:szCs w:val="24"/>
              </w:rPr>
            </w:pPr>
            <w:r>
              <w:rPr>
                <w:rFonts w:hint="eastAsia" w:ascii="Times New Roman" w:hAnsi="Times New Roman"/>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w:t>
            </w:r>
          </w:p>
        </w:tc>
        <w:tc>
          <w:tcPr>
            <w:tcW w:w="1654"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53"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276"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01"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c>
          <w:tcPr>
            <w:tcW w:w="1753" w:type="dxa"/>
            <w:tcBorders>
              <w:top w:val="single" w:color="auto" w:sz="4" w:space="0"/>
            </w:tcBorders>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2</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3</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4</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5</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6</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7</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8</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9</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10</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18" w:hRule="atLeast"/>
        </w:trPr>
        <w:tc>
          <w:tcPr>
            <w:tcW w:w="709" w:type="dxa"/>
            <w:noWrap w:val="0"/>
            <w:tcMar>
              <w:left w:w="0" w:type="dxa"/>
              <w:right w:w="0" w:type="dxa"/>
            </w:tcMar>
            <w:vAlign w:val="center"/>
          </w:tcPr>
          <w:p>
            <w:pPr>
              <w:spacing w:line="0" w:lineRule="atLeast"/>
              <w:jc w:val="center"/>
              <w:rPr>
                <w:rFonts w:ascii="Times New Roman" w:hAnsi="Times New Roman"/>
                <w:sz w:val="24"/>
                <w:szCs w:val="24"/>
              </w:rPr>
            </w:pPr>
            <w:r>
              <w:rPr>
                <w:rFonts w:hint="eastAsia" w:ascii="Times New Roman" w:hAnsi="Times New Roman"/>
                <w:sz w:val="24"/>
                <w:szCs w:val="24"/>
              </w:rPr>
              <w:t>11</w:t>
            </w:r>
          </w:p>
        </w:tc>
        <w:tc>
          <w:tcPr>
            <w:tcW w:w="1654"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c>
          <w:tcPr>
            <w:tcW w:w="1276" w:type="dxa"/>
            <w:noWrap w:val="0"/>
            <w:tcMar>
              <w:left w:w="0" w:type="dxa"/>
              <w:right w:w="0" w:type="dxa"/>
            </w:tcMar>
            <w:vAlign w:val="center"/>
          </w:tcPr>
          <w:p>
            <w:pPr>
              <w:spacing w:line="0" w:lineRule="atLeast"/>
              <w:jc w:val="center"/>
              <w:rPr>
                <w:rFonts w:ascii="Times New Roman" w:hAnsi="Times New Roman"/>
                <w:sz w:val="24"/>
                <w:szCs w:val="24"/>
              </w:rPr>
            </w:pPr>
          </w:p>
        </w:tc>
        <w:tc>
          <w:tcPr>
            <w:tcW w:w="1701" w:type="dxa"/>
            <w:noWrap w:val="0"/>
            <w:tcMar>
              <w:left w:w="0" w:type="dxa"/>
              <w:right w:w="0" w:type="dxa"/>
            </w:tcMar>
            <w:vAlign w:val="center"/>
          </w:tcPr>
          <w:p>
            <w:pPr>
              <w:spacing w:line="0" w:lineRule="atLeast"/>
              <w:jc w:val="center"/>
              <w:rPr>
                <w:rFonts w:ascii="Times New Roman" w:hAnsi="Times New Roman"/>
                <w:sz w:val="24"/>
                <w:szCs w:val="24"/>
              </w:rPr>
            </w:pPr>
          </w:p>
        </w:tc>
        <w:tc>
          <w:tcPr>
            <w:tcW w:w="1753" w:type="dxa"/>
            <w:noWrap w:val="0"/>
            <w:tcMar>
              <w:left w:w="0" w:type="dxa"/>
              <w:right w:w="0" w:type="dxa"/>
            </w:tcMar>
            <w:vAlign w:val="center"/>
          </w:tcPr>
          <w:p>
            <w:pPr>
              <w:spacing w:line="0" w:lineRule="atLeast"/>
              <w:jc w:val="center"/>
              <w:rPr>
                <w:rFonts w:ascii="Times New Roman" w:hAnsi="Times New Roman"/>
                <w:sz w:val="24"/>
                <w:szCs w:val="24"/>
              </w:rPr>
            </w:pPr>
          </w:p>
        </w:tc>
      </w:tr>
    </w:tbl>
    <w:p>
      <w:pPr>
        <w:spacing w:line="360" w:lineRule="auto"/>
        <w:rPr>
          <w:b/>
          <w:szCs w:val="21"/>
        </w:rPr>
      </w:pPr>
      <w:r>
        <w:rPr>
          <w:rFonts w:hint="eastAsia"/>
          <w:b/>
          <w:szCs w:val="21"/>
        </w:rPr>
        <w:t>附合同复印件</w:t>
      </w:r>
    </w:p>
    <w:p>
      <w:pPr>
        <w:rPr>
          <w:rFonts w:hint="eastAsia"/>
          <w:sz w:val="24"/>
          <w:szCs w:val="24"/>
        </w:rPr>
      </w:pPr>
    </w:p>
    <w:p>
      <w:pPr>
        <w:rPr>
          <w:rFonts w:hint="eastAsia"/>
          <w:sz w:val="24"/>
          <w:szCs w:val="24"/>
        </w:rPr>
      </w:pPr>
    </w:p>
    <w:p>
      <w:pPr>
        <w:rPr>
          <w:rFonts w:hint="eastAsia"/>
          <w:sz w:val="24"/>
          <w:szCs w:val="24"/>
        </w:rPr>
      </w:pPr>
    </w:p>
    <w:p>
      <w:pPr>
        <w:spacing w:line="360" w:lineRule="auto"/>
        <w:rPr>
          <w:sz w:val="24"/>
          <w:szCs w:val="24"/>
        </w:rPr>
      </w:pPr>
      <w:r>
        <w:rPr>
          <w:rFonts w:hint="eastAsia"/>
          <w:sz w:val="24"/>
          <w:szCs w:val="24"/>
        </w:rPr>
        <w:t>投标人（盖章）：</w:t>
      </w:r>
    </w:p>
    <w:p>
      <w:pPr>
        <w:spacing w:line="360" w:lineRule="auto"/>
        <w:rPr>
          <w:sz w:val="24"/>
          <w:szCs w:val="24"/>
          <w:u w:val="single"/>
        </w:rPr>
      </w:pPr>
      <w:r>
        <w:rPr>
          <w:rFonts w:hint="eastAsia"/>
          <w:sz w:val="24"/>
          <w:szCs w:val="24"/>
        </w:rPr>
        <w:t>法定代表人或授权代表人（签字或盖章）：</w:t>
      </w:r>
    </w:p>
    <w:p>
      <w:pPr>
        <w:spacing w:line="360" w:lineRule="auto"/>
        <w:rPr>
          <w:rFonts w:hint="eastAsia"/>
          <w:sz w:val="24"/>
          <w:szCs w:val="24"/>
        </w:rPr>
      </w:pPr>
      <w:r>
        <w:rPr>
          <w:rFonts w:hint="eastAsia"/>
          <w:sz w:val="24"/>
          <w:szCs w:val="24"/>
        </w:rPr>
        <w:t>日期：</w:t>
      </w:r>
      <w:r>
        <w:rPr>
          <w:sz w:val="24"/>
          <w:szCs w:val="24"/>
        </w:rPr>
        <w:br w:type="page"/>
      </w:r>
    </w:p>
    <w:p>
      <w:pPr>
        <w:pStyle w:val="3"/>
        <w:spacing w:before="0" w:after="0" w:line="240" w:lineRule="auto"/>
        <w:ind w:right="-567"/>
        <w:jc w:val="left"/>
        <w:rPr>
          <w:rFonts w:hint="eastAsia" w:ascii="Times New Roman" w:hAnsi="Times New Roman" w:eastAsia="宋体" w:cs="宋体"/>
          <w:b w:val="0"/>
          <w:szCs w:val="21"/>
        </w:rPr>
      </w:pPr>
      <w:r>
        <w:rPr>
          <w:rFonts w:hint="eastAsia" w:ascii="Times New Roman" w:hAnsi="Times New Roman" w:eastAsia="宋体"/>
          <w:b w:val="0"/>
          <w:sz w:val="18"/>
          <w:szCs w:val="18"/>
        </w:rPr>
        <w:t>格式十一 供应商基本情况表格式</w:t>
      </w:r>
    </w:p>
    <w:p>
      <w:pPr>
        <w:pStyle w:val="2"/>
        <w:spacing w:after="120" w:afterLines="50" w:line="360" w:lineRule="exact"/>
        <w:rPr>
          <w:rFonts w:hint="eastAsia" w:ascii="Times New Roman"/>
          <w:sz w:val="32"/>
          <w:szCs w:val="32"/>
        </w:rPr>
      </w:pPr>
    </w:p>
    <w:p>
      <w:pPr>
        <w:pStyle w:val="2"/>
        <w:spacing w:after="120" w:afterLines="50" w:line="360" w:lineRule="exact"/>
        <w:rPr>
          <w:rFonts w:hint="eastAsia" w:ascii="Times New Roman"/>
          <w:sz w:val="32"/>
          <w:szCs w:val="32"/>
        </w:rPr>
      </w:pPr>
      <w:r>
        <w:rPr>
          <w:rFonts w:hint="eastAsia" w:ascii="Times New Roman"/>
          <w:sz w:val="32"/>
          <w:szCs w:val="32"/>
        </w:rPr>
        <w:t>供应商基本情况表</w:t>
      </w:r>
    </w:p>
    <w:tbl>
      <w:tblPr>
        <w:tblStyle w:val="50"/>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单位名称</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组织机构代码</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注册地址</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注册登记号</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经营地址</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税务登记证号</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单位性质</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注册资本</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经营范围</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营业期限</w:t>
            </w:r>
          </w:p>
        </w:tc>
        <w:tc>
          <w:tcPr>
            <w:tcW w:w="2302"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资质情况</w:t>
            </w:r>
          </w:p>
        </w:tc>
        <w:tc>
          <w:tcPr>
            <w:tcW w:w="7388" w:type="dxa"/>
            <w:gridSpan w:val="5"/>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员工数量</w:t>
            </w:r>
          </w:p>
        </w:tc>
        <w:tc>
          <w:tcPr>
            <w:tcW w:w="7388" w:type="dxa"/>
            <w:gridSpan w:val="5"/>
            <w:noWrap w:val="0"/>
            <w:vAlign w:val="center"/>
          </w:tcPr>
          <w:p>
            <w:pPr>
              <w:spacing w:line="360" w:lineRule="auto"/>
              <w:rPr>
                <w:rFonts w:hint="eastAsia" w:ascii="Times New Roman" w:hAnsi="Times New Roman" w:cs="宋体"/>
                <w:szCs w:val="21"/>
              </w:rPr>
            </w:pPr>
            <w:r>
              <w:rPr>
                <w:rFonts w:hint="eastAsia" w:ascii="Times New Roman" w:hAnsi="Times New Roman" w:cs="宋体"/>
                <w:szCs w:val="21"/>
              </w:rPr>
              <w:t>共</w:t>
            </w:r>
            <w:r>
              <w:rPr>
                <w:rFonts w:hint="eastAsia" w:ascii="Times New Roman" w:hAnsi="Times New Roman" w:cs="宋体"/>
                <w:szCs w:val="21"/>
                <w:u w:val="single"/>
              </w:rPr>
              <w:t xml:space="preserve">  </w:t>
            </w:r>
            <w:r>
              <w:rPr>
                <w:rFonts w:hint="eastAsia" w:ascii="Times New Roman" w:hAnsi="Times New Roman" w:cs="宋体"/>
                <w:szCs w:val="21"/>
              </w:rPr>
              <w:t>人，其中，高级职称</w:t>
            </w:r>
            <w:r>
              <w:rPr>
                <w:rFonts w:hint="eastAsia" w:ascii="Times New Roman" w:hAnsi="Times New Roman" w:cs="宋体"/>
                <w:szCs w:val="21"/>
                <w:u w:val="single"/>
              </w:rPr>
              <w:t xml:space="preserve">   </w:t>
            </w:r>
            <w:r>
              <w:rPr>
                <w:rFonts w:hint="eastAsia" w:ascii="Times New Roman" w:hAnsi="Times New Roman" w:cs="宋体"/>
                <w:szCs w:val="21"/>
              </w:rPr>
              <w:t>人，中级职称</w:t>
            </w:r>
            <w:r>
              <w:rPr>
                <w:rFonts w:hint="eastAsia" w:ascii="Times New Roman" w:hAnsi="Times New Roman" w:cs="宋体"/>
                <w:szCs w:val="21"/>
                <w:u w:val="single"/>
              </w:rPr>
              <w:t xml:space="preserve">  </w:t>
            </w:r>
            <w:r>
              <w:rPr>
                <w:rFonts w:hint="eastAsia" w:ascii="Times New Roman" w:hAnsi="Times New Roman"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联系电话</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传真</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2"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主要业绩</w:t>
            </w:r>
          </w:p>
        </w:tc>
        <w:tc>
          <w:tcPr>
            <w:tcW w:w="7388" w:type="dxa"/>
            <w:gridSpan w:val="5"/>
            <w:noWrap w:val="0"/>
            <w:vAlign w:val="center"/>
          </w:tcPr>
          <w:p>
            <w:pPr>
              <w:spacing w:line="360" w:lineRule="auto"/>
              <w:rPr>
                <w:rFonts w:hint="eastAsia" w:ascii="Times New Roman" w:hAnsi="Times New Roman" w:cs="宋体"/>
                <w:szCs w:val="21"/>
              </w:rPr>
            </w:pPr>
          </w:p>
          <w:p>
            <w:pPr>
              <w:spacing w:line="360" w:lineRule="auto"/>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000" w:type="dxa"/>
            <w:gridSpan w:val="6"/>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姓  名</w:t>
            </w:r>
          </w:p>
        </w:tc>
        <w:tc>
          <w:tcPr>
            <w:tcW w:w="2739" w:type="dxa"/>
            <w:gridSpan w:val="3"/>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身份证号码</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611"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职  务</w:t>
            </w:r>
          </w:p>
        </w:tc>
        <w:tc>
          <w:tcPr>
            <w:tcW w:w="915" w:type="dxa"/>
            <w:noWrap w:val="0"/>
            <w:vAlign w:val="center"/>
          </w:tcPr>
          <w:p>
            <w:pPr>
              <w:spacing w:line="360" w:lineRule="auto"/>
              <w:jc w:val="center"/>
              <w:rPr>
                <w:rFonts w:hint="eastAsia" w:ascii="Times New Roman" w:hAnsi="Times New Roman" w:cs="宋体"/>
                <w:szCs w:val="21"/>
              </w:rPr>
            </w:pPr>
          </w:p>
        </w:tc>
        <w:tc>
          <w:tcPr>
            <w:tcW w:w="1062"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职   称</w:t>
            </w:r>
          </w:p>
        </w:tc>
        <w:tc>
          <w:tcPr>
            <w:tcW w:w="762" w:type="dxa"/>
            <w:noWrap w:val="0"/>
            <w:vAlign w:val="center"/>
          </w:tcPr>
          <w:p>
            <w:pPr>
              <w:spacing w:line="360" w:lineRule="auto"/>
              <w:jc w:val="center"/>
              <w:rPr>
                <w:rFonts w:hint="eastAsia" w:ascii="Times New Roman" w:hAnsi="Times New Roman" w:cs="宋体"/>
                <w:szCs w:val="21"/>
              </w:rPr>
            </w:pPr>
          </w:p>
        </w:tc>
        <w:tc>
          <w:tcPr>
            <w:tcW w:w="2347" w:type="dxa"/>
            <w:noWrap w:val="0"/>
            <w:vAlign w:val="center"/>
          </w:tcPr>
          <w:p>
            <w:pPr>
              <w:spacing w:line="360" w:lineRule="auto"/>
              <w:jc w:val="center"/>
              <w:rPr>
                <w:rFonts w:hint="eastAsia" w:ascii="Times New Roman" w:hAnsi="Times New Roman" w:cs="宋体"/>
                <w:szCs w:val="21"/>
              </w:rPr>
            </w:pPr>
            <w:r>
              <w:rPr>
                <w:rFonts w:hint="eastAsia" w:ascii="Times New Roman" w:hAnsi="Times New Roman" w:cs="宋体"/>
                <w:szCs w:val="21"/>
              </w:rPr>
              <w:t>学    历</w:t>
            </w:r>
          </w:p>
        </w:tc>
        <w:tc>
          <w:tcPr>
            <w:tcW w:w="2302" w:type="dxa"/>
            <w:noWrap w:val="0"/>
            <w:vAlign w:val="center"/>
          </w:tcPr>
          <w:p>
            <w:pPr>
              <w:spacing w:line="360" w:lineRule="auto"/>
              <w:jc w:val="center"/>
              <w:rPr>
                <w:rFonts w:hint="eastAsia"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9000" w:type="dxa"/>
            <w:gridSpan w:val="6"/>
            <w:noWrap w:val="0"/>
            <w:vAlign w:val="top"/>
          </w:tcPr>
          <w:p>
            <w:pPr>
              <w:spacing w:line="360" w:lineRule="auto"/>
              <w:rPr>
                <w:rFonts w:hint="eastAsia" w:ascii="Times New Roman" w:hAnsi="Times New Roman" w:cs="宋体"/>
                <w:szCs w:val="21"/>
              </w:rPr>
            </w:pPr>
            <w:r>
              <w:rPr>
                <w:rFonts w:hint="eastAsia" w:ascii="Times New Roman" w:hAnsi="Times New Roman" w:cs="宋体"/>
                <w:szCs w:val="21"/>
              </w:rPr>
              <w:t>备注:</w:t>
            </w:r>
          </w:p>
        </w:tc>
      </w:tr>
    </w:tbl>
    <w:p>
      <w:pPr>
        <w:spacing w:line="360" w:lineRule="auto"/>
        <w:rPr>
          <w:rFonts w:hint="eastAsia" w:cs="宋体"/>
          <w:b/>
          <w:szCs w:val="21"/>
        </w:rPr>
      </w:pPr>
      <w:r>
        <w:rPr>
          <w:rFonts w:hint="eastAsia" w:cs="宋体"/>
          <w:szCs w:val="21"/>
        </w:rPr>
        <w:t xml:space="preserve">  </w:t>
      </w:r>
      <w:r>
        <w:rPr>
          <w:rFonts w:hint="eastAsia" w:cs="宋体"/>
          <w:b/>
          <w:szCs w:val="21"/>
        </w:rPr>
        <w:t>兹证明上述声明是真实、正确的，并提供了全部能提供的资料和数据，我们同意遵照贵方要求出示有关证明文件。</w:t>
      </w:r>
    </w:p>
    <w:p>
      <w:pPr>
        <w:rPr>
          <w:rFonts w:hint="eastAsia" w:cs="宋体"/>
        </w:rPr>
      </w:pPr>
    </w:p>
    <w:p>
      <w:pPr>
        <w:spacing w:line="360" w:lineRule="auto"/>
        <w:rPr>
          <w:rFonts w:hint="eastAsia" w:cs="宋体"/>
        </w:rPr>
      </w:pPr>
      <w:r>
        <w:rPr>
          <w:rFonts w:hint="eastAsia" w:cs="宋体"/>
        </w:rPr>
        <w:t>供应商（盖章）：</w:t>
      </w:r>
    </w:p>
    <w:p>
      <w:pPr>
        <w:spacing w:line="360" w:lineRule="auto"/>
        <w:rPr>
          <w:rFonts w:hint="eastAsia" w:cs="宋体"/>
        </w:rPr>
      </w:pPr>
      <w:r>
        <w:rPr>
          <w:rFonts w:hint="eastAsia" w:cs="宋体"/>
        </w:rPr>
        <w:t>法定代表人或授权代表（签字或盖章）：</w:t>
      </w:r>
    </w:p>
    <w:p>
      <w:pPr>
        <w:snapToGrid w:val="0"/>
        <w:rPr>
          <w:rFonts w:hint="eastAsia" w:cs="宋体"/>
          <w:b/>
          <w:szCs w:val="21"/>
        </w:rPr>
      </w:pPr>
      <w:r>
        <w:rPr>
          <w:rFonts w:hint="eastAsia" w:cs="宋体"/>
        </w:rPr>
        <w:t>日    期：</w:t>
      </w:r>
    </w:p>
    <w:p>
      <w:pPr>
        <w:pStyle w:val="3"/>
        <w:spacing w:before="0" w:after="0" w:line="240" w:lineRule="auto"/>
        <w:ind w:right="-567" w:firstLine="320" w:firstLineChars="100"/>
        <w:jc w:val="left"/>
        <w:rPr>
          <w:rFonts w:hint="eastAsia" w:ascii="Times New Roman" w:hAnsi="Times New Roman" w:eastAsia="宋体" w:cs="宋体"/>
          <w:b w:val="0"/>
          <w:szCs w:val="21"/>
        </w:rPr>
      </w:pPr>
      <w:r>
        <w:rPr>
          <w:rFonts w:hint="eastAsia" w:ascii="Times New Roman" w:hAnsi="Times New Roman" w:eastAsia="宋体" w:cs="宋体"/>
          <w:b w:val="0"/>
          <w:szCs w:val="21"/>
        </w:rPr>
        <w:br w:type="page"/>
      </w:r>
    </w:p>
    <w:p>
      <w:pPr>
        <w:pStyle w:val="3"/>
        <w:spacing w:before="0" w:after="0" w:line="240" w:lineRule="auto"/>
        <w:ind w:right="-567"/>
        <w:jc w:val="left"/>
        <w:rPr>
          <w:rFonts w:hint="eastAsia" w:ascii="Times New Roman" w:hAnsi="Times New Roman" w:eastAsia="宋体" w:cs="宋体"/>
        </w:rPr>
      </w:pPr>
      <w:r>
        <w:rPr>
          <w:rFonts w:hint="eastAsia" w:ascii="Times New Roman" w:hAnsi="Times New Roman" w:eastAsia="宋体"/>
          <w:b w:val="0"/>
          <w:sz w:val="18"/>
          <w:szCs w:val="18"/>
        </w:rPr>
        <w:t>格式十二 本项目负责人简历表格式</w:t>
      </w:r>
    </w:p>
    <w:p>
      <w:pPr>
        <w:spacing w:line="360" w:lineRule="auto"/>
        <w:ind w:right="25" w:rightChars="12"/>
        <w:jc w:val="center"/>
        <w:rPr>
          <w:rFonts w:hint="eastAsia" w:cs="宋体"/>
          <w:b/>
          <w:sz w:val="28"/>
          <w:szCs w:val="28"/>
          <w:lang w:bidi="ar"/>
        </w:rPr>
      </w:pPr>
    </w:p>
    <w:p>
      <w:pPr>
        <w:spacing w:line="360" w:lineRule="auto"/>
        <w:ind w:right="25" w:rightChars="12"/>
        <w:jc w:val="center"/>
        <w:rPr>
          <w:rFonts w:hint="eastAsia" w:cs="宋体"/>
          <w:b/>
          <w:sz w:val="28"/>
          <w:szCs w:val="28"/>
          <w:lang w:bidi="ar"/>
        </w:rPr>
      </w:pPr>
      <w:r>
        <w:rPr>
          <w:rFonts w:hint="eastAsia" w:cs="宋体"/>
          <w:b/>
          <w:sz w:val="28"/>
          <w:szCs w:val="28"/>
          <w:lang w:bidi="ar"/>
        </w:rPr>
        <w:t>本项目负责人简历表</w:t>
      </w:r>
    </w:p>
    <w:p>
      <w:pPr>
        <w:rPr>
          <w:rFonts w:hint="eastAsia" w:cs="宋体"/>
        </w:rPr>
      </w:pPr>
      <w:r>
        <w:rPr>
          <w:rFonts w:hint="eastAsia" w:cs="宋体"/>
        </w:rPr>
        <w:t>采购项目：</w:t>
      </w:r>
    </w:p>
    <w:p>
      <w:pPr>
        <w:rPr>
          <w:rFonts w:hint="eastAsia" w:cs="宋体"/>
        </w:rPr>
      </w:pPr>
      <w:r>
        <w:rPr>
          <w:rFonts w:hint="eastAsia" w:cs="宋体"/>
        </w:rPr>
        <w:t>项目编号：</w:t>
      </w:r>
    </w:p>
    <w:p>
      <w:pPr>
        <w:autoSpaceDN w:val="0"/>
        <w:spacing w:line="360" w:lineRule="auto"/>
        <w:jc w:val="left"/>
        <w:rPr>
          <w:rFonts w:hint="eastAsia" w:cs="宋体"/>
          <w:szCs w:val="21"/>
        </w:rPr>
      </w:pPr>
      <w:r>
        <w:rPr>
          <w:rFonts w:hint="eastAsia" w:cs="宋体"/>
        </w:rPr>
        <w:t>标项号：</w:t>
      </w:r>
      <w:r>
        <w:rPr>
          <w:rFonts w:hint="eastAsia" w:cs="宋体"/>
          <w:bCs/>
          <w:szCs w:val="21"/>
          <w:lang w:bidi="ar"/>
        </w:rPr>
        <w:t xml:space="preserve"> </w:t>
      </w:r>
      <w:r>
        <w:rPr>
          <w:rFonts w:hint="eastAsia" w:cs="宋体"/>
          <w:bCs/>
          <w:szCs w:val="21"/>
          <w:lang w:val="zh-CN" w:bidi="ar"/>
        </w:rPr>
        <w:t xml:space="preserve">  </w:t>
      </w:r>
    </w:p>
    <w:tbl>
      <w:tblPr>
        <w:tblStyle w:val="50"/>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1215" w:hRule="atLeast"/>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Times New Roman" w:hAnsi="Times New Roman" w:cs="宋体"/>
                <w:szCs w:val="21"/>
              </w:rPr>
            </w:pPr>
            <w:r>
              <w:rPr>
                <w:rFonts w:hint="eastAsia" w:ascii="Times New Roman" w:hAnsi="Times New Roman" w:cs="宋体"/>
                <w:szCs w:val="21"/>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Times New Roman" w:hAnsi="Times New Roman" w:cs="宋体"/>
                <w:szCs w:val="21"/>
              </w:rPr>
            </w:pPr>
          </w:p>
        </w:tc>
      </w:tr>
    </w:tbl>
    <w:p>
      <w:pPr>
        <w:rPr>
          <w:rFonts w:hint="eastAsia" w:cs="宋体"/>
        </w:rPr>
      </w:pPr>
    </w:p>
    <w:p>
      <w:pPr>
        <w:spacing w:line="360" w:lineRule="auto"/>
        <w:rPr>
          <w:rFonts w:hint="eastAsia" w:cs="宋体"/>
        </w:rPr>
      </w:pPr>
      <w:r>
        <w:rPr>
          <w:rFonts w:hint="eastAsia" w:cs="宋体"/>
        </w:rPr>
        <w:t>供应商（盖章）</w:t>
      </w:r>
    </w:p>
    <w:p>
      <w:pPr>
        <w:spacing w:line="360" w:lineRule="auto"/>
        <w:rPr>
          <w:rFonts w:hint="eastAsia" w:cs="宋体"/>
        </w:rPr>
      </w:pPr>
      <w:r>
        <w:rPr>
          <w:rFonts w:hint="eastAsia" w:cs="宋体"/>
        </w:rPr>
        <w:t>法定代表人或授权代表（签字或盖章）：</w:t>
      </w:r>
    </w:p>
    <w:p>
      <w:pPr>
        <w:snapToGrid w:val="0"/>
        <w:rPr>
          <w:rFonts w:hint="eastAsia" w:cs="宋体"/>
        </w:rPr>
      </w:pPr>
      <w:r>
        <w:rPr>
          <w:rFonts w:hint="eastAsia" w:cs="宋体"/>
        </w:rPr>
        <w:t>日    期：</w:t>
      </w:r>
    </w:p>
    <w:p>
      <w:pPr>
        <w:pStyle w:val="3"/>
        <w:spacing w:before="0" w:after="0" w:line="240" w:lineRule="auto"/>
        <w:ind w:right="-567"/>
        <w:jc w:val="left"/>
        <w:rPr>
          <w:rFonts w:hint="eastAsia" w:ascii="Times New Roman" w:hAnsi="Times New Roman" w:eastAsia="宋体" w:cs="宋体"/>
        </w:rPr>
      </w:pPr>
    </w:p>
    <w:p>
      <w:pPr>
        <w:spacing w:line="360" w:lineRule="auto"/>
        <w:rPr>
          <w:rFonts w:hint="eastAsia" w:cs="宋体"/>
          <w:b/>
          <w:szCs w:val="21"/>
        </w:rPr>
      </w:pPr>
      <w:r>
        <w:rPr>
          <w:rFonts w:cs="宋体"/>
          <w:b/>
          <w:szCs w:val="21"/>
        </w:rPr>
        <w:br w:type="page"/>
      </w:r>
    </w:p>
    <w:p>
      <w:pPr>
        <w:spacing w:line="360" w:lineRule="auto"/>
      </w:pPr>
      <w:r>
        <w:rPr>
          <w:rFonts w:hint="eastAsia"/>
          <w:b/>
          <w:sz w:val="18"/>
          <w:szCs w:val="18"/>
        </w:rPr>
        <w:t xml:space="preserve">格式十三 </w:t>
      </w:r>
      <w:r>
        <w:rPr>
          <w:rFonts w:hint="eastAsia"/>
          <w:b/>
          <w:bCs/>
          <w:sz w:val="18"/>
          <w:szCs w:val="18"/>
        </w:rPr>
        <w:t>法定代表人授权书</w:t>
      </w:r>
    </w:p>
    <w:p>
      <w:pPr>
        <w:pStyle w:val="19"/>
        <w:spacing w:line="360" w:lineRule="auto"/>
        <w:ind w:firstLine="0"/>
        <w:jc w:val="center"/>
        <w:rPr>
          <w:rFonts w:eastAsia="宋体"/>
          <w:sz w:val="28"/>
        </w:rPr>
      </w:pPr>
    </w:p>
    <w:p>
      <w:pPr>
        <w:pStyle w:val="2"/>
        <w:spacing w:after="120" w:afterLines="50" w:line="360" w:lineRule="auto"/>
        <w:rPr>
          <w:rFonts w:ascii="Times New Roman"/>
          <w:sz w:val="32"/>
          <w:szCs w:val="32"/>
        </w:rPr>
      </w:pPr>
      <w:r>
        <w:rPr>
          <w:rFonts w:hint="eastAsia" w:ascii="Times New Roman"/>
          <w:sz w:val="32"/>
          <w:szCs w:val="32"/>
        </w:rPr>
        <w:t>法定代表人授权书</w:t>
      </w:r>
    </w:p>
    <w:p>
      <w:pPr>
        <w:pStyle w:val="19"/>
        <w:spacing w:line="360" w:lineRule="auto"/>
        <w:ind w:firstLine="0"/>
        <w:jc w:val="center"/>
        <w:rPr>
          <w:rFonts w:eastAsia="宋体"/>
        </w:rPr>
      </w:pPr>
    </w:p>
    <w:p>
      <w:pPr>
        <w:pStyle w:val="19"/>
        <w:spacing w:line="360" w:lineRule="auto"/>
        <w:ind w:firstLine="0"/>
        <w:rPr>
          <w:rFonts w:eastAsia="宋体"/>
        </w:rPr>
      </w:pPr>
    </w:p>
    <w:p>
      <w:pPr>
        <w:pStyle w:val="19"/>
        <w:spacing w:line="360" w:lineRule="auto"/>
        <w:ind w:firstLine="0"/>
        <w:rPr>
          <w:rFonts w:eastAsia="宋体"/>
          <w:szCs w:val="24"/>
        </w:rPr>
      </w:pPr>
      <w:r>
        <w:rPr>
          <w:rFonts w:hint="eastAsia" w:eastAsia="宋体"/>
          <w:szCs w:val="24"/>
        </w:rPr>
        <w:t>致：中冠工程管理咨询有限公司</w:t>
      </w:r>
    </w:p>
    <w:p>
      <w:pPr>
        <w:pStyle w:val="19"/>
        <w:spacing w:line="360" w:lineRule="auto"/>
        <w:ind w:firstLine="0"/>
        <w:rPr>
          <w:rFonts w:eastAsia="宋体"/>
          <w:szCs w:val="24"/>
        </w:rPr>
      </w:pPr>
    </w:p>
    <w:p>
      <w:pPr>
        <w:pStyle w:val="19"/>
        <w:spacing w:before="120" w:beforeLines="50" w:after="120" w:afterLines="50" w:line="360" w:lineRule="auto"/>
        <w:ind w:right="340" w:firstLine="516"/>
        <w:rPr>
          <w:rFonts w:eastAsia="宋体"/>
          <w:szCs w:val="24"/>
        </w:rPr>
      </w:pPr>
      <w:r>
        <w:rPr>
          <w:rFonts w:hint="eastAsia" w:eastAsia="宋体"/>
          <w:szCs w:val="24"/>
          <w:u w:val="single"/>
        </w:rPr>
        <w:t>（投标人全称）</w:t>
      </w:r>
      <w:r>
        <w:rPr>
          <w:rFonts w:hint="eastAsia" w:eastAsia="宋体"/>
          <w:szCs w:val="24"/>
        </w:rPr>
        <w:t>法定代表人</w:t>
      </w:r>
      <w:r>
        <w:rPr>
          <w:rFonts w:hint="eastAsia" w:eastAsia="宋体"/>
          <w:szCs w:val="24"/>
          <w:u w:val="single"/>
        </w:rPr>
        <w:t>（姓名、职务）</w:t>
      </w:r>
      <w:r>
        <w:rPr>
          <w:rFonts w:hint="eastAsia" w:eastAsia="宋体"/>
          <w:szCs w:val="24"/>
        </w:rPr>
        <w:t>授权</w:t>
      </w:r>
      <w:r>
        <w:rPr>
          <w:rFonts w:hint="eastAsia" w:eastAsia="宋体"/>
          <w:szCs w:val="24"/>
          <w:u w:val="single"/>
        </w:rPr>
        <w:t>（被授权代表姓名、职务）</w:t>
      </w:r>
      <w:r>
        <w:rPr>
          <w:rFonts w:hint="eastAsia" w:eastAsia="宋体"/>
          <w:szCs w:val="24"/>
        </w:rPr>
        <w:t>为本公司合法代理人，参加贵采购代理机构组织的</w:t>
      </w:r>
      <w:r>
        <w:rPr>
          <w:rFonts w:hint="eastAsia" w:eastAsia="宋体"/>
          <w:szCs w:val="24"/>
          <w:u w:val="single"/>
        </w:rPr>
        <w:t xml:space="preserve">   (项目编号)(项目名称)                      </w:t>
      </w:r>
      <w:r>
        <w:rPr>
          <w:rFonts w:hint="eastAsia" w:eastAsia="宋体"/>
          <w:szCs w:val="24"/>
        </w:rPr>
        <w:t>项目的招标投标活动，全权代表本公司处理招标投标活动中的一切事宜。</w:t>
      </w:r>
    </w:p>
    <w:p>
      <w:pPr>
        <w:pStyle w:val="19"/>
        <w:spacing w:before="120" w:beforeLines="50" w:after="120" w:afterLines="50" w:line="360" w:lineRule="auto"/>
        <w:ind w:firstLine="426"/>
        <w:rPr>
          <w:rFonts w:eastAsia="宋体"/>
          <w:szCs w:val="24"/>
          <w:u w:val="single"/>
        </w:rPr>
      </w:pPr>
      <w:r>
        <w:rPr>
          <w:rFonts w:hint="eastAsia" w:eastAsia="宋体"/>
          <w:szCs w:val="24"/>
        </w:rPr>
        <w:t>本授权书于</w:t>
      </w:r>
      <w:r>
        <w:rPr>
          <w:rFonts w:hint="eastAsia" w:eastAsia="宋体"/>
          <w:szCs w:val="24"/>
          <w:u w:val="single"/>
        </w:rPr>
        <w:t xml:space="preserve">    </w:t>
      </w:r>
      <w:r>
        <w:rPr>
          <w:rFonts w:hint="eastAsia" w:eastAsia="宋体"/>
          <w:szCs w:val="24"/>
        </w:rPr>
        <w:t>年</w:t>
      </w:r>
      <w:r>
        <w:rPr>
          <w:rFonts w:hint="eastAsia" w:eastAsia="宋体"/>
          <w:szCs w:val="24"/>
          <w:u w:val="single"/>
        </w:rPr>
        <w:t xml:space="preserve">    </w:t>
      </w:r>
      <w:r>
        <w:rPr>
          <w:rFonts w:hint="eastAsia" w:eastAsia="宋体"/>
          <w:szCs w:val="24"/>
        </w:rPr>
        <w:t>月</w:t>
      </w:r>
      <w:r>
        <w:rPr>
          <w:rFonts w:hint="eastAsia" w:eastAsia="宋体"/>
          <w:szCs w:val="24"/>
          <w:u w:val="single"/>
        </w:rPr>
        <w:t xml:space="preserve">   </w:t>
      </w:r>
      <w:r>
        <w:rPr>
          <w:rFonts w:hint="eastAsia" w:eastAsia="宋体"/>
          <w:szCs w:val="24"/>
        </w:rPr>
        <w:t>日签字（或盖章）生效，特此声明。</w:t>
      </w:r>
    </w:p>
    <w:p>
      <w:pPr>
        <w:spacing w:line="360" w:lineRule="auto"/>
        <w:contextualSpacing/>
        <w:rPr>
          <w:rFonts w:hint="eastAsia"/>
          <w:bCs/>
          <w:sz w:val="24"/>
          <w:szCs w:val="24"/>
        </w:rPr>
      </w:pPr>
      <w:r>
        <w:rPr>
          <w:rFonts w:hint="eastAsia"/>
          <w:bCs/>
          <w:sz w:val="24"/>
          <w:szCs w:val="24"/>
        </w:rPr>
        <w:t>（后附被授权人身份证正反面复印件）</w:t>
      </w:r>
    </w:p>
    <w:p>
      <w:pPr>
        <w:pStyle w:val="19"/>
        <w:spacing w:line="360" w:lineRule="auto"/>
        <w:ind w:firstLine="0"/>
        <w:rPr>
          <w:rFonts w:eastAsia="宋体"/>
          <w:szCs w:val="24"/>
        </w:rPr>
      </w:pPr>
    </w:p>
    <w:p>
      <w:pPr>
        <w:pStyle w:val="19"/>
        <w:spacing w:line="360" w:lineRule="auto"/>
        <w:ind w:left="3969" w:firstLine="0"/>
        <w:rPr>
          <w:rFonts w:eastAsia="宋体"/>
          <w:szCs w:val="24"/>
        </w:rPr>
      </w:pPr>
      <w:r>
        <w:rPr>
          <w:rFonts w:hint="eastAsia" w:eastAsia="宋体"/>
          <w:szCs w:val="24"/>
        </w:rPr>
        <w:t>法定代表人（签字或盖章）：</w:t>
      </w:r>
    </w:p>
    <w:p>
      <w:pPr>
        <w:pStyle w:val="19"/>
        <w:spacing w:line="360" w:lineRule="auto"/>
        <w:ind w:firstLine="0"/>
        <w:rPr>
          <w:rFonts w:eastAsia="宋体"/>
          <w:szCs w:val="24"/>
        </w:rPr>
      </w:pPr>
    </w:p>
    <w:p>
      <w:pPr>
        <w:pStyle w:val="19"/>
        <w:spacing w:line="360" w:lineRule="auto"/>
        <w:ind w:left="3969" w:firstLine="0"/>
        <w:rPr>
          <w:rFonts w:eastAsia="宋体"/>
          <w:szCs w:val="24"/>
        </w:rPr>
      </w:pPr>
      <w:r>
        <w:rPr>
          <w:rFonts w:hint="eastAsia" w:eastAsia="宋体"/>
          <w:szCs w:val="24"/>
        </w:rPr>
        <w:t>投标人（盖章）：</w:t>
      </w:r>
    </w:p>
    <w:p>
      <w:pPr>
        <w:pStyle w:val="19"/>
        <w:spacing w:line="360" w:lineRule="auto"/>
        <w:ind w:firstLine="0"/>
        <w:rPr>
          <w:rFonts w:eastAsia="宋体"/>
          <w:szCs w:val="24"/>
        </w:rPr>
      </w:pPr>
    </w:p>
    <w:p>
      <w:pPr>
        <w:pStyle w:val="19"/>
        <w:spacing w:line="360" w:lineRule="auto"/>
        <w:ind w:left="3969" w:firstLine="0"/>
        <w:rPr>
          <w:rFonts w:eastAsia="宋体"/>
          <w:szCs w:val="24"/>
        </w:rPr>
      </w:pPr>
      <w:r>
        <w:rPr>
          <w:rFonts w:hint="eastAsia" w:eastAsia="宋体"/>
          <w:szCs w:val="24"/>
        </w:rPr>
        <w:t>日期：</w:t>
      </w:r>
    </w:p>
    <w:p>
      <w:pPr>
        <w:pStyle w:val="19"/>
        <w:spacing w:line="360" w:lineRule="auto"/>
        <w:ind w:firstLine="0"/>
        <w:rPr>
          <w:rFonts w:eastAsia="宋体"/>
          <w:szCs w:val="24"/>
        </w:rPr>
      </w:pPr>
      <w:r>
        <w:rPr>
          <w:rFonts w:hint="eastAsia" w:eastAsia="宋体"/>
          <w:szCs w:val="24"/>
        </w:rPr>
        <w:t>附：</w:t>
      </w:r>
    </w:p>
    <w:p>
      <w:pPr>
        <w:pStyle w:val="19"/>
        <w:spacing w:before="60" w:after="60" w:line="360" w:lineRule="auto"/>
        <w:ind w:left="306" w:firstLine="0"/>
        <w:rPr>
          <w:rFonts w:eastAsia="宋体"/>
          <w:szCs w:val="24"/>
        </w:rPr>
      </w:pPr>
      <w:r>
        <w:rPr>
          <w:rFonts w:hint="eastAsia" w:eastAsia="宋体"/>
          <w:szCs w:val="24"/>
        </w:rPr>
        <w:t>被授权人姓名（印刷体）：</w:t>
      </w:r>
    </w:p>
    <w:p>
      <w:pPr>
        <w:pStyle w:val="19"/>
        <w:spacing w:before="60" w:after="60" w:line="360" w:lineRule="auto"/>
        <w:ind w:left="306" w:firstLine="0"/>
        <w:rPr>
          <w:rFonts w:eastAsia="宋体"/>
          <w:szCs w:val="24"/>
        </w:rPr>
      </w:pPr>
      <w:r>
        <w:rPr>
          <w:rFonts w:hint="eastAsia" w:eastAsia="宋体"/>
          <w:szCs w:val="24"/>
        </w:rPr>
        <w:t>职务：</w:t>
      </w:r>
    </w:p>
    <w:p>
      <w:pPr>
        <w:pStyle w:val="19"/>
        <w:spacing w:before="60" w:after="60" w:line="360" w:lineRule="auto"/>
        <w:ind w:left="306" w:firstLine="0"/>
        <w:rPr>
          <w:rFonts w:eastAsia="宋体"/>
          <w:szCs w:val="24"/>
        </w:rPr>
      </w:pPr>
      <w:r>
        <w:rPr>
          <w:rFonts w:hint="eastAsia" w:eastAsia="宋体"/>
          <w:szCs w:val="24"/>
        </w:rPr>
        <w:t>被授权人（签字或盖章）：</w:t>
      </w:r>
    </w:p>
    <w:p>
      <w:pPr>
        <w:pStyle w:val="19"/>
        <w:spacing w:before="60" w:after="60" w:line="360" w:lineRule="auto"/>
        <w:ind w:left="306" w:firstLine="0"/>
        <w:rPr>
          <w:rFonts w:eastAsia="宋体"/>
          <w:szCs w:val="24"/>
        </w:rPr>
      </w:pPr>
      <w:r>
        <w:rPr>
          <w:rFonts w:hint="eastAsia" w:eastAsia="宋体"/>
          <w:szCs w:val="24"/>
        </w:rPr>
        <w:t>详细通讯地址：</w:t>
      </w:r>
    </w:p>
    <w:p>
      <w:pPr>
        <w:pStyle w:val="19"/>
        <w:spacing w:before="60" w:after="60" w:line="360" w:lineRule="auto"/>
        <w:ind w:left="306" w:firstLine="0"/>
        <w:rPr>
          <w:rFonts w:eastAsia="宋体"/>
          <w:szCs w:val="24"/>
        </w:rPr>
      </w:pPr>
      <w:r>
        <w:rPr>
          <w:rFonts w:hint="eastAsia" w:eastAsia="宋体"/>
          <w:szCs w:val="24"/>
        </w:rPr>
        <w:t>传真：</w:t>
      </w:r>
    </w:p>
    <w:p>
      <w:pPr>
        <w:pStyle w:val="19"/>
        <w:spacing w:before="60" w:after="60" w:line="360" w:lineRule="auto"/>
        <w:ind w:left="306" w:firstLine="0"/>
        <w:rPr>
          <w:rFonts w:eastAsia="宋体"/>
          <w:szCs w:val="24"/>
        </w:rPr>
      </w:pPr>
      <w:r>
        <w:rPr>
          <w:rFonts w:hint="eastAsia" w:eastAsia="宋体"/>
          <w:szCs w:val="24"/>
        </w:rPr>
        <w:t>电话：</w:t>
      </w:r>
    </w:p>
    <w:p>
      <w:pPr>
        <w:pStyle w:val="2"/>
        <w:spacing w:after="120" w:afterLines="50" w:line="360" w:lineRule="exact"/>
        <w:rPr>
          <w:rFonts w:hint="eastAsia" w:ascii="Times New Roman"/>
          <w:b w:val="0"/>
          <w:sz w:val="24"/>
        </w:rPr>
      </w:pPr>
      <w:r>
        <w:rPr>
          <w:rFonts w:ascii="Times New Roman"/>
        </w:rPr>
        <w:br w:type="page"/>
      </w:r>
      <w:r>
        <w:rPr>
          <w:rFonts w:hint="eastAsia" w:ascii="Times New Roman"/>
          <w:sz w:val="32"/>
          <w:szCs w:val="32"/>
        </w:rPr>
        <w:t>法定代表人身份证明书</w:t>
      </w:r>
    </w:p>
    <w:p>
      <w:pPr>
        <w:spacing w:line="360" w:lineRule="auto"/>
        <w:rPr>
          <w:rFonts w:hint="eastAsia"/>
          <w:bCs/>
          <w:szCs w:val="21"/>
        </w:rPr>
      </w:pPr>
    </w:p>
    <w:p>
      <w:pPr>
        <w:spacing w:line="360" w:lineRule="auto"/>
        <w:contextualSpacing/>
        <w:rPr>
          <w:rFonts w:hint="eastAsia"/>
          <w:bCs/>
          <w:sz w:val="24"/>
          <w:szCs w:val="24"/>
          <w:u w:val="single"/>
        </w:rPr>
      </w:pPr>
      <w:r>
        <w:rPr>
          <w:rFonts w:hint="eastAsia"/>
          <w:bCs/>
          <w:sz w:val="24"/>
          <w:szCs w:val="24"/>
        </w:rPr>
        <w:t>单位名称：</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地    址：</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姓    名：</w:t>
      </w:r>
      <w:r>
        <w:rPr>
          <w:rFonts w:hint="eastAsia"/>
          <w:bCs/>
          <w:sz w:val="24"/>
          <w:szCs w:val="24"/>
          <w:u w:val="single"/>
        </w:rPr>
        <w:t xml:space="preserve">                          </w:t>
      </w:r>
      <w:r>
        <w:rPr>
          <w:rFonts w:hint="eastAsia"/>
          <w:bCs/>
          <w:sz w:val="24"/>
          <w:szCs w:val="24"/>
        </w:rPr>
        <w:t xml:space="preserve">  性    别：</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年    龄：</w:t>
      </w:r>
      <w:r>
        <w:rPr>
          <w:rFonts w:hint="eastAsia"/>
          <w:bCs/>
          <w:sz w:val="24"/>
          <w:szCs w:val="24"/>
          <w:u w:val="single"/>
        </w:rPr>
        <w:t xml:space="preserve">                          </w:t>
      </w:r>
      <w:r>
        <w:rPr>
          <w:rFonts w:hint="eastAsia"/>
          <w:bCs/>
          <w:sz w:val="24"/>
          <w:szCs w:val="24"/>
        </w:rPr>
        <w:t xml:space="preserve">  职    务：</w:t>
      </w:r>
      <w:r>
        <w:rPr>
          <w:rFonts w:hint="eastAsia"/>
          <w:bCs/>
          <w:sz w:val="24"/>
          <w:szCs w:val="24"/>
          <w:u w:val="single"/>
        </w:rPr>
        <w:t xml:space="preserve">                          </w:t>
      </w:r>
    </w:p>
    <w:p>
      <w:pPr>
        <w:spacing w:line="360" w:lineRule="auto"/>
        <w:contextualSpacing/>
        <w:rPr>
          <w:rFonts w:hint="eastAsia"/>
          <w:bCs/>
          <w:sz w:val="24"/>
          <w:szCs w:val="24"/>
        </w:rPr>
      </w:pPr>
      <w:r>
        <w:rPr>
          <w:rFonts w:hint="eastAsia"/>
          <w:bCs/>
          <w:sz w:val="24"/>
          <w:szCs w:val="24"/>
        </w:rPr>
        <w:t>身份证号码：</w:t>
      </w:r>
      <w:r>
        <w:rPr>
          <w:rFonts w:hint="eastAsia"/>
          <w:bCs/>
          <w:sz w:val="24"/>
          <w:szCs w:val="24"/>
          <w:u w:val="single"/>
        </w:rPr>
        <w:t xml:space="preserve">                     </w:t>
      </w:r>
      <w:r>
        <w:rPr>
          <w:rFonts w:hint="eastAsia"/>
          <w:bCs/>
          <w:sz w:val="24"/>
          <w:szCs w:val="24"/>
        </w:rPr>
        <w:t>系</w:t>
      </w:r>
      <w:r>
        <w:rPr>
          <w:rFonts w:hint="eastAsia"/>
          <w:bCs/>
          <w:sz w:val="24"/>
          <w:szCs w:val="24"/>
          <w:u w:val="single"/>
        </w:rPr>
        <w:t xml:space="preserve">               </w:t>
      </w:r>
      <w:r>
        <w:rPr>
          <w:rFonts w:hint="eastAsia"/>
          <w:bCs/>
          <w:sz w:val="24"/>
          <w:szCs w:val="24"/>
        </w:rPr>
        <w:t>（投标人单位全称）的法定代表人。</w:t>
      </w:r>
    </w:p>
    <w:p>
      <w:pPr>
        <w:spacing w:line="360" w:lineRule="auto"/>
        <w:contextualSpacing/>
        <w:rPr>
          <w:rFonts w:hint="eastAsia"/>
          <w:bCs/>
          <w:sz w:val="24"/>
          <w:szCs w:val="24"/>
        </w:rPr>
      </w:pPr>
      <w:r>
        <w:rPr>
          <w:rFonts w:hint="eastAsia"/>
          <w:bCs/>
          <w:sz w:val="24"/>
          <w:szCs w:val="24"/>
        </w:rPr>
        <w:t xml:space="preserve">    特此证明。</w:t>
      </w:r>
    </w:p>
    <w:p>
      <w:pPr>
        <w:spacing w:line="360" w:lineRule="auto"/>
        <w:contextualSpacing/>
        <w:rPr>
          <w:rFonts w:hint="eastAsia"/>
          <w:bCs/>
          <w:sz w:val="24"/>
          <w:szCs w:val="24"/>
        </w:rPr>
      </w:pPr>
    </w:p>
    <w:p>
      <w:pPr>
        <w:spacing w:line="360" w:lineRule="auto"/>
        <w:contextualSpacing/>
        <w:rPr>
          <w:rFonts w:hint="eastAsia"/>
          <w:bCs/>
          <w:sz w:val="24"/>
          <w:szCs w:val="24"/>
        </w:rPr>
      </w:pPr>
      <w:r>
        <w:rPr>
          <w:rFonts w:hint="eastAsia"/>
          <w:bCs/>
          <w:sz w:val="24"/>
          <w:szCs w:val="24"/>
        </w:rPr>
        <w:t>（后附法定代表人身份证正反面复印件）</w:t>
      </w:r>
    </w:p>
    <w:p>
      <w:pPr>
        <w:spacing w:line="360" w:lineRule="auto"/>
        <w:contextualSpacing/>
        <w:rPr>
          <w:rFonts w:hint="eastAsia"/>
          <w:bCs/>
          <w:sz w:val="24"/>
          <w:szCs w:val="24"/>
        </w:rPr>
      </w:pPr>
    </w:p>
    <w:p>
      <w:pPr>
        <w:spacing w:line="360" w:lineRule="auto"/>
        <w:contextualSpacing/>
        <w:rPr>
          <w:rFonts w:hint="eastAsia"/>
          <w:bCs/>
          <w:sz w:val="24"/>
          <w:szCs w:val="24"/>
        </w:rPr>
      </w:pPr>
    </w:p>
    <w:p>
      <w:pPr>
        <w:spacing w:line="360" w:lineRule="auto"/>
        <w:contextualSpacing/>
        <w:rPr>
          <w:rFonts w:hint="eastAsia"/>
          <w:bCs/>
          <w:sz w:val="24"/>
          <w:szCs w:val="24"/>
        </w:rPr>
      </w:pPr>
    </w:p>
    <w:p>
      <w:pPr>
        <w:spacing w:line="360" w:lineRule="auto"/>
        <w:contextualSpacing/>
        <w:rPr>
          <w:rFonts w:hint="eastAsia"/>
          <w:bCs/>
          <w:sz w:val="24"/>
          <w:szCs w:val="24"/>
        </w:rPr>
      </w:pPr>
      <w:r>
        <w:rPr>
          <w:rFonts w:hint="eastAsia"/>
          <w:bCs/>
          <w:sz w:val="24"/>
          <w:szCs w:val="24"/>
        </w:rPr>
        <w:t>投标人（盖章）：</w:t>
      </w:r>
    </w:p>
    <w:p>
      <w:pPr>
        <w:spacing w:line="360" w:lineRule="auto"/>
        <w:contextualSpacing/>
        <w:rPr>
          <w:rFonts w:hint="eastAsia"/>
          <w:bCs/>
          <w:sz w:val="24"/>
          <w:szCs w:val="24"/>
        </w:rPr>
      </w:pPr>
      <w:r>
        <w:rPr>
          <w:rFonts w:hint="eastAsia"/>
          <w:bCs/>
          <w:sz w:val="24"/>
          <w:szCs w:val="24"/>
        </w:rPr>
        <w:t>法定代表人（签字或盖章）：</w:t>
      </w:r>
    </w:p>
    <w:p>
      <w:pPr>
        <w:spacing w:line="360" w:lineRule="auto"/>
        <w:contextualSpacing/>
        <w:rPr>
          <w:rFonts w:hint="eastAsia"/>
          <w:b/>
          <w:szCs w:val="21"/>
        </w:rPr>
      </w:pPr>
      <w:r>
        <w:rPr>
          <w:rFonts w:hint="eastAsia"/>
          <w:bCs/>
          <w:sz w:val="24"/>
          <w:szCs w:val="24"/>
        </w:rPr>
        <w:t>日期：</w:t>
      </w:r>
    </w:p>
    <w:p>
      <w:pPr>
        <w:pStyle w:val="3"/>
        <w:spacing w:before="0" w:after="0" w:line="240" w:lineRule="auto"/>
        <w:ind w:right="-567"/>
        <w:jc w:val="left"/>
        <w:rPr>
          <w:rFonts w:ascii="Times New Roman" w:hAnsi="Times New Roman" w:eastAsia="宋体"/>
          <w:b w:val="0"/>
          <w:sz w:val="18"/>
          <w:szCs w:val="18"/>
        </w:rPr>
      </w:pPr>
      <w:r>
        <w:rPr>
          <w:rFonts w:ascii="Times New Roman" w:hAnsi="Times New Roman" w:eastAsia="宋体"/>
        </w:rPr>
        <w:br w:type="page"/>
      </w:r>
      <w:r>
        <w:rPr>
          <w:rFonts w:hint="eastAsia" w:ascii="Times New Roman" w:hAnsi="Times New Roman" w:eastAsia="宋体"/>
          <w:b w:val="0"/>
          <w:sz w:val="18"/>
          <w:szCs w:val="18"/>
        </w:rPr>
        <w:t>格式十四 中小企业声明函（选用）</w:t>
      </w:r>
    </w:p>
    <w:p/>
    <w:p>
      <w:pPr>
        <w:pStyle w:val="2"/>
        <w:spacing w:after="120" w:afterLines="50" w:line="360" w:lineRule="exact"/>
        <w:rPr>
          <w:rFonts w:ascii="Times New Roman"/>
          <w:sz w:val="32"/>
          <w:szCs w:val="32"/>
        </w:rPr>
      </w:pPr>
      <w:r>
        <w:rPr>
          <w:rFonts w:hint="eastAsia" w:ascii="Times New Roman"/>
          <w:sz w:val="32"/>
          <w:szCs w:val="32"/>
        </w:rPr>
        <w:t>中小企业</w:t>
      </w:r>
      <w:r>
        <w:rPr>
          <w:rFonts w:ascii="Times New Roman"/>
          <w:sz w:val="32"/>
          <w:szCs w:val="32"/>
        </w:rPr>
        <w:t>声明函</w:t>
      </w:r>
    </w:p>
    <w:p/>
    <w:p/>
    <w:p>
      <w:pPr>
        <w:spacing w:line="480" w:lineRule="auto"/>
        <w:ind w:firstLine="525" w:firstLineChars="25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采购活动，服务全部由符合政策要求的中小企业承接。相关企业（含联合体中的中小企业、签订分包意向协议的中小企业）的具体情况如下：</w:t>
      </w:r>
    </w:p>
    <w:p>
      <w:pPr>
        <w:spacing w:line="480" w:lineRule="auto"/>
        <w:ind w:firstLine="420" w:firstLineChars="200"/>
      </w:pPr>
      <w:r>
        <w:t>1.</w:t>
      </w:r>
      <w:r>
        <w:rPr>
          <w:i/>
          <w:u w:val="single"/>
        </w:rPr>
        <w:t xml:space="preserve"> </w:t>
      </w:r>
      <w:r>
        <w:rPr>
          <w:rFonts w:hint="eastAsia"/>
          <w:i/>
          <w:u w:val="single"/>
        </w:rPr>
        <w:t>（标的名称）</w:t>
      </w:r>
      <w:r>
        <w:rPr>
          <w:i/>
          <w:u w:val="single"/>
        </w:rPr>
        <w:t xml:space="preserve"> </w:t>
      </w:r>
      <w:r>
        <w:rPr>
          <w:rFonts w:hint="eastAsia"/>
        </w:rPr>
        <w:t>，属于</w:t>
      </w:r>
      <w:r>
        <w:rPr>
          <w:rFonts w:hint="eastAsia"/>
          <w:i/>
          <w:u w:val="single"/>
        </w:rPr>
        <w:t>（</w:t>
      </w:r>
      <w:r>
        <w:rPr>
          <w:rFonts w:hint="eastAsia"/>
          <w:u w:val="single"/>
        </w:rPr>
        <w:t>采购文件中明确的所属行业：</w:t>
      </w:r>
      <w:r>
        <w:rPr>
          <w:rFonts w:hint="eastAsia"/>
          <w:b/>
          <w:szCs w:val="21"/>
          <w:u w:val="single"/>
        </w:rPr>
        <w:t>其他未列明行业</w:t>
      </w:r>
      <w:r>
        <w:rPr>
          <w:rFonts w:hint="eastAsia"/>
          <w:i/>
          <w:u w:val="single"/>
        </w:rPr>
        <w:t>）</w:t>
      </w:r>
      <w:r>
        <w:rPr>
          <w:rFonts w:hint="eastAsia"/>
        </w:rPr>
        <w:t>；承接企业为</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vertAlign w:val="superscript"/>
        </w:rPr>
        <w:t>1</w:t>
      </w:r>
      <w:r>
        <w:rPr>
          <w:rFonts w:hint="eastAsia"/>
        </w:rPr>
        <w:t>，属于</w:t>
      </w:r>
      <w:r>
        <w:rPr>
          <w:rFonts w:hint="eastAsia"/>
          <w:i/>
          <w:u w:val="single"/>
        </w:rPr>
        <w:t>（中型企业、小型企业、微型企业）</w:t>
      </w:r>
      <w:r>
        <w:rPr>
          <w:rFonts w:hint="eastAsia"/>
        </w:rPr>
        <w:t>；</w:t>
      </w:r>
    </w:p>
    <w:p>
      <w:pPr>
        <w:spacing w:line="480" w:lineRule="auto"/>
        <w:ind w:firstLine="420" w:firstLineChars="200"/>
      </w:pPr>
      <w:r>
        <w:t>2.</w:t>
      </w:r>
      <w:r>
        <w:rPr>
          <w:i/>
          <w:u w:val="single"/>
        </w:rPr>
        <w:t xml:space="preserve"> </w:t>
      </w:r>
      <w:r>
        <w:rPr>
          <w:rFonts w:hint="eastAsia"/>
          <w:i/>
          <w:u w:val="single"/>
        </w:rPr>
        <w:t>（标的名称）</w:t>
      </w:r>
      <w:r>
        <w:rPr>
          <w:i/>
          <w:u w:val="single"/>
        </w:rPr>
        <w:t xml:space="preserve"> </w:t>
      </w:r>
      <w:r>
        <w:rPr>
          <w:rFonts w:hint="eastAsia"/>
        </w:rPr>
        <w:t>，属于</w:t>
      </w:r>
      <w:r>
        <w:rPr>
          <w:rFonts w:hint="eastAsia"/>
          <w:i/>
          <w:u w:val="single"/>
        </w:rPr>
        <w:t>（采购文件中明确的所属行业）</w:t>
      </w:r>
      <w:r>
        <w:rPr>
          <w:rFonts w:hint="eastAsia"/>
        </w:rPr>
        <w:t>；承接企业为</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u w:val="single"/>
        </w:rPr>
        <w:t>（中型企业、小型企业、微型企业）</w:t>
      </w:r>
      <w:r>
        <w:rPr>
          <w:rFonts w:hint="eastAsia"/>
        </w:rPr>
        <w:t>；</w:t>
      </w:r>
    </w:p>
    <w:p>
      <w:pPr>
        <w:spacing w:line="480" w:lineRule="auto"/>
        <w:ind w:firstLine="420" w:firstLineChars="200"/>
      </w:pPr>
      <w:r>
        <w:rPr>
          <w:rFonts w:hint="eastAsia"/>
        </w:rPr>
        <w:t>……</w:t>
      </w:r>
    </w:p>
    <w:p>
      <w:pPr>
        <w:spacing w:line="480" w:lineRule="auto"/>
        <w:ind w:firstLine="420" w:firstLineChars="200"/>
      </w:pPr>
      <w:r>
        <w:rPr>
          <w:rFonts w:hint="eastAsia"/>
        </w:rPr>
        <w:t>以上企业，不属于大企业的分支机构，不存在控股股东为大企业的情形，也不存在与大企业的负责人为同一人的情形。</w:t>
      </w:r>
    </w:p>
    <w:p>
      <w:pPr>
        <w:spacing w:line="480" w:lineRule="auto"/>
        <w:ind w:firstLine="420" w:firstLineChars="200"/>
      </w:pPr>
      <w:r>
        <w:rPr>
          <w:rFonts w:hint="eastAsia"/>
        </w:rPr>
        <w:t>本企业对上述声明内容的真实性负责。如有虚假，将依法承担相应责任。</w:t>
      </w:r>
    </w:p>
    <w:p>
      <w:pPr>
        <w:spacing w:line="480" w:lineRule="auto"/>
        <w:ind w:firstLine="640"/>
        <w:rPr>
          <w:rFonts w:hint="eastAsia"/>
        </w:rPr>
      </w:pPr>
      <w:r>
        <w:rPr>
          <w:rFonts w:hint="eastAsia"/>
        </w:rPr>
        <w:t xml:space="preserve">                       </w:t>
      </w:r>
    </w:p>
    <w:p>
      <w:pPr>
        <w:spacing w:line="480" w:lineRule="auto"/>
        <w:ind w:right="420" w:firstLine="3150" w:firstLineChars="1500"/>
      </w:pPr>
      <w:r>
        <w:rPr>
          <w:rFonts w:hint="eastAsia"/>
        </w:rPr>
        <w:t>企业名称（盖章）：</w:t>
      </w:r>
    </w:p>
    <w:p>
      <w:pPr>
        <w:spacing w:line="480" w:lineRule="auto"/>
        <w:ind w:firstLine="640"/>
        <w:rPr>
          <w:rFonts w:hint="eastAsia"/>
        </w:rPr>
      </w:pPr>
      <w:r>
        <w:rPr>
          <w:rFonts w:hint="eastAsia"/>
        </w:rPr>
        <w:t xml:space="preserve">                        日期：</w:t>
      </w:r>
    </w:p>
    <w:p>
      <w:pPr>
        <w:spacing w:line="480" w:lineRule="auto"/>
        <w:ind w:firstLine="640"/>
        <w:rPr>
          <w:rFonts w:hint="eastAsia"/>
          <w:sz w:val="32"/>
          <w:szCs w:val="32"/>
          <w:u w:val="single"/>
        </w:rPr>
      </w:pPr>
      <w:r>
        <w:rPr>
          <w:rFonts w:hint="eastAsia"/>
          <w:sz w:val="32"/>
          <w:szCs w:val="32"/>
          <w:u w:val="single"/>
        </w:rPr>
        <w:t xml:space="preserve">                  </w:t>
      </w:r>
    </w:p>
    <w:p>
      <w:pPr>
        <w:spacing w:line="480" w:lineRule="auto"/>
        <w:ind w:firstLine="320"/>
        <w:rPr>
          <w:rFonts w:hint="eastAsia" w:cs="宋体"/>
          <w:sz w:val="18"/>
          <w:szCs w:val="18"/>
        </w:rPr>
      </w:pPr>
      <w:r>
        <w:rPr>
          <w:rFonts w:cs="TimesNewRomanPSMT"/>
          <w:sz w:val="16"/>
          <w:szCs w:val="12"/>
          <w:vertAlign w:val="superscript"/>
        </w:rPr>
        <w:t>1</w:t>
      </w:r>
      <w:r>
        <w:rPr>
          <w:rFonts w:hint="eastAsia" w:cs="宋体"/>
          <w:sz w:val="18"/>
          <w:szCs w:val="18"/>
        </w:rPr>
        <w:t>从业人员、营业收入、资产总额填报上一年度数据，无上一年度数据的新成立企业可不填报。</w:t>
      </w:r>
    </w:p>
    <w:p>
      <w:pPr>
        <w:pStyle w:val="3"/>
        <w:spacing w:before="0" w:after="0" w:line="240" w:lineRule="auto"/>
        <w:ind w:right="-567"/>
        <w:jc w:val="left"/>
        <w:rPr>
          <w:rFonts w:hint="eastAsia" w:ascii="Times New Roman" w:hAnsi="Times New Roman" w:eastAsia="宋体"/>
          <w:sz w:val="24"/>
          <w:szCs w:val="24"/>
        </w:rPr>
      </w:pPr>
      <w:r>
        <w:rPr>
          <w:rFonts w:ascii="Times New Roman" w:hAnsi="Times New Roman" w:eastAsia="宋体"/>
          <w:sz w:val="24"/>
          <w:szCs w:val="24"/>
        </w:rPr>
        <w:br w:type="page"/>
      </w:r>
    </w:p>
    <w:p>
      <w:pPr>
        <w:pStyle w:val="3"/>
        <w:spacing w:before="0" w:after="0" w:line="240" w:lineRule="auto"/>
        <w:ind w:right="-567"/>
        <w:jc w:val="left"/>
        <w:rPr>
          <w:rFonts w:ascii="Times New Roman" w:hAnsi="Times New Roman" w:eastAsia="宋体"/>
          <w:b w:val="0"/>
          <w:sz w:val="18"/>
          <w:szCs w:val="18"/>
        </w:rPr>
      </w:pPr>
      <w:r>
        <w:rPr>
          <w:rFonts w:hint="eastAsia" w:ascii="Times New Roman" w:hAnsi="Times New Roman" w:eastAsia="宋体"/>
          <w:b w:val="0"/>
          <w:sz w:val="18"/>
          <w:szCs w:val="18"/>
        </w:rPr>
        <w:t>格式十五 残疾人福利性单位声明函（选用）</w:t>
      </w:r>
    </w:p>
    <w:p>
      <w:pPr>
        <w:pStyle w:val="19"/>
        <w:spacing w:line="360" w:lineRule="auto"/>
        <w:ind w:firstLine="0"/>
        <w:jc w:val="center"/>
        <w:rPr>
          <w:rFonts w:hint="eastAsia" w:eastAsia="宋体"/>
          <w:szCs w:val="24"/>
        </w:rPr>
      </w:pPr>
    </w:p>
    <w:p>
      <w:pPr>
        <w:pStyle w:val="19"/>
        <w:spacing w:line="360" w:lineRule="auto"/>
        <w:ind w:firstLine="0"/>
        <w:jc w:val="center"/>
        <w:rPr>
          <w:rFonts w:hint="eastAsia" w:eastAsia="宋体"/>
          <w:szCs w:val="24"/>
        </w:rPr>
      </w:pPr>
    </w:p>
    <w:p>
      <w:pPr>
        <w:pStyle w:val="19"/>
        <w:spacing w:line="360" w:lineRule="auto"/>
        <w:ind w:firstLine="0"/>
        <w:jc w:val="center"/>
        <w:rPr>
          <w:rFonts w:hint="eastAsia" w:eastAsia="宋体"/>
          <w:szCs w:val="24"/>
        </w:rPr>
      </w:pPr>
    </w:p>
    <w:p>
      <w:pPr>
        <w:pStyle w:val="2"/>
        <w:spacing w:after="120" w:afterLines="50" w:line="360" w:lineRule="exact"/>
        <w:rPr>
          <w:rFonts w:hint="eastAsia" w:ascii="Times New Roman"/>
          <w:sz w:val="32"/>
          <w:szCs w:val="32"/>
        </w:rPr>
      </w:pPr>
      <w:r>
        <w:rPr>
          <w:rFonts w:hint="eastAsia" w:ascii="Times New Roman"/>
          <w:sz w:val="32"/>
          <w:szCs w:val="32"/>
        </w:rPr>
        <w:t>残疾人福利性单位声明函</w:t>
      </w:r>
    </w:p>
    <w:p>
      <w:pPr>
        <w:pStyle w:val="19"/>
        <w:spacing w:line="360" w:lineRule="auto"/>
        <w:ind w:firstLine="0"/>
        <w:jc w:val="center"/>
        <w:rPr>
          <w:rFonts w:hint="eastAsia" w:eastAsia="宋体"/>
          <w:b/>
          <w:sz w:val="28"/>
          <w:szCs w:val="28"/>
        </w:rPr>
      </w:pPr>
    </w:p>
    <w:p>
      <w:pPr>
        <w:spacing w:line="360" w:lineRule="auto"/>
        <w:ind w:firstLine="480" w:firstLineChars="200"/>
        <w:contextualSpacing/>
        <w:rPr>
          <w:rFonts w:hint="eastAsia"/>
          <w:sz w:val="24"/>
          <w:szCs w:val="24"/>
        </w:rPr>
      </w:pPr>
      <w:r>
        <w:rPr>
          <w:rFonts w:hint="eastAsia"/>
          <w:sz w:val="24"/>
          <w:szCs w:val="24"/>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sz w:val="24"/>
          <w:szCs w:val="24"/>
        </w:rPr>
      </w:pPr>
      <w:r>
        <w:rPr>
          <w:rFonts w:hint="eastAsia"/>
          <w:sz w:val="24"/>
          <w:szCs w:val="24"/>
        </w:rPr>
        <w:t>本单位对上述声明的真实性负责。如有虚假，将依法承担相应责任。</w:t>
      </w:r>
    </w:p>
    <w:p>
      <w:pPr>
        <w:spacing w:line="360" w:lineRule="auto"/>
        <w:ind w:firstLine="480" w:firstLineChars="200"/>
        <w:contextualSpacing/>
        <w:rPr>
          <w:rFonts w:hint="eastAsia"/>
          <w:sz w:val="24"/>
          <w:szCs w:val="24"/>
        </w:rPr>
      </w:pPr>
    </w:p>
    <w:p>
      <w:pPr>
        <w:spacing w:line="360" w:lineRule="auto"/>
        <w:ind w:firstLine="480" w:firstLineChars="200"/>
        <w:contextualSpacing/>
        <w:rPr>
          <w:rFonts w:hint="eastAsia"/>
          <w:sz w:val="24"/>
          <w:szCs w:val="24"/>
        </w:rPr>
      </w:pPr>
    </w:p>
    <w:p>
      <w:pPr>
        <w:tabs>
          <w:tab w:val="left" w:pos="4860"/>
        </w:tabs>
        <w:spacing w:line="360" w:lineRule="auto"/>
        <w:ind w:right="1560" w:firstLine="480" w:firstLineChars="200"/>
        <w:contextualSpacing/>
        <w:jc w:val="center"/>
        <w:rPr>
          <w:rFonts w:hint="eastAsia"/>
          <w:sz w:val="24"/>
          <w:szCs w:val="24"/>
        </w:rPr>
      </w:pPr>
      <w:r>
        <w:rPr>
          <w:rFonts w:hint="eastAsia"/>
          <w:sz w:val="24"/>
          <w:szCs w:val="24"/>
        </w:rPr>
        <w:t xml:space="preserve">                                   企业名称（盖章）： </w:t>
      </w:r>
    </w:p>
    <w:p>
      <w:pPr>
        <w:spacing w:line="360" w:lineRule="auto"/>
        <w:contextualSpacing/>
        <w:jc w:val="left"/>
        <w:rPr>
          <w:rFonts w:hint="eastAsia"/>
          <w:sz w:val="24"/>
          <w:szCs w:val="24"/>
        </w:rPr>
      </w:pPr>
      <w:r>
        <w:rPr>
          <w:rFonts w:hint="eastAsia"/>
          <w:sz w:val="24"/>
          <w:szCs w:val="24"/>
        </w:rPr>
        <w:t xml:space="preserve">                                            日  期：</w:t>
      </w:r>
    </w:p>
    <w:p>
      <w:pPr>
        <w:pStyle w:val="3"/>
        <w:spacing w:before="0" w:after="0" w:line="240" w:lineRule="auto"/>
        <w:ind w:right="-567"/>
        <w:jc w:val="left"/>
        <w:rPr>
          <w:rFonts w:ascii="Times New Roman" w:hAnsi="Times New Roman" w:eastAsia="宋体"/>
          <w:sz w:val="24"/>
          <w:szCs w:val="24"/>
        </w:rPr>
      </w:pPr>
      <w:r>
        <w:rPr>
          <w:rFonts w:ascii="Times New Roman" w:hAnsi="Times New Roman" w:eastAsia="宋体"/>
          <w:sz w:val="24"/>
          <w:szCs w:val="24"/>
        </w:rPr>
        <w:t xml:space="preserve"> </w:t>
      </w:r>
    </w:p>
    <w:p>
      <w:pPr>
        <w:pStyle w:val="2"/>
        <w:spacing w:after="120" w:afterLines="50" w:line="360" w:lineRule="exact"/>
        <w:jc w:val="left"/>
        <w:rPr>
          <w:rFonts w:hint="eastAsia" w:ascii="Times New Roman"/>
          <w:b w:val="0"/>
          <w:sz w:val="18"/>
          <w:szCs w:val="18"/>
        </w:rPr>
      </w:pPr>
      <w:r>
        <w:rPr>
          <w:rFonts w:ascii="Times New Roman"/>
          <w:sz w:val="24"/>
          <w:szCs w:val="24"/>
        </w:rPr>
        <w:br w:type="page"/>
      </w:r>
      <w:r>
        <w:rPr>
          <w:rFonts w:hint="eastAsia" w:ascii="Times New Roman"/>
          <w:b w:val="0"/>
          <w:sz w:val="18"/>
          <w:szCs w:val="18"/>
        </w:rPr>
        <w:t>附件1 技术商务分自评表</w:t>
      </w:r>
    </w:p>
    <w:p>
      <w:pPr>
        <w:pStyle w:val="2"/>
        <w:spacing w:after="120" w:afterLines="50" w:line="360" w:lineRule="exact"/>
        <w:rPr>
          <w:rFonts w:ascii="Times New Roman"/>
          <w:sz w:val="30"/>
          <w:szCs w:val="30"/>
        </w:rPr>
      </w:pPr>
      <w:r>
        <w:rPr>
          <w:rFonts w:hint="eastAsia" w:ascii="Times New Roman"/>
          <w:sz w:val="30"/>
          <w:szCs w:val="30"/>
        </w:rPr>
        <w:t>技术商务分自评表</w:t>
      </w:r>
    </w:p>
    <w:tbl>
      <w:tblPr>
        <w:tblStyle w:val="5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558"/>
        <w:gridCol w:w="5529"/>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8" w:hRule="atLeast"/>
          <w:jc w:val="center"/>
        </w:trPr>
        <w:tc>
          <w:tcPr>
            <w:tcW w:w="1055" w:type="dxa"/>
            <w:noWrap w:val="0"/>
            <w:vAlign w:val="center"/>
          </w:tcPr>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项目</w:t>
            </w:r>
          </w:p>
        </w:tc>
        <w:tc>
          <w:tcPr>
            <w:tcW w:w="7087" w:type="dxa"/>
            <w:gridSpan w:val="2"/>
            <w:noWrap w:val="0"/>
            <w:vAlign w:val="center"/>
          </w:tcPr>
          <w:p>
            <w:pPr>
              <w:autoSpaceDE w:val="0"/>
              <w:autoSpaceDN w:val="0"/>
              <w:adjustRightInd w:val="0"/>
              <w:spacing w:line="300" w:lineRule="exact"/>
              <w:contextualSpacing/>
              <w:jc w:val="center"/>
              <w:rPr>
                <w:rFonts w:hint="eastAsia" w:ascii="Times New Roman" w:hAnsi="Times New Roman"/>
                <w:bCs/>
                <w:szCs w:val="21"/>
              </w:rPr>
            </w:pPr>
            <w:r>
              <w:rPr>
                <w:rFonts w:hint="eastAsia" w:ascii="Times New Roman" w:hAnsi="Times New Roman"/>
                <w:bCs/>
                <w:szCs w:val="21"/>
              </w:rPr>
              <w:t>评分内容和标准</w:t>
            </w:r>
          </w:p>
        </w:tc>
        <w:tc>
          <w:tcPr>
            <w:tcW w:w="850" w:type="dxa"/>
            <w:noWrap w:val="0"/>
            <w:vAlign w:val="center"/>
          </w:tcPr>
          <w:p>
            <w:pPr>
              <w:autoSpaceDE w:val="0"/>
              <w:autoSpaceDN w:val="0"/>
              <w:adjustRightInd w:val="0"/>
              <w:spacing w:line="300" w:lineRule="exact"/>
              <w:contextualSpacing/>
              <w:jc w:val="center"/>
              <w:rPr>
                <w:rFonts w:hint="eastAsia"/>
                <w:bCs/>
                <w:szCs w:val="21"/>
              </w:rPr>
            </w:pPr>
            <w:r>
              <w:rPr>
                <w:rFonts w:hint="eastAsia"/>
                <w:bCs/>
                <w:szCs w:val="21"/>
              </w:rPr>
              <w:t>自评分</w:t>
            </w:r>
          </w:p>
        </w:tc>
        <w:tc>
          <w:tcPr>
            <w:tcW w:w="1134" w:type="dxa"/>
            <w:noWrap w:val="0"/>
            <w:vAlign w:val="center"/>
          </w:tcPr>
          <w:p>
            <w:pPr>
              <w:autoSpaceDE w:val="0"/>
              <w:autoSpaceDN w:val="0"/>
              <w:adjustRightInd w:val="0"/>
              <w:spacing w:line="300" w:lineRule="exact"/>
              <w:contextualSpacing/>
              <w:jc w:val="center"/>
              <w:rPr>
                <w:rFonts w:hint="eastAsia"/>
                <w:bCs/>
                <w:szCs w:val="21"/>
              </w:rPr>
            </w:pPr>
            <w:r>
              <w:rPr>
                <w:rFonts w:hint="eastAsia"/>
                <w:bCs/>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restart"/>
            <w:noWrap w:val="0"/>
            <w:vAlign w:val="center"/>
          </w:tcPr>
          <w:p>
            <w:pPr>
              <w:spacing w:line="300" w:lineRule="exact"/>
              <w:contextualSpacing/>
              <w:jc w:val="center"/>
              <w:rPr>
                <w:rFonts w:ascii="Times New Roman" w:hAnsi="Times New Roman"/>
                <w:szCs w:val="21"/>
              </w:rPr>
            </w:pPr>
            <w:r>
              <w:rPr>
                <w:rFonts w:hint="eastAsia" w:ascii="Times New Roman" w:hAnsi="Times New Roman"/>
                <w:szCs w:val="21"/>
              </w:rPr>
              <w:t>技术商务分</w:t>
            </w:r>
          </w:p>
          <w:p>
            <w:pPr>
              <w:spacing w:line="300" w:lineRule="exact"/>
              <w:contextualSpacing/>
              <w:jc w:val="center"/>
              <w:rPr>
                <w:rFonts w:ascii="Times New Roman" w:hAnsi="Times New Roman"/>
                <w:szCs w:val="21"/>
              </w:rPr>
            </w:pPr>
            <w:r>
              <w:rPr>
                <w:rFonts w:hint="eastAsia" w:ascii="Times New Roman" w:hAnsi="Times New Roman"/>
                <w:szCs w:val="21"/>
              </w:rPr>
              <w:t>90</w:t>
            </w:r>
            <w:r>
              <w:rPr>
                <w:rFonts w:ascii="Times New Roman" w:hAnsi="Times New Roman"/>
                <w:szCs w:val="21"/>
              </w:rPr>
              <w:t>分</w:t>
            </w:r>
          </w:p>
        </w:tc>
        <w:tc>
          <w:tcPr>
            <w:tcW w:w="1558" w:type="dxa"/>
            <w:vMerge w:val="restart"/>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项目实施方案</w:t>
            </w:r>
          </w:p>
          <w:p>
            <w:pPr>
              <w:spacing w:line="300" w:lineRule="exact"/>
              <w:contextualSpacing/>
              <w:jc w:val="center"/>
              <w:rPr>
                <w:rFonts w:ascii="Times New Roman" w:hAnsi="Times New Roman"/>
                <w:szCs w:val="21"/>
              </w:rPr>
            </w:pPr>
            <w:r>
              <w:rPr>
                <w:rFonts w:hint="eastAsia" w:ascii="Times New Roman" w:hAnsi="Times New Roman"/>
                <w:szCs w:val="21"/>
              </w:rPr>
              <w:t>（</w:t>
            </w:r>
            <w:r>
              <w:rPr>
                <w:rFonts w:ascii="Times New Roman" w:hAnsi="Times New Roman"/>
                <w:szCs w:val="21"/>
              </w:rPr>
              <w:t>40</w:t>
            </w:r>
            <w:r>
              <w:rPr>
                <w:rFonts w:hint="eastAsia" w:ascii="Times New Roman" w:hAnsi="Times New Roman"/>
                <w:szCs w:val="21"/>
              </w:rPr>
              <w:t>分）</w:t>
            </w:r>
          </w:p>
        </w:tc>
        <w:tc>
          <w:tcPr>
            <w:tcW w:w="5529" w:type="dxa"/>
            <w:noWrap w:val="0"/>
            <w:vAlign w:val="center"/>
          </w:tcPr>
          <w:p>
            <w:pPr>
              <w:snapToGrid w:val="0"/>
              <w:spacing w:line="300" w:lineRule="exact"/>
              <w:contextualSpacing/>
              <w:rPr>
                <w:rFonts w:hint="eastAsia" w:ascii="Times New Roman" w:hAnsi="Times New Roman"/>
                <w:szCs w:val="21"/>
              </w:rPr>
            </w:pPr>
            <w:r>
              <w:rPr>
                <w:rFonts w:hint="eastAsia" w:ascii="Times New Roman" w:hAnsi="Times New Roman"/>
                <w:szCs w:val="21"/>
              </w:rPr>
              <w:t>1、道路、公路保洁方案（6分）：</w:t>
            </w:r>
          </w:p>
          <w:p>
            <w:pPr>
              <w:snapToGrid w:val="0"/>
              <w:spacing w:line="300" w:lineRule="exact"/>
              <w:contextualSpacing/>
              <w:rPr>
                <w:rFonts w:hint="eastAsia" w:ascii="Times New Roman" w:hAnsi="Times New Roman"/>
                <w:szCs w:val="21"/>
              </w:rPr>
            </w:pPr>
            <w:r>
              <w:rPr>
                <w:rFonts w:hint="eastAsia" w:ascii="Times New Roman" w:hAnsi="Times New Roman"/>
                <w:szCs w:val="21"/>
              </w:rPr>
              <w:t>1.1本项目道路、公路特性分析：3分；</w:t>
            </w:r>
          </w:p>
          <w:p>
            <w:pPr>
              <w:snapToGrid w:val="0"/>
              <w:spacing w:line="300" w:lineRule="exact"/>
              <w:contextualSpacing/>
              <w:rPr>
                <w:rFonts w:ascii="Times New Roman" w:hAnsi="Times New Roman"/>
                <w:szCs w:val="21"/>
              </w:rPr>
            </w:pPr>
            <w:r>
              <w:rPr>
                <w:rFonts w:hint="eastAsia" w:ascii="Times New Roman" w:hAnsi="Times New Roman"/>
                <w:szCs w:val="21"/>
              </w:rPr>
              <w:t>1.2针对上述特性制定的作业人员（清扫、巡检、垃圾收运）与机械作业的优化配置方案：3分。</w:t>
            </w:r>
          </w:p>
        </w:tc>
        <w:tc>
          <w:tcPr>
            <w:tcW w:w="850" w:type="dxa"/>
            <w:noWrap w:val="0"/>
            <w:vAlign w:val="top"/>
          </w:tcPr>
          <w:p>
            <w:pPr>
              <w:snapToGrid w:val="0"/>
              <w:spacing w:line="300" w:lineRule="exact"/>
              <w:contextualSpacing/>
              <w:rPr>
                <w:rFonts w:hint="eastAsia"/>
                <w:szCs w:val="21"/>
              </w:rPr>
            </w:pPr>
          </w:p>
        </w:tc>
        <w:tc>
          <w:tcPr>
            <w:tcW w:w="1134" w:type="dxa"/>
            <w:noWrap w:val="0"/>
            <w:vAlign w:val="top"/>
          </w:tcPr>
          <w:p>
            <w:pPr>
              <w:snapToGrid w:val="0"/>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2、重难点区域的保洁方案：</w:t>
            </w:r>
            <w:r>
              <w:rPr>
                <w:rFonts w:ascii="Times New Roman" w:hAnsi="Times New Roman"/>
                <w:szCs w:val="21"/>
              </w:rPr>
              <w:t>5</w:t>
            </w:r>
            <w:r>
              <w:rPr>
                <w:rFonts w:hint="eastAsia" w:ascii="Times New Roman" w:hAnsi="Times New Roman"/>
                <w:szCs w:val="21"/>
              </w:rPr>
              <w:t>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3、果壳箱和垃圾桶保洁方案：</w:t>
            </w:r>
            <w:r>
              <w:rPr>
                <w:rFonts w:ascii="Times New Roman" w:hAnsi="Times New Roman"/>
                <w:szCs w:val="21"/>
              </w:rPr>
              <w:t>5</w:t>
            </w:r>
            <w:r>
              <w:rPr>
                <w:rFonts w:hint="eastAsia" w:ascii="Times New Roman" w:hAnsi="Times New Roman"/>
                <w:szCs w:val="21"/>
              </w:rPr>
              <w:t>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4、公厕保洁和化粪池清理方案：</w:t>
            </w:r>
            <w:r>
              <w:rPr>
                <w:rFonts w:ascii="Times New Roman" w:hAnsi="Times New Roman"/>
                <w:szCs w:val="21"/>
              </w:rPr>
              <w:t>5</w:t>
            </w:r>
            <w:r>
              <w:rPr>
                <w:rFonts w:hint="eastAsia" w:ascii="Times New Roman" w:hAnsi="Times New Roman"/>
                <w:szCs w:val="21"/>
              </w:rPr>
              <w:t>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5、垃圾清运及中转站保洁管理方案（5分）：</w:t>
            </w:r>
          </w:p>
          <w:p>
            <w:pPr>
              <w:spacing w:line="300" w:lineRule="exact"/>
              <w:contextualSpacing/>
              <w:rPr>
                <w:rFonts w:hint="eastAsia" w:ascii="Times New Roman" w:hAnsi="Times New Roman"/>
                <w:szCs w:val="21"/>
              </w:rPr>
            </w:pPr>
            <w:r>
              <w:rPr>
                <w:rFonts w:hint="eastAsia" w:ascii="Times New Roman" w:hAnsi="Times New Roman"/>
                <w:szCs w:val="21"/>
              </w:rPr>
              <w:t>5.1垃圾清运方案：3分；</w:t>
            </w:r>
          </w:p>
          <w:p>
            <w:pPr>
              <w:spacing w:line="300" w:lineRule="exact"/>
              <w:contextualSpacing/>
              <w:rPr>
                <w:rFonts w:hint="eastAsia" w:ascii="Times New Roman" w:hAnsi="Times New Roman"/>
                <w:szCs w:val="21"/>
              </w:rPr>
            </w:pPr>
            <w:r>
              <w:rPr>
                <w:rFonts w:hint="eastAsia" w:ascii="Times New Roman" w:hAnsi="Times New Roman"/>
                <w:szCs w:val="21"/>
              </w:rPr>
              <w:t>5.2中转站保洁管理方案：2分。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6、国道</w:t>
            </w:r>
            <w:r>
              <w:rPr>
                <w:rFonts w:hint="eastAsia" w:ascii="Times New Roman" w:hAnsi="Times New Roman"/>
                <w:bCs/>
                <w:szCs w:val="21"/>
              </w:rPr>
              <w:t>沿线两边店铺垃圾收集实施方案：3分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7、绿化养护方案：</w:t>
            </w:r>
            <w:r>
              <w:rPr>
                <w:rFonts w:ascii="Times New Roman" w:hAnsi="Times New Roman"/>
                <w:szCs w:val="21"/>
              </w:rPr>
              <w:t>5</w:t>
            </w:r>
            <w:r>
              <w:rPr>
                <w:rFonts w:hint="eastAsia" w:ascii="Times New Roman" w:hAnsi="Times New Roman"/>
                <w:szCs w:val="21"/>
              </w:rPr>
              <w:t>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8、服务质量保障措施：3分。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9、服务响应承诺：</w:t>
            </w:r>
            <w:r>
              <w:rPr>
                <w:rFonts w:ascii="Times New Roman" w:hAnsi="Times New Roman"/>
                <w:szCs w:val="21"/>
              </w:rPr>
              <w:t>3</w:t>
            </w:r>
            <w:r>
              <w:rPr>
                <w:rFonts w:hint="eastAsia" w:ascii="Times New Roman" w:hAnsi="Times New Roman"/>
                <w:szCs w:val="21"/>
              </w:rPr>
              <w:t>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7"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特殊时期的应急保障措施（5分）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评委根据投标人提供的针对</w:t>
            </w:r>
            <w:r>
              <w:rPr>
                <w:rFonts w:ascii="Times New Roman" w:hAnsi="Times New Roman"/>
                <w:szCs w:val="21"/>
              </w:rPr>
              <w:t>大型活动、节庆假日、防台防汛期间</w:t>
            </w:r>
            <w:r>
              <w:rPr>
                <w:rFonts w:hint="eastAsia" w:ascii="Times New Roman" w:hAnsi="Times New Roman"/>
                <w:szCs w:val="21"/>
              </w:rPr>
              <w:t>、创优评优和突击检查等特殊时期</w:t>
            </w:r>
            <w:r>
              <w:rPr>
                <w:rFonts w:ascii="Times New Roman" w:hAnsi="Times New Roman"/>
                <w:szCs w:val="21"/>
              </w:rPr>
              <w:t>的应急保障措施</w:t>
            </w:r>
            <w:r>
              <w:rPr>
                <w:rFonts w:hint="eastAsia" w:ascii="Times New Roman" w:hAnsi="Times New Roman"/>
                <w:szCs w:val="21"/>
              </w:rPr>
              <w:t>进行评比：5分。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restart"/>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拟投入的人员配备及管理</w:t>
            </w:r>
          </w:p>
          <w:p>
            <w:pPr>
              <w:spacing w:line="300" w:lineRule="exact"/>
              <w:contextualSpacing/>
              <w:jc w:val="center"/>
              <w:rPr>
                <w:rFonts w:hint="eastAsia" w:ascii="Times New Roman" w:hAnsi="Times New Roman"/>
                <w:szCs w:val="21"/>
              </w:rPr>
            </w:pPr>
            <w:r>
              <w:rPr>
                <w:rFonts w:hint="eastAsia" w:ascii="Times New Roman" w:hAnsi="Times New Roman"/>
                <w:szCs w:val="21"/>
              </w:rPr>
              <w:t>（8分）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评委根据投标人提供的道路、公路保洁人员、果壳箱和垃圾桶清理人员、公厕保洁人员、垃圾清运保洁人员和操作工、绿化养护人员、驾驶员等拟投入人员的配置数量的合理性进行评比：4分。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vMerge w:val="continue"/>
            <w:noWrap w:val="0"/>
            <w:vAlign w:val="center"/>
          </w:tcPr>
          <w:p>
            <w:pPr>
              <w:spacing w:line="300" w:lineRule="exact"/>
              <w:contextualSpacing/>
              <w:jc w:val="center"/>
              <w:rPr>
                <w:rFonts w:hint="eastAsia" w:ascii="Times New Roman" w:hAnsi="Times New Roman"/>
                <w:szCs w:val="21"/>
              </w:rPr>
            </w:pP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评委根据投标人提供的针对本项目的人员管理方案，如人员考核方案、</w:t>
            </w:r>
            <w:r>
              <w:rPr>
                <w:rFonts w:hint="eastAsia" w:ascii="Times New Roman" w:hAnsi="Times New Roman"/>
                <w:bCs/>
                <w:szCs w:val="21"/>
              </w:rPr>
              <w:t>合同执行期间的</w:t>
            </w:r>
            <w:r>
              <w:rPr>
                <w:rFonts w:hint="eastAsia" w:ascii="Times New Roman" w:hAnsi="Times New Roman"/>
                <w:szCs w:val="21"/>
              </w:rPr>
              <w:t>人员数量保障方案、人员安全保障措施、人员管理规范等进行评比：4分。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车辆、设备管理方案</w:t>
            </w:r>
          </w:p>
          <w:p>
            <w:pPr>
              <w:spacing w:line="300" w:lineRule="exact"/>
              <w:contextualSpacing/>
              <w:jc w:val="center"/>
              <w:rPr>
                <w:rFonts w:hint="eastAsia" w:ascii="Times New Roman" w:hAnsi="Times New Roman"/>
                <w:szCs w:val="21"/>
              </w:rPr>
            </w:pPr>
            <w:r>
              <w:rPr>
                <w:rFonts w:hint="eastAsia" w:ascii="Times New Roman" w:hAnsi="Times New Roman"/>
                <w:szCs w:val="21"/>
              </w:rPr>
              <w:t>（4分）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评委根据投标人提供的车辆、设备运行管理方案以及机械化运用方案（车辆、设备的投入、使用，运营路线的合理化设置，收运体系的优化契合等）进行评议：4分。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各类耗材使用方案</w:t>
            </w:r>
          </w:p>
          <w:p>
            <w:pPr>
              <w:spacing w:line="300" w:lineRule="exact"/>
              <w:contextualSpacing/>
              <w:jc w:val="center"/>
              <w:rPr>
                <w:rFonts w:hint="eastAsia" w:ascii="Times New Roman" w:hAnsi="Times New Roman"/>
                <w:szCs w:val="21"/>
              </w:rPr>
            </w:pPr>
            <w:r>
              <w:rPr>
                <w:rFonts w:hint="eastAsia" w:ascii="Times New Roman" w:hAnsi="Times New Roman"/>
                <w:szCs w:val="21"/>
              </w:rPr>
              <w:t>（3分）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评委根据投标人提供的各类耗材使用方案进行评比：3分。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企业管理制度</w:t>
            </w:r>
          </w:p>
          <w:p>
            <w:pPr>
              <w:spacing w:line="300" w:lineRule="exact"/>
              <w:contextualSpacing/>
              <w:jc w:val="center"/>
              <w:rPr>
                <w:rFonts w:hint="eastAsia" w:ascii="Times New Roman" w:hAnsi="Times New Roman"/>
                <w:szCs w:val="21"/>
              </w:rPr>
            </w:pPr>
            <w:r>
              <w:rPr>
                <w:rFonts w:hint="eastAsia" w:ascii="Times New Roman" w:hAnsi="Times New Roman"/>
                <w:szCs w:val="21"/>
              </w:rPr>
              <w:t>（2分）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评委根据投标人提供的企业内部管理制度，如人事管理制度、考核制度、道路保洁管理制度等进行评比：2分。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人员培训方案</w:t>
            </w:r>
          </w:p>
          <w:p>
            <w:pPr>
              <w:spacing w:line="300" w:lineRule="exact"/>
              <w:contextualSpacing/>
              <w:jc w:val="center"/>
              <w:rPr>
                <w:rFonts w:hint="eastAsia" w:ascii="Times New Roman" w:hAnsi="Times New Roman"/>
                <w:szCs w:val="21"/>
              </w:rPr>
            </w:pPr>
            <w:r>
              <w:rPr>
                <w:rFonts w:hint="eastAsia" w:ascii="Times New Roman" w:hAnsi="Times New Roman"/>
                <w:szCs w:val="21"/>
              </w:rPr>
              <w:t>（3分）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评委根据投标人提供的人员培训方案（含作业人员、管理人员的培训）进行评比：3分。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ascii="Times New Roman" w:hAnsi="Times New Roman"/>
                <w:szCs w:val="21"/>
              </w:rPr>
              <w:t>合理化建议</w:t>
            </w:r>
          </w:p>
          <w:p>
            <w:pPr>
              <w:spacing w:line="300" w:lineRule="exact"/>
              <w:contextualSpacing/>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分）</w:t>
            </w:r>
          </w:p>
        </w:tc>
        <w:tc>
          <w:tcPr>
            <w:tcW w:w="5529" w:type="dxa"/>
            <w:noWrap w:val="0"/>
            <w:vAlign w:val="center"/>
          </w:tcPr>
          <w:p>
            <w:pPr>
              <w:spacing w:line="300" w:lineRule="exact"/>
              <w:contextualSpacing/>
              <w:rPr>
                <w:rFonts w:hint="eastAsia" w:ascii="Times New Roman" w:hAnsi="Times New Roman"/>
                <w:szCs w:val="21"/>
              </w:rPr>
            </w:pPr>
            <w:r>
              <w:rPr>
                <w:rFonts w:ascii="Times New Roman" w:hAnsi="Times New Roman"/>
                <w:szCs w:val="21"/>
              </w:rPr>
              <w:t>评委根据投标人</w:t>
            </w:r>
            <w:r>
              <w:rPr>
                <w:rFonts w:hint="eastAsia" w:ascii="Times New Roman" w:hAnsi="Times New Roman"/>
                <w:szCs w:val="21"/>
              </w:rPr>
              <w:t>提出</w:t>
            </w:r>
            <w:r>
              <w:rPr>
                <w:rFonts w:ascii="Times New Roman" w:hAnsi="Times New Roman"/>
                <w:szCs w:val="21"/>
              </w:rPr>
              <w:t>的针对本项目的合理化建议进行评比</w:t>
            </w:r>
            <w:r>
              <w:rPr>
                <w:rFonts w:hint="eastAsia" w:ascii="Times New Roman" w:hAnsi="Times New Roman"/>
                <w:szCs w:val="21"/>
              </w:rPr>
              <w:t>：2分。</w:t>
            </w:r>
          </w:p>
        </w:tc>
        <w:tc>
          <w:tcPr>
            <w:tcW w:w="850" w:type="dxa"/>
            <w:noWrap w:val="0"/>
            <w:vAlign w:val="top"/>
          </w:tcPr>
          <w:p>
            <w:pPr>
              <w:spacing w:line="300" w:lineRule="exact"/>
              <w:contextualSpacing/>
              <w:rPr>
                <w:szCs w:val="21"/>
              </w:rPr>
            </w:pPr>
          </w:p>
        </w:tc>
        <w:tc>
          <w:tcPr>
            <w:tcW w:w="1134" w:type="dxa"/>
            <w:noWrap w:val="0"/>
            <w:vAlign w:val="top"/>
          </w:tcPr>
          <w:p>
            <w:pPr>
              <w:spacing w:line="300" w:lineRule="exact"/>
              <w:contextualSpacing/>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服务便捷性</w:t>
            </w:r>
          </w:p>
          <w:p>
            <w:pPr>
              <w:spacing w:line="300" w:lineRule="exact"/>
              <w:contextualSpacing/>
              <w:jc w:val="center"/>
              <w:rPr>
                <w:rFonts w:ascii="Times New Roman" w:hAnsi="Times New Roman"/>
                <w:szCs w:val="21"/>
              </w:rPr>
            </w:pPr>
            <w:r>
              <w:rPr>
                <w:rFonts w:hint="eastAsia" w:ascii="Times New Roman" w:hAnsi="Times New Roman"/>
                <w:szCs w:val="21"/>
              </w:rPr>
              <w:t>（5分）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cs="宋体"/>
                <w:szCs w:val="21"/>
              </w:rPr>
              <w:t>由评委对投标人针对本项目的服务场所的便捷性、响应性进行评议：5分。</w:t>
            </w:r>
          </w:p>
          <w:p>
            <w:pPr>
              <w:spacing w:line="300" w:lineRule="exact"/>
              <w:contextualSpacing/>
              <w:rPr>
                <w:rFonts w:ascii="Times New Roman" w:hAnsi="Times New Roman"/>
                <w:szCs w:val="21"/>
              </w:rPr>
            </w:pPr>
            <w:r>
              <w:rPr>
                <w:rFonts w:hint="eastAsia" w:ascii="Times New Roman" w:hAnsi="Times New Roman"/>
                <w:szCs w:val="21"/>
              </w:rPr>
              <w:t>注：投标文件中提供服务场所的实景照片及说明服务场所位置，如自有的提供房产证复印件，租赁的提供租赁协议复印件，原件备查。</w:t>
            </w:r>
          </w:p>
        </w:tc>
        <w:tc>
          <w:tcPr>
            <w:tcW w:w="850" w:type="dxa"/>
            <w:noWrap w:val="0"/>
            <w:vAlign w:val="top"/>
          </w:tcPr>
          <w:p>
            <w:pPr>
              <w:spacing w:line="300" w:lineRule="exact"/>
              <w:contextualSpacing/>
              <w:rPr>
                <w:rFonts w:hint="eastAsia" w:cs="宋体"/>
                <w:szCs w:val="21"/>
              </w:rPr>
            </w:pPr>
          </w:p>
        </w:tc>
        <w:tc>
          <w:tcPr>
            <w:tcW w:w="1134" w:type="dxa"/>
            <w:noWrap w:val="0"/>
            <w:vAlign w:val="top"/>
          </w:tcPr>
          <w:p>
            <w:pPr>
              <w:spacing w:line="300" w:lineRule="exact"/>
              <w:contextualSpacing/>
              <w:rPr>
                <w:rFonts w:hint="eastAsia"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管理体系认证（3分）</w:t>
            </w:r>
          </w:p>
        </w:tc>
        <w:tc>
          <w:tcPr>
            <w:tcW w:w="5529" w:type="dxa"/>
            <w:noWrap w:val="0"/>
            <w:vAlign w:val="center"/>
          </w:tcPr>
          <w:p>
            <w:pPr>
              <w:spacing w:line="300" w:lineRule="exact"/>
              <w:contextualSpacing/>
              <w:rPr>
                <w:rFonts w:ascii="Times New Roman" w:hAnsi="Times New Roman" w:cs="宋体"/>
                <w:szCs w:val="21"/>
              </w:rPr>
            </w:pPr>
            <w:r>
              <w:rPr>
                <w:rFonts w:hint="eastAsia" w:ascii="Times New Roman" w:hAnsi="Times New Roman" w:cs="宋体"/>
                <w:szCs w:val="21"/>
              </w:rPr>
              <w:t>投标人具有有效的环境管理体系认证证书、质量管理体系认证证书、职业健康安全管理体系认证证书的，每提供一个得1分，最高得3分。</w:t>
            </w:r>
          </w:p>
          <w:p>
            <w:pPr>
              <w:spacing w:line="300" w:lineRule="exact"/>
              <w:contextualSpacing/>
              <w:rPr>
                <w:rFonts w:hint="eastAsia" w:ascii="Times New Roman" w:hAnsi="Times New Roman" w:cs="宋体"/>
                <w:szCs w:val="21"/>
              </w:rPr>
            </w:pPr>
            <w:r>
              <w:rPr>
                <w:rFonts w:hint="eastAsia" w:ascii="Times New Roman" w:hAnsi="Times New Roman" w:cs="宋体"/>
                <w:szCs w:val="21"/>
              </w:rPr>
              <w:t>注：有效管理体系认证证书复印件编入投标文件，原件备查。</w:t>
            </w:r>
          </w:p>
        </w:tc>
        <w:tc>
          <w:tcPr>
            <w:tcW w:w="850" w:type="dxa"/>
            <w:noWrap w:val="0"/>
            <w:vAlign w:val="top"/>
          </w:tcPr>
          <w:p>
            <w:pPr>
              <w:spacing w:line="300" w:lineRule="exact"/>
              <w:contextualSpacing/>
              <w:rPr>
                <w:rFonts w:hint="eastAsia" w:cs="宋体"/>
                <w:szCs w:val="21"/>
              </w:rPr>
            </w:pPr>
          </w:p>
        </w:tc>
        <w:tc>
          <w:tcPr>
            <w:tcW w:w="1134" w:type="dxa"/>
            <w:noWrap w:val="0"/>
            <w:vAlign w:val="top"/>
          </w:tcPr>
          <w:p>
            <w:pPr>
              <w:spacing w:line="300" w:lineRule="exact"/>
              <w:contextualSpacing/>
              <w:rPr>
                <w:rFonts w:hint="eastAsia"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业绩情况（1分）</w:t>
            </w:r>
          </w:p>
        </w:tc>
        <w:tc>
          <w:tcPr>
            <w:tcW w:w="5529" w:type="dxa"/>
            <w:noWrap w:val="0"/>
            <w:vAlign w:val="center"/>
          </w:tcPr>
          <w:p>
            <w:pPr>
              <w:autoSpaceDE w:val="0"/>
              <w:autoSpaceDN w:val="0"/>
              <w:adjustRightInd w:val="0"/>
              <w:snapToGrid w:val="0"/>
              <w:spacing w:line="300" w:lineRule="exact"/>
              <w:contextualSpacing/>
              <w:rPr>
                <w:rFonts w:ascii="Times New Roman" w:hAnsi="Times New Roman"/>
                <w:szCs w:val="21"/>
              </w:rPr>
            </w:pPr>
            <w:r>
              <w:rPr>
                <w:rFonts w:hint="eastAsia" w:ascii="Times New Roman" w:hAnsi="Times New Roman"/>
                <w:szCs w:val="21"/>
              </w:rPr>
              <w:t>自2020年1月1日以来，投标人在具有类似项目（合同内容至少包含道路或公园保洁、绿地养护任一项内容）业绩的，每提供一个得0.5分，最高得1分。</w:t>
            </w:r>
          </w:p>
          <w:p>
            <w:pPr>
              <w:autoSpaceDE w:val="0"/>
              <w:autoSpaceDN w:val="0"/>
              <w:adjustRightInd w:val="0"/>
              <w:snapToGrid w:val="0"/>
              <w:spacing w:line="300" w:lineRule="exact"/>
              <w:contextualSpacing/>
              <w:rPr>
                <w:rFonts w:hint="eastAsia" w:ascii="Times New Roman" w:hAnsi="Times New Roman" w:cs="FangSong_GB2312,Bold"/>
                <w:bCs/>
              </w:rPr>
            </w:pPr>
            <w:r>
              <w:rPr>
                <w:rFonts w:hint="eastAsia" w:ascii="Times New Roman" w:hAnsi="Times New Roman"/>
                <w:szCs w:val="21"/>
              </w:rPr>
              <w:t>注</w:t>
            </w:r>
            <w:r>
              <w:rPr>
                <w:rFonts w:ascii="Times New Roman" w:hAnsi="Times New Roman"/>
                <w:szCs w:val="21"/>
              </w:rPr>
              <w:t>：</w:t>
            </w:r>
            <w:r>
              <w:rPr>
                <w:rFonts w:hint="eastAsia" w:ascii="Times New Roman" w:hAnsi="Times New Roman"/>
                <w:szCs w:val="21"/>
              </w:rPr>
              <w:t>投标文件中提供合同复印件，原件备查；要求合同签订时间在2020年1月1日以来，否则业绩不予认可；如合同签署内容不清导致评委会无法认定的，不予计分。</w:t>
            </w:r>
          </w:p>
        </w:tc>
        <w:tc>
          <w:tcPr>
            <w:tcW w:w="850" w:type="dxa"/>
            <w:noWrap w:val="0"/>
            <w:vAlign w:val="top"/>
          </w:tcPr>
          <w:p>
            <w:pPr>
              <w:autoSpaceDE w:val="0"/>
              <w:autoSpaceDN w:val="0"/>
              <w:adjustRightInd w:val="0"/>
              <w:snapToGrid w:val="0"/>
              <w:spacing w:line="300" w:lineRule="exact"/>
              <w:contextualSpacing/>
              <w:rPr>
                <w:rFonts w:hint="eastAsia"/>
                <w:szCs w:val="21"/>
              </w:rPr>
            </w:pPr>
          </w:p>
        </w:tc>
        <w:tc>
          <w:tcPr>
            <w:tcW w:w="1134" w:type="dxa"/>
            <w:noWrap w:val="0"/>
            <w:vAlign w:val="top"/>
          </w:tcPr>
          <w:p>
            <w:pPr>
              <w:autoSpaceDE w:val="0"/>
              <w:autoSpaceDN w:val="0"/>
              <w:adjustRightInd w:val="0"/>
              <w:snapToGrid w:val="0"/>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7" w:hRule="atLeast"/>
          <w:jc w:val="center"/>
        </w:trPr>
        <w:tc>
          <w:tcPr>
            <w:tcW w:w="1055" w:type="dxa"/>
            <w:vMerge w:val="continue"/>
            <w:noWrap w:val="0"/>
            <w:vAlign w:val="center"/>
          </w:tcPr>
          <w:p>
            <w:pPr>
              <w:spacing w:line="300" w:lineRule="exact"/>
              <w:contextualSpacing/>
              <w:jc w:val="center"/>
              <w:rPr>
                <w:rFonts w:ascii="Times New Roman" w:hAnsi="Times New Roman"/>
                <w:szCs w:val="21"/>
              </w:rPr>
            </w:pPr>
          </w:p>
        </w:tc>
        <w:tc>
          <w:tcPr>
            <w:tcW w:w="1558" w:type="dxa"/>
            <w:noWrap w:val="0"/>
            <w:vAlign w:val="center"/>
          </w:tcPr>
          <w:p>
            <w:pPr>
              <w:spacing w:line="300" w:lineRule="exact"/>
              <w:contextualSpacing/>
              <w:rPr>
                <w:rFonts w:hint="eastAsia" w:ascii="Times New Roman" w:hAnsi="Times New Roman"/>
                <w:szCs w:val="21"/>
              </w:rPr>
            </w:pPr>
            <w:r>
              <w:rPr>
                <w:rFonts w:hint="eastAsia" w:ascii="Times New Roman" w:hAnsi="Times New Roman" w:cs="宋体"/>
                <w:kern w:val="0"/>
                <w:szCs w:val="21"/>
              </w:rPr>
              <w:t>智慧环卫管控系统建设及演示（8分）</w:t>
            </w:r>
          </w:p>
        </w:tc>
        <w:tc>
          <w:tcPr>
            <w:tcW w:w="5529" w:type="dxa"/>
            <w:noWrap w:val="0"/>
            <w:vAlign w:val="center"/>
          </w:tcPr>
          <w:p>
            <w:pPr>
              <w:spacing w:line="300" w:lineRule="exact"/>
              <w:contextualSpacing/>
              <w:rPr>
                <w:rFonts w:hint="eastAsia" w:ascii="Times New Roman" w:hAnsi="Times New Roman"/>
                <w:szCs w:val="21"/>
              </w:rPr>
            </w:pPr>
            <w:r>
              <w:rPr>
                <w:rFonts w:hint="eastAsia" w:ascii="Times New Roman" w:hAnsi="Times New Roman"/>
                <w:szCs w:val="21"/>
              </w:rPr>
              <w:t>1、 投标人已具有</w:t>
            </w:r>
            <w:r>
              <w:rPr>
                <w:rFonts w:hint="eastAsia" w:ascii="Times New Roman" w:hAnsi="Times New Roman" w:cs="宋体"/>
                <w:kern w:val="0"/>
                <w:szCs w:val="21"/>
              </w:rPr>
              <w:t>智慧环卫管控系统</w:t>
            </w:r>
            <w:r>
              <w:rPr>
                <w:rFonts w:hint="eastAsia" w:ascii="Times New Roman" w:hAnsi="Times New Roman"/>
                <w:szCs w:val="21"/>
              </w:rPr>
              <w:t>且具有该系统的国家版权局颁发的计算机软件著作权的得3 分；投标人已建立智慧管理平台但未取得相应计算机软件著作权的得1 分。投标文件中提供平台软件著作权证书复印件（如有），或平台系统功能阐述及截图。</w:t>
            </w:r>
          </w:p>
          <w:p>
            <w:pPr>
              <w:spacing w:line="300" w:lineRule="exact"/>
              <w:contextualSpacing/>
              <w:rPr>
                <w:rFonts w:hint="eastAsia"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智慧环卫管控系统演示（5分）：</w:t>
            </w:r>
          </w:p>
          <w:p>
            <w:pPr>
              <w:spacing w:line="300" w:lineRule="exact"/>
              <w:contextualSpacing/>
              <w:rPr>
                <w:rFonts w:hint="eastAsia" w:ascii="Times New Roman" w:hAnsi="Times New Roman"/>
                <w:szCs w:val="21"/>
              </w:rPr>
            </w:pPr>
            <w:r>
              <w:rPr>
                <w:rFonts w:hint="eastAsia" w:ascii="Times New Roman" w:hAnsi="Times New Roman"/>
                <w:szCs w:val="21"/>
              </w:rPr>
              <w:t>投标人就拟投入本项目使用的智慧环卫管控系统或系统原型进行现场演示，评委根据演示过程中系统实现项目所需功能的情况进行评审。未提供现场演示或提供仅提供PPT等文本形式内容的本项不得分。</w:t>
            </w:r>
          </w:p>
        </w:tc>
        <w:tc>
          <w:tcPr>
            <w:tcW w:w="850" w:type="dxa"/>
            <w:noWrap w:val="0"/>
            <w:vAlign w:val="top"/>
          </w:tcPr>
          <w:p>
            <w:pPr>
              <w:spacing w:line="300" w:lineRule="exact"/>
              <w:contextualSpacing/>
              <w:rPr>
                <w:rFonts w:hint="eastAsia"/>
                <w:szCs w:val="21"/>
              </w:rPr>
            </w:pPr>
          </w:p>
        </w:tc>
        <w:tc>
          <w:tcPr>
            <w:tcW w:w="1134" w:type="dxa"/>
            <w:noWrap w:val="0"/>
            <w:vAlign w:val="top"/>
          </w:tcPr>
          <w:p>
            <w:pPr>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1055" w:type="dxa"/>
            <w:vMerge w:val="continue"/>
            <w:noWrap w:val="0"/>
            <w:vAlign w:val="top"/>
          </w:tcPr>
          <w:p>
            <w:pPr>
              <w:spacing w:line="300" w:lineRule="exact"/>
              <w:contextualSpacing/>
              <w:rPr>
                <w:rFonts w:ascii="Times New Roman" w:hAnsi="Times New Roman"/>
                <w:szCs w:val="21"/>
              </w:rPr>
            </w:pPr>
          </w:p>
        </w:tc>
        <w:tc>
          <w:tcPr>
            <w:tcW w:w="1558" w:type="dxa"/>
            <w:noWrap w:val="0"/>
            <w:vAlign w:val="center"/>
          </w:tcPr>
          <w:p>
            <w:pPr>
              <w:spacing w:line="300" w:lineRule="exact"/>
              <w:contextualSpacing/>
              <w:jc w:val="center"/>
              <w:rPr>
                <w:rFonts w:hint="eastAsia" w:ascii="Times New Roman" w:hAnsi="Times New Roman"/>
                <w:szCs w:val="21"/>
              </w:rPr>
            </w:pPr>
            <w:r>
              <w:rPr>
                <w:rFonts w:hint="eastAsia" w:ascii="Times New Roman" w:hAnsi="Times New Roman"/>
                <w:szCs w:val="21"/>
              </w:rPr>
              <w:t>现场答辩（</w:t>
            </w:r>
            <w:r>
              <w:rPr>
                <w:rFonts w:ascii="Times New Roman" w:hAnsi="Times New Roman"/>
                <w:szCs w:val="21"/>
              </w:rPr>
              <w:t>5</w:t>
            </w:r>
            <w:r>
              <w:rPr>
                <w:rFonts w:hint="eastAsia" w:ascii="Times New Roman" w:hAnsi="Times New Roman"/>
                <w:szCs w:val="21"/>
              </w:rPr>
              <w:t>分）</w:t>
            </w:r>
          </w:p>
        </w:tc>
        <w:tc>
          <w:tcPr>
            <w:tcW w:w="5529" w:type="dxa"/>
            <w:noWrap w:val="0"/>
            <w:vAlign w:val="center"/>
          </w:tcPr>
          <w:p>
            <w:pPr>
              <w:autoSpaceDE w:val="0"/>
              <w:autoSpaceDN w:val="0"/>
              <w:adjustRightInd w:val="0"/>
              <w:spacing w:line="300" w:lineRule="exact"/>
              <w:contextualSpacing/>
              <w:rPr>
                <w:rFonts w:hint="eastAsia" w:ascii="Times New Roman" w:hAnsi="Times New Roman"/>
                <w:szCs w:val="21"/>
              </w:rPr>
            </w:pPr>
            <w:r>
              <w:rPr>
                <w:rFonts w:hint="eastAsia" w:ascii="Times New Roman" w:hAnsi="Times New Roman"/>
                <w:szCs w:val="21"/>
              </w:rPr>
              <w:t>评委</w:t>
            </w:r>
            <w:r>
              <w:rPr>
                <w:rFonts w:hint="eastAsia" w:ascii="Times New Roman" w:hAnsi="Times New Roman" w:cs="宋体"/>
                <w:kern w:val="1"/>
                <w:szCs w:val="21"/>
              </w:rPr>
              <w:t>针对项目的实际情况，对投标人答辩人员（至少包含项目经理）随机提问，根据</w:t>
            </w:r>
            <w:r>
              <w:rPr>
                <w:rFonts w:hint="eastAsia" w:ascii="Times New Roman" w:hAnsi="Times New Roman"/>
                <w:szCs w:val="21"/>
              </w:rPr>
              <w:t>投标人对于需明晰问题及一些专业问题的解答情况进行评审。（5分）</w:t>
            </w:r>
          </w:p>
          <w:p>
            <w:pPr>
              <w:spacing w:line="300" w:lineRule="exact"/>
              <w:contextualSpacing/>
              <w:rPr>
                <w:rFonts w:hint="eastAsia" w:ascii="Times New Roman" w:hAnsi="Times New Roman"/>
                <w:szCs w:val="21"/>
              </w:rPr>
            </w:pPr>
            <w:r>
              <w:rPr>
                <w:rFonts w:hint="eastAsia" w:ascii="Times New Roman" w:hAnsi="Times New Roman"/>
                <w:szCs w:val="21"/>
              </w:rPr>
              <w:t>（说明：项目经理须提供身份证原件供核对。未派人员参与答辩或项目经理未参与答辩的本项不得分）</w:t>
            </w:r>
          </w:p>
        </w:tc>
        <w:tc>
          <w:tcPr>
            <w:tcW w:w="850" w:type="dxa"/>
            <w:noWrap w:val="0"/>
            <w:vAlign w:val="top"/>
          </w:tcPr>
          <w:p>
            <w:pPr>
              <w:autoSpaceDE w:val="0"/>
              <w:autoSpaceDN w:val="0"/>
              <w:adjustRightInd w:val="0"/>
              <w:spacing w:line="300" w:lineRule="exact"/>
              <w:contextualSpacing/>
              <w:rPr>
                <w:rFonts w:hint="eastAsia"/>
                <w:szCs w:val="21"/>
              </w:rPr>
            </w:pPr>
          </w:p>
        </w:tc>
        <w:tc>
          <w:tcPr>
            <w:tcW w:w="1134" w:type="dxa"/>
            <w:noWrap w:val="0"/>
            <w:vAlign w:val="top"/>
          </w:tcPr>
          <w:p>
            <w:pPr>
              <w:autoSpaceDE w:val="0"/>
              <w:autoSpaceDN w:val="0"/>
              <w:adjustRightInd w:val="0"/>
              <w:spacing w:line="300" w:lineRule="exact"/>
              <w:contextualSpacing/>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jc w:val="center"/>
        </w:trPr>
        <w:tc>
          <w:tcPr>
            <w:tcW w:w="1055" w:type="dxa"/>
            <w:vMerge w:val="continue"/>
            <w:noWrap w:val="0"/>
            <w:vAlign w:val="top"/>
          </w:tcPr>
          <w:p>
            <w:pPr>
              <w:spacing w:line="300" w:lineRule="exact"/>
              <w:contextualSpacing/>
              <w:rPr>
                <w:rFonts w:ascii="Times New Roman" w:hAnsi="Times New Roman"/>
                <w:szCs w:val="21"/>
              </w:rPr>
            </w:pPr>
          </w:p>
        </w:tc>
        <w:tc>
          <w:tcPr>
            <w:tcW w:w="1558" w:type="dxa"/>
            <w:noWrap w:val="0"/>
            <w:vAlign w:val="center"/>
          </w:tcPr>
          <w:p>
            <w:pPr>
              <w:adjustRightInd w:val="0"/>
              <w:spacing w:line="300" w:lineRule="exact"/>
              <w:contextualSpacing/>
              <w:jc w:val="center"/>
              <w:textAlignment w:val="baseline"/>
              <w:rPr>
                <w:rFonts w:ascii="Times New Roman" w:hAnsi="Times New Roman"/>
                <w:kern w:val="0"/>
                <w:szCs w:val="21"/>
              </w:rPr>
            </w:pPr>
            <w:r>
              <w:rPr>
                <w:rFonts w:hint="eastAsia" w:ascii="Times New Roman" w:hAnsi="Times New Roman"/>
                <w:bCs/>
                <w:szCs w:val="21"/>
              </w:rPr>
              <w:t>政府采购政策（1分）</w:t>
            </w:r>
          </w:p>
        </w:tc>
        <w:tc>
          <w:tcPr>
            <w:tcW w:w="5529" w:type="dxa"/>
            <w:noWrap w:val="0"/>
            <w:vAlign w:val="center"/>
          </w:tcPr>
          <w:p>
            <w:pPr>
              <w:spacing w:line="300" w:lineRule="exact"/>
              <w:contextualSpacing/>
              <w:jc w:val="left"/>
              <w:rPr>
                <w:rFonts w:ascii="Times New Roman" w:hAnsi="Times New Roman"/>
                <w:szCs w:val="21"/>
              </w:rPr>
            </w:pPr>
            <w:r>
              <w:rPr>
                <w:rFonts w:hint="eastAsia" w:ascii="Times New Roman" w:hAnsi="Times New Roman"/>
                <w:szCs w:val="21"/>
              </w:rPr>
              <w:t>投标人是国家认定的不发达地区或少数民族地区企业的得1分。</w:t>
            </w:r>
          </w:p>
        </w:tc>
        <w:tc>
          <w:tcPr>
            <w:tcW w:w="850" w:type="dxa"/>
            <w:noWrap w:val="0"/>
            <w:vAlign w:val="top"/>
          </w:tcPr>
          <w:p>
            <w:pPr>
              <w:spacing w:line="300" w:lineRule="exact"/>
              <w:contextualSpacing/>
              <w:jc w:val="left"/>
              <w:rPr>
                <w:rFonts w:hint="eastAsia"/>
                <w:szCs w:val="21"/>
              </w:rPr>
            </w:pPr>
          </w:p>
        </w:tc>
        <w:tc>
          <w:tcPr>
            <w:tcW w:w="1134" w:type="dxa"/>
            <w:noWrap w:val="0"/>
            <w:vAlign w:val="top"/>
          </w:tcPr>
          <w:p>
            <w:pPr>
              <w:spacing w:line="300" w:lineRule="exact"/>
              <w:contextualSpacing/>
              <w:jc w:val="left"/>
              <w:rPr>
                <w:rFonts w:hint="eastAsia"/>
                <w:szCs w:val="21"/>
              </w:rPr>
            </w:pPr>
          </w:p>
        </w:tc>
      </w:tr>
    </w:tbl>
    <w:p/>
    <w:p>
      <w:pPr>
        <w:rPr>
          <w:rFonts w:hint="eastAsia"/>
        </w:rPr>
        <w:sectPr>
          <w:pgSz w:w="11907" w:h="16840"/>
          <w:pgMar w:top="1134" w:right="1418" w:bottom="1134" w:left="1418" w:header="425" w:footer="709" w:gutter="0"/>
          <w:cols w:space="720" w:num="1"/>
          <w:docGrid w:linePitch="285" w:charSpace="0"/>
        </w:sectPr>
      </w:pPr>
    </w:p>
    <w:p>
      <w:pPr>
        <w:pStyle w:val="2"/>
        <w:spacing w:after="120" w:afterLines="50" w:line="360" w:lineRule="exact"/>
        <w:jc w:val="both"/>
        <w:rPr>
          <w:rFonts w:hint="eastAsia" w:ascii="Times New Roman"/>
          <w:sz w:val="30"/>
          <w:szCs w:val="30"/>
        </w:rPr>
      </w:pPr>
    </w:p>
    <w:p>
      <w:pPr>
        <w:pStyle w:val="2"/>
        <w:spacing w:after="120" w:afterLines="50" w:line="360" w:lineRule="exact"/>
        <w:jc w:val="both"/>
        <w:rPr>
          <w:rFonts w:hint="eastAsia" w:ascii="Times New Roman"/>
          <w:b w:val="0"/>
          <w:bCs w:val="0"/>
          <w:sz w:val="21"/>
          <w:szCs w:val="21"/>
        </w:rPr>
      </w:pPr>
      <w:r>
        <w:rPr>
          <w:rFonts w:hint="eastAsia" w:ascii="Times New Roman"/>
          <w:b w:val="0"/>
          <w:bCs w:val="0"/>
          <w:sz w:val="21"/>
          <w:szCs w:val="21"/>
        </w:rPr>
        <w:t>附件2</w:t>
      </w:r>
    </w:p>
    <w:p>
      <w:pPr>
        <w:ind w:firstLine="517" w:firstLineChars="245"/>
        <w:jc w:val="center"/>
        <w:rPr>
          <w:rFonts w:hint="eastAsia"/>
          <w:b/>
          <w:szCs w:val="21"/>
        </w:rPr>
      </w:pPr>
      <w:r>
        <w:rPr>
          <w:rFonts w:hint="eastAsia"/>
          <w:b/>
          <w:bCs/>
        </w:rPr>
        <w:t>各类作业人员（保洁和养护、其他作业人员）和驾驶员每人</w:t>
      </w:r>
      <w:r>
        <w:rPr>
          <w:rFonts w:hint="eastAsia"/>
          <w:b/>
        </w:rPr>
        <w:t>年</w:t>
      </w:r>
      <w:r>
        <w:rPr>
          <w:rFonts w:hint="eastAsia"/>
          <w:b/>
          <w:szCs w:val="21"/>
        </w:rPr>
        <w:t>最低工资计算表</w:t>
      </w:r>
    </w:p>
    <w:p>
      <w:pPr>
        <w:rPr>
          <w:rFonts w:hint="eastAsia"/>
        </w:rPr>
      </w:pPr>
    </w:p>
    <w:tbl>
      <w:tblPr>
        <w:tblStyle w:val="50"/>
        <w:tblW w:w="14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27"/>
        <w:gridCol w:w="1562"/>
        <w:gridCol w:w="672"/>
        <w:gridCol w:w="1107"/>
        <w:gridCol w:w="1008"/>
        <w:gridCol w:w="889"/>
        <w:gridCol w:w="1008"/>
        <w:gridCol w:w="3717"/>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112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项目名称</w:t>
            </w: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费用组成</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w:t>
            </w:r>
          </w:p>
        </w:tc>
        <w:tc>
          <w:tcPr>
            <w:tcW w:w="110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计薪天数</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单价</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月数</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小计金额</w:t>
            </w:r>
          </w:p>
        </w:tc>
        <w:tc>
          <w:tcPr>
            <w:tcW w:w="371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备注</w:t>
            </w:r>
          </w:p>
        </w:tc>
        <w:tc>
          <w:tcPr>
            <w:tcW w:w="3025"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一</w:t>
            </w:r>
          </w:p>
        </w:tc>
        <w:tc>
          <w:tcPr>
            <w:tcW w:w="1127"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工资及工资性津补贴</w:t>
            </w: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基本工资</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2280</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27360</w:t>
            </w:r>
          </w:p>
        </w:tc>
        <w:tc>
          <w:tcPr>
            <w:tcW w:w="3717" w:type="dxa"/>
            <w:noWrap/>
            <w:vAlign w:val="center"/>
          </w:tcPr>
          <w:p>
            <w:pPr>
              <w:widowControl/>
              <w:jc w:val="center"/>
              <w:rPr>
                <w:rFonts w:ascii="Times New Roman" w:hAnsi="Times New Roman" w:cs="宋体"/>
                <w:kern w:val="0"/>
                <w:sz w:val="18"/>
                <w:szCs w:val="18"/>
              </w:rPr>
            </w:pP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甬人社发〔2021〕25号最低工资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特殊岗位津贴</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1800</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月计薪天数=(365天-104天)÷12月=21.75天</w:t>
            </w: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人发[1997]113号城市环境卫生工人岗位津贴标准，由现行的每人每天 0.6 元、0.7 元、0.8 元调整为3 元、4 元、5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1"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法定节假日加班费</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314.48</w:t>
            </w: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3459</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法定日工资＝月工资收入÷月计薪天数=2280÷21.75*3倍＝314.48元/天</w:t>
            </w: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《劳动法》第四十条、《劳动法》第四十四条第(三)款规定。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单休日加班费</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209.66</w:t>
            </w: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10902</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单休日加班费：日工资＝月工资收入÷月计薪天数=2280÷21.75×2倍＝209.66元/天；小时工资＝月工资收入÷（月计薪天数×8小时）＝2280÷（21.75×8小时）＝13.1元</w:t>
            </w: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《劳动法》第三十八条、第四十四条第(二)款规定。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4"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早餐补助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天/月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7</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2520</w:t>
            </w:r>
          </w:p>
        </w:tc>
        <w:tc>
          <w:tcPr>
            <w:tcW w:w="3717" w:type="dxa"/>
            <w:noWrap/>
            <w:vAlign w:val="center"/>
          </w:tcPr>
          <w:p>
            <w:pPr>
              <w:widowControl/>
              <w:jc w:val="center"/>
              <w:rPr>
                <w:rFonts w:ascii="Times New Roman" w:hAnsi="Times New Roman" w:cs="宋体"/>
                <w:kern w:val="0"/>
                <w:sz w:val="18"/>
                <w:szCs w:val="18"/>
              </w:rPr>
            </w:pP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《宁波市城市管理局关于开展环卫工人“爱心早餐”工作的通知》（甬城管〔2015〕12号）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合计</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46042</w:t>
            </w:r>
          </w:p>
        </w:tc>
        <w:tc>
          <w:tcPr>
            <w:tcW w:w="371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折算月收入＝46042/12＝3837元</w:t>
            </w:r>
          </w:p>
        </w:tc>
        <w:tc>
          <w:tcPr>
            <w:tcW w:w="3025"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6" w:hRule="atLeast"/>
          <w:jc w:val="center"/>
        </w:trPr>
        <w:tc>
          <w:tcPr>
            <w:tcW w:w="810"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二</w:t>
            </w:r>
          </w:p>
        </w:tc>
        <w:tc>
          <w:tcPr>
            <w:tcW w:w="1127"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福利费</w:t>
            </w: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夏季高温补贴</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300</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1200</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室外作业人员每人每月300元；室内作业人员每人每月200元。发放时间为4个月（6月、7月、8月、9月</w:t>
            </w: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浙人社发〔2018〕65号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0"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节日慰问品</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w:t>
            </w: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900</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元旦、春节、清明、劳动节、端午节、中秋节、国庆节和环卫节</w:t>
            </w:r>
          </w:p>
        </w:tc>
        <w:tc>
          <w:tcPr>
            <w:tcW w:w="3025"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甬鄞总工[2018]10号工会慰问经费的6折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0"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防护用品</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1000</w:t>
            </w: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1000</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一般防护用品（手套、毛巾、口罩、雨靴、雨衣、普通工作服等）</w:t>
            </w:r>
          </w:p>
        </w:tc>
        <w:tc>
          <w:tcPr>
            <w:tcW w:w="3025"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合计</w:t>
            </w:r>
          </w:p>
        </w:tc>
        <w:tc>
          <w:tcPr>
            <w:tcW w:w="672" w:type="dxa"/>
            <w:noWrap/>
            <w:vAlign w:val="center"/>
          </w:tcPr>
          <w:p>
            <w:pPr>
              <w:widowControl/>
              <w:jc w:val="center"/>
              <w:rPr>
                <w:rFonts w:ascii="Times New Roman" w:hAnsi="Times New Roman" w:cs="宋体"/>
                <w:kern w:val="0"/>
                <w:sz w:val="18"/>
                <w:szCs w:val="18"/>
              </w:rPr>
            </w:pPr>
          </w:p>
        </w:tc>
        <w:tc>
          <w:tcPr>
            <w:tcW w:w="1107"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3100</w:t>
            </w:r>
          </w:p>
        </w:tc>
        <w:tc>
          <w:tcPr>
            <w:tcW w:w="371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折算月收入＝3100/12＝258.33元</w:t>
            </w:r>
          </w:p>
        </w:tc>
        <w:tc>
          <w:tcPr>
            <w:tcW w:w="3025"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三</w:t>
            </w:r>
          </w:p>
        </w:tc>
        <w:tc>
          <w:tcPr>
            <w:tcW w:w="1127" w:type="dxa"/>
            <w:vMerge w:val="restart"/>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社会保障费</w:t>
            </w: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养老保险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553.98</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6647.76</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单位部分：缴费基数3957*14%＝553.98元</w:t>
            </w:r>
          </w:p>
        </w:tc>
        <w:tc>
          <w:tcPr>
            <w:tcW w:w="3025" w:type="dxa"/>
            <w:vMerge w:val="restart"/>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甬人社发[2021]3号、甬人社公告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医疗保险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356.13</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4273.56</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单位部分：缴费基数3957*9%＝356.13元</w:t>
            </w:r>
          </w:p>
        </w:tc>
        <w:tc>
          <w:tcPr>
            <w:tcW w:w="302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失业保险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19.79</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237.48</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单位部分：缴费基数3957*0.5%＝19.79元</w:t>
            </w:r>
          </w:p>
        </w:tc>
        <w:tc>
          <w:tcPr>
            <w:tcW w:w="302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工伤保险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35.61</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427.32</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单位部分：缴费基数3957*0.9%＝35.61元</w:t>
            </w:r>
          </w:p>
        </w:tc>
        <w:tc>
          <w:tcPr>
            <w:tcW w:w="302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生育保险</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月</w:t>
            </w:r>
          </w:p>
        </w:tc>
        <w:tc>
          <w:tcPr>
            <w:tcW w:w="1107"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27.7</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332.4</w:t>
            </w:r>
          </w:p>
        </w:tc>
        <w:tc>
          <w:tcPr>
            <w:tcW w:w="3717" w:type="dxa"/>
            <w:noWrap w:val="0"/>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单位部分：缴费基数3957*0.7%＝27.7元</w:t>
            </w:r>
          </w:p>
        </w:tc>
        <w:tc>
          <w:tcPr>
            <w:tcW w:w="3025" w:type="dxa"/>
            <w:vMerge w:val="continue"/>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8" w:hRule="atLeast"/>
          <w:jc w:val="center"/>
        </w:trPr>
        <w:tc>
          <w:tcPr>
            <w:tcW w:w="810" w:type="dxa"/>
            <w:vMerge w:val="continue"/>
            <w:noWrap w:val="0"/>
            <w:vAlign w:val="center"/>
          </w:tcPr>
          <w:p>
            <w:pPr>
              <w:widowControl/>
              <w:jc w:val="center"/>
              <w:rPr>
                <w:rFonts w:ascii="Times New Roman" w:hAnsi="Times New Roman" w:cs="宋体"/>
                <w:kern w:val="0"/>
                <w:sz w:val="18"/>
                <w:szCs w:val="18"/>
              </w:rPr>
            </w:pPr>
          </w:p>
        </w:tc>
        <w:tc>
          <w:tcPr>
            <w:tcW w:w="1127" w:type="dxa"/>
            <w:vMerge w:val="continue"/>
            <w:noWrap w:val="0"/>
            <w:vAlign w:val="center"/>
          </w:tcPr>
          <w:p>
            <w:pPr>
              <w:widowControl/>
              <w:jc w:val="center"/>
              <w:rPr>
                <w:rFonts w:ascii="Times New Roman" w:hAnsi="Times New Roman" w:cs="宋体"/>
                <w:kern w:val="0"/>
                <w:sz w:val="18"/>
                <w:szCs w:val="18"/>
              </w:rPr>
            </w:pPr>
          </w:p>
        </w:tc>
        <w:tc>
          <w:tcPr>
            <w:tcW w:w="156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合计</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993.21</w:t>
            </w:r>
          </w:p>
        </w:tc>
        <w:tc>
          <w:tcPr>
            <w:tcW w:w="889"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12</w:t>
            </w: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11919</w:t>
            </w:r>
          </w:p>
        </w:tc>
        <w:tc>
          <w:tcPr>
            <w:tcW w:w="3717" w:type="dxa"/>
            <w:noWrap/>
            <w:vAlign w:val="center"/>
          </w:tcPr>
          <w:p>
            <w:pPr>
              <w:widowControl/>
              <w:jc w:val="center"/>
              <w:rPr>
                <w:rFonts w:ascii="Times New Roman" w:hAnsi="Times New Roman" w:cs="宋体"/>
                <w:kern w:val="0"/>
                <w:sz w:val="18"/>
                <w:szCs w:val="18"/>
              </w:rPr>
            </w:pPr>
          </w:p>
        </w:tc>
        <w:tc>
          <w:tcPr>
            <w:tcW w:w="3025" w:type="dxa"/>
            <w:noWrap w:val="0"/>
            <w:vAlign w:val="center"/>
          </w:tcPr>
          <w:p>
            <w:pPr>
              <w:widowControl/>
              <w:jc w:val="center"/>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8" w:hRule="atLeast"/>
          <w:jc w:val="center"/>
        </w:trPr>
        <w:tc>
          <w:tcPr>
            <w:tcW w:w="810"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四</w:t>
            </w:r>
          </w:p>
        </w:tc>
        <w:tc>
          <w:tcPr>
            <w:tcW w:w="2689" w:type="dxa"/>
            <w:gridSpan w:val="2"/>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总计</w:t>
            </w:r>
          </w:p>
        </w:tc>
        <w:tc>
          <w:tcPr>
            <w:tcW w:w="672"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年</w:t>
            </w:r>
          </w:p>
        </w:tc>
        <w:tc>
          <w:tcPr>
            <w:tcW w:w="1107"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p>
        </w:tc>
        <w:tc>
          <w:tcPr>
            <w:tcW w:w="889" w:type="dxa"/>
            <w:noWrap/>
            <w:vAlign w:val="center"/>
          </w:tcPr>
          <w:p>
            <w:pPr>
              <w:widowControl/>
              <w:jc w:val="center"/>
              <w:rPr>
                <w:rFonts w:ascii="Times New Roman" w:hAnsi="Times New Roman" w:cs="宋体"/>
                <w:kern w:val="0"/>
                <w:sz w:val="18"/>
                <w:szCs w:val="18"/>
              </w:rPr>
            </w:pPr>
          </w:p>
        </w:tc>
        <w:tc>
          <w:tcPr>
            <w:tcW w:w="1008" w:type="dxa"/>
            <w:noWrap/>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61060</w:t>
            </w:r>
          </w:p>
        </w:tc>
        <w:tc>
          <w:tcPr>
            <w:tcW w:w="6743" w:type="dxa"/>
            <w:gridSpan w:val="2"/>
            <w:noWrap/>
            <w:vAlign w:val="center"/>
          </w:tcPr>
          <w:p>
            <w:pPr>
              <w:widowControl/>
              <w:jc w:val="center"/>
              <w:rPr>
                <w:rFonts w:ascii="Times New Roman" w:hAnsi="Times New Roman" w:cs="宋体"/>
                <w:kern w:val="0"/>
                <w:sz w:val="18"/>
                <w:szCs w:val="18"/>
              </w:rPr>
            </w:pPr>
          </w:p>
        </w:tc>
      </w:tr>
    </w:tbl>
    <w:p>
      <w:pPr>
        <w:rPr>
          <w:rFonts w:hint="eastAsia"/>
        </w:rPr>
      </w:pPr>
    </w:p>
    <w:sectPr>
      <w:pgSz w:w="16840" w:h="11907" w:orient="landscape"/>
      <w:pgMar w:top="851" w:right="1134" w:bottom="1418" w:left="1134" w:header="425" w:footer="709"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汉鼎简细圆">
    <w:altName w:val="宋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ヒラギノ角ゴ Pro W3">
    <w:altName w:val="Malgun Gothic Semilight"/>
    <w:panose1 w:val="D3CC000072C900000000"/>
    <w:charset w:val="80"/>
    <w:family w:val="roman"/>
    <w:pitch w:val="default"/>
    <w:sig w:usb0="00000001" w:usb1="08070000" w:usb2="00000010" w:usb3="00000000" w:csb0="00060001" w:csb1="00000000"/>
  </w:font>
  <w:font w:name="FangSong_GB2312,Bold">
    <w:altName w:val="宋体"/>
    <w:panose1 w:val="00000000000000000000"/>
    <w:charset w:val="86"/>
    <w:family w:val="auto"/>
    <w:pitch w:val="default"/>
    <w:sig w:usb0="00000001" w:usb1="080E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点前</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每日一次，每日中午11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，如遇特殊情况另行要求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收集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Cs/>
        <w:szCs w:val="21"/>
      </w:rPr>
      <w:t>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4">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5">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6">
    <w:nsid w:val="00000010"/>
    <w:multiLevelType w:val="singleLevel"/>
    <w:tmpl w:val="0000001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95"/>
    <w:rsid w:val="000013D2"/>
    <w:rsid w:val="000013FC"/>
    <w:rsid w:val="00001AA8"/>
    <w:rsid w:val="000029FD"/>
    <w:rsid w:val="00002B84"/>
    <w:rsid w:val="000034BE"/>
    <w:rsid w:val="000048C8"/>
    <w:rsid w:val="000124EC"/>
    <w:rsid w:val="00012802"/>
    <w:rsid w:val="00015618"/>
    <w:rsid w:val="00016039"/>
    <w:rsid w:val="00016049"/>
    <w:rsid w:val="00017EBB"/>
    <w:rsid w:val="00020A49"/>
    <w:rsid w:val="0002103D"/>
    <w:rsid w:val="000212C0"/>
    <w:rsid w:val="00021471"/>
    <w:rsid w:val="000215D8"/>
    <w:rsid w:val="00021865"/>
    <w:rsid w:val="000218E1"/>
    <w:rsid w:val="00023B5E"/>
    <w:rsid w:val="00024AB4"/>
    <w:rsid w:val="00025A7A"/>
    <w:rsid w:val="0003029E"/>
    <w:rsid w:val="00030A77"/>
    <w:rsid w:val="000317C2"/>
    <w:rsid w:val="00031AD4"/>
    <w:rsid w:val="000325BF"/>
    <w:rsid w:val="00032CE2"/>
    <w:rsid w:val="00033286"/>
    <w:rsid w:val="00033C98"/>
    <w:rsid w:val="00035AAB"/>
    <w:rsid w:val="00035FD2"/>
    <w:rsid w:val="00040B75"/>
    <w:rsid w:val="0004382D"/>
    <w:rsid w:val="00045B24"/>
    <w:rsid w:val="00047B1C"/>
    <w:rsid w:val="00050A3A"/>
    <w:rsid w:val="00052730"/>
    <w:rsid w:val="00057AD9"/>
    <w:rsid w:val="0006035D"/>
    <w:rsid w:val="00060854"/>
    <w:rsid w:val="00061519"/>
    <w:rsid w:val="00062B1A"/>
    <w:rsid w:val="0006324C"/>
    <w:rsid w:val="00063557"/>
    <w:rsid w:val="00064AC8"/>
    <w:rsid w:val="00066565"/>
    <w:rsid w:val="000678AE"/>
    <w:rsid w:val="000707B4"/>
    <w:rsid w:val="00070B1F"/>
    <w:rsid w:val="00072E7E"/>
    <w:rsid w:val="000734E8"/>
    <w:rsid w:val="00076018"/>
    <w:rsid w:val="000765FA"/>
    <w:rsid w:val="000766D0"/>
    <w:rsid w:val="00076779"/>
    <w:rsid w:val="00077819"/>
    <w:rsid w:val="00081E45"/>
    <w:rsid w:val="000828AB"/>
    <w:rsid w:val="0008423B"/>
    <w:rsid w:val="000852F3"/>
    <w:rsid w:val="0008574F"/>
    <w:rsid w:val="00085DDF"/>
    <w:rsid w:val="00086148"/>
    <w:rsid w:val="00086C56"/>
    <w:rsid w:val="00093BA5"/>
    <w:rsid w:val="0009568D"/>
    <w:rsid w:val="000A1BA8"/>
    <w:rsid w:val="000A1D18"/>
    <w:rsid w:val="000A1F7A"/>
    <w:rsid w:val="000A228D"/>
    <w:rsid w:val="000A5419"/>
    <w:rsid w:val="000A7FF3"/>
    <w:rsid w:val="000B0888"/>
    <w:rsid w:val="000B2165"/>
    <w:rsid w:val="000B26E5"/>
    <w:rsid w:val="000B3383"/>
    <w:rsid w:val="000B49AA"/>
    <w:rsid w:val="000B5589"/>
    <w:rsid w:val="000B5E87"/>
    <w:rsid w:val="000B5EA1"/>
    <w:rsid w:val="000B72B8"/>
    <w:rsid w:val="000C0078"/>
    <w:rsid w:val="000C0D27"/>
    <w:rsid w:val="000C29BD"/>
    <w:rsid w:val="000C2F8C"/>
    <w:rsid w:val="000C644F"/>
    <w:rsid w:val="000D0697"/>
    <w:rsid w:val="000D16D2"/>
    <w:rsid w:val="000D3704"/>
    <w:rsid w:val="000D4D09"/>
    <w:rsid w:val="000D6A0E"/>
    <w:rsid w:val="000D7520"/>
    <w:rsid w:val="000D7938"/>
    <w:rsid w:val="000E0365"/>
    <w:rsid w:val="000E086C"/>
    <w:rsid w:val="000E1153"/>
    <w:rsid w:val="000E12FD"/>
    <w:rsid w:val="000E1927"/>
    <w:rsid w:val="000E1E6F"/>
    <w:rsid w:val="000E2CF9"/>
    <w:rsid w:val="000F0327"/>
    <w:rsid w:val="000F0B42"/>
    <w:rsid w:val="000F1E72"/>
    <w:rsid w:val="001033E7"/>
    <w:rsid w:val="001038D1"/>
    <w:rsid w:val="00103A10"/>
    <w:rsid w:val="00105397"/>
    <w:rsid w:val="00107F97"/>
    <w:rsid w:val="00110619"/>
    <w:rsid w:val="00110A8A"/>
    <w:rsid w:val="00110CE4"/>
    <w:rsid w:val="00111C22"/>
    <w:rsid w:val="001122C4"/>
    <w:rsid w:val="00112669"/>
    <w:rsid w:val="00112AFF"/>
    <w:rsid w:val="00112FD4"/>
    <w:rsid w:val="001139F8"/>
    <w:rsid w:val="0011569F"/>
    <w:rsid w:val="00116EC6"/>
    <w:rsid w:val="00117287"/>
    <w:rsid w:val="00120757"/>
    <w:rsid w:val="0012106B"/>
    <w:rsid w:val="00121B44"/>
    <w:rsid w:val="00122D92"/>
    <w:rsid w:val="00124C2F"/>
    <w:rsid w:val="0012770A"/>
    <w:rsid w:val="00130603"/>
    <w:rsid w:val="00131AC8"/>
    <w:rsid w:val="00131F91"/>
    <w:rsid w:val="001323F6"/>
    <w:rsid w:val="0013267B"/>
    <w:rsid w:val="00134621"/>
    <w:rsid w:val="00134AC8"/>
    <w:rsid w:val="0013542D"/>
    <w:rsid w:val="001359A6"/>
    <w:rsid w:val="001367EF"/>
    <w:rsid w:val="001369CB"/>
    <w:rsid w:val="00141C05"/>
    <w:rsid w:val="00143178"/>
    <w:rsid w:val="001435CA"/>
    <w:rsid w:val="00143A1D"/>
    <w:rsid w:val="00146431"/>
    <w:rsid w:val="00151FCF"/>
    <w:rsid w:val="00153793"/>
    <w:rsid w:val="00155404"/>
    <w:rsid w:val="00161A92"/>
    <w:rsid w:val="00163F99"/>
    <w:rsid w:val="00164B32"/>
    <w:rsid w:val="00164EAA"/>
    <w:rsid w:val="001650C2"/>
    <w:rsid w:val="00165640"/>
    <w:rsid w:val="0016580B"/>
    <w:rsid w:val="00170511"/>
    <w:rsid w:val="00170DEF"/>
    <w:rsid w:val="00171441"/>
    <w:rsid w:val="0017270D"/>
    <w:rsid w:val="00173D6E"/>
    <w:rsid w:val="00174260"/>
    <w:rsid w:val="00177D74"/>
    <w:rsid w:val="00177EB4"/>
    <w:rsid w:val="0018089C"/>
    <w:rsid w:val="00181EB1"/>
    <w:rsid w:val="001821FB"/>
    <w:rsid w:val="00183BAB"/>
    <w:rsid w:val="00183E9C"/>
    <w:rsid w:val="001845FD"/>
    <w:rsid w:val="001850E8"/>
    <w:rsid w:val="00185262"/>
    <w:rsid w:val="00186FB9"/>
    <w:rsid w:val="001870C4"/>
    <w:rsid w:val="00187D06"/>
    <w:rsid w:val="0019028F"/>
    <w:rsid w:val="00190399"/>
    <w:rsid w:val="0019039A"/>
    <w:rsid w:val="00190B31"/>
    <w:rsid w:val="00191F28"/>
    <w:rsid w:val="0019311D"/>
    <w:rsid w:val="001931C8"/>
    <w:rsid w:val="001935AE"/>
    <w:rsid w:val="001966B0"/>
    <w:rsid w:val="00196BC9"/>
    <w:rsid w:val="00197E61"/>
    <w:rsid w:val="001A139A"/>
    <w:rsid w:val="001A28FE"/>
    <w:rsid w:val="001A2D7B"/>
    <w:rsid w:val="001A7697"/>
    <w:rsid w:val="001B06EB"/>
    <w:rsid w:val="001B17B2"/>
    <w:rsid w:val="001B2803"/>
    <w:rsid w:val="001B3071"/>
    <w:rsid w:val="001B344B"/>
    <w:rsid w:val="001B4AD9"/>
    <w:rsid w:val="001B4E0C"/>
    <w:rsid w:val="001C0756"/>
    <w:rsid w:val="001C17A1"/>
    <w:rsid w:val="001C2847"/>
    <w:rsid w:val="001C322B"/>
    <w:rsid w:val="001C32C8"/>
    <w:rsid w:val="001C52A0"/>
    <w:rsid w:val="001C59CA"/>
    <w:rsid w:val="001C7DD8"/>
    <w:rsid w:val="001D2DD8"/>
    <w:rsid w:val="001D40B9"/>
    <w:rsid w:val="001D57ED"/>
    <w:rsid w:val="001D6459"/>
    <w:rsid w:val="001D67B9"/>
    <w:rsid w:val="001D6996"/>
    <w:rsid w:val="001D7C5D"/>
    <w:rsid w:val="001D7DE1"/>
    <w:rsid w:val="001D7E64"/>
    <w:rsid w:val="001E1CB4"/>
    <w:rsid w:val="001E33EE"/>
    <w:rsid w:val="001E4B81"/>
    <w:rsid w:val="001E4F9B"/>
    <w:rsid w:val="001E6D0F"/>
    <w:rsid w:val="001E74A1"/>
    <w:rsid w:val="001F0906"/>
    <w:rsid w:val="001F239D"/>
    <w:rsid w:val="001F60FB"/>
    <w:rsid w:val="001F6589"/>
    <w:rsid w:val="001F65B5"/>
    <w:rsid w:val="001F719A"/>
    <w:rsid w:val="00200E9E"/>
    <w:rsid w:val="002026C7"/>
    <w:rsid w:val="0020435C"/>
    <w:rsid w:val="00206B21"/>
    <w:rsid w:val="00207CC3"/>
    <w:rsid w:val="00207EA1"/>
    <w:rsid w:val="00213A5C"/>
    <w:rsid w:val="0021402A"/>
    <w:rsid w:val="00214045"/>
    <w:rsid w:val="00215817"/>
    <w:rsid w:val="00215E8C"/>
    <w:rsid w:val="00216373"/>
    <w:rsid w:val="00217B5C"/>
    <w:rsid w:val="00220D25"/>
    <w:rsid w:val="002210FF"/>
    <w:rsid w:val="00222704"/>
    <w:rsid w:val="002231DA"/>
    <w:rsid w:val="0022656D"/>
    <w:rsid w:val="0022771A"/>
    <w:rsid w:val="00227D12"/>
    <w:rsid w:val="00230D88"/>
    <w:rsid w:val="002317F0"/>
    <w:rsid w:val="00232C59"/>
    <w:rsid w:val="00233EEB"/>
    <w:rsid w:val="002406E1"/>
    <w:rsid w:val="002414F7"/>
    <w:rsid w:val="00244FCC"/>
    <w:rsid w:val="0024589C"/>
    <w:rsid w:val="002471C2"/>
    <w:rsid w:val="00247EF3"/>
    <w:rsid w:val="00251562"/>
    <w:rsid w:val="0025206B"/>
    <w:rsid w:val="002547F7"/>
    <w:rsid w:val="002567AC"/>
    <w:rsid w:val="00257E35"/>
    <w:rsid w:val="0026120C"/>
    <w:rsid w:val="00261D7B"/>
    <w:rsid w:val="00262A4D"/>
    <w:rsid w:val="00263ED9"/>
    <w:rsid w:val="00265266"/>
    <w:rsid w:val="002655D1"/>
    <w:rsid w:val="00265D16"/>
    <w:rsid w:val="00266565"/>
    <w:rsid w:val="00266CB5"/>
    <w:rsid w:val="002716B1"/>
    <w:rsid w:val="00271920"/>
    <w:rsid w:val="00271AD5"/>
    <w:rsid w:val="00272EA9"/>
    <w:rsid w:val="002736DA"/>
    <w:rsid w:val="002747E0"/>
    <w:rsid w:val="00275D93"/>
    <w:rsid w:val="0028051A"/>
    <w:rsid w:val="00280A51"/>
    <w:rsid w:val="00280DC5"/>
    <w:rsid w:val="002815FE"/>
    <w:rsid w:val="00281EE3"/>
    <w:rsid w:val="00283546"/>
    <w:rsid w:val="00283C0A"/>
    <w:rsid w:val="00283F53"/>
    <w:rsid w:val="00284387"/>
    <w:rsid w:val="00284E7D"/>
    <w:rsid w:val="0029033F"/>
    <w:rsid w:val="00291A19"/>
    <w:rsid w:val="002942AA"/>
    <w:rsid w:val="0029593F"/>
    <w:rsid w:val="00296EBC"/>
    <w:rsid w:val="00297A1C"/>
    <w:rsid w:val="002A06E8"/>
    <w:rsid w:val="002A0862"/>
    <w:rsid w:val="002A2626"/>
    <w:rsid w:val="002A28C6"/>
    <w:rsid w:val="002A56AD"/>
    <w:rsid w:val="002A598E"/>
    <w:rsid w:val="002A5DFC"/>
    <w:rsid w:val="002A79B1"/>
    <w:rsid w:val="002B053B"/>
    <w:rsid w:val="002B384B"/>
    <w:rsid w:val="002B42F3"/>
    <w:rsid w:val="002B65F0"/>
    <w:rsid w:val="002B6FC5"/>
    <w:rsid w:val="002C0968"/>
    <w:rsid w:val="002C0B68"/>
    <w:rsid w:val="002C3B4E"/>
    <w:rsid w:val="002C3CEB"/>
    <w:rsid w:val="002C55EA"/>
    <w:rsid w:val="002C5675"/>
    <w:rsid w:val="002C6B33"/>
    <w:rsid w:val="002D17D7"/>
    <w:rsid w:val="002D3075"/>
    <w:rsid w:val="002D56B1"/>
    <w:rsid w:val="002D5D1C"/>
    <w:rsid w:val="002D5E74"/>
    <w:rsid w:val="002D6CD2"/>
    <w:rsid w:val="002E1221"/>
    <w:rsid w:val="002E2331"/>
    <w:rsid w:val="002E2BAB"/>
    <w:rsid w:val="002E7D9F"/>
    <w:rsid w:val="002F246F"/>
    <w:rsid w:val="002F26DC"/>
    <w:rsid w:val="002F2CFE"/>
    <w:rsid w:val="002F2D10"/>
    <w:rsid w:val="002F3133"/>
    <w:rsid w:val="002F65F4"/>
    <w:rsid w:val="003000F8"/>
    <w:rsid w:val="00301051"/>
    <w:rsid w:val="003025DF"/>
    <w:rsid w:val="0030308D"/>
    <w:rsid w:val="0030498F"/>
    <w:rsid w:val="00306357"/>
    <w:rsid w:val="0030763F"/>
    <w:rsid w:val="003079D7"/>
    <w:rsid w:val="0031025A"/>
    <w:rsid w:val="00313112"/>
    <w:rsid w:val="003132EB"/>
    <w:rsid w:val="003132FF"/>
    <w:rsid w:val="00313B42"/>
    <w:rsid w:val="00314D41"/>
    <w:rsid w:val="00314E0C"/>
    <w:rsid w:val="00314E8F"/>
    <w:rsid w:val="00315E3D"/>
    <w:rsid w:val="0031619F"/>
    <w:rsid w:val="0031710B"/>
    <w:rsid w:val="00317583"/>
    <w:rsid w:val="003177A5"/>
    <w:rsid w:val="00317BE1"/>
    <w:rsid w:val="00317F0E"/>
    <w:rsid w:val="003206D9"/>
    <w:rsid w:val="003275E2"/>
    <w:rsid w:val="00327EDE"/>
    <w:rsid w:val="003333B3"/>
    <w:rsid w:val="003351FD"/>
    <w:rsid w:val="003355E2"/>
    <w:rsid w:val="003362AE"/>
    <w:rsid w:val="0033743B"/>
    <w:rsid w:val="00341209"/>
    <w:rsid w:val="00341368"/>
    <w:rsid w:val="0034187A"/>
    <w:rsid w:val="003419AC"/>
    <w:rsid w:val="0034331F"/>
    <w:rsid w:val="0034485A"/>
    <w:rsid w:val="00344F0B"/>
    <w:rsid w:val="0034521C"/>
    <w:rsid w:val="0034593F"/>
    <w:rsid w:val="00346811"/>
    <w:rsid w:val="00346BCA"/>
    <w:rsid w:val="003471D7"/>
    <w:rsid w:val="00347A3B"/>
    <w:rsid w:val="00347BED"/>
    <w:rsid w:val="00351217"/>
    <w:rsid w:val="00353191"/>
    <w:rsid w:val="00354760"/>
    <w:rsid w:val="00354AC1"/>
    <w:rsid w:val="00355D72"/>
    <w:rsid w:val="00356D3E"/>
    <w:rsid w:val="00357A71"/>
    <w:rsid w:val="00357CA3"/>
    <w:rsid w:val="003600DF"/>
    <w:rsid w:val="0036025E"/>
    <w:rsid w:val="00361264"/>
    <w:rsid w:val="00361E54"/>
    <w:rsid w:val="00361F99"/>
    <w:rsid w:val="003634DD"/>
    <w:rsid w:val="003652C4"/>
    <w:rsid w:val="0036597D"/>
    <w:rsid w:val="003727A3"/>
    <w:rsid w:val="0037303C"/>
    <w:rsid w:val="0037619C"/>
    <w:rsid w:val="003766C1"/>
    <w:rsid w:val="00377F70"/>
    <w:rsid w:val="0038084E"/>
    <w:rsid w:val="00382F33"/>
    <w:rsid w:val="00384E7C"/>
    <w:rsid w:val="003855C5"/>
    <w:rsid w:val="0038664B"/>
    <w:rsid w:val="00386FF7"/>
    <w:rsid w:val="00387039"/>
    <w:rsid w:val="00387A2C"/>
    <w:rsid w:val="00387CE0"/>
    <w:rsid w:val="0039529E"/>
    <w:rsid w:val="003954BB"/>
    <w:rsid w:val="00395B31"/>
    <w:rsid w:val="00395FAB"/>
    <w:rsid w:val="0039750E"/>
    <w:rsid w:val="003A01B6"/>
    <w:rsid w:val="003A176A"/>
    <w:rsid w:val="003A1ADE"/>
    <w:rsid w:val="003A3A12"/>
    <w:rsid w:val="003A5BFB"/>
    <w:rsid w:val="003A5D1E"/>
    <w:rsid w:val="003A7B19"/>
    <w:rsid w:val="003B086F"/>
    <w:rsid w:val="003B1505"/>
    <w:rsid w:val="003B1543"/>
    <w:rsid w:val="003B27DE"/>
    <w:rsid w:val="003B2B86"/>
    <w:rsid w:val="003B32B7"/>
    <w:rsid w:val="003B36FB"/>
    <w:rsid w:val="003B61FE"/>
    <w:rsid w:val="003B6F48"/>
    <w:rsid w:val="003B70E6"/>
    <w:rsid w:val="003B7717"/>
    <w:rsid w:val="003B7CFB"/>
    <w:rsid w:val="003C191F"/>
    <w:rsid w:val="003C3206"/>
    <w:rsid w:val="003C3356"/>
    <w:rsid w:val="003C5948"/>
    <w:rsid w:val="003C5E2E"/>
    <w:rsid w:val="003C6CC7"/>
    <w:rsid w:val="003D0204"/>
    <w:rsid w:val="003D054A"/>
    <w:rsid w:val="003D0BB2"/>
    <w:rsid w:val="003D0E65"/>
    <w:rsid w:val="003D2101"/>
    <w:rsid w:val="003D21E1"/>
    <w:rsid w:val="003D2681"/>
    <w:rsid w:val="003D5116"/>
    <w:rsid w:val="003D5715"/>
    <w:rsid w:val="003D63CB"/>
    <w:rsid w:val="003D67CB"/>
    <w:rsid w:val="003D6D63"/>
    <w:rsid w:val="003D7D67"/>
    <w:rsid w:val="003E006F"/>
    <w:rsid w:val="003E033D"/>
    <w:rsid w:val="003E0C52"/>
    <w:rsid w:val="003E2739"/>
    <w:rsid w:val="003E756D"/>
    <w:rsid w:val="003E7DF1"/>
    <w:rsid w:val="003F1CFC"/>
    <w:rsid w:val="003F3E64"/>
    <w:rsid w:val="003F4886"/>
    <w:rsid w:val="003F5E6C"/>
    <w:rsid w:val="003F66D8"/>
    <w:rsid w:val="003F67F8"/>
    <w:rsid w:val="00403828"/>
    <w:rsid w:val="00403EB6"/>
    <w:rsid w:val="00412100"/>
    <w:rsid w:val="00413ED6"/>
    <w:rsid w:val="00414A3C"/>
    <w:rsid w:val="00421AB4"/>
    <w:rsid w:val="004316D6"/>
    <w:rsid w:val="00431D2F"/>
    <w:rsid w:val="0043254D"/>
    <w:rsid w:val="00434B6E"/>
    <w:rsid w:val="004355A4"/>
    <w:rsid w:val="004355BC"/>
    <w:rsid w:val="00436724"/>
    <w:rsid w:val="00436DEF"/>
    <w:rsid w:val="00440E53"/>
    <w:rsid w:val="00441B46"/>
    <w:rsid w:val="00441C4F"/>
    <w:rsid w:val="00441DFB"/>
    <w:rsid w:val="00441FBF"/>
    <w:rsid w:val="00442E6C"/>
    <w:rsid w:val="004436AB"/>
    <w:rsid w:val="0044534D"/>
    <w:rsid w:val="004454B3"/>
    <w:rsid w:val="004466F4"/>
    <w:rsid w:val="0044683F"/>
    <w:rsid w:val="00452A83"/>
    <w:rsid w:val="004535A9"/>
    <w:rsid w:val="00453C40"/>
    <w:rsid w:val="004575A3"/>
    <w:rsid w:val="00460255"/>
    <w:rsid w:val="00460CDE"/>
    <w:rsid w:val="0046101B"/>
    <w:rsid w:val="0046180F"/>
    <w:rsid w:val="004635B0"/>
    <w:rsid w:val="00463B37"/>
    <w:rsid w:val="00464EDC"/>
    <w:rsid w:val="00465BEF"/>
    <w:rsid w:val="00465EEB"/>
    <w:rsid w:val="004674D9"/>
    <w:rsid w:val="004676C9"/>
    <w:rsid w:val="004719AA"/>
    <w:rsid w:val="00472E98"/>
    <w:rsid w:val="004733D5"/>
    <w:rsid w:val="004736BB"/>
    <w:rsid w:val="00473E77"/>
    <w:rsid w:val="0047631F"/>
    <w:rsid w:val="004769FE"/>
    <w:rsid w:val="0047702C"/>
    <w:rsid w:val="004779D9"/>
    <w:rsid w:val="004810EB"/>
    <w:rsid w:val="00481BC6"/>
    <w:rsid w:val="00481EAC"/>
    <w:rsid w:val="00482C6D"/>
    <w:rsid w:val="00482E27"/>
    <w:rsid w:val="00483A36"/>
    <w:rsid w:val="00483E1B"/>
    <w:rsid w:val="00485DF9"/>
    <w:rsid w:val="00490EAF"/>
    <w:rsid w:val="004916B0"/>
    <w:rsid w:val="00491DD3"/>
    <w:rsid w:val="0049273C"/>
    <w:rsid w:val="004938FF"/>
    <w:rsid w:val="004945AB"/>
    <w:rsid w:val="004949B6"/>
    <w:rsid w:val="00494A2A"/>
    <w:rsid w:val="00495CDC"/>
    <w:rsid w:val="00496C48"/>
    <w:rsid w:val="004A0288"/>
    <w:rsid w:val="004A2E59"/>
    <w:rsid w:val="004A3CD0"/>
    <w:rsid w:val="004B06F1"/>
    <w:rsid w:val="004B3A9C"/>
    <w:rsid w:val="004B430C"/>
    <w:rsid w:val="004B485B"/>
    <w:rsid w:val="004B4A3C"/>
    <w:rsid w:val="004B63B9"/>
    <w:rsid w:val="004B63DD"/>
    <w:rsid w:val="004C2F82"/>
    <w:rsid w:val="004C2F9A"/>
    <w:rsid w:val="004C33F0"/>
    <w:rsid w:val="004C3A0D"/>
    <w:rsid w:val="004C697B"/>
    <w:rsid w:val="004C6C0B"/>
    <w:rsid w:val="004C74C5"/>
    <w:rsid w:val="004C7DAD"/>
    <w:rsid w:val="004D00AC"/>
    <w:rsid w:val="004D049D"/>
    <w:rsid w:val="004D100C"/>
    <w:rsid w:val="004D19D4"/>
    <w:rsid w:val="004D75F0"/>
    <w:rsid w:val="004E0E72"/>
    <w:rsid w:val="004E27C4"/>
    <w:rsid w:val="004E31BC"/>
    <w:rsid w:val="004E32D6"/>
    <w:rsid w:val="004E3454"/>
    <w:rsid w:val="004E3B58"/>
    <w:rsid w:val="004E3BCF"/>
    <w:rsid w:val="004E5365"/>
    <w:rsid w:val="004E6627"/>
    <w:rsid w:val="004F07C6"/>
    <w:rsid w:val="004F252E"/>
    <w:rsid w:val="004F5811"/>
    <w:rsid w:val="0050129B"/>
    <w:rsid w:val="00501304"/>
    <w:rsid w:val="00501E58"/>
    <w:rsid w:val="00502039"/>
    <w:rsid w:val="0050245A"/>
    <w:rsid w:val="005101D9"/>
    <w:rsid w:val="00511AE6"/>
    <w:rsid w:val="00513B0D"/>
    <w:rsid w:val="005143AC"/>
    <w:rsid w:val="00514681"/>
    <w:rsid w:val="005148B6"/>
    <w:rsid w:val="00515607"/>
    <w:rsid w:val="00520166"/>
    <w:rsid w:val="0052062A"/>
    <w:rsid w:val="00521020"/>
    <w:rsid w:val="0052398A"/>
    <w:rsid w:val="005304BF"/>
    <w:rsid w:val="00530FFF"/>
    <w:rsid w:val="0053255E"/>
    <w:rsid w:val="0053256C"/>
    <w:rsid w:val="00534F4A"/>
    <w:rsid w:val="00535EDE"/>
    <w:rsid w:val="0053607D"/>
    <w:rsid w:val="005361A6"/>
    <w:rsid w:val="0053678E"/>
    <w:rsid w:val="00543F32"/>
    <w:rsid w:val="00545B94"/>
    <w:rsid w:val="00547A70"/>
    <w:rsid w:val="00551139"/>
    <w:rsid w:val="0055187C"/>
    <w:rsid w:val="0055211B"/>
    <w:rsid w:val="00555169"/>
    <w:rsid w:val="00556519"/>
    <w:rsid w:val="0055681D"/>
    <w:rsid w:val="00557E49"/>
    <w:rsid w:val="00560063"/>
    <w:rsid w:val="0056276C"/>
    <w:rsid w:val="0056506A"/>
    <w:rsid w:val="00565914"/>
    <w:rsid w:val="00566056"/>
    <w:rsid w:val="005665F8"/>
    <w:rsid w:val="0056727B"/>
    <w:rsid w:val="0056771D"/>
    <w:rsid w:val="00570776"/>
    <w:rsid w:val="00570CB6"/>
    <w:rsid w:val="00571DBA"/>
    <w:rsid w:val="0057345C"/>
    <w:rsid w:val="0057599B"/>
    <w:rsid w:val="00576A6C"/>
    <w:rsid w:val="00576D41"/>
    <w:rsid w:val="005775D0"/>
    <w:rsid w:val="005808B4"/>
    <w:rsid w:val="00580B28"/>
    <w:rsid w:val="00581B0F"/>
    <w:rsid w:val="0058206E"/>
    <w:rsid w:val="005831A1"/>
    <w:rsid w:val="00583927"/>
    <w:rsid w:val="00585271"/>
    <w:rsid w:val="00585F84"/>
    <w:rsid w:val="005867F6"/>
    <w:rsid w:val="0059151D"/>
    <w:rsid w:val="005946EB"/>
    <w:rsid w:val="005951A9"/>
    <w:rsid w:val="005957CC"/>
    <w:rsid w:val="00596526"/>
    <w:rsid w:val="00596924"/>
    <w:rsid w:val="0059696C"/>
    <w:rsid w:val="005A058C"/>
    <w:rsid w:val="005A0A42"/>
    <w:rsid w:val="005A5C63"/>
    <w:rsid w:val="005A6653"/>
    <w:rsid w:val="005A70BE"/>
    <w:rsid w:val="005A72C2"/>
    <w:rsid w:val="005B46A9"/>
    <w:rsid w:val="005B58E3"/>
    <w:rsid w:val="005B631C"/>
    <w:rsid w:val="005C018D"/>
    <w:rsid w:val="005C1BBF"/>
    <w:rsid w:val="005C200F"/>
    <w:rsid w:val="005C476F"/>
    <w:rsid w:val="005C58D5"/>
    <w:rsid w:val="005C5AB9"/>
    <w:rsid w:val="005D1C2C"/>
    <w:rsid w:val="005D2644"/>
    <w:rsid w:val="005D5DD3"/>
    <w:rsid w:val="005D7DF3"/>
    <w:rsid w:val="005E0104"/>
    <w:rsid w:val="005E0281"/>
    <w:rsid w:val="005E02C8"/>
    <w:rsid w:val="005E3023"/>
    <w:rsid w:val="005E432D"/>
    <w:rsid w:val="005E5561"/>
    <w:rsid w:val="005E59EF"/>
    <w:rsid w:val="005E651C"/>
    <w:rsid w:val="005E74B5"/>
    <w:rsid w:val="005F04A6"/>
    <w:rsid w:val="005F05D4"/>
    <w:rsid w:val="005F0AB2"/>
    <w:rsid w:val="005F2686"/>
    <w:rsid w:val="005F2CA3"/>
    <w:rsid w:val="005F407F"/>
    <w:rsid w:val="005F54A7"/>
    <w:rsid w:val="005F54B1"/>
    <w:rsid w:val="005F58D5"/>
    <w:rsid w:val="005F6661"/>
    <w:rsid w:val="0060106B"/>
    <w:rsid w:val="00601B05"/>
    <w:rsid w:val="0060280D"/>
    <w:rsid w:val="006029D2"/>
    <w:rsid w:val="00605F09"/>
    <w:rsid w:val="00606466"/>
    <w:rsid w:val="0060653D"/>
    <w:rsid w:val="00607A21"/>
    <w:rsid w:val="0061095C"/>
    <w:rsid w:val="00611427"/>
    <w:rsid w:val="0061155D"/>
    <w:rsid w:val="006119E5"/>
    <w:rsid w:val="0061260A"/>
    <w:rsid w:val="006145E5"/>
    <w:rsid w:val="00615037"/>
    <w:rsid w:val="00616778"/>
    <w:rsid w:val="006258BC"/>
    <w:rsid w:val="00627BF0"/>
    <w:rsid w:val="00630BAB"/>
    <w:rsid w:val="00631D01"/>
    <w:rsid w:val="00632AF4"/>
    <w:rsid w:val="00632C72"/>
    <w:rsid w:val="00633FE3"/>
    <w:rsid w:val="006341FF"/>
    <w:rsid w:val="00637256"/>
    <w:rsid w:val="006373DE"/>
    <w:rsid w:val="00637EE1"/>
    <w:rsid w:val="00641DCC"/>
    <w:rsid w:val="00642070"/>
    <w:rsid w:val="006421FC"/>
    <w:rsid w:val="00642567"/>
    <w:rsid w:val="0064392D"/>
    <w:rsid w:val="0065269F"/>
    <w:rsid w:val="0065408C"/>
    <w:rsid w:val="0065429A"/>
    <w:rsid w:val="006577C6"/>
    <w:rsid w:val="006577DA"/>
    <w:rsid w:val="006603E0"/>
    <w:rsid w:val="00661637"/>
    <w:rsid w:val="006653B5"/>
    <w:rsid w:val="00665A61"/>
    <w:rsid w:val="006660FD"/>
    <w:rsid w:val="00666B7A"/>
    <w:rsid w:val="006706C2"/>
    <w:rsid w:val="00670D2D"/>
    <w:rsid w:val="006714AD"/>
    <w:rsid w:val="006714EF"/>
    <w:rsid w:val="00673BC3"/>
    <w:rsid w:val="00675635"/>
    <w:rsid w:val="00676043"/>
    <w:rsid w:val="006763AA"/>
    <w:rsid w:val="0067784E"/>
    <w:rsid w:val="00677B0D"/>
    <w:rsid w:val="00677CB7"/>
    <w:rsid w:val="00677CF9"/>
    <w:rsid w:val="00680C50"/>
    <w:rsid w:val="00682911"/>
    <w:rsid w:val="006847AE"/>
    <w:rsid w:val="006866E3"/>
    <w:rsid w:val="00690167"/>
    <w:rsid w:val="00694EFE"/>
    <w:rsid w:val="006955A3"/>
    <w:rsid w:val="00695CB0"/>
    <w:rsid w:val="006A031D"/>
    <w:rsid w:val="006A0654"/>
    <w:rsid w:val="006A0783"/>
    <w:rsid w:val="006A197D"/>
    <w:rsid w:val="006A22E2"/>
    <w:rsid w:val="006A3FB6"/>
    <w:rsid w:val="006A653E"/>
    <w:rsid w:val="006A68F5"/>
    <w:rsid w:val="006B035C"/>
    <w:rsid w:val="006B1F52"/>
    <w:rsid w:val="006B4AA7"/>
    <w:rsid w:val="006B4C38"/>
    <w:rsid w:val="006B67EF"/>
    <w:rsid w:val="006B7C86"/>
    <w:rsid w:val="006C0135"/>
    <w:rsid w:val="006C1388"/>
    <w:rsid w:val="006C139F"/>
    <w:rsid w:val="006C2358"/>
    <w:rsid w:val="006C338C"/>
    <w:rsid w:val="006C4B0D"/>
    <w:rsid w:val="006C6D1A"/>
    <w:rsid w:val="006C70D0"/>
    <w:rsid w:val="006C7697"/>
    <w:rsid w:val="006D16F0"/>
    <w:rsid w:val="006D29FE"/>
    <w:rsid w:val="006D2B81"/>
    <w:rsid w:val="006D3312"/>
    <w:rsid w:val="006D3C08"/>
    <w:rsid w:val="006D6384"/>
    <w:rsid w:val="006E003C"/>
    <w:rsid w:val="006E0E9E"/>
    <w:rsid w:val="006E1D05"/>
    <w:rsid w:val="006E4061"/>
    <w:rsid w:val="006E65E6"/>
    <w:rsid w:val="006E67A9"/>
    <w:rsid w:val="006E7494"/>
    <w:rsid w:val="006E7ADE"/>
    <w:rsid w:val="006F1A28"/>
    <w:rsid w:val="006F352C"/>
    <w:rsid w:val="006F3BB0"/>
    <w:rsid w:val="006F522F"/>
    <w:rsid w:val="006F546B"/>
    <w:rsid w:val="006F6677"/>
    <w:rsid w:val="006F7969"/>
    <w:rsid w:val="006F7C32"/>
    <w:rsid w:val="007009CA"/>
    <w:rsid w:val="00701F1A"/>
    <w:rsid w:val="007021B9"/>
    <w:rsid w:val="0070326F"/>
    <w:rsid w:val="00706A69"/>
    <w:rsid w:val="0070735F"/>
    <w:rsid w:val="00707BAD"/>
    <w:rsid w:val="0071128A"/>
    <w:rsid w:val="00711869"/>
    <w:rsid w:val="007118F1"/>
    <w:rsid w:val="007123AA"/>
    <w:rsid w:val="00716915"/>
    <w:rsid w:val="00716E6E"/>
    <w:rsid w:val="0072006A"/>
    <w:rsid w:val="00721C0A"/>
    <w:rsid w:val="00723809"/>
    <w:rsid w:val="007264F9"/>
    <w:rsid w:val="00727022"/>
    <w:rsid w:val="00731DB2"/>
    <w:rsid w:val="007340B9"/>
    <w:rsid w:val="00735352"/>
    <w:rsid w:val="00736804"/>
    <w:rsid w:val="007407B5"/>
    <w:rsid w:val="007417E1"/>
    <w:rsid w:val="00742934"/>
    <w:rsid w:val="0074300D"/>
    <w:rsid w:val="00744062"/>
    <w:rsid w:val="007444E3"/>
    <w:rsid w:val="00746F07"/>
    <w:rsid w:val="007542F6"/>
    <w:rsid w:val="0075695A"/>
    <w:rsid w:val="00757092"/>
    <w:rsid w:val="0075748F"/>
    <w:rsid w:val="00761324"/>
    <w:rsid w:val="00761BBB"/>
    <w:rsid w:val="007634C6"/>
    <w:rsid w:val="00763AD7"/>
    <w:rsid w:val="00766D84"/>
    <w:rsid w:val="00766DF9"/>
    <w:rsid w:val="0076728D"/>
    <w:rsid w:val="00771C8C"/>
    <w:rsid w:val="007723C1"/>
    <w:rsid w:val="00772DA5"/>
    <w:rsid w:val="00776889"/>
    <w:rsid w:val="00777629"/>
    <w:rsid w:val="007806B0"/>
    <w:rsid w:val="00781DB4"/>
    <w:rsid w:val="00782322"/>
    <w:rsid w:val="007823AD"/>
    <w:rsid w:val="00782B65"/>
    <w:rsid w:val="00785068"/>
    <w:rsid w:val="00785B02"/>
    <w:rsid w:val="00786048"/>
    <w:rsid w:val="007862A5"/>
    <w:rsid w:val="00787FE6"/>
    <w:rsid w:val="007900CC"/>
    <w:rsid w:val="0079092B"/>
    <w:rsid w:val="00791DBC"/>
    <w:rsid w:val="007946D6"/>
    <w:rsid w:val="007952D7"/>
    <w:rsid w:val="00795557"/>
    <w:rsid w:val="00796798"/>
    <w:rsid w:val="007A038D"/>
    <w:rsid w:val="007A4B12"/>
    <w:rsid w:val="007A4FE2"/>
    <w:rsid w:val="007A648D"/>
    <w:rsid w:val="007A7104"/>
    <w:rsid w:val="007B2235"/>
    <w:rsid w:val="007B3019"/>
    <w:rsid w:val="007B3041"/>
    <w:rsid w:val="007B46FC"/>
    <w:rsid w:val="007B4E47"/>
    <w:rsid w:val="007B6286"/>
    <w:rsid w:val="007C089B"/>
    <w:rsid w:val="007C2467"/>
    <w:rsid w:val="007C32D3"/>
    <w:rsid w:val="007C38CD"/>
    <w:rsid w:val="007C3BEE"/>
    <w:rsid w:val="007C4B5D"/>
    <w:rsid w:val="007C4BAC"/>
    <w:rsid w:val="007C74FF"/>
    <w:rsid w:val="007C7AD0"/>
    <w:rsid w:val="007D0A20"/>
    <w:rsid w:val="007D13E0"/>
    <w:rsid w:val="007D25DD"/>
    <w:rsid w:val="007D3D66"/>
    <w:rsid w:val="007D3FCA"/>
    <w:rsid w:val="007D76B7"/>
    <w:rsid w:val="007D7CD6"/>
    <w:rsid w:val="007E0BA6"/>
    <w:rsid w:val="007E1250"/>
    <w:rsid w:val="007E1862"/>
    <w:rsid w:val="007E1D01"/>
    <w:rsid w:val="007E2F15"/>
    <w:rsid w:val="007E2FB8"/>
    <w:rsid w:val="007E4085"/>
    <w:rsid w:val="007E60D5"/>
    <w:rsid w:val="007E61D9"/>
    <w:rsid w:val="007E63A6"/>
    <w:rsid w:val="007E6B06"/>
    <w:rsid w:val="007E7E5B"/>
    <w:rsid w:val="007F00DB"/>
    <w:rsid w:val="007F185D"/>
    <w:rsid w:val="007F1C99"/>
    <w:rsid w:val="007F2A22"/>
    <w:rsid w:val="007F2C40"/>
    <w:rsid w:val="007F4168"/>
    <w:rsid w:val="007F4840"/>
    <w:rsid w:val="007F48F3"/>
    <w:rsid w:val="007F6B30"/>
    <w:rsid w:val="007F6D37"/>
    <w:rsid w:val="007F71F8"/>
    <w:rsid w:val="007F749C"/>
    <w:rsid w:val="007F77C6"/>
    <w:rsid w:val="008006FA"/>
    <w:rsid w:val="008025A9"/>
    <w:rsid w:val="00802BB9"/>
    <w:rsid w:val="00802E33"/>
    <w:rsid w:val="00804045"/>
    <w:rsid w:val="00804F2C"/>
    <w:rsid w:val="008075C7"/>
    <w:rsid w:val="00807AAC"/>
    <w:rsid w:val="008145A9"/>
    <w:rsid w:val="00817C65"/>
    <w:rsid w:val="008238D2"/>
    <w:rsid w:val="00825CB7"/>
    <w:rsid w:val="00825EEB"/>
    <w:rsid w:val="00826AAC"/>
    <w:rsid w:val="00826CBD"/>
    <w:rsid w:val="0082780F"/>
    <w:rsid w:val="00827A16"/>
    <w:rsid w:val="00830CD1"/>
    <w:rsid w:val="00834DFC"/>
    <w:rsid w:val="0083548C"/>
    <w:rsid w:val="00836B7E"/>
    <w:rsid w:val="008373C7"/>
    <w:rsid w:val="00840A27"/>
    <w:rsid w:val="0084158A"/>
    <w:rsid w:val="00841743"/>
    <w:rsid w:val="00844220"/>
    <w:rsid w:val="00844681"/>
    <w:rsid w:val="00844ED5"/>
    <w:rsid w:val="00845305"/>
    <w:rsid w:val="0084651B"/>
    <w:rsid w:val="008472ED"/>
    <w:rsid w:val="00850087"/>
    <w:rsid w:val="00850727"/>
    <w:rsid w:val="00851DBE"/>
    <w:rsid w:val="00852292"/>
    <w:rsid w:val="008531EE"/>
    <w:rsid w:val="008533EB"/>
    <w:rsid w:val="00853448"/>
    <w:rsid w:val="00853A3A"/>
    <w:rsid w:val="00853E3D"/>
    <w:rsid w:val="0085705B"/>
    <w:rsid w:val="00860520"/>
    <w:rsid w:val="00860E2E"/>
    <w:rsid w:val="008622C7"/>
    <w:rsid w:val="008629C5"/>
    <w:rsid w:val="008653F1"/>
    <w:rsid w:val="008663B1"/>
    <w:rsid w:val="00867682"/>
    <w:rsid w:val="00867C8D"/>
    <w:rsid w:val="00872765"/>
    <w:rsid w:val="00873027"/>
    <w:rsid w:val="00873743"/>
    <w:rsid w:val="00874A32"/>
    <w:rsid w:val="008758A8"/>
    <w:rsid w:val="008814B0"/>
    <w:rsid w:val="0088154C"/>
    <w:rsid w:val="00881BCA"/>
    <w:rsid w:val="008826FA"/>
    <w:rsid w:val="0088690D"/>
    <w:rsid w:val="0088773E"/>
    <w:rsid w:val="00887743"/>
    <w:rsid w:val="00887888"/>
    <w:rsid w:val="00887CD0"/>
    <w:rsid w:val="0089222C"/>
    <w:rsid w:val="008962E0"/>
    <w:rsid w:val="0089675D"/>
    <w:rsid w:val="008A03C1"/>
    <w:rsid w:val="008A211C"/>
    <w:rsid w:val="008A2E46"/>
    <w:rsid w:val="008A40B0"/>
    <w:rsid w:val="008A48EE"/>
    <w:rsid w:val="008A6223"/>
    <w:rsid w:val="008B134C"/>
    <w:rsid w:val="008B1AD9"/>
    <w:rsid w:val="008B267C"/>
    <w:rsid w:val="008B5136"/>
    <w:rsid w:val="008B6B3E"/>
    <w:rsid w:val="008B76F5"/>
    <w:rsid w:val="008B7CF5"/>
    <w:rsid w:val="008C134D"/>
    <w:rsid w:val="008C532C"/>
    <w:rsid w:val="008C6106"/>
    <w:rsid w:val="008C62CB"/>
    <w:rsid w:val="008C73D1"/>
    <w:rsid w:val="008C79D1"/>
    <w:rsid w:val="008C7DA6"/>
    <w:rsid w:val="008D1E14"/>
    <w:rsid w:val="008D1ED9"/>
    <w:rsid w:val="008D3A46"/>
    <w:rsid w:val="008D3EBE"/>
    <w:rsid w:val="008D5B40"/>
    <w:rsid w:val="008D6058"/>
    <w:rsid w:val="008D6475"/>
    <w:rsid w:val="008D6D3A"/>
    <w:rsid w:val="008E147F"/>
    <w:rsid w:val="008E2093"/>
    <w:rsid w:val="008E2DEB"/>
    <w:rsid w:val="008E4AD4"/>
    <w:rsid w:val="008E62C3"/>
    <w:rsid w:val="008E6E3E"/>
    <w:rsid w:val="008E795D"/>
    <w:rsid w:val="008E7E33"/>
    <w:rsid w:val="008F0750"/>
    <w:rsid w:val="008F1B5E"/>
    <w:rsid w:val="008F1D43"/>
    <w:rsid w:val="008F25C8"/>
    <w:rsid w:val="008F5090"/>
    <w:rsid w:val="008F5C75"/>
    <w:rsid w:val="008F63C8"/>
    <w:rsid w:val="00901345"/>
    <w:rsid w:val="009013D9"/>
    <w:rsid w:val="0090142B"/>
    <w:rsid w:val="009019C4"/>
    <w:rsid w:val="00901D71"/>
    <w:rsid w:val="00902E9C"/>
    <w:rsid w:val="00902F3B"/>
    <w:rsid w:val="00905DE9"/>
    <w:rsid w:val="00906586"/>
    <w:rsid w:val="009100F2"/>
    <w:rsid w:val="00910E53"/>
    <w:rsid w:val="00911432"/>
    <w:rsid w:val="009126EE"/>
    <w:rsid w:val="0091340D"/>
    <w:rsid w:val="00913A1E"/>
    <w:rsid w:val="00914DF6"/>
    <w:rsid w:val="009162C4"/>
    <w:rsid w:val="00916FC1"/>
    <w:rsid w:val="0092287C"/>
    <w:rsid w:val="00922FAE"/>
    <w:rsid w:val="0092518E"/>
    <w:rsid w:val="0092568D"/>
    <w:rsid w:val="00925E95"/>
    <w:rsid w:val="00926528"/>
    <w:rsid w:val="009274D4"/>
    <w:rsid w:val="00932CED"/>
    <w:rsid w:val="00936536"/>
    <w:rsid w:val="009425C1"/>
    <w:rsid w:val="00947687"/>
    <w:rsid w:val="00947ED9"/>
    <w:rsid w:val="00951AE5"/>
    <w:rsid w:val="00955BEE"/>
    <w:rsid w:val="009600D8"/>
    <w:rsid w:val="00960498"/>
    <w:rsid w:val="0096123C"/>
    <w:rsid w:val="0096275C"/>
    <w:rsid w:val="00964627"/>
    <w:rsid w:val="0096647F"/>
    <w:rsid w:val="00972F43"/>
    <w:rsid w:val="00973088"/>
    <w:rsid w:val="00974465"/>
    <w:rsid w:val="00975EE7"/>
    <w:rsid w:val="009760E2"/>
    <w:rsid w:val="009766BA"/>
    <w:rsid w:val="00977F2E"/>
    <w:rsid w:val="00977F56"/>
    <w:rsid w:val="009817B7"/>
    <w:rsid w:val="009829B7"/>
    <w:rsid w:val="009832A2"/>
    <w:rsid w:val="009840E3"/>
    <w:rsid w:val="00984BBD"/>
    <w:rsid w:val="0098555A"/>
    <w:rsid w:val="009860C1"/>
    <w:rsid w:val="0098634F"/>
    <w:rsid w:val="00987603"/>
    <w:rsid w:val="00992B2F"/>
    <w:rsid w:val="0099304E"/>
    <w:rsid w:val="00993C0B"/>
    <w:rsid w:val="0099529F"/>
    <w:rsid w:val="00996746"/>
    <w:rsid w:val="009A3777"/>
    <w:rsid w:val="009A514B"/>
    <w:rsid w:val="009A6ED2"/>
    <w:rsid w:val="009A7EC1"/>
    <w:rsid w:val="009B1028"/>
    <w:rsid w:val="009B112C"/>
    <w:rsid w:val="009B38D4"/>
    <w:rsid w:val="009B52CB"/>
    <w:rsid w:val="009B7AC3"/>
    <w:rsid w:val="009C060E"/>
    <w:rsid w:val="009C103A"/>
    <w:rsid w:val="009C118A"/>
    <w:rsid w:val="009C1335"/>
    <w:rsid w:val="009C5171"/>
    <w:rsid w:val="009C52BF"/>
    <w:rsid w:val="009C7D4E"/>
    <w:rsid w:val="009D0752"/>
    <w:rsid w:val="009D253F"/>
    <w:rsid w:val="009D33F9"/>
    <w:rsid w:val="009D650D"/>
    <w:rsid w:val="009D6C45"/>
    <w:rsid w:val="009D6C89"/>
    <w:rsid w:val="009D7FA3"/>
    <w:rsid w:val="009E1106"/>
    <w:rsid w:val="009E1CA9"/>
    <w:rsid w:val="009E239A"/>
    <w:rsid w:val="009E3757"/>
    <w:rsid w:val="009E3B68"/>
    <w:rsid w:val="009E5E14"/>
    <w:rsid w:val="009E624D"/>
    <w:rsid w:val="009E648A"/>
    <w:rsid w:val="009F037D"/>
    <w:rsid w:val="009F0960"/>
    <w:rsid w:val="009F1C17"/>
    <w:rsid w:val="009F22CE"/>
    <w:rsid w:val="009F68F8"/>
    <w:rsid w:val="00A0052B"/>
    <w:rsid w:val="00A028BA"/>
    <w:rsid w:val="00A02B8F"/>
    <w:rsid w:val="00A048B8"/>
    <w:rsid w:val="00A05AAE"/>
    <w:rsid w:val="00A06A41"/>
    <w:rsid w:val="00A0703B"/>
    <w:rsid w:val="00A07D7F"/>
    <w:rsid w:val="00A07F97"/>
    <w:rsid w:val="00A10B0A"/>
    <w:rsid w:val="00A10D14"/>
    <w:rsid w:val="00A119F5"/>
    <w:rsid w:val="00A1204C"/>
    <w:rsid w:val="00A13848"/>
    <w:rsid w:val="00A140EF"/>
    <w:rsid w:val="00A1501E"/>
    <w:rsid w:val="00A16791"/>
    <w:rsid w:val="00A1704C"/>
    <w:rsid w:val="00A21687"/>
    <w:rsid w:val="00A21E9B"/>
    <w:rsid w:val="00A2358E"/>
    <w:rsid w:val="00A246CC"/>
    <w:rsid w:val="00A26014"/>
    <w:rsid w:val="00A275C6"/>
    <w:rsid w:val="00A27B6A"/>
    <w:rsid w:val="00A3074B"/>
    <w:rsid w:val="00A30E40"/>
    <w:rsid w:val="00A31172"/>
    <w:rsid w:val="00A31AE9"/>
    <w:rsid w:val="00A3273C"/>
    <w:rsid w:val="00A3307E"/>
    <w:rsid w:val="00A34748"/>
    <w:rsid w:val="00A364D1"/>
    <w:rsid w:val="00A400A6"/>
    <w:rsid w:val="00A40E07"/>
    <w:rsid w:val="00A40EA0"/>
    <w:rsid w:val="00A418C8"/>
    <w:rsid w:val="00A423D0"/>
    <w:rsid w:val="00A4431F"/>
    <w:rsid w:val="00A4464A"/>
    <w:rsid w:val="00A44A0F"/>
    <w:rsid w:val="00A453C2"/>
    <w:rsid w:val="00A46067"/>
    <w:rsid w:val="00A46BB6"/>
    <w:rsid w:val="00A470F8"/>
    <w:rsid w:val="00A52B03"/>
    <w:rsid w:val="00A52E1F"/>
    <w:rsid w:val="00A52ED9"/>
    <w:rsid w:val="00A54A85"/>
    <w:rsid w:val="00A55012"/>
    <w:rsid w:val="00A55258"/>
    <w:rsid w:val="00A55487"/>
    <w:rsid w:val="00A55ACC"/>
    <w:rsid w:val="00A56552"/>
    <w:rsid w:val="00A56629"/>
    <w:rsid w:val="00A56FCD"/>
    <w:rsid w:val="00A572BB"/>
    <w:rsid w:val="00A6316D"/>
    <w:rsid w:val="00A63898"/>
    <w:rsid w:val="00A64829"/>
    <w:rsid w:val="00A64B42"/>
    <w:rsid w:val="00A70766"/>
    <w:rsid w:val="00A71817"/>
    <w:rsid w:val="00A73A94"/>
    <w:rsid w:val="00A74777"/>
    <w:rsid w:val="00A74EDE"/>
    <w:rsid w:val="00A7551D"/>
    <w:rsid w:val="00A77A0F"/>
    <w:rsid w:val="00A80447"/>
    <w:rsid w:val="00A8161E"/>
    <w:rsid w:val="00A8255B"/>
    <w:rsid w:val="00A83741"/>
    <w:rsid w:val="00A8432E"/>
    <w:rsid w:val="00A843FB"/>
    <w:rsid w:val="00A85570"/>
    <w:rsid w:val="00A85BEF"/>
    <w:rsid w:val="00A876FA"/>
    <w:rsid w:val="00A87868"/>
    <w:rsid w:val="00A87C2E"/>
    <w:rsid w:val="00A90FE6"/>
    <w:rsid w:val="00A9270A"/>
    <w:rsid w:val="00A94D25"/>
    <w:rsid w:val="00A9508B"/>
    <w:rsid w:val="00A95A43"/>
    <w:rsid w:val="00A95B53"/>
    <w:rsid w:val="00A96D2B"/>
    <w:rsid w:val="00A97BA4"/>
    <w:rsid w:val="00A97E20"/>
    <w:rsid w:val="00AA01AF"/>
    <w:rsid w:val="00AA50AA"/>
    <w:rsid w:val="00AA529E"/>
    <w:rsid w:val="00AA7222"/>
    <w:rsid w:val="00AA7FC6"/>
    <w:rsid w:val="00AB0644"/>
    <w:rsid w:val="00AB1EC4"/>
    <w:rsid w:val="00AB2741"/>
    <w:rsid w:val="00AB3CF8"/>
    <w:rsid w:val="00AB4639"/>
    <w:rsid w:val="00AB4862"/>
    <w:rsid w:val="00AB558F"/>
    <w:rsid w:val="00AC08D0"/>
    <w:rsid w:val="00AC10E6"/>
    <w:rsid w:val="00AC1D83"/>
    <w:rsid w:val="00AC2F9E"/>
    <w:rsid w:val="00AC3E97"/>
    <w:rsid w:val="00AC5972"/>
    <w:rsid w:val="00AC6F11"/>
    <w:rsid w:val="00AC7958"/>
    <w:rsid w:val="00AC7A40"/>
    <w:rsid w:val="00AD00DA"/>
    <w:rsid w:val="00AD1AE9"/>
    <w:rsid w:val="00AD1EF1"/>
    <w:rsid w:val="00AD3FBF"/>
    <w:rsid w:val="00AD4A39"/>
    <w:rsid w:val="00AE1124"/>
    <w:rsid w:val="00AE1B30"/>
    <w:rsid w:val="00AE2A90"/>
    <w:rsid w:val="00AE2F23"/>
    <w:rsid w:val="00AE313A"/>
    <w:rsid w:val="00AF20EF"/>
    <w:rsid w:val="00AF2210"/>
    <w:rsid w:val="00AF275A"/>
    <w:rsid w:val="00AF2E22"/>
    <w:rsid w:val="00AF3330"/>
    <w:rsid w:val="00AF5924"/>
    <w:rsid w:val="00AF5E3F"/>
    <w:rsid w:val="00AF665D"/>
    <w:rsid w:val="00AF79B7"/>
    <w:rsid w:val="00B019ED"/>
    <w:rsid w:val="00B02C65"/>
    <w:rsid w:val="00B04EA2"/>
    <w:rsid w:val="00B04EA4"/>
    <w:rsid w:val="00B0677A"/>
    <w:rsid w:val="00B07436"/>
    <w:rsid w:val="00B1058D"/>
    <w:rsid w:val="00B11793"/>
    <w:rsid w:val="00B11ED9"/>
    <w:rsid w:val="00B12404"/>
    <w:rsid w:val="00B1284B"/>
    <w:rsid w:val="00B14FD9"/>
    <w:rsid w:val="00B17105"/>
    <w:rsid w:val="00B178CF"/>
    <w:rsid w:val="00B2046C"/>
    <w:rsid w:val="00B21C98"/>
    <w:rsid w:val="00B22291"/>
    <w:rsid w:val="00B24513"/>
    <w:rsid w:val="00B26824"/>
    <w:rsid w:val="00B30141"/>
    <w:rsid w:val="00B3086D"/>
    <w:rsid w:val="00B3125F"/>
    <w:rsid w:val="00B333FA"/>
    <w:rsid w:val="00B35674"/>
    <w:rsid w:val="00B36CB5"/>
    <w:rsid w:val="00B413AF"/>
    <w:rsid w:val="00B428D7"/>
    <w:rsid w:val="00B44A8A"/>
    <w:rsid w:val="00B44D17"/>
    <w:rsid w:val="00B452B4"/>
    <w:rsid w:val="00B46B17"/>
    <w:rsid w:val="00B46C4D"/>
    <w:rsid w:val="00B476C5"/>
    <w:rsid w:val="00B478A8"/>
    <w:rsid w:val="00B5242C"/>
    <w:rsid w:val="00B53A1A"/>
    <w:rsid w:val="00B55B8D"/>
    <w:rsid w:val="00B55BEC"/>
    <w:rsid w:val="00B573BA"/>
    <w:rsid w:val="00B57A02"/>
    <w:rsid w:val="00B6040F"/>
    <w:rsid w:val="00B606A0"/>
    <w:rsid w:val="00B61701"/>
    <w:rsid w:val="00B62A8D"/>
    <w:rsid w:val="00B646EB"/>
    <w:rsid w:val="00B663B8"/>
    <w:rsid w:val="00B66581"/>
    <w:rsid w:val="00B668F6"/>
    <w:rsid w:val="00B67355"/>
    <w:rsid w:val="00B67B00"/>
    <w:rsid w:val="00B738A7"/>
    <w:rsid w:val="00B742B1"/>
    <w:rsid w:val="00B768C1"/>
    <w:rsid w:val="00B7738B"/>
    <w:rsid w:val="00B77ABF"/>
    <w:rsid w:val="00B81DE4"/>
    <w:rsid w:val="00B8234B"/>
    <w:rsid w:val="00B8273B"/>
    <w:rsid w:val="00B83F3E"/>
    <w:rsid w:val="00B847AF"/>
    <w:rsid w:val="00B85CC2"/>
    <w:rsid w:val="00B91299"/>
    <w:rsid w:val="00B91DF2"/>
    <w:rsid w:val="00B93E9A"/>
    <w:rsid w:val="00B95B1E"/>
    <w:rsid w:val="00B96A29"/>
    <w:rsid w:val="00B977FD"/>
    <w:rsid w:val="00BA06D6"/>
    <w:rsid w:val="00BA0B9A"/>
    <w:rsid w:val="00BA2AA9"/>
    <w:rsid w:val="00BA66C8"/>
    <w:rsid w:val="00BB1FAC"/>
    <w:rsid w:val="00BB3640"/>
    <w:rsid w:val="00BB3E77"/>
    <w:rsid w:val="00BB47E2"/>
    <w:rsid w:val="00BB5752"/>
    <w:rsid w:val="00BB6588"/>
    <w:rsid w:val="00BB77F8"/>
    <w:rsid w:val="00BC05DB"/>
    <w:rsid w:val="00BC0E4A"/>
    <w:rsid w:val="00BC117D"/>
    <w:rsid w:val="00BC22C7"/>
    <w:rsid w:val="00BC3264"/>
    <w:rsid w:val="00BC34B3"/>
    <w:rsid w:val="00BC3A9D"/>
    <w:rsid w:val="00BC3FB4"/>
    <w:rsid w:val="00BC460B"/>
    <w:rsid w:val="00BC6063"/>
    <w:rsid w:val="00BC6263"/>
    <w:rsid w:val="00BC67FB"/>
    <w:rsid w:val="00BC6A31"/>
    <w:rsid w:val="00BC78A3"/>
    <w:rsid w:val="00BC7F69"/>
    <w:rsid w:val="00BD249A"/>
    <w:rsid w:val="00BD3E0D"/>
    <w:rsid w:val="00BD47AC"/>
    <w:rsid w:val="00BD4F97"/>
    <w:rsid w:val="00BD61F0"/>
    <w:rsid w:val="00BD6DF7"/>
    <w:rsid w:val="00BD75AA"/>
    <w:rsid w:val="00BE1D6B"/>
    <w:rsid w:val="00BE3494"/>
    <w:rsid w:val="00BE4B10"/>
    <w:rsid w:val="00BE51DE"/>
    <w:rsid w:val="00BE67A1"/>
    <w:rsid w:val="00BF210B"/>
    <w:rsid w:val="00BF2B33"/>
    <w:rsid w:val="00BF367B"/>
    <w:rsid w:val="00BF39F8"/>
    <w:rsid w:val="00BF4D36"/>
    <w:rsid w:val="00BF55A2"/>
    <w:rsid w:val="00BF6255"/>
    <w:rsid w:val="00BF7E4E"/>
    <w:rsid w:val="00C040E2"/>
    <w:rsid w:val="00C05D7A"/>
    <w:rsid w:val="00C06A49"/>
    <w:rsid w:val="00C07730"/>
    <w:rsid w:val="00C1061D"/>
    <w:rsid w:val="00C107CD"/>
    <w:rsid w:val="00C11248"/>
    <w:rsid w:val="00C12B2D"/>
    <w:rsid w:val="00C14283"/>
    <w:rsid w:val="00C17FB8"/>
    <w:rsid w:val="00C21381"/>
    <w:rsid w:val="00C22A33"/>
    <w:rsid w:val="00C22D3F"/>
    <w:rsid w:val="00C22FF5"/>
    <w:rsid w:val="00C26333"/>
    <w:rsid w:val="00C30EC9"/>
    <w:rsid w:val="00C31CCA"/>
    <w:rsid w:val="00C32A09"/>
    <w:rsid w:val="00C352A6"/>
    <w:rsid w:val="00C35DC2"/>
    <w:rsid w:val="00C40D9D"/>
    <w:rsid w:val="00C41062"/>
    <w:rsid w:val="00C41F64"/>
    <w:rsid w:val="00C42D6F"/>
    <w:rsid w:val="00C43A05"/>
    <w:rsid w:val="00C43D27"/>
    <w:rsid w:val="00C44C39"/>
    <w:rsid w:val="00C5070A"/>
    <w:rsid w:val="00C50CDD"/>
    <w:rsid w:val="00C50D53"/>
    <w:rsid w:val="00C5268D"/>
    <w:rsid w:val="00C52D96"/>
    <w:rsid w:val="00C54467"/>
    <w:rsid w:val="00C55C8F"/>
    <w:rsid w:val="00C55D35"/>
    <w:rsid w:val="00C56023"/>
    <w:rsid w:val="00C56381"/>
    <w:rsid w:val="00C56684"/>
    <w:rsid w:val="00C60300"/>
    <w:rsid w:val="00C61E6A"/>
    <w:rsid w:val="00C62E07"/>
    <w:rsid w:val="00C647A0"/>
    <w:rsid w:val="00C6766B"/>
    <w:rsid w:val="00C70193"/>
    <w:rsid w:val="00C703ED"/>
    <w:rsid w:val="00C71A51"/>
    <w:rsid w:val="00C71A64"/>
    <w:rsid w:val="00C747A8"/>
    <w:rsid w:val="00C74AF1"/>
    <w:rsid w:val="00C74C58"/>
    <w:rsid w:val="00C74CB9"/>
    <w:rsid w:val="00C76BB0"/>
    <w:rsid w:val="00C7722A"/>
    <w:rsid w:val="00C77A4C"/>
    <w:rsid w:val="00C8061E"/>
    <w:rsid w:val="00C80661"/>
    <w:rsid w:val="00C809EF"/>
    <w:rsid w:val="00C81C84"/>
    <w:rsid w:val="00C825F7"/>
    <w:rsid w:val="00C82A9F"/>
    <w:rsid w:val="00C83F55"/>
    <w:rsid w:val="00C84EF2"/>
    <w:rsid w:val="00C86E36"/>
    <w:rsid w:val="00C86F19"/>
    <w:rsid w:val="00C92439"/>
    <w:rsid w:val="00C93856"/>
    <w:rsid w:val="00C93D98"/>
    <w:rsid w:val="00C94B1A"/>
    <w:rsid w:val="00C957CE"/>
    <w:rsid w:val="00C9771E"/>
    <w:rsid w:val="00CA0EDC"/>
    <w:rsid w:val="00CA0F2C"/>
    <w:rsid w:val="00CA2258"/>
    <w:rsid w:val="00CA5FCE"/>
    <w:rsid w:val="00CA7B07"/>
    <w:rsid w:val="00CA7DE4"/>
    <w:rsid w:val="00CB2561"/>
    <w:rsid w:val="00CB4685"/>
    <w:rsid w:val="00CB4DC2"/>
    <w:rsid w:val="00CB56BC"/>
    <w:rsid w:val="00CB5E03"/>
    <w:rsid w:val="00CB6795"/>
    <w:rsid w:val="00CB6D41"/>
    <w:rsid w:val="00CB6E94"/>
    <w:rsid w:val="00CB791D"/>
    <w:rsid w:val="00CC1A3D"/>
    <w:rsid w:val="00CC1C82"/>
    <w:rsid w:val="00CC2506"/>
    <w:rsid w:val="00CC322B"/>
    <w:rsid w:val="00CC4219"/>
    <w:rsid w:val="00CC4AD6"/>
    <w:rsid w:val="00CC4F0C"/>
    <w:rsid w:val="00CC51FA"/>
    <w:rsid w:val="00CC5794"/>
    <w:rsid w:val="00CC7F43"/>
    <w:rsid w:val="00CD00A7"/>
    <w:rsid w:val="00CD0F75"/>
    <w:rsid w:val="00CD3167"/>
    <w:rsid w:val="00CD4139"/>
    <w:rsid w:val="00CD4E25"/>
    <w:rsid w:val="00CE0387"/>
    <w:rsid w:val="00CE069E"/>
    <w:rsid w:val="00CE1023"/>
    <w:rsid w:val="00CE4623"/>
    <w:rsid w:val="00CE49CD"/>
    <w:rsid w:val="00CE7BAC"/>
    <w:rsid w:val="00CF0700"/>
    <w:rsid w:val="00CF0EDE"/>
    <w:rsid w:val="00CF22A9"/>
    <w:rsid w:val="00CF6E29"/>
    <w:rsid w:val="00CF7D5D"/>
    <w:rsid w:val="00D00612"/>
    <w:rsid w:val="00D021E4"/>
    <w:rsid w:val="00D02628"/>
    <w:rsid w:val="00D028EE"/>
    <w:rsid w:val="00D03031"/>
    <w:rsid w:val="00D03302"/>
    <w:rsid w:val="00D03A70"/>
    <w:rsid w:val="00D0519A"/>
    <w:rsid w:val="00D053CB"/>
    <w:rsid w:val="00D06E87"/>
    <w:rsid w:val="00D074BC"/>
    <w:rsid w:val="00D0755C"/>
    <w:rsid w:val="00D07924"/>
    <w:rsid w:val="00D10B5E"/>
    <w:rsid w:val="00D10D40"/>
    <w:rsid w:val="00D12079"/>
    <w:rsid w:val="00D12925"/>
    <w:rsid w:val="00D13B3B"/>
    <w:rsid w:val="00D13DFF"/>
    <w:rsid w:val="00D15B9C"/>
    <w:rsid w:val="00D160D4"/>
    <w:rsid w:val="00D1727B"/>
    <w:rsid w:val="00D20BFE"/>
    <w:rsid w:val="00D2271A"/>
    <w:rsid w:val="00D23746"/>
    <w:rsid w:val="00D240BB"/>
    <w:rsid w:val="00D24222"/>
    <w:rsid w:val="00D2615F"/>
    <w:rsid w:val="00D26562"/>
    <w:rsid w:val="00D265FD"/>
    <w:rsid w:val="00D276F2"/>
    <w:rsid w:val="00D334F9"/>
    <w:rsid w:val="00D353AB"/>
    <w:rsid w:val="00D376D6"/>
    <w:rsid w:val="00D37A44"/>
    <w:rsid w:val="00D40CDB"/>
    <w:rsid w:val="00D41565"/>
    <w:rsid w:val="00D42B25"/>
    <w:rsid w:val="00D4373A"/>
    <w:rsid w:val="00D437F3"/>
    <w:rsid w:val="00D43F08"/>
    <w:rsid w:val="00D44531"/>
    <w:rsid w:val="00D464AB"/>
    <w:rsid w:val="00D46760"/>
    <w:rsid w:val="00D46FA7"/>
    <w:rsid w:val="00D5013F"/>
    <w:rsid w:val="00D54EC3"/>
    <w:rsid w:val="00D550FC"/>
    <w:rsid w:val="00D5728B"/>
    <w:rsid w:val="00D57622"/>
    <w:rsid w:val="00D607A7"/>
    <w:rsid w:val="00D60AB2"/>
    <w:rsid w:val="00D6293A"/>
    <w:rsid w:val="00D62CDB"/>
    <w:rsid w:val="00D674C2"/>
    <w:rsid w:val="00D71052"/>
    <w:rsid w:val="00D72937"/>
    <w:rsid w:val="00D73415"/>
    <w:rsid w:val="00D74380"/>
    <w:rsid w:val="00D74C20"/>
    <w:rsid w:val="00D760DD"/>
    <w:rsid w:val="00D76DCD"/>
    <w:rsid w:val="00D770DD"/>
    <w:rsid w:val="00D806FC"/>
    <w:rsid w:val="00D8174C"/>
    <w:rsid w:val="00D8376B"/>
    <w:rsid w:val="00D837C9"/>
    <w:rsid w:val="00D83E9A"/>
    <w:rsid w:val="00D848FB"/>
    <w:rsid w:val="00D8620A"/>
    <w:rsid w:val="00D86A25"/>
    <w:rsid w:val="00D9204C"/>
    <w:rsid w:val="00D94359"/>
    <w:rsid w:val="00D9443A"/>
    <w:rsid w:val="00D95899"/>
    <w:rsid w:val="00D966A2"/>
    <w:rsid w:val="00D9672A"/>
    <w:rsid w:val="00D975AC"/>
    <w:rsid w:val="00DA0102"/>
    <w:rsid w:val="00DA2240"/>
    <w:rsid w:val="00DA2F67"/>
    <w:rsid w:val="00DA364B"/>
    <w:rsid w:val="00DA40C9"/>
    <w:rsid w:val="00DA5D22"/>
    <w:rsid w:val="00DA5F96"/>
    <w:rsid w:val="00DA6B05"/>
    <w:rsid w:val="00DA7F0F"/>
    <w:rsid w:val="00DB112C"/>
    <w:rsid w:val="00DB2D10"/>
    <w:rsid w:val="00DB2EFB"/>
    <w:rsid w:val="00DB3497"/>
    <w:rsid w:val="00DB4471"/>
    <w:rsid w:val="00DB4F9D"/>
    <w:rsid w:val="00DB7E80"/>
    <w:rsid w:val="00DC0051"/>
    <w:rsid w:val="00DC105A"/>
    <w:rsid w:val="00DC1A3E"/>
    <w:rsid w:val="00DC295D"/>
    <w:rsid w:val="00DC3230"/>
    <w:rsid w:val="00DC58C5"/>
    <w:rsid w:val="00DC5A06"/>
    <w:rsid w:val="00DC5C83"/>
    <w:rsid w:val="00DC64F8"/>
    <w:rsid w:val="00DD140F"/>
    <w:rsid w:val="00DD1BBA"/>
    <w:rsid w:val="00DD1E51"/>
    <w:rsid w:val="00DD2053"/>
    <w:rsid w:val="00DD505F"/>
    <w:rsid w:val="00DD6982"/>
    <w:rsid w:val="00DD7494"/>
    <w:rsid w:val="00DD7D0A"/>
    <w:rsid w:val="00DE0213"/>
    <w:rsid w:val="00DE0B43"/>
    <w:rsid w:val="00DE0FBA"/>
    <w:rsid w:val="00DE5EF5"/>
    <w:rsid w:val="00DE62C6"/>
    <w:rsid w:val="00DE68DB"/>
    <w:rsid w:val="00DF0A74"/>
    <w:rsid w:val="00DF1B31"/>
    <w:rsid w:val="00DF24E0"/>
    <w:rsid w:val="00DF2952"/>
    <w:rsid w:val="00DF37F6"/>
    <w:rsid w:val="00DF411C"/>
    <w:rsid w:val="00DF4A57"/>
    <w:rsid w:val="00DF4A9A"/>
    <w:rsid w:val="00DF5624"/>
    <w:rsid w:val="00DF5C97"/>
    <w:rsid w:val="00DF7AF2"/>
    <w:rsid w:val="00DF7C95"/>
    <w:rsid w:val="00E011F9"/>
    <w:rsid w:val="00E023C0"/>
    <w:rsid w:val="00E06732"/>
    <w:rsid w:val="00E07A62"/>
    <w:rsid w:val="00E11AA8"/>
    <w:rsid w:val="00E11D7B"/>
    <w:rsid w:val="00E12B43"/>
    <w:rsid w:val="00E133F2"/>
    <w:rsid w:val="00E14A82"/>
    <w:rsid w:val="00E15C76"/>
    <w:rsid w:val="00E1656B"/>
    <w:rsid w:val="00E20251"/>
    <w:rsid w:val="00E21C64"/>
    <w:rsid w:val="00E22950"/>
    <w:rsid w:val="00E22B31"/>
    <w:rsid w:val="00E24EA0"/>
    <w:rsid w:val="00E25374"/>
    <w:rsid w:val="00E256A0"/>
    <w:rsid w:val="00E25C8F"/>
    <w:rsid w:val="00E25E26"/>
    <w:rsid w:val="00E30009"/>
    <w:rsid w:val="00E31370"/>
    <w:rsid w:val="00E32C6A"/>
    <w:rsid w:val="00E372D7"/>
    <w:rsid w:val="00E37E56"/>
    <w:rsid w:val="00E37F76"/>
    <w:rsid w:val="00E40336"/>
    <w:rsid w:val="00E40896"/>
    <w:rsid w:val="00E40F3D"/>
    <w:rsid w:val="00E426E8"/>
    <w:rsid w:val="00E46A1C"/>
    <w:rsid w:val="00E47571"/>
    <w:rsid w:val="00E505EC"/>
    <w:rsid w:val="00E51A3F"/>
    <w:rsid w:val="00E51F10"/>
    <w:rsid w:val="00E52A97"/>
    <w:rsid w:val="00E53228"/>
    <w:rsid w:val="00E538C6"/>
    <w:rsid w:val="00E541AC"/>
    <w:rsid w:val="00E55910"/>
    <w:rsid w:val="00E55C74"/>
    <w:rsid w:val="00E566E2"/>
    <w:rsid w:val="00E57169"/>
    <w:rsid w:val="00E57BA0"/>
    <w:rsid w:val="00E62B9D"/>
    <w:rsid w:val="00E639CB"/>
    <w:rsid w:val="00E66F52"/>
    <w:rsid w:val="00E733FF"/>
    <w:rsid w:val="00E73E47"/>
    <w:rsid w:val="00E74EF0"/>
    <w:rsid w:val="00E75214"/>
    <w:rsid w:val="00E7575D"/>
    <w:rsid w:val="00E757F8"/>
    <w:rsid w:val="00E75DE7"/>
    <w:rsid w:val="00E76280"/>
    <w:rsid w:val="00E765A1"/>
    <w:rsid w:val="00E7796A"/>
    <w:rsid w:val="00E77FD5"/>
    <w:rsid w:val="00E8071E"/>
    <w:rsid w:val="00E81651"/>
    <w:rsid w:val="00E82A5A"/>
    <w:rsid w:val="00E8344F"/>
    <w:rsid w:val="00E839B0"/>
    <w:rsid w:val="00E83EA2"/>
    <w:rsid w:val="00E85FC5"/>
    <w:rsid w:val="00E9156A"/>
    <w:rsid w:val="00E922B9"/>
    <w:rsid w:val="00E92B95"/>
    <w:rsid w:val="00E96EC6"/>
    <w:rsid w:val="00E97627"/>
    <w:rsid w:val="00EA229F"/>
    <w:rsid w:val="00EA379D"/>
    <w:rsid w:val="00EA536F"/>
    <w:rsid w:val="00EA5B54"/>
    <w:rsid w:val="00EA6715"/>
    <w:rsid w:val="00EA69CF"/>
    <w:rsid w:val="00EA7F22"/>
    <w:rsid w:val="00EB0072"/>
    <w:rsid w:val="00EB2F7B"/>
    <w:rsid w:val="00EB3BCD"/>
    <w:rsid w:val="00EB3F74"/>
    <w:rsid w:val="00EB6328"/>
    <w:rsid w:val="00EB7096"/>
    <w:rsid w:val="00EB7F33"/>
    <w:rsid w:val="00EC0101"/>
    <w:rsid w:val="00EC1175"/>
    <w:rsid w:val="00EC169E"/>
    <w:rsid w:val="00EC2B3C"/>
    <w:rsid w:val="00EC2BCF"/>
    <w:rsid w:val="00EC3224"/>
    <w:rsid w:val="00EC5FCF"/>
    <w:rsid w:val="00EC7292"/>
    <w:rsid w:val="00ED223A"/>
    <w:rsid w:val="00EE2246"/>
    <w:rsid w:val="00EE2353"/>
    <w:rsid w:val="00EE327E"/>
    <w:rsid w:val="00EE38B7"/>
    <w:rsid w:val="00EF06BA"/>
    <w:rsid w:val="00EF3CB5"/>
    <w:rsid w:val="00EF54A2"/>
    <w:rsid w:val="00EF58BA"/>
    <w:rsid w:val="00EF6605"/>
    <w:rsid w:val="00F006C2"/>
    <w:rsid w:val="00F0170E"/>
    <w:rsid w:val="00F044F3"/>
    <w:rsid w:val="00F04520"/>
    <w:rsid w:val="00F12C21"/>
    <w:rsid w:val="00F12DBE"/>
    <w:rsid w:val="00F14FA5"/>
    <w:rsid w:val="00F17DCA"/>
    <w:rsid w:val="00F22230"/>
    <w:rsid w:val="00F23027"/>
    <w:rsid w:val="00F24D1B"/>
    <w:rsid w:val="00F250E7"/>
    <w:rsid w:val="00F2527A"/>
    <w:rsid w:val="00F30889"/>
    <w:rsid w:val="00F31B2B"/>
    <w:rsid w:val="00F31CAA"/>
    <w:rsid w:val="00F321E2"/>
    <w:rsid w:val="00F32CE1"/>
    <w:rsid w:val="00F34FBF"/>
    <w:rsid w:val="00F3576B"/>
    <w:rsid w:val="00F3703F"/>
    <w:rsid w:val="00F37479"/>
    <w:rsid w:val="00F40142"/>
    <w:rsid w:val="00F401D8"/>
    <w:rsid w:val="00F433C6"/>
    <w:rsid w:val="00F434B8"/>
    <w:rsid w:val="00F435BA"/>
    <w:rsid w:val="00F43BA3"/>
    <w:rsid w:val="00F441F3"/>
    <w:rsid w:val="00F45D29"/>
    <w:rsid w:val="00F5049B"/>
    <w:rsid w:val="00F51C40"/>
    <w:rsid w:val="00F51CFA"/>
    <w:rsid w:val="00F53971"/>
    <w:rsid w:val="00F548C0"/>
    <w:rsid w:val="00F601AC"/>
    <w:rsid w:val="00F60B9B"/>
    <w:rsid w:val="00F615BC"/>
    <w:rsid w:val="00F61C8C"/>
    <w:rsid w:val="00F62BEF"/>
    <w:rsid w:val="00F62CF0"/>
    <w:rsid w:val="00F64820"/>
    <w:rsid w:val="00F64850"/>
    <w:rsid w:val="00F654F3"/>
    <w:rsid w:val="00F6558F"/>
    <w:rsid w:val="00F658AF"/>
    <w:rsid w:val="00F66A98"/>
    <w:rsid w:val="00F66AED"/>
    <w:rsid w:val="00F6722C"/>
    <w:rsid w:val="00F70BBA"/>
    <w:rsid w:val="00F70FD8"/>
    <w:rsid w:val="00F7274F"/>
    <w:rsid w:val="00F73E61"/>
    <w:rsid w:val="00F80875"/>
    <w:rsid w:val="00F82055"/>
    <w:rsid w:val="00F826CD"/>
    <w:rsid w:val="00F82C7D"/>
    <w:rsid w:val="00F835D4"/>
    <w:rsid w:val="00F83C7D"/>
    <w:rsid w:val="00F84D20"/>
    <w:rsid w:val="00F86032"/>
    <w:rsid w:val="00F90414"/>
    <w:rsid w:val="00F90546"/>
    <w:rsid w:val="00F907F3"/>
    <w:rsid w:val="00F91DDC"/>
    <w:rsid w:val="00F92ED1"/>
    <w:rsid w:val="00F92F5A"/>
    <w:rsid w:val="00F934F3"/>
    <w:rsid w:val="00F93E28"/>
    <w:rsid w:val="00F93EFB"/>
    <w:rsid w:val="00F94369"/>
    <w:rsid w:val="00F95B19"/>
    <w:rsid w:val="00F96351"/>
    <w:rsid w:val="00FA0CA5"/>
    <w:rsid w:val="00FA255E"/>
    <w:rsid w:val="00FA37CC"/>
    <w:rsid w:val="00FA3C7F"/>
    <w:rsid w:val="00FA4158"/>
    <w:rsid w:val="00FA421F"/>
    <w:rsid w:val="00FA44DD"/>
    <w:rsid w:val="00FA7EBD"/>
    <w:rsid w:val="00FB0C07"/>
    <w:rsid w:val="00FB1BE2"/>
    <w:rsid w:val="00FB4920"/>
    <w:rsid w:val="00FB49BA"/>
    <w:rsid w:val="00FB4A10"/>
    <w:rsid w:val="00FB4D30"/>
    <w:rsid w:val="00FB5EB2"/>
    <w:rsid w:val="00FB6222"/>
    <w:rsid w:val="00FB715D"/>
    <w:rsid w:val="00FC067F"/>
    <w:rsid w:val="00FD04EE"/>
    <w:rsid w:val="00FD472F"/>
    <w:rsid w:val="00FE08C1"/>
    <w:rsid w:val="00FE09BD"/>
    <w:rsid w:val="00FE0BC9"/>
    <w:rsid w:val="00FE15BF"/>
    <w:rsid w:val="00FE1A95"/>
    <w:rsid w:val="00FE53DA"/>
    <w:rsid w:val="00FE5581"/>
    <w:rsid w:val="00FF145F"/>
    <w:rsid w:val="00FF312C"/>
    <w:rsid w:val="01221A5D"/>
    <w:rsid w:val="016823CF"/>
    <w:rsid w:val="026244EC"/>
    <w:rsid w:val="02EC5EBA"/>
    <w:rsid w:val="04AC2F4D"/>
    <w:rsid w:val="04DD421C"/>
    <w:rsid w:val="05282D05"/>
    <w:rsid w:val="06A61141"/>
    <w:rsid w:val="08AA44A0"/>
    <w:rsid w:val="09783FFB"/>
    <w:rsid w:val="099D1DD6"/>
    <w:rsid w:val="0B991B92"/>
    <w:rsid w:val="0E8B1266"/>
    <w:rsid w:val="0EBE22B2"/>
    <w:rsid w:val="0F05039A"/>
    <w:rsid w:val="0F661B5F"/>
    <w:rsid w:val="13C87E69"/>
    <w:rsid w:val="19090C37"/>
    <w:rsid w:val="19527C9B"/>
    <w:rsid w:val="197214FC"/>
    <w:rsid w:val="1A625704"/>
    <w:rsid w:val="1BB67CE6"/>
    <w:rsid w:val="1DCF408D"/>
    <w:rsid w:val="1F6619BB"/>
    <w:rsid w:val="1FAB3054"/>
    <w:rsid w:val="20347D00"/>
    <w:rsid w:val="21507959"/>
    <w:rsid w:val="21CD38FA"/>
    <w:rsid w:val="23D125E7"/>
    <w:rsid w:val="241D080E"/>
    <w:rsid w:val="24804CF1"/>
    <w:rsid w:val="2551258D"/>
    <w:rsid w:val="258865B5"/>
    <w:rsid w:val="26C44576"/>
    <w:rsid w:val="29887737"/>
    <w:rsid w:val="2ACF05D0"/>
    <w:rsid w:val="2B3A626B"/>
    <w:rsid w:val="2E417883"/>
    <w:rsid w:val="2E6846A5"/>
    <w:rsid w:val="2FCD06B8"/>
    <w:rsid w:val="324527BC"/>
    <w:rsid w:val="337C2A2B"/>
    <w:rsid w:val="344479C6"/>
    <w:rsid w:val="367B2ACD"/>
    <w:rsid w:val="3B806DDA"/>
    <w:rsid w:val="3C385204"/>
    <w:rsid w:val="3E9A7825"/>
    <w:rsid w:val="3E9B34B6"/>
    <w:rsid w:val="3ED50454"/>
    <w:rsid w:val="3F7522DF"/>
    <w:rsid w:val="44793116"/>
    <w:rsid w:val="46471379"/>
    <w:rsid w:val="47B03033"/>
    <w:rsid w:val="4850664D"/>
    <w:rsid w:val="4853585F"/>
    <w:rsid w:val="49B902E2"/>
    <w:rsid w:val="4A10235C"/>
    <w:rsid w:val="4B560396"/>
    <w:rsid w:val="4BCF1DF7"/>
    <w:rsid w:val="4EAA1EB9"/>
    <w:rsid w:val="4ECF1414"/>
    <w:rsid w:val="4F1D51BA"/>
    <w:rsid w:val="4F930128"/>
    <w:rsid w:val="50126174"/>
    <w:rsid w:val="50812C60"/>
    <w:rsid w:val="536B6602"/>
    <w:rsid w:val="53AD64A8"/>
    <w:rsid w:val="55782D80"/>
    <w:rsid w:val="55AD7216"/>
    <w:rsid w:val="567C213D"/>
    <w:rsid w:val="57542CBF"/>
    <w:rsid w:val="57991E1B"/>
    <w:rsid w:val="5AB633B0"/>
    <w:rsid w:val="5AC00A1A"/>
    <w:rsid w:val="5B99640B"/>
    <w:rsid w:val="5CAC17E6"/>
    <w:rsid w:val="5E9B2A0F"/>
    <w:rsid w:val="5EDE070D"/>
    <w:rsid w:val="60BD2948"/>
    <w:rsid w:val="628C2AB1"/>
    <w:rsid w:val="629F08DF"/>
    <w:rsid w:val="64125162"/>
    <w:rsid w:val="679B4B4B"/>
    <w:rsid w:val="68CD33C0"/>
    <w:rsid w:val="691C1ECF"/>
    <w:rsid w:val="69563063"/>
    <w:rsid w:val="6C1A5B4C"/>
    <w:rsid w:val="6C3D2589"/>
    <w:rsid w:val="6D7D6681"/>
    <w:rsid w:val="6D7E61CF"/>
    <w:rsid w:val="6DAF0A94"/>
    <w:rsid w:val="6DFD4A85"/>
    <w:rsid w:val="6ED02037"/>
    <w:rsid w:val="6EEB0C94"/>
    <w:rsid w:val="6F9339E2"/>
    <w:rsid w:val="6FAC37BC"/>
    <w:rsid w:val="70A50A13"/>
    <w:rsid w:val="71892760"/>
    <w:rsid w:val="722B1867"/>
    <w:rsid w:val="7310121B"/>
    <w:rsid w:val="744C6B58"/>
    <w:rsid w:val="7488747E"/>
    <w:rsid w:val="74A22514"/>
    <w:rsid w:val="74D218EB"/>
    <w:rsid w:val="772F56CC"/>
    <w:rsid w:val="77B73C66"/>
    <w:rsid w:val="78524B20"/>
    <w:rsid w:val="78D25EC7"/>
    <w:rsid w:val="79073330"/>
    <w:rsid w:val="79FC2C3E"/>
    <w:rsid w:val="7A987B33"/>
    <w:rsid w:val="7AF44CD9"/>
    <w:rsid w:val="7B3D12BC"/>
    <w:rsid w:val="7B4B53B2"/>
    <w:rsid w:val="7CB802D3"/>
    <w:rsid w:val="7CBA2D62"/>
    <w:rsid w:val="7CDB7E19"/>
    <w:rsid w:val="7CFE0249"/>
    <w:rsid w:val="7D2C0940"/>
    <w:rsid w:val="7F30592E"/>
    <w:rsid w:val="7FBB2ACE"/>
    <w:rsid w:val="7FC40DC4"/>
    <w:rsid w:val="DAF975B0"/>
    <w:rsid w:val="E6FEE164"/>
    <w:rsid w:val="FBB72E2A"/>
    <w:rsid w:val="FF9F92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58"/>
    <w:qFormat/>
    <w:uiPriority w:val="0"/>
    <w:pPr>
      <w:keepNext/>
      <w:spacing w:line="380" w:lineRule="exact"/>
      <w:jc w:val="center"/>
      <w:outlineLvl w:val="0"/>
    </w:pPr>
    <w:rPr>
      <w:rFonts w:ascii="宋体"/>
      <w:b/>
      <w:bCs/>
      <w:sz w:val="28"/>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2"/>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63"/>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65"/>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66"/>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67"/>
    <w:qFormat/>
    <w:uiPriority w:val="0"/>
    <w:pPr>
      <w:keepNext/>
      <w:keepLines/>
      <w:spacing w:before="240" w:after="64" w:line="320" w:lineRule="auto"/>
      <w:outlineLvl w:val="8"/>
    </w:pPr>
    <w:rPr>
      <w:rFonts w:ascii="黑体" w:hAnsi="黑体" w:eastAsia="楷体"/>
    </w:rPr>
  </w:style>
  <w:style w:type="character" w:default="1" w:styleId="52">
    <w:name w:val="Default Paragraph Font"/>
    <w:unhideWhenUsed/>
    <w:uiPriority w:val="1"/>
  </w:style>
  <w:style w:type="table" w:default="1" w:styleId="5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50"/>
      <w:tblCellMar>
        <w:top w:w="0" w:type="dxa"/>
        <w:left w:w="108" w:type="dxa"/>
        <w:bottom w:w="0" w:type="dxa"/>
        <w:right w:w="108" w:type="dxa"/>
      </w:tblCellMar>
    </w:tblPr>
  </w:style>
  <w:style w:type="paragraph" w:styleId="8">
    <w:name w:val="Normal Indent"/>
    <w:basedOn w:val="1"/>
    <w:link w:val="64"/>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uiPriority w:val="0"/>
    <w:pPr>
      <w:ind w:left="2520" w:leftChars="1200"/>
    </w:pPr>
    <w:rPr>
      <w:szCs w:val="24"/>
    </w:rPr>
  </w:style>
  <w:style w:type="paragraph" w:styleId="13">
    <w:name w:val="List Number"/>
    <w:basedOn w:val="1"/>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qFormat/>
    <w:uiPriority w:val="0"/>
    <w:rPr>
      <w:rFonts w:ascii="黑体" w:hAnsi="黑体" w:eastAsia="楷体" w:cs="黑体"/>
      <w:sz w:val="20"/>
    </w:rPr>
  </w:style>
  <w:style w:type="paragraph" w:styleId="15">
    <w:name w:val="Document Map"/>
    <w:basedOn w:val="1"/>
    <w:link w:val="68"/>
    <w:qFormat/>
    <w:uiPriority w:val="0"/>
    <w:pPr>
      <w:shd w:val="clear" w:color="auto" w:fill="000080"/>
    </w:pPr>
  </w:style>
  <w:style w:type="paragraph" w:styleId="16">
    <w:name w:val="annotation text"/>
    <w:basedOn w:val="1"/>
    <w:link w:val="69"/>
    <w:uiPriority w:val="0"/>
    <w:pPr>
      <w:jc w:val="left"/>
    </w:pPr>
  </w:style>
  <w:style w:type="paragraph" w:styleId="17">
    <w:name w:val="Body Text 3"/>
    <w:basedOn w:val="1"/>
    <w:link w:val="70"/>
    <w:uiPriority w:val="0"/>
    <w:pPr>
      <w:snapToGrid w:val="0"/>
      <w:spacing w:before="50" w:after="50"/>
    </w:pPr>
    <w:rPr>
      <w:rFonts w:hAnsi="宋体" w:eastAsia="仿宋_GB2312"/>
      <w:b/>
      <w:bCs/>
      <w:sz w:val="24"/>
    </w:rPr>
  </w:style>
  <w:style w:type="paragraph" w:styleId="18">
    <w:name w:val="Body Text"/>
    <w:basedOn w:val="1"/>
    <w:link w:val="71"/>
    <w:qFormat/>
    <w:uiPriority w:val="0"/>
    <w:pPr>
      <w:spacing w:after="120"/>
    </w:pPr>
  </w:style>
  <w:style w:type="paragraph" w:styleId="19">
    <w:name w:val="Body Text Indent"/>
    <w:basedOn w:val="1"/>
    <w:link w:val="72"/>
    <w:qFormat/>
    <w:uiPriority w:val="0"/>
    <w:pPr>
      <w:spacing w:line="380" w:lineRule="exact"/>
      <w:ind w:firstLine="480"/>
    </w:pPr>
    <w:rPr>
      <w:rFonts w:eastAsia="方正书宋简体"/>
      <w:sz w:val="24"/>
    </w:rPr>
  </w:style>
  <w:style w:type="paragraph" w:styleId="20">
    <w:name w:val="List Number 3"/>
    <w:basedOn w:val="1"/>
    <w:uiPriority w:val="0"/>
    <w:pPr>
      <w:widowControl/>
      <w:tabs>
        <w:tab w:val="left" w:pos="482"/>
        <w:tab w:val="left" w:pos="1157"/>
      </w:tabs>
      <w:spacing w:afterLines="50"/>
      <w:ind w:left="482" w:hanging="340"/>
      <w:jc w:val="left"/>
    </w:pPr>
    <w:rPr>
      <w:rFonts w:ascii="Arial" w:hAnsi="Arial" w:cs="Arial"/>
      <w:kern w:val="0"/>
      <w:sz w:val="24"/>
    </w:rPr>
  </w:style>
  <w:style w:type="paragraph" w:styleId="21">
    <w:name w:val="List 2"/>
    <w:basedOn w:val="1"/>
    <w:uiPriority w:val="0"/>
    <w:pPr>
      <w:ind w:left="100" w:leftChars="200" w:hanging="200" w:hangingChars="200"/>
    </w:pPr>
    <w:rPr>
      <w:sz w:val="28"/>
      <w:szCs w:val="24"/>
    </w:rPr>
  </w:style>
  <w:style w:type="paragraph" w:styleId="22">
    <w:name w:val="Block Text"/>
    <w:basedOn w:val="1"/>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3">
    <w:name w:val="toc 5"/>
    <w:basedOn w:val="1"/>
    <w:next w:val="1"/>
    <w:uiPriority w:val="0"/>
    <w:pPr>
      <w:ind w:left="1680" w:leftChars="800"/>
    </w:pPr>
    <w:rPr>
      <w:szCs w:val="24"/>
    </w:rPr>
  </w:style>
  <w:style w:type="paragraph" w:styleId="24">
    <w:name w:val="toc 3"/>
    <w:basedOn w:val="1"/>
    <w:next w:val="1"/>
    <w:uiPriority w:val="0"/>
    <w:pPr>
      <w:tabs>
        <w:tab w:val="left" w:pos="1236"/>
        <w:tab w:val="right" w:leader="dot" w:pos="8789"/>
      </w:tabs>
      <w:ind w:left="840" w:leftChars="400"/>
    </w:pPr>
  </w:style>
  <w:style w:type="paragraph" w:styleId="25">
    <w:name w:val="Plain Text"/>
    <w:basedOn w:val="1"/>
    <w:link w:val="73"/>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6">
    <w:name w:val="toc 8"/>
    <w:basedOn w:val="1"/>
    <w:next w:val="1"/>
    <w:uiPriority w:val="0"/>
    <w:pPr>
      <w:ind w:left="2940" w:leftChars="1400"/>
    </w:pPr>
    <w:rPr>
      <w:szCs w:val="24"/>
    </w:rPr>
  </w:style>
  <w:style w:type="paragraph" w:styleId="27">
    <w:name w:val="Date"/>
    <w:basedOn w:val="1"/>
    <w:next w:val="1"/>
    <w:link w:val="74"/>
    <w:uiPriority w:val="0"/>
    <w:pPr>
      <w:adjustRightInd w:val="0"/>
      <w:spacing w:line="312" w:lineRule="atLeast"/>
      <w:jc w:val="right"/>
      <w:textAlignment w:val="baseline"/>
    </w:pPr>
    <w:rPr>
      <w:rFonts w:ascii="宋体"/>
      <w:kern w:val="0"/>
      <w:sz w:val="24"/>
    </w:rPr>
  </w:style>
  <w:style w:type="paragraph" w:styleId="28">
    <w:name w:val="Body Text Indent 2"/>
    <w:basedOn w:val="1"/>
    <w:link w:val="75"/>
    <w:uiPriority w:val="0"/>
    <w:pPr>
      <w:spacing w:line="380" w:lineRule="exact"/>
      <w:ind w:left="840" w:hanging="45"/>
    </w:pPr>
    <w:rPr>
      <w:rFonts w:ascii="宋体"/>
      <w:sz w:val="24"/>
    </w:rPr>
  </w:style>
  <w:style w:type="paragraph" w:styleId="29">
    <w:name w:val="endnote text"/>
    <w:basedOn w:val="1"/>
    <w:link w:val="76"/>
    <w:uiPriority w:val="0"/>
    <w:pPr>
      <w:snapToGrid w:val="0"/>
      <w:jc w:val="left"/>
    </w:pPr>
    <w:rPr>
      <w:szCs w:val="24"/>
    </w:r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iPriority w:val="39"/>
    <w:pPr>
      <w:tabs>
        <w:tab w:val="right" w:leader="middleDot" w:pos="8789"/>
      </w:tabs>
      <w:spacing w:line="360" w:lineRule="auto"/>
    </w:pPr>
    <w:rPr>
      <w:sz w:val="24"/>
    </w:rPr>
  </w:style>
  <w:style w:type="paragraph" w:styleId="34">
    <w:name w:val="toc 4"/>
    <w:basedOn w:val="1"/>
    <w:next w:val="1"/>
    <w:uiPriority w:val="0"/>
    <w:pPr>
      <w:ind w:left="1260" w:leftChars="600"/>
    </w:pPr>
    <w:rPr>
      <w:szCs w:val="24"/>
    </w:rPr>
  </w:style>
  <w:style w:type="paragraph" w:styleId="35">
    <w:name w:val="Subtitle"/>
    <w:basedOn w:val="1"/>
    <w:next w:val="1"/>
    <w:link w:val="80"/>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uiPriority w:val="0"/>
    <w:pPr>
      <w:ind w:left="200" w:hanging="200" w:hangingChars="200"/>
    </w:pPr>
    <w:rPr>
      <w:sz w:val="28"/>
      <w:szCs w:val="24"/>
    </w:rPr>
  </w:style>
  <w:style w:type="paragraph" w:styleId="37">
    <w:name w:val="footnote text"/>
    <w:basedOn w:val="1"/>
    <w:link w:val="81"/>
    <w:uiPriority w:val="0"/>
    <w:pPr>
      <w:snapToGrid w:val="0"/>
      <w:jc w:val="left"/>
    </w:pPr>
    <w:rPr>
      <w:sz w:val="18"/>
      <w:szCs w:val="18"/>
    </w:rPr>
  </w:style>
  <w:style w:type="paragraph" w:styleId="38">
    <w:name w:val="toc 6"/>
    <w:basedOn w:val="1"/>
    <w:next w:val="1"/>
    <w:uiPriority w:val="0"/>
    <w:pPr>
      <w:ind w:left="2100" w:leftChars="1000"/>
    </w:pPr>
    <w:rPr>
      <w:szCs w:val="24"/>
    </w:rPr>
  </w:style>
  <w:style w:type="paragraph" w:styleId="39">
    <w:name w:val="List 5"/>
    <w:basedOn w:val="1"/>
    <w:uiPriority w:val="0"/>
    <w:pPr>
      <w:ind w:left="100" w:leftChars="800" w:hanging="200" w:hangingChars="200"/>
    </w:pPr>
    <w:rPr>
      <w:rFonts w:ascii="Arial" w:hAnsi="Arial" w:cs="Arial"/>
    </w:rPr>
  </w:style>
  <w:style w:type="paragraph" w:styleId="40">
    <w:name w:val="Body Text Indent 3"/>
    <w:basedOn w:val="1"/>
    <w:link w:val="82"/>
    <w:uiPriority w:val="0"/>
    <w:pPr>
      <w:spacing w:line="380" w:lineRule="exact"/>
      <w:ind w:left="525"/>
    </w:pPr>
    <w:rPr>
      <w:rFonts w:ascii="宋体"/>
      <w:sz w:val="24"/>
    </w:rPr>
  </w:style>
  <w:style w:type="paragraph" w:styleId="41">
    <w:name w:val="toc 2"/>
    <w:basedOn w:val="1"/>
    <w:next w:val="1"/>
    <w:uiPriority w:val="0"/>
    <w:pPr>
      <w:tabs>
        <w:tab w:val="right" w:leader="middleDot" w:pos="8789"/>
      </w:tabs>
      <w:spacing w:after="60"/>
      <w:ind w:left="420" w:leftChars="200"/>
    </w:pPr>
  </w:style>
  <w:style w:type="paragraph" w:styleId="42">
    <w:name w:val="toc 9"/>
    <w:basedOn w:val="1"/>
    <w:next w:val="1"/>
    <w:uiPriority w:val="0"/>
    <w:pPr>
      <w:ind w:left="3360" w:leftChars="1600"/>
    </w:pPr>
    <w:rPr>
      <w:szCs w:val="24"/>
    </w:rPr>
  </w:style>
  <w:style w:type="paragraph" w:styleId="43">
    <w:name w:val="Body Text 2"/>
    <w:basedOn w:val="1"/>
    <w:link w:val="83"/>
    <w:uiPriority w:val="0"/>
    <w:rPr>
      <w:rFonts w:ascii="Arial" w:hAnsi="Arial"/>
      <w:kern w:val="0"/>
      <w:sz w:val="24"/>
      <w:szCs w:val="24"/>
    </w:rPr>
  </w:style>
  <w:style w:type="paragraph" w:styleId="44">
    <w:name w:val="HTML Preformatted"/>
    <w:basedOn w:val="1"/>
    <w:link w:val="84"/>
    <w:uiPriority w:val="99"/>
    <w:rPr>
      <w:rFonts w:ascii="Courier New" w:hAnsi="Courier New"/>
      <w:sz w:val="20"/>
    </w:rPr>
  </w:style>
  <w:style w:type="paragraph" w:styleId="45">
    <w:name w:val="Normal (Web)"/>
    <w:basedOn w:val="1"/>
    <w:link w:val="85"/>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6">
    <w:name w:val="Title"/>
    <w:basedOn w:val="1"/>
    <w:next w:val="1"/>
    <w:link w:val="86"/>
    <w:qFormat/>
    <w:uiPriority w:val="0"/>
    <w:pPr>
      <w:spacing w:before="240" w:after="60"/>
      <w:jc w:val="center"/>
      <w:outlineLvl w:val="0"/>
    </w:pPr>
    <w:rPr>
      <w:rFonts w:ascii="Cambria" w:hAnsi="Cambria"/>
      <w:b/>
      <w:bCs/>
      <w:sz w:val="32"/>
      <w:szCs w:val="32"/>
    </w:rPr>
  </w:style>
  <w:style w:type="paragraph" w:styleId="47">
    <w:name w:val="annotation subject"/>
    <w:basedOn w:val="16"/>
    <w:next w:val="16"/>
    <w:link w:val="87"/>
    <w:uiPriority w:val="0"/>
    <w:rPr>
      <w:b/>
      <w:bCs/>
    </w:rPr>
  </w:style>
  <w:style w:type="paragraph" w:styleId="48">
    <w:name w:val="Body Text First Indent"/>
    <w:basedOn w:val="18"/>
    <w:link w:val="88"/>
    <w:uiPriority w:val="0"/>
    <w:pPr>
      <w:ind w:firstLine="420" w:firstLineChars="100"/>
    </w:pPr>
    <w:rPr>
      <w:szCs w:val="24"/>
    </w:rPr>
  </w:style>
  <w:style w:type="paragraph" w:styleId="49">
    <w:name w:val="Body Text First Indent 2"/>
    <w:basedOn w:val="19"/>
    <w:link w:val="89"/>
    <w:unhideWhenUsed/>
    <w:qFormat/>
    <w:uiPriority w:val="99"/>
    <w:pPr>
      <w:spacing w:after="120" w:line="240" w:lineRule="auto"/>
      <w:ind w:left="420" w:leftChars="200" w:firstLine="420" w:firstLineChars="200"/>
    </w:pPr>
    <w:rPr>
      <w:sz w:val="21"/>
    </w:rPr>
  </w:style>
  <w:style w:type="table" w:styleId="51">
    <w:name w:val="Table Grid"/>
    <w:basedOn w:val="50"/>
    <w:qFormat/>
    <w:uiPriority w:val="0"/>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uiPriority w:val="0"/>
  </w:style>
  <w:style w:type="character" w:styleId="55">
    <w:name w:val="FollowedHyperlink"/>
    <w:unhideWhenUsed/>
    <w:uiPriority w:val="99"/>
    <w:rPr>
      <w:color w:val="954F72"/>
      <w:u w:val="single"/>
    </w:rPr>
  </w:style>
  <w:style w:type="character" w:styleId="56">
    <w:name w:val="Hyperlink"/>
    <w:uiPriority w:val="99"/>
    <w:rPr>
      <w:color w:val="0000FF"/>
      <w:u w:val="single"/>
    </w:rPr>
  </w:style>
  <w:style w:type="character" w:styleId="57">
    <w:name w:val="annotation reference"/>
    <w:uiPriority w:val="0"/>
    <w:rPr>
      <w:sz w:val="21"/>
      <w:szCs w:val="21"/>
    </w:rPr>
  </w:style>
  <w:style w:type="character" w:customStyle="1" w:styleId="58">
    <w:name w:val="标题 1 字符2"/>
    <w:link w:val="2"/>
    <w:uiPriority w:val="0"/>
    <w:rPr>
      <w:rFonts w:ascii="宋体" w:eastAsia="宋体"/>
      <w:b/>
      <w:bCs/>
      <w:kern w:val="2"/>
      <w:sz w:val="28"/>
      <w:lang w:val="en-US" w:eastAsia="zh-CN" w:bidi="ar-SA"/>
    </w:rPr>
  </w:style>
  <w:style w:type="character" w:customStyle="1" w:styleId="59">
    <w:name w:val="标题 2 字符"/>
    <w:link w:val="3"/>
    <w:qFormat/>
    <w:uiPriority w:val="0"/>
    <w:rPr>
      <w:rFonts w:ascii="Arial" w:hAnsi="Arial" w:eastAsia="黑体"/>
      <w:b/>
      <w:bCs/>
      <w:kern w:val="2"/>
      <w:sz w:val="32"/>
      <w:szCs w:val="32"/>
      <w:lang w:val="en-US" w:eastAsia="zh-CN" w:bidi="ar-SA"/>
    </w:rPr>
  </w:style>
  <w:style w:type="character" w:customStyle="1" w:styleId="60">
    <w:name w:val="标题 3 字符"/>
    <w:link w:val="4"/>
    <w:uiPriority w:val="0"/>
    <w:rPr>
      <w:rFonts w:eastAsia="宋体"/>
      <w:b/>
      <w:bCs/>
      <w:kern w:val="2"/>
      <w:sz w:val="32"/>
      <w:szCs w:val="32"/>
      <w:lang w:val="en-US" w:eastAsia="zh-CN" w:bidi="ar-SA"/>
    </w:rPr>
  </w:style>
  <w:style w:type="character" w:customStyle="1" w:styleId="61">
    <w:name w:val="标题 4 字符"/>
    <w:link w:val="5"/>
    <w:uiPriority w:val="0"/>
    <w:rPr>
      <w:rFonts w:ascii="Cambria" w:hAnsi="Cambria" w:eastAsia="宋体"/>
      <w:b/>
      <w:bCs/>
      <w:kern w:val="2"/>
      <w:sz w:val="28"/>
      <w:szCs w:val="28"/>
      <w:lang w:val="en-US" w:eastAsia="zh-CN" w:bidi="ar-SA"/>
    </w:rPr>
  </w:style>
  <w:style w:type="character" w:customStyle="1" w:styleId="62">
    <w:name w:val="标题 5 字符"/>
    <w:link w:val="6"/>
    <w:uiPriority w:val="0"/>
    <w:rPr>
      <w:rFonts w:ascii="MS Sans Serif" w:hAnsi="Arial" w:eastAsia="MS Sans Serif"/>
      <w:sz w:val="24"/>
    </w:rPr>
  </w:style>
  <w:style w:type="character" w:customStyle="1" w:styleId="63">
    <w:name w:val="标题 6 字符"/>
    <w:link w:val="7"/>
    <w:uiPriority w:val="0"/>
    <w:rPr>
      <w:rFonts w:ascii="黑体" w:hAnsi="黑体" w:eastAsia="楷体"/>
      <w:b/>
      <w:kern w:val="2"/>
      <w:sz w:val="24"/>
    </w:rPr>
  </w:style>
  <w:style w:type="character" w:customStyle="1" w:styleId="64">
    <w:name w:val="正文缩进 字符"/>
    <w:link w:val="8"/>
    <w:qFormat/>
    <w:uiPriority w:val="0"/>
    <w:rPr>
      <w:rFonts w:ascii="宋体"/>
      <w:sz w:val="21"/>
    </w:rPr>
  </w:style>
  <w:style w:type="character" w:customStyle="1" w:styleId="65">
    <w:name w:val="标题 7 字符"/>
    <w:link w:val="9"/>
    <w:uiPriority w:val="0"/>
    <w:rPr>
      <w:rFonts w:ascii="Arial" w:hAnsi="Arial"/>
      <w:b/>
      <w:kern w:val="2"/>
      <w:sz w:val="24"/>
    </w:rPr>
  </w:style>
  <w:style w:type="character" w:customStyle="1" w:styleId="66">
    <w:name w:val="标题 8 字符"/>
    <w:link w:val="10"/>
    <w:uiPriority w:val="0"/>
    <w:rPr>
      <w:rFonts w:ascii="黑体" w:hAnsi="黑体" w:eastAsia="楷体"/>
      <w:kern w:val="2"/>
      <w:sz w:val="24"/>
    </w:rPr>
  </w:style>
  <w:style w:type="character" w:customStyle="1" w:styleId="67">
    <w:name w:val="标题 9 字符"/>
    <w:link w:val="11"/>
    <w:uiPriority w:val="0"/>
    <w:rPr>
      <w:rFonts w:ascii="黑体" w:hAnsi="黑体" w:eastAsia="楷体"/>
      <w:kern w:val="2"/>
      <w:sz w:val="21"/>
    </w:rPr>
  </w:style>
  <w:style w:type="character" w:customStyle="1" w:styleId="68">
    <w:name w:val="文档结构图 字符1"/>
    <w:link w:val="15"/>
    <w:uiPriority w:val="0"/>
    <w:rPr>
      <w:kern w:val="2"/>
      <w:sz w:val="21"/>
      <w:shd w:val="clear" w:color="auto" w:fill="000080"/>
    </w:rPr>
  </w:style>
  <w:style w:type="character" w:customStyle="1" w:styleId="69">
    <w:name w:val="批注文字 字符"/>
    <w:link w:val="16"/>
    <w:uiPriority w:val="0"/>
    <w:rPr>
      <w:rFonts w:eastAsia="宋体"/>
      <w:kern w:val="2"/>
      <w:sz w:val="21"/>
      <w:lang w:val="en-US" w:eastAsia="zh-CN" w:bidi="ar-SA"/>
    </w:rPr>
  </w:style>
  <w:style w:type="character" w:customStyle="1" w:styleId="70">
    <w:name w:val="正文文本 3 字符1"/>
    <w:link w:val="17"/>
    <w:uiPriority w:val="0"/>
    <w:rPr>
      <w:rFonts w:hAnsi="宋体" w:eastAsia="仿宋_GB2312"/>
      <w:b/>
      <w:bCs/>
      <w:kern w:val="2"/>
      <w:sz w:val="24"/>
    </w:rPr>
  </w:style>
  <w:style w:type="character" w:customStyle="1" w:styleId="71">
    <w:name w:val="正文文本 字符"/>
    <w:link w:val="18"/>
    <w:uiPriority w:val="0"/>
    <w:rPr>
      <w:kern w:val="2"/>
      <w:sz w:val="21"/>
    </w:rPr>
  </w:style>
  <w:style w:type="character" w:customStyle="1" w:styleId="72">
    <w:name w:val="正文文本缩进 字符2"/>
    <w:link w:val="19"/>
    <w:uiPriority w:val="0"/>
    <w:rPr>
      <w:rFonts w:eastAsia="方正书宋简体"/>
      <w:kern w:val="2"/>
      <w:sz w:val="24"/>
      <w:lang w:val="en-US" w:eastAsia="zh-CN" w:bidi="ar-SA"/>
    </w:rPr>
  </w:style>
  <w:style w:type="character" w:customStyle="1" w:styleId="73">
    <w:name w:val="纯文本 字符2"/>
    <w:link w:val="25"/>
    <w:qFormat/>
    <w:uiPriority w:val="0"/>
    <w:rPr>
      <w:rFonts w:ascii="宋体" w:hAnsi="Courier New"/>
    </w:rPr>
  </w:style>
  <w:style w:type="character" w:customStyle="1" w:styleId="74">
    <w:name w:val="日期 字符"/>
    <w:link w:val="27"/>
    <w:uiPriority w:val="0"/>
    <w:rPr>
      <w:rFonts w:ascii="宋体" w:eastAsia="宋体"/>
      <w:sz w:val="24"/>
      <w:lang w:val="en-US" w:eastAsia="zh-CN" w:bidi="ar-SA"/>
    </w:rPr>
  </w:style>
  <w:style w:type="character" w:customStyle="1" w:styleId="75">
    <w:name w:val="正文文本缩进 2 字符"/>
    <w:link w:val="28"/>
    <w:uiPriority w:val="0"/>
    <w:rPr>
      <w:rFonts w:ascii="宋体" w:eastAsia="宋体"/>
      <w:kern w:val="2"/>
      <w:sz w:val="24"/>
      <w:lang w:val="en-US" w:eastAsia="zh-CN" w:bidi="ar-SA"/>
    </w:rPr>
  </w:style>
  <w:style w:type="character" w:customStyle="1" w:styleId="76">
    <w:name w:val="尾注文本 字符1"/>
    <w:link w:val="29"/>
    <w:uiPriority w:val="0"/>
    <w:rPr>
      <w:kern w:val="2"/>
      <w:sz w:val="21"/>
      <w:szCs w:val="24"/>
    </w:rPr>
  </w:style>
  <w:style w:type="character" w:customStyle="1" w:styleId="77">
    <w:name w:val="批注框文本 字符1"/>
    <w:link w:val="30"/>
    <w:uiPriority w:val="0"/>
    <w:rPr>
      <w:rFonts w:eastAsia="宋体"/>
      <w:kern w:val="2"/>
      <w:sz w:val="18"/>
      <w:szCs w:val="18"/>
      <w:lang w:val="en-US" w:eastAsia="zh-CN" w:bidi="ar-SA"/>
    </w:rPr>
  </w:style>
  <w:style w:type="character" w:customStyle="1" w:styleId="78">
    <w:name w:val="页脚 字符1"/>
    <w:link w:val="31"/>
    <w:uiPriority w:val="99"/>
    <w:rPr>
      <w:rFonts w:eastAsia="宋体"/>
      <w:kern w:val="2"/>
      <w:sz w:val="18"/>
      <w:szCs w:val="18"/>
      <w:lang w:val="en-US" w:eastAsia="zh-CN" w:bidi="ar-SA"/>
    </w:rPr>
  </w:style>
  <w:style w:type="character" w:customStyle="1" w:styleId="79">
    <w:name w:val="页眉 字符1"/>
    <w:link w:val="32"/>
    <w:uiPriority w:val="0"/>
    <w:rPr>
      <w:rFonts w:eastAsia="宋体"/>
      <w:kern w:val="2"/>
      <w:sz w:val="18"/>
      <w:szCs w:val="18"/>
      <w:lang w:val="en-US" w:eastAsia="zh-CN" w:bidi="ar-SA"/>
    </w:rPr>
  </w:style>
  <w:style w:type="character" w:customStyle="1" w:styleId="80">
    <w:name w:val="副标题 字符1"/>
    <w:link w:val="35"/>
    <w:uiPriority w:val="0"/>
    <w:rPr>
      <w:rFonts w:ascii="Cambria" w:hAnsi="Cambria"/>
      <w:b/>
      <w:bCs/>
      <w:kern w:val="28"/>
      <w:sz w:val="32"/>
      <w:szCs w:val="32"/>
    </w:rPr>
  </w:style>
  <w:style w:type="character" w:customStyle="1" w:styleId="81">
    <w:name w:val="脚注文本 字符1"/>
    <w:link w:val="37"/>
    <w:uiPriority w:val="0"/>
    <w:rPr>
      <w:kern w:val="2"/>
      <w:sz w:val="18"/>
      <w:szCs w:val="18"/>
    </w:rPr>
  </w:style>
  <w:style w:type="character" w:customStyle="1" w:styleId="82">
    <w:name w:val="正文文本缩进 3 字符"/>
    <w:link w:val="40"/>
    <w:uiPriority w:val="0"/>
    <w:rPr>
      <w:rFonts w:ascii="宋体" w:eastAsia="宋体"/>
      <w:kern w:val="2"/>
      <w:sz w:val="24"/>
      <w:lang w:val="en-US" w:eastAsia="zh-CN" w:bidi="ar-SA"/>
    </w:rPr>
  </w:style>
  <w:style w:type="character" w:customStyle="1" w:styleId="83">
    <w:name w:val="正文文本 2 字符"/>
    <w:link w:val="43"/>
    <w:uiPriority w:val="0"/>
    <w:rPr>
      <w:rFonts w:ascii="Arial" w:hAnsi="Arial"/>
      <w:sz w:val="24"/>
      <w:szCs w:val="24"/>
    </w:rPr>
  </w:style>
  <w:style w:type="character" w:customStyle="1" w:styleId="84">
    <w:name w:val="HTML 预设格式 字符"/>
    <w:link w:val="44"/>
    <w:uiPriority w:val="99"/>
    <w:rPr>
      <w:rFonts w:ascii="Courier New" w:hAnsi="Courier New" w:cs="Courier New"/>
      <w:kern w:val="2"/>
    </w:rPr>
  </w:style>
  <w:style w:type="character" w:customStyle="1" w:styleId="85">
    <w:name w:val="普通(网站) 字符"/>
    <w:link w:val="45"/>
    <w:uiPriority w:val="0"/>
    <w:rPr>
      <w:rFonts w:ascii="Century Gothic" w:hAnsi="Century Gothic" w:cs="Arial"/>
      <w:sz w:val="18"/>
      <w:szCs w:val="18"/>
      <w:shd w:val="clear" w:color="auto" w:fill="FFFFFF"/>
    </w:rPr>
  </w:style>
  <w:style w:type="character" w:customStyle="1" w:styleId="86">
    <w:name w:val="标题 字符1"/>
    <w:link w:val="46"/>
    <w:uiPriority w:val="0"/>
    <w:rPr>
      <w:rFonts w:ascii="Cambria" w:hAnsi="Cambria" w:cs="Times New Roman"/>
      <w:b/>
      <w:bCs/>
      <w:kern w:val="2"/>
      <w:sz w:val="32"/>
      <w:szCs w:val="32"/>
    </w:rPr>
  </w:style>
  <w:style w:type="character" w:customStyle="1" w:styleId="87">
    <w:name w:val="批注主题 字符"/>
    <w:link w:val="47"/>
    <w:uiPriority w:val="0"/>
    <w:rPr>
      <w:rFonts w:eastAsia="宋体"/>
      <w:b/>
      <w:bCs/>
      <w:kern w:val="2"/>
      <w:sz w:val="21"/>
      <w:lang w:val="en-US" w:eastAsia="zh-CN" w:bidi="ar-SA"/>
    </w:rPr>
  </w:style>
  <w:style w:type="character" w:customStyle="1" w:styleId="88">
    <w:name w:val="正文文本首行缩进 字符"/>
    <w:link w:val="48"/>
    <w:uiPriority w:val="0"/>
    <w:rPr>
      <w:kern w:val="2"/>
      <w:sz w:val="21"/>
      <w:szCs w:val="24"/>
    </w:rPr>
  </w:style>
  <w:style w:type="character" w:customStyle="1" w:styleId="89">
    <w:name w:val="正文文本首行缩进 2 字符"/>
    <w:link w:val="49"/>
    <w:qFormat/>
    <w:uiPriority w:val="99"/>
    <w:rPr>
      <w:rFonts w:eastAsia="方正书宋简体"/>
      <w:kern w:val="2"/>
      <w:sz w:val="21"/>
      <w:lang w:val="en-US" w:eastAsia="zh-CN" w:bidi="ar-SA"/>
    </w:rPr>
  </w:style>
  <w:style w:type="character" w:customStyle="1" w:styleId="90">
    <w:name w:val="H4 Char1"/>
    <w:aliases w:val="heading 4 Char1,h4 Char1,PIM 4 Char1,bullet Char1,bl Char1,bb Char1,H41 Char1,H42 Char1,H43 Char1,H44 Char1,H45 Char1,H46 Char1,H47 Char1,H48 Char1,H49 Char1,H410 Char1,H411 Char1,H421 Char1,H431 Char1,H441 Char1,H451 Char1,H461 Char1,H412 Char"/>
    <w:uiPriority w:val="0"/>
    <w:rPr>
      <w:rFonts w:ascii="MS Sans Serif" w:hAnsi="仿宋_GB2312" w:eastAsia="MS Sans Serif" w:cs="Times New Roman"/>
      <w:snapToGrid w:val="0"/>
      <w:kern w:val="0"/>
      <w:sz w:val="24"/>
      <w:szCs w:val="20"/>
    </w:rPr>
  </w:style>
  <w:style w:type="character" w:customStyle="1" w:styleId="91">
    <w:name w:val="font11"/>
    <w:qFormat/>
    <w:uiPriority w:val="0"/>
    <w:rPr>
      <w:rFonts w:hint="eastAsia" w:ascii="仿宋_GB2312" w:eastAsia="仿宋_GB2312" w:cs="仿宋_GB2312"/>
      <w:color w:val="000000"/>
      <w:sz w:val="24"/>
      <w:szCs w:val="24"/>
      <w:u w:val="none"/>
    </w:rPr>
  </w:style>
  <w:style w:type="character" w:customStyle="1" w:styleId="92">
    <w:name w:val="文档结构图 Char Char"/>
    <w:link w:val="93"/>
    <w:uiPriority w:val="0"/>
    <w:rPr>
      <w:rFonts w:ascii="Tahoma" w:hAnsi="Tahoma"/>
      <w:sz w:val="16"/>
      <w:szCs w:val="16"/>
    </w:rPr>
  </w:style>
  <w:style w:type="paragraph" w:customStyle="1" w:styleId="93">
    <w:name w:val="文档结构图1"/>
    <w:basedOn w:val="1"/>
    <w:link w:val="92"/>
    <w:uiPriority w:val="0"/>
    <w:rPr>
      <w:rFonts w:ascii="Tahoma" w:hAnsi="Tahoma"/>
      <w:kern w:val="0"/>
      <w:sz w:val="16"/>
      <w:szCs w:val="16"/>
    </w:rPr>
  </w:style>
  <w:style w:type="character" w:customStyle="1" w:styleId="94">
    <w:name w:val="标题 Char Char"/>
    <w:uiPriority w:val="0"/>
    <w:rPr>
      <w:rFonts w:ascii="Cambria" w:hAnsi="Cambria" w:eastAsia="宋体" w:cs="Times New Roman"/>
      <w:b/>
      <w:bCs/>
      <w:sz w:val="32"/>
      <w:szCs w:val="32"/>
    </w:rPr>
  </w:style>
  <w:style w:type="character" w:customStyle="1" w:styleId="95">
    <w:name w:val="tx_news9"/>
    <w:uiPriority w:val="0"/>
    <w:rPr>
      <w:rFonts w:ascii="Times New Roman" w:hAnsi="Times New Roman" w:eastAsia="宋体" w:cs="Times New Roman"/>
    </w:rPr>
  </w:style>
  <w:style w:type="character" w:customStyle="1" w:styleId="96">
    <w:name w:val="副标题 字符"/>
    <w:uiPriority w:val="0"/>
    <w:rPr>
      <w:rFonts w:ascii="等线 Light" w:hAnsi="等线 Light" w:cs="Times New Roman"/>
      <w:b/>
      <w:bCs/>
      <w:kern w:val="28"/>
      <w:sz w:val="32"/>
      <w:szCs w:val="32"/>
    </w:rPr>
  </w:style>
  <w:style w:type="character" w:customStyle="1" w:styleId="97">
    <w:name w:val="标题 4 Char Char"/>
    <w:uiPriority w:val="0"/>
    <w:rPr>
      <w:rFonts w:ascii="Times New Roman" w:hAnsi="Times New Roman" w:eastAsia="宋体" w:cs="Times New Roman"/>
      <w:sz w:val="24"/>
      <w:szCs w:val="20"/>
    </w:rPr>
  </w:style>
  <w:style w:type="character" w:customStyle="1" w:styleId="98">
    <w:name w:val="pagename"/>
    <w:uiPriority w:val="0"/>
  </w:style>
  <w:style w:type="character" w:customStyle="1" w:styleId="99">
    <w:name w:val="font31"/>
    <w:qFormat/>
    <w:uiPriority w:val="0"/>
    <w:rPr>
      <w:rFonts w:hint="eastAsia" w:ascii="宋体" w:hAnsi="宋体" w:eastAsia="宋体" w:cs="宋体"/>
      <w:b/>
      <w:color w:val="000000"/>
      <w:sz w:val="20"/>
      <w:szCs w:val="20"/>
      <w:u w:val="none"/>
    </w:rPr>
  </w:style>
  <w:style w:type="character" w:customStyle="1" w:styleId="100">
    <w:name w:val="正文2 Char Char"/>
    <w:link w:val="101"/>
    <w:qFormat/>
    <w:uiPriority w:val="0"/>
    <w:rPr>
      <w:kern w:val="2"/>
      <w:sz w:val="24"/>
    </w:rPr>
  </w:style>
  <w:style w:type="paragraph" w:customStyle="1" w:styleId="101">
    <w:name w:val="正文2"/>
    <w:basedOn w:val="1"/>
    <w:link w:val="100"/>
    <w:qFormat/>
    <w:uiPriority w:val="0"/>
    <w:pPr>
      <w:spacing w:before="156" w:line="360" w:lineRule="auto"/>
      <w:ind w:firstLine="510" w:firstLineChars="200"/>
    </w:pPr>
    <w:rPr>
      <w:sz w:val="24"/>
    </w:rPr>
  </w:style>
  <w:style w:type="character" w:customStyle="1" w:styleId="102">
    <w:name w:val="批注框文本 字符"/>
    <w:uiPriority w:val="0"/>
    <w:rPr>
      <w:rFonts w:ascii="Calibri" w:hAnsi="Calibri" w:eastAsia="宋体" w:cs="Times New Roman"/>
      <w:kern w:val="2"/>
      <w:sz w:val="18"/>
      <w:szCs w:val="18"/>
    </w:rPr>
  </w:style>
  <w:style w:type="character" w:customStyle="1" w:styleId="103">
    <w:name w:val="List Paragraph Char"/>
    <w:aliases w:val="列出段落 Char,编号 Char,列出段落12 Char,列出段落4 Char,正文段落1 Char,符号列表 Char,1.2.3标题 Char,lp1 Char,符号1.1（天云科技） Char,Bullet List Char,FooterText Char,numbered Char,Paragraphe de liste1 Char,List Char,List1 Char,列出段落11 Char,列出段落111 Char,一级列表(1) Char"/>
    <w:link w:val="104"/>
    <w:qFormat/>
    <w:locked/>
    <w:uiPriority w:val="0"/>
    <w:rPr>
      <w:kern w:val="2"/>
      <w:sz w:val="21"/>
      <w:szCs w:val="24"/>
    </w:rPr>
  </w:style>
  <w:style w:type="paragraph" w:customStyle="1" w:styleId="104">
    <w:name w:val="列出段落12"/>
    <w:basedOn w:val="1"/>
    <w:link w:val="103"/>
    <w:qFormat/>
    <w:uiPriority w:val="0"/>
    <w:pPr>
      <w:ind w:firstLine="420" w:firstLineChars="200"/>
    </w:pPr>
    <w:rPr>
      <w:szCs w:val="24"/>
    </w:rPr>
  </w:style>
  <w:style w:type="character" w:customStyle="1" w:styleId="105">
    <w:name w:val="m_51"/>
    <w:uiPriority w:val="0"/>
  </w:style>
  <w:style w:type="character" w:customStyle="1" w:styleId="106">
    <w:name w:val="正文文本缩进 字符1"/>
    <w:uiPriority w:val="0"/>
    <w:rPr>
      <w:rFonts w:eastAsia="方正书宋简体"/>
      <w:kern w:val="2"/>
      <w:sz w:val="24"/>
      <w:lang w:val="en-US" w:eastAsia="zh-CN" w:bidi="ar-SA"/>
    </w:rPr>
  </w:style>
  <w:style w:type="character" w:customStyle="1" w:styleId="107">
    <w:name w:val="批注文字 Char Char"/>
    <w:uiPriority w:val="0"/>
    <w:rPr>
      <w:rFonts w:ascii="Calibri" w:hAnsi="Calibri" w:eastAsia="宋体" w:cs="Times New Roman"/>
    </w:rPr>
  </w:style>
  <w:style w:type="character" w:customStyle="1" w:styleId="108">
    <w:name w:val="Char Char Char Char Char Char1"/>
    <w:uiPriority w:val="0"/>
    <w:rPr>
      <w:rFonts w:ascii="宋体" w:hAnsi="Courier New"/>
      <w:kern w:val="2"/>
      <w:sz w:val="24"/>
      <w:szCs w:val="24"/>
    </w:rPr>
  </w:style>
  <w:style w:type="character" w:customStyle="1" w:styleId="109">
    <w:name w:val="标准文本 Char Char"/>
    <w:link w:val="110"/>
    <w:uiPriority w:val="0"/>
    <w:rPr>
      <w:rFonts w:ascii="Arial" w:hAnsi="Arial"/>
      <w:sz w:val="24"/>
    </w:rPr>
  </w:style>
  <w:style w:type="paragraph" w:customStyle="1" w:styleId="110">
    <w:name w:val="标准文本"/>
    <w:basedOn w:val="1"/>
    <w:link w:val="109"/>
    <w:uiPriority w:val="0"/>
    <w:pPr>
      <w:spacing w:line="360" w:lineRule="auto"/>
      <w:ind w:firstLine="480" w:firstLineChars="200"/>
    </w:pPr>
    <w:rPr>
      <w:rFonts w:ascii="Arial" w:hAnsi="Arial"/>
      <w:kern w:val="0"/>
      <w:sz w:val="24"/>
    </w:rPr>
  </w:style>
  <w:style w:type="character" w:customStyle="1" w:styleId="111">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ascii="Arial" w:hAnsi="Arial" w:eastAsia="宋体" w:cs="Times New Roman"/>
      <w:b/>
      <w:bCs/>
      <w:sz w:val="32"/>
      <w:szCs w:val="32"/>
    </w:rPr>
  </w:style>
  <w:style w:type="character" w:customStyle="1" w:styleId="112">
    <w:name w:val="批注框文本 Char Char"/>
    <w:uiPriority w:val="0"/>
    <w:rPr>
      <w:rFonts w:ascii="Calibri" w:hAnsi="Calibri" w:eastAsia="宋体" w:cs="Times New Roman"/>
      <w:sz w:val="16"/>
      <w:szCs w:val="16"/>
    </w:rPr>
  </w:style>
  <w:style w:type="character" w:customStyle="1" w:styleId="113">
    <w:name w:val="标题 1 Char Char"/>
    <w:uiPriority w:val="0"/>
    <w:rPr>
      <w:rFonts w:eastAsia="宋体"/>
      <w:b/>
      <w:spacing w:val="-2"/>
      <w:sz w:val="24"/>
      <w:lang w:val="en-US" w:eastAsia="zh-CN" w:bidi="ar-SA"/>
    </w:rPr>
  </w:style>
  <w:style w:type="character" w:customStyle="1" w:styleId="114">
    <w:name w:val="页脚 Char Char"/>
    <w:uiPriority w:val="0"/>
    <w:rPr>
      <w:rFonts w:ascii="Calibri" w:hAnsi="Calibri" w:eastAsia="宋体" w:cs="Times New Roman"/>
      <w:sz w:val="18"/>
      <w:szCs w:val="18"/>
    </w:rPr>
  </w:style>
  <w:style w:type="character" w:customStyle="1" w:styleId="115">
    <w:name w:val="m_491"/>
    <w:uiPriority w:val="0"/>
  </w:style>
  <w:style w:type="character" w:customStyle="1" w:styleId="116">
    <w:name w:val="c_title1"/>
    <w:uiPriority w:val="0"/>
    <w:rPr>
      <w:rFonts w:hint="eastAsia" w:ascii="黑体" w:hAnsi="Times New Roman" w:eastAsia="黑体" w:cs="Times New Roman"/>
      <w:color w:val="03005C"/>
      <w:sz w:val="30"/>
      <w:szCs w:val="30"/>
      <w:u w:val="none"/>
    </w:rPr>
  </w:style>
  <w:style w:type="character" w:customStyle="1" w:styleId="117">
    <w:name w:val="Char Char21"/>
    <w:uiPriority w:val="0"/>
    <w:rPr>
      <w:rFonts w:eastAsia="Century Gothic"/>
      <w:b/>
      <w:bCs/>
      <w:kern w:val="44"/>
      <w:sz w:val="32"/>
      <w:szCs w:val="44"/>
      <w:lang w:val="en-US" w:eastAsia="zh-CN" w:bidi="ar-SA"/>
    </w:rPr>
  </w:style>
  <w:style w:type="character" w:customStyle="1" w:styleId="118">
    <w:name w:val="page number"/>
    <w:uiPriority w:val="0"/>
    <w:rPr>
      <w:rFonts w:ascii="Times New Roman" w:hAnsi="Times New Roman" w:eastAsia="宋体" w:cs="Times New Roman"/>
    </w:rPr>
  </w:style>
  <w:style w:type="character" w:customStyle="1" w:styleId="119">
    <w:name w:val="批注引用1"/>
    <w:uiPriority w:val="0"/>
    <w:rPr>
      <w:sz w:val="21"/>
      <w:szCs w:val="21"/>
    </w:rPr>
  </w:style>
  <w:style w:type="character" w:customStyle="1" w:styleId="120">
    <w:name w:val="font81"/>
    <w:uiPriority w:val="0"/>
    <w:rPr>
      <w:rFonts w:hint="eastAsia" w:ascii="宋体" w:hAnsi="宋体" w:eastAsia="宋体" w:cs="宋体"/>
      <w:color w:val="99CC00"/>
      <w:sz w:val="21"/>
      <w:szCs w:val="21"/>
      <w:u w:val="none"/>
    </w:rPr>
  </w:style>
  <w:style w:type="character" w:customStyle="1" w:styleId="121">
    <w:name w:val="maintxt11"/>
    <w:uiPriority w:val="0"/>
    <w:rPr>
      <w:rFonts w:hint="default" w:ascii="Arial" w:hAnsi="Arial" w:eastAsia="宋体" w:cs="Arial"/>
      <w:color w:val="000000"/>
      <w:sz w:val="18"/>
      <w:szCs w:val="18"/>
    </w:rPr>
  </w:style>
  <w:style w:type="character" w:customStyle="1" w:styleId="122">
    <w:name w:val="纯文本 字符"/>
    <w:qFormat/>
    <w:uiPriority w:val="0"/>
    <w:rPr>
      <w:rFonts w:ascii="宋体" w:hAnsi="Courier New"/>
      <w:kern w:val="2"/>
      <w:sz w:val="24"/>
      <w:szCs w:val="24"/>
    </w:rPr>
  </w:style>
  <w:style w:type="character" w:customStyle="1" w:styleId="123">
    <w:name w:val="m_391"/>
    <w:uiPriority w:val="0"/>
  </w:style>
  <w:style w:type="character" w:customStyle="1" w:styleId="124">
    <w:name w:val="tpc_content1"/>
    <w:uiPriority w:val="0"/>
    <w:rPr>
      <w:sz w:val="20"/>
      <w:szCs w:val="20"/>
    </w:rPr>
  </w:style>
  <w:style w:type="character" w:customStyle="1" w:styleId="125">
    <w:name w:val="apple-style-span"/>
    <w:uiPriority w:val="0"/>
  </w:style>
  <w:style w:type="character" w:customStyle="1" w:styleId="126">
    <w:name w:val="正文文本缩进 2 Char Char"/>
    <w:uiPriority w:val="0"/>
    <w:rPr>
      <w:rFonts w:ascii="宋体" w:eastAsia="宋体"/>
      <w:kern w:val="2"/>
      <w:sz w:val="24"/>
      <w:lang w:val="en-US" w:eastAsia="zh-CN" w:bidi="ar-SA"/>
    </w:rPr>
  </w:style>
  <w:style w:type="character" w:customStyle="1" w:styleId="127">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uiPriority w:val="0"/>
    <w:rPr>
      <w:rFonts w:ascii="Century Gothic" w:hAnsi="楷体_GB2312" w:eastAsia="Century Gothic" w:cs="楷体_GB2312"/>
      <w:kern w:val="2"/>
      <w:sz w:val="21"/>
      <w:szCs w:val="21"/>
      <w:lang w:val="en-US" w:eastAsia="zh-CN" w:bidi="ar-SA"/>
    </w:rPr>
  </w:style>
  <w:style w:type="character" w:customStyle="1" w:styleId="128">
    <w:name w:val="样式 正文1 + Times New Roman Char"/>
    <w:link w:val="129"/>
    <w:locked/>
    <w:uiPriority w:val="0"/>
    <w:rPr>
      <w:lang w:val="en-GB" w:eastAsia="en-US"/>
    </w:rPr>
  </w:style>
  <w:style w:type="paragraph" w:customStyle="1" w:styleId="129">
    <w:name w:val="样式 正文1 + Times New Roman"/>
    <w:basedOn w:val="1"/>
    <w:link w:val="128"/>
    <w:uiPriority w:val="0"/>
    <w:pPr>
      <w:widowControl/>
      <w:spacing w:line="360" w:lineRule="auto"/>
      <w:ind w:firstLine="200" w:firstLineChars="200"/>
    </w:pPr>
    <w:rPr>
      <w:kern w:val="0"/>
      <w:sz w:val="20"/>
      <w:lang w:val="en-GB" w:eastAsia="en-US"/>
    </w:rPr>
  </w:style>
  <w:style w:type="character" w:customStyle="1" w:styleId="130">
    <w:name w:val="文档结构图 字符"/>
    <w:qFormat/>
    <w:uiPriority w:val="0"/>
    <w:rPr>
      <w:rFonts w:ascii="宋体" w:hAnsi="Calibri" w:cs="Times New Roman"/>
      <w:kern w:val="2"/>
      <w:sz w:val="18"/>
      <w:szCs w:val="18"/>
    </w:rPr>
  </w:style>
  <w:style w:type="character" w:customStyle="1" w:styleId="131">
    <w:name w:val="Char Char121"/>
    <w:uiPriority w:val="0"/>
    <w:rPr>
      <w:rFonts w:ascii="Century Gothic" w:hAnsi="楷体_GB2312" w:eastAsia="Century Gothic" w:cs="楷体_GB2312"/>
      <w:kern w:val="2"/>
      <w:sz w:val="21"/>
      <w:szCs w:val="21"/>
      <w:lang w:val="en-US" w:eastAsia="zh-CN" w:bidi="ar-SA"/>
    </w:rPr>
  </w:style>
  <w:style w:type="character" w:customStyle="1" w:styleId="132">
    <w:name w:val="标题 3 Char Char"/>
    <w:uiPriority w:val="0"/>
    <w:rPr>
      <w:rFonts w:ascii="Times New Roman" w:hAnsi="Times New Roman" w:eastAsia="宋体" w:cs="Times New Roman"/>
      <w:kern w:val="0"/>
      <w:sz w:val="24"/>
      <w:szCs w:val="20"/>
    </w:rPr>
  </w:style>
  <w:style w:type="character" w:customStyle="1" w:styleId="133">
    <w:name w:val="正文首行缩进 2 Char"/>
    <w:qFormat/>
    <w:uiPriority w:val="99"/>
    <w:rPr>
      <w:rFonts w:eastAsia="方正书宋简体"/>
      <w:kern w:val="2"/>
      <w:sz w:val="21"/>
      <w:lang w:val="en-US" w:eastAsia="zh-CN" w:bidi="ar-SA"/>
    </w:rPr>
  </w:style>
  <w:style w:type="character" w:customStyle="1" w:styleId="134">
    <w:name w:val="style1"/>
    <w:uiPriority w:val="0"/>
  </w:style>
  <w:style w:type="character" w:customStyle="1" w:styleId="135">
    <w:name w:val="bulletintext1"/>
    <w:uiPriority w:val="0"/>
    <w:rPr>
      <w:color w:val="000000"/>
      <w:sz w:val="18"/>
    </w:rPr>
  </w:style>
  <w:style w:type="character" w:customStyle="1" w:styleId="136">
    <w:name w:val="纯文本 Char1"/>
    <w:uiPriority w:val="0"/>
    <w:rPr>
      <w:rFonts w:ascii="宋体" w:hAnsi="Courier New" w:eastAsia="宋体"/>
      <w:sz w:val="24"/>
      <w:szCs w:val="24"/>
    </w:rPr>
  </w:style>
  <w:style w:type="character" w:customStyle="1" w:styleId="137">
    <w:name w:val="正文文本缩进 Char Char"/>
    <w:uiPriority w:val="0"/>
    <w:rPr>
      <w:kern w:val="2"/>
      <w:sz w:val="21"/>
      <w:szCs w:val="24"/>
    </w:rPr>
  </w:style>
  <w:style w:type="character" w:customStyle="1" w:styleId="138">
    <w:name w:val="H4 Char"/>
    <w:aliases w:val="heading 4 Char,h4 Char,PIM 4 Char,bullet Char,bl Char,bb Char,H41 Char,H42 Char,H43 Char,H44 Char,H45 Char,H46 Char,H47 Char,H48 Char,H49 Char,H410 Char,H411 Char,H421 Char,H431 Char,H441 Char,H451 Char,H461 Char,H471 Char,H481 Char,H491 Char"/>
    <w:uiPriority w:val="0"/>
    <w:rPr>
      <w:rFonts w:ascii="Arial" w:hAnsi="Arial" w:eastAsia="黑体" w:cs="Times New Roman"/>
      <w:b/>
      <w:bCs/>
      <w:sz w:val="28"/>
      <w:szCs w:val="28"/>
    </w:rPr>
  </w:style>
  <w:style w:type="character" w:customStyle="1" w:styleId="139">
    <w:name w:val="font14zd"/>
    <w:uiPriority w:val="0"/>
  </w:style>
  <w:style w:type="character" w:customStyle="1" w:styleId="140">
    <w:name w:val="标题 1 Char Char Char"/>
    <w:uiPriority w:val="0"/>
    <w:rPr>
      <w:rFonts w:eastAsia="宋体"/>
      <w:b/>
      <w:spacing w:val="-2"/>
      <w:sz w:val="24"/>
      <w:lang w:val="en-US" w:eastAsia="zh-CN" w:bidi="ar-SA"/>
    </w:rPr>
  </w:style>
  <w:style w:type="character" w:customStyle="1" w:styleId="141">
    <w:name w:val="页眉 字符"/>
    <w:uiPriority w:val="0"/>
    <w:rPr>
      <w:sz w:val="18"/>
      <w:szCs w:val="18"/>
    </w:rPr>
  </w:style>
  <w:style w:type="character" w:customStyle="1" w:styleId="142">
    <w:name w:val="bookmark-item"/>
    <w:uiPriority w:val="0"/>
  </w:style>
  <w:style w:type="character" w:customStyle="1" w:styleId="143">
    <w:name w:val="font01"/>
    <w:qFormat/>
    <w:uiPriority w:val="0"/>
    <w:rPr>
      <w:rFonts w:hint="eastAsia" w:ascii="微软雅黑" w:hAnsi="微软雅黑" w:eastAsia="微软雅黑" w:cs="微软雅黑"/>
      <w:b/>
      <w:color w:val="000000"/>
      <w:sz w:val="15"/>
      <w:szCs w:val="15"/>
      <w:u w:val="none"/>
    </w:rPr>
  </w:style>
  <w:style w:type="character" w:customStyle="1" w:styleId="144">
    <w:name w:val="页眉 Char Char"/>
    <w:uiPriority w:val="0"/>
    <w:rPr>
      <w:rFonts w:ascii="Calibri" w:hAnsi="Calibri" w:eastAsia="宋体" w:cs="Times New Roman"/>
      <w:sz w:val="18"/>
      <w:szCs w:val="18"/>
    </w:rPr>
  </w:style>
  <w:style w:type="character" w:customStyle="1" w:styleId="145">
    <w:name w:val="三级目录"/>
    <w:uiPriority w:val="0"/>
    <w:rPr>
      <w:rFonts w:hint="default" w:ascii="宋体" w:hAnsi="宋体"/>
      <w:b/>
      <w:bCs/>
      <w:sz w:val="23"/>
    </w:rPr>
  </w:style>
  <w:style w:type="character" w:customStyle="1" w:styleId="146">
    <w:name w:val="批注文字 Char1"/>
    <w:uiPriority w:val="0"/>
    <w:rPr>
      <w:rFonts w:ascii="Times New Roman" w:hAnsi="Times New Roman" w:eastAsia="宋体" w:cs="Times New Roman"/>
      <w:szCs w:val="24"/>
    </w:rPr>
  </w:style>
  <w:style w:type="character" w:customStyle="1" w:styleId="147">
    <w:name w:val="font21"/>
    <w:qFormat/>
    <w:uiPriority w:val="0"/>
    <w:rPr>
      <w:rFonts w:hint="eastAsia" w:ascii="仿宋_GB2312" w:eastAsia="仿宋_GB2312" w:cs="仿宋_GB2312"/>
      <w:color w:val="000000"/>
      <w:sz w:val="24"/>
      <w:szCs w:val="24"/>
      <w:u w:val="none"/>
    </w:rPr>
  </w:style>
  <w:style w:type="character" w:customStyle="1" w:styleId="148">
    <w:name w:val="zbggtop11 style5"/>
    <w:uiPriority w:val="0"/>
  </w:style>
  <w:style w:type="character" w:customStyle="1" w:styleId="149">
    <w:name w:val="纯文本 字符1"/>
    <w:aliases w:val="普通文字 Char 字符1,普通文字 Char Char 字符1,普通文字 Char Char Char Char 字符1,普通文字 字符1,纯文本 Char Char Char Char Char Char Char Char Char Char Char Char Char 字符1,正 文 1 字符1,小 字符1,普通文字1 字符1,普通文字2 字符1,普通文字3 字符1,普通文字4 字符1,普通文字5 字符1,普通文字6 字符1,普通文字11 字符1,普通文字21 字符1"/>
    <w:qFormat/>
    <w:locked/>
    <w:uiPriority w:val="0"/>
    <w:rPr>
      <w:rFonts w:ascii="宋体" w:hAnsi="Courier New"/>
    </w:rPr>
  </w:style>
  <w:style w:type="character" w:customStyle="1" w:styleId="150">
    <w:name w:val="font91"/>
    <w:uiPriority w:val="0"/>
    <w:rPr>
      <w:rFonts w:hint="default" w:ascii="Times New Roman" w:hAnsi="Times New Roman" w:eastAsia="宋体" w:cs="Times New Roman"/>
      <w:color w:val="99CC00"/>
      <w:sz w:val="21"/>
      <w:szCs w:val="21"/>
      <w:u w:val="none"/>
    </w:rPr>
  </w:style>
  <w:style w:type="character" w:styleId="151">
    <w:name w:val=""/>
    <w:unhideWhenUsed/>
    <w:uiPriority w:val="99"/>
    <w:rPr>
      <w:color w:val="605E5C"/>
      <w:shd w:val="clear" w:color="auto" w:fill="E1DFDD"/>
    </w:rPr>
  </w:style>
  <w:style w:type="character" w:customStyle="1" w:styleId="152">
    <w:name w:val="m_461"/>
    <w:uiPriority w:val="0"/>
  </w:style>
  <w:style w:type="character" w:customStyle="1" w:styleId="153">
    <w:name w:val="zbggmain style9"/>
    <w:uiPriority w:val="0"/>
    <w:rPr>
      <w:rFonts w:ascii="Courier New" w:eastAsia="Courier New"/>
      <w:b/>
      <w:kern w:val="2"/>
      <w:sz w:val="32"/>
      <w:szCs w:val="32"/>
      <w:lang w:val="en-US" w:eastAsia="zh-CN" w:bidi="ar-SA"/>
    </w:rPr>
  </w:style>
  <w:style w:type="character" w:customStyle="1" w:styleId="154">
    <w:name w:val="font61"/>
    <w:qFormat/>
    <w:uiPriority w:val="0"/>
    <w:rPr>
      <w:rFonts w:hint="eastAsia" w:ascii="宋体" w:hAnsi="宋体" w:eastAsia="宋体" w:cs="宋体"/>
      <w:color w:val="444445"/>
      <w:sz w:val="18"/>
      <w:szCs w:val="18"/>
      <w:u w:val="none"/>
    </w:rPr>
  </w:style>
  <w:style w:type="character" w:customStyle="1" w:styleId="155">
    <w:name w:val="font41"/>
    <w:qFormat/>
    <w:uiPriority w:val="0"/>
    <w:rPr>
      <w:rFonts w:hint="eastAsia" w:ascii="微软雅黑" w:hAnsi="微软雅黑" w:eastAsia="微软雅黑" w:cs="微软雅黑"/>
      <w:b/>
      <w:color w:val="000000"/>
      <w:sz w:val="18"/>
      <w:szCs w:val="18"/>
      <w:u w:val="none"/>
    </w:rPr>
  </w:style>
  <w:style w:type="character" w:customStyle="1" w:styleId="156">
    <w:name w:val="Char Char18"/>
    <w:uiPriority w:val="0"/>
    <w:rPr>
      <w:rFonts w:ascii="Arial" w:hAnsi="Arial" w:eastAsia="Century Gothic" w:cs="Times New Roman"/>
      <w:b/>
      <w:bCs/>
      <w:kern w:val="44"/>
      <w:sz w:val="44"/>
      <w:szCs w:val="44"/>
    </w:rPr>
  </w:style>
  <w:style w:type="character" w:customStyle="1" w:styleId="157">
    <w:name w:val="Char Char Char"/>
    <w:uiPriority w:val="0"/>
    <w:rPr>
      <w:rFonts w:ascii="Courier New" w:eastAsia="Courier New"/>
      <w:color w:val="FF0000"/>
      <w:kern w:val="2"/>
      <w:sz w:val="24"/>
      <w:szCs w:val="24"/>
      <w:u w:val="single"/>
      <w:lang w:val="en-US" w:eastAsia="zh-CN" w:bidi="ar-SA"/>
    </w:rPr>
  </w:style>
  <w:style w:type="character" w:customStyle="1" w:styleId="158">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159">
    <w:name w:val="段 Char Char"/>
    <w:link w:val="160"/>
    <w:uiPriority w:val="0"/>
    <w:rPr>
      <w:rFonts w:ascii="宋体"/>
      <w:sz w:val="21"/>
      <w:lang w:val="en-US" w:eastAsia="zh-CN" w:bidi="ar-SA"/>
    </w:rPr>
  </w:style>
  <w:style w:type="paragraph" w:customStyle="1" w:styleId="160">
    <w:name w:val="段"/>
    <w:link w:val="159"/>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character" w:customStyle="1" w:styleId="161">
    <w:name w:val="标题 1 字符"/>
    <w:uiPriority w:val="0"/>
    <w:rPr>
      <w:rFonts w:ascii="宋体" w:eastAsia="宋体"/>
      <w:b/>
      <w:bCs/>
      <w:kern w:val="2"/>
      <w:sz w:val="28"/>
      <w:lang w:val="en-US" w:eastAsia="zh-CN" w:bidi="ar-SA"/>
    </w:rPr>
  </w:style>
  <w:style w:type="character" w:customStyle="1" w:styleId="162">
    <w:name w:val="尾注文本 字符"/>
    <w:semiHidden/>
    <w:uiPriority w:val="0"/>
    <w:rPr>
      <w:kern w:val="2"/>
      <w:sz w:val="21"/>
    </w:rPr>
  </w:style>
  <w:style w:type="character" w:customStyle="1" w:styleId="163">
    <w:name w:val="font121"/>
    <w:uiPriority w:val="0"/>
    <w:rPr>
      <w:rFonts w:hint="eastAsia" w:ascii="宋体" w:hAnsi="宋体" w:eastAsia="宋体" w:cs="宋体"/>
      <w:color w:val="FF0000"/>
      <w:sz w:val="21"/>
      <w:szCs w:val="21"/>
      <w:u w:val="none"/>
    </w:rPr>
  </w:style>
  <w:style w:type="character" w:customStyle="1" w:styleId="164">
    <w:name w:val="正文文本缩进 字符"/>
    <w:uiPriority w:val="0"/>
    <w:rPr>
      <w:rFonts w:ascii="Calibri" w:hAnsi="Calibri" w:eastAsia="宋体" w:cs="Times New Roman"/>
      <w:kern w:val="2"/>
      <w:sz w:val="21"/>
      <w:szCs w:val="24"/>
    </w:rPr>
  </w:style>
  <w:style w:type="character" w:customStyle="1" w:styleId="165">
    <w:name w:val="正文标准 Char Char"/>
    <w:link w:val="166"/>
    <w:uiPriority w:val="0"/>
    <w:rPr>
      <w:rFonts w:ascii="Arial" w:hAnsi="Arial"/>
      <w:sz w:val="24"/>
      <w:szCs w:val="21"/>
    </w:rPr>
  </w:style>
  <w:style w:type="paragraph" w:customStyle="1" w:styleId="166">
    <w:name w:val="正文标准"/>
    <w:basedOn w:val="1"/>
    <w:link w:val="165"/>
    <w:uiPriority w:val="0"/>
    <w:pPr>
      <w:spacing w:beforeLines="50"/>
      <w:ind w:firstLine="200" w:firstLineChars="200"/>
    </w:pPr>
    <w:rPr>
      <w:rFonts w:ascii="Arial" w:hAnsi="Arial"/>
      <w:kern w:val="0"/>
      <w:sz w:val="24"/>
      <w:szCs w:val="21"/>
    </w:rPr>
  </w:style>
  <w:style w:type="character" w:customStyle="1" w:styleId="167">
    <w:name w:val="font51"/>
    <w:qFormat/>
    <w:uiPriority w:val="0"/>
    <w:rPr>
      <w:rFonts w:hint="eastAsia" w:ascii="宋体" w:hAnsi="宋体" w:eastAsia="宋体" w:cs="宋体"/>
      <w:color w:val="000000"/>
      <w:sz w:val="18"/>
      <w:szCs w:val="18"/>
      <w:u w:val="none"/>
    </w:rPr>
  </w:style>
  <w:style w:type="character" w:customStyle="1" w:styleId="168">
    <w:name w:val="样式1 Char Char"/>
    <w:link w:val="169"/>
    <w:qFormat/>
    <w:uiPriority w:val="0"/>
    <w:rPr>
      <w:rFonts w:ascii="宋体" w:hAnsi="宋体"/>
      <w:color w:val="222222"/>
      <w:sz w:val="28"/>
      <w:szCs w:val="28"/>
    </w:rPr>
  </w:style>
  <w:style w:type="paragraph" w:customStyle="1" w:styleId="169">
    <w:name w:val="样式1"/>
    <w:basedOn w:val="1"/>
    <w:link w:val="168"/>
    <w:uiPriority w:val="0"/>
    <w:pPr>
      <w:spacing w:line="360" w:lineRule="auto"/>
      <w:ind w:firstLine="560" w:firstLineChars="200"/>
    </w:pPr>
    <w:rPr>
      <w:rFonts w:ascii="宋体" w:hAnsi="宋体"/>
      <w:color w:val="222222"/>
      <w:kern w:val="0"/>
      <w:sz w:val="28"/>
      <w:szCs w:val="28"/>
    </w:rPr>
  </w:style>
  <w:style w:type="character" w:customStyle="1" w:styleId="170">
    <w:name w:val="列表段落 字符"/>
    <w:link w:val="171"/>
    <w:qFormat/>
    <w:uiPriority w:val="34"/>
    <w:rPr>
      <w:kern w:val="2"/>
      <w:sz w:val="21"/>
    </w:rPr>
  </w:style>
  <w:style w:type="paragraph" w:styleId="171">
    <w:name w:val="List Paragraph"/>
    <w:basedOn w:val="1"/>
    <w:link w:val="170"/>
    <w:qFormat/>
    <w:uiPriority w:val="34"/>
    <w:pPr>
      <w:ind w:firstLine="420" w:firstLineChars="200"/>
    </w:pPr>
  </w:style>
  <w:style w:type="character" w:customStyle="1" w:styleId="172">
    <w:name w:val="标题 6 Char1"/>
    <w:aliases w:val="H6 Char1,H61 Char1,H62 Char1,PIM 6 Char1,L1 Heading 6 Char1,h6 Char1,l6 Char1,hsm Char1,submodule heading Char1,Legal Level 1. Char1,Bullet list Char1,6 Char1,BOD 4 Char1,分段格式 Char1,cnp Char1,Caption number (page-wide) Char1,L6 Char1,h61 Char"/>
    <w:semiHidden/>
    <w:uiPriority w:val="1"/>
    <w:rPr>
      <w:rFonts w:ascii="Cambria" w:hAnsi="Cambria" w:eastAsia="宋体" w:cs="Times New Roman"/>
      <w:b/>
      <w:bCs/>
      <w:kern w:val="2"/>
      <w:sz w:val="24"/>
      <w:szCs w:val="24"/>
    </w:rPr>
  </w:style>
  <w:style w:type="character" w:customStyle="1" w:styleId="173">
    <w:name w:val="正文文本 Char Char"/>
    <w:uiPriority w:val="0"/>
    <w:rPr>
      <w:rFonts w:ascii="Calibri" w:hAnsi="Calibri" w:eastAsia="宋体" w:cs="Times New Roman"/>
    </w:rPr>
  </w:style>
  <w:style w:type="character" w:customStyle="1" w:styleId="174">
    <w:name w:val="标题 字符"/>
    <w:uiPriority w:val="0"/>
    <w:rPr>
      <w:rFonts w:ascii="Cambria" w:hAnsi="Cambria"/>
      <w:b/>
      <w:bCs/>
      <w:kern w:val="2"/>
      <w:sz w:val="32"/>
      <w:szCs w:val="32"/>
    </w:rPr>
  </w:style>
  <w:style w:type="character" w:customStyle="1" w:styleId="175">
    <w:name w:val="已访问的超链接1"/>
    <w:uiPriority w:val="0"/>
    <w:rPr>
      <w:color w:val="800080"/>
      <w:u w:val="single"/>
    </w:rPr>
  </w:style>
  <w:style w:type="character" w:customStyle="1" w:styleId="176">
    <w:name w:val="正文文本 3 字符"/>
    <w:semiHidden/>
    <w:uiPriority w:val="0"/>
    <w:rPr>
      <w:kern w:val="2"/>
      <w:sz w:val="16"/>
      <w:szCs w:val="16"/>
    </w:rPr>
  </w:style>
  <w:style w:type="character" w:customStyle="1" w:styleId="177">
    <w:name w:val="纯文本 Char Char"/>
    <w:uiPriority w:val="0"/>
    <w:rPr>
      <w:rFonts w:ascii="宋体" w:hAnsi="Courier New" w:cs="Courier New"/>
      <w:kern w:val="2"/>
      <w:sz w:val="21"/>
      <w:szCs w:val="21"/>
    </w:rPr>
  </w:style>
  <w:style w:type="character" w:customStyle="1" w:styleId="178">
    <w:name w:val="表格抬头 Char Char"/>
    <w:link w:val="179"/>
    <w:uiPriority w:val="0"/>
    <w:rPr>
      <w:rFonts w:ascii="黑体" w:eastAsia="黑体"/>
      <w:b/>
    </w:rPr>
  </w:style>
  <w:style w:type="paragraph" w:customStyle="1" w:styleId="179">
    <w:name w:val="表格抬头"/>
    <w:basedOn w:val="1"/>
    <w:link w:val="178"/>
    <w:uiPriority w:val="0"/>
    <w:pPr>
      <w:jc w:val="center"/>
    </w:pPr>
    <w:rPr>
      <w:rFonts w:ascii="黑体" w:eastAsia="黑体"/>
      <w:b/>
      <w:kern w:val="0"/>
      <w:sz w:val="20"/>
    </w:rPr>
  </w:style>
  <w:style w:type="character" w:customStyle="1" w:styleId="180">
    <w:name w:val="font101"/>
    <w:uiPriority w:val="0"/>
    <w:rPr>
      <w:rFonts w:hint="default" w:ascii="Calibri" w:hAnsi="Calibri" w:eastAsia="宋体" w:cs="Calibri"/>
      <w:color w:val="000000"/>
      <w:sz w:val="21"/>
      <w:szCs w:val="21"/>
      <w:u w:val="none"/>
    </w:rPr>
  </w:style>
  <w:style w:type="character" w:customStyle="1" w:styleId="181">
    <w:name w:val="m_171"/>
    <w:uiPriority w:val="0"/>
  </w:style>
  <w:style w:type="character" w:customStyle="1" w:styleId="182">
    <w:name w:val="纯文本 Char2"/>
    <w:uiPriority w:val="0"/>
    <w:rPr>
      <w:rFonts w:ascii="宋体" w:hAnsi="Courier New" w:eastAsia="宋体" w:cs="Courier New"/>
      <w:kern w:val="2"/>
      <w:sz w:val="21"/>
      <w:szCs w:val="21"/>
      <w:lang w:val="en-US" w:eastAsia="zh-CN" w:bidi="ar-SA"/>
    </w:rPr>
  </w:style>
  <w:style w:type="character" w:customStyle="1" w:styleId="183">
    <w:name w:val="BOD 0 Char"/>
    <w:aliases w:val="Level 3 Head Char,H3 Char,Heading 3 - old Char,level_3 Char,PIM 3 Char,h3 Char,sect1.2.3 Char,sect1.2.31 Char,sect1.2.32 Char,sect1.2.311 Char,sect1.2.33 Char,sect1.2.312 Char,Bold Head Char,bh Char,L3 Char,dd heading 3 Char,dh3 Char,3 Char"/>
    <w:uiPriority w:val="0"/>
    <w:rPr>
      <w:rFonts w:ascii="Calibri" w:hAnsi="Calibri" w:eastAsia="宋体" w:cs="Times New Roman"/>
      <w:b/>
      <w:bCs/>
      <w:sz w:val="32"/>
      <w:szCs w:val="32"/>
    </w:rPr>
  </w:style>
  <w:style w:type="character" w:customStyle="1" w:styleId="184">
    <w:name w:val="font111"/>
    <w:uiPriority w:val="0"/>
    <w:rPr>
      <w:rFonts w:hint="default" w:ascii="Times New Roman" w:hAnsi="Times New Roman" w:eastAsia="宋体" w:cs="Times New Roman"/>
      <w:color w:val="000000"/>
      <w:sz w:val="21"/>
      <w:szCs w:val="21"/>
      <w:u w:val="none"/>
    </w:rPr>
  </w:style>
  <w:style w:type="character" w:customStyle="1" w:styleId="185">
    <w:name w:val="副标题 Char1"/>
    <w:uiPriority w:val="0"/>
    <w:rPr>
      <w:rFonts w:ascii="Calibri Light" w:hAnsi="Calibri Light" w:eastAsia="宋体" w:cs="Times New Roman"/>
      <w:b/>
      <w:bCs/>
      <w:kern w:val="28"/>
      <w:sz w:val="32"/>
      <w:szCs w:val="32"/>
    </w:rPr>
  </w:style>
  <w:style w:type="character" w:customStyle="1" w:styleId="186">
    <w:name w:val="段 Char"/>
    <w:uiPriority w:val="0"/>
    <w:rPr>
      <w:rFonts w:ascii="宋体" w:eastAsia="宋体"/>
      <w:sz w:val="21"/>
      <w:lang w:val="en-US" w:eastAsia="zh-CN" w:bidi="ar-SA"/>
    </w:rPr>
  </w:style>
  <w:style w:type="character" w:customStyle="1" w:styleId="187">
    <w:name w:val="页脚 字符"/>
    <w:uiPriority w:val="0"/>
  </w:style>
  <w:style w:type="character" w:customStyle="1" w:styleId="188">
    <w:name w:val="Char Char12"/>
    <w:uiPriority w:val="0"/>
    <w:rPr>
      <w:rFonts w:ascii="Century Gothic" w:hAnsi="Century Gothic" w:eastAsia="Century Gothic" w:cs="Arial"/>
      <w:sz w:val="24"/>
    </w:rPr>
  </w:style>
  <w:style w:type="character" w:customStyle="1" w:styleId="189">
    <w:name w:val="批注主题 Char Char"/>
    <w:link w:val="190"/>
    <w:uiPriority w:val="0"/>
    <w:rPr>
      <w:rFonts w:ascii="Calibri" w:hAnsi="Calibri"/>
      <w:b/>
      <w:bCs/>
    </w:rPr>
  </w:style>
  <w:style w:type="paragraph" w:customStyle="1" w:styleId="190">
    <w:name w:val="批注主题1"/>
    <w:basedOn w:val="16"/>
    <w:next w:val="16"/>
    <w:link w:val="189"/>
    <w:uiPriority w:val="0"/>
    <w:rPr>
      <w:rFonts w:ascii="Calibri" w:hAnsi="Calibri"/>
      <w:b/>
      <w:bCs/>
      <w:kern w:val="0"/>
      <w:sz w:val="20"/>
    </w:rPr>
  </w:style>
  <w:style w:type="character" w:customStyle="1" w:styleId="191">
    <w:name w:val="标题 1 字符1"/>
    <w:uiPriority w:val="0"/>
    <w:rPr>
      <w:rFonts w:ascii="宋体" w:eastAsia="宋体"/>
      <w:b/>
      <w:bCs/>
      <w:kern w:val="2"/>
      <w:sz w:val="28"/>
      <w:lang w:val="en-US" w:eastAsia="zh-CN" w:bidi="ar-SA"/>
    </w:rPr>
  </w:style>
  <w:style w:type="character" w:customStyle="1" w:styleId="192">
    <w:name w:val="m_01"/>
    <w:uiPriority w:val="0"/>
  </w:style>
  <w:style w:type="character" w:customStyle="1" w:styleId="193">
    <w:name w:val="脚注文本 字符"/>
    <w:semiHidden/>
    <w:uiPriority w:val="0"/>
    <w:rPr>
      <w:kern w:val="2"/>
      <w:sz w:val="18"/>
      <w:szCs w:val="18"/>
    </w:rPr>
  </w:style>
  <w:style w:type="paragraph" w:customStyle="1" w:styleId="194">
    <w:name w:val="二级无"/>
    <w:basedOn w:val="195"/>
    <w:uiPriority w:val="0"/>
    <w:pPr>
      <w:spacing w:before="0" w:after="0"/>
    </w:pPr>
    <w:rPr>
      <w:rFonts w:ascii="宋体" w:eastAsia="宋体"/>
    </w:rPr>
  </w:style>
  <w:style w:type="paragraph" w:customStyle="1" w:styleId="195">
    <w:name w:val="二级条标题"/>
    <w:basedOn w:val="196"/>
    <w:next w:val="160"/>
    <w:uiPriority w:val="0"/>
    <w:pPr>
      <w:numPr>
        <w:ilvl w:val="0"/>
        <w:numId w:val="0"/>
      </w:numPr>
      <w:spacing w:before="50" w:after="50"/>
      <w:ind w:left="1236"/>
      <w:outlineLvl w:val="3"/>
    </w:pPr>
  </w:style>
  <w:style w:type="paragraph" w:customStyle="1" w:styleId="196">
    <w:name w:val="一级条标题"/>
    <w:next w:val="160"/>
    <w:uiPriority w:val="0"/>
    <w:pPr>
      <w:spacing w:beforeLines="50" w:afterLines="50"/>
      <w:ind w:left="824"/>
      <w:outlineLvl w:val="2"/>
    </w:pPr>
    <w:rPr>
      <w:rFonts w:ascii="黑体" w:eastAsia="黑体"/>
      <w:sz w:val="21"/>
      <w:szCs w:val="21"/>
      <w:lang w:val="en-US" w:eastAsia="zh-CN" w:bidi="ar-SA"/>
    </w:rPr>
  </w:style>
  <w:style w:type="paragraph" w:customStyle="1" w:styleId="197">
    <w:name w:val="xl72"/>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198">
    <w:name w:val="1."/>
    <w:basedOn w:val="1"/>
    <w:uiPriority w:val="0"/>
    <w:pPr>
      <w:spacing w:line="360" w:lineRule="auto"/>
      <w:ind w:firstLine="480" w:firstLineChars="200"/>
    </w:pPr>
    <w:rPr>
      <w:rFonts w:ascii="宋体" w:hAnsi="宋体"/>
      <w:sz w:val="24"/>
      <w:szCs w:val="24"/>
    </w:rPr>
  </w:style>
  <w:style w:type="paragraph" w:customStyle="1" w:styleId="199">
    <w:name w:val=" Char Char Char Char Char Char Char"/>
    <w:basedOn w:val="1"/>
    <w:uiPriority w:val="0"/>
  </w:style>
  <w:style w:type="paragraph" w:customStyle="1" w:styleId="200">
    <w:name w:val="样式5"/>
    <w:basedOn w:val="5"/>
    <w:uiPriority w:val="0"/>
    <w:pPr>
      <w:jc w:val="center"/>
    </w:pPr>
    <w:rPr>
      <w:rFonts w:ascii="Century Gothic" w:hAnsi="Century Gothic" w:eastAsia="Century Gothic"/>
      <w:sz w:val="32"/>
      <w:szCs w:val="32"/>
    </w:rPr>
  </w:style>
  <w:style w:type="paragraph" w:customStyle="1" w:styleId="20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2">
    <w:name w:val="_Style 3"/>
    <w:qFormat/>
    <w:uiPriority w:val="1"/>
    <w:pPr>
      <w:widowControl w:val="0"/>
      <w:jc w:val="both"/>
    </w:pPr>
    <w:rPr>
      <w:kern w:val="2"/>
      <w:sz w:val="21"/>
      <w:szCs w:val="22"/>
      <w:lang w:val="en-US" w:eastAsia="zh-CN" w:bidi="ar-SA"/>
    </w:rPr>
  </w:style>
  <w:style w:type="paragraph" w:customStyle="1" w:styleId="203">
    <w:name w:val="样式 标题 5 + 右侧:  -0.18 字符"/>
    <w:basedOn w:val="1"/>
    <w:uiPriority w:val="0"/>
    <w:pPr>
      <w:tabs>
        <w:tab w:val="left" w:pos="1008"/>
      </w:tabs>
      <w:ind w:left="2100" w:hanging="420"/>
    </w:pPr>
    <w:rPr>
      <w:szCs w:val="24"/>
    </w:rPr>
  </w:style>
  <w:style w:type="paragraph" w:customStyle="1" w:styleId="204">
    <w:name w:val="列出段落2"/>
    <w:basedOn w:val="1"/>
    <w:uiPriority w:val="0"/>
    <w:pPr>
      <w:ind w:firstLine="420" w:firstLineChars="200"/>
    </w:pPr>
    <w:rPr>
      <w:rFonts w:ascii="Calibri" w:hAnsi="Calibri"/>
      <w:szCs w:val="22"/>
    </w:rPr>
  </w:style>
  <w:style w:type="paragraph" w:customStyle="1" w:styleId="205">
    <w:name w:val="font1"/>
    <w:basedOn w:val="1"/>
    <w:uiPriority w:val="0"/>
    <w:pPr>
      <w:widowControl/>
      <w:spacing w:before="100" w:beforeAutospacing="1" w:after="100" w:afterAutospacing="1"/>
      <w:jc w:val="left"/>
    </w:pPr>
    <w:rPr>
      <w:rFonts w:ascii="Century Gothic" w:hAnsi="Century Gothic" w:cs="Arial"/>
      <w:kern w:val="0"/>
      <w:sz w:val="24"/>
    </w:rPr>
  </w:style>
  <w:style w:type="paragraph" w:customStyle="1" w:styleId="206">
    <w:name w:val="样式 标题 3 +"/>
    <w:basedOn w:val="4"/>
    <w:uiPriority w:val="0"/>
    <w:pPr>
      <w:jc w:val="center"/>
    </w:pPr>
    <w:rPr>
      <w:rFonts w:ascii="Calibri" w:hAnsi="Calibri"/>
      <w:kern w:val="0"/>
      <w:sz w:val="28"/>
    </w:rPr>
  </w:style>
  <w:style w:type="paragraph" w:customStyle="1" w:styleId="207">
    <w:name w:val="正文图标题"/>
    <w:next w:val="160"/>
    <w:uiPriority w:val="0"/>
    <w:pPr>
      <w:tabs>
        <w:tab w:val="left" w:pos="360"/>
      </w:tabs>
      <w:spacing w:beforeLines="50" w:afterLines="50"/>
      <w:jc w:val="center"/>
    </w:pPr>
    <w:rPr>
      <w:rFonts w:ascii="黑体" w:eastAsia="黑体"/>
      <w:sz w:val="21"/>
      <w:lang w:val="en-US" w:eastAsia="zh-CN" w:bidi="ar-SA"/>
    </w:rPr>
  </w:style>
  <w:style w:type="paragraph" w:customStyle="1" w:styleId="208">
    <w:name w:val="*Body 1"/>
    <w:uiPriority w:val="0"/>
    <w:pPr>
      <w:spacing w:after="240" w:line="360" w:lineRule="auto"/>
      <w:ind w:left="-1276" w:firstLine="454"/>
    </w:pPr>
    <w:rPr>
      <w:sz w:val="22"/>
      <w:lang w:val="en-US" w:eastAsia="en-US" w:bidi="ar-SA"/>
    </w:rPr>
  </w:style>
  <w:style w:type="paragraph" w:customStyle="1" w:styleId="209">
    <w:name w:val="正文 "/>
    <w:basedOn w:val="1"/>
    <w:qFormat/>
    <w:uiPriority w:val="0"/>
    <w:pPr>
      <w:adjustRightInd w:val="0"/>
      <w:spacing w:line="318" w:lineRule="atLeast"/>
      <w:ind w:left="369" w:firstLine="369"/>
      <w:textAlignment w:val="baseline"/>
    </w:pPr>
    <w:rPr>
      <w:rFonts w:ascii="宋体"/>
    </w:rPr>
  </w:style>
  <w:style w:type="paragraph" w:customStyle="1" w:styleId="210">
    <w:name w:val="正文文字格式"/>
    <w:basedOn w:val="1"/>
    <w:uiPriority w:val="0"/>
    <w:pPr>
      <w:spacing w:line="460" w:lineRule="exact"/>
      <w:ind w:firstLine="505"/>
      <w:jc w:val="left"/>
    </w:pPr>
    <w:rPr>
      <w:rFonts w:ascii="Century Gothic" w:hAnsi="Arial" w:cs="Arial"/>
      <w:kern w:val="24"/>
      <w:sz w:val="24"/>
    </w:rPr>
  </w:style>
  <w:style w:type="paragraph" w:customStyle="1" w:styleId="211">
    <w:name w:val="xl4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szCs w:val="24"/>
    </w:rPr>
  </w:style>
  <w:style w:type="paragraph" w:customStyle="1" w:styleId="212">
    <w:name w:val="Body Text 21"/>
    <w:basedOn w:val="1"/>
    <w:uiPriority w:val="0"/>
    <w:pPr>
      <w:adjustRightInd w:val="0"/>
      <w:spacing w:line="300" w:lineRule="auto"/>
      <w:jc w:val="center"/>
    </w:pPr>
    <w:rPr>
      <w:rFonts w:hint="eastAsia" w:ascii="Century Gothic" w:hAnsi="Century Gothic" w:cs="Arial"/>
      <w:sz w:val="24"/>
    </w:rPr>
  </w:style>
  <w:style w:type="paragraph" w:customStyle="1" w:styleId="213">
    <w:name w:val="p19"/>
    <w:basedOn w:val="1"/>
    <w:uiPriority w:val="0"/>
    <w:pPr>
      <w:widowControl/>
      <w:pBdr>
        <w:bottom w:val="single" w:color="000000" w:sz="6" w:space="1"/>
      </w:pBdr>
      <w:jc w:val="center"/>
    </w:pPr>
    <w:rPr>
      <w:rFonts w:ascii="Calibri" w:hAnsi="Calibri" w:cs="宋体"/>
      <w:kern w:val="0"/>
      <w:sz w:val="18"/>
      <w:szCs w:val="18"/>
    </w:rPr>
  </w:style>
  <w:style w:type="paragraph" w:customStyle="1" w:styleId="214">
    <w:name w:val="样式 标题 3 +1"/>
    <w:basedOn w:val="4"/>
    <w:uiPriority w:val="0"/>
    <w:pPr>
      <w:jc w:val="center"/>
    </w:pPr>
    <w:rPr>
      <w:rFonts w:ascii="Calibri" w:hAnsi="Calibri"/>
      <w:kern w:val="0"/>
      <w:sz w:val="28"/>
    </w:rPr>
  </w:style>
  <w:style w:type="paragraph" w:customStyle="1" w:styleId="215">
    <w:name w:val="xl63"/>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16">
    <w:name w:val="一级无"/>
    <w:basedOn w:val="196"/>
    <w:uiPriority w:val="0"/>
    <w:rPr>
      <w:rFonts w:ascii="宋体" w:eastAsia="宋体"/>
    </w:rPr>
  </w:style>
  <w:style w:type="paragraph" w:customStyle="1" w:styleId="217">
    <w:name w:val="p17"/>
    <w:basedOn w:val="1"/>
    <w:uiPriority w:val="0"/>
    <w:pPr>
      <w:widowControl/>
      <w:ind w:firstLine="420"/>
    </w:pPr>
    <w:rPr>
      <w:rFonts w:ascii="Calibri" w:hAnsi="Calibri" w:cs="宋体"/>
      <w:kern w:val="0"/>
      <w:szCs w:val="21"/>
    </w:rPr>
  </w:style>
  <w:style w:type="paragraph" w:customStyle="1" w:styleId="218">
    <w:name w:val="Char Char Char2 Char"/>
    <w:basedOn w:val="1"/>
    <w:uiPriority w:val="0"/>
    <w:pPr>
      <w:ind w:left="540"/>
    </w:pPr>
    <w:rPr>
      <w:szCs w:val="24"/>
    </w:rPr>
  </w:style>
  <w:style w:type="paragraph" w:customStyle="1" w:styleId="21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20">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21">
    <w:name w:val="证文"/>
    <w:basedOn w:val="1"/>
    <w:uiPriority w:val="0"/>
    <w:pPr>
      <w:spacing w:line="360" w:lineRule="auto"/>
    </w:pPr>
    <w:rPr>
      <w:sz w:val="24"/>
    </w:rPr>
  </w:style>
  <w:style w:type="paragraph" w:customStyle="1" w:styleId="222">
    <w:name w:val="Char Char Char Char1"/>
    <w:basedOn w:val="1"/>
    <w:uiPriority w:val="0"/>
    <w:pPr>
      <w:widowControl/>
      <w:spacing w:after="160" w:line="240" w:lineRule="exact"/>
      <w:jc w:val="left"/>
    </w:pPr>
    <w:rPr>
      <w:rFonts w:ascii="Verdana" w:hAnsi="Verdana"/>
      <w:kern w:val="0"/>
      <w:sz w:val="20"/>
      <w:lang w:eastAsia="en-US"/>
    </w:rPr>
  </w:style>
  <w:style w:type="paragraph" w:customStyle="1" w:styleId="223">
    <w:name w:val=" Char Char Char Char Char Char"/>
    <w:basedOn w:val="1"/>
    <w:uiPriority w:val="0"/>
    <w:pPr>
      <w:ind w:firstLine="200" w:firstLineChars="200"/>
    </w:pPr>
    <w:rPr>
      <w:rFonts w:ascii="Tahoma" w:hAnsi="Tahoma"/>
      <w:sz w:val="24"/>
    </w:rPr>
  </w:style>
  <w:style w:type="paragraph" w:customStyle="1" w:styleId="224">
    <w:name w:val="_Style 92"/>
    <w:next w:val="1"/>
    <w:uiPriority w:val="0"/>
    <w:pPr>
      <w:widowControl w:val="0"/>
      <w:jc w:val="both"/>
    </w:pPr>
    <w:rPr>
      <w:kern w:val="2"/>
      <w:sz w:val="21"/>
      <w:szCs w:val="24"/>
      <w:lang w:val="en-US" w:eastAsia="zh-CN" w:bidi="ar-SA"/>
    </w:rPr>
  </w:style>
  <w:style w:type="paragraph" w:customStyle="1" w:styleId="225">
    <w:name w:val="列出段落11"/>
    <w:basedOn w:val="1"/>
    <w:uiPriority w:val="0"/>
    <w:pPr>
      <w:ind w:firstLine="420" w:firstLineChars="200"/>
    </w:pPr>
    <w:rPr>
      <w:rFonts w:ascii="Calibri" w:hAnsi="Calibri"/>
      <w:szCs w:val="22"/>
    </w:rPr>
  </w:style>
  <w:style w:type="paragraph" w:customStyle="1" w:styleId="226">
    <w:name w:val="1"/>
    <w:next w:val="1"/>
    <w:uiPriority w:val="0"/>
    <w:pPr>
      <w:widowControl w:val="0"/>
      <w:jc w:val="both"/>
    </w:pPr>
    <w:rPr>
      <w:kern w:val="2"/>
      <w:sz w:val="21"/>
      <w:lang w:val="en-US" w:eastAsia="zh-CN" w:bidi="ar-SA"/>
    </w:rPr>
  </w:style>
  <w:style w:type="paragraph" w:customStyle="1" w:styleId="227">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28">
    <w:name w:val="Char Char Char Char"/>
    <w:basedOn w:val="1"/>
    <w:uiPriority w:val="0"/>
    <w:rPr>
      <w:rFonts w:ascii="Arial" w:hAnsi="Arial"/>
    </w:rPr>
  </w:style>
  <w:style w:type="paragraph" w:customStyle="1" w:styleId="229">
    <w:name w:val="xl66"/>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30">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31">
    <w:name w:val="_Style 1321"/>
    <w:next w:val="1"/>
    <w:uiPriority w:val="99"/>
    <w:pPr>
      <w:widowControl w:val="0"/>
      <w:jc w:val="both"/>
    </w:pPr>
    <w:rPr>
      <w:kern w:val="2"/>
      <w:sz w:val="21"/>
      <w:lang w:val="en-US" w:eastAsia="zh-CN" w:bidi="ar-SA"/>
    </w:rPr>
  </w:style>
  <w:style w:type="paragraph" w:customStyle="1" w:styleId="232">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3">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34">
    <w:name w:val="样式 标题 1 + 两端对齐"/>
    <w:basedOn w:val="3"/>
    <w:next w:val="3"/>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235">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36">
    <w:name w:val="Char21"/>
    <w:basedOn w:val="1"/>
    <w:uiPriority w:val="0"/>
    <w:rPr>
      <w:rFonts w:ascii="仿宋_GB2312" w:eastAsia="仿宋_GB2312"/>
      <w:b/>
      <w:sz w:val="32"/>
      <w:szCs w:val="32"/>
    </w:rPr>
  </w:style>
  <w:style w:type="paragraph" w:customStyle="1" w:styleId="237">
    <w:name w:val="Char1 Char Char Char"/>
    <w:basedOn w:val="1"/>
    <w:uiPriority w:val="0"/>
    <w:rPr>
      <w:rFonts w:ascii="仿宋_GB2312" w:eastAsia="仿宋_GB2312" w:cs="仿宋_GB2312"/>
      <w:b/>
      <w:bCs/>
      <w:sz w:val="32"/>
      <w:szCs w:val="32"/>
    </w:rPr>
  </w:style>
  <w:style w:type="paragraph" w:customStyle="1" w:styleId="238">
    <w:name w:val="五级条标题"/>
    <w:basedOn w:val="239"/>
    <w:next w:val="160"/>
    <w:uiPriority w:val="0"/>
    <w:pPr>
      <w:outlineLvl w:val="6"/>
    </w:pPr>
  </w:style>
  <w:style w:type="paragraph" w:customStyle="1" w:styleId="239">
    <w:name w:val="四级条标题"/>
    <w:basedOn w:val="240"/>
    <w:next w:val="160"/>
    <w:uiPriority w:val="0"/>
    <w:pPr>
      <w:outlineLvl w:val="5"/>
    </w:pPr>
  </w:style>
  <w:style w:type="paragraph" w:customStyle="1" w:styleId="240">
    <w:name w:val="三级条标题"/>
    <w:basedOn w:val="195"/>
    <w:next w:val="160"/>
    <w:uiPriority w:val="0"/>
    <w:pPr>
      <w:ind w:left="0"/>
      <w:outlineLvl w:val="4"/>
    </w:pPr>
  </w:style>
  <w:style w:type="paragraph" w:customStyle="1" w:styleId="241">
    <w:name w:val="_Style 234"/>
    <w:unhideWhenUsed/>
    <w:uiPriority w:val="99"/>
    <w:pPr>
      <w:widowControl w:val="0"/>
      <w:jc w:val="both"/>
    </w:pPr>
    <w:rPr>
      <w:kern w:val="2"/>
      <w:sz w:val="21"/>
      <w:lang w:val="en-US" w:eastAsia="zh-CN" w:bidi="ar-SA"/>
    </w:rPr>
  </w:style>
  <w:style w:type="paragraph" w:customStyle="1" w:styleId="242">
    <w:name w:val="p20"/>
    <w:basedOn w:val="1"/>
    <w:uiPriority w:val="0"/>
    <w:pPr>
      <w:widowControl/>
      <w:ind w:firstLine="420"/>
    </w:pPr>
    <w:rPr>
      <w:rFonts w:ascii="Calibri" w:hAnsi="Calibri" w:cs="宋体"/>
      <w:kern w:val="0"/>
      <w:szCs w:val="21"/>
    </w:rPr>
  </w:style>
  <w:style w:type="paragraph" w:customStyle="1" w:styleId="243">
    <w:name w:val="List Paragraph1"/>
    <w:basedOn w:val="1"/>
    <w:uiPriority w:val="0"/>
    <w:pPr>
      <w:ind w:firstLine="420" w:firstLineChars="200"/>
    </w:pPr>
    <w:rPr>
      <w:rFonts w:ascii="Calibri" w:hAnsi="Calibri"/>
      <w:szCs w:val="22"/>
    </w:rPr>
  </w:style>
  <w:style w:type="paragraph" w:customStyle="1" w:styleId="244">
    <w:name w:val="xl73"/>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45">
    <w:name w:val="_Style 213"/>
    <w:uiPriority w:val="99"/>
    <w:pPr>
      <w:widowControl w:val="0"/>
      <w:jc w:val="both"/>
    </w:pPr>
    <w:rPr>
      <w:kern w:val="2"/>
      <w:sz w:val="21"/>
      <w:lang w:val="en-US" w:eastAsia="zh-CN" w:bidi="ar-SA"/>
    </w:rPr>
  </w:style>
  <w:style w:type="paragraph" w:customStyle="1" w:styleId="246">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247">
    <w:name w:val="修订1"/>
    <w:semiHidden/>
    <w:uiPriority w:val="99"/>
    <w:rPr>
      <w:kern w:val="2"/>
      <w:sz w:val="21"/>
      <w:lang w:val="en-US" w:eastAsia="zh-CN" w:bidi="ar-SA"/>
    </w:rPr>
  </w:style>
  <w:style w:type="paragraph" w:customStyle="1" w:styleId="248">
    <w:name w:val=" Char Char Char Char Char Char Char Char Char Char Char Char1 Char"/>
    <w:basedOn w:val="15"/>
    <w:uiPriority w:val="0"/>
    <w:rPr>
      <w:rFonts w:ascii="Tahoma" w:hAnsi="Tahoma"/>
      <w:sz w:val="24"/>
      <w:szCs w:val="24"/>
      <w:lang w:val="en-US" w:eastAsia="zh-CN"/>
    </w:rPr>
  </w:style>
  <w:style w:type="paragraph" w:customStyle="1" w:styleId="249">
    <w:name w:val="Char Char Char1 Char8"/>
    <w:basedOn w:val="1"/>
    <w:unhideWhenUsed/>
    <w:uiPriority w:val="99"/>
    <w:pPr>
      <w:spacing w:line="360" w:lineRule="auto"/>
      <w:ind w:firstLine="200" w:firstLineChars="200"/>
    </w:pPr>
    <w:rPr>
      <w:rFonts w:hint="eastAsia" w:ascii="宋体" w:hAnsi="宋体"/>
      <w:sz w:val="24"/>
    </w:rPr>
  </w:style>
  <w:style w:type="paragraph" w:customStyle="1" w:styleId="250">
    <w:name w:val="_Style 141"/>
    <w:next w:val="1"/>
    <w:unhideWhenUsed/>
    <w:uiPriority w:val="99"/>
    <w:pPr>
      <w:widowControl w:val="0"/>
      <w:jc w:val="both"/>
    </w:pPr>
    <w:rPr>
      <w:kern w:val="2"/>
      <w:sz w:val="21"/>
      <w:lang w:val="en-US" w:eastAsia="zh-CN" w:bidi="ar-SA"/>
    </w:rPr>
  </w:style>
  <w:style w:type="paragraph" w:customStyle="1" w:styleId="251">
    <w:name w:val="样式 表格正文 + 两端对齐"/>
    <w:basedOn w:val="1"/>
    <w:uiPriority w:val="0"/>
    <w:pPr>
      <w:spacing w:line="300" w:lineRule="auto"/>
    </w:pPr>
    <w:rPr>
      <w:sz w:val="24"/>
    </w:rPr>
  </w:style>
  <w:style w:type="paragraph" w:customStyle="1" w:styleId="252">
    <w:name w:val="普通(网站)1"/>
    <w:basedOn w:val="1"/>
    <w:uiPriority w:val="0"/>
    <w:pPr>
      <w:widowControl/>
      <w:spacing w:before="100" w:beforeAutospacing="1" w:after="100" w:afterAutospacing="1"/>
      <w:jc w:val="left"/>
    </w:pPr>
    <w:rPr>
      <w:rFonts w:ascii="宋体" w:hAnsi="宋体"/>
      <w:kern w:val="0"/>
      <w:sz w:val="24"/>
      <w:szCs w:val="24"/>
    </w:rPr>
  </w:style>
  <w:style w:type="paragraph" w:customStyle="1" w:styleId="253">
    <w:name w:val="_Style 1"/>
    <w:basedOn w:val="1"/>
    <w:uiPriority w:val="0"/>
    <w:pPr>
      <w:ind w:firstLine="420" w:firstLineChars="200"/>
    </w:pPr>
    <w:rPr>
      <w:rFonts w:ascii="Calibri" w:hAnsi="Calibri"/>
      <w:szCs w:val="22"/>
    </w:rPr>
  </w:style>
  <w:style w:type="paragraph" w:customStyle="1" w:styleId="254">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255">
    <w:name w:val="List Paragraph"/>
    <w:basedOn w:val="1"/>
    <w:uiPriority w:val="0"/>
    <w:pPr>
      <w:ind w:firstLine="420" w:firstLineChars="200"/>
    </w:pPr>
    <w:rPr>
      <w:rFonts w:ascii="Calibri" w:hAnsi="Calibri" w:cs="Calibri"/>
      <w:szCs w:val="24"/>
    </w:rPr>
  </w:style>
  <w:style w:type="paragraph" w:customStyle="1" w:styleId="256">
    <w:name w:val="地址内"/>
    <w:basedOn w:val="1"/>
    <w:uiPriority w:val="0"/>
  </w:style>
  <w:style w:type="paragraph" w:customStyle="1" w:styleId="257">
    <w:name w:val="Blockquote"/>
    <w:basedOn w:val="1"/>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58">
    <w:name w:val="xl3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5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60">
    <w:name w:val="此正文"/>
    <w:basedOn w:val="1"/>
    <w:uiPriority w:val="0"/>
    <w:pPr>
      <w:spacing w:line="360" w:lineRule="auto"/>
      <w:ind w:firstLine="200" w:firstLineChars="200"/>
    </w:pPr>
    <w:rPr>
      <w:sz w:val="24"/>
      <w:szCs w:val="24"/>
    </w:rPr>
  </w:style>
  <w:style w:type="paragraph" w:customStyle="1" w:styleId="261">
    <w:name w:val="列出段落1"/>
    <w:basedOn w:val="1"/>
    <w:qFormat/>
    <w:uiPriority w:val="0"/>
    <w:pPr>
      <w:ind w:firstLine="420" w:firstLineChars="200"/>
    </w:pPr>
    <w:rPr>
      <w:rFonts w:ascii="Calibri" w:hAnsi="Calibri"/>
      <w:szCs w:val="22"/>
    </w:rPr>
  </w:style>
  <w:style w:type="paragraph" w:customStyle="1" w:styleId="262">
    <w:name w:val="Char Char Char Char Char Char Char Char"/>
    <w:basedOn w:val="1"/>
    <w:uiPriority w:val="0"/>
    <w:pPr>
      <w:tabs>
        <w:tab w:val="left" w:pos="360"/>
      </w:tabs>
    </w:pPr>
    <w:rPr>
      <w:rFonts w:ascii="Calibri" w:hAnsi="Calibri"/>
    </w:rPr>
  </w:style>
  <w:style w:type="paragraph" w:customStyle="1" w:styleId="263">
    <w:name w:val="--规划正文"/>
    <w:basedOn w:val="1"/>
    <w:uiPriority w:val="0"/>
    <w:pPr>
      <w:widowControl/>
      <w:suppressAutoHyphens/>
      <w:spacing w:line="360" w:lineRule="auto"/>
      <w:ind w:firstLine="200"/>
      <w:jc w:val="left"/>
    </w:pPr>
    <w:rPr>
      <w:kern w:val="1"/>
    </w:rPr>
  </w:style>
  <w:style w:type="paragraph" w:customStyle="1" w:styleId="264">
    <w:name w:val="正文文本 21"/>
    <w:basedOn w:val="1"/>
    <w:uiPriority w:val="0"/>
    <w:pPr>
      <w:adjustRightInd w:val="0"/>
      <w:spacing w:line="300" w:lineRule="auto"/>
      <w:jc w:val="center"/>
    </w:pPr>
    <w:rPr>
      <w:rFonts w:hint="eastAsia" w:ascii="Century Gothic" w:hAnsi="Century Gothic"/>
      <w:sz w:val="24"/>
    </w:rPr>
  </w:style>
  <w:style w:type="paragraph" w:customStyle="1" w:styleId="26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266">
    <w:name w:val="其他发布日期"/>
    <w:basedOn w:val="1"/>
    <w:uiPriority w:val="0"/>
    <w:pPr>
      <w:widowControl/>
      <w:jc w:val="left"/>
    </w:pPr>
    <w:rPr>
      <w:rFonts w:eastAsia="黑体"/>
      <w:kern w:val="0"/>
      <w:sz w:val="28"/>
    </w:rPr>
  </w:style>
  <w:style w:type="paragraph" w:styleId="267">
    <w:name w:val=""/>
    <w:semiHidden/>
    <w:uiPriority w:val="99"/>
    <w:rPr>
      <w:kern w:val="2"/>
      <w:sz w:val="21"/>
      <w:lang w:val="en-US" w:eastAsia="zh-CN" w:bidi="ar-SA"/>
    </w:rPr>
  </w:style>
  <w:style w:type="paragraph" w:customStyle="1" w:styleId="268">
    <w:name w:val=" Char2"/>
    <w:basedOn w:val="1"/>
    <w:uiPriority w:val="0"/>
    <w:rPr>
      <w:rFonts w:ascii="仿宋_GB2312" w:eastAsia="仿宋_GB2312"/>
      <w:b/>
      <w:sz w:val="32"/>
      <w:szCs w:val="32"/>
    </w:rPr>
  </w:style>
  <w:style w:type="paragraph" w:styleId="269">
    <w:name w:val=""/>
    <w:basedOn w:val="2"/>
    <w:next w:val="1"/>
    <w:qFormat/>
    <w:uiPriority w:val="0"/>
    <w:pPr>
      <w:keepLines/>
      <w:widowControl/>
      <w:spacing w:before="480" w:line="276" w:lineRule="auto"/>
      <w:jc w:val="left"/>
      <w:outlineLvl w:val="9"/>
    </w:pPr>
    <w:rPr>
      <w:rFonts w:ascii="Cambria" w:hAnsi="Cambria"/>
      <w:color w:val="365F91"/>
      <w:kern w:val="0"/>
      <w:szCs w:val="28"/>
    </w:rPr>
  </w:style>
  <w:style w:type="paragraph" w:customStyle="1" w:styleId="270">
    <w:name w:val="Char Char Char Char Char Char Char"/>
    <w:basedOn w:val="1"/>
    <w:uiPriority w:val="0"/>
    <w:pPr>
      <w:tabs>
        <w:tab w:val="left" w:pos="432"/>
      </w:tabs>
      <w:ind w:left="432" w:hanging="432"/>
    </w:pPr>
    <w:rPr>
      <w:rFonts w:ascii="Tahoma" w:hAnsi="Tahoma"/>
      <w:sz w:val="24"/>
    </w:rPr>
  </w:style>
  <w:style w:type="paragraph" w:customStyle="1" w:styleId="271">
    <w:name w:val="Char2"/>
    <w:basedOn w:val="1"/>
    <w:uiPriority w:val="0"/>
    <w:rPr>
      <w:rFonts w:ascii="Courier New" w:hAnsi="Arial" w:eastAsia="Courier New" w:cs="Arial"/>
      <w:b/>
      <w:sz w:val="32"/>
      <w:szCs w:val="32"/>
    </w:rPr>
  </w:style>
  <w:style w:type="paragraph" w:customStyle="1" w:styleId="272">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xl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274">
    <w:name w:val="xl3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75">
    <w:name w:val="标书标题4"/>
    <w:basedOn w:val="5"/>
    <w:uiPriority w:val="0"/>
    <w:pPr>
      <w:adjustRightInd w:val="0"/>
      <w:snapToGrid w:val="0"/>
      <w:spacing w:before="0" w:after="0" w:line="300" w:lineRule="auto"/>
    </w:pPr>
    <w:rPr>
      <w:rFonts w:ascii="MS Sans Serif" w:hAnsi="仿宋_GB2312" w:eastAsia="Courier New"/>
      <w:bCs w:val="0"/>
      <w:color w:val="000000"/>
      <w:kern w:val="0"/>
      <w:szCs w:val="32"/>
    </w:rPr>
  </w:style>
  <w:style w:type="paragraph" w:customStyle="1" w:styleId="276">
    <w:name w:val="xl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7">
    <w:name w:val="xl6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8">
    <w:name w:val="正文段"/>
    <w:basedOn w:val="1"/>
    <w:uiPriority w:val="0"/>
    <w:pPr>
      <w:widowControl/>
      <w:snapToGrid w:val="0"/>
      <w:spacing w:afterLines="50"/>
      <w:ind w:firstLine="200" w:firstLineChars="200"/>
    </w:pPr>
    <w:rPr>
      <w:rFonts w:ascii="Arial" w:hAnsi="Arial" w:cs="Arial"/>
      <w:kern w:val="0"/>
      <w:sz w:val="24"/>
    </w:rPr>
  </w:style>
  <w:style w:type="paragraph" w:customStyle="1" w:styleId="279">
    <w:name w:val="font6"/>
    <w:basedOn w:val="1"/>
    <w:uiPriority w:val="0"/>
    <w:pPr>
      <w:widowControl/>
      <w:spacing w:before="100" w:beforeAutospacing="1" w:after="100" w:afterAutospacing="1"/>
      <w:jc w:val="left"/>
    </w:pPr>
    <w:rPr>
      <w:rFonts w:ascii="Arial" w:hAnsi="Arial" w:cs="Arial"/>
      <w:kern w:val="0"/>
      <w:sz w:val="18"/>
      <w:szCs w:val="18"/>
    </w:rPr>
  </w:style>
  <w:style w:type="paragraph" w:customStyle="1" w:styleId="280">
    <w:name w:val="_Style 27"/>
    <w:next w:val="1"/>
    <w:uiPriority w:val="0"/>
    <w:pPr>
      <w:widowControl w:val="0"/>
      <w:jc w:val="both"/>
    </w:pPr>
    <w:rPr>
      <w:kern w:val="2"/>
      <w:sz w:val="21"/>
      <w:szCs w:val="24"/>
      <w:lang w:val="en-US" w:eastAsia="zh-CN" w:bidi="ar-SA"/>
    </w:rPr>
  </w:style>
  <w:style w:type="paragraph" w:customStyle="1" w:styleId="281">
    <w:name w:val="章标题"/>
    <w:next w:val="160"/>
    <w:uiPriority w:val="0"/>
    <w:pPr>
      <w:spacing w:beforeLines="100" w:afterLines="100"/>
      <w:jc w:val="both"/>
      <w:outlineLvl w:val="1"/>
    </w:pPr>
    <w:rPr>
      <w:rFonts w:ascii="黑体" w:eastAsia="黑体"/>
      <w:sz w:val="21"/>
      <w:lang w:val="en-US" w:eastAsia="zh-CN" w:bidi="ar-SA"/>
    </w:rPr>
  </w:style>
  <w:style w:type="paragraph" w:customStyle="1" w:styleId="282">
    <w:name w:val="Char3 Char Char Char"/>
    <w:basedOn w:val="1"/>
    <w:uiPriority w:val="0"/>
    <w:pPr>
      <w:widowControl/>
      <w:spacing w:after="160" w:line="240" w:lineRule="exact"/>
      <w:jc w:val="left"/>
    </w:pPr>
    <w:rPr>
      <w:rFonts w:ascii="Arial" w:hAnsi="Arial" w:cs="Arial"/>
    </w:rPr>
  </w:style>
  <w:style w:type="paragraph" w:customStyle="1" w:styleId="28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84">
    <w:name w:val=" Char1 Char Char Char"/>
    <w:basedOn w:val="1"/>
    <w:uiPriority w:val="0"/>
    <w:pPr>
      <w:tabs>
        <w:tab w:val="left" w:pos="840"/>
      </w:tabs>
      <w:ind w:left="840" w:hanging="420"/>
    </w:pPr>
    <w:rPr>
      <w:sz w:val="24"/>
      <w:szCs w:val="24"/>
    </w:rPr>
  </w:style>
  <w:style w:type="paragraph" w:customStyle="1" w:styleId="285">
    <w:name w:val="xl3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86">
    <w:name w:val="big"/>
    <w:basedOn w:val="1"/>
    <w:uiPriority w:val="0"/>
    <w:pPr>
      <w:widowControl/>
      <w:spacing w:before="100" w:beforeAutospacing="1" w:after="100" w:afterAutospacing="1"/>
      <w:jc w:val="left"/>
    </w:pPr>
    <w:rPr>
      <w:rFonts w:ascii="宋体" w:hAnsi="宋体"/>
      <w:kern w:val="0"/>
      <w:sz w:val="24"/>
      <w:szCs w:val="24"/>
    </w:rPr>
  </w:style>
  <w:style w:type="paragraph" w:customStyle="1" w:styleId="287">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88">
    <w:name w:val="Table Paragraph"/>
    <w:basedOn w:val="1"/>
    <w:qFormat/>
    <w:uiPriority w:val="1"/>
    <w:pPr>
      <w:autoSpaceDE w:val="0"/>
      <w:autoSpaceDN w:val="0"/>
      <w:adjustRightInd w:val="0"/>
      <w:jc w:val="left"/>
    </w:pPr>
    <w:rPr>
      <w:kern w:val="0"/>
      <w:sz w:val="24"/>
      <w:szCs w:val="24"/>
    </w:rPr>
  </w:style>
  <w:style w:type="paragraph" w:customStyle="1" w:styleId="28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90">
    <w:name w:val="标书标题3"/>
    <w:basedOn w:val="4"/>
    <w:uiPriority w:val="0"/>
    <w:pPr>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291">
    <w:name w:val="_Style 132"/>
    <w:next w:val="1"/>
    <w:uiPriority w:val="99"/>
    <w:pPr>
      <w:widowControl w:val="0"/>
      <w:jc w:val="both"/>
    </w:pPr>
    <w:rPr>
      <w:kern w:val="2"/>
      <w:sz w:val="21"/>
      <w:lang w:val="en-US" w:eastAsia="zh-CN" w:bidi="ar-SA"/>
    </w:rPr>
  </w:style>
  <w:style w:type="paragraph" w:customStyle="1" w:styleId="29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93">
    <w:name w:val=" Char1"/>
    <w:basedOn w:val="1"/>
    <w:uiPriority w:val="0"/>
    <w:rPr>
      <w:rFonts w:ascii="Tahoma" w:hAnsi="Tahoma"/>
      <w:sz w:val="24"/>
    </w:rPr>
  </w:style>
  <w:style w:type="paragraph" w:customStyle="1" w:styleId="294">
    <w:name w:val="自由格式 A"/>
    <w:uiPriority w:val="0"/>
    <w:rPr>
      <w:rFonts w:ascii="Helvetica" w:hAnsi="Helvetica" w:eastAsia="ヒラギノ角ゴ Pro W3"/>
      <w:color w:val="000000"/>
      <w:sz w:val="24"/>
      <w:lang w:val="en-US" w:eastAsia="zh-CN" w:bidi="ar-SA"/>
    </w:rPr>
  </w:style>
  <w:style w:type="paragraph" w:customStyle="1" w:styleId="295">
    <w:name w:val="小节"/>
    <w:basedOn w:val="4"/>
    <w:uiPriority w:val="0"/>
    <w:pPr>
      <w:spacing w:before="200" w:after="200" w:line="560" w:lineRule="exact"/>
      <w:jc w:val="left"/>
    </w:pPr>
    <w:rPr>
      <w:rFonts w:ascii="Century Gothic" w:hAnsi="Century Gothic"/>
      <w:bCs w:val="0"/>
      <w:color w:val="000000"/>
      <w:spacing w:val="10"/>
      <w:kern w:val="24"/>
      <w:sz w:val="28"/>
    </w:rPr>
  </w:style>
  <w:style w:type="paragraph" w:customStyle="1" w:styleId="296">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7">
    <w:name w:val="Char"/>
    <w:basedOn w:val="1"/>
    <w:uiPriority w:val="0"/>
    <w:rPr>
      <w:rFonts w:ascii="Arial" w:hAnsi="Arial" w:cs="Arial"/>
      <w:szCs w:val="24"/>
    </w:rPr>
  </w:style>
  <w:style w:type="paragraph" w:customStyle="1" w:styleId="298">
    <w:name w:val=" Char"/>
    <w:basedOn w:val="1"/>
    <w:uiPriority w:val="0"/>
    <w:rPr>
      <w:rFonts w:ascii="仿宋_GB2312"/>
      <w:b/>
      <w:sz w:val="32"/>
    </w:rPr>
  </w:style>
  <w:style w:type="paragraph" w:customStyle="1" w:styleId="299">
    <w:name w:val="p0"/>
    <w:basedOn w:val="1"/>
    <w:qFormat/>
    <w:uiPriority w:val="0"/>
    <w:pPr>
      <w:widowControl/>
    </w:pPr>
    <w:rPr>
      <w:rFonts w:ascii="Calibri" w:hAnsi="Calibri" w:cs="宋体"/>
      <w:kern w:val="0"/>
      <w:szCs w:val="21"/>
    </w:rPr>
  </w:style>
  <w:style w:type="paragraph" w:customStyle="1" w:styleId="30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301">
    <w:name w:val="表内文字"/>
    <w:basedOn w:val="1"/>
    <w:uiPriority w:val="0"/>
    <w:pPr>
      <w:tabs>
        <w:tab w:val="left" w:pos="2866"/>
      </w:tabs>
      <w:spacing w:before="156" w:beforeLines="50" w:after="156" w:afterLines="50" w:line="400" w:lineRule="exact"/>
      <w:jc w:val="center"/>
    </w:pPr>
    <w:rPr>
      <w:rFonts w:ascii="宋体" w:hAnsi="宋体"/>
      <w:spacing w:val="-20"/>
      <w:kern w:val="0"/>
      <w:szCs w:val="21"/>
    </w:rPr>
  </w:style>
  <w:style w:type="paragraph" w:customStyle="1" w:styleId="302">
    <w:name w:val="目次、标准名称标题"/>
    <w:basedOn w:val="1"/>
    <w:next w:val="160"/>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03">
    <w:name w:val="四级无"/>
    <w:basedOn w:val="1"/>
    <w:uiPriority w:val="0"/>
    <w:pPr>
      <w:widowControl/>
      <w:tabs>
        <w:tab w:val="left" w:pos="2551"/>
      </w:tabs>
      <w:ind w:left="2551" w:hanging="850"/>
      <w:jc w:val="left"/>
      <w:outlineLvl w:val="5"/>
    </w:pPr>
    <w:rPr>
      <w:rFonts w:ascii="宋体"/>
      <w:kern w:val="0"/>
      <w:szCs w:val="21"/>
    </w:rPr>
  </w:style>
  <w:style w:type="paragraph" w:customStyle="1" w:styleId="304">
    <w:name w:val="Char Char Char Char Char Char"/>
    <w:basedOn w:val="1"/>
    <w:uiPriority w:val="0"/>
    <w:pPr>
      <w:widowControl/>
      <w:ind w:firstLine="200" w:firstLineChars="200"/>
      <w:jc w:val="left"/>
    </w:pPr>
    <w:rPr>
      <w:rFonts w:ascii="Tahoma" w:hAnsi="Tahoma" w:cs="宋体"/>
      <w:kern w:val="0"/>
      <w:sz w:val="24"/>
    </w:rPr>
  </w:style>
  <w:style w:type="paragraph" w:customStyle="1" w:styleId="305">
    <w:name w:val="正文1"/>
    <w:basedOn w:val="1"/>
    <w:qFormat/>
    <w:uiPriority w:val="0"/>
    <w:pPr>
      <w:tabs>
        <w:tab w:val="left" w:pos="306"/>
      </w:tabs>
      <w:spacing w:line="360" w:lineRule="auto"/>
      <w:ind w:left="306" w:hanging="360"/>
      <w:jc w:val="left"/>
    </w:pPr>
    <w:rPr>
      <w:rFonts w:ascii="宋体" w:hAnsi="宋体"/>
      <w:spacing w:val="4"/>
      <w:sz w:val="18"/>
    </w:rPr>
  </w:style>
  <w:style w:type="paragraph" w:customStyle="1" w:styleId="306">
    <w:name w:val="标书标题2"/>
    <w:basedOn w:val="3"/>
    <w:uiPriority w:val="0"/>
    <w:pPr>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307">
    <w:name w:val="正文首行缩进1"/>
    <w:basedOn w:val="1"/>
    <w:uiPriority w:val="0"/>
    <w:pPr>
      <w:autoSpaceDE w:val="0"/>
      <w:autoSpaceDN w:val="0"/>
      <w:adjustRightInd w:val="0"/>
      <w:snapToGrid w:val="0"/>
      <w:spacing w:line="360" w:lineRule="auto"/>
      <w:ind w:firstLine="425"/>
    </w:pPr>
    <w:rPr>
      <w:rFonts w:ascii="Calibri" w:hAnsi="Calibri"/>
      <w:kern w:val="0"/>
      <w:sz w:val="20"/>
    </w:rPr>
  </w:style>
  <w:style w:type="paragraph" w:customStyle="1" w:styleId="308">
    <w:name w:val="默认段落字体 Para Char Char Char Char Char Char Char Char Char1 Char Char Char Char"/>
    <w:basedOn w:val="1"/>
    <w:uiPriority w:val="0"/>
    <w:rPr>
      <w:rFonts w:ascii="Tahoma" w:hAnsi="Tahoma"/>
      <w:sz w:val="24"/>
    </w:rPr>
  </w:style>
  <w:style w:type="paragraph" w:customStyle="1" w:styleId="309">
    <w:name w:val="Plain Text"/>
    <w:uiPriority w:val="0"/>
    <w:pPr>
      <w:spacing w:before="156" w:beforeLines="50" w:after="156" w:afterLines="50" w:line="400" w:lineRule="exact"/>
    </w:pPr>
    <w:rPr>
      <w:rFonts w:ascii="宋体" w:hAnsi="Courier New"/>
      <w:kern w:val="2"/>
      <w:sz w:val="24"/>
      <w:szCs w:val="24"/>
      <w:lang w:val="en-US" w:eastAsia="zh-CN" w:bidi="ar-SA"/>
    </w:rPr>
  </w:style>
  <w:style w:type="paragraph" w:customStyle="1" w:styleId="310">
    <w:name w:val="列出段落111"/>
    <w:basedOn w:val="1"/>
    <w:qFormat/>
    <w:uiPriority w:val="0"/>
    <w:pPr>
      <w:ind w:firstLine="420" w:firstLineChars="200"/>
    </w:pPr>
    <w:rPr>
      <w:rFonts w:ascii="Calibri" w:hAnsi="Calibri"/>
      <w:szCs w:val="22"/>
    </w:rPr>
  </w:style>
  <w:style w:type="paragraph" w:customStyle="1" w:styleId="311">
    <w:name w:val="p21"/>
    <w:basedOn w:val="1"/>
    <w:uiPriority w:val="0"/>
    <w:pPr>
      <w:widowControl/>
      <w:jc w:val="left"/>
    </w:pPr>
    <w:rPr>
      <w:rFonts w:ascii="Calibri" w:hAnsi="Calibri" w:cs="宋体"/>
      <w:kern w:val="0"/>
      <w:sz w:val="18"/>
      <w:szCs w:val="18"/>
    </w:rPr>
  </w:style>
  <w:style w:type="paragraph" w:customStyle="1" w:styleId="31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13">
    <w:name w:val="正文表标题"/>
    <w:next w:val="160"/>
    <w:uiPriority w:val="0"/>
    <w:pPr>
      <w:tabs>
        <w:tab w:val="left" w:pos="360"/>
        <w:tab w:val="left" w:pos="846"/>
      </w:tabs>
      <w:spacing w:beforeLines="50" w:afterLines="50"/>
      <w:ind w:left="846" w:hanging="420"/>
      <w:jc w:val="center"/>
    </w:pPr>
    <w:rPr>
      <w:rFonts w:ascii="黑体" w:eastAsia="黑体"/>
      <w:sz w:val="21"/>
      <w:lang w:val="en-US" w:eastAsia="zh-CN" w:bidi="ar-SA"/>
    </w:rPr>
  </w:style>
  <w:style w:type="paragraph" w:customStyle="1" w:styleId="314">
    <w:name w:val="p16"/>
    <w:basedOn w:val="1"/>
    <w:uiPriority w:val="0"/>
    <w:pPr>
      <w:widowControl/>
      <w:ind w:firstLine="420"/>
    </w:pPr>
    <w:rPr>
      <w:rFonts w:ascii="Calibri" w:hAnsi="Calibri" w:cs="宋体"/>
      <w:kern w:val="0"/>
      <w:szCs w:val="21"/>
    </w:rPr>
  </w:style>
  <w:style w:type="paragraph" w:customStyle="1" w:styleId="315">
    <w:name w:val="正文缩进1"/>
    <w:basedOn w:val="1"/>
    <w:uiPriority w:val="0"/>
    <w:pPr>
      <w:ind w:firstLine="420" w:firstLineChars="200"/>
    </w:pPr>
    <w:rPr>
      <w:rFonts w:ascii="Calibri" w:hAnsi="Calibri"/>
      <w:szCs w:val="22"/>
    </w:rPr>
  </w:style>
  <w:style w:type="paragraph" w:customStyle="1" w:styleId="316">
    <w:name w:val="p18"/>
    <w:basedOn w:val="1"/>
    <w:uiPriority w:val="0"/>
    <w:pPr>
      <w:widowControl/>
      <w:ind w:firstLine="420"/>
    </w:pPr>
    <w:rPr>
      <w:rFonts w:ascii="Calibri" w:hAnsi="Calibri" w:cs="宋体"/>
      <w:kern w:val="0"/>
      <w:szCs w:val="21"/>
    </w:rPr>
  </w:style>
  <w:style w:type="paragraph" w:customStyle="1" w:styleId="317">
    <w:name w:val="xl38"/>
    <w:basedOn w:val="1"/>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318">
    <w:name w:val="Char1"/>
    <w:basedOn w:val="1"/>
    <w:uiPriority w:val="0"/>
    <w:rPr>
      <w:szCs w:val="24"/>
    </w:rPr>
  </w:style>
  <w:style w:type="paragraph" w:customStyle="1" w:styleId="319">
    <w:name w:val="font5"/>
    <w:basedOn w:val="1"/>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320">
    <w:name w:val="xl27"/>
    <w:basedOn w:val="1"/>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321">
    <w:name w:val="p15"/>
    <w:basedOn w:val="1"/>
    <w:uiPriority w:val="0"/>
    <w:pPr>
      <w:widowControl/>
      <w:snapToGrid w:val="0"/>
      <w:spacing w:line="360" w:lineRule="auto"/>
      <w:ind w:firstLine="420"/>
      <w:jc w:val="left"/>
    </w:pPr>
    <w:rPr>
      <w:rFonts w:ascii="Arial" w:hAnsi="Arial" w:cs="Arial"/>
      <w:kern w:val="0"/>
      <w:sz w:val="24"/>
      <w:szCs w:val="24"/>
    </w:rPr>
  </w:style>
  <w:style w:type="paragraph" w:customStyle="1" w:styleId="322">
    <w:name w:val="表格文字"/>
    <w:basedOn w:val="1"/>
    <w:uiPriority w:val="0"/>
    <w:pPr>
      <w:adjustRightInd w:val="0"/>
      <w:spacing w:line="360" w:lineRule="auto"/>
      <w:ind w:firstLine="200" w:firstLineChars="200"/>
      <w:jc w:val="left"/>
      <w:textAlignment w:val="baseline"/>
    </w:pPr>
    <w:rPr>
      <w:rFonts w:ascii="Arial" w:hAnsi="Arial"/>
      <w:kern w:val="0"/>
      <w:sz w:val="24"/>
    </w:rPr>
  </w:style>
  <w:style w:type="paragraph" w:customStyle="1" w:styleId="32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theme/theme1.xml" Type="http://schemas.openxmlformats.org/officeDocument/2006/relationships/theme"/><Relationship Id="rId14" Target="media/image1.png" Type="http://schemas.openxmlformats.org/officeDocument/2006/relationships/image"/><Relationship Id="rId15" Target="media/image2.jpeg" Type="http://schemas.openxmlformats.org/officeDocument/2006/relationships/image"/><Relationship Id="rId16" Target="media/image3.jpeg"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_rels/settings.xml.rels><?xml version="1.0" encoding="UTF-8" standalone="yes"?><Relationships xmlns="http://schemas.openxmlformats.org/package/2006/relationships"><Relationship Id="rId1" Target="file:///H:/&#24453;&#24320;&#26631;/ZGZB2020-177&#23425;&#27874;&#24066;&#37150;&#24030;&#21306;&#65288;&#21271;&#29255;&#21306;&#65289;2020-2023&#24180;&#24230;&#21416;&#20313;&#22403;&#22334;&#25910;&#38598;&#36816;&#36755;&#20316;&#19994;&#26381;&#21153;&#39033;&#30446;/&#21457;&#24067;&#31295;/&#65288;&#32456;&#31295;&#65289;ZGZB2020-177&#23425;&#27874;&#24066;&#37150;&#24030;&#21306;&#65288;&#21271;&#29255;&#21306;&#65289;2020-2023&#24180;&#24230;&#21416;&#20313;&#22403;&#22334;&#25910;&#38598;&#36816;&#36755;&#20316;&#19994;&#26381;&#21153;&#39033;&#30446;.dot" TargetMode="External" Type="http://schemas.openxmlformats.org/officeDocument/2006/relationships/attachedTemplat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（终稿）ZGZB2020-177宁波市鄞州区（北片区）2020-2023年度厨余垃圾收集运输作业服务项目</Template>
  <Company>Microsoft</Company>
  <Pages>87</Pages>
  <Words>10668</Words>
  <Characters>60814</Characters>
  <Lines>506</Lines>
  <Paragraphs>142</Paragraphs>
  <TotalTime>0</TotalTime>
  <ScaleCrop>false</ScaleCrop>
  <LinksUpToDate>false</LinksUpToDate>
  <CharactersWithSpaces>71340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2022-03-04T07:54:00Z</dcterms:created>
  <dc:creator>刘霞</dc:creator>
  <cp:lastModifiedBy>WPS_1701756769</cp:lastModifiedBy>
  <cp:lastPrinted>2021-11-08T05:21:00Z</cp:lastPrinted>
  <dcterms:modified xsi:type="dcterms:W3CDTF">2024-02-22T08:40:59Z</dcterms:modified>
  <cp:revision>2</cp:revision>
  <dc:title>服务类文件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9A6F3661A4B94313A897362F030557CA_13</vt:lpwstr>
  </property>
</Properties>
</file>